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314B8" w14:textId="77777777" w:rsidR="00977BF3" w:rsidRPr="00921EF2" w:rsidRDefault="00977BF3" w:rsidP="005C64C0">
      <w:pPr>
        <w:pStyle w:val="Nzov"/>
        <w:rPr>
          <w:sz w:val="22"/>
          <w:szCs w:val="22"/>
          <w:u w:val="none"/>
        </w:rPr>
      </w:pPr>
      <w:r w:rsidRPr="00921EF2">
        <w:rPr>
          <w:sz w:val="22"/>
          <w:szCs w:val="22"/>
          <w:u w:val="none"/>
        </w:rPr>
        <w:t>SÚHRN CHARAKTERISTICKÝCH VLASTNOSTÍ LIEKU</w:t>
      </w:r>
    </w:p>
    <w:p w14:paraId="051EBACD" w14:textId="77777777" w:rsidR="00012805" w:rsidRPr="00921EF2" w:rsidRDefault="00012805" w:rsidP="005C64C0">
      <w:pPr>
        <w:pStyle w:val="Nzov"/>
        <w:rPr>
          <w:b w:val="0"/>
          <w:sz w:val="22"/>
          <w:szCs w:val="22"/>
          <w:u w:val="none"/>
        </w:rPr>
      </w:pPr>
    </w:p>
    <w:p w14:paraId="06F109CA" w14:textId="77777777" w:rsidR="004E2AD3" w:rsidRPr="00921EF2" w:rsidRDefault="004E2AD3" w:rsidP="00B124D9">
      <w:pPr>
        <w:rPr>
          <w:sz w:val="22"/>
          <w:szCs w:val="22"/>
          <w:lang w:val="sk-SK"/>
        </w:rPr>
      </w:pPr>
    </w:p>
    <w:p w14:paraId="68115083" w14:textId="77777777" w:rsidR="004E2AD3" w:rsidRPr="00921EF2" w:rsidRDefault="004E2AD3" w:rsidP="00B124D9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21EF2">
        <w:rPr>
          <w:rFonts w:eastAsia="Calibri"/>
          <w:i/>
          <w:iCs/>
          <w:sz w:val="22"/>
          <w:szCs w:val="22"/>
          <w:lang w:val="sk-SK" w:eastAsia="en-US"/>
        </w:rPr>
        <w:t xml:space="preserve">▼ </w:t>
      </w:r>
      <w:r w:rsidRPr="00921EF2">
        <w:rPr>
          <w:noProof/>
          <w:sz w:val="22"/>
          <w:szCs w:val="22"/>
          <w:lang w:val="sk-SK"/>
        </w:rPr>
        <w:t>Tento liek je predmetom ďalšieho monitorovania. To umožní rýchle získanie nových informácií o bezpečnosti.</w:t>
      </w:r>
      <w:r w:rsidRPr="00921EF2">
        <w:rPr>
          <w:sz w:val="22"/>
          <w:szCs w:val="22"/>
          <w:lang w:val="sk-SK"/>
        </w:rPr>
        <w:t xml:space="preserve"> Od </w:t>
      </w:r>
      <w:r w:rsidRPr="00921EF2">
        <w:rPr>
          <w:noProof/>
          <w:sz w:val="22"/>
          <w:szCs w:val="22"/>
          <w:lang w:val="sk-SK"/>
        </w:rPr>
        <w:t>zdravotníckych pracovníkov sa vyžaduje, aby hlásili akékoľvek podozrenia na nežiaduce reakcie.</w:t>
      </w:r>
      <w:r w:rsidRPr="00921EF2">
        <w:rPr>
          <w:sz w:val="22"/>
          <w:szCs w:val="22"/>
          <w:lang w:val="sk-SK"/>
        </w:rPr>
        <w:t xml:space="preserve"> </w:t>
      </w:r>
      <w:r w:rsidRPr="00921EF2">
        <w:rPr>
          <w:noProof/>
          <w:sz w:val="22"/>
          <w:szCs w:val="22"/>
          <w:lang w:val="sk-SK"/>
        </w:rPr>
        <w:t>Informácie o tom, ako hlásiť nežiaduce reakcie, nájdete v časti 4.8.</w:t>
      </w:r>
    </w:p>
    <w:p w14:paraId="7B4AB263" w14:textId="77777777" w:rsidR="00977BF3" w:rsidRPr="00921EF2" w:rsidRDefault="00977BF3" w:rsidP="005C64C0">
      <w:pPr>
        <w:rPr>
          <w:sz w:val="22"/>
          <w:szCs w:val="22"/>
          <w:lang w:val="sk-SK"/>
        </w:rPr>
      </w:pPr>
    </w:p>
    <w:p w14:paraId="7BAA896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655389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1.</w:t>
      </w:r>
      <w:r w:rsidRPr="00921EF2">
        <w:rPr>
          <w:rFonts w:ascii="Times New Roman" w:hAnsi="Times New Roman" w:cs="Times New Roman"/>
          <w:sz w:val="22"/>
          <w:szCs w:val="22"/>
        </w:rPr>
        <w:tab/>
        <w:t>NÁZOV LIEKU</w:t>
      </w:r>
    </w:p>
    <w:p w14:paraId="42428E0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E4E9109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bookmarkStart w:id="0" w:name="OLE_LINK4"/>
      <w:r w:rsidRPr="00921EF2">
        <w:rPr>
          <w:sz w:val="22"/>
          <w:szCs w:val="22"/>
          <w:lang w:val="sk-SK"/>
        </w:rPr>
        <w:t>Orfiril long 150 mg</w:t>
      </w:r>
    </w:p>
    <w:p w14:paraId="771EC37C" w14:textId="77777777" w:rsidR="005E7C64" w:rsidRPr="00921EF2" w:rsidRDefault="005E7C64" w:rsidP="00921EF2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300 mg</w:t>
      </w:r>
    </w:p>
    <w:p w14:paraId="723E553E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500 mg</w:t>
      </w:r>
    </w:p>
    <w:p w14:paraId="5C592CA0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1000 mg</w:t>
      </w:r>
    </w:p>
    <w:bookmarkEnd w:id="0"/>
    <w:p w14:paraId="6411CEC3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A360A79" w14:textId="77777777" w:rsidR="002474D3" w:rsidRPr="00921EF2" w:rsidRDefault="002474D3" w:rsidP="00B124D9">
      <w:pPr>
        <w:rPr>
          <w:sz w:val="22"/>
          <w:szCs w:val="22"/>
          <w:lang w:val="sk-SK"/>
        </w:rPr>
      </w:pPr>
    </w:p>
    <w:p w14:paraId="263C928F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2.</w:t>
      </w:r>
      <w:r w:rsidRPr="00921EF2">
        <w:rPr>
          <w:rFonts w:ascii="Times New Roman" w:hAnsi="Times New Roman" w:cs="Times New Roman"/>
          <w:sz w:val="22"/>
          <w:szCs w:val="22"/>
        </w:rPr>
        <w:tab/>
        <w:t>KVALITATÍVNE A KVANTITATÍVNE ZLOŽENIE</w:t>
      </w:r>
    </w:p>
    <w:p w14:paraId="7CCF402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5DE0272" w14:textId="444E13E8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150 mg: 1 kapsula s predĺženým uvoľňovaním obsahuje 150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2110B23F" w14:textId="7F176894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300 mg: 1 kapsula s predĺženým uvoľňovaním obsahuje 300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1892E4C5" w14:textId="56159345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500 mg: 1 vrecko obsahuje 500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565F10CA" w14:textId="156A0E80" w:rsidR="005E7C64" w:rsidRDefault="005E7C64" w:rsidP="005E7C64">
      <w:pPr>
        <w:tabs>
          <w:tab w:val="left" w:pos="426"/>
        </w:tabs>
        <w:rPr>
          <w:sz w:val="22"/>
          <w:szCs w:val="22"/>
          <w:lang w:val="sk-SK" w:eastAsia="sk-SK"/>
        </w:rPr>
      </w:pPr>
      <w:r w:rsidRPr="00921EF2">
        <w:rPr>
          <w:sz w:val="22"/>
          <w:szCs w:val="22"/>
          <w:lang w:val="sk-SK"/>
        </w:rPr>
        <w:t>Orfiril long 1 000 mg: 1 vrecko obsahuje 1</w:t>
      </w:r>
      <w:r w:rsidR="002F26F2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 xml:space="preserve">000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1813EA34" w14:textId="3F7A66FC" w:rsidR="00921EF2" w:rsidRPr="00921EF2" w:rsidRDefault="00921EF2" w:rsidP="005E7C64">
      <w:pPr>
        <w:tabs>
          <w:tab w:val="left" w:pos="426"/>
        </w:tabs>
        <w:rPr>
          <w:sz w:val="22"/>
          <w:szCs w:val="22"/>
          <w:lang w:val="sk-SK"/>
        </w:rPr>
      </w:pPr>
    </w:p>
    <w:p w14:paraId="4F0C980B" w14:textId="77777777" w:rsidR="005E7C64" w:rsidRPr="001B59B9" w:rsidRDefault="005E7C64" w:rsidP="005E7C64">
      <w:pPr>
        <w:tabs>
          <w:tab w:val="left" w:pos="426"/>
        </w:tabs>
        <w:rPr>
          <w:sz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Pomocné</w:t>
      </w:r>
      <w:r w:rsidRPr="001B59B9">
        <w:rPr>
          <w:sz w:val="22"/>
          <w:u w:val="single"/>
          <w:lang w:val="sk-SK"/>
        </w:rPr>
        <w:t xml:space="preserve"> látky so známym účinkom:</w:t>
      </w:r>
    </w:p>
    <w:p w14:paraId="3131BEF4" w14:textId="77777777" w:rsidR="005E7C64" w:rsidRPr="00921EF2" w:rsidRDefault="005E7C64" w:rsidP="005E7C64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150 mg: obsahuje menej ako 1 mmol (23 mg) sodíka v kapsule.</w:t>
      </w:r>
    </w:p>
    <w:p w14:paraId="5C777220" w14:textId="77777777" w:rsidR="005E7C64" w:rsidRPr="00921EF2" w:rsidRDefault="005E7C64" w:rsidP="005E7C64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300 mg: </w:t>
      </w:r>
      <w:r w:rsidR="005D3B0E" w:rsidRPr="00921EF2">
        <w:rPr>
          <w:sz w:val="22"/>
          <w:szCs w:val="22"/>
          <w:lang w:val="sk-SK"/>
        </w:rPr>
        <w:t>obsahuje 1,8 mmol (</w:t>
      </w:r>
      <w:r w:rsidRPr="00921EF2">
        <w:rPr>
          <w:sz w:val="22"/>
          <w:szCs w:val="22"/>
          <w:lang w:val="sk-SK"/>
        </w:rPr>
        <w:t>41,4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 kapsule.</w:t>
      </w:r>
    </w:p>
    <w:p w14:paraId="6D622D82" w14:textId="77777777" w:rsidR="005E7C64" w:rsidRPr="00921EF2" w:rsidRDefault="005E7C64" w:rsidP="005E7C64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500 mg: </w:t>
      </w:r>
      <w:r w:rsidR="005D3B0E" w:rsidRPr="00921EF2">
        <w:rPr>
          <w:sz w:val="22"/>
          <w:szCs w:val="22"/>
          <w:lang w:val="sk-SK"/>
        </w:rPr>
        <w:t>obsahuje 3 mmol (</w:t>
      </w:r>
      <w:r w:rsidRPr="00921EF2">
        <w:rPr>
          <w:sz w:val="22"/>
          <w:szCs w:val="22"/>
          <w:lang w:val="sk-SK"/>
        </w:rPr>
        <w:t>69,0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vo vrecku.</w:t>
      </w:r>
    </w:p>
    <w:p w14:paraId="6A78C60A" w14:textId="52E44E9A" w:rsidR="005E7C64" w:rsidRPr="00921EF2" w:rsidRDefault="005E7C64" w:rsidP="005E7C64">
      <w:pPr>
        <w:outlineLvl w:val="0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1 000 mg: </w:t>
      </w:r>
      <w:bookmarkStart w:id="1" w:name="_GoBack"/>
      <w:r w:rsidR="00D632DA" w:rsidRPr="004F754C">
        <w:rPr>
          <w:sz w:val="22"/>
          <w:szCs w:val="22"/>
          <w:lang w:val="sk-SK"/>
        </w:rPr>
        <w:t xml:space="preserve">obsahuje </w:t>
      </w:r>
      <w:bookmarkEnd w:id="1"/>
      <w:r w:rsidR="005D3B0E" w:rsidRPr="00921EF2">
        <w:rPr>
          <w:sz w:val="22"/>
          <w:szCs w:val="22"/>
          <w:lang w:val="sk-SK"/>
        </w:rPr>
        <w:t xml:space="preserve">6 mmol </w:t>
      </w:r>
      <w:r w:rsidR="005D3B0E" w:rsidRPr="00921EF2">
        <w:rPr>
          <w:lang w:val="sk-SK"/>
        </w:rPr>
        <w:t>(</w:t>
      </w:r>
      <w:r w:rsidRPr="00921EF2">
        <w:rPr>
          <w:sz w:val="22"/>
          <w:szCs w:val="22"/>
          <w:lang w:val="sk-SK"/>
        </w:rPr>
        <w:t>137,9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vo vrecku.</w:t>
      </w:r>
    </w:p>
    <w:p w14:paraId="36526A8A" w14:textId="77777777" w:rsidR="005E7C64" w:rsidRPr="00921EF2" w:rsidRDefault="005E7C64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2CE021C" w14:textId="77777777" w:rsidR="00977BF3" w:rsidRPr="00921EF2" w:rsidRDefault="00977BF3" w:rsidP="00B124D9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921EF2">
        <w:rPr>
          <w:color w:val="000000"/>
          <w:sz w:val="22"/>
          <w:szCs w:val="22"/>
          <w:lang w:val="sk-SK"/>
        </w:rPr>
        <w:t>Úplný zoznam pomocných látok, pozri ča</w:t>
      </w:r>
      <w:r w:rsidR="00FF6A2E" w:rsidRPr="00921EF2">
        <w:rPr>
          <w:color w:val="000000"/>
          <w:sz w:val="22"/>
          <w:szCs w:val="22"/>
          <w:lang w:val="sk-SK"/>
        </w:rPr>
        <w:t>s</w:t>
      </w:r>
      <w:r w:rsidRPr="00921EF2">
        <w:rPr>
          <w:color w:val="000000"/>
          <w:sz w:val="22"/>
          <w:szCs w:val="22"/>
          <w:lang w:val="sk-SK"/>
        </w:rPr>
        <w:t>ť 6.1.</w:t>
      </w:r>
    </w:p>
    <w:p w14:paraId="043394B6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9DCC7DC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5EC102D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3.</w:t>
      </w:r>
      <w:r w:rsidRPr="00921EF2">
        <w:rPr>
          <w:rFonts w:ascii="Times New Roman" w:hAnsi="Times New Roman" w:cs="Times New Roman"/>
          <w:sz w:val="22"/>
          <w:szCs w:val="22"/>
        </w:rPr>
        <w:tab/>
        <w:t>LIEKOVÁ FORMA</w:t>
      </w:r>
    </w:p>
    <w:p w14:paraId="3C354C3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3BA9B59" w14:textId="77777777" w:rsidR="005E7C64" w:rsidRPr="00921EF2" w:rsidRDefault="005E7C64" w:rsidP="00921EF2">
      <w:pPr>
        <w:tabs>
          <w:tab w:val="left" w:pos="0"/>
        </w:tabs>
        <w:ind w:right="98"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lang w:val="sk-SK"/>
        </w:rPr>
        <w:t>Orfiril long 150 mg a Orfiril long 300 mg: kapsul</w:t>
      </w:r>
      <w:r w:rsidR="002F26F2" w:rsidRPr="00921EF2">
        <w:rPr>
          <w:sz w:val="22"/>
          <w:szCs w:val="22"/>
          <w:lang w:val="sk-SK"/>
        </w:rPr>
        <w:t>y</w:t>
      </w:r>
      <w:r w:rsidRPr="00921EF2">
        <w:rPr>
          <w:sz w:val="22"/>
          <w:szCs w:val="22"/>
          <w:lang w:val="sk-SK"/>
        </w:rPr>
        <w:t xml:space="preserve"> s predĺženým uvoľňovaním</w:t>
      </w:r>
    </w:p>
    <w:p w14:paraId="08E68159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-143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>Kapsuly obsahujú biele až takmer biele minitablety s predĺženým uvoľňovaním (priemer: približne 2 mm)</w:t>
      </w:r>
    </w:p>
    <w:p w14:paraId="0DFCE8E9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0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 xml:space="preserve">Orfiril long 150 mg: </w:t>
      </w:r>
      <w:r w:rsidR="00CA42D2" w:rsidRPr="00921EF2">
        <w:rPr>
          <w:rFonts w:ascii="Times New Roman" w:hAnsi="Times New Roman" w:cs="Times New Roman"/>
          <w:lang w:val="sk-SK"/>
        </w:rPr>
        <w:t xml:space="preserve">kapsuly s </w:t>
      </w:r>
      <w:r w:rsidRPr="00921EF2">
        <w:rPr>
          <w:rFonts w:ascii="Times New Roman" w:hAnsi="Times New Roman" w:cs="Times New Roman"/>
          <w:lang w:val="sk-SK"/>
        </w:rPr>
        <w:t>priehľadn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bezfarebn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telo</w:t>
      </w:r>
      <w:r w:rsidR="00CA42D2" w:rsidRPr="00921EF2">
        <w:rPr>
          <w:rFonts w:ascii="Times New Roman" w:hAnsi="Times New Roman" w:cs="Times New Roman"/>
          <w:lang w:val="sk-SK"/>
        </w:rPr>
        <w:t xml:space="preserve">m a </w:t>
      </w:r>
      <w:r w:rsidRPr="00921EF2">
        <w:rPr>
          <w:rFonts w:ascii="Times New Roman" w:hAnsi="Times New Roman" w:cs="Times New Roman"/>
          <w:lang w:val="sk-SK"/>
        </w:rPr>
        <w:t>priehľadn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="002F26F2" w:rsidRPr="00921EF2">
        <w:rPr>
          <w:rFonts w:ascii="Times New Roman" w:hAnsi="Times New Roman" w:cs="Times New Roman"/>
          <w:lang w:val="sk-SK"/>
        </w:rPr>
        <w:t>modr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viečko</w:t>
      </w:r>
      <w:r w:rsidR="00CA42D2" w:rsidRPr="00921EF2">
        <w:rPr>
          <w:rFonts w:ascii="Times New Roman" w:hAnsi="Times New Roman" w:cs="Times New Roman"/>
          <w:lang w:val="sk-SK"/>
        </w:rPr>
        <w:t>m</w:t>
      </w:r>
    </w:p>
    <w:p w14:paraId="3A7FE140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0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 xml:space="preserve">Orfiril long 300 mg: </w:t>
      </w:r>
      <w:r w:rsidR="00CA42D2" w:rsidRPr="00921EF2">
        <w:rPr>
          <w:rFonts w:ascii="Times New Roman" w:hAnsi="Times New Roman" w:cs="Times New Roman"/>
          <w:lang w:val="sk-SK"/>
        </w:rPr>
        <w:t>kapsuly s priehľadným bezfarebným telom a priehľadným zeleným viečkom</w:t>
      </w:r>
    </w:p>
    <w:p w14:paraId="56F12D57" w14:textId="77777777" w:rsidR="007B085D" w:rsidRPr="001B59B9" w:rsidRDefault="007B085D" w:rsidP="00921EF2">
      <w:pPr>
        <w:tabs>
          <w:tab w:val="left" w:pos="-720"/>
          <w:tab w:val="left" w:pos="0"/>
        </w:tabs>
        <w:suppressAutoHyphens/>
        <w:rPr>
          <w:sz w:val="22"/>
          <w:highlight w:val="green"/>
          <w:lang w:val="sk-SK"/>
        </w:rPr>
      </w:pPr>
    </w:p>
    <w:p w14:paraId="7D653B51" w14:textId="77777777" w:rsidR="005E7C64" w:rsidRPr="00921EF2" w:rsidRDefault="005E7C64" w:rsidP="00921EF2">
      <w:pPr>
        <w:tabs>
          <w:tab w:val="left" w:pos="-720"/>
          <w:tab w:val="left" w:pos="0"/>
        </w:tabs>
        <w:suppressAutoHyphens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500 mg a Orfiril long 1 000 mg: tablety s predĺženým uvoľňovaním (minitablety s predĺženým uvoľňovaním vo vrecku určené na jednorazové použitie)</w:t>
      </w:r>
    </w:p>
    <w:p w14:paraId="2FA19507" w14:textId="77777777" w:rsidR="007B085D" w:rsidRPr="00921EF2" w:rsidRDefault="007B085D" w:rsidP="007B085D">
      <w:pPr>
        <w:pStyle w:val="knZulassung02"/>
        <w:spacing w:before="0" w:after="0"/>
        <w:ind w:left="0" w:right="-142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>Vrecká obsahujú biele až takmer biele minitablety s predĺženým uvoľňovaním (priemer: približne 2 mm)</w:t>
      </w:r>
    </w:p>
    <w:p w14:paraId="64DEF81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E0A6A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D665120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</w:t>
      </w:r>
      <w:r w:rsidRPr="00921EF2">
        <w:rPr>
          <w:rFonts w:ascii="Times New Roman" w:hAnsi="Times New Roman" w:cs="Times New Roman"/>
          <w:sz w:val="22"/>
          <w:szCs w:val="22"/>
        </w:rPr>
        <w:tab/>
        <w:t>KLINICKÉ ÚDAJE</w:t>
      </w:r>
    </w:p>
    <w:p w14:paraId="19430727" w14:textId="77777777" w:rsidR="00977BF3" w:rsidRPr="00921EF2" w:rsidRDefault="00977BF3" w:rsidP="00B124D9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14:paraId="3B76246E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4.1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Terapeutické indikácie</w:t>
      </w:r>
    </w:p>
    <w:p w14:paraId="3E6071D1" w14:textId="77777777" w:rsidR="00977BF3" w:rsidRPr="00921EF2" w:rsidRDefault="00977BF3" w:rsidP="00B124D9">
      <w:pPr>
        <w:pStyle w:val="Zkladntext"/>
        <w:jc w:val="left"/>
        <w:rPr>
          <w:sz w:val="22"/>
          <w:szCs w:val="22"/>
        </w:rPr>
      </w:pPr>
    </w:p>
    <w:p w14:paraId="14FB414F" w14:textId="77777777" w:rsidR="007F3BDE" w:rsidRPr="00921EF2" w:rsidRDefault="007F3BDE" w:rsidP="007F3BDE">
      <w:pPr>
        <w:numPr>
          <w:ilvl w:val="0"/>
          <w:numId w:val="23"/>
        </w:numPr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Liečba</w:t>
      </w:r>
    </w:p>
    <w:p w14:paraId="06053A23" w14:textId="77777777" w:rsidR="007F3BDE" w:rsidRPr="00921EF2" w:rsidRDefault="007F3BDE" w:rsidP="007F3BDE">
      <w:pPr>
        <w:numPr>
          <w:ilvl w:val="1"/>
          <w:numId w:val="24"/>
        </w:numPr>
        <w:ind w:left="1037" w:hanging="35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generalizovaných záchvatov vo forme absencií, myoklonických a tonicko-klonických záchvatov,</w:t>
      </w:r>
    </w:p>
    <w:p w14:paraId="1193FA4E" w14:textId="77777777" w:rsidR="007F3BDE" w:rsidRPr="00921EF2" w:rsidRDefault="007F3BDE" w:rsidP="007F3BDE">
      <w:pPr>
        <w:numPr>
          <w:ilvl w:val="1"/>
          <w:numId w:val="25"/>
        </w:numPr>
        <w:spacing w:after="60"/>
        <w:ind w:left="1037" w:hanging="35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parciálnych a </w:t>
      </w:r>
      <w:r w:rsidRPr="00921EF2">
        <w:rPr>
          <w:snapToGrid w:val="0"/>
          <w:sz w:val="22"/>
          <w:szCs w:val="22"/>
          <w:lang w:val="sk-SK"/>
        </w:rPr>
        <w:t>sekundárne generalizovaných záchvatov.</w:t>
      </w:r>
    </w:p>
    <w:p w14:paraId="74F62E8A" w14:textId="77777777" w:rsidR="007F3BDE" w:rsidRPr="00921EF2" w:rsidRDefault="007F3BDE" w:rsidP="007F3BDE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>Kombinovaná liečba ostatných foriem epileptických záchvatov, napr. parciálnych záchvatov s elementárnou a komplexnou symptomatológiou, ako aj fokálnych záchvatov so sekundárnou generalizáciou, ak tieto formy neodpovedajú na obvyklú antiepileptickú liečbu.</w:t>
      </w:r>
    </w:p>
    <w:p w14:paraId="23646AC8" w14:textId="4D90EE02" w:rsidR="007F3BDE" w:rsidRPr="00921EF2" w:rsidRDefault="007F3BDE" w:rsidP="007F3BDE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Liečba manickej epizódy u pacientov s bipolárnou afektívnou poruchou, u ktorých je liečba lítiom kontraindikovaná alebo nie je tolerovaná. U pacientov, ktorí odpovedali na liečbu akútnej mánie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om</w:t>
      </w:r>
      <w:r w:rsidRPr="00921EF2">
        <w:rPr>
          <w:sz w:val="22"/>
          <w:szCs w:val="22"/>
          <w:lang w:val="sk-SK"/>
        </w:rPr>
        <w:t>, sa môže zvážiť pokračovanie liečby po manickej epizóde.</w:t>
      </w:r>
    </w:p>
    <w:p w14:paraId="5E613DDE" w14:textId="77777777" w:rsidR="007F3BDE" w:rsidRPr="00921EF2" w:rsidRDefault="007F3BDE" w:rsidP="007F3BDE">
      <w:pPr>
        <w:jc w:val="both"/>
        <w:rPr>
          <w:i/>
          <w:sz w:val="22"/>
          <w:szCs w:val="22"/>
          <w:lang w:val="sk-SK"/>
        </w:rPr>
      </w:pPr>
    </w:p>
    <w:p w14:paraId="538F44DD" w14:textId="77777777" w:rsidR="007F3BDE" w:rsidRPr="001B59B9" w:rsidRDefault="007F3BDE" w:rsidP="007F3BDE">
      <w:pPr>
        <w:jc w:val="both"/>
        <w:rPr>
          <w:sz w:val="22"/>
          <w:lang w:val="sk-SK"/>
        </w:rPr>
      </w:pPr>
      <w:r w:rsidRPr="001B59B9">
        <w:rPr>
          <w:sz w:val="22"/>
          <w:lang w:val="sk-SK"/>
        </w:rPr>
        <w:t>Upozornenie:</w:t>
      </w:r>
    </w:p>
    <w:p w14:paraId="3A51BC9C" w14:textId="5BB210FA" w:rsidR="007F3BDE" w:rsidRPr="00921EF2" w:rsidRDefault="007F3BDE" w:rsidP="007F3BDE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malých detí sa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 xml:space="preserve"> sodný </w:t>
      </w:r>
      <w:r w:rsidRPr="00921EF2">
        <w:rPr>
          <w:sz w:val="22"/>
          <w:szCs w:val="22"/>
          <w:lang w:val="sk-SK"/>
        </w:rPr>
        <w:t>používa ako liek prvej voľby len vo výnimočných prípadoch; má sa indikovať len s mimoriadnou opatrnosťou po prísnom zvážení rizika a prínosu liečby a pokiaľ možno v monoterapii.</w:t>
      </w:r>
    </w:p>
    <w:p w14:paraId="6CBD7CD8" w14:textId="77777777" w:rsidR="005759F7" w:rsidRPr="005E746B" w:rsidRDefault="005759F7" w:rsidP="001B59B9">
      <w:pPr>
        <w:rPr>
          <w:sz w:val="22"/>
        </w:rPr>
      </w:pPr>
    </w:p>
    <w:p w14:paraId="3C6B51F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4.2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Dávkovanie a spôsob pod</w:t>
      </w:r>
      <w:r w:rsidR="00B910AC" w:rsidRPr="00921EF2">
        <w:rPr>
          <w:rFonts w:ascii="Times New Roman" w:hAnsi="Times New Roman" w:cs="Times New Roman"/>
          <w:sz w:val="22"/>
          <w:szCs w:val="22"/>
        </w:rPr>
        <w:t>ávania</w:t>
      </w:r>
    </w:p>
    <w:p w14:paraId="7C3384E8" w14:textId="77777777" w:rsidR="00977BF3" w:rsidRPr="00921EF2" w:rsidRDefault="00977BF3" w:rsidP="00B124D9">
      <w:pPr>
        <w:keepNext/>
        <w:ind w:left="567" w:hanging="567"/>
        <w:rPr>
          <w:sz w:val="22"/>
          <w:szCs w:val="22"/>
          <w:lang w:val="sk-SK"/>
        </w:rPr>
      </w:pPr>
    </w:p>
    <w:p w14:paraId="5F7EA9DF" w14:textId="58256DFD" w:rsidR="00977BF3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Denná dávka </w:t>
      </w:r>
      <w:r w:rsidR="00FF6A2E" w:rsidRPr="00921EF2">
        <w:rPr>
          <w:sz w:val="22"/>
          <w:szCs w:val="22"/>
          <w:lang w:val="sk-SK"/>
        </w:rPr>
        <w:t>má</w:t>
      </w:r>
      <w:r w:rsidRPr="00921EF2">
        <w:rPr>
          <w:sz w:val="22"/>
          <w:szCs w:val="22"/>
          <w:lang w:val="sk-SK"/>
        </w:rPr>
        <w:t xml:space="preserve"> byť nastavená v závislosti od veku a telesnej hmotnosti, avšak do úvahy treba brať aj individuálnu znášanlivosť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sodného.</w:t>
      </w:r>
    </w:p>
    <w:p w14:paraId="1947B7F1" w14:textId="77777777" w:rsidR="00921EF2" w:rsidRPr="001B59B9" w:rsidRDefault="00921EF2" w:rsidP="001B59B9">
      <w:pPr>
        <w:rPr>
          <w:sz w:val="22"/>
          <w:lang w:val="sk-SK"/>
        </w:rPr>
      </w:pPr>
    </w:p>
    <w:p w14:paraId="6F68498D" w14:textId="77777777" w:rsidR="005759F7" w:rsidRPr="00921EF2" w:rsidRDefault="005759F7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Liečba epilepsie</w:t>
      </w:r>
    </w:p>
    <w:p w14:paraId="0EDA9E7C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Terapeutická účinnosť je zvyčajne dosiahnutá pri plazmatických hladinách 40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100 mg/l, (300</w:t>
      </w:r>
      <w:r w:rsidR="00092C0A" w:rsidRPr="00921EF2">
        <w:rPr>
          <w:sz w:val="22"/>
          <w:szCs w:val="22"/>
          <w:lang w:val="sk-SK"/>
        </w:rPr>
        <w:t> </w:t>
      </w:r>
      <w:r w:rsidR="007B4C62" w:rsidRPr="00921EF2">
        <w:rPr>
          <w:sz w:val="22"/>
          <w:szCs w:val="22"/>
          <w:lang w:val="sk-SK"/>
        </w:rPr>
        <w:t>–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700</w:t>
      </w:r>
      <w:r w:rsidR="007B4C62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sym w:font="Times New Roman" w:char="00B5"/>
      </w:r>
      <w:r w:rsidRPr="00921EF2">
        <w:rPr>
          <w:sz w:val="22"/>
          <w:szCs w:val="22"/>
          <w:lang w:val="sk-SK"/>
        </w:rPr>
        <w:t>mol/l). Optimálne plazmatické hladiny sú odlišné medzi jednotlivcami a pravdepodobne aj u toho istého jedinca v rôznom čase.</w:t>
      </w:r>
    </w:p>
    <w:p w14:paraId="73FEC30D" w14:textId="77777777" w:rsidR="00977BF3" w:rsidRPr="00921EF2" w:rsidRDefault="00977BF3" w:rsidP="00B124D9">
      <w:pPr>
        <w:rPr>
          <w:i/>
          <w:iCs/>
          <w:sz w:val="22"/>
          <w:szCs w:val="22"/>
          <w:u w:val="single"/>
          <w:lang w:val="sk-SK"/>
        </w:rPr>
      </w:pPr>
    </w:p>
    <w:p w14:paraId="0F8DB8EB" w14:textId="77777777" w:rsidR="00977BF3" w:rsidRPr="00921EF2" w:rsidRDefault="00062430" w:rsidP="00B124D9">
      <w:pPr>
        <w:rPr>
          <w:i/>
          <w:iCs/>
          <w:sz w:val="22"/>
          <w:szCs w:val="22"/>
          <w:u w:val="single"/>
          <w:lang w:val="sk-SK"/>
        </w:rPr>
      </w:pPr>
      <w:r w:rsidRPr="00921EF2">
        <w:rPr>
          <w:i/>
          <w:iCs/>
          <w:sz w:val="22"/>
          <w:szCs w:val="22"/>
          <w:u w:val="single"/>
          <w:lang w:val="sk-SK"/>
        </w:rPr>
        <w:t>Za</w:t>
      </w:r>
      <w:r w:rsidR="00977BF3" w:rsidRPr="00921EF2">
        <w:rPr>
          <w:i/>
          <w:iCs/>
          <w:sz w:val="22"/>
          <w:szCs w:val="22"/>
          <w:u w:val="single"/>
          <w:lang w:val="sk-SK"/>
        </w:rPr>
        <w:t xml:space="preserve">čiatočná fáza liečby liekom </w:t>
      </w:r>
      <w:r w:rsidR="007F3BDE" w:rsidRPr="00921EF2">
        <w:rPr>
          <w:i/>
          <w:sz w:val="22"/>
          <w:szCs w:val="22"/>
          <w:u w:val="single"/>
          <w:lang w:val="sk-SK"/>
        </w:rPr>
        <w:t>Orfiril long</w:t>
      </w:r>
      <w:r w:rsidR="007F3BDE" w:rsidRPr="001B59B9">
        <w:rPr>
          <w:sz w:val="22"/>
          <w:u w:val="single"/>
          <w:lang w:val="sk-SK"/>
        </w:rPr>
        <w:t xml:space="preserve"> </w:t>
      </w:r>
      <w:r w:rsidR="00977BF3" w:rsidRPr="00921EF2">
        <w:rPr>
          <w:i/>
          <w:iCs/>
          <w:sz w:val="22"/>
          <w:szCs w:val="22"/>
          <w:u w:val="single"/>
          <w:lang w:val="sk-SK"/>
        </w:rPr>
        <w:t>(perorálne podávanie)</w:t>
      </w:r>
    </w:p>
    <w:p w14:paraId="4AFBD820" w14:textId="77777777" w:rsidR="00977BF3" w:rsidRPr="00921EF2" w:rsidRDefault="00977BF3" w:rsidP="00B124D9">
      <w:pPr>
        <w:numPr>
          <w:ilvl w:val="0"/>
          <w:numId w:val="2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 pacientov, ktorí neužívajú iné antiepileptiká</w:t>
      </w:r>
      <w:r w:rsidR="00CF0229" w:rsidRPr="00921EF2">
        <w:rPr>
          <w:sz w:val="22"/>
          <w:szCs w:val="22"/>
          <w:lang w:val="sk-SK"/>
        </w:rPr>
        <w:t>,</w:t>
      </w:r>
      <w:r w:rsidRPr="00921EF2">
        <w:rPr>
          <w:sz w:val="22"/>
          <w:szCs w:val="22"/>
          <w:lang w:val="sk-SK"/>
        </w:rPr>
        <w:t xml:space="preserve"> sa dávka zvyšuje postupne v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2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 xml:space="preserve">3 dňových intervaloch tak, aby sa optimálna dávka dosiahla </w:t>
      </w:r>
      <w:r w:rsidR="00FF6A2E" w:rsidRPr="00921EF2">
        <w:rPr>
          <w:sz w:val="22"/>
          <w:szCs w:val="22"/>
          <w:lang w:val="sk-SK"/>
        </w:rPr>
        <w:t xml:space="preserve">počas </w:t>
      </w:r>
      <w:r w:rsidRPr="00921EF2">
        <w:rPr>
          <w:sz w:val="22"/>
          <w:szCs w:val="22"/>
          <w:lang w:val="sk-SK"/>
        </w:rPr>
        <w:t>1 týžd</w:t>
      </w:r>
      <w:r w:rsidR="00FF6A2E" w:rsidRPr="00921EF2">
        <w:rPr>
          <w:sz w:val="22"/>
          <w:szCs w:val="22"/>
          <w:lang w:val="sk-SK"/>
        </w:rPr>
        <w:t>ňa</w:t>
      </w:r>
      <w:r w:rsidRPr="00921EF2">
        <w:rPr>
          <w:sz w:val="22"/>
          <w:szCs w:val="22"/>
          <w:lang w:val="sk-SK"/>
        </w:rPr>
        <w:t>.</w:t>
      </w:r>
    </w:p>
    <w:p w14:paraId="3A9F2BC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75F3734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pacientov, ktorí užívajú iné antiepileptiká, má byť náhrada liekom </w:t>
      </w:r>
      <w:r w:rsidR="007F3BDE" w:rsidRPr="00921EF2">
        <w:rPr>
          <w:sz w:val="22"/>
          <w:szCs w:val="22"/>
          <w:lang w:val="sk-SK"/>
        </w:rPr>
        <w:t xml:space="preserve">Orfiril long </w:t>
      </w:r>
      <w:r w:rsidRPr="00921EF2">
        <w:rPr>
          <w:sz w:val="22"/>
          <w:szCs w:val="22"/>
          <w:lang w:val="sk-SK"/>
        </w:rPr>
        <w:t xml:space="preserve">postupná, optimálna dávka sa dosahuje </w:t>
      </w:r>
      <w:r w:rsidR="00FF6A2E" w:rsidRPr="00921EF2">
        <w:rPr>
          <w:sz w:val="22"/>
          <w:szCs w:val="22"/>
          <w:lang w:val="sk-SK"/>
        </w:rPr>
        <w:t xml:space="preserve">počas </w:t>
      </w:r>
      <w:r w:rsidRPr="00921EF2">
        <w:rPr>
          <w:sz w:val="22"/>
          <w:szCs w:val="22"/>
          <w:lang w:val="sk-SK"/>
        </w:rPr>
        <w:t>2 týžd</w:t>
      </w:r>
      <w:r w:rsidR="00FF6A2E" w:rsidRPr="00921EF2">
        <w:rPr>
          <w:sz w:val="22"/>
          <w:szCs w:val="22"/>
          <w:lang w:val="sk-SK"/>
        </w:rPr>
        <w:t>ňov</w:t>
      </w:r>
      <w:r w:rsidRPr="00921EF2">
        <w:rPr>
          <w:sz w:val="22"/>
          <w:szCs w:val="22"/>
          <w:lang w:val="sk-SK"/>
        </w:rPr>
        <w:t xml:space="preserve"> a predchádzajúci liek sa postupne obmedzuje až </w:t>
      </w:r>
      <w:r w:rsidR="00F33C94" w:rsidRPr="00921EF2">
        <w:rPr>
          <w:sz w:val="22"/>
          <w:szCs w:val="22"/>
          <w:lang w:val="sk-SK"/>
        </w:rPr>
        <w:t>sa vysadí</w:t>
      </w:r>
      <w:r w:rsidRPr="00921EF2">
        <w:rPr>
          <w:sz w:val="22"/>
          <w:szCs w:val="22"/>
          <w:lang w:val="sk-SK"/>
        </w:rPr>
        <w:t>.</w:t>
      </w:r>
    </w:p>
    <w:p w14:paraId="6AD58B6C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D529DA8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284"/>
        </w:tabs>
        <w:ind w:left="284" w:hanging="284"/>
        <w:rPr>
          <w:i/>
          <w:i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Ak je nevyhnutná kombinácia s inými antiepileptikami, </w:t>
      </w:r>
      <w:r w:rsidR="00F37595" w:rsidRPr="00921EF2">
        <w:rPr>
          <w:sz w:val="22"/>
          <w:szCs w:val="22"/>
          <w:lang w:val="sk-SK"/>
        </w:rPr>
        <w:t>má</w:t>
      </w:r>
      <w:r w:rsidRPr="00921EF2">
        <w:rPr>
          <w:sz w:val="22"/>
          <w:szCs w:val="22"/>
          <w:lang w:val="sk-SK"/>
        </w:rPr>
        <w:t xml:space="preserve"> sa uskutočniť postupne (pozri </w:t>
      </w:r>
      <w:r w:rsidR="007D679C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4.5)</w:t>
      </w:r>
    </w:p>
    <w:p w14:paraId="0576ED6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E7E6B2D" w14:textId="77777777" w:rsidR="00977BF3" w:rsidRPr="00921EF2" w:rsidRDefault="00977BF3" w:rsidP="00B124D9">
      <w:pPr>
        <w:pStyle w:val="Nadpis6"/>
        <w:autoSpaceDE/>
        <w:autoSpaceDN/>
        <w:jc w:val="left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921E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Dávkovanie</w:t>
      </w:r>
    </w:p>
    <w:p w14:paraId="12E26043" w14:textId="77777777" w:rsidR="00977BF3" w:rsidRPr="00921EF2" w:rsidRDefault="00062430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Za</w:t>
      </w:r>
      <w:r w:rsidR="00977BF3" w:rsidRPr="00921EF2">
        <w:rPr>
          <w:sz w:val="22"/>
          <w:szCs w:val="22"/>
          <w:lang w:val="sk-SK"/>
        </w:rPr>
        <w:t>čiatočná denná dávka je zvyčajne 10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15 mg/kg. Dávka sa postupne titruje na optimálnu a je rozdelená do 1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2 dávok denne.</w:t>
      </w:r>
    </w:p>
    <w:p w14:paraId="1193A5B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847FF04" w14:textId="77777777" w:rsidR="005759F7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i/>
          <w:iCs/>
          <w:sz w:val="22"/>
          <w:szCs w:val="22"/>
          <w:lang w:val="sk-SK"/>
        </w:rPr>
        <w:t>U dospelých</w:t>
      </w:r>
    </w:p>
    <w:p w14:paraId="2D0F317E" w14:textId="77777777" w:rsidR="00977BF3" w:rsidRPr="00921EF2" w:rsidRDefault="005759F7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B</w:t>
      </w:r>
      <w:r w:rsidR="00977BF3" w:rsidRPr="00921EF2">
        <w:rPr>
          <w:sz w:val="22"/>
          <w:szCs w:val="22"/>
          <w:lang w:val="sk-SK"/>
        </w:rPr>
        <w:t xml:space="preserve">ežná dávka </w:t>
      </w:r>
      <w:r w:rsidRPr="00921EF2">
        <w:rPr>
          <w:sz w:val="22"/>
          <w:szCs w:val="22"/>
          <w:lang w:val="sk-SK"/>
        </w:rPr>
        <w:t xml:space="preserve">je </w:t>
      </w:r>
      <w:r w:rsidR="00977BF3" w:rsidRPr="00921EF2">
        <w:rPr>
          <w:sz w:val="22"/>
          <w:szCs w:val="22"/>
          <w:lang w:val="sk-SK"/>
        </w:rPr>
        <w:t>20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 xml:space="preserve">30 mg/kg na deň. Ak </w:t>
      </w:r>
      <w:r w:rsidR="001E309B" w:rsidRPr="00921EF2">
        <w:rPr>
          <w:sz w:val="22"/>
          <w:szCs w:val="22"/>
          <w:lang w:val="sk-SK"/>
        </w:rPr>
        <w:t>sa pri takomto dávkovaní ne</w:t>
      </w:r>
      <w:r w:rsidR="00977BF3" w:rsidRPr="00921EF2">
        <w:rPr>
          <w:sz w:val="22"/>
          <w:szCs w:val="22"/>
          <w:lang w:val="sk-SK"/>
        </w:rPr>
        <w:t>dosiahn</w:t>
      </w:r>
      <w:r w:rsidR="001E309B"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kontrola </w:t>
      </w:r>
      <w:r w:rsidR="00CF7DC2" w:rsidRPr="00921EF2">
        <w:rPr>
          <w:sz w:val="22"/>
          <w:szCs w:val="22"/>
          <w:lang w:val="sk-SK"/>
        </w:rPr>
        <w:t xml:space="preserve">epileptických </w:t>
      </w:r>
      <w:r w:rsidR="00977BF3" w:rsidRPr="00921EF2">
        <w:rPr>
          <w:sz w:val="22"/>
          <w:szCs w:val="22"/>
          <w:lang w:val="sk-SK"/>
        </w:rPr>
        <w:t xml:space="preserve">záchvatov, dávka sa môže ďalej </w:t>
      </w:r>
      <w:r w:rsidR="001E309B" w:rsidRPr="00921EF2">
        <w:rPr>
          <w:sz w:val="22"/>
          <w:szCs w:val="22"/>
          <w:lang w:val="sk-SK"/>
        </w:rPr>
        <w:t>zvyšovať</w:t>
      </w:r>
      <w:r w:rsidR="00977BF3" w:rsidRPr="00921EF2">
        <w:rPr>
          <w:sz w:val="22"/>
          <w:szCs w:val="22"/>
          <w:lang w:val="sk-SK"/>
        </w:rPr>
        <w:t>. Ak denná dávka dosiahne viac ako 50 mg/kg (pozri časť 4.4), pacienti sa ma</w:t>
      </w:r>
      <w:r w:rsidR="00F37595" w:rsidRPr="00921EF2">
        <w:rPr>
          <w:sz w:val="22"/>
          <w:szCs w:val="22"/>
          <w:lang w:val="sk-SK"/>
        </w:rPr>
        <w:t>jú</w:t>
      </w:r>
      <w:r w:rsidR="00977BF3" w:rsidRPr="00921EF2">
        <w:rPr>
          <w:sz w:val="22"/>
          <w:szCs w:val="22"/>
          <w:lang w:val="sk-SK"/>
        </w:rPr>
        <w:t xml:space="preserve"> starostlivo monitorovať.</w:t>
      </w:r>
    </w:p>
    <w:p w14:paraId="3AEA7DF9" w14:textId="77777777" w:rsidR="00977BF3" w:rsidRPr="00921EF2" w:rsidRDefault="00977BF3" w:rsidP="00B124D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0EF9312" w14:textId="77777777" w:rsidR="005759F7" w:rsidRPr="00921EF2" w:rsidRDefault="00E4267E" w:rsidP="00B124D9">
      <w:pPr>
        <w:tabs>
          <w:tab w:val="left" w:pos="284"/>
        </w:tabs>
        <w:rPr>
          <w:i/>
          <w:sz w:val="22"/>
          <w:szCs w:val="22"/>
          <w:lang w:val="sk-SK"/>
        </w:rPr>
      </w:pPr>
      <w:r w:rsidRPr="00921EF2">
        <w:rPr>
          <w:i/>
          <w:iCs/>
          <w:sz w:val="22"/>
          <w:szCs w:val="22"/>
          <w:lang w:val="sk-SK"/>
        </w:rPr>
        <w:t>Pediatrická populácia</w:t>
      </w:r>
    </w:p>
    <w:p w14:paraId="11E9FCAC" w14:textId="77777777" w:rsidR="00977BF3" w:rsidRPr="00921EF2" w:rsidRDefault="006F76D5" w:rsidP="00B124D9">
      <w:pPr>
        <w:tabs>
          <w:tab w:val="left" w:pos="28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 detí je b</w:t>
      </w:r>
      <w:r w:rsidR="00977BF3" w:rsidRPr="00921EF2">
        <w:rPr>
          <w:sz w:val="22"/>
          <w:szCs w:val="22"/>
          <w:lang w:val="sk-SK"/>
        </w:rPr>
        <w:t>ežná dávka</w:t>
      </w:r>
      <w:r w:rsidR="005759F7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okolo 30 mg/kg na deň.</w:t>
      </w:r>
    </w:p>
    <w:p w14:paraId="588F11DF" w14:textId="77777777" w:rsidR="006F76D5" w:rsidRPr="00921EF2" w:rsidRDefault="006F76D5" w:rsidP="00B124D9">
      <w:pPr>
        <w:rPr>
          <w:b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dospievajúcich je bežná dávka </w:t>
      </w:r>
      <w:r w:rsidR="00D74ADD" w:rsidRPr="00921EF2">
        <w:rPr>
          <w:sz w:val="22"/>
          <w:szCs w:val="22"/>
          <w:lang w:val="sk-SK"/>
        </w:rPr>
        <w:t xml:space="preserve">tak ako u dospelých </w:t>
      </w:r>
      <w:r w:rsidRPr="00921EF2">
        <w:rPr>
          <w:sz w:val="22"/>
          <w:szCs w:val="22"/>
          <w:lang w:val="sk-SK"/>
        </w:rPr>
        <w:t>20 - 30 mg/kg na deň. Ak sa pri takomto dávkovaní nedosiahne kontrola epileptických záchvatov, dávka sa môže ďalej zvyšovať. Ak denná dávka dosiahne viac ako 50 mg/kg (pozri časť 4.4), pacienti sa majú starostlivo monitorovať.</w:t>
      </w:r>
    </w:p>
    <w:p w14:paraId="03AD8B7B" w14:textId="77777777" w:rsidR="00C36FE5" w:rsidRPr="001B59B9" w:rsidRDefault="00C36FE5" w:rsidP="00B124D9">
      <w:pPr>
        <w:rPr>
          <w:sz w:val="22"/>
          <w:lang w:val="sk-SK"/>
        </w:rPr>
      </w:pPr>
    </w:p>
    <w:p w14:paraId="33CC9DA4" w14:textId="77777777" w:rsidR="005759F7" w:rsidRPr="00921EF2" w:rsidRDefault="005759F7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Manické epizódy u pacientov s bipolárnou afektívnou poruchou</w:t>
      </w:r>
    </w:p>
    <w:p w14:paraId="4BC859A5" w14:textId="77777777" w:rsidR="0017179D" w:rsidRPr="00921EF2" w:rsidRDefault="0017179D" w:rsidP="00B124D9">
      <w:pPr>
        <w:rPr>
          <w:i/>
          <w:sz w:val="22"/>
          <w:szCs w:val="22"/>
          <w:lang w:val="sk-SK"/>
        </w:rPr>
      </w:pPr>
    </w:p>
    <w:p w14:paraId="6023EA34" w14:textId="77777777" w:rsidR="005759F7" w:rsidRPr="00921EF2" w:rsidRDefault="005759F7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U dospelých</w:t>
      </w:r>
    </w:p>
    <w:p w14:paraId="5CDCAFDF" w14:textId="77777777" w:rsidR="005759F7" w:rsidRPr="00921EF2" w:rsidRDefault="005759F7" w:rsidP="00B124D9">
      <w:pPr>
        <w:tabs>
          <w:tab w:val="left" w:pos="709"/>
          <w:tab w:val="right" w:leader="dot" w:pos="680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Dennú dávku musí individuálne stanoviť a kontrolovať ošetrujúci lekár.</w:t>
      </w:r>
    </w:p>
    <w:p w14:paraId="1953D5D5" w14:textId="31B548E9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 xml:space="preserve">Úvodná odporúčaná denná dávka je 750 mg. Ďalej sa v klinických štúdiách ukázalo, že z hľadiska bezpečnostného profilu je akceptovateľná aj úvodná dávka 20 mg </w:t>
      </w:r>
      <w:r w:rsidR="0023483F" w:rsidRPr="00921EF2">
        <w:rPr>
          <w:rFonts w:ascii="Times New Roman" w:hAnsi="Times New Roman"/>
          <w:sz w:val="22"/>
          <w:szCs w:val="22"/>
          <w:lang w:val="sk-SK"/>
        </w:rPr>
        <w:t>valproát</w:t>
      </w:r>
      <w:r w:rsidRPr="00921EF2">
        <w:rPr>
          <w:rFonts w:ascii="Times New Roman" w:hAnsi="Times New Roman"/>
          <w:sz w:val="22"/>
          <w:szCs w:val="22"/>
          <w:lang w:val="sk-SK"/>
        </w:rPr>
        <w:t>u/kg telesnej hmotnosti.</w:t>
      </w:r>
    </w:p>
    <w:p w14:paraId="403EFB5C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>Formy s predĺženým uvoľňovaním sa môžu podávať jedenkrát alebo dvakrát denne.</w:t>
      </w:r>
    </w:p>
    <w:p w14:paraId="4B3DCDFD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lastRenderedPageBreak/>
        <w:t>Dávka sa má zvyšovať tak rýchlo ako je to možné, aby sa dosiahli najnižšie terapeutické dávky s požadovaným klinickým účinkom. Denná dávka sa musí upraviť podľa klinickej odpovede, aby sa stanovila najnižšia účinná dávka individuálne pre každého pacienta.</w:t>
      </w:r>
    </w:p>
    <w:p w14:paraId="1D144D63" w14:textId="27DE44EB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 xml:space="preserve">Priemerná denná dávka sa pohybuje obvykle v rozsahu medzi 1 000 a 2 000 mg </w:t>
      </w:r>
      <w:r w:rsidR="0023483F" w:rsidRPr="00921EF2">
        <w:rPr>
          <w:rFonts w:ascii="Times New Roman" w:hAnsi="Times New Roman"/>
          <w:sz w:val="22"/>
          <w:szCs w:val="22"/>
          <w:lang w:val="sk-SK"/>
        </w:rPr>
        <w:t>valproát</w:t>
      </w:r>
      <w:r w:rsidRPr="00921EF2">
        <w:rPr>
          <w:rFonts w:ascii="Times New Roman" w:hAnsi="Times New Roman"/>
          <w:sz w:val="22"/>
          <w:szCs w:val="22"/>
          <w:lang w:val="sk-SK"/>
        </w:rPr>
        <w:t>u. Pacienti užívajúci denné dávky vyššie ako 45 mg/kg/deň telesnej hmotnosti musia byť dôkladne monitorovaní.</w:t>
      </w:r>
    </w:p>
    <w:p w14:paraId="2EE986B6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>Pokračovanie liečby manických epizód v bipolárnej afektívnej poruche sa musí upraviť individuálne, s použitím najnižšej účinnej dávky.</w:t>
      </w:r>
    </w:p>
    <w:p w14:paraId="4FE1D35A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575F85E" w14:textId="77777777" w:rsidR="005759F7" w:rsidRPr="00921EF2" w:rsidRDefault="00333023" w:rsidP="00B124D9">
      <w:pPr>
        <w:pStyle w:val="TblTextLeft"/>
        <w:spacing w:before="0" w:after="0"/>
        <w:rPr>
          <w:rFonts w:ascii="Times New Roman" w:hAnsi="Times New Roman"/>
          <w:i/>
          <w:sz w:val="22"/>
          <w:szCs w:val="22"/>
          <w:lang w:val="sk-SK"/>
        </w:rPr>
      </w:pPr>
      <w:r w:rsidRPr="00921EF2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39C5EB5E" w14:textId="1506BE18" w:rsidR="005759F7" w:rsidRPr="00921EF2" w:rsidRDefault="005759F7" w:rsidP="005C64C0">
      <w:pPr>
        <w:tabs>
          <w:tab w:val="left" w:pos="709"/>
          <w:tab w:val="right" w:leader="dot" w:pos="680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Bezpečnosť a účinnosť </w:t>
      </w:r>
      <w:r w:rsidR="00090C02" w:rsidRPr="00921EF2">
        <w:rPr>
          <w:sz w:val="22"/>
          <w:szCs w:val="22"/>
          <w:lang w:val="sk-SK"/>
        </w:rPr>
        <w:t>Orfiril</w:t>
      </w:r>
      <w:r w:rsidR="00C36FE5" w:rsidRPr="00921EF2">
        <w:rPr>
          <w:sz w:val="22"/>
          <w:szCs w:val="22"/>
          <w:lang w:val="sk-SK"/>
        </w:rPr>
        <w:t>u</w:t>
      </w:r>
      <w:r w:rsidR="00090C02" w:rsidRPr="00921EF2">
        <w:rPr>
          <w:sz w:val="22"/>
          <w:szCs w:val="22"/>
          <w:lang w:val="sk-SK"/>
        </w:rPr>
        <w:t xml:space="preserve"> long </w:t>
      </w:r>
      <w:r w:rsidRPr="00921EF2">
        <w:rPr>
          <w:sz w:val="22"/>
          <w:szCs w:val="22"/>
          <w:lang w:val="sk-SK"/>
        </w:rPr>
        <w:t>na liečbu manických epizód bipolárnej afektívnej poruchy u pacientov vo veku do 18 rokov nebola stanovená.</w:t>
      </w:r>
    </w:p>
    <w:p w14:paraId="78E337FB" w14:textId="77777777" w:rsidR="004E2AD3" w:rsidRPr="00921EF2" w:rsidRDefault="004E2AD3" w:rsidP="00B124D9">
      <w:pPr>
        <w:rPr>
          <w:rFonts w:eastAsia="Calibri"/>
          <w:sz w:val="22"/>
          <w:szCs w:val="22"/>
          <w:lang w:val="sk-SK"/>
        </w:rPr>
      </w:pPr>
    </w:p>
    <w:p w14:paraId="3FE79949" w14:textId="77777777" w:rsidR="00296C1D" w:rsidRPr="00921EF2" w:rsidRDefault="00296C1D" w:rsidP="00B124D9">
      <w:pPr>
        <w:rPr>
          <w:rFonts w:eastAsia="Calibri"/>
          <w:sz w:val="22"/>
          <w:szCs w:val="22"/>
          <w:u w:val="single"/>
          <w:lang w:eastAsia="en-US"/>
        </w:rPr>
      </w:pPr>
      <w:r w:rsidRPr="00921EF2">
        <w:rPr>
          <w:rFonts w:eastAsia="Calibri"/>
          <w:noProof/>
          <w:sz w:val="22"/>
          <w:szCs w:val="22"/>
          <w:u w:val="single"/>
          <w:lang w:val="sk-SK" w:eastAsia="en-US"/>
        </w:rPr>
        <w:t>Dievčatá v detskom veku, ženy vo fertilnom veku</w:t>
      </w:r>
    </w:p>
    <w:p w14:paraId="32F05E29" w14:textId="63918264" w:rsidR="00296C1D" w:rsidRPr="00921EF2" w:rsidRDefault="00296C1D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Liečbu </w:t>
      </w:r>
      <w:r w:rsidR="0023483F"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om musí začať a ďalej sledovať špecialista so skúsenosťami s liečbou epilepsie alebo bipolárnej poruchy. </w:t>
      </w:r>
      <w:r w:rsidR="0023483F"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 sa má používať na liečbu u dievčat v detskom veku a žien vo fertilnom veku iba v prípade, pokiaľ nie sú účinné iné spôsoby liečby alebo ich pacientka netoleruje.</w:t>
      </w:r>
    </w:p>
    <w:p w14:paraId="4A59202A" w14:textId="0A12DBD9" w:rsidR="00296C1D" w:rsidRPr="00921EF2" w:rsidRDefault="0023483F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 sa predpisuje a vydáva v súlade s Programom </w:t>
      </w:r>
      <w:r w:rsidR="00746D2E" w:rsidRPr="00921EF2">
        <w:rPr>
          <w:rFonts w:eastAsia="Calibri"/>
          <w:noProof/>
          <w:sz w:val="22"/>
          <w:szCs w:val="22"/>
          <w:lang w:val="sk-SK" w:eastAsia="en-US"/>
        </w:rPr>
        <w:t xml:space="preserve">prevencie 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tehotenstva týkajúceho sa </w:t>
      </w: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>u (pozri časti 4.3 a 4.4).</w:t>
      </w:r>
    </w:p>
    <w:p w14:paraId="5833B9DB" w14:textId="77777777" w:rsidR="00AD5D3D" w:rsidRPr="00921EF2" w:rsidRDefault="00AD5D3D" w:rsidP="00B124D9">
      <w:pPr>
        <w:rPr>
          <w:rFonts w:eastAsia="Calibri"/>
          <w:sz w:val="22"/>
          <w:szCs w:val="22"/>
          <w:lang w:val="sk-SK" w:eastAsia="en-US"/>
        </w:rPr>
      </w:pPr>
    </w:p>
    <w:p w14:paraId="536DF527" w14:textId="1088D925" w:rsidR="00296C1D" w:rsidRPr="00921EF2" w:rsidRDefault="0023483F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 sa má prednostne predpisovať ako monoterapia a v najnižšej účinnej dávke, pokiaľ možno vo forme s predĺženým uvoľňovaním. Denná dávka sa má rozdeliť na najmenej dve jednotlivé dávky (pozri časť 4.6).</w:t>
      </w:r>
    </w:p>
    <w:p w14:paraId="3C62B6E7" w14:textId="77777777" w:rsidR="00977BF3" w:rsidRPr="00921EF2" w:rsidRDefault="00977BF3" w:rsidP="005C64C0">
      <w:pPr>
        <w:rPr>
          <w:b/>
          <w:bCs/>
          <w:sz w:val="22"/>
          <w:szCs w:val="22"/>
          <w:lang w:val="sk-SK"/>
        </w:rPr>
      </w:pPr>
    </w:p>
    <w:p w14:paraId="320F9EAD" w14:textId="77777777" w:rsidR="00977BF3" w:rsidRPr="00921EF2" w:rsidRDefault="00977BF3" w:rsidP="00B124D9">
      <w:pPr>
        <w:pStyle w:val="Nadpis5"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Spôsob pod</w:t>
      </w:r>
      <w:r w:rsidR="005C1194" w:rsidRPr="00921EF2">
        <w:rPr>
          <w:rFonts w:ascii="Times New Roman" w:hAnsi="Times New Roman" w:cs="Times New Roman"/>
          <w:sz w:val="22"/>
          <w:szCs w:val="22"/>
        </w:rPr>
        <w:t>ávania</w:t>
      </w:r>
    </w:p>
    <w:p w14:paraId="1C4715C3" w14:textId="77777777" w:rsidR="00090C02" w:rsidRPr="00921EF2" w:rsidRDefault="00090C02" w:rsidP="00090C02">
      <w:pPr>
        <w:rPr>
          <w:spacing w:val="-3"/>
          <w:sz w:val="22"/>
          <w:szCs w:val="22"/>
          <w:lang w:val="sk-SK"/>
        </w:rPr>
      </w:pPr>
      <w:r w:rsidRPr="00921EF2">
        <w:rPr>
          <w:spacing w:val="-3"/>
          <w:sz w:val="22"/>
          <w:szCs w:val="22"/>
          <w:lang w:val="sk-SK"/>
        </w:rPr>
        <w:t>Denná dávka sa má podať v 1-2 jednotlivých dávkach.</w:t>
      </w:r>
    </w:p>
    <w:p w14:paraId="6E1A952E" w14:textId="77777777" w:rsidR="00090C02" w:rsidRPr="00921EF2" w:rsidRDefault="00090C02" w:rsidP="00090C02">
      <w:pPr>
        <w:rPr>
          <w:spacing w:val="-3"/>
          <w:sz w:val="22"/>
          <w:szCs w:val="22"/>
          <w:lang w:val="sk-SK"/>
        </w:rPr>
      </w:pPr>
    </w:p>
    <w:p w14:paraId="0CDA0086" w14:textId="6CFF1497" w:rsidR="00090C02" w:rsidRPr="00921EF2" w:rsidRDefault="00090C02" w:rsidP="00090C02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Kapsuly Orfiril long sa môžu prehltnúť celé, a majú sa zapiť dostatočným množstvom tekutiny. Kapsuly sa môžu otvoriť, a ich obsah sa môže podať zamiešaním do mäkkého jedla. Tento spôsob užívania je obzvlášť vhodný u pacientov s ťažkosťami </w:t>
      </w:r>
      <w:r w:rsidR="00331F95" w:rsidRPr="00921EF2">
        <w:rPr>
          <w:sz w:val="22"/>
          <w:szCs w:val="22"/>
          <w:lang w:val="sk-SK"/>
        </w:rPr>
        <w:t xml:space="preserve">s </w:t>
      </w:r>
      <w:r w:rsidRPr="00921EF2">
        <w:rPr>
          <w:sz w:val="22"/>
          <w:szCs w:val="22"/>
          <w:lang w:val="sk-SK"/>
        </w:rPr>
        <w:t>preh</w:t>
      </w:r>
      <w:r w:rsidR="00331F95" w:rsidRPr="00921EF2">
        <w:rPr>
          <w:sz w:val="22"/>
          <w:szCs w:val="22"/>
          <w:lang w:val="sk-SK"/>
        </w:rPr>
        <w:t>ĺtaním</w:t>
      </w:r>
      <w:r w:rsidRPr="00921EF2">
        <w:rPr>
          <w:sz w:val="22"/>
          <w:szCs w:val="22"/>
          <w:lang w:val="sk-SK"/>
        </w:rPr>
        <w:t>, napr. u detí.</w:t>
      </w:r>
    </w:p>
    <w:p w14:paraId="2252BD11" w14:textId="77777777" w:rsidR="00090C02" w:rsidRPr="00921EF2" w:rsidRDefault="00090C02" w:rsidP="00090C02">
      <w:pPr>
        <w:rPr>
          <w:sz w:val="22"/>
          <w:szCs w:val="22"/>
          <w:lang w:val="sk-SK"/>
        </w:rPr>
      </w:pPr>
    </w:p>
    <w:p w14:paraId="5B2C0B58" w14:textId="0F9E687B" w:rsidR="00090C02" w:rsidRPr="00921EF2" w:rsidRDefault="00090C02" w:rsidP="00090C02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Minitablety s predĺženým uvoľňovaním Orfiril long sa prehĺtajú s tekutinou (napr. minerálnou vodou) alebo sa môžu zamiešať do mäkkého jedla, ako je napr. jogurt alebo puding. Tento spôsob užívania je obzvlášť vhodný u pacientov s ťažkosťami </w:t>
      </w:r>
      <w:r w:rsidR="00331F95" w:rsidRPr="00921EF2">
        <w:rPr>
          <w:sz w:val="22"/>
          <w:szCs w:val="22"/>
          <w:lang w:val="sk-SK"/>
        </w:rPr>
        <w:t xml:space="preserve">s </w:t>
      </w:r>
      <w:r w:rsidRPr="00921EF2">
        <w:rPr>
          <w:sz w:val="22"/>
          <w:szCs w:val="22"/>
          <w:lang w:val="sk-SK"/>
        </w:rPr>
        <w:t>preh</w:t>
      </w:r>
      <w:r w:rsidR="00331F95" w:rsidRPr="00921EF2">
        <w:rPr>
          <w:sz w:val="22"/>
          <w:szCs w:val="22"/>
          <w:lang w:val="sk-SK"/>
        </w:rPr>
        <w:t>ĺtaním</w:t>
      </w:r>
      <w:r w:rsidRPr="00921EF2">
        <w:rPr>
          <w:sz w:val="22"/>
          <w:szCs w:val="22"/>
          <w:lang w:val="sk-SK"/>
        </w:rPr>
        <w:t xml:space="preserve"> (napr. dojčatá).</w:t>
      </w:r>
    </w:p>
    <w:p w14:paraId="43BC0476" w14:textId="4B1AE8E3" w:rsidR="00090C02" w:rsidRPr="00921EF2" w:rsidRDefault="00090C02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Vo všetkých týchto prípadoch sa liek nesmie rozhrýzť, lebo môže dôjsť k zhoršeniu účinku predĺženého uvoľňovania.</w:t>
      </w:r>
    </w:p>
    <w:p w14:paraId="1F040660" w14:textId="77777777" w:rsidR="00090C02" w:rsidRPr="00921EF2" w:rsidRDefault="00090C02" w:rsidP="00B124D9">
      <w:pPr>
        <w:rPr>
          <w:sz w:val="22"/>
          <w:szCs w:val="22"/>
          <w:lang w:val="sk-SK"/>
        </w:rPr>
      </w:pPr>
    </w:p>
    <w:p w14:paraId="78754CBD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4.3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Kontraindikácie</w:t>
      </w:r>
    </w:p>
    <w:p w14:paraId="470DF3E2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7D51FD70" w14:textId="77777777" w:rsidR="00483FA8" w:rsidRPr="00921EF2" w:rsidRDefault="004601F1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Precitlivenosť na liečiv</w:t>
      </w:r>
      <w:r w:rsidR="006A3A4F" w:rsidRPr="00921EF2">
        <w:rPr>
          <w:sz w:val="22"/>
          <w:szCs w:val="22"/>
          <w:lang w:val="sk-SK"/>
        </w:rPr>
        <w:t>o</w:t>
      </w:r>
      <w:r w:rsidR="00483FA8" w:rsidRPr="00921EF2">
        <w:rPr>
          <w:sz w:val="22"/>
          <w:szCs w:val="22"/>
          <w:lang w:val="sk-SK"/>
        </w:rPr>
        <w:t xml:space="preserve"> alebo na </w:t>
      </w:r>
      <w:r w:rsidR="00483FA8" w:rsidRPr="00921EF2">
        <w:rPr>
          <w:noProof/>
          <w:sz w:val="22"/>
          <w:szCs w:val="22"/>
          <w:lang w:val="sk-SK"/>
        </w:rPr>
        <w:t>ktorúkoľvek</w:t>
      </w:r>
      <w:r w:rsidR="00483FA8" w:rsidRPr="00921EF2">
        <w:rPr>
          <w:sz w:val="22"/>
          <w:szCs w:val="22"/>
          <w:lang w:val="sk-SK"/>
        </w:rPr>
        <w:t xml:space="preserve"> z pomocných látok </w:t>
      </w:r>
      <w:r w:rsidR="00483FA8" w:rsidRPr="00921EF2">
        <w:rPr>
          <w:noProof/>
          <w:sz w:val="22"/>
          <w:szCs w:val="22"/>
          <w:lang w:val="sk-SK"/>
        </w:rPr>
        <w:t>uvedených v časti 6.1.</w:t>
      </w:r>
    </w:p>
    <w:p w14:paraId="4D74B7CF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Akútna hepatitída</w:t>
      </w:r>
    </w:p>
    <w:p w14:paraId="11BC5F70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Chronická hepatitída</w:t>
      </w:r>
    </w:p>
    <w:p w14:paraId="02A5F9FF" w14:textId="77777777" w:rsidR="00977BF3" w:rsidRPr="00921EF2" w:rsidRDefault="00110CC7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Ťažká hepatitída v o</w:t>
      </w:r>
      <w:r w:rsidR="00977BF3" w:rsidRPr="00921EF2">
        <w:rPr>
          <w:sz w:val="22"/>
          <w:szCs w:val="22"/>
          <w:lang w:val="sk-SK"/>
        </w:rPr>
        <w:t>sobn</w:t>
      </w:r>
      <w:r w:rsidRPr="00921EF2">
        <w:rPr>
          <w:sz w:val="22"/>
          <w:szCs w:val="22"/>
          <w:lang w:val="sk-SK"/>
        </w:rPr>
        <w:t>ej</w:t>
      </w:r>
      <w:r w:rsidR="00977BF3" w:rsidRPr="00921EF2">
        <w:rPr>
          <w:sz w:val="22"/>
          <w:szCs w:val="22"/>
          <w:lang w:val="sk-SK"/>
        </w:rPr>
        <w:t xml:space="preserve"> alebo rodinn</w:t>
      </w:r>
      <w:r w:rsidRPr="00921EF2">
        <w:rPr>
          <w:sz w:val="22"/>
          <w:szCs w:val="22"/>
          <w:lang w:val="sk-SK"/>
        </w:rPr>
        <w:t>ej</w:t>
      </w:r>
      <w:r w:rsidR="00977BF3" w:rsidRPr="00921EF2">
        <w:rPr>
          <w:sz w:val="22"/>
          <w:szCs w:val="22"/>
          <w:lang w:val="sk-SK"/>
        </w:rPr>
        <w:t xml:space="preserve"> anamnéz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>, spôsoben</w:t>
      </w:r>
      <w:r w:rsidRPr="00921EF2">
        <w:rPr>
          <w:sz w:val="22"/>
          <w:szCs w:val="22"/>
          <w:lang w:val="sk-SK"/>
        </w:rPr>
        <w:t>á najmä</w:t>
      </w:r>
      <w:r w:rsidR="00977BF3" w:rsidRPr="00921EF2">
        <w:rPr>
          <w:sz w:val="22"/>
          <w:szCs w:val="22"/>
          <w:lang w:val="sk-SK"/>
        </w:rPr>
        <w:t xml:space="preserve"> liekmi</w:t>
      </w:r>
    </w:p>
    <w:p w14:paraId="347468DB" w14:textId="77777777" w:rsidR="00977BF3" w:rsidRPr="00921EF2" w:rsidRDefault="00977BF3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Hepatálna porfýria</w:t>
      </w:r>
    </w:p>
    <w:p w14:paraId="70E75C65" w14:textId="62651AC3" w:rsidR="004E2AD3" w:rsidRPr="00921EF2" w:rsidRDefault="0023483F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4E2AD3" w:rsidRPr="00921EF2">
        <w:rPr>
          <w:sz w:val="22"/>
          <w:szCs w:val="22"/>
          <w:lang w:val="sk-SK"/>
        </w:rPr>
        <w:t xml:space="preserve"> je kontraindikovaný u pacientov so známymi mitochondriálnymi poruchami zapríčinenými mutáciou jadrového génu kódujúceho mitochondriálny enzým polymerázu γ (POLG), ako je napr. Alpersov-Huttenlocherov syndróm, a u detí mladších ako dva roky, u</w:t>
      </w:r>
      <w:r w:rsidR="001F5235" w:rsidRPr="00921EF2">
        <w:rPr>
          <w:sz w:val="22"/>
          <w:szCs w:val="22"/>
          <w:lang w:val="sk-SK"/>
        </w:rPr>
        <w:t> </w:t>
      </w:r>
      <w:r w:rsidR="004E2AD3" w:rsidRPr="00921EF2">
        <w:rPr>
          <w:sz w:val="22"/>
          <w:szCs w:val="22"/>
          <w:lang w:val="sk-SK"/>
        </w:rPr>
        <w:t>ktorých je podozrenie, že majú poruchu súvisiacu s POLG (pozri časť 4.4)</w:t>
      </w:r>
    </w:p>
    <w:p w14:paraId="76D0806E" w14:textId="77777777" w:rsidR="004E2AD3" w:rsidRPr="00921EF2" w:rsidRDefault="004E2AD3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Poruchy cyklu močoviny (pozri časť 4.4)</w:t>
      </w:r>
    </w:p>
    <w:p w14:paraId="37DBF1F9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Počas tehotenstva, pokiaľ existuje iná vhodná alternatívna liečba epilepsie (pozri časti 4.4 a 4.6)</w:t>
      </w:r>
    </w:p>
    <w:p w14:paraId="0BDEBA99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Počas tehotenstva (pozri časti 4.4 a 4.6) pri liečbe bipolárnej poruchy</w:t>
      </w:r>
    </w:p>
    <w:p w14:paraId="7AA92A96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U žien vo fertilnom veku, pokiaľ nie sú splnené podmienky Programu </w:t>
      </w:r>
      <w:r w:rsidR="00746D2E" w:rsidRPr="00921EF2">
        <w:rPr>
          <w:rFonts w:eastAsia="Calibri"/>
          <w:sz w:val="22"/>
          <w:szCs w:val="22"/>
          <w:lang w:val="sk-SK" w:eastAsia="en-US"/>
        </w:rPr>
        <w:t xml:space="preserve">prevencie </w:t>
      </w:r>
      <w:r w:rsidRPr="00921EF2">
        <w:rPr>
          <w:rFonts w:eastAsia="Calibri"/>
          <w:sz w:val="22"/>
          <w:szCs w:val="22"/>
          <w:lang w:val="sk-SK" w:eastAsia="en-US"/>
        </w:rPr>
        <w:t>tehotenstva (pozri časti 4.4 a 4.6)</w:t>
      </w:r>
    </w:p>
    <w:p w14:paraId="46D3C6BC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</w:p>
    <w:p w14:paraId="457BF915" w14:textId="77777777" w:rsidR="00977BF3" w:rsidRPr="00921EF2" w:rsidRDefault="00977BF3" w:rsidP="00B124D9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2" w:name="OLE_LINK1"/>
      <w:bookmarkStart w:id="3" w:name="OLE_LINK2"/>
      <w:r w:rsidRPr="00921EF2">
        <w:rPr>
          <w:rFonts w:ascii="Times New Roman" w:hAnsi="Times New Roman" w:cs="Times New Roman"/>
          <w:sz w:val="22"/>
          <w:szCs w:val="22"/>
        </w:rPr>
        <w:lastRenderedPageBreak/>
        <w:t>4.4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Osobitné upozornenia a opatrenia pri používaní</w:t>
      </w:r>
    </w:p>
    <w:p w14:paraId="400F6BDA" w14:textId="77777777" w:rsidR="00C311B9" w:rsidRPr="00921EF2" w:rsidRDefault="00C311B9" w:rsidP="00B124D9">
      <w:pPr>
        <w:keepNext/>
        <w:rPr>
          <w:b/>
          <w:bCs/>
          <w:sz w:val="22"/>
          <w:szCs w:val="22"/>
          <w:lang w:val="sk-SK"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311B9" w:rsidRPr="00921EF2" w14:paraId="58EE7EC1" w14:textId="77777777" w:rsidTr="005E746B">
        <w:trPr>
          <w:trHeight w:val="266"/>
        </w:trPr>
        <w:tc>
          <w:tcPr>
            <w:tcW w:w="91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96024" w14:textId="77777777" w:rsidR="00296C1D" w:rsidRPr="00921EF2" w:rsidRDefault="00296C1D" w:rsidP="00B124D9">
            <w:pPr>
              <w:ind w:left="72" w:right="179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921EF2">
              <w:rPr>
                <w:rFonts w:eastAsia="Calibri"/>
                <w:b/>
                <w:sz w:val="22"/>
                <w:szCs w:val="22"/>
                <w:u w:val="single"/>
                <w:lang w:val="sk-SK" w:eastAsia="en-US"/>
              </w:rPr>
              <w:t xml:space="preserve">Program </w:t>
            </w:r>
            <w:r w:rsidR="00746D2E" w:rsidRPr="00921EF2">
              <w:rPr>
                <w:b/>
                <w:sz w:val="22"/>
                <w:szCs w:val="22"/>
                <w:u w:val="single"/>
                <w:lang w:val="sk-SK"/>
              </w:rPr>
              <w:t>prevencie</w:t>
            </w:r>
            <w:r w:rsidRPr="00921EF2">
              <w:rPr>
                <w:b/>
                <w:sz w:val="22"/>
                <w:szCs w:val="22"/>
                <w:u w:val="single"/>
                <w:lang w:val="sk-SK"/>
              </w:rPr>
              <w:t xml:space="preserve"> tehotenstva</w:t>
            </w:r>
          </w:p>
          <w:p w14:paraId="3EDA05AB" w14:textId="0675ABE7" w:rsidR="00296C1D" w:rsidRPr="00921EF2" w:rsidRDefault="0023483F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má vysoký teratogénny potenciál a u detí vystavených účinku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</w:t>
            </w:r>
            <w:r w:rsidR="00296C1D"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in utero 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>je vysoké riziko vrodených malformácií a porúch vývoja nervového systému (pozri časť 4.6).</w:t>
            </w:r>
          </w:p>
          <w:p w14:paraId="4D183AA0" w14:textId="77777777" w:rsidR="00296C1D" w:rsidRPr="00921EF2" w:rsidRDefault="00090C02" w:rsidP="00B124D9">
            <w:pPr>
              <w:ind w:left="72" w:right="179"/>
              <w:rPr>
                <w:rFonts w:eastAsia="Calibri"/>
                <w:i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sz w:val="22"/>
                <w:szCs w:val="22"/>
                <w:lang w:val="sk-SK"/>
              </w:rPr>
              <w:t xml:space="preserve">Orfiril long 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je kontraidkovaný v nasledujúcich situáciách: </w:t>
            </w:r>
          </w:p>
          <w:p w14:paraId="358DED3C" w14:textId="77777777" w:rsidR="0017179D" w:rsidRPr="00921EF2" w:rsidRDefault="0017179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20D2D9DC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Liečba epilepsie</w:t>
            </w:r>
          </w:p>
          <w:p w14:paraId="53FC9633" w14:textId="77777777" w:rsidR="00296C1D" w:rsidRPr="00921EF2" w:rsidRDefault="00296C1D" w:rsidP="00B124D9">
            <w:pPr>
              <w:keepNext/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počas tehotenstva, pokiaľ existuje iná vhodná alternatívna liečba (pozri časti 4.</w:t>
            </w:r>
            <w:r w:rsidR="00E26E0C" w:rsidRPr="00921EF2">
              <w:rPr>
                <w:rFonts w:eastAsia="Calibri"/>
                <w:sz w:val="22"/>
                <w:szCs w:val="22"/>
                <w:lang w:val="sk-SK" w:eastAsia="en-US"/>
              </w:rPr>
              <w:t>3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4.6).</w:t>
            </w:r>
          </w:p>
          <w:p w14:paraId="1C1B1518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žien vo fertilnom veku, pokiaľ nie sú splnené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tehotenstva (pozri časti 4.3 and 4.6).</w:t>
            </w:r>
          </w:p>
          <w:p w14:paraId="56050924" w14:textId="77777777" w:rsidR="00CA42D2" w:rsidRPr="00921EF2" w:rsidRDefault="00CA42D2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1A3C989A" w14:textId="77777777" w:rsidR="00296C1D" w:rsidRPr="00921EF2" w:rsidRDefault="00296C1D" w:rsidP="00B124D9">
            <w:pPr>
              <w:ind w:left="74" w:right="181"/>
              <w:rPr>
                <w:rFonts w:eastAsia="Calibri"/>
                <w:i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Liečba bipolárnej poruchy</w:t>
            </w:r>
          </w:p>
          <w:p w14:paraId="21B6FC5A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počas tehotenstva (pozri časti 4.3 a 4.6).</w:t>
            </w:r>
          </w:p>
          <w:p w14:paraId="03FBC936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žien vo fertilnom veku, pokiaľ nie sú splnené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tehotenstva (pozri časti 4.3 and 4.6).</w:t>
            </w:r>
          </w:p>
          <w:p w14:paraId="6D62DF27" w14:textId="77777777" w:rsidR="005C64C0" w:rsidRPr="00921EF2" w:rsidRDefault="005C64C0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0517C066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Podmienky Programu </w:t>
            </w:r>
            <w:r w:rsidR="00746D2E"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tehotenstva: </w:t>
            </w:r>
          </w:p>
          <w:p w14:paraId="7B3CCBD0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Predpisujúci lekár sa musí uistiť, že</w:t>
            </w:r>
          </w:p>
          <w:p w14:paraId="6663E4B2" w14:textId="77777777" w:rsidR="00296C1D" w:rsidRPr="00921EF2" w:rsidRDefault="00296C1D" w:rsidP="00B124D9">
            <w:pPr>
              <w:keepNext/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 každom prípade je nutné vyhodnotiť individuálne okolnosti zapojením pacientky do diskusie s cieľom prediskutovať terapeutické možnosti a uistiť sa, že pacientka rozumie rizikám a opatreniam potrebným na minimalizáciu týchto rizík.</w:t>
            </w:r>
          </w:p>
          <w:p w14:paraId="21495D81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všetkých pacientiek bola vyhodnotená možnosť otehotnenia.</w:t>
            </w:r>
          </w:p>
          <w:p w14:paraId="1694D35D" w14:textId="06A173A1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rozumie rizikám vrodených malformácií a porúch vývoja nervového sytému, vrátane závažnosti týchto rizík u detí vystavených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</w:t>
            </w:r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in utero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a je si ich vedomá</w:t>
            </w:r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>.</w:t>
            </w:r>
          </w:p>
          <w:p w14:paraId="667D64C9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nutnosti absolvovať tehotenský test pred začatím liečby a podľa potreby počas nej.</w:t>
            </w:r>
          </w:p>
          <w:p w14:paraId="7390503A" w14:textId="20A05DA6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absolvovala poradenstvo o metódach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antikoncepcie a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>je schopná dodržiavať pokyny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>zaisťujúce efektívnu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antikoncepciu (ďalšie informácie nájdete v podsekcii Antikoncepcia tohto upozornenia v rámčeku), bez prerušenia počas celej doby trvania liečby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om.</w:t>
            </w:r>
          </w:p>
          <w:p w14:paraId="0262BFC7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potrebe pravidelného (minimálne raz ročne) prehodnocovania liečby špecialistom so skúsenosťami s liečbou epilepsie alebo bipolárnej poruchy.</w:t>
            </w:r>
          </w:p>
          <w:p w14:paraId="2163EEC4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potrebe skontaktovať sa so svojím lekárom, ihneď ako začne plánovať tehotenstvo, aby sa pred počatím a vysadením antikoncepcie zaistila včasná diskusia a prechod na alternatívne možnosti liečby.</w:t>
            </w:r>
          </w:p>
          <w:p w14:paraId="11CB94E6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rozumie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>potrebe urgentne sa v prípade tehotenstva skontaktovať so svojím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 lekárom. </w:t>
            </w:r>
          </w:p>
          <w:p w14:paraId="4A1BEECE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dostala Informačnú príručku pre pacientku.</w:t>
            </w:r>
          </w:p>
          <w:p w14:paraId="2CA537F8" w14:textId="73E71749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potvrdila, že rozumie rizikám a potrebným opatreniam spojeným s užívaním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(</w:t>
            </w:r>
            <w:r w:rsidRPr="00921EF2">
              <w:rPr>
                <w:sz w:val="22"/>
                <w:szCs w:val="22"/>
              </w:rPr>
              <w:t>Formulár na potvrdenie o pravidelnom informovaní pacientky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). </w:t>
            </w:r>
          </w:p>
          <w:p w14:paraId="5960E47B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Tieto podmienky sa vzťahujú aj na ženy, ktoré v súčasnosti nie sú sexuálne aktívne, pokiaľ lekár nemá presvedčivé dôkazy, že neexistuje riziko otehotnenia.</w:t>
            </w:r>
          </w:p>
          <w:p w14:paraId="752A3625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6F6C261F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Dievčatá v detskom veku</w:t>
            </w:r>
          </w:p>
          <w:p w14:paraId="22FF56B2" w14:textId="037553AB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Predpisujúci lekár musí zaistiť, že rodičia/opatrovníci dievčat v detskom veku porozumeli nutnosti kontaktovať špecialistu ihneď ako sa u dievčaťa, užívajúceho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, vyskytne prvá menštruácia.</w:t>
            </w:r>
          </w:p>
          <w:p w14:paraId="38AD9FA4" w14:textId="6B064E68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sz w:val="22"/>
                <w:szCs w:val="22"/>
                <w:lang w:val="sk-SK"/>
              </w:rPr>
            </w:pPr>
            <w:r w:rsidRPr="00921EF2">
              <w:rPr>
                <w:sz w:val="22"/>
                <w:szCs w:val="22"/>
                <w:lang w:val="sk-SK"/>
              </w:rPr>
              <w:t>Predpisujúci lekár sa musí uistiť, že rodič</w:t>
            </w:r>
            <w:r w:rsidR="00DC0C31" w:rsidRPr="00921EF2">
              <w:rPr>
                <w:sz w:val="22"/>
                <w:szCs w:val="22"/>
                <w:lang w:val="sk-SK"/>
              </w:rPr>
              <w:t>om</w:t>
            </w:r>
            <w:r w:rsidRPr="00921EF2">
              <w:rPr>
                <w:sz w:val="22"/>
                <w:szCs w:val="22"/>
                <w:lang w:val="sk-SK"/>
              </w:rPr>
              <w:t>/opatrovní</w:t>
            </w:r>
            <w:r w:rsidR="00DC0C31" w:rsidRPr="00921EF2">
              <w:rPr>
                <w:sz w:val="22"/>
                <w:szCs w:val="22"/>
                <w:lang w:val="sk-SK"/>
              </w:rPr>
              <w:t>kom</w:t>
            </w:r>
            <w:r w:rsidRPr="00921EF2">
              <w:rPr>
                <w:sz w:val="22"/>
                <w:szCs w:val="22"/>
                <w:lang w:val="sk-SK"/>
              </w:rPr>
              <w:t xml:space="preserve"> dievčat v detskom veku, u ktorých sa vyskytla prvá menštruácia, boli poskytnuté úplné informácie o možných </w:t>
            </w:r>
            <w:r w:rsidRPr="00921EF2">
              <w:rPr>
                <w:sz w:val="22"/>
                <w:szCs w:val="22"/>
                <w:lang w:val="sk-SK"/>
              </w:rPr>
              <w:lastRenderedPageBreak/>
              <w:t xml:space="preserve">rizikách vrodených malformácií a porúch vývoja nervového systému, vrátane závažnosti týchto rizík u detí vystavených účinku </w:t>
            </w:r>
            <w:r w:rsidR="0023483F" w:rsidRPr="00921EF2">
              <w:rPr>
                <w:sz w:val="22"/>
                <w:szCs w:val="22"/>
                <w:lang w:val="sk-SK"/>
              </w:rPr>
              <w:t>valproát</w:t>
            </w:r>
            <w:r w:rsidRPr="00921EF2">
              <w:rPr>
                <w:sz w:val="22"/>
                <w:szCs w:val="22"/>
                <w:lang w:val="sk-SK"/>
              </w:rPr>
              <w:t xml:space="preserve">u </w:t>
            </w:r>
            <w:r w:rsidRPr="00921EF2">
              <w:rPr>
                <w:i/>
                <w:sz w:val="22"/>
                <w:szCs w:val="22"/>
                <w:lang w:val="sk-SK"/>
              </w:rPr>
              <w:t>in utero.</w:t>
            </w:r>
          </w:p>
          <w:p w14:paraId="77D21A29" w14:textId="53928EAD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pacientiek, u ktorých sa vyskytla prvá menštruácia</w:t>
            </w:r>
            <w:r w:rsidR="00DC0C31" w:rsidRPr="00921EF2">
              <w:rPr>
                <w:rFonts w:eastAsia="Calibri"/>
                <w:sz w:val="22"/>
                <w:szCs w:val="22"/>
                <w:lang w:val="sk-SK" w:eastAsia="en-US"/>
              </w:rPr>
              <w:t>,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lekár každý rok prehodnotiť potrebu liečby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om a zvážiť alternatívne možnosti liečby. Ak je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jediná vhodná liečba, je potrebné prediskutovať použitie účinnej antikoncepcie a ďalšie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tehotenstva. Lekár má vynaložiť všetko úsilie, aby zmenil liečbu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 u pacientky na alternatívnu liečbu, predtým ako pacientka dosiahne dospelosť.</w:t>
            </w:r>
          </w:p>
          <w:p w14:paraId="524290F4" w14:textId="77777777" w:rsidR="00296C1D" w:rsidRPr="00921EF2" w:rsidRDefault="00296C1D" w:rsidP="00B124D9">
            <w:pPr>
              <w:ind w:left="720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FB66F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Tehotenský test</w:t>
            </w:r>
          </w:p>
          <w:p w14:paraId="7BC69956" w14:textId="1D09E1CF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Pred začiatkom liečby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om musí byť vylúčené tehotenstvo. Liečba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 nesmie začať u žien vo fertilnom veku bez negatívneho výsledku tehotenského testu (tehotenský test z krvnej plazmy), potvrdeného zdravotníkom, aby sa vylúčilo neúmyselné použitie počas tehotenstva.</w:t>
            </w:r>
          </w:p>
          <w:p w14:paraId="0CF5705B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40D21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Antikoncepcia</w:t>
            </w:r>
          </w:p>
          <w:p w14:paraId="4DD87C0F" w14:textId="723F2863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Ženy vo fertilnom veku, ktorým je predpísaný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, musia užívať účinnú antikoncepciu bez prerušenia počas celej doby trvania liečby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om. Takýmto pacientkám musí byť poskytnutá komplexná informácia o prevencii tehotenstva a poradenstvo v prípade, že pacientka neužíva účinnú antikoncepciu. Má sa použiť aspoň jedna účinná metóda antikoncepcie (najlepšie nezávislá od užívateľky, akými sú vnútromaternicové teliesko alebo implantát) alebo dve doplnkové formy antikoncepcie, vrátane bariérovej metódy. V každom prípade majú byť pri výbere antikoncepčnej metódy zohľadnené individuálne okolnosti, vrátane diskusie s pacientkou a jej zapojenia a dodržiavania zvolených opatrení.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>Pacientka musí dodržiavať všetky pokyny o efektívnej antikoncepcii aj v prípade amenorey</w:t>
            </w:r>
            <w:r w:rsidRPr="00921EF2">
              <w:rPr>
                <w:sz w:val="22"/>
                <w:szCs w:val="22"/>
              </w:rPr>
              <w:t>.</w:t>
            </w:r>
          </w:p>
          <w:p w14:paraId="051C39D3" w14:textId="77777777" w:rsidR="00AD5D3D" w:rsidRPr="00921EF2" w:rsidRDefault="00AD5D3D" w:rsidP="00B124D9">
            <w:pPr>
              <w:ind w:left="72"/>
              <w:rPr>
                <w:rFonts w:eastAsia="Calibri"/>
                <w:i/>
                <w:sz w:val="22"/>
                <w:szCs w:val="22"/>
                <w:lang w:val="sk-SK"/>
              </w:rPr>
            </w:pPr>
          </w:p>
          <w:p w14:paraId="26E2F61F" w14:textId="77777777" w:rsidR="00AD5D3D" w:rsidRPr="00921EF2" w:rsidRDefault="00AD5D3D" w:rsidP="00B124D9">
            <w:pPr>
              <w:ind w:left="72"/>
              <w:rPr>
                <w:rFonts w:eastAsia="Calibri"/>
                <w:i/>
                <w:sz w:val="22"/>
                <w:szCs w:val="22"/>
                <w:lang w:val="sk-SK"/>
              </w:rPr>
            </w:pPr>
            <w:r w:rsidRPr="00921EF2">
              <w:rPr>
                <w:rFonts w:eastAsia="Calibri"/>
                <w:i/>
                <w:sz w:val="22"/>
                <w:szCs w:val="22"/>
                <w:lang w:val="sk-SK"/>
              </w:rPr>
              <w:t>Produkty obsahujúce estrogén</w:t>
            </w:r>
          </w:p>
          <w:p w14:paraId="6C08CC04" w14:textId="432C1CB2" w:rsidR="00AD5D3D" w:rsidRPr="00921EF2" w:rsidRDefault="00AD5D3D" w:rsidP="00B124D9">
            <w:pPr>
              <w:ind w:left="72"/>
              <w:rPr>
                <w:sz w:val="22"/>
                <w:szCs w:val="22"/>
              </w:rPr>
            </w:pP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Súbežné použitie s produktmi obsahujúcimi estrogén, vrátane hormonálnej antikoncepcie obsahujúcej estrogén, môže potenciálne viesť k zníženiu účinnosti </w:t>
            </w:r>
            <w:r w:rsidR="0023483F" w:rsidRPr="00921EF2">
              <w:rPr>
                <w:rFonts w:eastAsia="Calibri"/>
                <w:sz w:val="22"/>
                <w:szCs w:val="22"/>
                <w:lang w:val="sk-SK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u (pozri časť 4.5). Lekár má sledovať klinickú odpoveď (kontrola záchvatov alebo kontrola nálady) pri začatí alebo ukončení liečby produktmi obsahujúcimi estrogén. </w:t>
            </w:r>
          </w:p>
          <w:p w14:paraId="28879D9B" w14:textId="77777777" w:rsidR="00AD5D3D" w:rsidRPr="00921EF2" w:rsidRDefault="00AD5D3D" w:rsidP="00B124D9">
            <w:pPr>
              <w:ind w:left="72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6095D" w14:textId="0E55A4DF" w:rsidR="00AD5D3D" w:rsidRPr="00921EF2" w:rsidRDefault="00AD5D3D" w:rsidP="00B124D9">
            <w:pPr>
              <w:ind w:left="72"/>
              <w:rPr>
                <w:rFonts w:eastAsia="Calibri"/>
                <w:sz w:val="22"/>
                <w:szCs w:val="22"/>
                <w:lang w:val="sk-SK"/>
              </w:rPr>
            </w:pP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Naopak, </w:t>
            </w:r>
            <w:r w:rsidR="0023483F" w:rsidRPr="00921EF2">
              <w:rPr>
                <w:rFonts w:eastAsia="Calibri"/>
                <w:sz w:val="22"/>
                <w:szCs w:val="22"/>
                <w:lang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 neznižuje účinnosť hormonálnej antikoncepcie.</w:t>
            </w:r>
          </w:p>
          <w:p w14:paraId="63922E9E" w14:textId="77777777" w:rsidR="0017179D" w:rsidRPr="00921EF2" w:rsidRDefault="0017179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7A134AB9" w14:textId="77777777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Každoročné prehodnotenie liečby špecialistom</w:t>
            </w:r>
          </w:p>
          <w:p w14:paraId="5126878D" w14:textId="06A2A814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Špecialista má aspoň raz ročne zhodnotiť, či je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pre pacientku najvhodnejšou liečbou. Špecialista má s pacientkou prediskutovať </w:t>
            </w:r>
            <w:r w:rsidRPr="00921EF2">
              <w:rPr>
                <w:color w:val="000000"/>
                <w:sz w:val="22"/>
                <w:szCs w:val="22"/>
              </w:rPr>
              <w:t>Formulár na potvrdenie o pravidelnom informovaní pacientky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na začiatku liečby a počas každoročnej prehliadky a uistiť sa, že pacientka porozumela jeho obsahu. </w:t>
            </w:r>
          </w:p>
          <w:p w14:paraId="4E2B1F3D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675A3A07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Plánovanie tehotenstva</w:t>
            </w:r>
          </w:p>
          <w:p w14:paraId="0B711AB4" w14:textId="3B7EAABC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Pokiaľ žena s epilepsiou plánuje otehotnieť, musí špecialista so skúsenosťami s liečbou epilepsie prehodnotiť liečbu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om a zvážiť alternatívne možnosti liečby. Má sa vynaložiť všetko úsilie na prechod na vhodnú alternatívnu liečbu pred počatím a vysadením antikoncepcie (pozri časť 4.6). Ak zmena liečby nie je možná, žena má dostať ďalšie poradenstvo týkajúce sa rizík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pre nenarodené dieťa, ktoré jej dopomôže k informovanému rozhodnutiu o plánovaní rodiny. </w:t>
            </w:r>
          </w:p>
          <w:p w14:paraId="0D1A1E0C" w14:textId="1C5A805A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Pokiaľ žena s bipolárnou poruchou</w:t>
            </w:r>
            <w:r w:rsidRPr="00921EF2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plánuje otehotnieť, musí sa poradiť so špecialistom so skúsenosťami s liečbou bipolárnej poruchy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a liečba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 má byť prerušená a podľa potreby nahradená alternatívnou liečbou v období pred počatím a pred vysadením antikoncepcie.</w:t>
            </w:r>
          </w:p>
          <w:p w14:paraId="3DFF5DBE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08BC2263" w14:textId="77777777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V prípade tehotenstva</w:t>
            </w:r>
          </w:p>
          <w:p w14:paraId="347FD3B5" w14:textId="23D3D3AE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Pokiaľ žena užívajúca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otehotnie, musí byť okamžite odoslaná k špecialistovi, aby bola prehodnotená liečba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om a zvážené alternatívne možnosti liečby. Pacientky vystavené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počas tehotenstva a ich partneri musia byť odoslaní k špecialistovi so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>skúsenosťami v teratológii kvôli zhodnoteniu situácie a poradenstvu ohľadne exponovaného tehotenstva (pozri časť 4.6).</w:t>
            </w:r>
          </w:p>
          <w:p w14:paraId="26E992E2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B4B08E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Lekárnik musí zaistiť, aby</w:t>
            </w:r>
          </w:p>
          <w:p w14:paraId="53E62A3A" w14:textId="2D706B50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pri každom vydávaní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bola pacientke poskytnutá Karta pre pacientku a pacientka rozumela jej obsahu.</w:t>
            </w:r>
          </w:p>
          <w:p w14:paraId="3FEEC977" w14:textId="2430B11C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pacientky boli upozornené, aby v prípade plánovania alebo podozrenia na tehotenstvo liečbu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 neprerušovali, ale okamžite kontaktovali špecialistu.</w:t>
            </w:r>
          </w:p>
          <w:p w14:paraId="46B39E44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73CB6DD8" w14:textId="77777777" w:rsidR="00296C1D" w:rsidRPr="00921EF2" w:rsidRDefault="00296C1D" w:rsidP="00B124D9">
            <w:pPr>
              <w:ind w:left="72" w:right="179"/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Edukačné materiály</w:t>
            </w:r>
          </w:p>
          <w:p w14:paraId="5E41DAD2" w14:textId="38C97B56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V záujme pomoci zdravotníckym pracovníkom a pacientkám vyvarovať sa expozícii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počas tehotenstva, poskytuje držiteľ rozhodnutia o registrácii edukačné materiály, aby zdôraznil varovanie a poskytol návody ohľadne užíva</w:t>
            </w:r>
            <w:r w:rsidR="00DC0C31" w:rsidRPr="00921EF2">
              <w:rPr>
                <w:rFonts w:eastAsia="Calibri"/>
                <w:sz w:val="22"/>
                <w:szCs w:val="22"/>
                <w:lang w:val="sk-SK" w:eastAsia="en-US"/>
              </w:rPr>
              <w:t>n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ia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u žien vo fertilnom veku a detaily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>prevencie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tehotenstva. Informačná príručka pre pacientku a Karta pre pacientku majú byť poskytnuté všetkým ženám vo fertilnom veku, ktoré užívajú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. </w:t>
            </w:r>
          </w:p>
          <w:p w14:paraId="1F74A519" w14:textId="60D14F4A" w:rsidR="00C311B9" w:rsidRPr="00921EF2" w:rsidRDefault="00296C1D" w:rsidP="00B124D9">
            <w:pPr>
              <w:keepNext/>
              <w:keepLines/>
              <w:ind w:left="74" w:right="181"/>
              <w:rPr>
                <w:rFonts w:eastAsia="Calibri"/>
                <w:sz w:val="22"/>
                <w:szCs w:val="22"/>
                <w:lang w:val="sk-SK"/>
              </w:rPr>
            </w:pPr>
            <w:r w:rsidRPr="00921EF2">
              <w:rPr>
                <w:color w:val="000000"/>
                <w:sz w:val="22"/>
                <w:szCs w:val="22"/>
              </w:rPr>
              <w:t>Formulár na potvrdenie o pravidelnom informovaní pacientky</w:t>
            </w:r>
            <w:r w:rsidRPr="00921EF2">
              <w:rPr>
                <w:sz w:val="22"/>
                <w:szCs w:val="22"/>
                <w:lang w:val="sk-SK"/>
              </w:rPr>
              <w:t>,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byť použitý pri začiatku liečby a pri každoročnom špecialistom uskutočnenom prehodnocovaní liečby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om.</w:t>
            </w:r>
          </w:p>
        </w:tc>
      </w:tr>
    </w:tbl>
    <w:p w14:paraId="5081A7AD" w14:textId="77777777" w:rsidR="00793974" w:rsidRPr="00921EF2" w:rsidRDefault="00793974" w:rsidP="005C64C0">
      <w:pPr>
        <w:rPr>
          <w:b/>
          <w:bCs/>
          <w:sz w:val="22"/>
          <w:szCs w:val="22"/>
          <w:lang w:val="sk-SK"/>
        </w:rPr>
      </w:pPr>
    </w:p>
    <w:p w14:paraId="190A7177" w14:textId="77777777" w:rsidR="00977BF3" w:rsidRPr="00921EF2" w:rsidRDefault="006A1595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Porucha</w:t>
      </w:r>
      <w:r w:rsidR="00977BF3" w:rsidRPr="00921EF2">
        <w:rPr>
          <w:bCs/>
          <w:sz w:val="22"/>
          <w:szCs w:val="22"/>
          <w:u w:val="single"/>
          <w:lang w:val="sk-SK"/>
        </w:rPr>
        <w:t xml:space="preserve"> funkci</w:t>
      </w:r>
      <w:r w:rsidR="00DC0C31" w:rsidRPr="00921EF2">
        <w:rPr>
          <w:bCs/>
          <w:sz w:val="22"/>
          <w:szCs w:val="22"/>
          <w:u w:val="single"/>
          <w:lang w:val="sk-SK"/>
        </w:rPr>
        <w:t>e</w:t>
      </w:r>
      <w:r w:rsidR="00977BF3" w:rsidRPr="00921EF2">
        <w:rPr>
          <w:bCs/>
          <w:sz w:val="22"/>
          <w:szCs w:val="22"/>
          <w:u w:val="single"/>
          <w:lang w:val="sk-SK"/>
        </w:rPr>
        <w:t xml:space="preserve"> pečene</w:t>
      </w:r>
      <w:r w:rsidR="00090C02" w:rsidRPr="00921EF2">
        <w:rPr>
          <w:bCs/>
          <w:sz w:val="22"/>
          <w:szCs w:val="22"/>
          <w:u w:val="single"/>
          <w:lang w:val="sk-SK"/>
        </w:rPr>
        <w:t>:</w:t>
      </w:r>
    </w:p>
    <w:p w14:paraId="40AF9EFF" w14:textId="77777777" w:rsidR="00977BF3" w:rsidRPr="00921EF2" w:rsidRDefault="00977BF3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Podmienky vzniku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2C738264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Výnimočne sa vyskytlo ťažké poškodenie pečene, končiace niekedy až fatálne.</w:t>
      </w:r>
    </w:p>
    <w:p w14:paraId="665E036D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Skúsenosti </w:t>
      </w:r>
      <w:r w:rsidR="00910C80" w:rsidRPr="00921EF2">
        <w:rPr>
          <w:sz w:val="22"/>
          <w:szCs w:val="22"/>
          <w:lang w:val="sk-SK"/>
        </w:rPr>
        <w:t>s </w:t>
      </w:r>
      <w:r w:rsidRPr="00921EF2">
        <w:rPr>
          <w:sz w:val="22"/>
          <w:szCs w:val="22"/>
          <w:lang w:val="sk-SK"/>
        </w:rPr>
        <w:t>epilepsi</w:t>
      </w:r>
      <w:r w:rsidR="00910C80" w:rsidRPr="00921EF2">
        <w:rPr>
          <w:sz w:val="22"/>
          <w:szCs w:val="22"/>
          <w:lang w:val="sk-SK"/>
        </w:rPr>
        <w:t>ou</w:t>
      </w:r>
      <w:r w:rsidRPr="00921EF2">
        <w:rPr>
          <w:sz w:val="22"/>
          <w:szCs w:val="22"/>
          <w:lang w:val="sk-SK"/>
        </w:rPr>
        <w:t xml:space="preserve"> dokazujú, že </w:t>
      </w:r>
      <w:r w:rsidR="00910C80" w:rsidRPr="00921EF2">
        <w:rPr>
          <w:sz w:val="22"/>
          <w:szCs w:val="22"/>
          <w:lang w:val="sk-SK"/>
        </w:rPr>
        <w:t xml:space="preserve">najrizikovejšou skupinou </w:t>
      </w:r>
      <w:r w:rsidRPr="00921EF2">
        <w:rPr>
          <w:sz w:val="22"/>
          <w:szCs w:val="22"/>
          <w:lang w:val="sk-SK"/>
        </w:rPr>
        <w:t xml:space="preserve">pacientov, najmä v prípade kombinovanej antikonvulzívnej terapie sú </w:t>
      </w:r>
      <w:r w:rsidR="001166C6" w:rsidRPr="00921EF2">
        <w:rPr>
          <w:sz w:val="22"/>
          <w:szCs w:val="22"/>
          <w:lang w:val="sk-SK"/>
        </w:rPr>
        <w:t xml:space="preserve">dojčatá </w:t>
      </w:r>
      <w:r w:rsidRPr="00921EF2">
        <w:rPr>
          <w:sz w:val="22"/>
          <w:szCs w:val="22"/>
          <w:lang w:val="sk-SK"/>
        </w:rPr>
        <w:t xml:space="preserve">a deti do 3 rokov s ťažkými </w:t>
      </w:r>
      <w:r w:rsidR="00C930A0" w:rsidRPr="00921EF2">
        <w:rPr>
          <w:sz w:val="22"/>
          <w:szCs w:val="22"/>
          <w:lang w:val="sk-SK"/>
        </w:rPr>
        <w:t xml:space="preserve">epileptickými </w:t>
      </w:r>
      <w:r w:rsidRPr="00921EF2">
        <w:rPr>
          <w:sz w:val="22"/>
          <w:szCs w:val="22"/>
          <w:lang w:val="sk-SK"/>
        </w:rPr>
        <w:t>záchvatmi, predovšetkým tie</w:t>
      </w:r>
      <w:r w:rsidR="00D037B2" w:rsidRPr="00921EF2">
        <w:rPr>
          <w:sz w:val="22"/>
          <w:szCs w:val="22"/>
          <w:lang w:val="sk-SK"/>
        </w:rPr>
        <w:t>ž</w:t>
      </w:r>
      <w:r w:rsidRPr="00921EF2">
        <w:rPr>
          <w:sz w:val="22"/>
          <w:szCs w:val="22"/>
          <w:lang w:val="sk-SK"/>
        </w:rPr>
        <w:t xml:space="preserve"> s poškodením mozgu, mentálnou retardáciou a (alebo) vrodenými metabolickými alebo degeneratívnymi poruchami. </w:t>
      </w:r>
    </w:p>
    <w:p w14:paraId="3FB66947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Po </w:t>
      </w:r>
      <w:r w:rsidR="00910C80" w:rsidRPr="00921EF2">
        <w:rPr>
          <w:sz w:val="22"/>
          <w:szCs w:val="22"/>
          <w:lang w:val="sk-SK"/>
        </w:rPr>
        <w:t xml:space="preserve">dosiahnutí veku </w:t>
      </w:r>
      <w:r w:rsidRPr="00921EF2">
        <w:rPr>
          <w:sz w:val="22"/>
          <w:szCs w:val="22"/>
          <w:lang w:val="sk-SK"/>
        </w:rPr>
        <w:t>3 rok</w:t>
      </w:r>
      <w:r w:rsidR="00910C80" w:rsidRPr="00921EF2">
        <w:rPr>
          <w:sz w:val="22"/>
          <w:szCs w:val="22"/>
          <w:lang w:val="sk-SK"/>
        </w:rPr>
        <w:t>ov</w:t>
      </w:r>
      <w:r w:rsidRPr="00921EF2">
        <w:rPr>
          <w:sz w:val="22"/>
          <w:szCs w:val="22"/>
          <w:lang w:val="sk-SK"/>
        </w:rPr>
        <w:t xml:space="preserve"> sa incidencia výrazne znižuje a </w:t>
      </w:r>
      <w:r w:rsidR="00910C80" w:rsidRPr="00921EF2">
        <w:rPr>
          <w:sz w:val="22"/>
          <w:szCs w:val="22"/>
          <w:lang w:val="sk-SK"/>
        </w:rPr>
        <w:t xml:space="preserve">s vekom </w:t>
      </w:r>
      <w:r w:rsidRPr="00921EF2">
        <w:rPr>
          <w:sz w:val="22"/>
          <w:szCs w:val="22"/>
          <w:lang w:val="sk-SK"/>
        </w:rPr>
        <w:t>postupne klesá.</w:t>
      </w:r>
    </w:p>
    <w:p w14:paraId="53F1AC39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Vo viacerých prípadoch sa poškodenie pečene môže vyskytnúť počas prvých 6 mesiacov liečby.</w:t>
      </w:r>
    </w:p>
    <w:p w14:paraId="7968E1F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7B1CA13" w14:textId="77777777" w:rsidR="00977BF3" w:rsidRPr="00921EF2" w:rsidRDefault="00977BF3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Klinické príznaky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0AA212CC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Klinické symptómy umožňujú včasnú diagnózu. Hlavne u rizikových pacientov treba brať do úvahy nasledujúce príznaky, ktoré môžu predchádzať ikteru (</w:t>
      </w:r>
      <w:r w:rsidRPr="00921EF2">
        <w:rPr>
          <w:color w:val="000000"/>
          <w:sz w:val="22"/>
          <w:szCs w:val="22"/>
          <w:lang w:val="sk-SK"/>
        </w:rPr>
        <w:t>pozri časť 4.4</w:t>
      </w:r>
      <w:r w:rsidRPr="00921EF2">
        <w:rPr>
          <w:sz w:val="22"/>
          <w:szCs w:val="22"/>
          <w:lang w:val="sk-SK"/>
        </w:rPr>
        <w:t>):</w:t>
      </w:r>
    </w:p>
    <w:p w14:paraId="06B7D210" w14:textId="77777777" w:rsidR="00977BF3" w:rsidRPr="00921EF2" w:rsidRDefault="00977BF3" w:rsidP="00B124D9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nešpecifické symptómy, zvyčajne s náhlym začiatkom, ako asténia, anorexia, letargia, ospalosť, ktoré sú niekedy spojené s opakovaným vracaním a bolesťou brucha.</w:t>
      </w:r>
    </w:p>
    <w:p w14:paraId="55025AE5" w14:textId="77777777" w:rsidR="00977BF3" w:rsidRPr="00921EF2" w:rsidRDefault="00977BF3" w:rsidP="005C64C0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 s epilepsiou, opakovanie </w:t>
      </w:r>
      <w:r w:rsidR="00CF7DC2" w:rsidRPr="00921EF2">
        <w:rPr>
          <w:sz w:val="22"/>
          <w:szCs w:val="22"/>
          <w:lang w:val="sk-SK"/>
        </w:rPr>
        <w:t xml:space="preserve">epileptických </w:t>
      </w:r>
      <w:r w:rsidRPr="00921EF2">
        <w:rPr>
          <w:sz w:val="22"/>
          <w:szCs w:val="22"/>
          <w:lang w:val="sk-SK"/>
        </w:rPr>
        <w:t>záchvatov, napriek tomu, že liečba pokračuje.</w:t>
      </w:r>
    </w:p>
    <w:p w14:paraId="5665EE0A" w14:textId="77777777" w:rsidR="00977BF3" w:rsidRPr="00921EF2" w:rsidRDefault="00977BF3" w:rsidP="00B124D9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t xml:space="preserve">Pacienti (alebo v prípade detí ich rodina) </w:t>
      </w:r>
      <w:r w:rsidR="00F37595" w:rsidRPr="00921EF2">
        <w:rPr>
          <w:sz w:val="22"/>
          <w:szCs w:val="22"/>
        </w:rPr>
        <w:t>majú</w:t>
      </w:r>
      <w:r w:rsidRPr="00921EF2">
        <w:rPr>
          <w:sz w:val="22"/>
          <w:szCs w:val="22"/>
        </w:rPr>
        <w:t xml:space="preserve"> byť poučení, že v takýchto a akýchkoľvek iných prípadoch majú okamžite informovať lekára. Okamžite je potrebné klinické vyšetrenie a funkčné vyšetrenie pečene.</w:t>
      </w:r>
    </w:p>
    <w:p w14:paraId="1F69D039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3965E556" w14:textId="77777777" w:rsidR="00977BF3" w:rsidRPr="00921EF2" w:rsidRDefault="00977BF3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Diagnostika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151BEACA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Pred začatím liečby a potom periodicky počas prvých šiestich mesiacov liečby sa ma</w:t>
      </w:r>
      <w:r w:rsidR="00F37595" w:rsidRPr="00921EF2">
        <w:rPr>
          <w:sz w:val="22"/>
          <w:szCs w:val="22"/>
          <w:lang w:val="sk-SK"/>
        </w:rPr>
        <w:t>jú</w:t>
      </w:r>
      <w:r w:rsidRPr="00921EF2">
        <w:rPr>
          <w:sz w:val="22"/>
          <w:szCs w:val="22"/>
          <w:lang w:val="sk-SK"/>
        </w:rPr>
        <w:t xml:space="preserve"> vyšetrovať pečeňové testy. Najdôležitejšie vyšetrenie spomedzi vyšetrení monitorujúcich syntézu proteínov je protrombínový čas. Ak je protrombínový čas výrazne nízky súčasne s inými biologickými parametrami (výrazné zníženie fibrinogénu a koagulačných faktorov, zvýšenie hladiny bilirubínu a transamináz), musí sa terapia </w:t>
      </w:r>
      <w:r w:rsidR="00090C02" w:rsidRPr="00921EF2">
        <w:rPr>
          <w:sz w:val="22"/>
          <w:szCs w:val="22"/>
          <w:lang w:val="sk-SK"/>
        </w:rPr>
        <w:t xml:space="preserve">Orfirilom long </w:t>
      </w:r>
      <w:r w:rsidRPr="00921EF2">
        <w:rPr>
          <w:sz w:val="22"/>
          <w:szCs w:val="22"/>
          <w:lang w:val="sk-SK"/>
        </w:rPr>
        <w:t>prerušiť. Prerušenie je potrebné aj v prípade užívania salicylátov, keďže tieto sú metabolizované rovnakým spôsobom.</w:t>
      </w:r>
    </w:p>
    <w:p w14:paraId="6B0AF2FD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1E18C92D" w14:textId="77777777" w:rsidR="00977BF3" w:rsidRPr="00921EF2" w:rsidRDefault="00977BF3" w:rsidP="00B124D9">
      <w:pPr>
        <w:pStyle w:val="Nadpis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921EF2">
        <w:rPr>
          <w:rFonts w:ascii="Times New Roman" w:hAnsi="Times New Roman" w:cs="Times New Roman"/>
          <w:b w:val="0"/>
          <w:sz w:val="22"/>
          <w:szCs w:val="22"/>
          <w:u w:val="single"/>
        </w:rPr>
        <w:t>Pankreatitída</w:t>
      </w:r>
    </w:p>
    <w:p w14:paraId="37EA812A" w14:textId="77777777" w:rsidR="00977BF3" w:rsidRPr="00921EF2" w:rsidRDefault="00977BF3" w:rsidP="005C64C0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t xml:space="preserve">Veľmi zriedkavo bola hlásená ťažká pankreatitída, ktorá môže končiť smrťou. Najviac ohrozené sú malé deti. Toto riziko klesá s vekom. Rizikovými faktormi môžu byť ťažké </w:t>
      </w:r>
      <w:r w:rsidR="00CF7DC2" w:rsidRPr="00921EF2">
        <w:rPr>
          <w:sz w:val="22"/>
          <w:szCs w:val="22"/>
        </w:rPr>
        <w:t xml:space="preserve">epileptické </w:t>
      </w:r>
      <w:r w:rsidRPr="00921EF2">
        <w:rPr>
          <w:sz w:val="22"/>
          <w:szCs w:val="22"/>
        </w:rPr>
        <w:t>záchvaty, neurologické poškodenia alebo antikonvulzívna liečba. Zlyhanie pečene s pankreatitídou zvyšuje riziko fatálneho konca.</w:t>
      </w:r>
    </w:p>
    <w:p w14:paraId="3A69FC7A" w14:textId="00ED764D" w:rsidR="00977BF3" w:rsidRPr="00921EF2" w:rsidRDefault="00B46590" w:rsidP="00B124D9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lastRenderedPageBreak/>
        <w:t>P</w:t>
      </w:r>
      <w:r w:rsidR="00977BF3" w:rsidRPr="00921EF2">
        <w:rPr>
          <w:sz w:val="22"/>
          <w:szCs w:val="22"/>
        </w:rPr>
        <w:t xml:space="preserve">acienti, ktorí majú akútne bolesti brucha </w:t>
      </w:r>
      <w:r w:rsidR="00F37595" w:rsidRPr="00921EF2">
        <w:rPr>
          <w:sz w:val="22"/>
          <w:szCs w:val="22"/>
        </w:rPr>
        <w:t xml:space="preserve">majú </w:t>
      </w:r>
      <w:r w:rsidR="00977BF3" w:rsidRPr="00921EF2">
        <w:rPr>
          <w:sz w:val="22"/>
          <w:szCs w:val="22"/>
        </w:rPr>
        <w:t>byť okamžite vyšetrení. V prípade pankreatitídy sa m</w:t>
      </w:r>
      <w:r w:rsidR="00F37595" w:rsidRPr="00921EF2">
        <w:rPr>
          <w:sz w:val="22"/>
          <w:szCs w:val="22"/>
        </w:rPr>
        <w:t>á</w:t>
      </w:r>
      <w:r w:rsidR="00977BF3" w:rsidRPr="00921EF2">
        <w:rPr>
          <w:sz w:val="22"/>
          <w:szCs w:val="22"/>
        </w:rPr>
        <w:t xml:space="preserve"> podávanie </w:t>
      </w:r>
      <w:r w:rsidR="0023483F" w:rsidRPr="00921EF2">
        <w:rPr>
          <w:sz w:val="22"/>
          <w:szCs w:val="22"/>
        </w:rPr>
        <w:t>valproát</w:t>
      </w:r>
      <w:r w:rsidR="00977BF3" w:rsidRPr="00921EF2">
        <w:rPr>
          <w:sz w:val="22"/>
          <w:szCs w:val="22"/>
        </w:rPr>
        <w:t>u prerušiť.</w:t>
      </w:r>
    </w:p>
    <w:p w14:paraId="0F07B475" w14:textId="77777777" w:rsidR="00977BF3" w:rsidRPr="00921EF2" w:rsidRDefault="00977BF3" w:rsidP="00B124D9">
      <w:pPr>
        <w:rPr>
          <w:b/>
          <w:bCs/>
          <w:i/>
          <w:iCs/>
          <w:sz w:val="22"/>
          <w:szCs w:val="22"/>
          <w:lang w:val="sk-SK"/>
        </w:rPr>
      </w:pPr>
    </w:p>
    <w:p w14:paraId="35A2A1B4" w14:textId="77777777" w:rsidR="00F27E6D" w:rsidRPr="00921EF2" w:rsidRDefault="00F27E6D" w:rsidP="005C64C0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Suicidálne myšlienky a</w:t>
      </w:r>
      <w:r w:rsidR="006E7F09" w:rsidRPr="00921EF2">
        <w:rPr>
          <w:sz w:val="22"/>
          <w:szCs w:val="22"/>
          <w:u w:val="single"/>
          <w:lang w:val="sk-SK"/>
        </w:rPr>
        <w:t> </w:t>
      </w:r>
      <w:r w:rsidRPr="00921EF2">
        <w:rPr>
          <w:sz w:val="22"/>
          <w:szCs w:val="22"/>
          <w:u w:val="single"/>
          <w:lang w:val="sk-SK"/>
        </w:rPr>
        <w:t>správanie</w:t>
      </w:r>
    </w:p>
    <w:p w14:paraId="3B224EE2" w14:textId="1F508A8D" w:rsidR="006E7F09" w:rsidRPr="00921EF2" w:rsidRDefault="006E7F0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Pri liečbe antiepileptikami v niekoľkých indikáciách boli u pacientov hlásené suicidálne myšlienky a správanie. Metaanalýza randomizovaných placebom kontrolovaných štúdií antiepileptikami ukázala malé zvýšenie rizika suicidálnych myšlienok a správania. Mechanizmus tohto rizika nie je známy a dostupné údaje nevylučujú možnosť zvýšeného rizika u </w:t>
      </w:r>
      <w:r w:rsidR="0023483F" w:rsidRPr="00921EF2">
        <w:rPr>
          <w:sz w:val="22"/>
          <w:szCs w:val="22"/>
          <w:lang w:val="sk-SK"/>
        </w:rPr>
        <w:t>valproát</w:t>
      </w:r>
      <w:r w:rsidR="007A649C" w:rsidRPr="00921EF2">
        <w:rPr>
          <w:sz w:val="22"/>
          <w:szCs w:val="22"/>
          <w:lang w:val="sk-SK"/>
        </w:rPr>
        <w:t>u</w:t>
      </w:r>
      <w:r w:rsidRPr="00921EF2">
        <w:rPr>
          <w:sz w:val="22"/>
          <w:szCs w:val="22"/>
          <w:lang w:val="sk-SK"/>
        </w:rPr>
        <w:t>. Pacientov je preto potrebné sledovať na príznaky a symptómy suicidálnych myšlienok a správania a je potrebné zvážiť vhodnú liečbu. Pacientom (a opatrovateľom pacientov) je potrebné odporučiť, aby vyhľadali lekársku pomoc, ak sa objavia príznaky suicidálnych myšlienok alebo správania.</w:t>
      </w:r>
    </w:p>
    <w:p w14:paraId="2E38FB6F" w14:textId="77777777" w:rsidR="001F7E04" w:rsidRPr="00921EF2" w:rsidRDefault="001F7E04" w:rsidP="00B124D9">
      <w:pPr>
        <w:pStyle w:val="Nadpis3"/>
        <w:keepNext w:val="0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B12A82A" w14:textId="77777777" w:rsidR="001F7E04" w:rsidRPr="00921EF2" w:rsidRDefault="001F7E04" w:rsidP="00B124D9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>Pacienti so známym mitochondriálnym ochorením alebo s podozrením na mitochondriálne ochorenie</w:t>
      </w:r>
    </w:p>
    <w:p w14:paraId="75CA411A" w14:textId="6EF2C7B1" w:rsidR="001F7E04" w:rsidRPr="00921EF2" w:rsidRDefault="0023483F" w:rsidP="00B124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21EF2">
        <w:rPr>
          <w:rFonts w:ascii="Times New Roman" w:hAnsi="Times New Roman" w:cs="Times New Roman"/>
          <w:color w:val="auto"/>
          <w:sz w:val="22"/>
          <w:szCs w:val="22"/>
        </w:rPr>
        <w:t>Valproát</w:t>
      </w:r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môže vyvolať alebo zhoršiť klinické prejavy základných mitochondriálnych ochorení zapríčinených mutáciami mitochondriálnej DNA, ako aj jadrového génu kódujúceho POLG. Konkrétne bolo hlásené akútne zlyhávanie pečene indukované </w:t>
      </w:r>
      <w:r w:rsidRPr="00921EF2">
        <w:rPr>
          <w:rFonts w:ascii="Times New Roman" w:hAnsi="Times New Roman" w:cs="Times New Roman"/>
          <w:color w:val="auto"/>
          <w:sz w:val="22"/>
          <w:szCs w:val="22"/>
        </w:rPr>
        <w:t>valproát</w:t>
      </w:r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om a úmrtia súvisiace s pečeňou vo vyššej miere u pacientov s dedičnými neurometabolickými syndrómami zapríčinenými mutáciami génu pre mitochondriálny enzým polymerázu γ (POLG), ako je napr. Alpersov-Huttenlocherov syndróm.</w:t>
      </w:r>
    </w:p>
    <w:p w14:paraId="6B306739" w14:textId="77777777" w:rsidR="001F7E04" w:rsidRPr="00921EF2" w:rsidRDefault="001F7E04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 s rodinnou anamnézou alebo symptómami naznačujúcimi poruchu súvisiacu s POLG vrátane nevysvetlenej encefalopatie, ale bez obmedzenia na ňu, refraktérnej epilepsie (fokálnej, myoklonickej), </w:t>
      </w:r>
      <w:r w:rsidRPr="00921EF2">
        <w:rPr>
          <w:i/>
          <w:iCs/>
          <w:sz w:val="22"/>
          <w:szCs w:val="22"/>
          <w:lang w:val="sk-SK"/>
        </w:rPr>
        <w:t xml:space="preserve">status epilepticus </w:t>
      </w:r>
      <w:r w:rsidRPr="00921EF2">
        <w:rPr>
          <w:sz w:val="22"/>
          <w:szCs w:val="22"/>
          <w:lang w:val="sk-SK"/>
        </w:rPr>
        <w:t>pri prezentácii, oneskoreného vývinu, psychomotorickej regresie, axónovej senzorimotorickej neuropatie, myopatie, cerebelárnej ataxie, oftalmoplégie alebo komplikovanej migrény s okcipitálnou aurou prichádza do úvahy podozrenie na poruchy súvisiace s POLG. V súlade so súčasnou klinickou praxou sa musí vykonať testovanie mutácie POLG na diagnostické vyhodnotenie takýchto porúch (pozri časť 4.3).</w:t>
      </w:r>
    </w:p>
    <w:p w14:paraId="3AF4DB63" w14:textId="77777777" w:rsidR="00090C02" w:rsidRPr="00921EF2" w:rsidRDefault="00090C02" w:rsidP="00B124D9">
      <w:pPr>
        <w:rPr>
          <w:sz w:val="22"/>
          <w:szCs w:val="22"/>
          <w:lang w:val="sk-SK"/>
        </w:rPr>
      </w:pPr>
    </w:p>
    <w:p w14:paraId="5E912B2C" w14:textId="77777777" w:rsidR="00705FB1" w:rsidRPr="00921EF2" w:rsidRDefault="005A0966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bCs/>
          <w:color w:val="000000"/>
          <w:sz w:val="22"/>
          <w:szCs w:val="22"/>
          <w:u w:val="single"/>
          <w:lang w:val="sk-SK"/>
        </w:rPr>
        <w:t xml:space="preserve">Zhoršenie </w:t>
      </w:r>
      <w:r w:rsidRPr="00921EF2">
        <w:rPr>
          <w:sz w:val="22"/>
          <w:szCs w:val="22"/>
          <w:u w:val="single"/>
          <w:lang w:val="sk-SK"/>
        </w:rPr>
        <w:t>záchvatov</w:t>
      </w:r>
    </w:p>
    <w:p w14:paraId="02321865" w14:textId="25C9F791" w:rsidR="00705FB1" w:rsidRPr="00921EF2" w:rsidRDefault="00705FB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Rovnako ako pri iných antiepileptikách, u niektorých pacientov liečených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 môže dôjsť namiesto zlepšenia k</w:t>
      </w:r>
      <w:r w:rsidR="00A1408B" w:rsidRPr="00921EF2">
        <w:rPr>
          <w:sz w:val="22"/>
          <w:szCs w:val="22"/>
          <w:lang w:val="sk-SK"/>
        </w:rPr>
        <w:t xml:space="preserve"> reverzibilnému </w:t>
      </w:r>
      <w:r w:rsidRPr="00921EF2">
        <w:rPr>
          <w:sz w:val="22"/>
          <w:szCs w:val="22"/>
          <w:lang w:val="sk-SK"/>
        </w:rPr>
        <w:t>zhoršeniu frekvencie a závažnosti záchvatov (vrátane status epilepticus) alebo nástup</w:t>
      </w:r>
      <w:r w:rsidR="00A1408B" w:rsidRPr="00921EF2">
        <w:rPr>
          <w:sz w:val="22"/>
          <w:szCs w:val="22"/>
          <w:lang w:val="sk-SK"/>
        </w:rPr>
        <w:t>u</w:t>
      </w:r>
      <w:r w:rsidR="005A0966" w:rsidRPr="00921EF2">
        <w:rPr>
          <w:sz w:val="22"/>
          <w:szCs w:val="22"/>
          <w:lang w:val="sk-SK"/>
        </w:rPr>
        <w:t xml:space="preserve"> nových typov záchvatov</w:t>
      </w:r>
      <w:r w:rsidR="00A1408B" w:rsidRPr="00921EF2">
        <w:rPr>
          <w:sz w:val="22"/>
          <w:szCs w:val="22"/>
          <w:lang w:val="sk-SK"/>
        </w:rPr>
        <w:t xml:space="preserve">. </w:t>
      </w:r>
      <w:r w:rsidR="00237751" w:rsidRPr="00921EF2">
        <w:rPr>
          <w:sz w:val="22"/>
          <w:szCs w:val="22"/>
        </w:rPr>
        <w:t>Pacienti majú</w:t>
      </w:r>
      <w:r w:rsidR="005A0966" w:rsidRPr="00921EF2">
        <w:rPr>
          <w:sz w:val="22"/>
          <w:szCs w:val="22"/>
        </w:rPr>
        <w:t xml:space="preserve"> byť poučení, aby</w:t>
      </w:r>
      <w:r w:rsidR="00237751" w:rsidRPr="00921EF2">
        <w:rPr>
          <w:sz w:val="22"/>
          <w:szCs w:val="22"/>
        </w:rPr>
        <w:t xml:space="preserve"> v prípade </w:t>
      </w:r>
      <w:r w:rsidR="005A0966" w:rsidRPr="00921EF2">
        <w:rPr>
          <w:sz w:val="22"/>
          <w:szCs w:val="22"/>
        </w:rPr>
        <w:t>zhoršenia záchvatov okamžite informovali</w:t>
      </w:r>
      <w:r w:rsidR="00237751" w:rsidRPr="00921EF2">
        <w:rPr>
          <w:sz w:val="22"/>
          <w:szCs w:val="22"/>
        </w:rPr>
        <w:t xml:space="preserve"> lekára (pozri časť 4.8).</w:t>
      </w:r>
    </w:p>
    <w:p w14:paraId="56DE9343" w14:textId="77777777" w:rsidR="00705FB1" w:rsidRPr="00921EF2" w:rsidRDefault="00705FB1" w:rsidP="00B124D9">
      <w:pPr>
        <w:rPr>
          <w:sz w:val="22"/>
          <w:szCs w:val="22"/>
          <w:lang w:val="sk-SK"/>
        </w:rPr>
      </w:pPr>
    </w:p>
    <w:p w14:paraId="33C45081" w14:textId="77777777" w:rsidR="00977BF3" w:rsidRPr="00921EF2" w:rsidRDefault="00977BF3" w:rsidP="00B124D9">
      <w:pPr>
        <w:pStyle w:val="Nadpis3"/>
        <w:rPr>
          <w:rFonts w:ascii="Times New Roman" w:hAnsi="Times New Roman" w:cs="Times New Roman"/>
          <w:b w:val="0"/>
          <w:sz w:val="22"/>
          <w:szCs w:val="22"/>
          <w:u w:val="single"/>
          <w:lang w:val="sk-SK"/>
        </w:rPr>
      </w:pPr>
      <w:r w:rsidRPr="00921EF2">
        <w:rPr>
          <w:rFonts w:ascii="Times New Roman" w:hAnsi="Times New Roman" w:cs="Times New Roman"/>
          <w:b w:val="0"/>
          <w:sz w:val="22"/>
          <w:szCs w:val="22"/>
          <w:u w:val="single"/>
          <w:lang w:val="sk-SK"/>
        </w:rPr>
        <w:t>Opatrenia pri používaní</w:t>
      </w:r>
    </w:p>
    <w:p w14:paraId="0D512335" w14:textId="77777777" w:rsidR="000218C2" w:rsidRPr="00921EF2" w:rsidRDefault="000218C2" w:rsidP="00B124D9">
      <w:pPr>
        <w:rPr>
          <w:i/>
          <w:sz w:val="22"/>
          <w:szCs w:val="22"/>
        </w:rPr>
      </w:pPr>
    </w:p>
    <w:p w14:paraId="7CC06086" w14:textId="77777777" w:rsidR="000218C2" w:rsidRPr="00921EF2" w:rsidRDefault="000218C2" w:rsidP="00B124D9">
      <w:pPr>
        <w:rPr>
          <w:i/>
          <w:sz w:val="22"/>
          <w:szCs w:val="22"/>
          <w:u w:val="single"/>
        </w:rPr>
      </w:pPr>
      <w:r w:rsidRPr="00921EF2">
        <w:rPr>
          <w:i/>
          <w:sz w:val="22"/>
          <w:szCs w:val="22"/>
          <w:u w:val="single"/>
        </w:rPr>
        <w:t>Funkčné pečeňové testy</w:t>
      </w:r>
    </w:p>
    <w:p w14:paraId="7B43DE53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Funkčné pečeňové testy sa ma</w:t>
      </w:r>
      <w:r w:rsidR="00EA259D" w:rsidRPr="00921EF2">
        <w:rPr>
          <w:sz w:val="22"/>
          <w:szCs w:val="22"/>
        </w:rPr>
        <w:t>jú</w:t>
      </w:r>
      <w:r w:rsidRPr="00921EF2">
        <w:rPr>
          <w:sz w:val="22"/>
          <w:szCs w:val="22"/>
        </w:rPr>
        <w:t xml:space="preserve"> vykonať pred začatím liečby (pozri </w:t>
      </w:r>
      <w:r w:rsidR="00601BF0" w:rsidRPr="00921EF2">
        <w:rPr>
          <w:sz w:val="22"/>
          <w:szCs w:val="22"/>
        </w:rPr>
        <w:t xml:space="preserve">časť </w:t>
      </w:r>
      <w:r w:rsidRPr="00921EF2">
        <w:rPr>
          <w:sz w:val="22"/>
          <w:szCs w:val="22"/>
        </w:rPr>
        <w:t>4.3) a počas prvých šiestich mesiacov periodicky hlavne u rizikových pacientov (</w:t>
      </w:r>
      <w:r w:rsidR="005A7723" w:rsidRPr="00921EF2">
        <w:rPr>
          <w:sz w:val="22"/>
          <w:szCs w:val="22"/>
        </w:rPr>
        <w:t xml:space="preserve">pozri </w:t>
      </w:r>
      <w:r w:rsidRPr="00921EF2">
        <w:rPr>
          <w:color w:val="000000"/>
          <w:sz w:val="22"/>
          <w:szCs w:val="22"/>
        </w:rPr>
        <w:t xml:space="preserve">časť </w:t>
      </w:r>
      <w:r w:rsidR="00FB7E55" w:rsidRPr="00921EF2">
        <w:rPr>
          <w:color w:val="000000"/>
          <w:sz w:val="22"/>
          <w:szCs w:val="22"/>
        </w:rPr>
        <w:t>4.4</w:t>
      </w:r>
      <w:r w:rsidRPr="00921EF2">
        <w:rPr>
          <w:sz w:val="22"/>
          <w:szCs w:val="22"/>
        </w:rPr>
        <w:t>).</w:t>
      </w:r>
      <w:r w:rsidR="005A7723" w:rsidRPr="00921EF2">
        <w:rPr>
          <w:sz w:val="22"/>
          <w:szCs w:val="22"/>
        </w:rPr>
        <w:t xml:space="preserve"> </w:t>
      </w:r>
      <w:r w:rsidRPr="00921EF2">
        <w:rPr>
          <w:sz w:val="22"/>
          <w:szCs w:val="22"/>
        </w:rPr>
        <w:t xml:space="preserve">Podobne ako </w:t>
      </w:r>
      <w:r w:rsidR="00182391" w:rsidRPr="00921EF2">
        <w:rPr>
          <w:sz w:val="22"/>
          <w:szCs w:val="22"/>
        </w:rPr>
        <w:t>pri</w:t>
      </w:r>
      <w:r w:rsidRPr="00921EF2">
        <w:rPr>
          <w:sz w:val="22"/>
          <w:szCs w:val="22"/>
        </w:rPr>
        <w:t xml:space="preserve"> iných antiepilept</w:t>
      </w:r>
      <w:r w:rsidR="00182391" w:rsidRPr="00921EF2">
        <w:rPr>
          <w:sz w:val="22"/>
          <w:szCs w:val="22"/>
        </w:rPr>
        <w:t>ikách</w:t>
      </w:r>
      <w:r w:rsidRPr="00921EF2">
        <w:rPr>
          <w:sz w:val="22"/>
          <w:szCs w:val="22"/>
        </w:rPr>
        <w:t xml:space="preserve"> môže byť zaznamenané mierne zvýšenie pečeňových enzýmov, hlavne na začiatku terapie. Toto zvýšenie je len prechodné a izolované, bez klinických príznakov. U rizikových pacientov sa odporúča podrobné laboratórne vyšetrenie (vrátane protrombínového času), v prípade potreby je možné dávku upraviť a testy vykonať znova.</w:t>
      </w:r>
    </w:p>
    <w:p w14:paraId="75B51AD9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3FD3EB0C" w14:textId="77777777" w:rsidR="000218C2" w:rsidRPr="00921EF2" w:rsidRDefault="0094751A" w:rsidP="00B124D9">
      <w:pPr>
        <w:rPr>
          <w:i/>
          <w:sz w:val="22"/>
          <w:szCs w:val="22"/>
          <w:u w:val="single"/>
        </w:rPr>
      </w:pPr>
      <w:r w:rsidRPr="00921EF2">
        <w:rPr>
          <w:i/>
          <w:sz w:val="22"/>
          <w:szCs w:val="22"/>
          <w:u w:val="single"/>
        </w:rPr>
        <w:t>Krvné testy</w:t>
      </w:r>
    </w:p>
    <w:p w14:paraId="3FECFAB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Pred začatím liečby, pred operáciou alebo v prípade spontánnych podliatin alebo krvácania sa odporúča vykonať krvné testy (krvný obraz, vrátane počtu trombocytov, čas zrážania a koagulačné testy) (pozri </w:t>
      </w:r>
      <w:r w:rsidR="00601BF0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4.8</w:t>
      </w:r>
      <w:r w:rsidRPr="00921EF2">
        <w:rPr>
          <w:iCs/>
          <w:sz w:val="22"/>
          <w:szCs w:val="22"/>
          <w:lang w:val="sk-SK"/>
        </w:rPr>
        <w:t>).</w:t>
      </w:r>
    </w:p>
    <w:p w14:paraId="015AD94F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154F603A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Pacienti so systémovým lupus erythematosus</w:t>
      </w:r>
    </w:p>
    <w:p w14:paraId="212B5136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Výnimočne sa počas liečby liekom </w:t>
      </w:r>
      <w:r w:rsidR="00D017C1" w:rsidRPr="00921EF2">
        <w:rPr>
          <w:sz w:val="22"/>
          <w:szCs w:val="22"/>
          <w:lang w:val="sk-SK"/>
        </w:rPr>
        <w:t xml:space="preserve">Orfiril long </w:t>
      </w:r>
      <w:r w:rsidRPr="00921EF2">
        <w:rPr>
          <w:sz w:val="22"/>
          <w:szCs w:val="22"/>
          <w:lang w:val="sk-SK"/>
        </w:rPr>
        <w:t xml:space="preserve">zaznamenali poruchy imunity, je potrebné zvážiť prínos liečby liekom </w:t>
      </w:r>
      <w:r w:rsidR="00D017C1" w:rsidRPr="00921EF2">
        <w:rPr>
          <w:sz w:val="22"/>
          <w:szCs w:val="22"/>
          <w:lang w:val="sk-SK"/>
        </w:rPr>
        <w:t xml:space="preserve">Orfiril long </w:t>
      </w:r>
      <w:r w:rsidRPr="00921EF2">
        <w:rPr>
          <w:sz w:val="22"/>
          <w:szCs w:val="22"/>
          <w:lang w:val="sk-SK"/>
        </w:rPr>
        <w:t>oproti možnému riziku u pacientov s lupus erythemato</w:t>
      </w:r>
      <w:r w:rsidR="00FB540C" w:rsidRPr="00921EF2">
        <w:rPr>
          <w:sz w:val="22"/>
          <w:szCs w:val="22"/>
          <w:lang w:val="sk-SK"/>
        </w:rPr>
        <w:t>su</w:t>
      </w:r>
      <w:r w:rsidRPr="00921EF2">
        <w:rPr>
          <w:sz w:val="22"/>
          <w:szCs w:val="22"/>
          <w:lang w:val="sk-SK"/>
        </w:rPr>
        <w:t>s.</w:t>
      </w:r>
    </w:p>
    <w:p w14:paraId="15D7562E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111DE78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Poruchy cyklu močoviny</w:t>
      </w:r>
    </w:p>
    <w:p w14:paraId="259062D2" w14:textId="230A4C84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>Pri poruche enzýmov zasahujúcich do cyklu tvorby močoviny sú potrebné metabolické testy kvôli riziku hyperamon</w:t>
      </w:r>
      <w:r w:rsidR="00EA259D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 xml:space="preserve">émie spôsobenej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r w:rsidR="007406A5" w:rsidRPr="00921EF2">
        <w:rPr>
          <w:sz w:val="22"/>
          <w:szCs w:val="22"/>
          <w:lang w:val="sk-SK"/>
        </w:rPr>
        <w:t xml:space="preserve"> (pozri časť 4.3)</w:t>
      </w:r>
      <w:r w:rsidRPr="00921EF2">
        <w:rPr>
          <w:sz w:val="22"/>
          <w:szCs w:val="22"/>
          <w:lang w:val="sk-SK"/>
        </w:rPr>
        <w:t>.</w:t>
      </w:r>
    </w:p>
    <w:p w14:paraId="2F2BDD7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0DC9472" w14:textId="19AE2504" w:rsidR="00197E9E" w:rsidRPr="00921EF2" w:rsidRDefault="00197E9E" w:rsidP="005C64C0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Súčasné užívanie kyseliny valproovej/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 a karbapenémov sa neodporúča (pozri časť 4.5).</w:t>
      </w:r>
    </w:p>
    <w:p w14:paraId="6937AE4E" w14:textId="77777777" w:rsidR="00197E9E" w:rsidRPr="00921EF2" w:rsidRDefault="00197E9E" w:rsidP="00B124D9">
      <w:pPr>
        <w:rPr>
          <w:sz w:val="22"/>
          <w:szCs w:val="22"/>
          <w:lang w:val="sk-SK"/>
        </w:rPr>
      </w:pPr>
    </w:p>
    <w:p w14:paraId="1826DED3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Zvýšenie telesnej hmotnosti</w:t>
      </w:r>
    </w:p>
    <w:p w14:paraId="263EFB21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Pacienti ma</w:t>
      </w:r>
      <w:r w:rsidR="00EA259D" w:rsidRPr="00921EF2">
        <w:rPr>
          <w:sz w:val="22"/>
          <w:szCs w:val="22"/>
          <w:lang w:val="sk-SK"/>
        </w:rPr>
        <w:t>jú</w:t>
      </w:r>
      <w:r w:rsidRPr="00921EF2">
        <w:rPr>
          <w:sz w:val="22"/>
          <w:szCs w:val="22"/>
          <w:lang w:val="sk-SK"/>
        </w:rPr>
        <w:t xml:space="preserve"> byť upozornení na možné riziko zvýšenia telesnej hmotnosti na začiatku terapie a </w:t>
      </w:r>
      <w:r w:rsidR="00EA259D" w:rsidRPr="00921EF2">
        <w:rPr>
          <w:sz w:val="22"/>
          <w:szCs w:val="22"/>
          <w:lang w:val="sk-SK"/>
        </w:rPr>
        <w:t>má sa zvoliť</w:t>
      </w:r>
      <w:r w:rsidRPr="00921EF2">
        <w:rPr>
          <w:sz w:val="22"/>
          <w:szCs w:val="22"/>
          <w:lang w:val="sk-SK"/>
        </w:rPr>
        <w:t xml:space="preserve"> vhodná stratégia na minimalizovanie tohoto rizika (pozri časť 4.8)</w:t>
      </w:r>
      <w:r w:rsidR="00331A99" w:rsidRPr="00921EF2">
        <w:rPr>
          <w:sz w:val="22"/>
          <w:szCs w:val="22"/>
          <w:lang w:val="sk-SK"/>
        </w:rPr>
        <w:t>.</w:t>
      </w:r>
    </w:p>
    <w:p w14:paraId="5934D67C" w14:textId="77777777" w:rsidR="00331A99" w:rsidRPr="00921EF2" w:rsidRDefault="00331A99" w:rsidP="00B124D9">
      <w:pPr>
        <w:rPr>
          <w:sz w:val="22"/>
          <w:szCs w:val="22"/>
          <w:lang w:val="sk-SK"/>
        </w:rPr>
      </w:pPr>
    </w:p>
    <w:p w14:paraId="5B154769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Deficit karnitín-palmitoyl-transferázy (CPT) typu II</w:t>
      </w:r>
    </w:p>
    <w:p w14:paraId="5A61645B" w14:textId="3E3C666D" w:rsidR="00D037B2" w:rsidRPr="00921EF2" w:rsidRDefault="00D037B2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Pacienti s deficitom </w:t>
      </w:r>
      <w:r w:rsidR="003922EB" w:rsidRPr="00921EF2">
        <w:rPr>
          <w:sz w:val="22"/>
          <w:szCs w:val="22"/>
          <w:lang w:val="sk-SK"/>
        </w:rPr>
        <w:t>karnit</w:t>
      </w:r>
      <w:r w:rsidR="00FF335A" w:rsidRPr="00921EF2">
        <w:rPr>
          <w:sz w:val="22"/>
          <w:szCs w:val="22"/>
          <w:lang w:val="sk-SK"/>
        </w:rPr>
        <w:t>í</w:t>
      </w:r>
      <w:r w:rsidR="003922EB" w:rsidRPr="00921EF2">
        <w:rPr>
          <w:sz w:val="22"/>
          <w:szCs w:val="22"/>
          <w:lang w:val="sk-SK"/>
        </w:rPr>
        <w:t>n-</w:t>
      </w:r>
      <w:r w:rsidR="00A76AD5" w:rsidRPr="00921EF2">
        <w:rPr>
          <w:sz w:val="22"/>
          <w:szCs w:val="22"/>
          <w:lang w:val="sk-SK"/>
        </w:rPr>
        <w:t>palmi</w:t>
      </w:r>
      <w:r w:rsidR="003922EB" w:rsidRPr="00921EF2">
        <w:rPr>
          <w:sz w:val="22"/>
          <w:szCs w:val="22"/>
          <w:lang w:val="sk-SK"/>
        </w:rPr>
        <w:t>toyl-</w:t>
      </w:r>
      <w:r w:rsidRPr="00921EF2">
        <w:rPr>
          <w:sz w:val="22"/>
          <w:szCs w:val="22"/>
          <w:lang w:val="sk-SK"/>
        </w:rPr>
        <w:t xml:space="preserve">transferázy (CPT) typu II musia byť </w:t>
      </w:r>
      <w:r w:rsidR="009F619C" w:rsidRPr="00921EF2">
        <w:rPr>
          <w:sz w:val="22"/>
          <w:szCs w:val="22"/>
          <w:lang w:val="sk-SK"/>
        </w:rPr>
        <w:t>upozornení na </w:t>
      </w:r>
      <w:r w:rsidRPr="00921EF2">
        <w:rPr>
          <w:sz w:val="22"/>
          <w:szCs w:val="22"/>
          <w:lang w:val="sk-SK"/>
        </w:rPr>
        <w:t>vyššie riziko</w:t>
      </w:r>
      <w:r w:rsidR="004775E7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rabdomyolýzy pri užívaní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u.</w:t>
      </w:r>
    </w:p>
    <w:p w14:paraId="6553CF66" w14:textId="77777777" w:rsidR="00D037B2" w:rsidRPr="00921EF2" w:rsidRDefault="00D037B2" w:rsidP="00B124D9">
      <w:pPr>
        <w:rPr>
          <w:sz w:val="22"/>
          <w:szCs w:val="22"/>
          <w:lang w:val="sk-SK"/>
        </w:rPr>
      </w:pPr>
    </w:p>
    <w:p w14:paraId="5B485BD0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Alkohol</w:t>
      </w:r>
    </w:p>
    <w:p w14:paraId="01F719A7" w14:textId="58C7BF38" w:rsidR="00331A99" w:rsidRPr="00921EF2" w:rsidRDefault="00331A9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Počas liečby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 sa neodporúča konzumovať alkohol.</w:t>
      </w:r>
    </w:p>
    <w:p w14:paraId="7F9FBC09" w14:textId="77777777" w:rsidR="000218C2" w:rsidRPr="00921EF2" w:rsidRDefault="000218C2" w:rsidP="00B124D9">
      <w:pPr>
        <w:rPr>
          <w:sz w:val="22"/>
          <w:szCs w:val="22"/>
          <w:u w:val="single"/>
          <w:lang w:val="sk-SK"/>
        </w:rPr>
      </w:pPr>
    </w:p>
    <w:p w14:paraId="2DFD9118" w14:textId="77777777" w:rsidR="00AB1B5F" w:rsidRPr="00921EF2" w:rsidRDefault="00F52E7F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Pediatrická populácia</w:t>
      </w:r>
    </w:p>
    <w:p w14:paraId="73B41ECE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Monoterapia sa odporúča u detí mladších ako 3 roky, ale pred začatím liečby je potrebné zvážiť možný prínos oproti riziku poškodenia pečene alebo pankreatitídy u týchto pacientov (</w:t>
      </w:r>
      <w:r w:rsidR="005A7723" w:rsidRPr="00921EF2">
        <w:rPr>
          <w:sz w:val="22"/>
          <w:szCs w:val="22"/>
          <w:lang w:val="sk-SK"/>
        </w:rPr>
        <w:t xml:space="preserve">pozri </w:t>
      </w:r>
      <w:r w:rsidRPr="00921EF2">
        <w:rPr>
          <w:color w:val="000000"/>
          <w:sz w:val="22"/>
          <w:szCs w:val="22"/>
          <w:lang w:val="sk-SK"/>
        </w:rPr>
        <w:t xml:space="preserve">časť </w:t>
      </w:r>
      <w:r w:rsidR="005A7723" w:rsidRPr="00921EF2">
        <w:rPr>
          <w:color w:val="000000"/>
          <w:sz w:val="22"/>
          <w:szCs w:val="22"/>
          <w:lang w:val="sk-SK"/>
        </w:rPr>
        <w:t>4.4</w:t>
      </w:r>
      <w:r w:rsidRPr="00921EF2">
        <w:rPr>
          <w:sz w:val="22"/>
          <w:szCs w:val="22"/>
          <w:lang w:val="sk-SK"/>
        </w:rPr>
        <w:t>).</w:t>
      </w:r>
    </w:p>
    <w:p w14:paraId="600EC3EA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317EC43F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Treba sa vyhnúť súčasnému užívaniu salicylátov u detí mladších ako 3 roky kvôli riziku toxického poškodenia pečene.</w:t>
      </w:r>
    </w:p>
    <w:p w14:paraId="673B6F5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E2C31C0" w14:textId="77777777" w:rsidR="00F2286E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u w:val="single"/>
          <w:lang w:val="sk-SK"/>
        </w:rPr>
        <w:t>Renálna insuficiencia</w:t>
      </w:r>
    </w:p>
    <w:p w14:paraId="307D9354" w14:textId="77777777" w:rsidR="00977BF3" w:rsidRPr="00921EF2" w:rsidRDefault="00F2286E" w:rsidP="00B124D9">
      <w:pPr>
        <w:rPr>
          <w:i/>
          <w:i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 pacientov s renálnou insuficienciou môže byť potrebné dávku znížiť. Keďže monitorovanie plazmatickej koncentrácie môže byť zavádzajúce, dávk</w:t>
      </w:r>
      <w:r w:rsidR="005F52D5"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 </w:t>
      </w:r>
      <w:r w:rsidR="00EF1DBB" w:rsidRPr="00921EF2">
        <w:rPr>
          <w:sz w:val="22"/>
          <w:szCs w:val="22"/>
          <w:lang w:val="sk-SK"/>
        </w:rPr>
        <w:t>prispôsob</w:t>
      </w:r>
      <w:r w:rsidR="005F52D5" w:rsidRPr="00921EF2">
        <w:rPr>
          <w:sz w:val="22"/>
          <w:szCs w:val="22"/>
          <w:lang w:val="sk-SK"/>
        </w:rPr>
        <w:t>ujeme výsledkom</w:t>
      </w:r>
      <w:r w:rsidR="00977BF3" w:rsidRPr="00921EF2">
        <w:rPr>
          <w:sz w:val="22"/>
          <w:szCs w:val="22"/>
          <w:lang w:val="sk-SK"/>
        </w:rPr>
        <w:t xml:space="preserve"> klinické</w:t>
      </w:r>
      <w:r w:rsidR="005F52D5" w:rsidRPr="00921EF2">
        <w:rPr>
          <w:sz w:val="22"/>
          <w:szCs w:val="22"/>
          <w:lang w:val="sk-SK"/>
        </w:rPr>
        <w:t>ho</w:t>
      </w:r>
      <w:r w:rsidR="00977BF3" w:rsidRPr="00921EF2">
        <w:rPr>
          <w:sz w:val="22"/>
          <w:szCs w:val="22"/>
          <w:lang w:val="sk-SK"/>
        </w:rPr>
        <w:t xml:space="preserve"> monitorovani</w:t>
      </w:r>
      <w:r w:rsidR="005F52D5"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 xml:space="preserve"> (pozri </w:t>
      </w:r>
      <w:r w:rsidR="00376D3E" w:rsidRPr="00921EF2">
        <w:rPr>
          <w:sz w:val="22"/>
          <w:szCs w:val="22"/>
          <w:lang w:val="sk-SK"/>
        </w:rPr>
        <w:t xml:space="preserve">časť </w:t>
      </w:r>
      <w:r w:rsidR="00977BF3" w:rsidRPr="00921EF2">
        <w:rPr>
          <w:sz w:val="22"/>
          <w:szCs w:val="22"/>
          <w:lang w:val="sk-SK"/>
        </w:rPr>
        <w:t>5.2</w:t>
      </w:r>
      <w:r w:rsidR="00977BF3" w:rsidRPr="00921EF2">
        <w:rPr>
          <w:iCs/>
          <w:sz w:val="22"/>
          <w:szCs w:val="22"/>
          <w:lang w:val="sk-SK"/>
        </w:rPr>
        <w:t>).</w:t>
      </w:r>
    </w:p>
    <w:p w14:paraId="5C89CBAA" w14:textId="77777777" w:rsidR="00323CF0" w:rsidRPr="00921EF2" w:rsidRDefault="00323CF0" w:rsidP="00B124D9">
      <w:pPr>
        <w:rPr>
          <w:sz w:val="22"/>
          <w:szCs w:val="22"/>
          <w:lang w:val="sk-SK"/>
        </w:rPr>
      </w:pPr>
    </w:p>
    <w:p w14:paraId="2D5723E8" w14:textId="77777777" w:rsidR="00D017C1" w:rsidRPr="00921EF2" w:rsidRDefault="00D017C1" w:rsidP="00D017C1">
      <w:pPr>
        <w:pStyle w:val="Zarkazkladnhotextu"/>
        <w:tabs>
          <w:tab w:val="left" w:pos="0"/>
        </w:tabs>
        <w:rPr>
          <w:sz w:val="22"/>
          <w:szCs w:val="22"/>
          <w:u w:val="single"/>
        </w:rPr>
      </w:pPr>
      <w:r w:rsidRPr="00921EF2">
        <w:rPr>
          <w:sz w:val="22"/>
          <w:szCs w:val="22"/>
          <w:u w:val="single"/>
        </w:rPr>
        <w:t>Obsah sodíka</w:t>
      </w:r>
    </w:p>
    <w:p w14:paraId="03094B62" w14:textId="01FFB651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r w:rsidRPr="00921EF2">
        <w:rPr>
          <w:sz w:val="22"/>
          <w:szCs w:val="22"/>
          <w:lang w:val="sk-SK"/>
        </w:rPr>
        <w:t xml:space="preserve">Orfiril long 300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41,4 mg sodíka v kapsule, čo zodpovedá 2 %</w:t>
      </w:r>
    </w:p>
    <w:p w14:paraId="169DA8C0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21EF2">
        <w:rPr>
          <w:rFonts w:eastAsia="MS Mincho"/>
          <w:sz w:val="22"/>
          <w:szCs w:val="22"/>
          <w:lang w:val="sk-SK" w:eastAsia="sk-SK"/>
        </w:rPr>
        <w:t>WHO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395F7F6E" w14:textId="482B72F2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r w:rsidRPr="00921EF2">
        <w:rPr>
          <w:sz w:val="22"/>
          <w:szCs w:val="22"/>
          <w:lang w:val="sk-SK"/>
        </w:rPr>
        <w:t xml:space="preserve">Orfiril long 500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69,0 mg sodíka vo vrecku, čo zodpovedá 3,5 %</w:t>
      </w:r>
    </w:p>
    <w:p w14:paraId="1FA879DA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21EF2">
        <w:rPr>
          <w:rFonts w:eastAsia="MS Mincho"/>
          <w:sz w:val="22"/>
          <w:szCs w:val="22"/>
          <w:lang w:val="sk-SK" w:eastAsia="sk-SK"/>
        </w:rPr>
        <w:t>WHO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1D576056" w14:textId="11E0856D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r w:rsidRPr="00921EF2">
        <w:rPr>
          <w:sz w:val="22"/>
          <w:szCs w:val="22"/>
          <w:lang w:val="sk-SK"/>
        </w:rPr>
        <w:t xml:space="preserve">Orfiril long 1000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137,9 mg sodíka vo vrecku, čo zodpovedá 7 %</w:t>
      </w:r>
    </w:p>
    <w:p w14:paraId="3C17894D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21EF2">
        <w:rPr>
          <w:rFonts w:eastAsia="MS Mincho"/>
          <w:sz w:val="22"/>
          <w:szCs w:val="22"/>
          <w:lang w:val="sk-SK" w:eastAsia="sk-SK"/>
        </w:rPr>
        <w:t>WHO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6DFB2271" w14:textId="77777777" w:rsidR="00C40A38" w:rsidRPr="00921EF2" w:rsidRDefault="00C40A38" w:rsidP="00B124D9">
      <w:pPr>
        <w:rPr>
          <w:sz w:val="22"/>
          <w:szCs w:val="22"/>
          <w:lang w:val="sk-SK"/>
        </w:rPr>
      </w:pPr>
    </w:p>
    <w:p w14:paraId="5665303A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4.5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Liekové a iné interakcie</w:t>
      </w:r>
    </w:p>
    <w:p w14:paraId="02F7FF8F" w14:textId="77777777" w:rsidR="00793974" w:rsidRPr="00921EF2" w:rsidRDefault="00793974" w:rsidP="00B124D9">
      <w:pPr>
        <w:keepNext/>
        <w:rPr>
          <w:b/>
          <w:bCs/>
          <w:sz w:val="22"/>
          <w:szCs w:val="22"/>
          <w:lang w:val="sk-SK"/>
        </w:rPr>
      </w:pPr>
    </w:p>
    <w:p w14:paraId="7F13C64B" w14:textId="4B8ACFA4" w:rsidR="00977BF3" w:rsidRPr="00921EF2" w:rsidRDefault="00977BF3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 xml:space="preserve">Účinok </w:t>
      </w:r>
      <w:r w:rsidR="0023483F" w:rsidRPr="00921EF2">
        <w:rPr>
          <w:bCs/>
          <w:sz w:val="22"/>
          <w:szCs w:val="22"/>
          <w:u w:val="single"/>
          <w:lang w:val="sk-SK"/>
        </w:rPr>
        <w:t>valproát</w:t>
      </w:r>
      <w:r w:rsidRPr="00921EF2">
        <w:rPr>
          <w:bCs/>
          <w:sz w:val="22"/>
          <w:szCs w:val="22"/>
          <w:u w:val="single"/>
          <w:lang w:val="sk-SK"/>
        </w:rPr>
        <w:t>u na iné lieky</w:t>
      </w:r>
    </w:p>
    <w:p w14:paraId="34AB380A" w14:textId="77777777" w:rsidR="00793974" w:rsidRPr="00921EF2" w:rsidRDefault="00793974" w:rsidP="00B124D9">
      <w:pPr>
        <w:keepNext/>
        <w:rPr>
          <w:b/>
          <w:bCs/>
          <w:i/>
          <w:iCs/>
          <w:sz w:val="22"/>
          <w:szCs w:val="22"/>
          <w:lang w:val="sk-SK"/>
        </w:rPr>
      </w:pPr>
    </w:p>
    <w:p w14:paraId="2791ADBA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Neuroleptiká, MAO inhibítory, antidepresíva a benzodiazepíny</w:t>
      </w:r>
    </w:p>
    <w:p w14:paraId="1AC28719" w14:textId="77777777" w:rsidR="00977BF3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>môže zosilňovať účinok niektorých psychotropných látok ako sú neuroleptiká, inhibítory MAO, antidepresíva a benzodiazepíny. Odporúča sa preto klinické monitorovanie a úprava dávky podľa potreby.</w:t>
      </w:r>
    </w:p>
    <w:p w14:paraId="33C58B58" w14:textId="77777777" w:rsidR="00331A99" w:rsidRPr="00921EF2" w:rsidRDefault="00331A99" w:rsidP="00B124D9">
      <w:pPr>
        <w:rPr>
          <w:sz w:val="22"/>
          <w:szCs w:val="22"/>
          <w:lang w:val="sk-SK"/>
        </w:rPr>
      </w:pPr>
    </w:p>
    <w:p w14:paraId="3C7F90D3" w14:textId="77777777" w:rsidR="00331A99" w:rsidRPr="00921EF2" w:rsidRDefault="00331A99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Lítium</w:t>
      </w:r>
    </w:p>
    <w:p w14:paraId="04E3D10A" w14:textId="77777777" w:rsidR="00331A99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331A99" w:rsidRPr="00921EF2">
        <w:rPr>
          <w:sz w:val="22"/>
          <w:szCs w:val="22"/>
          <w:lang w:val="sk-SK"/>
        </w:rPr>
        <w:t>nemá žiadny účinok na hladinu lítia v sére.</w:t>
      </w:r>
    </w:p>
    <w:p w14:paraId="32D70CB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7F0F2556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Fenobarbital</w:t>
      </w:r>
    </w:p>
    <w:p w14:paraId="03184D2E" w14:textId="77777777" w:rsidR="00977BF3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>zvyšuje plazmatickú koncentráciu fenobarbitalu (v dôsledku inhibície hepatálneho katabolizmu) a môže viesť k sedácii, najmä u detí. Preto sa odporúča klinické monitorovanie počas prvých 15 dní kombinovanej liečby s okamžitým znížením dávky fenobarbitalu, ak dôjde k sedácii a stanovením hladiny fenobarbitalu v plazme, ak je nutné.</w:t>
      </w:r>
    </w:p>
    <w:p w14:paraId="565597C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CACA4BC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Primid</w:t>
      </w:r>
      <w:r w:rsidR="000218C2" w:rsidRPr="00921EF2">
        <w:rPr>
          <w:bCs/>
          <w:i/>
          <w:iCs/>
          <w:sz w:val="22"/>
          <w:szCs w:val="22"/>
          <w:u w:val="single"/>
          <w:lang w:val="sk-SK"/>
        </w:rPr>
        <w:t>ó</w:t>
      </w:r>
      <w:r w:rsidRPr="00921EF2">
        <w:rPr>
          <w:bCs/>
          <w:i/>
          <w:iCs/>
          <w:sz w:val="22"/>
          <w:szCs w:val="22"/>
          <w:u w:val="single"/>
          <w:lang w:val="sk-SK"/>
        </w:rPr>
        <w:t>n</w:t>
      </w:r>
    </w:p>
    <w:p w14:paraId="763878F1" w14:textId="77777777" w:rsidR="00977BF3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>zvyšuje hladinu primid</w:t>
      </w:r>
      <w:r w:rsidR="000218C2" w:rsidRPr="00921EF2">
        <w:rPr>
          <w:sz w:val="22"/>
          <w:szCs w:val="22"/>
          <w:lang w:val="sk-SK"/>
        </w:rPr>
        <w:t>ó</w:t>
      </w:r>
      <w:r w:rsidR="00977BF3" w:rsidRPr="00921EF2">
        <w:rPr>
          <w:sz w:val="22"/>
          <w:szCs w:val="22"/>
          <w:lang w:val="sk-SK"/>
        </w:rPr>
        <w:t>nu v plazme a zosilňuje jeho nežiaduce účinky (ako napr. sedatívne), tieto účinky pri dlhodobej liečbe prestanú. Klinické monitorovanie sa odporúča najmä na začiatku kombinovanej liečby s úpravou dávky, ak je potrebné.</w:t>
      </w:r>
    </w:p>
    <w:p w14:paraId="6F849BA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D552BDD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Fenytoín</w:t>
      </w:r>
    </w:p>
    <w:p w14:paraId="5780AC67" w14:textId="77777777" w:rsidR="00977BF3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 xml:space="preserve">znižuje celkovú hladinu fenytoínu v plazme. Okrem toho </w:t>
      </w: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>zvyšuje hladinu voľného fenytoínu a môže spôsobiť symptómy predávkovania (kyselina valproová uvoľňuje fenytoín z väzby na bielkoviny a znižuje jeho hepatálny katabolizmus). Preto sa odporúča klinické monitorovanie. V prípade, že sa stanovuje hladina fenytoínu v plazme, musí sa hodnotiť voľná forma.</w:t>
      </w:r>
    </w:p>
    <w:p w14:paraId="7E62D39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05B4DF3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Karbamazepín</w:t>
      </w:r>
    </w:p>
    <w:p w14:paraId="39CA28E3" w14:textId="2D7771E4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prípade podávania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s karbamazepínom sa zaznamenala klinická toxicita, pretože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môže zosilniť toxický účinok karbamazepínu.</w:t>
      </w:r>
    </w:p>
    <w:p w14:paraId="1B8F5C7E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Klinické monitorovanie sa odporúča najmä na začiatku kombinovanej liečby s úpravou dávky, ak je potrebné.</w:t>
      </w:r>
    </w:p>
    <w:p w14:paraId="65DC00F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441D4670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Lamotrigín</w:t>
      </w:r>
    </w:p>
    <w:p w14:paraId="32242090" w14:textId="77777777" w:rsidR="00977BF3" w:rsidRPr="00921EF2" w:rsidRDefault="00D017C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B11694" w:rsidRPr="00921EF2">
        <w:rPr>
          <w:sz w:val="22"/>
          <w:szCs w:val="22"/>
          <w:lang w:val="sk-SK"/>
        </w:rPr>
        <w:t>znižuje metabolizmus lamotrigínu a zvyšuje priemerný polčas lamotrigínu</w:t>
      </w:r>
      <w:r w:rsidR="001D1269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približne o dvojnásobok. Táto interakcia môže spôsobiť zvýšenú toxicitu lamotrigínu, najmä závažnú kožnú vyrážku. Preto sa odporúča klinické monitorovanie a v</w:t>
      </w:r>
      <w:r w:rsidR="00977BF3" w:rsidRPr="00921EF2">
        <w:rPr>
          <w:sz w:val="22"/>
          <w:szCs w:val="22"/>
          <w:lang w:val="sk-SK"/>
        </w:rPr>
        <w:t xml:space="preserve"> prípade potreby </w:t>
      </w:r>
      <w:r w:rsidR="00B11694" w:rsidRPr="00921EF2">
        <w:rPr>
          <w:sz w:val="22"/>
          <w:szCs w:val="22"/>
          <w:lang w:val="sk-SK"/>
        </w:rPr>
        <w:t>úprava dávky</w:t>
      </w:r>
      <w:r w:rsidR="00977BF3" w:rsidRPr="00921EF2">
        <w:rPr>
          <w:sz w:val="22"/>
          <w:szCs w:val="22"/>
          <w:lang w:val="sk-SK"/>
        </w:rPr>
        <w:t xml:space="preserve"> (dávka lamotrigínu sa zníži). </w:t>
      </w:r>
    </w:p>
    <w:p w14:paraId="2F02010A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7AEEB678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Zidovudín</w:t>
      </w:r>
    </w:p>
    <w:p w14:paraId="32DB11A1" w14:textId="5A590FA5" w:rsidR="00977BF3" w:rsidRPr="00921EF2" w:rsidRDefault="0023483F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Valproát</w:t>
      </w:r>
      <w:r w:rsidR="00977BF3" w:rsidRPr="00921EF2">
        <w:rPr>
          <w:rFonts w:ascii="Times New Roman" w:hAnsi="Times New Roman" w:cs="Times New Roman"/>
          <w:sz w:val="22"/>
          <w:szCs w:val="22"/>
        </w:rPr>
        <w:t xml:space="preserve"> môže zvýšiť hladinu zidovudínu v plazme až na toxickú.</w:t>
      </w:r>
    </w:p>
    <w:p w14:paraId="19402708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4D2613B4" w14:textId="77777777" w:rsidR="00B11694" w:rsidRPr="00921EF2" w:rsidRDefault="00B11694" w:rsidP="00B124D9">
      <w:pPr>
        <w:keepNext/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Felbamát</w:t>
      </w:r>
    </w:p>
    <w:p w14:paraId="48CECA44" w14:textId="77777777" w:rsidR="00B11694" w:rsidRPr="00921EF2" w:rsidRDefault="00B11694" w:rsidP="00B124D9">
      <w:pPr>
        <w:keepNext/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Kyselina valproová môže znížiť priemerný klírens felbamátu až o</w:t>
      </w:r>
      <w:r w:rsidR="00601BF0" w:rsidRPr="00921EF2">
        <w:rPr>
          <w:bCs/>
          <w:sz w:val="22"/>
          <w:szCs w:val="22"/>
          <w:lang w:val="sk-SK"/>
        </w:rPr>
        <w:t> </w:t>
      </w:r>
      <w:r w:rsidRPr="00921EF2">
        <w:rPr>
          <w:bCs/>
          <w:sz w:val="22"/>
          <w:szCs w:val="22"/>
          <w:lang w:val="sk-SK"/>
        </w:rPr>
        <w:t>16</w:t>
      </w:r>
      <w:r w:rsidR="00601BF0" w:rsidRPr="00921EF2">
        <w:rPr>
          <w:bCs/>
          <w:sz w:val="22"/>
          <w:szCs w:val="22"/>
          <w:lang w:val="sk-SK"/>
        </w:rPr>
        <w:t xml:space="preserve"> </w:t>
      </w:r>
      <w:r w:rsidRPr="00921EF2">
        <w:rPr>
          <w:bCs/>
          <w:sz w:val="22"/>
          <w:szCs w:val="22"/>
          <w:lang w:val="sk-SK"/>
        </w:rPr>
        <w:t>%.</w:t>
      </w:r>
    </w:p>
    <w:p w14:paraId="40325F6E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</w:p>
    <w:p w14:paraId="6783D8CC" w14:textId="77777777" w:rsidR="007406A5" w:rsidRPr="00921EF2" w:rsidRDefault="007406A5" w:rsidP="00B124D9">
      <w:pPr>
        <w:keepNext/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Olanzapín</w:t>
      </w:r>
    </w:p>
    <w:p w14:paraId="48210225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Kyselina valproová môže znížiť plazmatickú koncentráciu olanzapínu.</w:t>
      </w:r>
    </w:p>
    <w:p w14:paraId="355C1ED5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</w:p>
    <w:p w14:paraId="2A179F9B" w14:textId="77777777" w:rsidR="007406A5" w:rsidRPr="00921EF2" w:rsidRDefault="007406A5" w:rsidP="00B124D9">
      <w:pPr>
        <w:keepNext/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Rufinamid</w:t>
      </w:r>
    </w:p>
    <w:p w14:paraId="6752C90F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Kyselina valproová môže viesť k zvýšeniu plazmatickej hladiny rufinamidu. Toto zvýšenie je nezávislé od koncentrácie kyseliny valproovej. Opatrnosť je potrebná najmä u detí, keďže tento účinok je výraznejší u tejto populácie.</w:t>
      </w:r>
    </w:p>
    <w:p w14:paraId="6DF836CA" w14:textId="77777777" w:rsidR="001435ED" w:rsidRPr="00921EF2" w:rsidRDefault="001435ED" w:rsidP="00B124D9">
      <w:pPr>
        <w:rPr>
          <w:bCs/>
          <w:sz w:val="22"/>
          <w:szCs w:val="22"/>
          <w:lang w:val="sk-SK"/>
        </w:rPr>
      </w:pPr>
    </w:p>
    <w:p w14:paraId="665AC443" w14:textId="77777777" w:rsidR="001435ED" w:rsidRPr="00921EF2" w:rsidRDefault="001435E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Propofol</w:t>
      </w:r>
    </w:p>
    <w:p w14:paraId="4328394C" w14:textId="6A9CB677" w:rsidR="001435ED" w:rsidRPr="00921EF2" w:rsidRDefault="001435ED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Kyselina valproová môže viesť k zvýšeniu krvnej hladiny propofolu. Pri súbežnom podávaní s </w:t>
      </w:r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om je potrebné zvážiť zníženie dávky propofolu.</w:t>
      </w:r>
    </w:p>
    <w:p w14:paraId="792AF538" w14:textId="77777777" w:rsidR="00D5314E" w:rsidRPr="00921EF2" w:rsidRDefault="00D5314E" w:rsidP="00B124D9">
      <w:pPr>
        <w:rPr>
          <w:bCs/>
          <w:sz w:val="22"/>
          <w:szCs w:val="22"/>
          <w:lang w:val="sk-SK"/>
        </w:rPr>
      </w:pPr>
    </w:p>
    <w:p w14:paraId="000E52AB" w14:textId="77777777" w:rsidR="00D5314E" w:rsidRPr="00921EF2" w:rsidRDefault="002651FA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Nimodipín</w:t>
      </w:r>
    </w:p>
    <w:p w14:paraId="40861E32" w14:textId="353EB5B6" w:rsidR="002651FA" w:rsidRPr="00921EF2" w:rsidRDefault="00392AC5" w:rsidP="00B124D9">
      <w:pPr>
        <w:rPr>
          <w:bCs/>
          <w:sz w:val="22"/>
          <w:szCs w:val="22"/>
          <w:lang w:val="sk-SK"/>
        </w:rPr>
      </w:pPr>
      <w:r w:rsidRPr="00921EF2">
        <w:rPr>
          <w:color w:val="222222"/>
          <w:sz w:val="22"/>
          <w:szCs w:val="22"/>
        </w:rPr>
        <w:t xml:space="preserve">U pacientov súbežne liečených </w:t>
      </w:r>
      <w:r w:rsidR="0023483F" w:rsidRPr="00921EF2">
        <w:rPr>
          <w:color w:val="222222"/>
          <w:sz w:val="22"/>
          <w:szCs w:val="22"/>
        </w:rPr>
        <w:t>valproát</w:t>
      </w:r>
      <w:r w:rsidRPr="00921EF2">
        <w:rPr>
          <w:color w:val="222222"/>
          <w:sz w:val="22"/>
          <w:szCs w:val="22"/>
        </w:rPr>
        <w:t>om sodným a nimodipínom môže byť expozícia nimodipínu zvýšená o 50%. V prípade hypotenzie má byť preto dávka nimodipínu znížená.</w:t>
      </w:r>
    </w:p>
    <w:p w14:paraId="74414738" w14:textId="77777777" w:rsidR="00B11694" w:rsidRPr="00921EF2" w:rsidRDefault="00B11694" w:rsidP="00B124D9">
      <w:pPr>
        <w:rPr>
          <w:bCs/>
          <w:sz w:val="22"/>
          <w:szCs w:val="22"/>
          <w:lang w:val="sk-SK"/>
        </w:rPr>
      </w:pPr>
    </w:p>
    <w:p w14:paraId="07561BC5" w14:textId="41CDD7AA" w:rsidR="00977BF3" w:rsidRPr="00921EF2" w:rsidRDefault="00977BF3" w:rsidP="00B124D9">
      <w:pPr>
        <w:pStyle w:val="Nadpis6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21EF2">
        <w:rPr>
          <w:rFonts w:ascii="Times New Roman" w:hAnsi="Times New Roman" w:cs="Times New Roman"/>
          <w:b w:val="0"/>
          <w:sz w:val="22"/>
          <w:szCs w:val="22"/>
        </w:rPr>
        <w:t xml:space="preserve">Účinky iných liekov na </w:t>
      </w:r>
      <w:r w:rsidR="0023483F" w:rsidRPr="00921EF2">
        <w:rPr>
          <w:rFonts w:ascii="Times New Roman" w:hAnsi="Times New Roman" w:cs="Times New Roman"/>
          <w:b w:val="0"/>
          <w:sz w:val="22"/>
          <w:szCs w:val="22"/>
        </w:rPr>
        <w:t>valproát</w:t>
      </w:r>
    </w:p>
    <w:p w14:paraId="0D7401C0" w14:textId="77777777" w:rsidR="00AD5D3D" w:rsidRPr="00921EF2" w:rsidRDefault="00AD5D3D" w:rsidP="00B124D9">
      <w:pPr>
        <w:rPr>
          <w:sz w:val="22"/>
          <w:szCs w:val="22"/>
          <w:lang w:val="sk-SK"/>
        </w:rPr>
      </w:pPr>
    </w:p>
    <w:p w14:paraId="3673EA88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Antiepileptiká</w:t>
      </w:r>
    </w:p>
    <w:p w14:paraId="17F93DB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Antiepileptiká indukujúce hepatálne enzýmy (vrátane </w:t>
      </w:r>
      <w:r w:rsidRPr="00921EF2">
        <w:rPr>
          <w:bCs/>
          <w:sz w:val="22"/>
          <w:szCs w:val="22"/>
          <w:lang w:val="sk-SK"/>
        </w:rPr>
        <w:t>fenytoínu, fenobarbitalu, karbamazepínu</w:t>
      </w:r>
      <w:r w:rsidRPr="00921EF2">
        <w:rPr>
          <w:sz w:val="22"/>
          <w:szCs w:val="22"/>
          <w:lang w:val="sk-SK"/>
        </w:rPr>
        <w:t xml:space="preserve">) znižujú hladinu </w:t>
      </w:r>
      <w:r w:rsidR="00B11694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>v sére. V prípade kombinovanej liečby sa dávka musí upraviť na základe klinickej odpovede a sledovania plazmatických hladín.</w:t>
      </w:r>
    </w:p>
    <w:p w14:paraId="4FC0AAC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D64A1AF" w14:textId="0A2337F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>Na druhej strane</w:t>
      </w:r>
      <w:r w:rsidR="00DD447D" w:rsidRPr="00921EF2">
        <w:rPr>
          <w:sz w:val="22"/>
          <w:szCs w:val="22"/>
          <w:lang w:val="sk-SK"/>
        </w:rPr>
        <w:t>,</w:t>
      </w:r>
      <w:r w:rsidRPr="00921EF2">
        <w:rPr>
          <w:sz w:val="22"/>
          <w:szCs w:val="22"/>
          <w:lang w:val="sk-SK"/>
        </w:rPr>
        <w:t xml:space="preserve"> kombinácia </w:t>
      </w:r>
      <w:r w:rsidRPr="00921EF2">
        <w:rPr>
          <w:bCs/>
          <w:sz w:val="22"/>
          <w:szCs w:val="22"/>
          <w:lang w:val="sk-SK"/>
        </w:rPr>
        <w:t>felbamátu</w:t>
      </w:r>
      <w:r w:rsidRPr="00921EF2">
        <w:rPr>
          <w:sz w:val="22"/>
          <w:szCs w:val="22"/>
          <w:lang w:val="sk-SK"/>
        </w:rPr>
        <w:t xml:space="preserve"> 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="00B11694" w:rsidRPr="00921EF2">
        <w:rPr>
          <w:sz w:val="22"/>
          <w:szCs w:val="22"/>
          <w:lang w:val="sk-SK"/>
        </w:rPr>
        <w:t> znižuje klírens kyseliny valproovej o hodnoty v rozmedzí 22</w:t>
      </w:r>
      <w:r w:rsidR="00601BF0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% až 50</w:t>
      </w:r>
      <w:r w:rsidR="00601BF0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% a v dôsledku toho zvyšuje plazmatickú koncentráciu kyseliny valproovej</w:t>
      </w:r>
      <w:r w:rsidRPr="00921EF2">
        <w:rPr>
          <w:sz w:val="22"/>
          <w:szCs w:val="22"/>
          <w:lang w:val="sk-SK"/>
        </w:rPr>
        <w:t xml:space="preserve">. Je potrebné monitorovať hladinu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v krvi.</w:t>
      </w:r>
    </w:p>
    <w:p w14:paraId="089B870D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5198B458" w14:textId="77777777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Hladiny metabolitov kyseliny valproovej môžu byť zvýšené v prípade súbežného užívania s fenytoínom alebo fenobarbitalom. U pacientov liečených týmito dvoma liekmi sa musia preto starostlivo sledovať príznaky a prejavy hyperamonémie.</w:t>
      </w:r>
    </w:p>
    <w:p w14:paraId="6A4B7DC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24B452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Meflochín</w:t>
      </w:r>
    </w:p>
    <w:p w14:paraId="3426B21D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Meflochín</w:t>
      </w:r>
      <w:r w:rsidRPr="00921EF2">
        <w:rPr>
          <w:sz w:val="22"/>
          <w:szCs w:val="22"/>
          <w:lang w:val="sk-SK"/>
        </w:rPr>
        <w:t xml:space="preserve"> urýchľuje metabolizmus kyseliny valproovej a má konvulzívne účinky. V prípade kombinovanej liečby sa môžu preto vyskytnúť epileptické záchvaty.</w:t>
      </w:r>
    </w:p>
    <w:p w14:paraId="4B8BD3F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E502F08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Látky silne sa viažuce na bielkoviny</w:t>
      </w:r>
    </w:p>
    <w:p w14:paraId="7529207E" w14:textId="5CF0FD04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prípade súčasného použitia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a </w:t>
      </w:r>
      <w:r w:rsidRPr="00921EF2">
        <w:rPr>
          <w:bCs/>
          <w:sz w:val="22"/>
          <w:szCs w:val="22"/>
          <w:lang w:val="sk-SK"/>
        </w:rPr>
        <w:t>látok, ktoré sa silne viažu na bielkoviny</w:t>
      </w:r>
      <w:r w:rsidRPr="00921EF2">
        <w:rPr>
          <w:sz w:val="22"/>
          <w:szCs w:val="22"/>
          <w:lang w:val="sk-SK"/>
        </w:rPr>
        <w:t xml:space="preserve"> (napr.</w:t>
      </w:r>
      <w:r w:rsidR="00C22FD5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kyselina acetylsalicylová), sa môže zvýšiť hladina voľn</w:t>
      </w:r>
      <w:r w:rsidR="00B11694" w:rsidRPr="00921EF2">
        <w:rPr>
          <w:sz w:val="22"/>
          <w:szCs w:val="22"/>
          <w:lang w:val="sk-SK"/>
        </w:rPr>
        <w:t>ej kyseliny valproovej</w:t>
      </w:r>
      <w:r w:rsidRPr="00921EF2">
        <w:rPr>
          <w:sz w:val="22"/>
          <w:szCs w:val="22"/>
          <w:lang w:val="sk-SK"/>
        </w:rPr>
        <w:t xml:space="preserve"> v sére.</w:t>
      </w:r>
    </w:p>
    <w:p w14:paraId="45D072C4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</w:p>
    <w:p w14:paraId="68CF9FBE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Vitamín K dependentné antikoagulanciá</w:t>
      </w:r>
    </w:p>
    <w:p w14:paraId="0030345D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Sledovanie protrombínového času sa m</w:t>
      </w:r>
      <w:r w:rsidR="00EE662D" w:rsidRPr="00921EF2">
        <w:rPr>
          <w:sz w:val="22"/>
          <w:szCs w:val="22"/>
          <w:lang w:val="sk-SK"/>
        </w:rPr>
        <w:t>á</w:t>
      </w:r>
      <w:r w:rsidRPr="00921EF2">
        <w:rPr>
          <w:sz w:val="22"/>
          <w:szCs w:val="22"/>
          <w:lang w:val="sk-SK"/>
        </w:rPr>
        <w:t xml:space="preserve"> vykonávať v prípade súčasného užívania </w:t>
      </w:r>
      <w:r w:rsidRPr="00921EF2">
        <w:rPr>
          <w:bCs/>
          <w:sz w:val="22"/>
          <w:szCs w:val="22"/>
          <w:lang w:val="sk-SK"/>
        </w:rPr>
        <w:t>vitamín</w:t>
      </w:r>
      <w:r w:rsidR="00EE662D" w:rsidRPr="00921EF2">
        <w:rPr>
          <w:bCs/>
          <w:sz w:val="22"/>
          <w:szCs w:val="22"/>
          <w:lang w:val="sk-SK"/>
        </w:rPr>
        <w:t> </w:t>
      </w:r>
      <w:r w:rsidRPr="00921EF2">
        <w:rPr>
          <w:bCs/>
          <w:sz w:val="22"/>
          <w:szCs w:val="22"/>
          <w:lang w:val="sk-SK"/>
        </w:rPr>
        <w:t>K dependentných antikoagulancií.</w:t>
      </w:r>
    </w:p>
    <w:p w14:paraId="54557C5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E8F39E4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Cimetidín</w:t>
      </w:r>
      <w:r w:rsidRPr="00921EF2">
        <w:rPr>
          <w:i/>
          <w:sz w:val="22"/>
          <w:szCs w:val="22"/>
          <w:u w:val="single"/>
          <w:lang w:val="sk-SK"/>
        </w:rPr>
        <w:t xml:space="preserve"> alebo </w:t>
      </w:r>
      <w:r w:rsidRPr="00921EF2">
        <w:rPr>
          <w:bCs/>
          <w:i/>
          <w:sz w:val="22"/>
          <w:szCs w:val="22"/>
          <w:u w:val="single"/>
          <w:lang w:val="sk-SK"/>
        </w:rPr>
        <w:t>erytromycín</w:t>
      </w:r>
    </w:p>
    <w:p w14:paraId="07ACE1D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Hladina </w:t>
      </w:r>
      <w:r w:rsidR="005D2B83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>v sére sa môže zvýšiť (ako výsledok spomalenia metabolizmu v pečeni) v prípade súčasného užívania s </w:t>
      </w:r>
      <w:r w:rsidRPr="00921EF2">
        <w:rPr>
          <w:bCs/>
          <w:sz w:val="22"/>
          <w:szCs w:val="22"/>
          <w:lang w:val="sk-SK"/>
        </w:rPr>
        <w:t>cimetidínom</w:t>
      </w:r>
      <w:r w:rsidRPr="00921EF2">
        <w:rPr>
          <w:sz w:val="22"/>
          <w:szCs w:val="22"/>
          <w:lang w:val="sk-SK"/>
        </w:rPr>
        <w:t xml:space="preserve"> alebo </w:t>
      </w:r>
      <w:r w:rsidRPr="00921EF2">
        <w:rPr>
          <w:bCs/>
          <w:sz w:val="22"/>
          <w:szCs w:val="22"/>
          <w:lang w:val="sk-SK"/>
        </w:rPr>
        <w:t>erytromycínom</w:t>
      </w:r>
      <w:r w:rsidRPr="00921EF2">
        <w:rPr>
          <w:sz w:val="22"/>
          <w:szCs w:val="22"/>
          <w:lang w:val="sk-SK"/>
        </w:rPr>
        <w:t>.</w:t>
      </w:r>
    </w:p>
    <w:p w14:paraId="0E60618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28B2867" w14:textId="77777777" w:rsidR="00AD5D3D" w:rsidRPr="00921EF2" w:rsidRDefault="00AD5D3D" w:rsidP="00B124D9">
      <w:pPr>
        <w:keepNext/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Karbapenémy</w:t>
      </w:r>
    </w:p>
    <w:p w14:paraId="4F99CA83" w14:textId="77777777" w:rsidR="00197E9E" w:rsidRPr="00921EF2" w:rsidRDefault="001E2589" w:rsidP="00B124D9">
      <w:pPr>
        <w:rPr>
          <w:b/>
          <w:bCs/>
          <w:i/>
          <w:iCs/>
          <w:sz w:val="22"/>
          <w:szCs w:val="22"/>
          <w:lang w:val="sk-SK"/>
        </w:rPr>
      </w:pPr>
      <w:r w:rsidRPr="00921EF2">
        <w:rPr>
          <w:bCs/>
          <w:iCs/>
          <w:sz w:val="22"/>
          <w:szCs w:val="22"/>
          <w:lang w:val="sk-SK"/>
        </w:rPr>
        <w:t xml:space="preserve">Karbapenémy (panipeném, meropeném, imipeném, atď.): </w:t>
      </w:r>
      <w:r w:rsidR="00197E9E" w:rsidRPr="00921EF2">
        <w:rPr>
          <w:bCs/>
          <w:iCs/>
          <w:sz w:val="22"/>
          <w:szCs w:val="22"/>
          <w:lang w:val="sk-SK"/>
        </w:rPr>
        <w:t>Súčasné podávanie kyseliny valproovej a karbapenémov spôsobilo zníženie hladiny kyseliny valproovej v krvi (60-100 % zníženie v priebehu dvoch dní). Z dôvodu rýchleho nástupu a rozsahu tohto poklesu sa súčasné podávanie karbapenémov u pacientov stabilizovaných na kyseline valproovej nepovažuje za zvládnuteľné, a preto sa mu je nutné vyhnúť (pozri časť 4.4).</w:t>
      </w:r>
      <w:r w:rsidR="003222A0" w:rsidRPr="00921EF2">
        <w:rPr>
          <w:bCs/>
          <w:iCs/>
          <w:sz w:val="22"/>
          <w:szCs w:val="22"/>
          <w:lang w:val="sk-SK"/>
        </w:rPr>
        <w:t xml:space="preserve"> Ak nie je možné vyhnúť sa liečbe týmito antibiotikami, je nutné dôkladne sledovať hladinu </w:t>
      </w:r>
      <w:r w:rsidR="00361C4F" w:rsidRPr="00921EF2">
        <w:rPr>
          <w:sz w:val="22"/>
          <w:szCs w:val="22"/>
          <w:lang w:val="sk-SK"/>
        </w:rPr>
        <w:t xml:space="preserve">Orfiril long </w:t>
      </w:r>
      <w:r w:rsidR="003222A0" w:rsidRPr="00921EF2">
        <w:rPr>
          <w:bCs/>
          <w:iCs/>
          <w:sz w:val="22"/>
          <w:szCs w:val="22"/>
          <w:lang w:val="sk-SK"/>
        </w:rPr>
        <w:t>v krvi.</w:t>
      </w:r>
    </w:p>
    <w:p w14:paraId="59FAEE49" w14:textId="77777777" w:rsidR="00977BF3" w:rsidRPr="00921EF2" w:rsidRDefault="00977BF3" w:rsidP="00B124D9">
      <w:pPr>
        <w:rPr>
          <w:b/>
          <w:bCs/>
          <w:sz w:val="22"/>
          <w:szCs w:val="22"/>
          <w:u w:val="single"/>
          <w:lang w:val="sk-SK"/>
        </w:rPr>
      </w:pPr>
    </w:p>
    <w:p w14:paraId="0A94598A" w14:textId="77777777" w:rsidR="00AD5D3D" w:rsidRPr="00921EF2" w:rsidRDefault="00AD5D3D" w:rsidP="005C64C0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Rifampicín</w:t>
      </w:r>
    </w:p>
    <w:p w14:paraId="783BAFA3" w14:textId="7E36018F" w:rsidR="00B07B09" w:rsidRPr="00921EF2" w:rsidRDefault="00B07B0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Rifampicín môže znižovať hladinu </w:t>
      </w:r>
      <w:r w:rsidR="005D2B83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 xml:space="preserve">v krvi, čoho dôsledkom je nedostatočný terapeutický účinok. Preto pri súčasnom podávaní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s rifampicínom sa môže vyžadovať úprava dávky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u.</w:t>
      </w:r>
    </w:p>
    <w:p w14:paraId="24CDFC5F" w14:textId="77777777" w:rsidR="007406A5" w:rsidRPr="00921EF2" w:rsidRDefault="007406A5" w:rsidP="00B124D9">
      <w:pPr>
        <w:rPr>
          <w:b/>
          <w:bCs/>
          <w:sz w:val="22"/>
          <w:szCs w:val="22"/>
          <w:u w:val="single"/>
          <w:lang w:val="sk-SK"/>
        </w:rPr>
      </w:pPr>
    </w:p>
    <w:p w14:paraId="0D57A19B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Inhibítory proteázy</w:t>
      </w:r>
    </w:p>
    <w:p w14:paraId="75DF69A8" w14:textId="4A233C4B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Inhibítory proteázy ako napríklad lopinavir, ritonavir znižujú pri súbežnej liečbe sérové hladiny </w:t>
      </w:r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u.</w:t>
      </w:r>
    </w:p>
    <w:p w14:paraId="16E554A2" w14:textId="77777777" w:rsidR="007406A5" w:rsidRPr="00921EF2" w:rsidRDefault="007406A5" w:rsidP="00B124D9">
      <w:pPr>
        <w:rPr>
          <w:b/>
          <w:bCs/>
          <w:sz w:val="22"/>
          <w:szCs w:val="22"/>
          <w:lang w:val="sk-SK"/>
        </w:rPr>
      </w:pPr>
    </w:p>
    <w:p w14:paraId="76EC9567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Cholestyramín</w:t>
      </w:r>
    </w:p>
    <w:p w14:paraId="6D2C865A" w14:textId="0677EEE8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Cholestyramín môže viesť pri súbežnom podávaní k zníženiu plazmatických hladín </w:t>
      </w:r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u.</w:t>
      </w:r>
    </w:p>
    <w:p w14:paraId="602B274D" w14:textId="77777777" w:rsidR="00AD5D3D" w:rsidRPr="00921EF2" w:rsidRDefault="00AD5D3D" w:rsidP="00B124D9">
      <w:pPr>
        <w:rPr>
          <w:b/>
          <w:bCs/>
          <w:sz w:val="22"/>
          <w:szCs w:val="22"/>
          <w:u w:val="single"/>
          <w:lang w:val="sk-SK"/>
        </w:rPr>
      </w:pPr>
    </w:p>
    <w:p w14:paraId="728F9182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Produkty obsahujúce estrogén, vrátane hormonálnej antikoncepcie obsahujúcej estrogén</w:t>
      </w:r>
    </w:p>
    <w:p w14:paraId="08CE0E95" w14:textId="6DCC67E9" w:rsidR="00AD5D3D" w:rsidRPr="00921EF2" w:rsidRDefault="00AD5D3D" w:rsidP="00B124D9">
      <w:pPr>
        <w:rPr>
          <w:color w:val="222222"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Estrogény sú induktormi izoforiem</w:t>
      </w:r>
      <w:r w:rsidRPr="00921EF2">
        <w:rPr>
          <w:b/>
          <w:bCs/>
          <w:sz w:val="22"/>
          <w:szCs w:val="22"/>
          <w:lang w:val="sk-SK"/>
        </w:rPr>
        <w:t xml:space="preserve"> </w:t>
      </w:r>
      <w:r w:rsidRPr="00921EF2">
        <w:rPr>
          <w:color w:val="222222"/>
          <w:sz w:val="22"/>
          <w:szCs w:val="22"/>
          <w:lang w:val="sk-SK"/>
        </w:rPr>
        <w:t xml:space="preserve">UDP-glukuronozyltransferázy (UGT), ktoré sa podieľajú na glukuronidácii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u, a môžu zvýšiť klírens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u, čo môže mať za následok zníženie sérovej koncentrácie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 a potenciálne znížiť účinnosť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 (pozri časť 4.4). Treba zvážiť sledovanie hladiny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>u v sére.</w:t>
      </w:r>
    </w:p>
    <w:p w14:paraId="64122266" w14:textId="77777777" w:rsidR="00AD5D3D" w:rsidRPr="00921EF2" w:rsidRDefault="00AD5D3D" w:rsidP="00B124D9">
      <w:pPr>
        <w:rPr>
          <w:color w:val="222222"/>
          <w:sz w:val="22"/>
          <w:szCs w:val="22"/>
          <w:lang w:val="sk-SK"/>
        </w:rPr>
      </w:pPr>
    </w:p>
    <w:p w14:paraId="26BE8CB5" w14:textId="55BB55FF" w:rsidR="00AD5D3D" w:rsidRPr="00921EF2" w:rsidRDefault="00AD5D3D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Naopak,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 xml:space="preserve"> neindukuje hepatálne enzýmy, takže neznižuje účinok </w:t>
      </w:r>
      <w:r w:rsidRPr="00921EF2">
        <w:rPr>
          <w:sz w:val="22"/>
          <w:szCs w:val="22"/>
          <w:lang w:val="cs-CZ"/>
        </w:rPr>
        <w:t>estrogén-progestagénov</w:t>
      </w:r>
      <w:r w:rsidRPr="00921EF2">
        <w:rPr>
          <w:sz w:val="22"/>
          <w:szCs w:val="22"/>
        </w:rPr>
        <w:t xml:space="preserve"> u žien užívajúcich hormonálnu antikoncepciu.</w:t>
      </w:r>
    </w:p>
    <w:p w14:paraId="7728B393" w14:textId="77777777" w:rsidR="00B07B09" w:rsidRPr="00921EF2" w:rsidRDefault="00B07B09" w:rsidP="00B124D9">
      <w:pPr>
        <w:rPr>
          <w:b/>
          <w:bCs/>
          <w:sz w:val="22"/>
          <w:szCs w:val="22"/>
          <w:u w:val="single"/>
          <w:lang w:val="sk-SK"/>
        </w:rPr>
      </w:pPr>
    </w:p>
    <w:p w14:paraId="6F7DF49A" w14:textId="77777777" w:rsidR="00977BF3" w:rsidRPr="00921EF2" w:rsidRDefault="00977BF3" w:rsidP="00B124D9">
      <w:pPr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Ďalšie interakcie</w:t>
      </w:r>
    </w:p>
    <w:p w14:paraId="4E1DAEDB" w14:textId="77777777" w:rsidR="001C373A" w:rsidRPr="00921EF2" w:rsidRDefault="001C373A" w:rsidP="00B124D9">
      <w:pPr>
        <w:rPr>
          <w:bCs/>
          <w:sz w:val="22"/>
          <w:szCs w:val="22"/>
          <w:u w:val="single"/>
          <w:lang w:val="sk-SK"/>
        </w:rPr>
      </w:pPr>
    </w:p>
    <w:p w14:paraId="63C9EB96" w14:textId="1AC2DCE8" w:rsidR="00B07B09" w:rsidRPr="00921EF2" w:rsidDel="002E35A1" w:rsidRDefault="00B07B09" w:rsidP="005C64C0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Súčasné podávanie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a topiramátu </w:t>
      </w:r>
      <w:r w:rsidR="007406A5" w:rsidRPr="00921EF2">
        <w:rPr>
          <w:sz w:val="22"/>
          <w:szCs w:val="22"/>
          <w:lang w:val="sk-SK"/>
        </w:rPr>
        <w:t xml:space="preserve">alebo acetazolamidu </w:t>
      </w:r>
      <w:r w:rsidRPr="00921EF2">
        <w:rPr>
          <w:sz w:val="22"/>
          <w:szCs w:val="22"/>
          <w:lang w:val="sk-SK"/>
        </w:rPr>
        <w:t>bolo spojené s encefalopatiou a/alebo hyperamon</w:t>
      </w:r>
      <w:r w:rsidR="00086374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>émiou. Pacienti liečení týmito dvomi liečivami majú byť pozorne monitorovaní na prítomnosť príznakov a symptómov hyperamon</w:t>
      </w:r>
      <w:r w:rsidR="00086374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>emickej encefalopatie.</w:t>
      </w:r>
    </w:p>
    <w:p w14:paraId="545FC623" w14:textId="77777777" w:rsidR="00BB30F2" w:rsidRPr="00921EF2" w:rsidRDefault="00BB30F2" w:rsidP="00B124D9">
      <w:pPr>
        <w:pStyle w:val="Zarkazkladnhotextu"/>
        <w:rPr>
          <w:sz w:val="22"/>
          <w:szCs w:val="22"/>
        </w:rPr>
      </w:pPr>
    </w:p>
    <w:p w14:paraId="79411516" w14:textId="77777777" w:rsidR="00BB30F2" w:rsidRPr="00921EF2" w:rsidRDefault="00BB30F2" w:rsidP="00B124D9">
      <w:pPr>
        <w:pStyle w:val="Zarkazkladnhotextu"/>
        <w:rPr>
          <w:i/>
          <w:sz w:val="22"/>
          <w:szCs w:val="22"/>
          <w:u w:val="single"/>
        </w:rPr>
      </w:pPr>
      <w:r w:rsidRPr="00921EF2">
        <w:rPr>
          <w:i/>
          <w:sz w:val="22"/>
          <w:szCs w:val="22"/>
          <w:u w:val="single"/>
        </w:rPr>
        <w:t>Kvetiapín</w:t>
      </w:r>
    </w:p>
    <w:p w14:paraId="50D2EE2B" w14:textId="58C12814" w:rsidR="00BB30F2" w:rsidRPr="00921EF2" w:rsidRDefault="00BB30F2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Súbežné užívanie </w:t>
      </w:r>
      <w:r w:rsidR="0023483F" w:rsidRPr="00921EF2">
        <w:rPr>
          <w:sz w:val="22"/>
          <w:szCs w:val="22"/>
        </w:rPr>
        <w:t>valproát</w:t>
      </w:r>
      <w:r w:rsidR="00A478C5" w:rsidRPr="00921EF2">
        <w:rPr>
          <w:sz w:val="22"/>
          <w:szCs w:val="22"/>
        </w:rPr>
        <w:t xml:space="preserve">u </w:t>
      </w:r>
      <w:r w:rsidRPr="00921EF2">
        <w:rPr>
          <w:sz w:val="22"/>
          <w:szCs w:val="22"/>
        </w:rPr>
        <w:t>a kvetiapínu môže zvýšiť riziko neutropénie/leukopénie.</w:t>
      </w:r>
    </w:p>
    <w:p w14:paraId="4707C728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107013B7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4.6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="00DC180D" w:rsidRPr="00921EF2">
        <w:rPr>
          <w:rFonts w:ascii="Times New Roman" w:hAnsi="Times New Roman" w:cs="Times New Roman"/>
          <w:sz w:val="22"/>
          <w:szCs w:val="22"/>
        </w:rPr>
        <w:t>Fertilita, g</w:t>
      </w:r>
      <w:r w:rsidRPr="00921EF2">
        <w:rPr>
          <w:rFonts w:ascii="Times New Roman" w:hAnsi="Times New Roman" w:cs="Times New Roman"/>
          <w:sz w:val="22"/>
          <w:szCs w:val="22"/>
        </w:rPr>
        <w:t>ravidita a laktácia</w:t>
      </w:r>
    </w:p>
    <w:p w14:paraId="36B10037" w14:textId="77777777" w:rsidR="007406A5" w:rsidRPr="00921EF2" w:rsidRDefault="007406A5" w:rsidP="00B124D9">
      <w:pPr>
        <w:pStyle w:val="Nadpis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3F620251" w14:textId="77777777" w:rsidR="007406A5" w:rsidRPr="00921EF2" w:rsidRDefault="00361C4F" w:rsidP="00B124D9">
      <w:pPr>
        <w:rPr>
          <w:rFonts w:eastAsia="Calibri"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7406A5" w:rsidRPr="00921EF2">
        <w:rPr>
          <w:sz w:val="22"/>
          <w:szCs w:val="22"/>
          <w:lang w:val="sk-SK"/>
        </w:rPr>
        <w:t>sa nemá podávať dievčatám v detskom veku, dospievajúcim dievčatám, ženám vo fertilnom veku a gravidným ženám. Použiť sa smie iba v prípade, ak nie sú účinné alternatívne spôsoby liečby alebo ich pacientka netoleruje.</w:t>
      </w:r>
      <w:r w:rsidR="007406A5" w:rsidRPr="00921EF2">
        <w:rPr>
          <w:rFonts w:eastAsia="Calibri"/>
          <w:sz w:val="22"/>
          <w:szCs w:val="22"/>
          <w:lang w:val="sk-SK"/>
        </w:rPr>
        <w:t xml:space="preserve"> Ženy vo fertilnom veku musia počas liečby používať účinnú antikoncepciu.</w:t>
      </w:r>
      <w:r w:rsidR="007406A5" w:rsidRPr="00921EF2">
        <w:rPr>
          <w:sz w:val="22"/>
          <w:szCs w:val="22"/>
          <w:lang w:val="sk-SK"/>
        </w:rPr>
        <w:t xml:space="preserve"> U žien, ktoré plánujú graviditu, sa musí pred počatím vynaložiť všetko úsilie prejsť na vhodnú alternatívnu liečbu, ak je to možné</w:t>
      </w:r>
      <w:r w:rsidR="007406A5" w:rsidRPr="00921EF2">
        <w:rPr>
          <w:rFonts w:eastAsia="Calibri"/>
          <w:sz w:val="22"/>
          <w:szCs w:val="22"/>
          <w:lang w:val="sk-SK"/>
        </w:rPr>
        <w:t>.</w:t>
      </w:r>
    </w:p>
    <w:p w14:paraId="2DFFAA14" w14:textId="77777777" w:rsidR="000218C2" w:rsidRPr="00921EF2" w:rsidRDefault="000218C2" w:rsidP="00B124D9">
      <w:pPr>
        <w:rPr>
          <w:sz w:val="22"/>
          <w:szCs w:val="22"/>
          <w:lang w:val="sk-SK" w:eastAsia="en-GB"/>
        </w:rPr>
      </w:pPr>
    </w:p>
    <w:p w14:paraId="442C9423" w14:textId="77777777" w:rsidR="000218C2" w:rsidRPr="00921EF2" w:rsidRDefault="000218C2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 xml:space="preserve">Ženy vo fertilnom veku </w:t>
      </w:r>
    </w:p>
    <w:p w14:paraId="7D3BD881" w14:textId="77777777" w:rsidR="000218C2" w:rsidRPr="00921EF2" w:rsidRDefault="000218C2" w:rsidP="00B124D9">
      <w:pPr>
        <w:rPr>
          <w:rFonts w:eastAsia="Calibri"/>
          <w:i/>
          <w:sz w:val="22"/>
          <w:szCs w:val="22"/>
          <w:lang w:val="sk-SK"/>
        </w:rPr>
      </w:pPr>
    </w:p>
    <w:p w14:paraId="7BEDCC3D" w14:textId="77777777" w:rsidR="000218C2" w:rsidRPr="00921EF2" w:rsidRDefault="000218C2" w:rsidP="00B124D9">
      <w:pPr>
        <w:rPr>
          <w:rFonts w:eastAsia="Calibri"/>
          <w:i/>
          <w:sz w:val="22"/>
          <w:szCs w:val="22"/>
          <w:u w:val="single"/>
          <w:lang w:val="sk-SK"/>
        </w:rPr>
      </w:pPr>
      <w:r w:rsidRPr="00921EF2">
        <w:rPr>
          <w:rFonts w:eastAsia="Calibri"/>
          <w:i/>
          <w:sz w:val="22"/>
          <w:szCs w:val="22"/>
          <w:u w:val="single"/>
          <w:lang w:val="sk-SK"/>
        </w:rPr>
        <w:t>Produkty obsahujúce estrogén</w:t>
      </w:r>
    </w:p>
    <w:p w14:paraId="6CC13845" w14:textId="09B79689" w:rsidR="000218C2" w:rsidRPr="00921EF2" w:rsidRDefault="000218C2" w:rsidP="00B124D9">
      <w:pPr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 xml:space="preserve">Produkty obsahujúce estrogén, vrátane hormonálnej antikoncepcie obsahujúcej estrogén, môžu zvýšiť klírens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 xml:space="preserve">u, čo môže mať za následok zníženie koncentrácie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>u v sére a potenciálne znížiť jeho účinnosť. (pozri časti 4.4 a 4.5).</w:t>
      </w:r>
    </w:p>
    <w:p w14:paraId="4B988F80" w14:textId="77777777" w:rsidR="007406A5" w:rsidRPr="00921EF2" w:rsidRDefault="007406A5" w:rsidP="00B124D9">
      <w:pPr>
        <w:rPr>
          <w:rFonts w:eastAsia="Calibri"/>
          <w:sz w:val="22"/>
          <w:szCs w:val="22"/>
          <w:lang w:val="sk-SK"/>
        </w:rPr>
      </w:pPr>
    </w:p>
    <w:p w14:paraId="36C5F2A6" w14:textId="79ED1622" w:rsidR="007406A5" w:rsidRPr="00921EF2" w:rsidRDefault="007406A5" w:rsidP="00B124D9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Gravidita a riziko spojené s užívaním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</w:t>
      </w:r>
    </w:p>
    <w:p w14:paraId="62FA9947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2D723DE" w14:textId="22B32531" w:rsidR="00296C1D" w:rsidRPr="00921EF2" w:rsidRDefault="0023483F" w:rsidP="00B1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bipolárnej poruchy</w:t>
      </w:r>
      <w:r w:rsidR="00296C1D" w:rsidRPr="00921EF2">
        <w:rPr>
          <w:rFonts w:eastAsia="Calibri"/>
          <w:sz w:val="22"/>
          <w:szCs w:val="22"/>
          <w:lang w:eastAsia="en-US"/>
        </w:rPr>
        <w:t xml:space="preserve"> 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počas tehotenstva.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epilepsie počas tehotenstva, pokiaľ existuje iná alternatívna liečba epilepsie.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u žien vo fertilnom veku, pokiaľ nie sú splnené podmienky Programu </w:t>
      </w:r>
      <w:r w:rsidR="00746D2E" w:rsidRPr="00921EF2">
        <w:rPr>
          <w:rFonts w:eastAsia="Calibri"/>
          <w:sz w:val="22"/>
          <w:szCs w:val="22"/>
          <w:lang w:val="sk-SK" w:eastAsia="en-US"/>
        </w:rPr>
        <w:t xml:space="preserve">prevencie </w:t>
      </w:r>
      <w:r w:rsidR="00296C1D" w:rsidRPr="00921EF2">
        <w:rPr>
          <w:rFonts w:eastAsia="Calibri"/>
          <w:sz w:val="22"/>
          <w:szCs w:val="22"/>
          <w:lang w:val="sk-SK" w:eastAsia="en-US"/>
        </w:rPr>
        <w:t>tehotenstva (pozri časti 4.3 a 4.4).</w:t>
      </w:r>
    </w:p>
    <w:p w14:paraId="5287C4C7" w14:textId="77777777" w:rsidR="00296C1D" w:rsidRPr="00921EF2" w:rsidRDefault="00296C1D" w:rsidP="00B124D9">
      <w:pPr>
        <w:keepNext/>
        <w:rPr>
          <w:i/>
          <w:sz w:val="22"/>
          <w:szCs w:val="22"/>
          <w:lang w:val="sk-SK"/>
        </w:rPr>
      </w:pPr>
    </w:p>
    <w:p w14:paraId="3D94EAEC" w14:textId="486EA58F" w:rsidR="000E5248" w:rsidRPr="00B124D9" w:rsidRDefault="007406A5" w:rsidP="000E5248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Užívanie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samotného alebo v kombinácii s inými </w:t>
      </w:r>
      <w:r w:rsidR="000E5248">
        <w:rPr>
          <w:sz w:val="22"/>
          <w:szCs w:val="22"/>
          <w:lang w:val="sk-SK"/>
        </w:rPr>
        <w:t>antiepileptikami</w:t>
      </w:r>
      <w:r w:rsidRPr="00921EF2">
        <w:rPr>
          <w:sz w:val="22"/>
          <w:szCs w:val="22"/>
          <w:lang w:val="sk-SK"/>
        </w:rPr>
        <w:t xml:space="preserve"> je</w:t>
      </w:r>
      <w:r w:rsidR="000E5248">
        <w:rPr>
          <w:sz w:val="22"/>
          <w:szCs w:val="22"/>
          <w:lang w:val="sk-SK"/>
        </w:rPr>
        <w:t xml:space="preserve"> často</w:t>
      </w:r>
      <w:r w:rsidRPr="00921EF2">
        <w:rPr>
          <w:sz w:val="22"/>
          <w:szCs w:val="22"/>
          <w:lang w:val="sk-SK"/>
        </w:rPr>
        <w:t xml:space="preserve"> spojené s poruchami u detí po narodení. Dostupné údaje naznačujú, že pri antiepileptickej polyterapii s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om je vyššie riziko výskytu kongenitálnych malformácií ako pri užívaní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samotného.</w:t>
      </w:r>
      <w:r w:rsidR="000E5248">
        <w:rPr>
          <w:sz w:val="22"/>
          <w:szCs w:val="22"/>
          <w:lang w:val="sk-SK"/>
        </w:rPr>
        <w:t xml:space="preserve"> </w:t>
      </w:r>
      <w:r w:rsidR="000E5248" w:rsidRPr="000E5248">
        <w:rPr>
          <w:sz w:val="22"/>
          <w:szCs w:val="22"/>
          <w:lang w:val="sk-SK" w:eastAsia="en-GB"/>
        </w:rPr>
        <w:t>Bolo preukázané, že valproát prechádza cez placentárnu bariéru ako u zvierat tak aj u ľudí (pozri časť 5.2).</w:t>
      </w:r>
    </w:p>
    <w:p w14:paraId="15053767" w14:textId="77777777" w:rsidR="007406A5" w:rsidRPr="001B59B9" w:rsidRDefault="007406A5" w:rsidP="00B124D9">
      <w:pPr>
        <w:rPr>
          <w:sz w:val="22"/>
          <w:lang w:val="sk-SK"/>
        </w:rPr>
      </w:pPr>
    </w:p>
    <w:p w14:paraId="042B31D4" w14:textId="77777777" w:rsidR="007406A5" w:rsidRPr="00921EF2" w:rsidRDefault="007406A5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Kongenitálne malformácie</w:t>
      </w:r>
    </w:p>
    <w:p w14:paraId="08234977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CC61D97" w14:textId="57D24899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Údaje získané z metaanalýzy (vrátane registrov a kohortových štúdií) ukázali, že 10,73 % detí matiek s epilepsiou, ktoré užívali v priebehu gravidity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samotný, majú vrodené poruchy (95 % CI: 8,16 - 13,29). Jedná sa o vyššie riziko závažných malformácií ako u bežnej populácie, u ktorej sa toto riziko pohybuje okolo 2-3 %. Riziko je závislé od dávky, avšak nie je možné stanoviť prahovú dávku, pod ktorou by žiadne riziko neexistovalo.</w:t>
      </w:r>
    </w:p>
    <w:p w14:paraId="676A0F02" w14:textId="3937F3C5" w:rsidR="007406A5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Dostupné údaje ukazujú zvýšený výskyt menej závažných aj ťažkých malformácií. Medzi najčatejšie typy malformácií patria poruchy neurálnej trubice, dysmorfizmus tváre, rázštep pery a podnebia, kraniostenóza, poruchy srdca, obličiek a urogenitálneho traktu, poruchy končatín (vrátane bilaterálnej aplázie rádia) a viacpočetné anomálie zahŕňajúce rôzne telesné systémy.</w:t>
      </w:r>
    </w:p>
    <w:p w14:paraId="6ACEA1CE" w14:textId="77777777" w:rsidR="000E5248" w:rsidRPr="00B124D9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 xml:space="preserve">Expozícia valproátu </w:t>
      </w:r>
      <w:r w:rsidRPr="000E5248">
        <w:rPr>
          <w:i/>
          <w:sz w:val="22"/>
          <w:szCs w:val="22"/>
          <w:lang w:val="sk-SK"/>
        </w:rPr>
        <w:t>in utero</w:t>
      </w:r>
      <w:r w:rsidRPr="000E5248">
        <w:rPr>
          <w:sz w:val="22"/>
          <w:szCs w:val="22"/>
          <w:lang w:val="sk-SK"/>
        </w:rPr>
        <w:t xml:space="preserve"> môže spôsobiť poruchy sluchu alebo stratu sluchu spôsobenú malformáciami uší a nosa (sekundárny účinok) a/alebo priamou toxicitou na funkciu sluchu. Prípady preukázali unilaterálnu a bilaterálnu stratu sluchu alebo problémy so sluchom. Výsledky neboli vo všetkých prípadoch hlásené. Vo väčšine nahlásených výsledkov nedošlo k náprave.</w:t>
      </w:r>
    </w:p>
    <w:p w14:paraId="14225320" w14:textId="77777777" w:rsidR="000E5248" w:rsidRPr="00921EF2" w:rsidRDefault="000E5248" w:rsidP="00B124D9">
      <w:pPr>
        <w:rPr>
          <w:sz w:val="22"/>
          <w:szCs w:val="22"/>
          <w:lang w:val="sk-SK"/>
        </w:rPr>
      </w:pPr>
    </w:p>
    <w:p w14:paraId="03DBACB3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1D7CF9BD" w14:textId="77777777" w:rsidR="007406A5" w:rsidRPr="00921EF2" w:rsidRDefault="007406A5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lastRenderedPageBreak/>
        <w:t>Vývinové poruchy</w:t>
      </w:r>
    </w:p>
    <w:p w14:paraId="5E858FAA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4E55BF4" w14:textId="338B597E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Údaje naznačujú, že expozícia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 utero</w:t>
      </w:r>
      <w:r w:rsidRPr="00921EF2">
        <w:rPr>
          <w:sz w:val="22"/>
          <w:szCs w:val="22"/>
          <w:lang w:val="sk-SK"/>
        </w:rPr>
        <w:t xml:space="preserve"> môže mať nežiaduce účinky na duševný a fyzický vývin exponovaných detí.</w:t>
      </w:r>
      <w:r w:rsidRPr="00921EF2">
        <w:rPr>
          <w:sz w:val="22"/>
          <w:szCs w:val="22"/>
          <w:lang w:val="sk-SK"/>
        </w:rPr>
        <w:t/>
      </w:r>
      <w:r w:rsidRPr="00921EF2">
        <w:rPr>
          <w:sz w:val="22"/>
          <w:szCs w:val="22"/>
          <w:lang w:val="sk-SK"/>
        </w:rPr>
        <w:t xml:space="preserve"> Zdá sa, že riziko je závislé od dávky, avšak na základe dostupných údajov nemožno stanoviť prahovú dávku, pod ktorou riziko nehrozí. Presné gestačné obdobie tohto rizika je nejasné a možnosť rizika v priebehu celej gravidity nemožno vylúčiť.</w:t>
      </w:r>
    </w:p>
    <w:p w14:paraId="2E056866" w14:textId="1C440546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Štúdie u detí predškolského veku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 utero</w:t>
      </w:r>
      <w:r w:rsidRPr="00921EF2">
        <w:rPr>
          <w:sz w:val="22"/>
          <w:szCs w:val="22"/>
          <w:lang w:val="sk-SK"/>
        </w:rPr>
        <w:t xml:space="preserve"> ukazujú, že až 30-40 % vykazuje oneskorenie v ranom vývine, ako napr. rozprávanie a neskôr chôdza, znížené intelektuálne schopnosti, slabé jazykové zručnosti (rozprávanie a porozumenie) a problémy s pamäťou.</w:t>
      </w:r>
    </w:p>
    <w:p w14:paraId="2082D2D8" w14:textId="71D6677D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Inteligenčný kvocient (IQ) meraný u detí v školskom veku (6 rokov), ktoré boli vystavené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 utero</w:t>
      </w:r>
      <w:r w:rsidRPr="00921EF2">
        <w:rPr>
          <w:sz w:val="22"/>
          <w:szCs w:val="22"/>
          <w:lang w:val="sk-SK"/>
        </w:rPr>
        <w:t xml:space="preserve">, bol v priemere o 7-10 bodov nižší ako u detí, ktoré boli vystavené iným antiepileptikám. Hoci pôsobenie ďalších faktorov nemožno vylúčiť, existujú dôkazy, že riziko mentálnej poruchy u detí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môže byť nezávislé na materskom IQ.</w:t>
      </w:r>
    </w:p>
    <w:p w14:paraId="55DF6E60" w14:textId="77777777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 dispozícii sú iba obmedzené údaje o dlhodobých výsledkoch.</w:t>
      </w:r>
    </w:p>
    <w:p w14:paraId="779A44C5" w14:textId="2DE67CC5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Dostupné údaje naznačujú, že deti vystavené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 utero</w:t>
      </w:r>
      <w:r w:rsidRPr="00921EF2">
        <w:rPr>
          <w:sz w:val="22"/>
          <w:szCs w:val="22"/>
          <w:lang w:val="sk-SK"/>
        </w:rPr>
        <w:t xml:space="preserve"> majú zvýšené riziko porúch autistického spektra (približne trojnásobne) a detského autizmu (približne päťnásobne) v porovnaní s bežnou populáciou zahrnutou v štúdii.</w:t>
      </w:r>
    </w:p>
    <w:p w14:paraId="744D28FB" w14:textId="77D9CC15" w:rsidR="007406A5" w:rsidRPr="00921EF2" w:rsidRDefault="007406A5" w:rsidP="00B124D9">
      <w:pPr>
        <w:rPr>
          <w:noProof/>
          <w:sz w:val="22"/>
          <w:szCs w:val="22"/>
          <w:lang w:val="sk-SK" w:eastAsia="en-GB"/>
        </w:rPr>
      </w:pPr>
      <w:r w:rsidRPr="00921EF2">
        <w:rPr>
          <w:sz w:val="22"/>
          <w:szCs w:val="22"/>
          <w:lang w:val="sk-SK"/>
        </w:rPr>
        <w:t xml:space="preserve">Obmedzené údaje naznačujú, že u detí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 utero</w:t>
      </w:r>
      <w:r w:rsidRPr="00921EF2">
        <w:rPr>
          <w:sz w:val="22"/>
          <w:szCs w:val="22"/>
          <w:lang w:val="sk-SK"/>
        </w:rPr>
        <w:t xml:space="preserve"> sa môžu s väčšou pravdepodobnosťou vyvinúť príznaky </w:t>
      </w:r>
      <w:r w:rsidRPr="00921EF2">
        <w:rPr>
          <w:noProof/>
          <w:sz w:val="22"/>
          <w:szCs w:val="22"/>
          <w:lang w:val="sk-SK" w:eastAsia="en-GB"/>
        </w:rPr>
        <w:t>poruchy pozornosti/hyperaktivity (ADHD, Attention Deficit Hyperactivity Disorder).</w:t>
      </w:r>
    </w:p>
    <w:p w14:paraId="4F2A2948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1F7E91FD" w14:textId="77777777" w:rsidR="007406A5" w:rsidRPr="00921EF2" w:rsidRDefault="007406A5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Dievčatá v detskom veku, dospievajúce dievčatá a ženy vo fertilnom veku (pozri vyššie a časť 4.4)</w:t>
      </w:r>
    </w:p>
    <w:p w14:paraId="55B360CA" w14:textId="77777777" w:rsidR="007406A5" w:rsidRPr="00921EF2" w:rsidRDefault="007406A5" w:rsidP="00B124D9">
      <w:pPr>
        <w:rPr>
          <w:i/>
          <w:sz w:val="22"/>
          <w:szCs w:val="22"/>
          <w:lang w:val="sk-SK"/>
        </w:rPr>
      </w:pPr>
    </w:p>
    <w:p w14:paraId="5D9502F7" w14:textId="77777777" w:rsidR="007406A5" w:rsidRPr="00921EF2" w:rsidRDefault="00296C1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 xml:space="preserve">Pokiaľ </w:t>
      </w:r>
      <w:r w:rsidR="007406A5" w:rsidRPr="00921EF2">
        <w:rPr>
          <w:i/>
          <w:sz w:val="22"/>
          <w:szCs w:val="22"/>
          <w:u w:val="single"/>
          <w:lang w:val="sk-SK"/>
        </w:rPr>
        <w:t xml:space="preserve">žena plánuje </w:t>
      </w:r>
      <w:r w:rsidRPr="00921EF2">
        <w:rPr>
          <w:i/>
          <w:sz w:val="22"/>
          <w:szCs w:val="22"/>
          <w:u w:val="single"/>
          <w:lang w:val="sk-SK"/>
        </w:rPr>
        <w:t>tehotenstvo</w:t>
      </w:r>
    </w:p>
    <w:p w14:paraId="389FB8EA" w14:textId="33F0508D" w:rsidR="00296C1D" w:rsidRPr="00921EF2" w:rsidRDefault="00296C1D" w:rsidP="00B124D9">
      <w:pPr>
        <w:ind w:left="72" w:right="179"/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Pokiaľ žena s epilepsiou plánuje otehotnieť, musí špecialista so skúsenosťami s liečbou epilepsie prehodnotiť liečbu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 a zvážiť alternatívne možnosti liečby. Má sa vynaložiť všetko úsilie na prechod na vhodnú alternatívnu liečbu pred počatím a vysadením antikoncepcie (pozri časť 4.</w:t>
      </w:r>
      <w:r w:rsidR="00DC0C31" w:rsidRPr="00921EF2">
        <w:rPr>
          <w:rFonts w:eastAsia="Calibri"/>
          <w:sz w:val="22"/>
          <w:szCs w:val="22"/>
          <w:lang w:val="sk-SK" w:eastAsia="en-US"/>
        </w:rPr>
        <w:t>4</w:t>
      </w:r>
      <w:r w:rsidRPr="00921EF2">
        <w:rPr>
          <w:rFonts w:eastAsia="Calibri"/>
          <w:sz w:val="22"/>
          <w:szCs w:val="22"/>
          <w:lang w:val="sk-SK" w:eastAsia="en-US"/>
        </w:rPr>
        <w:t xml:space="preserve">). Ak nie je zmena liečby možná, má žena dostať ďalšie poradenstvo týkajúce sa rizík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u pre nenarodené dieťa, ktoré jej dopomôžu k informovanému rozhodnutiu o plánovaní rodiny. </w:t>
      </w:r>
    </w:p>
    <w:p w14:paraId="6285B429" w14:textId="643758AE" w:rsidR="00296C1D" w:rsidRPr="00921EF2" w:rsidRDefault="00296C1D" w:rsidP="00B124D9">
      <w:pPr>
        <w:ind w:left="72" w:right="179"/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Pokiaľ žena s bipolárnou poruchou</w:t>
      </w:r>
      <w:r w:rsidRPr="00921EF2">
        <w:rPr>
          <w:rFonts w:eastAsia="Calibri"/>
          <w:sz w:val="22"/>
          <w:szCs w:val="22"/>
          <w:lang w:eastAsia="en-US"/>
        </w:rPr>
        <w:t xml:space="preserve"> </w:t>
      </w:r>
      <w:r w:rsidRPr="00921EF2">
        <w:rPr>
          <w:rFonts w:eastAsia="Calibri"/>
          <w:sz w:val="22"/>
          <w:szCs w:val="22"/>
          <w:lang w:val="sk-SK" w:eastAsia="en-US"/>
        </w:rPr>
        <w:t xml:space="preserve">plánuje otehotnieť, musí sa poradiť so špecialistom so skúsenosťami s liečbou bipolárnej poruchy a liečba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 má byť prerušená a podľa potreby nahradená alternatívnou liečbou v období pred počatím a pred vysadením antikoncepcie.</w:t>
      </w:r>
    </w:p>
    <w:p w14:paraId="3E5D69DA" w14:textId="77777777" w:rsidR="00296C1D" w:rsidRPr="00921EF2" w:rsidRDefault="00296C1D" w:rsidP="00B124D9">
      <w:pPr>
        <w:rPr>
          <w:i/>
          <w:sz w:val="22"/>
          <w:szCs w:val="22"/>
          <w:lang w:val="sk-SK"/>
        </w:rPr>
      </w:pPr>
    </w:p>
    <w:p w14:paraId="20B2ABAF" w14:textId="77777777" w:rsidR="007406A5" w:rsidRPr="00921EF2" w:rsidRDefault="007406A5" w:rsidP="00B124D9">
      <w:pPr>
        <w:numPr>
          <w:ilvl w:val="0"/>
          <w:numId w:val="19"/>
        </w:numPr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>Tonicko-klonické záchvaty a status epilepticus s hypoxiou matky počas gravidity môžu predstavovať určité riziko smrti pre matku a plod.</w:t>
      </w:r>
    </w:p>
    <w:p w14:paraId="01712A1A" w14:textId="777B9F76" w:rsidR="007406A5" w:rsidRPr="00921EF2" w:rsidRDefault="007406A5" w:rsidP="00B124D9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žien, ktoré plánujú graviditu alebo sú gravidné, sa musí liečba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 prehodnotiť.</w:t>
      </w:r>
    </w:p>
    <w:p w14:paraId="6D68CC88" w14:textId="77777777" w:rsidR="007406A5" w:rsidRPr="00921EF2" w:rsidRDefault="007406A5" w:rsidP="00B124D9">
      <w:pPr>
        <w:numPr>
          <w:ilvl w:val="0"/>
          <w:numId w:val="19"/>
        </w:numPr>
        <w:ind w:right="179"/>
        <w:rPr>
          <w:rFonts w:eastAsia="Calibri"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 žien, ktoré plánujú graviditu, sa musí pred počatím vynaložiť všetko úsilie prejsť na vhodnú alternatívnu liečbu, ak je to možné</w:t>
      </w:r>
      <w:r w:rsidRPr="00921EF2">
        <w:rPr>
          <w:rFonts w:eastAsia="Calibri"/>
          <w:sz w:val="22"/>
          <w:szCs w:val="22"/>
          <w:lang w:val="sk-SK"/>
        </w:rPr>
        <w:t>.</w:t>
      </w:r>
    </w:p>
    <w:p w14:paraId="687B7A3C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640D4CB3" w14:textId="55A15625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Liečba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om sa nesmie ukončiť bez opätovného prehodnotenia pomeru prínosov a rizík liečby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om pre pacientku lekárom so skúsenosťami s liečbou epilepsie alebo bipolárnej poruchy. Ak liečba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 počas gravidity po dôkladnom posúdení rizík a prínosov pokračuje, odporúča sa:</w:t>
      </w:r>
    </w:p>
    <w:p w14:paraId="6D44675C" w14:textId="4020E993" w:rsidR="007406A5" w:rsidRPr="00921EF2" w:rsidRDefault="007406A5" w:rsidP="00B124D9">
      <w:pPr>
        <w:ind w:left="993" w:hanging="360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 xml:space="preserve">Použiť najnižšiu účinnú dávku a rozdeliť dennú dávku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na niekoľko menších dávok užitých v priebehu celého dňa. Použitie formy s predĺženým uvoľňovaním môže byť vhodnejšie ako iné liekové formy, aby sa zabránilo vysokým hodnotám plazmatickej koncentrácie.</w:t>
      </w:r>
    </w:p>
    <w:p w14:paraId="743E29AF" w14:textId="23652EC8" w:rsidR="007406A5" w:rsidRPr="00921EF2" w:rsidRDefault="007406A5" w:rsidP="00B124D9">
      <w:pPr>
        <w:tabs>
          <w:tab w:val="left" w:pos="993"/>
        </w:tabs>
        <w:ind w:left="993" w:hanging="360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 xml:space="preserve">Dopĺňanie folátov pred graviditou môže znížiť riziko porúch neurálnej trubice, ktoré sa môžu vyskytnúť u všetkých gravidít. Avšak dostupné údaje nepotvrdzujú, že foláty bránia výskytu vrodených porúch alebo malformácií spôsobených podávaním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v priebehu gravidity.</w:t>
      </w:r>
    </w:p>
    <w:p w14:paraId="0FD202C2" w14:textId="77777777" w:rsidR="007406A5" w:rsidRPr="00921EF2" w:rsidRDefault="007406A5" w:rsidP="00B124D9">
      <w:pPr>
        <w:ind w:left="993" w:hanging="360"/>
        <w:rPr>
          <w:sz w:val="22"/>
          <w:szCs w:val="22"/>
          <w:lang w:val="sk-SK" w:eastAsia="hu-HU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>Zaviesť špecializované prenatálne sledovanie za účelom zistenia možného výskytu porúch neurálnej trubice alebo iných malformácií.</w:t>
      </w:r>
      <w:r w:rsidRPr="00921EF2">
        <w:rPr>
          <w:sz w:val="22"/>
          <w:szCs w:val="22"/>
          <w:lang w:val="sk-SK" w:eastAsia="hu-HU"/>
        </w:rPr>
        <w:t xml:space="preserve"> </w:t>
      </w:r>
    </w:p>
    <w:p w14:paraId="06C07A69" w14:textId="77777777" w:rsidR="00361C4F" w:rsidRPr="00921EF2" w:rsidRDefault="00361C4F" w:rsidP="00B124D9">
      <w:pPr>
        <w:ind w:left="993" w:hanging="360"/>
        <w:rPr>
          <w:sz w:val="22"/>
          <w:szCs w:val="22"/>
          <w:lang w:val="sk-SK"/>
        </w:rPr>
      </w:pPr>
    </w:p>
    <w:p w14:paraId="2124CEE3" w14:textId="77777777" w:rsidR="00A77E96" w:rsidRPr="00921EF2" w:rsidRDefault="00A77E96" w:rsidP="00B124D9">
      <w:pPr>
        <w:rPr>
          <w:rFonts w:eastAsia="Calibri"/>
          <w:i/>
          <w:sz w:val="22"/>
          <w:szCs w:val="22"/>
          <w:u w:val="single"/>
          <w:lang w:val="sk-SK" w:eastAsia="en-US"/>
        </w:rPr>
      </w:pPr>
      <w:r w:rsidRPr="00921EF2">
        <w:rPr>
          <w:rFonts w:eastAsia="Calibri"/>
          <w:i/>
          <w:sz w:val="22"/>
          <w:szCs w:val="22"/>
          <w:u w:val="single"/>
          <w:lang w:val="sk-SK" w:eastAsia="en-US"/>
        </w:rPr>
        <w:t>Tehotné ženy</w:t>
      </w:r>
    </w:p>
    <w:p w14:paraId="1C218B8C" w14:textId="1FBDB5CD" w:rsidR="00A77E96" w:rsidRPr="00921EF2" w:rsidRDefault="0023483F" w:rsidP="00B124D9">
      <w:pPr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lastRenderedPageBreak/>
        <w:t>Valproát</w:t>
      </w:r>
      <w:r w:rsidR="00A77E96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bipolárnej poruchy počas tehotenstva.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A77E96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epilepsie počas tehotenstva, pokiaľ existuje vhodná alternatívna liečba (pozri časti 4.3 a 4.4). </w:t>
      </w:r>
    </w:p>
    <w:p w14:paraId="4DF32C5C" w14:textId="4BF4338B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Ak pacientka užívajúca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 otehotnie, musí byť okamžite odoslaná k lekárovi, ktorý zváži alternatívne možnosti liečby. Počas tehotenstva môžu materské tonicko-klonické záchvaty a </w:t>
      </w:r>
      <w:r w:rsidRPr="00921EF2">
        <w:rPr>
          <w:rFonts w:eastAsia="Calibri"/>
          <w:i/>
          <w:sz w:val="22"/>
          <w:szCs w:val="22"/>
          <w:lang w:val="sk-SK" w:eastAsia="en-US"/>
        </w:rPr>
        <w:t>status epilepticus</w:t>
      </w:r>
      <w:r w:rsidRPr="00921EF2">
        <w:rPr>
          <w:rFonts w:eastAsia="Calibri"/>
          <w:sz w:val="22"/>
          <w:szCs w:val="22"/>
          <w:lang w:val="sk-SK" w:eastAsia="en-US"/>
        </w:rPr>
        <w:t xml:space="preserve"> s hypoxiou predstavovať veľké riziko úmrtia pre matku a nenarodené dieťa.</w:t>
      </w:r>
    </w:p>
    <w:p w14:paraId="04F9AF99" w14:textId="27948644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Pokiaľ tehotná žena, napriek známym rizikám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u počas tehotenstva a po dôkladnom zvážení alternatívnej liečby, musí za výnimočných okolností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 užívať, odporúča sa:</w:t>
      </w:r>
    </w:p>
    <w:p w14:paraId="79D242D1" w14:textId="77777777" w:rsidR="00A77E96" w:rsidRPr="00921EF2" w:rsidRDefault="00A77E96" w:rsidP="00B124D9">
      <w:pPr>
        <w:numPr>
          <w:ilvl w:val="0"/>
          <w:numId w:val="22"/>
        </w:num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užívať najnižšiu účinnú dávku a rozdeliť dennú dávku do niekoľkých malých dávok užívaných v priebehu dňa. Použitie liekovej formy s predĺženým uvoľňovaním môže byť výhodnejšie ako iné liekové formy, aby sa zabránilo vysokým vrcholovým plazmatickým koncentráciám (pozri časť 4.2).</w:t>
      </w:r>
    </w:p>
    <w:p w14:paraId="125A3BA6" w14:textId="74F929BB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Všetky pacientky, ktoré boli vystavené účinku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u počas tehotenstva a taktiež ich partneri musia byť odoslaní k špecialistovi so skúsenosťami v teratológii kvôli zhodnoteniu situácie a poradenstvu ohľadne exponovaného tehotenstva. Musí sa uskutočniť špecializované pre</w:t>
      </w:r>
      <w:r w:rsidR="00921EF2">
        <w:rPr>
          <w:rFonts w:eastAsia="Calibri"/>
          <w:sz w:val="22"/>
          <w:szCs w:val="22"/>
          <w:lang w:val="sk-SK" w:eastAsia="en-US"/>
        </w:rPr>
        <w:t>natálne monitorovanie, aby sa z</w:t>
      </w:r>
      <w:r w:rsidRPr="00921EF2">
        <w:rPr>
          <w:rFonts w:eastAsia="Calibri"/>
          <w:sz w:val="22"/>
          <w:szCs w:val="22"/>
          <w:lang w:val="sk-SK" w:eastAsia="en-US"/>
        </w:rPr>
        <w:t xml:space="preserve">istil možný výskyt defektov neurálnej trubice alebo iných malformácií. Podávanie kyseliny listovej pred otehotnením môže znížiť riziko defektov neurálnej trubice, ktoré sa môžu vyskytnúť u všetkých tehotenstiev. Dostupné údaje však nenaznačujú, že je podávanie kyseliny listovej prevenciou výskytu vrodených porúch alebo malformácií spôsobených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om.</w:t>
      </w:r>
    </w:p>
    <w:p w14:paraId="2AAEFC30" w14:textId="77777777" w:rsidR="007406A5" w:rsidRPr="00921EF2" w:rsidRDefault="007406A5" w:rsidP="00B124D9">
      <w:pPr>
        <w:rPr>
          <w:rFonts w:eastAsia="Calibri"/>
          <w:i/>
          <w:sz w:val="22"/>
          <w:szCs w:val="22"/>
          <w:lang w:val="sk-SK"/>
        </w:rPr>
      </w:pPr>
    </w:p>
    <w:p w14:paraId="160D8FB6" w14:textId="77777777" w:rsidR="007406A5" w:rsidRPr="00921EF2" w:rsidRDefault="007406A5" w:rsidP="00B124D9">
      <w:pPr>
        <w:rPr>
          <w:sz w:val="22"/>
          <w:szCs w:val="22"/>
          <w:u w:val="single"/>
          <w:lang w:val="sk-SK" w:eastAsia="en-US"/>
        </w:rPr>
      </w:pPr>
      <w:r w:rsidRPr="00921EF2">
        <w:rPr>
          <w:sz w:val="22"/>
          <w:szCs w:val="22"/>
          <w:u w:val="single"/>
          <w:lang w:val="sk-SK" w:eastAsia="en-US"/>
        </w:rPr>
        <w:t>Riziko u novorodencov</w:t>
      </w:r>
    </w:p>
    <w:p w14:paraId="214EFD87" w14:textId="15C2DC3A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gravidity, boli hlásené s frekvenciou výskytu veľmi zriedkavo prípady hemoragického syndrómu. Tento hemoragický syndróm súvisí s trombocytopéniou, hypofibrinogenémiou a/alebo znížením ďalších koagulačných faktorov. Taktiež bola hlásená afibrinogenémia, ktorá môže byť fatálna. Avšak tento syndróm je potrebné odlíšiť od poklesu faktorov vitamínu K vyvolaných fenobarbitalom a enzymatickými induktormi. Preto sa musí u novorodencov vyšetriť počet krvných doštičiek, hladina fibronogénu v plazme, koagulačné faktory a urobiť koagulačné testy.</w:t>
      </w:r>
    </w:p>
    <w:p w14:paraId="6E60F7A9" w14:textId="6F87691F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tretieho trimestra gravidity, boli hlásené prípady hypoglykémie.</w:t>
      </w:r>
    </w:p>
    <w:p w14:paraId="190A0383" w14:textId="38D8B21D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gravidity, boli hlásené prípady hypotyreózy.</w:t>
      </w:r>
    </w:p>
    <w:p w14:paraId="30356878" w14:textId="6C35D315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tretieho trimestra gravidity, sa môže vyskytnúť syndróm z vysadenia (ako je najmä nepokoj, podráždenosť, nadmerná vzrušivosť, nervozita, hyperkinéza, tonické poruchy, tras, kŕče a poruchy kŕmenia).</w:t>
      </w:r>
    </w:p>
    <w:p w14:paraId="0BF5A00F" w14:textId="77777777" w:rsidR="007406A5" w:rsidRPr="00921EF2" w:rsidRDefault="007406A5" w:rsidP="005C64C0">
      <w:pPr>
        <w:rPr>
          <w:sz w:val="22"/>
          <w:szCs w:val="22"/>
          <w:lang w:val="sk-SK"/>
        </w:rPr>
      </w:pPr>
    </w:p>
    <w:p w14:paraId="690A1878" w14:textId="715629F4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u w:val="single"/>
          <w:lang w:val="sk-SK"/>
        </w:rPr>
        <w:t>Na zvieratách</w:t>
      </w:r>
      <w:r w:rsidRPr="00921EF2">
        <w:rPr>
          <w:sz w:val="22"/>
          <w:szCs w:val="22"/>
          <w:lang w:val="sk-SK"/>
        </w:rPr>
        <w:t xml:space="preserve">: teratogénny účinok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bol preukázaný na myšiach, potkanoch a králikoch.</w:t>
      </w:r>
    </w:p>
    <w:p w14:paraId="43599633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5EE3FDDD" w14:textId="77777777" w:rsidR="007406A5" w:rsidRPr="00921EF2" w:rsidRDefault="007406A5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Dojčenie</w:t>
      </w:r>
    </w:p>
    <w:p w14:paraId="6B8EF13B" w14:textId="77777777" w:rsidR="007406A5" w:rsidRPr="00921EF2" w:rsidRDefault="007406A5" w:rsidP="00B124D9">
      <w:pPr>
        <w:keepNext/>
        <w:rPr>
          <w:sz w:val="22"/>
          <w:szCs w:val="22"/>
          <w:lang w:val="sk-SK"/>
        </w:rPr>
      </w:pPr>
    </w:p>
    <w:p w14:paraId="65C95E7D" w14:textId="11947014" w:rsidR="007406A5" w:rsidRPr="00921EF2" w:rsidRDefault="0023483F" w:rsidP="00B124D9">
      <w:pPr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>Valproát</w:t>
      </w:r>
      <w:r w:rsidR="007406A5" w:rsidRPr="00921EF2">
        <w:rPr>
          <w:sz w:val="22"/>
          <w:szCs w:val="22"/>
          <w:lang w:val="sk-SK" w:eastAsia="en-US"/>
        </w:rPr>
        <w:t xml:space="preserve"> sa vylučuje do materského mlieka s koncentráciou v rozmedzí od 1 % do 10 % hladiny v sére matky. U kojených novorodencov/dojčiat liečených žien boli hlásené hematologické poruchy (pozri časť 4.8).</w:t>
      </w:r>
    </w:p>
    <w:p w14:paraId="793ADD90" w14:textId="069C5B41" w:rsidR="007406A5" w:rsidRPr="00921EF2" w:rsidRDefault="007406A5" w:rsidP="00B124D9">
      <w:pPr>
        <w:rPr>
          <w:sz w:val="22"/>
          <w:szCs w:val="22"/>
          <w:lang w:val="sk-SK" w:eastAsia="en-US"/>
        </w:rPr>
      </w:pPr>
      <w:r w:rsidRPr="00921EF2">
        <w:rPr>
          <w:color w:val="000000"/>
          <w:sz w:val="22"/>
          <w:szCs w:val="22"/>
          <w:lang w:val="sk-SK"/>
        </w:rPr>
        <w:t xml:space="preserve">Rozhodnutie, či ukončiť dojčenie alebo ukončiť/prerušiť liečbu </w:t>
      </w:r>
      <w:r w:rsidR="00FF18AE" w:rsidRPr="005E746B">
        <w:rPr>
          <w:sz w:val="22"/>
          <w:lang w:val="sk-SK"/>
        </w:rPr>
        <w:t>Orfiril</w:t>
      </w:r>
      <w:r w:rsidR="00926E70" w:rsidRPr="005E746B">
        <w:rPr>
          <w:sz w:val="22"/>
          <w:lang w:val="sk-SK"/>
        </w:rPr>
        <w:t>om</w:t>
      </w:r>
      <w:r w:rsidR="00FF18AE" w:rsidRPr="005E746B">
        <w:rPr>
          <w:sz w:val="22"/>
          <w:lang w:val="sk-SK"/>
        </w:rPr>
        <w:t xml:space="preserve"> long </w:t>
      </w:r>
      <w:r w:rsidRPr="00921EF2">
        <w:rPr>
          <w:color w:val="000000"/>
          <w:sz w:val="22"/>
          <w:szCs w:val="22"/>
          <w:lang w:val="sk-SK"/>
        </w:rPr>
        <w:t>sa má urobiť po zvážení prínosu dojčenia pre dieťa oproti prínosu liečby pre ženu.</w:t>
      </w:r>
    </w:p>
    <w:p w14:paraId="6252DCB0" w14:textId="77777777" w:rsidR="007406A5" w:rsidRPr="00921EF2" w:rsidRDefault="007406A5" w:rsidP="00B124D9">
      <w:pPr>
        <w:rPr>
          <w:sz w:val="22"/>
          <w:szCs w:val="22"/>
          <w:lang w:val="sk-SK" w:eastAsia="en-US"/>
        </w:rPr>
      </w:pPr>
    </w:p>
    <w:p w14:paraId="1FE9440D" w14:textId="77777777" w:rsidR="007406A5" w:rsidRPr="00921EF2" w:rsidRDefault="007406A5" w:rsidP="00B124D9">
      <w:pPr>
        <w:keepNext/>
        <w:rPr>
          <w:rFonts w:eastAsia="Calibri"/>
          <w:sz w:val="22"/>
          <w:szCs w:val="22"/>
          <w:u w:val="single"/>
          <w:lang w:val="sk-SK"/>
        </w:rPr>
      </w:pPr>
      <w:r w:rsidRPr="00921EF2">
        <w:rPr>
          <w:rFonts w:eastAsia="Calibri"/>
          <w:sz w:val="22"/>
          <w:szCs w:val="22"/>
          <w:u w:val="single"/>
          <w:lang w:val="sk-SK"/>
        </w:rPr>
        <w:t>Fertilita</w:t>
      </w:r>
    </w:p>
    <w:p w14:paraId="52E460B7" w14:textId="77777777" w:rsidR="007406A5" w:rsidRPr="00921EF2" w:rsidRDefault="007406A5" w:rsidP="00B124D9">
      <w:pPr>
        <w:keepNext/>
        <w:rPr>
          <w:rFonts w:eastAsia="Calibri"/>
          <w:sz w:val="22"/>
          <w:szCs w:val="22"/>
          <w:lang w:val="sk-SK"/>
        </w:rPr>
      </w:pPr>
    </w:p>
    <w:p w14:paraId="1E5F3CF3" w14:textId="252A4509" w:rsidR="007406A5" w:rsidRPr="00921EF2" w:rsidRDefault="007406A5" w:rsidP="00B124D9">
      <w:pPr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 xml:space="preserve">U žien užívajúcich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 xml:space="preserve"> boli hlásené amenorea, polycystické vaječníky a zvýšené hladiny testosterónu (pozri časť 4.8). Podávanie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>u môže taktiež narušiť fertilitu mužov (pozri časť 4.8). Kazuistiky ukazujú, že poruchy fertility sú po ukončení liečby reverzibilné.</w:t>
      </w:r>
    </w:p>
    <w:p w14:paraId="46B20268" w14:textId="77777777" w:rsidR="00977BF3" w:rsidRPr="00921EF2" w:rsidRDefault="00977BF3" w:rsidP="00B124D9">
      <w:pPr>
        <w:pStyle w:val="Nadpis2"/>
        <w:keepNext w:val="0"/>
        <w:rPr>
          <w:rFonts w:ascii="Times New Roman" w:hAnsi="Times New Roman" w:cs="Times New Roman"/>
          <w:b w:val="0"/>
          <w:sz w:val="22"/>
          <w:szCs w:val="22"/>
        </w:rPr>
      </w:pPr>
    </w:p>
    <w:p w14:paraId="3613183D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lastRenderedPageBreak/>
        <w:t>4.7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Ovplyvnenie schopnosti viesť vozidlá a obsluhovať stroje</w:t>
      </w:r>
    </w:p>
    <w:p w14:paraId="1595A871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296BA71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Pacienti </w:t>
      </w:r>
      <w:r w:rsidR="00232448" w:rsidRPr="00921EF2">
        <w:rPr>
          <w:sz w:val="22"/>
          <w:szCs w:val="22"/>
          <w:lang w:val="sk-SK"/>
        </w:rPr>
        <w:t>majú</w:t>
      </w:r>
      <w:r w:rsidRPr="00921EF2">
        <w:rPr>
          <w:sz w:val="22"/>
          <w:szCs w:val="22"/>
          <w:lang w:val="sk-SK"/>
        </w:rPr>
        <w:t xml:space="preserve"> byť upozornení na riziko možnej ospalosti najmä v prípade antikonvulzívnej polyterapie alebo terapie kombinovanej s benzodiazepínmi (pozri </w:t>
      </w:r>
      <w:r w:rsidR="00ED1285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4.5).</w:t>
      </w:r>
    </w:p>
    <w:p w14:paraId="21F594AA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55514E6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4.8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Nežiaduce účinky</w:t>
      </w:r>
    </w:p>
    <w:p w14:paraId="0C0F9EEA" w14:textId="77777777" w:rsidR="00977BF3" w:rsidRPr="00921EF2" w:rsidRDefault="00977BF3" w:rsidP="00B124D9">
      <w:pPr>
        <w:keepNext/>
        <w:rPr>
          <w:bCs/>
          <w:sz w:val="22"/>
          <w:szCs w:val="22"/>
          <w:lang w:val="sk-SK"/>
        </w:rPr>
      </w:pPr>
    </w:p>
    <w:p w14:paraId="4E5024F0" w14:textId="77777777" w:rsidR="00F029E8" w:rsidRPr="00921EF2" w:rsidRDefault="0053103C" w:rsidP="005C64C0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Nasledujúce nežiaduce účinky sú rozdelené podľa orgánových tried a na základe frekvencie výskytu sa delia na: veľmi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1/10)</w:t>
      </w:r>
      <w:r w:rsidRPr="00921EF2">
        <w:rPr>
          <w:bCs/>
          <w:sz w:val="22"/>
          <w:szCs w:val="22"/>
          <w:lang w:val="sk-SK"/>
        </w:rPr>
        <w:t xml:space="preserve">,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1/100 až &lt;1/10)</w:t>
      </w:r>
      <w:r w:rsidRPr="00921EF2">
        <w:rPr>
          <w:bCs/>
          <w:sz w:val="22"/>
          <w:szCs w:val="22"/>
          <w:lang w:val="sk-SK"/>
        </w:rPr>
        <w:t xml:space="preserve">, menej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1/1 000 až &lt;1/100)</w:t>
      </w:r>
      <w:r w:rsidRPr="00921EF2">
        <w:rPr>
          <w:bCs/>
          <w:sz w:val="22"/>
          <w:szCs w:val="22"/>
          <w:lang w:val="sk-SK"/>
        </w:rPr>
        <w:t xml:space="preserve">, zriedkavé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1/10 000 až &lt;1/1 000),</w:t>
      </w:r>
      <w:r w:rsidRPr="00921EF2">
        <w:rPr>
          <w:bCs/>
          <w:sz w:val="22"/>
          <w:szCs w:val="22"/>
          <w:lang w:val="sk-SK"/>
        </w:rPr>
        <w:t xml:space="preserve"> veľmi zriedkavé </w:t>
      </w:r>
      <w:r w:rsidRPr="00921EF2">
        <w:rPr>
          <w:sz w:val="22"/>
          <w:szCs w:val="22"/>
          <w:lang w:val="sk-SK"/>
        </w:rPr>
        <w:t>(&lt;1/10 000), neznáme (z dostupných údajov)</w:t>
      </w:r>
      <w:r w:rsidRPr="00921EF2">
        <w:rPr>
          <w:bCs/>
          <w:sz w:val="22"/>
          <w:szCs w:val="22"/>
          <w:lang w:val="sk-SK"/>
        </w:rPr>
        <w:t>.</w:t>
      </w:r>
    </w:p>
    <w:p w14:paraId="73A5F249" w14:textId="77777777" w:rsidR="00F029E8" w:rsidRPr="00921EF2" w:rsidRDefault="00F029E8" w:rsidP="00B124D9">
      <w:pPr>
        <w:rPr>
          <w:bCs/>
          <w:sz w:val="22"/>
          <w:szCs w:val="22"/>
          <w:lang w:val="sk-SK"/>
        </w:rPr>
      </w:pPr>
    </w:p>
    <w:p w14:paraId="404CD853" w14:textId="77777777" w:rsidR="0017189B" w:rsidRPr="00921EF2" w:rsidRDefault="0017189B" w:rsidP="00B124D9">
      <w:pPr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Vrodené, familiárne a genetické poruchy:</w:t>
      </w:r>
    </w:p>
    <w:p w14:paraId="5F13C117" w14:textId="77777777" w:rsidR="0017189B" w:rsidRPr="00921EF2" w:rsidRDefault="005D4661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>Vrodené malformácie a</w:t>
      </w:r>
      <w:r w:rsidR="006C198D" w:rsidRPr="00921EF2">
        <w:rPr>
          <w:bCs/>
          <w:sz w:val="22"/>
          <w:szCs w:val="22"/>
          <w:lang w:val="sk-SK"/>
        </w:rPr>
        <w:t> poruchy vývoja nervového systému</w:t>
      </w:r>
      <w:r w:rsidRPr="00921EF2">
        <w:rPr>
          <w:bCs/>
          <w:sz w:val="22"/>
          <w:szCs w:val="22"/>
          <w:lang w:val="sk-SK"/>
        </w:rPr>
        <w:t xml:space="preserve"> (p</w:t>
      </w:r>
      <w:r w:rsidR="0017189B" w:rsidRPr="00921EF2">
        <w:rPr>
          <w:bCs/>
          <w:sz w:val="22"/>
          <w:szCs w:val="22"/>
          <w:lang w:val="sk-SK"/>
        </w:rPr>
        <w:t>ozri čas</w:t>
      </w:r>
      <w:r w:rsidRPr="00921EF2">
        <w:rPr>
          <w:bCs/>
          <w:sz w:val="22"/>
          <w:szCs w:val="22"/>
          <w:lang w:val="sk-SK"/>
        </w:rPr>
        <w:t>ti</w:t>
      </w:r>
      <w:r w:rsidR="0017189B" w:rsidRPr="00921EF2">
        <w:rPr>
          <w:bCs/>
          <w:sz w:val="22"/>
          <w:szCs w:val="22"/>
          <w:lang w:val="sk-SK"/>
        </w:rPr>
        <w:t xml:space="preserve"> </w:t>
      </w:r>
      <w:r w:rsidRPr="00921EF2">
        <w:rPr>
          <w:bCs/>
          <w:sz w:val="22"/>
          <w:szCs w:val="22"/>
          <w:lang w:val="sk-SK"/>
        </w:rPr>
        <w:t xml:space="preserve">4.4 a </w:t>
      </w:r>
      <w:r w:rsidR="0017189B" w:rsidRPr="00921EF2">
        <w:rPr>
          <w:bCs/>
          <w:sz w:val="22"/>
          <w:szCs w:val="22"/>
          <w:lang w:val="sk-SK"/>
        </w:rPr>
        <w:t>4.6</w:t>
      </w:r>
      <w:r w:rsidRPr="00921EF2">
        <w:rPr>
          <w:bCs/>
          <w:sz w:val="22"/>
          <w:szCs w:val="22"/>
          <w:lang w:val="sk-SK"/>
        </w:rPr>
        <w:t>)</w:t>
      </w:r>
      <w:r w:rsidR="0017189B" w:rsidRPr="00921EF2">
        <w:rPr>
          <w:bCs/>
          <w:sz w:val="22"/>
          <w:szCs w:val="22"/>
          <w:lang w:val="sk-SK"/>
        </w:rPr>
        <w:t>.</w:t>
      </w:r>
    </w:p>
    <w:p w14:paraId="13E38080" w14:textId="77777777" w:rsidR="0017189B" w:rsidRPr="00921EF2" w:rsidRDefault="0017189B" w:rsidP="00B124D9">
      <w:pPr>
        <w:rPr>
          <w:bCs/>
          <w:sz w:val="22"/>
          <w:szCs w:val="22"/>
          <w:u w:val="single"/>
          <w:lang w:val="sk-SK"/>
        </w:rPr>
      </w:pPr>
    </w:p>
    <w:p w14:paraId="19C56C9E" w14:textId="77777777" w:rsidR="00977BF3" w:rsidRPr="00921EF2" w:rsidRDefault="00977BF3" w:rsidP="00B124D9">
      <w:pPr>
        <w:keepNext/>
        <w:rPr>
          <w:i/>
          <w:i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pečene a žlčových ciest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45E4B321" w14:textId="77777777" w:rsidR="00977BF3" w:rsidRPr="00921EF2" w:rsidRDefault="00364B57" w:rsidP="00B124D9">
      <w:pPr>
        <w:keepNext/>
        <w:rPr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>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b/>
          <w:bCs/>
          <w:sz w:val="22"/>
          <w:szCs w:val="22"/>
          <w:lang w:val="sk-SK"/>
        </w:rPr>
        <w:t xml:space="preserve"> </w:t>
      </w:r>
      <w:r w:rsidR="00DF3A26" w:rsidRPr="00921EF2">
        <w:rPr>
          <w:sz w:val="22"/>
          <w:szCs w:val="22"/>
          <w:lang w:val="sk-SK"/>
        </w:rPr>
        <w:t>poškodenie</w:t>
      </w:r>
      <w:r w:rsidR="00977BF3" w:rsidRPr="00921EF2">
        <w:rPr>
          <w:sz w:val="22"/>
          <w:szCs w:val="22"/>
          <w:lang w:val="sk-SK"/>
        </w:rPr>
        <w:t xml:space="preserve"> pečene (</w:t>
      </w:r>
      <w:r w:rsidR="00977BF3" w:rsidRPr="00921EF2">
        <w:rPr>
          <w:color w:val="000000"/>
          <w:sz w:val="22"/>
          <w:szCs w:val="22"/>
          <w:lang w:val="sk-SK"/>
        </w:rPr>
        <w:t>pozri časť 4.4</w:t>
      </w:r>
      <w:r w:rsidR="00977BF3" w:rsidRPr="00921EF2">
        <w:rPr>
          <w:sz w:val="22"/>
          <w:szCs w:val="22"/>
          <w:lang w:val="sk-SK"/>
        </w:rPr>
        <w:t>).</w:t>
      </w:r>
    </w:p>
    <w:p w14:paraId="71B8C8A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F5F246" w14:textId="77777777" w:rsidR="00977BF3" w:rsidRPr="00921EF2" w:rsidRDefault="00DF3A26" w:rsidP="005C64C0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g</w:t>
      </w:r>
      <w:r w:rsidR="00977BF3" w:rsidRPr="00921EF2">
        <w:rPr>
          <w:bCs/>
          <w:sz w:val="22"/>
          <w:szCs w:val="22"/>
          <w:u w:val="single"/>
          <w:lang w:val="sk-SK"/>
        </w:rPr>
        <w:t>astrointestinálne</w:t>
      </w:r>
      <w:r w:rsidRPr="00921EF2">
        <w:rPr>
          <w:bCs/>
          <w:sz w:val="22"/>
          <w:szCs w:val="22"/>
          <w:u w:val="single"/>
          <w:lang w:val="sk-SK"/>
        </w:rPr>
        <w:t>ho traktu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6E5C5858" w14:textId="77777777" w:rsidR="00C833E8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Veľmi časté:</w:t>
      </w:r>
      <w:r w:rsidRPr="00921EF2">
        <w:rPr>
          <w:sz w:val="22"/>
          <w:szCs w:val="22"/>
          <w:lang w:val="sk-SK"/>
        </w:rPr>
        <w:t xml:space="preserve"> n</w:t>
      </w:r>
      <w:r w:rsidR="00977BF3" w:rsidRPr="00921EF2">
        <w:rPr>
          <w:sz w:val="22"/>
          <w:szCs w:val="22"/>
          <w:lang w:val="sk-SK"/>
        </w:rPr>
        <w:t>auzea</w:t>
      </w:r>
      <w:r w:rsidRPr="00921EF2">
        <w:rPr>
          <w:sz w:val="22"/>
          <w:szCs w:val="22"/>
          <w:lang w:val="sk-SK"/>
        </w:rPr>
        <w:t>.</w:t>
      </w:r>
    </w:p>
    <w:p w14:paraId="67B61DE7" w14:textId="77777777" w:rsidR="00977BF3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="00977BF3" w:rsidRPr="00921EF2">
        <w:rPr>
          <w:sz w:val="22"/>
          <w:szCs w:val="22"/>
          <w:lang w:val="sk-SK"/>
        </w:rPr>
        <w:t xml:space="preserve"> </w:t>
      </w:r>
      <w:r w:rsidR="00D36E02" w:rsidRPr="00921EF2">
        <w:rPr>
          <w:sz w:val="22"/>
          <w:szCs w:val="22"/>
          <w:lang w:val="sk-SK"/>
        </w:rPr>
        <w:t xml:space="preserve">zvracanie, poruchy ďasien (najmä hyperplázia ďasien), stomatitída, </w:t>
      </w:r>
      <w:r w:rsidR="00DF3A26" w:rsidRPr="00921EF2">
        <w:rPr>
          <w:sz w:val="22"/>
          <w:szCs w:val="22"/>
          <w:lang w:val="sk-SK"/>
        </w:rPr>
        <w:t>bolesť v hornej oblasti brucha</w:t>
      </w:r>
      <w:r w:rsidR="00062430" w:rsidRPr="00921EF2">
        <w:rPr>
          <w:sz w:val="22"/>
          <w:szCs w:val="22"/>
          <w:lang w:val="sk-SK"/>
        </w:rPr>
        <w:t xml:space="preserve"> a</w:t>
      </w:r>
      <w:r w:rsidR="00DF3A26" w:rsidRPr="00921EF2">
        <w:rPr>
          <w:sz w:val="22"/>
          <w:szCs w:val="22"/>
          <w:lang w:val="sk-SK"/>
        </w:rPr>
        <w:t xml:space="preserve"> hnačka</w:t>
      </w:r>
      <w:r w:rsidR="00977BF3" w:rsidRPr="00921EF2">
        <w:rPr>
          <w:sz w:val="22"/>
          <w:szCs w:val="22"/>
          <w:lang w:val="sk-SK"/>
        </w:rPr>
        <w:t xml:space="preserve"> sa často vyskytli u niektorých pacientov na začiatku terapie, ale zvyčajne vymizli po niekoľkých dňoch bez prerušenia liečby.</w:t>
      </w:r>
    </w:p>
    <w:p w14:paraId="50A62386" w14:textId="77777777" w:rsidR="00977BF3" w:rsidRPr="00921EF2" w:rsidRDefault="006338A9" w:rsidP="00B124D9">
      <w:pPr>
        <w:rPr>
          <w:i/>
          <w:iCs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</w:t>
      </w:r>
      <w:r w:rsidR="00977BF3" w:rsidRPr="00921EF2">
        <w:rPr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pankreatitíd</w:t>
      </w:r>
      <w:r w:rsidR="00DF3A26"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>, niekedy až smrteľn</w:t>
      </w:r>
      <w:r w:rsidR="00DF3A26" w:rsidRPr="00921EF2">
        <w:rPr>
          <w:sz w:val="22"/>
          <w:szCs w:val="22"/>
          <w:lang w:val="sk-SK"/>
        </w:rPr>
        <w:t>á</w:t>
      </w:r>
      <w:r w:rsidR="00977BF3" w:rsidRPr="00921EF2">
        <w:rPr>
          <w:sz w:val="22"/>
          <w:szCs w:val="22"/>
          <w:lang w:val="sk-SK"/>
        </w:rPr>
        <w:t xml:space="preserve"> (</w:t>
      </w:r>
      <w:r w:rsidR="00977BF3" w:rsidRPr="00921EF2">
        <w:rPr>
          <w:color w:val="000000"/>
          <w:sz w:val="22"/>
          <w:szCs w:val="22"/>
          <w:lang w:val="sk-SK"/>
        </w:rPr>
        <w:t xml:space="preserve">pozri </w:t>
      </w:r>
      <w:r w:rsidR="000E408B" w:rsidRPr="00921EF2">
        <w:rPr>
          <w:color w:val="000000"/>
          <w:sz w:val="22"/>
          <w:szCs w:val="22"/>
          <w:lang w:val="sk-SK"/>
        </w:rPr>
        <w:t xml:space="preserve">časť </w:t>
      </w:r>
      <w:r w:rsidR="00977BF3" w:rsidRPr="00921EF2">
        <w:rPr>
          <w:color w:val="000000"/>
          <w:sz w:val="22"/>
          <w:szCs w:val="22"/>
          <w:lang w:val="sk-SK"/>
        </w:rPr>
        <w:t>4.4</w:t>
      </w:r>
      <w:r w:rsidR="00977BF3" w:rsidRPr="00921EF2">
        <w:rPr>
          <w:iCs/>
          <w:sz w:val="22"/>
          <w:szCs w:val="22"/>
          <w:lang w:val="sk-SK"/>
        </w:rPr>
        <w:t>).</w:t>
      </w:r>
    </w:p>
    <w:p w14:paraId="10ADA825" w14:textId="77777777" w:rsidR="00977BF3" w:rsidRPr="00921EF2" w:rsidRDefault="00977BF3" w:rsidP="00B124D9">
      <w:pPr>
        <w:ind w:left="340"/>
        <w:rPr>
          <w:sz w:val="22"/>
          <w:szCs w:val="22"/>
          <w:lang w:val="sk-SK"/>
        </w:rPr>
      </w:pPr>
    </w:p>
    <w:p w14:paraId="71184C76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bCs/>
          <w:sz w:val="22"/>
          <w:szCs w:val="22"/>
          <w:u w:val="single"/>
        </w:rPr>
        <w:t>Poruchy metabolizmu</w:t>
      </w:r>
      <w:r w:rsidR="00DF3A26" w:rsidRPr="00921EF2">
        <w:rPr>
          <w:bCs/>
          <w:sz w:val="22"/>
          <w:szCs w:val="22"/>
          <w:u w:val="single"/>
        </w:rPr>
        <w:t xml:space="preserve"> a výživy</w:t>
      </w:r>
      <w:r w:rsidR="006A49B7" w:rsidRPr="00921EF2">
        <w:rPr>
          <w:bCs/>
          <w:sz w:val="22"/>
          <w:szCs w:val="22"/>
          <w:u w:val="single"/>
        </w:rPr>
        <w:t>:</w:t>
      </w:r>
    </w:p>
    <w:p w14:paraId="4C3A2D79" w14:textId="77777777" w:rsidR="00977BF3" w:rsidRPr="00921EF2" w:rsidRDefault="002876E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Časté</w:t>
      </w:r>
      <w:r w:rsidR="00977BF3" w:rsidRPr="00921EF2">
        <w:rPr>
          <w:i/>
          <w:sz w:val="22"/>
          <w:szCs w:val="22"/>
        </w:rPr>
        <w:t>:</w:t>
      </w:r>
      <w:r w:rsidR="00977BF3" w:rsidRPr="00921EF2">
        <w:rPr>
          <w:sz w:val="22"/>
          <w:szCs w:val="22"/>
        </w:rPr>
        <w:t xml:space="preserve"> hyponatriémia</w:t>
      </w:r>
      <w:r w:rsidR="005D4661" w:rsidRPr="00921EF2">
        <w:rPr>
          <w:sz w:val="22"/>
          <w:szCs w:val="22"/>
        </w:rPr>
        <w:t>, zvýšenie telesnej hmotnosti*</w:t>
      </w:r>
      <w:r w:rsidR="00977BF3" w:rsidRPr="00921EF2">
        <w:rPr>
          <w:sz w:val="22"/>
          <w:szCs w:val="22"/>
        </w:rPr>
        <w:t>.</w:t>
      </w:r>
    </w:p>
    <w:p w14:paraId="6EEF564B" w14:textId="77777777" w:rsidR="005D4661" w:rsidRPr="00921EF2" w:rsidRDefault="005D466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* Keďže zvýšenie telesnej hmotnosti je rizikový faktor pre syndróm polycystických vaječníkov, musí sa starostlivo sledovať (pozri časť 4.4).</w:t>
      </w:r>
    </w:p>
    <w:p w14:paraId="6ECE6531" w14:textId="77777777" w:rsidR="008D4546" w:rsidRPr="00921EF2" w:rsidRDefault="002876E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Zriedkavé:</w:t>
      </w:r>
      <w:r w:rsidRPr="00921EF2">
        <w:rPr>
          <w:sz w:val="22"/>
          <w:szCs w:val="22"/>
        </w:rPr>
        <w:t xml:space="preserve"> hyperamoniémia (pozri časť 4.4)</w:t>
      </w:r>
      <w:r w:rsidR="008D4546" w:rsidRPr="00921EF2">
        <w:rPr>
          <w:sz w:val="22"/>
          <w:szCs w:val="22"/>
        </w:rPr>
        <w:t>*</w:t>
      </w:r>
      <w:r w:rsidR="005D4661" w:rsidRPr="00921EF2">
        <w:rPr>
          <w:sz w:val="22"/>
          <w:szCs w:val="22"/>
        </w:rPr>
        <w:t xml:space="preserve"> , obezita</w:t>
      </w:r>
      <w:r w:rsidRPr="00921EF2">
        <w:rPr>
          <w:sz w:val="22"/>
          <w:szCs w:val="22"/>
        </w:rPr>
        <w:t>.</w:t>
      </w:r>
      <w:r w:rsidR="000F3E22" w:rsidRPr="00921EF2">
        <w:rPr>
          <w:sz w:val="22"/>
          <w:szCs w:val="22"/>
        </w:rPr>
        <w:t xml:space="preserve"> </w:t>
      </w:r>
    </w:p>
    <w:p w14:paraId="7F0D0301" w14:textId="77777777" w:rsidR="002876E6" w:rsidRPr="00921EF2" w:rsidRDefault="008D454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 xml:space="preserve">* </w:t>
      </w:r>
      <w:r w:rsidR="002876E6" w:rsidRPr="00921EF2">
        <w:rPr>
          <w:sz w:val="22"/>
          <w:szCs w:val="22"/>
        </w:rPr>
        <w:t xml:space="preserve">Môžu sa objaviť prípady izolovanej a stredne ťažkej hyperamoniémie bez zmeny funkcie pečene, čo nemôže byť dôvodom na prerušenie liečby. Vyskytla sa tiež hyperamoniémia združená s neurologickými symptómami. V takýchto prípadoch sú potrebné ďalšie vyšetrenia (pozri </w:t>
      </w:r>
      <w:r w:rsidR="002876E6" w:rsidRPr="00921EF2">
        <w:rPr>
          <w:color w:val="000000"/>
          <w:sz w:val="22"/>
          <w:szCs w:val="22"/>
        </w:rPr>
        <w:t>časť 4.4</w:t>
      </w:r>
      <w:r w:rsidR="002876E6" w:rsidRPr="00921EF2">
        <w:rPr>
          <w:sz w:val="22"/>
          <w:szCs w:val="22"/>
        </w:rPr>
        <w:t>).</w:t>
      </w:r>
    </w:p>
    <w:p w14:paraId="31394775" w14:textId="77777777" w:rsidR="002876E6" w:rsidRPr="00921EF2" w:rsidRDefault="002876E6" w:rsidP="00B124D9">
      <w:pPr>
        <w:pStyle w:val="Zarkazkladnhotextu3"/>
        <w:ind w:left="0"/>
        <w:rPr>
          <w:sz w:val="22"/>
          <w:szCs w:val="22"/>
        </w:rPr>
      </w:pPr>
    </w:p>
    <w:p w14:paraId="7D772459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sz w:val="22"/>
          <w:szCs w:val="22"/>
          <w:u w:val="single"/>
        </w:rPr>
        <w:t>Benígne a malígne nádory, vrátane nešpecifikovaných novotvarov (cysty a polypy):</w:t>
      </w:r>
    </w:p>
    <w:p w14:paraId="5EBA6A28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Zriedkavé:</w:t>
      </w:r>
      <w:r w:rsidRPr="00921EF2">
        <w:rPr>
          <w:sz w:val="22"/>
          <w:szCs w:val="22"/>
        </w:rPr>
        <w:t xml:space="preserve"> myelodysplastický syndróm.</w:t>
      </w:r>
    </w:p>
    <w:p w14:paraId="30877C3D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</w:rPr>
      </w:pPr>
    </w:p>
    <w:p w14:paraId="58B605BA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bCs/>
          <w:sz w:val="22"/>
          <w:szCs w:val="22"/>
          <w:u w:val="single"/>
        </w:rPr>
        <w:t>Poruchy nervového systému</w:t>
      </w:r>
      <w:r w:rsidR="006A49B7" w:rsidRPr="00921EF2">
        <w:rPr>
          <w:bCs/>
          <w:sz w:val="22"/>
          <w:szCs w:val="22"/>
          <w:u w:val="single"/>
        </w:rPr>
        <w:t>:</w:t>
      </w:r>
    </w:p>
    <w:p w14:paraId="5A069B0B" w14:textId="77777777" w:rsidR="00E8703C" w:rsidRPr="00921EF2" w:rsidRDefault="00E8703C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Veľmi časté:</w:t>
      </w:r>
      <w:r w:rsidRPr="00921EF2">
        <w:rPr>
          <w:sz w:val="22"/>
          <w:szCs w:val="22"/>
        </w:rPr>
        <w:t xml:space="preserve"> tremor</w:t>
      </w:r>
      <w:r w:rsidR="00AF6B29" w:rsidRPr="00921EF2">
        <w:rPr>
          <w:sz w:val="22"/>
          <w:szCs w:val="22"/>
        </w:rPr>
        <w:t>.</w:t>
      </w:r>
    </w:p>
    <w:p w14:paraId="4A76D31B" w14:textId="77777777" w:rsidR="00E8703C" w:rsidRPr="00921EF2" w:rsidRDefault="00E8703C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Časté:</w:t>
      </w:r>
      <w:r w:rsidR="00F029E8" w:rsidRPr="00921EF2">
        <w:rPr>
          <w:sz w:val="22"/>
          <w:szCs w:val="22"/>
        </w:rPr>
        <w:t xml:space="preserve"> </w:t>
      </w:r>
      <w:r w:rsidR="00E00B12" w:rsidRPr="00921EF2">
        <w:rPr>
          <w:sz w:val="22"/>
          <w:szCs w:val="22"/>
        </w:rPr>
        <w:t>extrapyramidálna</w:t>
      </w:r>
      <w:r w:rsidRPr="00921EF2">
        <w:rPr>
          <w:sz w:val="22"/>
          <w:szCs w:val="22"/>
        </w:rPr>
        <w:t xml:space="preserve"> porucha, stupor</w:t>
      </w:r>
      <w:r w:rsidR="005535EE" w:rsidRPr="00921EF2">
        <w:rPr>
          <w:sz w:val="22"/>
          <w:szCs w:val="22"/>
        </w:rPr>
        <w:t>*</w:t>
      </w:r>
      <w:r w:rsidRPr="00921EF2">
        <w:rPr>
          <w:sz w:val="22"/>
          <w:szCs w:val="22"/>
        </w:rPr>
        <w:t>, somnolencia, kŕče</w:t>
      </w:r>
      <w:r w:rsidR="005535EE" w:rsidRPr="00921EF2">
        <w:rPr>
          <w:sz w:val="22"/>
          <w:szCs w:val="22"/>
        </w:rPr>
        <w:t>*</w:t>
      </w:r>
      <w:r w:rsidRPr="00921EF2">
        <w:rPr>
          <w:sz w:val="22"/>
          <w:szCs w:val="22"/>
        </w:rPr>
        <w:t>, zhoršenie pamäti, bolesť hlavy, nystagmus</w:t>
      </w:r>
      <w:r w:rsidR="003E15BF" w:rsidRPr="00921EF2">
        <w:rPr>
          <w:sz w:val="22"/>
          <w:szCs w:val="22"/>
        </w:rPr>
        <w:t>.</w:t>
      </w:r>
    </w:p>
    <w:p w14:paraId="4B8D920B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Menej časté:</w:t>
      </w:r>
      <w:r w:rsidRPr="00921EF2">
        <w:rPr>
          <w:sz w:val="22"/>
          <w:szCs w:val="22"/>
        </w:rPr>
        <w:t xml:space="preserve"> </w:t>
      </w:r>
      <w:r w:rsidR="00E8703C" w:rsidRPr="00921EF2">
        <w:rPr>
          <w:sz w:val="22"/>
          <w:szCs w:val="22"/>
        </w:rPr>
        <w:t>kóma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>, encefalopatia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>, letargia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 xml:space="preserve"> (pozri nižšie), </w:t>
      </w:r>
      <w:r w:rsidR="00A73903" w:rsidRPr="00921EF2">
        <w:rPr>
          <w:sz w:val="22"/>
          <w:szCs w:val="22"/>
        </w:rPr>
        <w:t>reverzibiln</w:t>
      </w:r>
      <w:r w:rsidR="002D2980" w:rsidRPr="00921EF2">
        <w:rPr>
          <w:sz w:val="22"/>
          <w:szCs w:val="22"/>
        </w:rPr>
        <w:t>ý</w:t>
      </w:r>
      <w:r w:rsidR="00A73903" w:rsidRPr="00921EF2">
        <w:rPr>
          <w:sz w:val="22"/>
          <w:szCs w:val="22"/>
        </w:rPr>
        <w:t xml:space="preserve"> </w:t>
      </w:r>
      <w:r w:rsidR="002D2980" w:rsidRPr="00921EF2">
        <w:rPr>
          <w:sz w:val="22"/>
          <w:szCs w:val="22"/>
        </w:rPr>
        <w:t>parkinsonizmus</w:t>
      </w:r>
      <w:r w:rsidR="00E8703C" w:rsidRPr="00921EF2">
        <w:rPr>
          <w:sz w:val="22"/>
          <w:szCs w:val="22"/>
        </w:rPr>
        <w:t xml:space="preserve">, </w:t>
      </w:r>
      <w:r w:rsidRPr="00921EF2">
        <w:rPr>
          <w:sz w:val="22"/>
          <w:szCs w:val="22"/>
        </w:rPr>
        <w:t>ataxia</w:t>
      </w:r>
      <w:r w:rsidR="00E8703C" w:rsidRPr="00921EF2">
        <w:rPr>
          <w:sz w:val="22"/>
          <w:szCs w:val="22"/>
        </w:rPr>
        <w:t>, parestézia</w:t>
      </w:r>
      <w:r w:rsidR="00BF116F" w:rsidRPr="00921EF2">
        <w:rPr>
          <w:sz w:val="22"/>
          <w:szCs w:val="22"/>
        </w:rPr>
        <w:t>, zhoršenie záchvatov</w:t>
      </w:r>
      <w:r w:rsidR="001F0AF5" w:rsidRPr="00921EF2">
        <w:rPr>
          <w:sz w:val="22"/>
          <w:szCs w:val="22"/>
        </w:rPr>
        <w:t xml:space="preserve"> (pozri časť 4.4)</w:t>
      </w:r>
      <w:r w:rsidRPr="00921EF2">
        <w:rPr>
          <w:sz w:val="22"/>
          <w:szCs w:val="22"/>
        </w:rPr>
        <w:t>.</w:t>
      </w:r>
    </w:p>
    <w:p w14:paraId="112884AB" w14:textId="77777777" w:rsidR="00977BF3" w:rsidRPr="00921EF2" w:rsidRDefault="0029669A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</w:t>
      </w:r>
      <w:r w:rsidR="00977BF3" w:rsidRPr="00921EF2">
        <w:rPr>
          <w:i/>
          <w:sz w:val="22"/>
          <w:szCs w:val="22"/>
        </w:rPr>
        <w:t>riedkavé:</w:t>
      </w:r>
      <w:r w:rsidR="00977BF3" w:rsidRPr="00921EF2">
        <w:rPr>
          <w:sz w:val="22"/>
          <w:szCs w:val="22"/>
        </w:rPr>
        <w:t xml:space="preserve"> pr</w:t>
      </w:r>
      <w:r w:rsidR="006A49B7" w:rsidRPr="00921EF2">
        <w:rPr>
          <w:sz w:val="22"/>
          <w:szCs w:val="22"/>
        </w:rPr>
        <w:t>í</w:t>
      </w:r>
      <w:r w:rsidR="00977BF3" w:rsidRPr="00921EF2">
        <w:rPr>
          <w:sz w:val="22"/>
          <w:szCs w:val="22"/>
        </w:rPr>
        <w:t>pady reverzibilnej demencie súvi</w:t>
      </w:r>
      <w:r w:rsidR="006A49B7" w:rsidRPr="00921EF2">
        <w:rPr>
          <w:sz w:val="22"/>
          <w:szCs w:val="22"/>
        </w:rPr>
        <w:t>si</w:t>
      </w:r>
      <w:r w:rsidR="00977BF3" w:rsidRPr="00921EF2">
        <w:rPr>
          <w:sz w:val="22"/>
          <w:szCs w:val="22"/>
        </w:rPr>
        <w:t>ace s reverzibilnou atrofiou mozgu</w:t>
      </w:r>
      <w:r w:rsidR="00E8703C" w:rsidRPr="00921EF2">
        <w:rPr>
          <w:sz w:val="22"/>
          <w:szCs w:val="22"/>
        </w:rPr>
        <w:t>, kognitívne poruchy</w:t>
      </w:r>
      <w:r w:rsidR="0065386E" w:rsidRPr="00921EF2">
        <w:rPr>
          <w:sz w:val="22"/>
          <w:szCs w:val="22"/>
        </w:rPr>
        <w:t>, diplopia</w:t>
      </w:r>
      <w:r w:rsidR="006A783F" w:rsidRPr="00921EF2">
        <w:rPr>
          <w:sz w:val="22"/>
          <w:szCs w:val="22"/>
        </w:rPr>
        <w:t>.</w:t>
      </w:r>
    </w:p>
    <w:p w14:paraId="5A765156" w14:textId="67D8C442" w:rsidR="00977BF3" w:rsidRPr="00921EF2" w:rsidRDefault="005535EE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*</w:t>
      </w:r>
      <w:r w:rsidR="006D4E77" w:rsidRPr="00921EF2">
        <w:rPr>
          <w:sz w:val="22"/>
          <w:szCs w:val="22"/>
        </w:rPr>
        <w:t xml:space="preserve"> </w:t>
      </w:r>
      <w:r w:rsidR="00E8703C" w:rsidRPr="00921EF2">
        <w:rPr>
          <w:sz w:val="22"/>
          <w:szCs w:val="22"/>
        </w:rPr>
        <w:t>S</w:t>
      </w:r>
      <w:r w:rsidR="00977BF3" w:rsidRPr="00921EF2">
        <w:rPr>
          <w:sz w:val="22"/>
          <w:szCs w:val="22"/>
        </w:rPr>
        <w:t>tupor a letargi</w:t>
      </w:r>
      <w:r w:rsidR="00E8703C" w:rsidRPr="00921EF2">
        <w:rPr>
          <w:sz w:val="22"/>
          <w:szCs w:val="22"/>
        </w:rPr>
        <w:t>a</w:t>
      </w:r>
      <w:r w:rsidR="00977BF3" w:rsidRPr="00921EF2">
        <w:rPr>
          <w:sz w:val="22"/>
          <w:szCs w:val="22"/>
        </w:rPr>
        <w:t>, ktoré niekedy vedú k prechodnej kóme</w:t>
      </w:r>
      <w:r w:rsidR="00E8703C" w:rsidRPr="00921EF2">
        <w:rPr>
          <w:sz w:val="22"/>
          <w:szCs w:val="22"/>
        </w:rPr>
        <w:t>/</w:t>
      </w:r>
      <w:r w:rsidR="006A49B7" w:rsidRPr="00921EF2">
        <w:rPr>
          <w:sz w:val="22"/>
          <w:szCs w:val="22"/>
        </w:rPr>
        <w:t>encefalopati</w:t>
      </w:r>
      <w:r w:rsidR="001C7470" w:rsidRPr="00921EF2">
        <w:rPr>
          <w:sz w:val="22"/>
          <w:szCs w:val="22"/>
        </w:rPr>
        <w:t>i</w:t>
      </w:r>
      <w:r w:rsidR="00977BF3" w:rsidRPr="00921EF2">
        <w:rPr>
          <w:sz w:val="22"/>
          <w:szCs w:val="22"/>
        </w:rPr>
        <w:t xml:space="preserve">; </w:t>
      </w:r>
      <w:r w:rsidR="00E8703C" w:rsidRPr="00921EF2">
        <w:rPr>
          <w:sz w:val="22"/>
          <w:szCs w:val="22"/>
        </w:rPr>
        <w:t xml:space="preserve">sa </w:t>
      </w:r>
      <w:r w:rsidR="00977BF3" w:rsidRPr="00921EF2">
        <w:rPr>
          <w:sz w:val="22"/>
          <w:szCs w:val="22"/>
        </w:rPr>
        <w:t xml:space="preserve">vyskytli izolované alebo </w:t>
      </w:r>
      <w:r w:rsidR="001C7470" w:rsidRPr="00921EF2">
        <w:rPr>
          <w:sz w:val="22"/>
          <w:szCs w:val="22"/>
        </w:rPr>
        <w:t xml:space="preserve">spojené </w:t>
      </w:r>
      <w:r w:rsidR="00977BF3" w:rsidRPr="00921EF2">
        <w:rPr>
          <w:sz w:val="22"/>
          <w:szCs w:val="22"/>
        </w:rPr>
        <w:t xml:space="preserve">s nárastom </w:t>
      </w:r>
      <w:r w:rsidR="001C7470" w:rsidRPr="00921EF2">
        <w:rPr>
          <w:sz w:val="22"/>
          <w:szCs w:val="22"/>
        </w:rPr>
        <w:t>kŕčov</w:t>
      </w:r>
      <w:r w:rsidR="00977BF3" w:rsidRPr="00921EF2">
        <w:rPr>
          <w:sz w:val="22"/>
          <w:szCs w:val="22"/>
        </w:rPr>
        <w:t xml:space="preserve"> počas liečby a ich počet klesol po prerušení liečby alebo znížení dávky. Tieto prípady sa častejšie vyskytli počas kombinovanej terapie (najmä s</w:t>
      </w:r>
      <w:r w:rsidR="001C7470" w:rsidRPr="00921EF2">
        <w:rPr>
          <w:sz w:val="22"/>
          <w:szCs w:val="22"/>
        </w:rPr>
        <w:t> </w:t>
      </w:r>
      <w:r w:rsidR="00977BF3" w:rsidRPr="00921EF2">
        <w:rPr>
          <w:sz w:val="22"/>
          <w:szCs w:val="22"/>
        </w:rPr>
        <w:t>fenobarbitalom</w:t>
      </w:r>
      <w:r w:rsidR="001C7470" w:rsidRPr="00921EF2">
        <w:rPr>
          <w:sz w:val="22"/>
          <w:szCs w:val="22"/>
        </w:rPr>
        <w:t xml:space="preserve"> alebo topiramátom</w:t>
      </w:r>
      <w:r w:rsidR="00977BF3" w:rsidRPr="00921EF2">
        <w:rPr>
          <w:sz w:val="22"/>
          <w:szCs w:val="22"/>
        </w:rPr>
        <w:t xml:space="preserve">) alebo po náhlom zvýšení dávky </w:t>
      </w:r>
      <w:r w:rsidR="0023483F" w:rsidRPr="00921EF2">
        <w:rPr>
          <w:sz w:val="22"/>
          <w:szCs w:val="22"/>
        </w:rPr>
        <w:t>valproát</w:t>
      </w:r>
      <w:r w:rsidR="00977BF3" w:rsidRPr="00921EF2">
        <w:rPr>
          <w:sz w:val="22"/>
          <w:szCs w:val="22"/>
        </w:rPr>
        <w:t>u.</w:t>
      </w:r>
    </w:p>
    <w:p w14:paraId="081B397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7777ECB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krvi a lymfatického systému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5E47E3F2" w14:textId="77777777" w:rsidR="00770E1E" w:rsidRPr="00921EF2" w:rsidRDefault="00770E1E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</w:t>
      </w:r>
      <w:r w:rsidR="00485693" w:rsidRPr="00921EF2">
        <w:rPr>
          <w:i/>
          <w:sz w:val="22"/>
          <w:szCs w:val="22"/>
          <w:lang w:val="sk-SK"/>
        </w:rPr>
        <w:t>é:</w:t>
      </w:r>
      <w:r w:rsidR="00485693" w:rsidRPr="00921EF2">
        <w:rPr>
          <w:sz w:val="22"/>
          <w:szCs w:val="22"/>
          <w:lang w:val="sk-SK"/>
        </w:rPr>
        <w:t xml:space="preserve"> anémia,</w:t>
      </w:r>
      <w:r w:rsidRPr="00921EF2">
        <w:rPr>
          <w:sz w:val="22"/>
          <w:szCs w:val="22"/>
          <w:lang w:val="sk-SK"/>
        </w:rPr>
        <w:t xml:space="preserve"> trombocytopéni</w:t>
      </w:r>
      <w:r w:rsidR="00485693" w:rsidRPr="00921EF2">
        <w:rPr>
          <w:sz w:val="22"/>
          <w:szCs w:val="22"/>
          <w:lang w:val="sk-SK"/>
        </w:rPr>
        <w:t>a</w:t>
      </w:r>
      <w:r w:rsidRPr="00921EF2">
        <w:rPr>
          <w:sz w:val="22"/>
          <w:szCs w:val="22"/>
          <w:lang w:val="sk-SK"/>
        </w:rPr>
        <w:t>.</w:t>
      </w:r>
    </w:p>
    <w:p w14:paraId="0700AF95" w14:textId="77777777" w:rsidR="00977BF3" w:rsidRPr="00921EF2" w:rsidRDefault="00485693" w:rsidP="00B124D9">
      <w:pPr>
        <w:rPr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>Menej 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b/>
          <w:bCs/>
          <w:sz w:val="22"/>
          <w:szCs w:val="22"/>
          <w:lang w:val="sk-SK"/>
        </w:rPr>
        <w:t xml:space="preserve"> </w:t>
      </w:r>
      <w:r w:rsidR="00610EE4" w:rsidRPr="00921EF2">
        <w:rPr>
          <w:sz w:val="22"/>
          <w:szCs w:val="22"/>
          <w:lang w:val="sk-SK"/>
        </w:rPr>
        <w:t>pancytopéni</w:t>
      </w:r>
      <w:r w:rsidRPr="00921EF2">
        <w:rPr>
          <w:sz w:val="22"/>
          <w:szCs w:val="22"/>
          <w:lang w:val="sk-SK"/>
        </w:rPr>
        <w:t>a</w:t>
      </w:r>
      <w:r w:rsidR="00610EE4" w:rsidRPr="00921EF2">
        <w:rPr>
          <w:sz w:val="22"/>
          <w:szCs w:val="22"/>
          <w:lang w:val="sk-SK"/>
        </w:rPr>
        <w:t>,</w:t>
      </w:r>
      <w:r w:rsidR="00977BF3" w:rsidRPr="00921EF2">
        <w:rPr>
          <w:sz w:val="22"/>
          <w:szCs w:val="22"/>
          <w:lang w:val="sk-SK"/>
        </w:rPr>
        <w:t xml:space="preserve"> leukopéni</w:t>
      </w:r>
      <w:r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>.</w:t>
      </w:r>
    </w:p>
    <w:p w14:paraId="405C937D" w14:textId="77777777" w:rsidR="00610EE4" w:rsidRPr="00921EF2" w:rsidRDefault="0048569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z</w:t>
      </w:r>
      <w:r w:rsidR="00610EE4" w:rsidRPr="00921EF2">
        <w:rPr>
          <w:sz w:val="22"/>
          <w:szCs w:val="22"/>
          <w:lang w:val="sk-SK"/>
        </w:rPr>
        <w:t>lyhanie kostnej drene, vrátane aplázie červenej zložky kostnej drene</w:t>
      </w:r>
      <w:r w:rsidRPr="00921EF2">
        <w:rPr>
          <w:sz w:val="22"/>
          <w:szCs w:val="22"/>
          <w:lang w:val="sk-SK"/>
        </w:rPr>
        <w:t>, a</w:t>
      </w:r>
      <w:r w:rsidR="00610EE4" w:rsidRPr="00921EF2">
        <w:rPr>
          <w:sz w:val="22"/>
          <w:szCs w:val="22"/>
          <w:lang w:val="sk-SK"/>
        </w:rPr>
        <w:t>granulocytóza</w:t>
      </w:r>
      <w:r w:rsidRPr="00921EF2">
        <w:rPr>
          <w:sz w:val="22"/>
          <w:szCs w:val="22"/>
          <w:lang w:val="sk-SK"/>
        </w:rPr>
        <w:t xml:space="preserve">, makrocytická anémia, </w:t>
      </w:r>
      <w:r w:rsidR="002827CC" w:rsidRPr="00921EF2">
        <w:rPr>
          <w:sz w:val="22"/>
          <w:szCs w:val="22"/>
          <w:lang w:val="sk-SK"/>
        </w:rPr>
        <w:t>makrocytóza</w:t>
      </w:r>
      <w:r w:rsidR="00610EE4" w:rsidRPr="00921EF2">
        <w:rPr>
          <w:sz w:val="22"/>
          <w:szCs w:val="22"/>
          <w:lang w:val="sk-SK"/>
        </w:rPr>
        <w:t>.</w:t>
      </w:r>
    </w:p>
    <w:p w14:paraId="3A92EA4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13213F6" w14:textId="77777777" w:rsidR="002827CC" w:rsidRPr="00921EF2" w:rsidRDefault="002827CC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Laboratórne a funkčné vyšetrenia:</w:t>
      </w:r>
    </w:p>
    <w:p w14:paraId="6934955D" w14:textId="77777777" w:rsidR="002827CC" w:rsidRPr="00921EF2" w:rsidRDefault="00425A5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</w:t>
      </w:r>
      <w:r w:rsidR="00A72E34" w:rsidRPr="00921EF2">
        <w:rPr>
          <w:sz w:val="22"/>
          <w:szCs w:val="22"/>
          <w:lang w:val="sk-SK"/>
        </w:rPr>
        <w:t>zníženie koagulačných faktor</w:t>
      </w:r>
      <w:r w:rsidR="005B65CD" w:rsidRPr="00921EF2">
        <w:rPr>
          <w:sz w:val="22"/>
          <w:szCs w:val="22"/>
          <w:lang w:val="sk-SK"/>
        </w:rPr>
        <w:t>ov (najmenej j</w:t>
      </w:r>
      <w:r w:rsidR="00A72E34" w:rsidRPr="00921EF2">
        <w:rPr>
          <w:sz w:val="22"/>
          <w:szCs w:val="22"/>
          <w:lang w:val="sk-SK"/>
        </w:rPr>
        <w:t xml:space="preserve">eden), </w:t>
      </w:r>
      <w:r w:rsidRPr="00921EF2">
        <w:rPr>
          <w:sz w:val="22"/>
          <w:szCs w:val="22"/>
          <w:lang w:val="sk-SK"/>
        </w:rPr>
        <w:t>abnormálne koagulačné testy (napr. predĺžený protrombínový čas, predĺžený aktivovaný parciálny tromboplastínový čas, predĺžený trombínový</w:t>
      </w:r>
      <w:r w:rsidR="00E0388A" w:rsidRPr="00921EF2">
        <w:rPr>
          <w:sz w:val="22"/>
          <w:szCs w:val="22"/>
          <w:lang w:val="sk-SK"/>
        </w:rPr>
        <w:t xml:space="preserve"> čas, predĺžené INR) (pozri časti</w:t>
      </w:r>
      <w:r w:rsidRPr="00921EF2">
        <w:rPr>
          <w:sz w:val="22"/>
          <w:szCs w:val="22"/>
          <w:lang w:val="sk-SK"/>
        </w:rPr>
        <w:t xml:space="preserve"> 4.4 a 4.6)</w:t>
      </w:r>
      <w:r w:rsidR="00B2367A" w:rsidRPr="00921EF2">
        <w:rPr>
          <w:sz w:val="22"/>
          <w:szCs w:val="22"/>
          <w:lang w:val="sk-SK"/>
        </w:rPr>
        <w:t>, biotínová deficiencia/biotinidázová deficiencia</w:t>
      </w:r>
      <w:r w:rsidR="00C833E8" w:rsidRPr="00921EF2">
        <w:rPr>
          <w:sz w:val="22"/>
          <w:szCs w:val="22"/>
          <w:lang w:val="sk-SK"/>
        </w:rPr>
        <w:t>.</w:t>
      </w:r>
    </w:p>
    <w:p w14:paraId="2152F830" w14:textId="77777777" w:rsidR="007F62EB" w:rsidRPr="00921EF2" w:rsidRDefault="007F62EB" w:rsidP="00B124D9">
      <w:pPr>
        <w:rPr>
          <w:sz w:val="22"/>
          <w:szCs w:val="22"/>
          <w:u w:val="single"/>
          <w:lang w:val="sk-SK"/>
        </w:rPr>
      </w:pPr>
    </w:p>
    <w:p w14:paraId="07081665" w14:textId="01EDFD5C" w:rsidR="009F0968" w:rsidRPr="00921EF2" w:rsidRDefault="009F096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Vzhľadom </w:t>
      </w:r>
      <w:r w:rsidR="007E7176" w:rsidRPr="00921EF2">
        <w:rPr>
          <w:sz w:val="22"/>
          <w:szCs w:val="22"/>
          <w:lang w:val="sk-SK"/>
        </w:rPr>
        <w:t>na</w:t>
      </w:r>
      <w:r w:rsidRPr="00921EF2">
        <w:rPr>
          <w:sz w:val="22"/>
          <w:szCs w:val="22"/>
          <w:lang w:val="sk-SK"/>
        </w:rPr>
        <w:t xml:space="preserve"> to, že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sa vylučuje predovšetkým obličkami čiastočne vo forme ketolátok, môžu u pacientov s diabetom vyjsť falošne pozitívne testy na vylučovanie ketónov.</w:t>
      </w:r>
    </w:p>
    <w:p w14:paraId="5C4FC2B5" w14:textId="77777777" w:rsidR="009F0968" w:rsidRPr="00921EF2" w:rsidRDefault="009F0968" w:rsidP="00B124D9">
      <w:pPr>
        <w:rPr>
          <w:sz w:val="22"/>
          <w:szCs w:val="22"/>
          <w:u w:val="single"/>
          <w:lang w:val="sk-SK"/>
        </w:rPr>
      </w:pPr>
    </w:p>
    <w:p w14:paraId="7AED856C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kože a podkožného tkaniva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0524811D" w14:textId="77777777" w:rsidR="00371908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precitlivenosť, prechodná a/alebo od dávky závislá alopécia</w:t>
      </w:r>
      <w:r w:rsidR="007E7C88" w:rsidRPr="00921EF2">
        <w:rPr>
          <w:sz w:val="22"/>
          <w:szCs w:val="22"/>
          <w:lang w:val="sk-SK"/>
        </w:rPr>
        <w:t>, poruchy nechtov a nechtového lôžka</w:t>
      </w:r>
      <w:r w:rsidRPr="00921EF2">
        <w:rPr>
          <w:sz w:val="22"/>
          <w:szCs w:val="22"/>
          <w:lang w:val="sk-SK"/>
        </w:rPr>
        <w:t>.</w:t>
      </w:r>
    </w:p>
    <w:p w14:paraId="6479F932" w14:textId="77777777" w:rsidR="00371908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angioedém, vyrážka</w:t>
      </w:r>
      <w:r w:rsidR="00B44753" w:rsidRPr="00921EF2">
        <w:rPr>
          <w:sz w:val="22"/>
          <w:szCs w:val="22"/>
          <w:lang w:val="sk-SK"/>
        </w:rPr>
        <w:t>, porucha vlasov (abnormálna štruktúra vlasov, zmena farby vlasov, abnormálny rast vlasov)</w:t>
      </w:r>
      <w:r w:rsidRPr="00921EF2">
        <w:rPr>
          <w:sz w:val="22"/>
          <w:szCs w:val="22"/>
          <w:lang w:val="sk-SK"/>
        </w:rPr>
        <w:t>.</w:t>
      </w:r>
    </w:p>
    <w:p w14:paraId="3659CDD4" w14:textId="77777777" w:rsidR="00977BF3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</w:t>
      </w:r>
      <w:r w:rsidR="00977BF3" w:rsidRPr="00921EF2">
        <w:rPr>
          <w:i/>
          <w:sz w:val="22"/>
          <w:szCs w:val="22"/>
          <w:lang w:val="sk-SK"/>
        </w:rPr>
        <w:t>riedkavé:</w:t>
      </w:r>
      <w:r w:rsidR="00977BF3" w:rsidRPr="00921EF2">
        <w:rPr>
          <w:sz w:val="22"/>
          <w:szCs w:val="22"/>
          <w:lang w:val="sk-SK"/>
        </w:rPr>
        <w:t xml:space="preserve"> toxická epidermálna nekrolýza, Stevensov-Johnsonov syndróm</w:t>
      </w:r>
      <w:r w:rsidR="004E54EE" w:rsidRPr="00921EF2">
        <w:rPr>
          <w:sz w:val="22"/>
          <w:szCs w:val="22"/>
          <w:lang w:val="sk-SK"/>
        </w:rPr>
        <w:t>,</w:t>
      </w:r>
      <w:r w:rsidR="00977BF3" w:rsidRPr="00921EF2">
        <w:rPr>
          <w:sz w:val="22"/>
          <w:szCs w:val="22"/>
          <w:lang w:val="sk-SK"/>
        </w:rPr>
        <w:t xml:space="preserve"> multiformný erytém</w:t>
      </w:r>
      <w:r w:rsidR="00770E1E" w:rsidRPr="00921EF2">
        <w:rPr>
          <w:sz w:val="22"/>
          <w:szCs w:val="22"/>
          <w:lang w:val="sk-SK"/>
        </w:rPr>
        <w:t xml:space="preserve">, </w:t>
      </w:r>
      <w:r w:rsidR="00C61F82" w:rsidRPr="00921EF2">
        <w:rPr>
          <w:sz w:val="22"/>
          <w:szCs w:val="22"/>
          <w:lang w:val="sk-SK"/>
        </w:rPr>
        <w:t>liekový hypersenzitívny syndróm [Drug Rash with Eosinophilia and Systemic Symptoms (DRESS) syndrome]</w:t>
      </w:r>
      <w:r w:rsidR="00610EE4" w:rsidRPr="00921EF2">
        <w:rPr>
          <w:sz w:val="22"/>
          <w:szCs w:val="22"/>
          <w:lang w:val="sk-SK"/>
        </w:rPr>
        <w:t>.</w:t>
      </w:r>
    </w:p>
    <w:p w14:paraId="2E3A0F9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475CC76" w14:textId="77777777" w:rsidR="00C61F82" w:rsidRPr="00921EF2" w:rsidRDefault="00C61F82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kostrovej a svalovej sústavy a spojivového tkaniva:</w:t>
      </w:r>
    </w:p>
    <w:p w14:paraId="363176DA" w14:textId="77777777" w:rsidR="00C61F82" w:rsidRPr="00921EF2" w:rsidRDefault="00A477AA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zníženie kostnej denzity, osteopénia, osteoporóza a zlomeniny u pacientov, ktorí sú dlhodobo li</w:t>
      </w:r>
      <w:r w:rsidR="00815AE5" w:rsidRPr="00921EF2">
        <w:rPr>
          <w:sz w:val="22"/>
          <w:szCs w:val="22"/>
          <w:lang w:val="sk-SK"/>
        </w:rPr>
        <w:t>e</w:t>
      </w:r>
      <w:r w:rsidRPr="00921EF2">
        <w:rPr>
          <w:sz w:val="22"/>
          <w:szCs w:val="22"/>
          <w:lang w:val="sk-SK"/>
        </w:rPr>
        <w:t xml:space="preserve">čení </w:t>
      </w:r>
      <w:r w:rsidR="00361C4F" w:rsidRPr="00921EF2">
        <w:rPr>
          <w:sz w:val="22"/>
          <w:szCs w:val="22"/>
          <w:lang w:val="sk-SK"/>
        </w:rPr>
        <w:t>Orfiril long</w:t>
      </w:r>
      <w:r w:rsidRPr="00921EF2">
        <w:rPr>
          <w:sz w:val="22"/>
          <w:szCs w:val="22"/>
          <w:lang w:val="sk-SK"/>
        </w:rPr>
        <w:t xml:space="preserve">. Mechanizmus, ktorým </w:t>
      </w:r>
      <w:r w:rsidR="00361C4F" w:rsidRPr="00921EF2">
        <w:rPr>
          <w:sz w:val="22"/>
          <w:szCs w:val="22"/>
          <w:lang w:val="sk-SK"/>
        </w:rPr>
        <w:t xml:space="preserve">Orfiril long </w:t>
      </w:r>
      <w:r w:rsidRPr="00921EF2">
        <w:rPr>
          <w:sz w:val="22"/>
          <w:szCs w:val="22"/>
          <w:lang w:val="sk-SK"/>
        </w:rPr>
        <w:t>ovplyvňuje kostný metabolizmus,</w:t>
      </w:r>
      <w:r w:rsidR="00815AE5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zatiaľ nebol určený.</w:t>
      </w:r>
    </w:p>
    <w:p w14:paraId="22A95493" w14:textId="77777777" w:rsidR="00490C44" w:rsidRPr="00921EF2" w:rsidRDefault="00490C44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systémový lupus erythematosus (pozri časť 4.4)</w:t>
      </w:r>
      <w:r w:rsidR="006276D4" w:rsidRPr="00921EF2">
        <w:rPr>
          <w:sz w:val="22"/>
          <w:szCs w:val="22"/>
          <w:lang w:val="sk-SK"/>
        </w:rPr>
        <w:t>, rabdomyolýza (pozri časť 4.4)</w:t>
      </w:r>
      <w:r w:rsidRPr="00921EF2">
        <w:rPr>
          <w:sz w:val="22"/>
          <w:szCs w:val="22"/>
          <w:lang w:val="sk-SK"/>
        </w:rPr>
        <w:t>.</w:t>
      </w:r>
    </w:p>
    <w:p w14:paraId="551E5AE6" w14:textId="77777777" w:rsidR="00C61F82" w:rsidRPr="00921EF2" w:rsidRDefault="00C61F82" w:rsidP="00B124D9">
      <w:pPr>
        <w:rPr>
          <w:sz w:val="22"/>
          <w:szCs w:val="22"/>
          <w:lang w:val="sk-SK"/>
        </w:rPr>
      </w:pPr>
    </w:p>
    <w:p w14:paraId="08921F0C" w14:textId="77777777" w:rsidR="00490C44" w:rsidRPr="00921EF2" w:rsidRDefault="00490C44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endokrinného systému:</w:t>
      </w:r>
    </w:p>
    <w:p w14:paraId="68BDBBA4" w14:textId="77777777" w:rsidR="00490C44" w:rsidRPr="00921EF2" w:rsidRDefault="00490C44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syndróm neprimeranej sekrécie </w:t>
      </w:r>
      <w:r w:rsidR="002876E6" w:rsidRPr="00921EF2">
        <w:rPr>
          <w:sz w:val="22"/>
          <w:szCs w:val="22"/>
          <w:lang w:val="sk-SK"/>
        </w:rPr>
        <w:t xml:space="preserve">antidiuretického hormónu </w:t>
      </w:r>
      <w:r w:rsidRPr="00921EF2">
        <w:rPr>
          <w:sz w:val="22"/>
          <w:szCs w:val="22"/>
          <w:lang w:val="sk-SK"/>
        </w:rPr>
        <w:t>(SIADH)</w:t>
      </w:r>
      <w:r w:rsidR="0050109F" w:rsidRPr="00921EF2">
        <w:rPr>
          <w:sz w:val="22"/>
          <w:szCs w:val="22"/>
          <w:lang w:val="sk-SK"/>
        </w:rPr>
        <w:t xml:space="preserve">, hyperandrogenizmus (hirzutizmus, virilizmus, akné, alopécia mužského typu a/alebo </w:t>
      </w:r>
      <w:r w:rsidR="008F3A84" w:rsidRPr="00921EF2">
        <w:rPr>
          <w:sz w:val="22"/>
          <w:szCs w:val="22"/>
          <w:lang w:val="sk-SK"/>
        </w:rPr>
        <w:t xml:space="preserve">zvýšená hladina </w:t>
      </w:r>
      <w:r w:rsidR="0050109F" w:rsidRPr="00921EF2">
        <w:rPr>
          <w:sz w:val="22"/>
          <w:szCs w:val="22"/>
          <w:lang w:val="sk-SK"/>
        </w:rPr>
        <w:t>androgén</w:t>
      </w:r>
      <w:r w:rsidR="00F71B88" w:rsidRPr="00921EF2">
        <w:rPr>
          <w:sz w:val="22"/>
          <w:szCs w:val="22"/>
          <w:lang w:val="sk-SK"/>
        </w:rPr>
        <w:t>ov</w:t>
      </w:r>
      <w:r w:rsidR="0050109F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>.</w:t>
      </w:r>
    </w:p>
    <w:p w14:paraId="51D469D4" w14:textId="77777777" w:rsidR="00490C44" w:rsidRPr="00921EF2" w:rsidRDefault="002C2F1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hypotyreóza</w:t>
      </w:r>
      <w:r w:rsidR="00490C44" w:rsidRPr="00921EF2">
        <w:rPr>
          <w:sz w:val="22"/>
          <w:szCs w:val="22"/>
          <w:lang w:val="sk-SK"/>
        </w:rPr>
        <w:t xml:space="preserve"> (pozri časť 4.6).</w:t>
      </w:r>
    </w:p>
    <w:p w14:paraId="5CECCF64" w14:textId="77777777" w:rsidR="0065386E" w:rsidRPr="00921EF2" w:rsidRDefault="0065386E" w:rsidP="00B124D9">
      <w:pPr>
        <w:rPr>
          <w:bCs/>
          <w:sz w:val="22"/>
          <w:szCs w:val="22"/>
          <w:u w:val="single"/>
          <w:lang w:val="sk-SK"/>
        </w:rPr>
      </w:pPr>
    </w:p>
    <w:p w14:paraId="03DD2651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reprodukčného systému</w:t>
      </w:r>
      <w:r w:rsidR="00610EE4" w:rsidRPr="00921EF2">
        <w:rPr>
          <w:bCs/>
          <w:sz w:val="22"/>
          <w:szCs w:val="22"/>
          <w:u w:val="single"/>
          <w:lang w:val="sk-SK"/>
        </w:rPr>
        <w:t xml:space="preserve"> a prsníkov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5613B5FC" w14:textId="77777777" w:rsidR="00364B57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dysmenorea.</w:t>
      </w:r>
    </w:p>
    <w:p w14:paraId="4D39661A" w14:textId="77777777" w:rsidR="00977BF3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a</w:t>
      </w:r>
      <w:r w:rsidR="00977BF3" w:rsidRPr="00921EF2">
        <w:rPr>
          <w:sz w:val="22"/>
          <w:szCs w:val="22"/>
          <w:lang w:val="sk-SK"/>
        </w:rPr>
        <w:t>menorea.</w:t>
      </w:r>
    </w:p>
    <w:p w14:paraId="2E0EE051" w14:textId="77777777" w:rsidR="0002678B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m</w:t>
      </w:r>
      <w:r w:rsidR="0002678B" w:rsidRPr="00921EF2">
        <w:rPr>
          <w:sz w:val="22"/>
          <w:szCs w:val="22"/>
          <w:lang w:val="sk-SK"/>
        </w:rPr>
        <w:t>užská neplodnosť</w:t>
      </w:r>
      <w:r w:rsidRPr="00921EF2">
        <w:rPr>
          <w:sz w:val="22"/>
          <w:szCs w:val="22"/>
          <w:lang w:val="sk-SK"/>
        </w:rPr>
        <w:t>, polycystické vaječníky</w:t>
      </w:r>
      <w:r w:rsidR="0002678B" w:rsidRPr="00921EF2">
        <w:rPr>
          <w:sz w:val="22"/>
          <w:szCs w:val="22"/>
          <w:lang w:val="sk-SK"/>
        </w:rPr>
        <w:t>.</w:t>
      </w:r>
    </w:p>
    <w:p w14:paraId="0BC05A59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56B06B" w14:textId="77777777" w:rsidR="00977BF3" w:rsidRPr="00921EF2" w:rsidRDefault="00610EE4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</w:t>
      </w:r>
      <w:r w:rsidR="00977BF3" w:rsidRPr="00921EF2">
        <w:rPr>
          <w:bCs/>
          <w:sz w:val="22"/>
          <w:szCs w:val="22"/>
          <w:u w:val="single"/>
          <w:lang w:val="sk-SK"/>
        </w:rPr>
        <w:t>oruchy</w:t>
      </w:r>
      <w:r w:rsidRPr="00921EF2">
        <w:rPr>
          <w:bCs/>
          <w:sz w:val="22"/>
          <w:szCs w:val="22"/>
          <w:u w:val="single"/>
          <w:lang w:val="sk-SK"/>
        </w:rPr>
        <w:t xml:space="preserve"> ciev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31BAD988" w14:textId="77777777" w:rsidR="000F3E22" w:rsidRPr="00921EF2" w:rsidRDefault="000F3E2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hemorágia (pozri časti 4.4 a 4.6).</w:t>
      </w:r>
    </w:p>
    <w:p w14:paraId="6837F62B" w14:textId="77777777" w:rsidR="00977BF3" w:rsidRPr="00921EF2" w:rsidRDefault="000F3E2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v</w:t>
      </w:r>
      <w:r w:rsidR="00610EE4" w:rsidRPr="00921EF2">
        <w:rPr>
          <w:sz w:val="22"/>
          <w:szCs w:val="22"/>
          <w:lang w:val="sk-SK"/>
        </w:rPr>
        <w:t>askulitída</w:t>
      </w:r>
      <w:r w:rsidR="00977BF3" w:rsidRPr="00921EF2">
        <w:rPr>
          <w:sz w:val="22"/>
          <w:szCs w:val="22"/>
          <w:lang w:val="sk-SK"/>
        </w:rPr>
        <w:t>.</w:t>
      </w:r>
    </w:p>
    <w:p w14:paraId="45EBBF9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020DF64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ucha</w:t>
      </w:r>
      <w:r w:rsidR="00610EE4" w:rsidRPr="00921EF2">
        <w:rPr>
          <w:bCs/>
          <w:sz w:val="22"/>
          <w:szCs w:val="22"/>
          <w:u w:val="single"/>
          <w:lang w:val="sk-SK"/>
        </w:rPr>
        <w:t xml:space="preserve"> a labyrintu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0826BE46" w14:textId="77777777" w:rsidR="00977BF3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</w:t>
      </w:r>
      <w:r w:rsidR="000B2963" w:rsidRPr="00921EF2">
        <w:rPr>
          <w:sz w:val="22"/>
          <w:szCs w:val="22"/>
          <w:lang w:val="sk-SK"/>
        </w:rPr>
        <w:t>hluchota</w:t>
      </w:r>
      <w:r w:rsidR="00977BF3" w:rsidRPr="00921EF2">
        <w:rPr>
          <w:sz w:val="22"/>
          <w:szCs w:val="22"/>
          <w:lang w:val="sk-SK"/>
        </w:rPr>
        <w:t xml:space="preserve">. </w:t>
      </w:r>
    </w:p>
    <w:p w14:paraId="515E26B9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4005E44" w14:textId="77777777" w:rsidR="00C833E8" w:rsidRPr="00921EF2" w:rsidRDefault="00C833E8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dýchacej sústavy, hrudníka a mediastína:</w:t>
      </w:r>
    </w:p>
    <w:p w14:paraId="3D2D23CE" w14:textId="77777777" w:rsidR="00C833E8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pleurálny výpotok.</w:t>
      </w:r>
    </w:p>
    <w:p w14:paraId="07C36C28" w14:textId="77777777" w:rsidR="00F760E7" w:rsidRPr="005E746B" w:rsidRDefault="00F760E7" w:rsidP="00F760E7">
      <w:pPr>
        <w:pStyle w:val="Normlnywebov"/>
        <w:spacing w:after="0"/>
        <w:rPr>
          <w:sz w:val="22"/>
        </w:rPr>
      </w:pPr>
      <w:r w:rsidRPr="005E746B">
        <w:rPr>
          <w:i/>
          <w:sz w:val="22"/>
        </w:rPr>
        <w:t>N</w:t>
      </w:r>
      <w:r w:rsidR="008E342B" w:rsidRPr="005E746B">
        <w:rPr>
          <w:i/>
          <w:sz w:val="22"/>
        </w:rPr>
        <w:t>eznáme</w:t>
      </w:r>
      <w:r w:rsidRPr="005E746B">
        <w:rPr>
          <w:i/>
          <w:sz w:val="22"/>
        </w:rPr>
        <w:t xml:space="preserve">: </w:t>
      </w:r>
      <w:r w:rsidR="00067558" w:rsidRPr="00921EF2">
        <w:rPr>
          <w:sz w:val="22"/>
          <w:szCs w:val="22"/>
        </w:rPr>
        <w:t xml:space="preserve">eozinofilná pleurálna efúzia </w:t>
      </w:r>
    </w:p>
    <w:p w14:paraId="6F18F798" w14:textId="77777777" w:rsidR="00F760E7" w:rsidRPr="00921EF2" w:rsidRDefault="00F760E7">
      <w:pPr>
        <w:rPr>
          <w:bCs/>
          <w:sz w:val="22"/>
          <w:szCs w:val="22"/>
          <w:u w:val="single"/>
          <w:lang w:val="sk-SK"/>
        </w:rPr>
      </w:pPr>
    </w:p>
    <w:p w14:paraId="2BDF83D9" w14:textId="77777777" w:rsidR="00977BF3" w:rsidRPr="00921EF2" w:rsidRDefault="00977BF3" w:rsidP="005C64C0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obličiek a močových cies</w:t>
      </w:r>
      <w:r w:rsidRPr="00921EF2">
        <w:rPr>
          <w:sz w:val="22"/>
          <w:szCs w:val="22"/>
          <w:u w:val="single"/>
          <w:lang w:val="sk-SK"/>
        </w:rPr>
        <w:t>t</w:t>
      </w:r>
      <w:r w:rsidR="006A49B7" w:rsidRPr="00921EF2">
        <w:rPr>
          <w:sz w:val="22"/>
          <w:szCs w:val="22"/>
          <w:u w:val="single"/>
          <w:lang w:val="sk-SK"/>
        </w:rPr>
        <w:t>:</w:t>
      </w:r>
    </w:p>
    <w:p w14:paraId="38D1D89A" w14:textId="77777777" w:rsidR="0065386E" w:rsidRPr="00921EF2" w:rsidRDefault="0065386E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inkontinencia moču.</w:t>
      </w:r>
    </w:p>
    <w:p w14:paraId="656F4B55" w14:textId="77777777" w:rsidR="00266332" w:rsidRPr="00921EF2" w:rsidRDefault="0026633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zlyhanie obličiek</w:t>
      </w:r>
      <w:r w:rsidR="0065386E" w:rsidRPr="00921EF2">
        <w:rPr>
          <w:sz w:val="22"/>
          <w:szCs w:val="22"/>
          <w:lang w:val="sk-SK"/>
        </w:rPr>
        <w:t>.</w:t>
      </w:r>
    </w:p>
    <w:p w14:paraId="79A9EF57" w14:textId="77777777" w:rsidR="00977BF3" w:rsidRPr="00921EF2" w:rsidRDefault="006338A9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</w:t>
      </w:r>
      <w:r w:rsidR="00977BF3" w:rsidRPr="00921EF2">
        <w:rPr>
          <w:i/>
          <w:sz w:val="22"/>
          <w:szCs w:val="22"/>
          <w:lang w:val="sk-SK"/>
        </w:rPr>
        <w:t>riedkavé:</w:t>
      </w:r>
      <w:r w:rsidR="00977BF3" w:rsidRPr="00921EF2">
        <w:rPr>
          <w:sz w:val="22"/>
          <w:szCs w:val="22"/>
          <w:lang w:val="sk-SK"/>
        </w:rPr>
        <w:t xml:space="preserve"> enuréza</w:t>
      </w:r>
      <w:r w:rsidRPr="00921EF2">
        <w:rPr>
          <w:sz w:val="22"/>
          <w:szCs w:val="22"/>
          <w:lang w:val="sk-SK"/>
        </w:rPr>
        <w:t xml:space="preserve">, </w:t>
      </w:r>
      <w:r w:rsidR="00266332" w:rsidRPr="00921EF2">
        <w:rPr>
          <w:sz w:val="22"/>
          <w:szCs w:val="22"/>
          <w:lang w:val="sk-SK"/>
        </w:rPr>
        <w:t xml:space="preserve">tubulointersticiálna nefritída, </w:t>
      </w:r>
      <w:r w:rsidR="00977BF3" w:rsidRPr="00921EF2">
        <w:rPr>
          <w:sz w:val="22"/>
          <w:szCs w:val="22"/>
          <w:lang w:val="sk-SK"/>
        </w:rPr>
        <w:t>reverzibiln</w:t>
      </w:r>
      <w:r w:rsidRPr="00921EF2">
        <w:rPr>
          <w:sz w:val="22"/>
          <w:szCs w:val="22"/>
          <w:lang w:val="sk-SK"/>
        </w:rPr>
        <w:t>ý</w:t>
      </w:r>
      <w:r w:rsidR="00977BF3" w:rsidRPr="00921EF2">
        <w:rPr>
          <w:sz w:val="22"/>
          <w:szCs w:val="22"/>
          <w:lang w:val="sk-SK"/>
        </w:rPr>
        <w:t xml:space="preserve"> Fanconiho syndróm, avšak mechanizmus účinku nie je zatiaľ známy.</w:t>
      </w:r>
    </w:p>
    <w:p w14:paraId="074FD94A" w14:textId="77777777" w:rsidR="00F760E7" w:rsidRPr="005E746B" w:rsidRDefault="0055753D" w:rsidP="00F760E7">
      <w:pPr>
        <w:pStyle w:val="Normlnywebov"/>
        <w:spacing w:after="0"/>
        <w:rPr>
          <w:sz w:val="22"/>
        </w:rPr>
      </w:pPr>
      <w:r w:rsidRPr="005E746B">
        <w:rPr>
          <w:i/>
          <w:sz w:val="22"/>
        </w:rPr>
        <w:t>Neznáme</w:t>
      </w:r>
      <w:r w:rsidR="00F760E7" w:rsidRPr="005E746B">
        <w:rPr>
          <w:i/>
          <w:sz w:val="22"/>
        </w:rPr>
        <w:t>:</w:t>
      </w:r>
      <w:r w:rsidR="00F760E7" w:rsidRPr="005E746B">
        <w:rPr>
          <w:sz w:val="22"/>
        </w:rPr>
        <w:t xml:space="preserve"> </w:t>
      </w:r>
      <w:r w:rsidRPr="00921EF2">
        <w:rPr>
          <w:sz w:val="22"/>
          <w:szCs w:val="22"/>
        </w:rPr>
        <w:t>zhoršenie funkcie obličiek</w:t>
      </w:r>
      <w:r w:rsidRPr="005E746B">
        <w:rPr>
          <w:sz w:val="22"/>
        </w:rPr>
        <w:t xml:space="preserve"> </w:t>
      </w:r>
    </w:p>
    <w:p w14:paraId="1D4FA8F4" w14:textId="77777777" w:rsidR="00F760E7" w:rsidRPr="00921EF2" w:rsidRDefault="00F760E7">
      <w:pPr>
        <w:rPr>
          <w:bCs/>
          <w:sz w:val="22"/>
          <w:szCs w:val="22"/>
          <w:u w:val="single"/>
          <w:lang w:val="sk-SK"/>
        </w:rPr>
      </w:pPr>
    </w:p>
    <w:p w14:paraId="14114D8B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Celkové poruchy a reakcie v mieste podania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76D88A1C" w14:textId="77777777" w:rsidR="00977BF3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lastRenderedPageBreak/>
        <w:t>Menej časté</w:t>
      </w:r>
      <w:r w:rsidR="00977BF3" w:rsidRPr="00921EF2">
        <w:rPr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</w:t>
      </w:r>
      <w:r w:rsidR="00EA3380" w:rsidRPr="00921EF2">
        <w:rPr>
          <w:sz w:val="22"/>
          <w:szCs w:val="22"/>
          <w:lang w:val="sk-SK"/>
        </w:rPr>
        <w:t xml:space="preserve">hypotermia, </w:t>
      </w:r>
      <w:r w:rsidR="00977BF3" w:rsidRPr="00921EF2">
        <w:rPr>
          <w:sz w:val="22"/>
          <w:szCs w:val="22"/>
          <w:lang w:val="sk-SK"/>
        </w:rPr>
        <w:t>nezávažný periférny edém.</w:t>
      </w:r>
    </w:p>
    <w:p w14:paraId="6C375259" w14:textId="77777777" w:rsidR="005506BA" w:rsidRPr="00921EF2" w:rsidRDefault="005506BA" w:rsidP="00B124D9">
      <w:pPr>
        <w:rPr>
          <w:sz w:val="22"/>
          <w:szCs w:val="22"/>
          <w:lang w:val="sk-SK"/>
        </w:rPr>
      </w:pPr>
    </w:p>
    <w:p w14:paraId="215F1C0A" w14:textId="77777777" w:rsidR="005506BA" w:rsidRPr="00921EF2" w:rsidRDefault="005506BA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Psychické poruchy:</w:t>
      </w:r>
    </w:p>
    <w:p w14:paraId="58C38146" w14:textId="77777777" w:rsidR="00E21213" w:rsidRPr="00921EF2" w:rsidRDefault="00E2121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stav z</w:t>
      </w:r>
      <w:r w:rsidR="005506BA" w:rsidRPr="00921EF2">
        <w:rPr>
          <w:sz w:val="22"/>
          <w:szCs w:val="22"/>
          <w:lang w:val="sk-SK"/>
        </w:rPr>
        <w:t>mätenos</w:t>
      </w:r>
      <w:r w:rsidRPr="00921EF2">
        <w:rPr>
          <w:sz w:val="22"/>
          <w:szCs w:val="22"/>
          <w:lang w:val="sk-SK"/>
        </w:rPr>
        <w:t>ti</w:t>
      </w:r>
      <w:r w:rsidR="00CE39B0" w:rsidRPr="00921EF2">
        <w:rPr>
          <w:sz w:val="22"/>
          <w:szCs w:val="22"/>
          <w:lang w:val="sk-SK"/>
        </w:rPr>
        <w:t xml:space="preserve">, </w:t>
      </w:r>
      <w:r w:rsidR="00EA3380" w:rsidRPr="00921EF2">
        <w:rPr>
          <w:sz w:val="22"/>
          <w:szCs w:val="22"/>
          <w:lang w:val="sk-SK"/>
        </w:rPr>
        <w:t xml:space="preserve">halucinácie, </w:t>
      </w:r>
      <w:r w:rsidRPr="00921EF2">
        <w:rPr>
          <w:sz w:val="22"/>
          <w:szCs w:val="22"/>
          <w:lang w:val="sk-SK"/>
        </w:rPr>
        <w:t>agresia*, agitácia*, porucha pozornosti*.</w:t>
      </w:r>
    </w:p>
    <w:p w14:paraId="5F434BDF" w14:textId="77777777" w:rsidR="005506BA" w:rsidRPr="00921EF2" w:rsidRDefault="00E2121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abnormálne správanie*, psychomotorická hyperaktivita*, poruchy učenia*</w:t>
      </w:r>
      <w:r w:rsidR="000A1FD6" w:rsidRPr="00921EF2">
        <w:rPr>
          <w:sz w:val="22"/>
          <w:szCs w:val="22"/>
          <w:lang w:val="sk-SK"/>
        </w:rPr>
        <w:t>.</w:t>
      </w:r>
    </w:p>
    <w:p w14:paraId="33C28400" w14:textId="77777777" w:rsidR="005506BA" w:rsidRPr="00921EF2" w:rsidRDefault="002312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* </w:t>
      </w:r>
      <w:r w:rsidR="00E21213" w:rsidRPr="00921EF2">
        <w:rPr>
          <w:sz w:val="22"/>
          <w:szCs w:val="22"/>
          <w:lang w:val="sk-SK"/>
        </w:rPr>
        <w:t>Tieto nežiaduce účinky sú pozorované najmä u detskej populácie.</w:t>
      </w:r>
    </w:p>
    <w:p w14:paraId="484ED39C" w14:textId="77777777" w:rsidR="00C22306" w:rsidRPr="00921EF2" w:rsidRDefault="00C22306" w:rsidP="005C64C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8D8D3" w14:textId="77777777" w:rsidR="00C22306" w:rsidRPr="00921EF2" w:rsidRDefault="00C22306" w:rsidP="00B124D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21EF2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3B42BF44" w14:textId="77777777" w:rsidR="00C22306" w:rsidRPr="00921EF2" w:rsidRDefault="00C22306" w:rsidP="00B124D9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21EF2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921EF2">
        <w:rPr>
          <w:sz w:val="22"/>
          <w:szCs w:val="22"/>
          <w:lang w:val="sk-SK"/>
        </w:rPr>
        <w:t xml:space="preserve"> </w:t>
      </w:r>
      <w:r w:rsidRPr="00921EF2">
        <w:rPr>
          <w:noProof/>
          <w:sz w:val="22"/>
          <w:szCs w:val="22"/>
          <w:lang w:val="sk-SK"/>
        </w:rPr>
        <w:t>Umožňuje priebežné monitorovanie pomeru prínosu</w:t>
      </w:r>
      <w:r w:rsidRPr="00921EF2">
        <w:rPr>
          <w:sz w:val="22"/>
          <w:szCs w:val="22"/>
          <w:lang w:val="sk-SK"/>
        </w:rPr>
        <w:t xml:space="preserve"> a</w:t>
      </w:r>
      <w:r w:rsidRPr="00921EF2">
        <w:rPr>
          <w:noProof/>
          <w:sz w:val="22"/>
          <w:szCs w:val="22"/>
          <w:lang w:val="sk-SK"/>
        </w:rPr>
        <w:t> rizika lieku.</w:t>
      </w:r>
      <w:r w:rsidRPr="00921EF2">
        <w:rPr>
          <w:sz w:val="22"/>
          <w:szCs w:val="22"/>
          <w:lang w:val="sk-SK"/>
        </w:rPr>
        <w:t xml:space="preserve"> Od </w:t>
      </w:r>
      <w:r w:rsidRPr="00921EF2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2742A7" w:rsidRPr="00921EF2">
        <w:rPr>
          <w:noProof/>
          <w:sz w:val="22"/>
          <w:szCs w:val="22"/>
          <w:lang w:val="sk-SK"/>
        </w:rPr>
        <w:t>na</w:t>
      </w:r>
      <w:r w:rsidRPr="00921EF2">
        <w:rPr>
          <w:noProof/>
          <w:sz w:val="22"/>
          <w:szCs w:val="22"/>
          <w:lang w:val="sk-SK"/>
        </w:rPr>
        <w:t xml:space="preserve"> </w:t>
      </w:r>
      <w:r w:rsidRPr="001B59B9">
        <w:rPr>
          <w:sz w:val="22"/>
          <w:highlight w:val="lightGray"/>
          <w:lang w:val="sk-SK"/>
        </w:rPr>
        <w:t xml:space="preserve">národné </w:t>
      </w:r>
      <w:r w:rsidR="002742A7" w:rsidRPr="001B59B9">
        <w:rPr>
          <w:sz w:val="22"/>
          <w:highlight w:val="lightGray"/>
          <w:lang w:val="sk-SK"/>
        </w:rPr>
        <w:t>centrum</w:t>
      </w:r>
      <w:r w:rsidRPr="001B59B9">
        <w:rPr>
          <w:sz w:val="22"/>
          <w:highlight w:val="lightGray"/>
          <w:lang w:val="sk-SK"/>
        </w:rPr>
        <w:t xml:space="preserve"> hlásenia uvedené v </w:t>
      </w:r>
      <w:hyperlink r:id="rId8" w:history="1">
        <w:r w:rsidRPr="00921EF2">
          <w:rPr>
            <w:rStyle w:val="Hypertextovprepojenie"/>
            <w:sz w:val="22"/>
            <w:highlight w:val="lightGray"/>
            <w:lang w:val="sk-SK"/>
          </w:rPr>
          <w:t>P</w:t>
        </w:r>
        <w:r w:rsidRPr="005E746B">
          <w:rPr>
            <w:rStyle w:val="Hypertextovprepojenie"/>
            <w:sz w:val="22"/>
            <w:highlight w:val="lightGray"/>
            <w:lang w:val="sk-SK"/>
          </w:rPr>
          <w:t xml:space="preserve">rílohe </w:t>
        </w:r>
        <w:r w:rsidRPr="00921EF2">
          <w:rPr>
            <w:rStyle w:val="Hypertextovprepojenie"/>
            <w:sz w:val="22"/>
            <w:highlight w:val="lightGray"/>
            <w:lang w:val="sk-SK"/>
          </w:rPr>
          <w:t>V</w:t>
        </w:r>
      </w:hyperlink>
      <w:r w:rsidRPr="001B59B9">
        <w:rPr>
          <w:sz w:val="22"/>
          <w:highlight w:val="lightGray"/>
          <w:lang w:val="sk-SK"/>
        </w:rPr>
        <w:t>.</w:t>
      </w:r>
    </w:p>
    <w:p w14:paraId="0AB0586A" w14:textId="77777777" w:rsidR="00E21213" w:rsidRPr="00921EF2" w:rsidRDefault="00E21213" w:rsidP="00B124D9">
      <w:pPr>
        <w:rPr>
          <w:sz w:val="22"/>
          <w:szCs w:val="22"/>
          <w:lang w:val="sk-SK"/>
        </w:rPr>
      </w:pPr>
    </w:p>
    <w:p w14:paraId="2A3CA3A4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4.9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Predávkovanie</w:t>
      </w:r>
    </w:p>
    <w:p w14:paraId="735E88D7" w14:textId="77777777" w:rsidR="00977BF3" w:rsidRPr="00921EF2" w:rsidRDefault="00977BF3" w:rsidP="005C64C0">
      <w:pPr>
        <w:rPr>
          <w:sz w:val="22"/>
          <w:szCs w:val="22"/>
          <w:lang w:val="sk-SK"/>
        </w:rPr>
      </w:pPr>
    </w:p>
    <w:p w14:paraId="0CB49E2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Príznaky masívneho akútneho predávkovania zvyčajne zahŕňajú kómu so svalovou hypotóniou, hyporeflexiou, miózou, poruchami dýchania, </w:t>
      </w:r>
      <w:r w:rsidR="00145274" w:rsidRPr="00921EF2">
        <w:rPr>
          <w:sz w:val="22"/>
          <w:szCs w:val="22"/>
          <w:lang w:val="sk-SK"/>
        </w:rPr>
        <w:t xml:space="preserve">metabolickou </w:t>
      </w:r>
      <w:r w:rsidRPr="00921EF2">
        <w:rPr>
          <w:sz w:val="22"/>
          <w:szCs w:val="22"/>
          <w:lang w:val="sk-SK"/>
        </w:rPr>
        <w:t>acidóz</w:t>
      </w:r>
      <w:r w:rsidR="00145274" w:rsidRPr="00921EF2">
        <w:rPr>
          <w:sz w:val="22"/>
          <w:szCs w:val="22"/>
          <w:lang w:val="sk-SK"/>
        </w:rPr>
        <w:t>o</w:t>
      </w:r>
      <w:r w:rsidRPr="00921EF2">
        <w:rPr>
          <w:sz w:val="22"/>
          <w:szCs w:val="22"/>
          <w:lang w:val="sk-SK"/>
        </w:rPr>
        <w:t>u</w:t>
      </w:r>
      <w:r w:rsidR="00AB00DA" w:rsidRPr="00921EF2">
        <w:rPr>
          <w:sz w:val="22"/>
          <w:szCs w:val="22"/>
          <w:lang w:val="sk-SK"/>
        </w:rPr>
        <w:t>, hypotenzia a obehový kolaps/šok</w:t>
      </w:r>
      <w:r w:rsidRPr="00921EF2">
        <w:rPr>
          <w:sz w:val="22"/>
          <w:szCs w:val="22"/>
          <w:lang w:val="sk-SK"/>
        </w:rPr>
        <w:t>.</w:t>
      </w:r>
      <w:r w:rsidR="00145274" w:rsidRPr="00921EF2">
        <w:rPr>
          <w:sz w:val="22"/>
          <w:szCs w:val="22"/>
          <w:lang w:val="sk-SK"/>
        </w:rPr>
        <w:t xml:space="preserve"> Po závažnom predávkovaní môže nastať smrť, zvyčajne však </w:t>
      </w:r>
      <w:r w:rsidR="00BE5FAA" w:rsidRPr="00921EF2">
        <w:rPr>
          <w:sz w:val="22"/>
          <w:szCs w:val="22"/>
          <w:lang w:val="sk-SK"/>
        </w:rPr>
        <w:t>predávkovanie nevyústi do fatálneho konca</w:t>
      </w:r>
      <w:r w:rsidR="00145274" w:rsidRPr="00921EF2">
        <w:rPr>
          <w:sz w:val="22"/>
          <w:szCs w:val="22"/>
          <w:lang w:val="sk-SK"/>
        </w:rPr>
        <w:t>.</w:t>
      </w:r>
    </w:p>
    <w:p w14:paraId="08236C46" w14:textId="77777777" w:rsidR="00977BF3" w:rsidRPr="00921EF2" w:rsidRDefault="00977BF3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>Symptómy môžu byť rôzne a</w:t>
      </w:r>
      <w:r w:rsidR="00A36BDC" w:rsidRPr="00921EF2">
        <w:rPr>
          <w:sz w:val="22"/>
          <w:szCs w:val="22"/>
        </w:rPr>
        <w:t xml:space="preserve"> epileptické </w:t>
      </w:r>
      <w:r w:rsidRPr="00921EF2">
        <w:rPr>
          <w:sz w:val="22"/>
          <w:szCs w:val="22"/>
        </w:rPr>
        <w:t>záchvaty sa vyskytli pri veľmi vysokých koncentráciách v plazme. Boli zaznamenané prípady intrakraniálnej hypertenzie podmienenej cerebrálnym edémom.</w:t>
      </w:r>
    </w:p>
    <w:p w14:paraId="51FD7ED0" w14:textId="5B796A22" w:rsidR="00AB00DA" w:rsidRPr="00921EF2" w:rsidRDefault="00AB00DA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Prítomnosť obsahu sodíka v liekových formách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>u môže viesť v prípade predávkovania k hypernatriémii.</w:t>
      </w:r>
    </w:p>
    <w:p w14:paraId="04F6D30C" w14:textId="77777777" w:rsidR="00977BF3" w:rsidRPr="00921EF2" w:rsidRDefault="00977BF3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Nemocničná liečba po predávkovaní </w:t>
      </w:r>
      <w:r w:rsidR="00A36BDC" w:rsidRPr="00921EF2">
        <w:rPr>
          <w:sz w:val="22"/>
          <w:szCs w:val="22"/>
        </w:rPr>
        <w:t>má</w:t>
      </w:r>
      <w:r w:rsidRPr="00921EF2">
        <w:rPr>
          <w:sz w:val="22"/>
          <w:szCs w:val="22"/>
        </w:rPr>
        <w:t xml:space="preserve"> byť symptomatická: výplach žalúdka, </w:t>
      </w:r>
      <w:r w:rsidR="00145274" w:rsidRPr="00921EF2">
        <w:rPr>
          <w:sz w:val="22"/>
          <w:szCs w:val="22"/>
        </w:rPr>
        <w:t xml:space="preserve">môže byť </w:t>
      </w:r>
      <w:r w:rsidR="00475B0C" w:rsidRPr="00921EF2">
        <w:rPr>
          <w:sz w:val="22"/>
          <w:szCs w:val="22"/>
        </w:rPr>
        <w:t>prínosný</w:t>
      </w:r>
      <w:r w:rsidR="00145274" w:rsidRPr="00921EF2">
        <w:rPr>
          <w:sz w:val="22"/>
          <w:szCs w:val="22"/>
        </w:rPr>
        <w:t>, ak sa uskutoční</w:t>
      </w:r>
      <w:r w:rsidRPr="00921EF2">
        <w:rPr>
          <w:sz w:val="22"/>
          <w:szCs w:val="22"/>
        </w:rPr>
        <w:t xml:space="preserve"> do</w:t>
      </w:r>
      <w:r w:rsidR="00952092" w:rsidRPr="00921EF2">
        <w:rPr>
          <w:sz w:val="22"/>
          <w:szCs w:val="22"/>
        </w:rPr>
        <w:t xml:space="preserve"> </w:t>
      </w:r>
      <w:r w:rsidRPr="00921EF2">
        <w:rPr>
          <w:sz w:val="22"/>
          <w:szCs w:val="22"/>
        </w:rPr>
        <w:t>10</w:t>
      </w:r>
      <w:r w:rsidR="00A36BDC" w:rsidRPr="00921EF2">
        <w:rPr>
          <w:sz w:val="22"/>
          <w:szCs w:val="22"/>
        </w:rPr>
        <w:t> </w:t>
      </w:r>
      <w:r w:rsidRPr="00921EF2">
        <w:rPr>
          <w:sz w:val="22"/>
          <w:szCs w:val="22"/>
        </w:rPr>
        <w:t>-</w:t>
      </w:r>
      <w:r w:rsidR="00A36BDC" w:rsidRPr="00921EF2">
        <w:rPr>
          <w:sz w:val="22"/>
          <w:szCs w:val="22"/>
        </w:rPr>
        <w:t> </w:t>
      </w:r>
      <w:r w:rsidR="00145274" w:rsidRPr="00921EF2">
        <w:rPr>
          <w:sz w:val="22"/>
          <w:szCs w:val="22"/>
        </w:rPr>
        <w:t>1</w:t>
      </w:r>
      <w:r w:rsidRPr="00921EF2">
        <w:rPr>
          <w:sz w:val="22"/>
          <w:szCs w:val="22"/>
        </w:rPr>
        <w:t>2 hodín po užití, monitorovanie kardiálnych a respiračných parametrov.</w:t>
      </w:r>
    </w:p>
    <w:p w14:paraId="0C0B32E7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 niektorých izolovaných prípadoch bol úspešne použitý Naloxon.</w:t>
      </w:r>
      <w:r w:rsidR="00220277" w:rsidRPr="00921EF2">
        <w:rPr>
          <w:sz w:val="22"/>
          <w:szCs w:val="22"/>
          <w:lang w:val="sk-SK"/>
        </w:rPr>
        <w:t xml:space="preserve"> </w:t>
      </w:r>
      <w:r w:rsidR="00145274" w:rsidRPr="00921EF2">
        <w:rPr>
          <w:sz w:val="22"/>
          <w:szCs w:val="22"/>
          <w:lang w:val="sk-SK"/>
        </w:rPr>
        <w:t>V prípade závažného predávkovania sa úspešne použila hemodialýza a hemoperfúzia.</w:t>
      </w:r>
    </w:p>
    <w:bookmarkEnd w:id="2"/>
    <w:bookmarkEnd w:id="3"/>
    <w:p w14:paraId="24AC7C98" w14:textId="77777777" w:rsidR="00977BF3" w:rsidRPr="00921EF2" w:rsidRDefault="00977BF3" w:rsidP="005C64C0">
      <w:pPr>
        <w:rPr>
          <w:bCs/>
          <w:sz w:val="22"/>
          <w:szCs w:val="22"/>
          <w:lang w:val="sk-SK"/>
        </w:rPr>
      </w:pPr>
    </w:p>
    <w:p w14:paraId="0834A14C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661C9E6C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</w:t>
      </w:r>
      <w:r w:rsidR="005440B1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FARMAKOLOGICKÉ VLASTNOSTI</w:t>
      </w:r>
    </w:p>
    <w:p w14:paraId="72F68FD0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</w:p>
    <w:p w14:paraId="77F8250E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5.1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Farmakodynamické vlastnosti</w:t>
      </w:r>
    </w:p>
    <w:p w14:paraId="05B28C17" w14:textId="77777777" w:rsidR="00395F31" w:rsidRPr="00921EF2" w:rsidRDefault="00395F31" w:rsidP="00B124D9">
      <w:pPr>
        <w:keepNext/>
        <w:rPr>
          <w:sz w:val="22"/>
          <w:szCs w:val="22"/>
          <w:lang w:val="sk-SK"/>
        </w:rPr>
      </w:pPr>
    </w:p>
    <w:p w14:paraId="2DB50787" w14:textId="77777777" w:rsidR="00D8305B" w:rsidRPr="00921EF2" w:rsidRDefault="00D8305B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</w:rPr>
        <w:t xml:space="preserve">Farmakoterapeutická skupina: </w:t>
      </w:r>
      <w:r w:rsidRPr="00921EF2">
        <w:rPr>
          <w:sz w:val="22"/>
          <w:szCs w:val="22"/>
          <w:lang w:val="sk-SK"/>
        </w:rPr>
        <w:t xml:space="preserve">antiepileptiká, </w:t>
      </w:r>
      <w:r w:rsidR="009D6B69" w:rsidRPr="00921EF2">
        <w:rPr>
          <w:sz w:val="22"/>
          <w:szCs w:val="22"/>
          <w:lang w:val="sk-SK"/>
        </w:rPr>
        <w:t>d</w:t>
      </w:r>
      <w:r w:rsidRPr="00921EF2">
        <w:rPr>
          <w:sz w:val="22"/>
          <w:szCs w:val="22"/>
          <w:lang w:val="sk-SK"/>
        </w:rPr>
        <w:t xml:space="preserve">eriváty vyšších alifatických kyselín. </w:t>
      </w:r>
    </w:p>
    <w:p w14:paraId="14EE903A" w14:textId="77777777" w:rsidR="00977BF3" w:rsidRPr="00921EF2" w:rsidRDefault="00395F31" w:rsidP="005C64C0">
      <w:pPr>
        <w:rPr>
          <w:b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ATC kód: N03AG01</w:t>
      </w:r>
    </w:p>
    <w:p w14:paraId="1F1FADCE" w14:textId="77777777" w:rsidR="00122F16" w:rsidRPr="00921EF2" w:rsidRDefault="00122F16" w:rsidP="005C64C0">
      <w:pPr>
        <w:rPr>
          <w:sz w:val="22"/>
          <w:szCs w:val="22"/>
          <w:lang w:val="sk-SK"/>
        </w:rPr>
      </w:pPr>
    </w:p>
    <w:p w14:paraId="1D5B7C2C" w14:textId="5BE992E9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pôsobí </w:t>
      </w:r>
      <w:r w:rsidR="00486DA8" w:rsidRPr="00921EF2">
        <w:rPr>
          <w:sz w:val="22"/>
          <w:szCs w:val="22"/>
          <w:lang w:val="sk-SK"/>
        </w:rPr>
        <w:t xml:space="preserve">najmä </w:t>
      </w:r>
      <w:r w:rsidR="00977BF3" w:rsidRPr="00921EF2">
        <w:rPr>
          <w:sz w:val="22"/>
          <w:szCs w:val="22"/>
          <w:lang w:val="sk-SK"/>
        </w:rPr>
        <w:t>na centráln</w:t>
      </w:r>
      <w:r w:rsidR="00486DA8" w:rsidRPr="00921EF2">
        <w:rPr>
          <w:sz w:val="22"/>
          <w:szCs w:val="22"/>
          <w:lang w:val="sk-SK"/>
        </w:rPr>
        <w:t>y</w:t>
      </w:r>
      <w:r w:rsidR="00977BF3" w:rsidRPr="00921EF2">
        <w:rPr>
          <w:sz w:val="22"/>
          <w:szCs w:val="22"/>
          <w:lang w:val="sk-SK"/>
        </w:rPr>
        <w:t xml:space="preserve"> nervov</w:t>
      </w:r>
      <w:r w:rsidR="00486DA8" w:rsidRPr="00921EF2">
        <w:rPr>
          <w:sz w:val="22"/>
          <w:szCs w:val="22"/>
          <w:lang w:val="sk-SK"/>
        </w:rPr>
        <w:t>ý systém</w:t>
      </w:r>
      <w:r w:rsidR="00977BF3" w:rsidRPr="00921EF2">
        <w:rPr>
          <w:sz w:val="22"/>
          <w:szCs w:val="22"/>
          <w:lang w:val="sk-SK"/>
        </w:rPr>
        <w:t>.</w:t>
      </w:r>
    </w:p>
    <w:p w14:paraId="59B770A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Farmakologické štúdie na zvieratách demonštrujú antikonvulzívne vlastnosti </w:t>
      </w:r>
      <w:r w:rsidR="0078086D" w:rsidRPr="00921EF2">
        <w:rPr>
          <w:sz w:val="22"/>
          <w:szCs w:val="22"/>
          <w:lang w:val="sk-SK"/>
        </w:rPr>
        <w:t>Orfiril long</w:t>
      </w:r>
      <w:r w:rsidRPr="00921EF2">
        <w:rPr>
          <w:sz w:val="22"/>
          <w:szCs w:val="22"/>
          <w:lang w:val="sk-SK"/>
        </w:rPr>
        <w:t xml:space="preserve"> pri rôznych typoch experimentálnej epilepsie (generalizované a parciálne záchvaty).</w:t>
      </w:r>
    </w:p>
    <w:p w14:paraId="6D68F015" w14:textId="77777777" w:rsidR="00977BF3" w:rsidRPr="00921EF2" w:rsidRDefault="0078086D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Orfiril long </w:t>
      </w:r>
      <w:r w:rsidR="00977BF3" w:rsidRPr="00921EF2">
        <w:rPr>
          <w:sz w:val="22"/>
          <w:szCs w:val="22"/>
          <w:lang w:val="sk-SK"/>
        </w:rPr>
        <w:t>účinkuje pri rôznych typoch epilepsie</w:t>
      </w:r>
      <w:r w:rsidR="00795139" w:rsidRPr="00921EF2">
        <w:rPr>
          <w:sz w:val="22"/>
          <w:szCs w:val="22"/>
          <w:lang w:val="sk-SK"/>
        </w:rPr>
        <w:t xml:space="preserve"> u ľudí.</w:t>
      </w:r>
    </w:p>
    <w:p w14:paraId="6DCF51C8" w14:textId="77777777" w:rsidR="00977BF3" w:rsidRPr="00921EF2" w:rsidRDefault="00486DA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Zdá sa, že </w:t>
      </w:r>
      <w:r w:rsidR="00977BF3" w:rsidRPr="00921EF2">
        <w:rPr>
          <w:sz w:val="22"/>
          <w:szCs w:val="22"/>
          <w:lang w:val="sk-SK"/>
        </w:rPr>
        <w:t>hlavný mechanizmus</w:t>
      </w:r>
      <w:r w:rsidRPr="00921EF2">
        <w:rPr>
          <w:sz w:val="22"/>
          <w:szCs w:val="22"/>
          <w:lang w:val="sk-SK"/>
        </w:rPr>
        <w:t xml:space="preserve"> jeho</w:t>
      </w:r>
      <w:r w:rsidR="00977BF3" w:rsidRPr="00921EF2">
        <w:rPr>
          <w:sz w:val="22"/>
          <w:szCs w:val="22"/>
          <w:lang w:val="sk-SK"/>
        </w:rPr>
        <w:t xml:space="preserve"> účinku </w:t>
      </w:r>
      <w:r w:rsidRPr="00921EF2">
        <w:rPr>
          <w:sz w:val="22"/>
          <w:szCs w:val="22"/>
          <w:lang w:val="sk-SK"/>
        </w:rPr>
        <w:t>je v</w:t>
      </w:r>
      <w:r w:rsidR="00977BF3" w:rsidRPr="00921EF2">
        <w:rPr>
          <w:sz w:val="22"/>
          <w:szCs w:val="22"/>
          <w:lang w:val="sk-SK"/>
        </w:rPr>
        <w:t xml:space="preserve"> zosilnení GABA–ergickej transmisie.</w:t>
      </w:r>
    </w:p>
    <w:p w14:paraId="4581651C" w14:textId="2AB5D873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niektorých </w:t>
      </w:r>
      <w:r w:rsidRPr="00921EF2">
        <w:rPr>
          <w:i/>
          <w:sz w:val="22"/>
          <w:szCs w:val="22"/>
          <w:lang w:val="sk-SK"/>
        </w:rPr>
        <w:t>in vitro</w:t>
      </w:r>
      <w:r w:rsidRPr="00921EF2">
        <w:rPr>
          <w:sz w:val="22"/>
          <w:szCs w:val="22"/>
          <w:lang w:val="sk-SK"/>
        </w:rPr>
        <w:t xml:space="preserve"> štúdiách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stimuloval replikáciu HIV-1 vírusu, avšak tento účinok bol obmedzený, nekonštantný, nezávislý od dávky a nebol pozorovaný u ľudí.</w:t>
      </w:r>
    </w:p>
    <w:p w14:paraId="1010BBF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07AF9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5.2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Farmakokinetické vlastnosti</w:t>
      </w:r>
    </w:p>
    <w:p w14:paraId="5AE760C2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7977E1E4" w14:textId="5D1E3BB1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Biologická dostupnosť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 je p</w:t>
      </w:r>
      <w:r w:rsidR="000E2030" w:rsidRPr="00921EF2">
        <w:rPr>
          <w:sz w:val="22"/>
          <w:szCs w:val="22"/>
          <w:lang w:val="sk-SK"/>
        </w:rPr>
        <w:t>o</w:t>
      </w:r>
      <w:r w:rsidRPr="00921EF2">
        <w:rPr>
          <w:sz w:val="22"/>
          <w:szCs w:val="22"/>
          <w:lang w:val="sk-SK"/>
        </w:rPr>
        <w:t xml:space="preserve"> perorálnom </w:t>
      </w:r>
      <w:r w:rsidR="000E2030" w:rsidRPr="00921EF2">
        <w:rPr>
          <w:sz w:val="22"/>
          <w:szCs w:val="22"/>
          <w:lang w:val="sk-SK"/>
        </w:rPr>
        <w:t xml:space="preserve">alebo intravenóznom </w:t>
      </w:r>
      <w:r w:rsidRPr="00921EF2">
        <w:rPr>
          <w:sz w:val="22"/>
          <w:szCs w:val="22"/>
          <w:lang w:val="sk-SK"/>
        </w:rPr>
        <w:t>podaní takmer 100</w:t>
      </w:r>
      <w:r w:rsidR="00C24E7B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%.</w:t>
      </w:r>
    </w:p>
    <w:p w14:paraId="0721EBD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B61E622" w14:textId="77777777" w:rsidR="000E5248" w:rsidRDefault="00707D8A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Distribučný objem </w:t>
      </w:r>
      <w:r w:rsidR="00977BF3" w:rsidRPr="00921EF2">
        <w:rPr>
          <w:sz w:val="22"/>
          <w:szCs w:val="22"/>
          <w:lang w:val="sk-SK"/>
        </w:rPr>
        <w:t xml:space="preserve">je </w:t>
      </w:r>
      <w:r w:rsidRPr="00921EF2">
        <w:rPr>
          <w:sz w:val="22"/>
          <w:szCs w:val="22"/>
          <w:lang w:val="sk-SK"/>
        </w:rPr>
        <w:t xml:space="preserve">obmedzený </w:t>
      </w:r>
      <w:r w:rsidR="00977BF3" w:rsidRPr="00921EF2">
        <w:rPr>
          <w:sz w:val="22"/>
          <w:szCs w:val="22"/>
          <w:lang w:val="sk-SK"/>
        </w:rPr>
        <w:t xml:space="preserve">hlavne </w:t>
      </w:r>
      <w:r w:rsidRPr="00921EF2">
        <w:rPr>
          <w:sz w:val="22"/>
          <w:szCs w:val="22"/>
          <w:lang w:val="sk-SK"/>
        </w:rPr>
        <w:t>na krv a </w:t>
      </w:r>
      <w:r w:rsidR="00977BF3" w:rsidRPr="00921EF2">
        <w:rPr>
          <w:sz w:val="22"/>
          <w:szCs w:val="22"/>
          <w:lang w:val="sk-SK"/>
        </w:rPr>
        <w:t>rýchlo</w:t>
      </w:r>
      <w:r w:rsidRPr="00921EF2">
        <w:rPr>
          <w:sz w:val="22"/>
          <w:szCs w:val="22"/>
          <w:lang w:val="sk-SK"/>
        </w:rPr>
        <w:t xml:space="preserve"> sa obmieňajúcu</w:t>
      </w:r>
      <w:r w:rsidR="00977BF3" w:rsidRPr="00921EF2">
        <w:rPr>
          <w:sz w:val="22"/>
          <w:szCs w:val="22"/>
          <w:lang w:val="sk-SK"/>
        </w:rPr>
        <w:t xml:space="preserve"> extracelulárn</w:t>
      </w:r>
      <w:r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 tekutin</w:t>
      </w:r>
      <w:r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. Koncentrácia kyseliny valproovej v cerebrospinálnom moku </w:t>
      </w:r>
      <w:r w:rsidRPr="00921EF2">
        <w:rPr>
          <w:sz w:val="22"/>
          <w:szCs w:val="22"/>
          <w:lang w:val="sk-SK"/>
        </w:rPr>
        <w:t xml:space="preserve">sa </w:t>
      </w:r>
      <w:r w:rsidR="00977BF3" w:rsidRPr="00921EF2">
        <w:rPr>
          <w:sz w:val="22"/>
          <w:szCs w:val="22"/>
          <w:lang w:val="sk-SK"/>
        </w:rPr>
        <w:t>blí</w:t>
      </w:r>
      <w:r w:rsidRPr="00921EF2">
        <w:rPr>
          <w:sz w:val="22"/>
          <w:szCs w:val="22"/>
          <w:lang w:val="sk-SK"/>
        </w:rPr>
        <w:t xml:space="preserve">ži k hodnotám jej </w:t>
      </w:r>
      <w:r w:rsidR="00977BF3" w:rsidRPr="00921EF2">
        <w:rPr>
          <w:sz w:val="22"/>
          <w:szCs w:val="22"/>
          <w:lang w:val="sk-SK"/>
        </w:rPr>
        <w:t>koncentráci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v</w:t>
      </w:r>
      <w:r w:rsidR="00D8305B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plazme</w:t>
      </w:r>
      <w:r w:rsidR="00977BF3" w:rsidRPr="00921EF2">
        <w:rPr>
          <w:sz w:val="22"/>
          <w:szCs w:val="22"/>
          <w:lang w:val="sk-SK"/>
        </w:rPr>
        <w:t xml:space="preserve">. </w:t>
      </w:r>
    </w:p>
    <w:p w14:paraId="35C67B52" w14:textId="77777777" w:rsidR="000E5248" w:rsidRPr="000E5248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Prechod placentou (pozri časť 4.6)</w:t>
      </w:r>
    </w:p>
    <w:p w14:paraId="1A75D1E2" w14:textId="77777777" w:rsidR="000E5248" w:rsidRPr="000E5248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Valproát prechádza cez placentárnu bariéru u zvierat a u ľudí</w:t>
      </w:r>
    </w:p>
    <w:p w14:paraId="35017D74" w14:textId="77777777" w:rsidR="000E5248" w:rsidRPr="000E5248" w:rsidRDefault="000E5248" w:rsidP="000E5248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U zvierat prechádza valproát placentou do podobnej miery ako u ľudí.</w:t>
      </w:r>
    </w:p>
    <w:p w14:paraId="1536A761" w14:textId="77777777" w:rsidR="000E5248" w:rsidRPr="000E5248" w:rsidRDefault="000E5248" w:rsidP="000E5248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lastRenderedPageBreak/>
        <w:t>U ľudí, bola koncentrácia valproátu v pupočnej šnúre u novorodencov pri pôrode hodnotená v niekoľkých publikáciách. Koncentrácia valproátu v sére pupočnej šnúry, ktorá predstavuje koncentráciu valproátu v plode, bola podobná alebo mierne vyššia ako u matiek.</w:t>
      </w:r>
    </w:p>
    <w:p w14:paraId="6CBFFEB7" w14:textId="77777777" w:rsidR="000E5248" w:rsidRPr="001B59B9" w:rsidRDefault="000E5248" w:rsidP="001B59B9">
      <w:pPr>
        <w:ind w:left="284"/>
        <w:rPr>
          <w:sz w:val="22"/>
          <w:highlight w:val="cyan"/>
          <w:lang w:val="sk-SK"/>
        </w:rPr>
      </w:pPr>
    </w:p>
    <w:p w14:paraId="1C9BA174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 </w:t>
      </w:r>
      <w:r w:rsidR="00425508" w:rsidRPr="00921EF2">
        <w:rPr>
          <w:sz w:val="22"/>
          <w:szCs w:val="22"/>
          <w:lang w:val="sk-SK"/>
        </w:rPr>
        <w:t>Pri podávaní</w:t>
      </w:r>
      <w:r w:rsidRPr="00921EF2">
        <w:rPr>
          <w:sz w:val="22"/>
          <w:szCs w:val="22"/>
          <w:lang w:val="sk-SK"/>
        </w:rPr>
        <w:t xml:space="preserve"> dojčiacim matkám </w:t>
      </w:r>
      <w:r w:rsidR="00425508" w:rsidRPr="00921EF2">
        <w:rPr>
          <w:sz w:val="22"/>
          <w:szCs w:val="22"/>
          <w:lang w:val="sk-SK"/>
        </w:rPr>
        <w:t xml:space="preserve">sa vylučuje </w:t>
      </w:r>
      <w:r w:rsidRPr="00921EF2">
        <w:rPr>
          <w:sz w:val="22"/>
          <w:szCs w:val="22"/>
          <w:lang w:val="sk-SK"/>
        </w:rPr>
        <w:t xml:space="preserve">do materského mlieka vo veľmi </w:t>
      </w:r>
      <w:r w:rsidR="00425508" w:rsidRPr="00921EF2">
        <w:rPr>
          <w:sz w:val="22"/>
          <w:szCs w:val="22"/>
          <w:lang w:val="sk-SK"/>
        </w:rPr>
        <w:t xml:space="preserve">nízkych </w:t>
      </w:r>
      <w:r w:rsidRPr="00921EF2">
        <w:rPr>
          <w:sz w:val="22"/>
          <w:szCs w:val="22"/>
          <w:lang w:val="sk-SK"/>
        </w:rPr>
        <w:t>koncentráci</w:t>
      </w:r>
      <w:r w:rsidR="00425508" w:rsidRPr="00921EF2">
        <w:rPr>
          <w:sz w:val="22"/>
          <w:szCs w:val="22"/>
          <w:lang w:val="sk-SK"/>
        </w:rPr>
        <w:t>ách</w:t>
      </w:r>
      <w:r w:rsidRPr="00921EF2">
        <w:rPr>
          <w:sz w:val="22"/>
          <w:szCs w:val="22"/>
          <w:lang w:val="sk-SK"/>
        </w:rPr>
        <w:t xml:space="preserve"> (</w:t>
      </w:r>
      <w:r w:rsidR="00425508" w:rsidRPr="00921EF2">
        <w:rPr>
          <w:sz w:val="22"/>
          <w:szCs w:val="22"/>
          <w:lang w:val="sk-SK"/>
        </w:rPr>
        <w:t xml:space="preserve">medzi </w:t>
      </w:r>
      <w:r w:rsidRPr="00921EF2">
        <w:rPr>
          <w:sz w:val="22"/>
          <w:szCs w:val="22"/>
          <w:lang w:val="sk-SK"/>
        </w:rPr>
        <w:t>1</w:t>
      </w:r>
      <w:r w:rsidR="00092C0A" w:rsidRPr="00921EF2">
        <w:rPr>
          <w:sz w:val="22"/>
          <w:szCs w:val="22"/>
          <w:lang w:val="sk-SK"/>
        </w:rPr>
        <w:t> </w:t>
      </w:r>
      <w:r w:rsidR="00C24E7B" w:rsidRPr="00921EF2">
        <w:rPr>
          <w:sz w:val="22"/>
          <w:szCs w:val="22"/>
          <w:lang w:val="sk-SK"/>
        </w:rPr>
        <w:t>–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10</w:t>
      </w:r>
      <w:r w:rsidR="00C24E7B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% celkovej koncentrácie v sére).</w:t>
      </w:r>
    </w:p>
    <w:p w14:paraId="198D931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74FC84B" w14:textId="77777777" w:rsidR="00977BF3" w:rsidRPr="00921EF2" w:rsidRDefault="0042550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</w:t>
      </w:r>
      <w:r w:rsidR="00977BF3" w:rsidRPr="00921EF2">
        <w:rPr>
          <w:sz w:val="22"/>
          <w:szCs w:val="22"/>
          <w:lang w:val="sk-SK"/>
        </w:rPr>
        <w:t>ri perorálnom pod</w:t>
      </w:r>
      <w:r w:rsidRPr="00921EF2">
        <w:rPr>
          <w:sz w:val="22"/>
          <w:szCs w:val="22"/>
          <w:lang w:val="sk-SK"/>
        </w:rPr>
        <w:t>áv</w:t>
      </w:r>
      <w:r w:rsidR="00977BF3" w:rsidRPr="00921EF2">
        <w:rPr>
          <w:sz w:val="22"/>
          <w:szCs w:val="22"/>
          <w:lang w:val="sk-SK"/>
        </w:rPr>
        <w:t xml:space="preserve">aní </w:t>
      </w:r>
      <w:r w:rsidRPr="00921EF2">
        <w:rPr>
          <w:sz w:val="22"/>
          <w:szCs w:val="22"/>
          <w:lang w:val="sk-SK"/>
        </w:rPr>
        <w:t xml:space="preserve">sa rovnovážna plazmatická koncentrácia </w:t>
      </w:r>
      <w:r w:rsidR="00977BF3" w:rsidRPr="00921EF2">
        <w:rPr>
          <w:sz w:val="22"/>
          <w:szCs w:val="22"/>
          <w:lang w:val="sk-SK"/>
        </w:rPr>
        <w:t>dos</w:t>
      </w:r>
      <w:r w:rsidRPr="00921EF2">
        <w:rPr>
          <w:sz w:val="22"/>
          <w:szCs w:val="22"/>
          <w:lang w:val="sk-SK"/>
        </w:rPr>
        <w:t>iahne pomerne</w:t>
      </w:r>
      <w:r w:rsidR="00977BF3" w:rsidRPr="00921EF2">
        <w:rPr>
          <w:sz w:val="22"/>
          <w:szCs w:val="22"/>
          <w:lang w:val="sk-SK"/>
        </w:rPr>
        <w:t xml:space="preserve"> rýchlo </w:t>
      </w:r>
      <w:r w:rsidRPr="00921EF2">
        <w:rPr>
          <w:sz w:val="22"/>
          <w:szCs w:val="22"/>
          <w:lang w:val="sk-SK"/>
        </w:rPr>
        <w:t xml:space="preserve">- za </w:t>
      </w:r>
      <w:r w:rsidR="00977BF3" w:rsidRPr="00921EF2">
        <w:rPr>
          <w:sz w:val="22"/>
          <w:szCs w:val="22"/>
          <w:lang w:val="sk-SK"/>
        </w:rPr>
        <w:t>3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až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4 dni</w:t>
      </w:r>
      <w:r w:rsidRPr="00921EF2">
        <w:rPr>
          <w:sz w:val="22"/>
          <w:szCs w:val="22"/>
          <w:lang w:val="sk-SK"/>
        </w:rPr>
        <w:t>;</w:t>
      </w:r>
      <w:r w:rsidR="00977BF3" w:rsidRPr="00921EF2">
        <w:rPr>
          <w:sz w:val="22"/>
          <w:szCs w:val="22"/>
          <w:lang w:val="sk-SK"/>
        </w:rPr>
        <w:t xml:space="preserve"> pri</w:t>
      </w:r>
      <w:r w:rsidRPr="00921EF2">
        <w:rPr>
          <w:sz w:val="22"/>
          <w:szCs w:val="22"/>
          <w:lang w:val="sk-SK"/>
        </w:rPr>
        <w:t xml:space="preserve"> intravenóznom</w:t>
      </w:r>
      <w:r w:rsidR="00977BF3" w:rsidRPr="00921EF2">
        <w:rPr>
          <w:sz w:val="22"/>
          <w:szCs w:val="22"/>
          <w:lang w:val="sk-SK"/>
        </w:rPr>
        <w:t xml:space="preserve"> podaní sa </w:t>
      </w:r>
      <w:r w:rsidR="00611389" w:rsidRPr="00921EF2">
        <w:rPr>
          <w:sz w:val="22"/>
          <w:szCs w:val="22"/>
          <w:lang w:val="sk-SK"/>
        </w:rPr>
        <w:t>rovnovážna plazmatická koncentrácia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dosiahne </w:t>
      </w:r>
      <w:r w:rsidR="00977BF3" w:rsidRPr="00921EF2">
        <w:rPr>
          <w:sz w:val="22"/>
          <w:szCs w:val="22"/>
          <w:lang w:val="sk-SK"/>
        </w:rPr>
        <w:t>o niekoľko minút a</w:t>
      </w:r>
      <w:r w:rsidRPr="00921EF2">
        <w:rPr>
          <w:sz w:val="22"/>
          <w:szCs w:val="22"/>
          <w:lang w:val="sk-SK"/>
        </w:rPr>
        <w:t xml:space="preserve"> potom sa </w:t>
      </w:r>
      <w:r w:rsidR="00977BF3" w:rsidRPr="00921EF2">
        <w:rPr>
          <w:sz w:val="22"/>
          <w:szCs w:val="22"/>
          <w:lang w:val="sk-SK"/>
        </w:rPr>
        <w:t>udrž</w:t>
      </w:r>
      <w:r w:rsidRPr="00921EF2">
        <w:rPr>
          <w:sz w:val="22"/>
          <w:szCs w:val="22"/>
          <w:lang w:val="sk-SK"/>
        </w:rPr>
        <w:t>uje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intravenóznou</w:t>
      </w:r>
      <w:r w:rsidR="00977BF3" w:rsidRPr="00921EF2">
        <w:rPr>
          <w:sz w:val="22"/>
          <w:szCs w:val="22"/>
          <w:lang w:val="sk-SK"/>
        </w:rPr>
        <w:t xml:space="preserve"> infúziou.</w:t>
      </w:r>
    </w:p>
    <w:p w14:paraId="7AC3CC45" w14:textId="77777777" w:rsidR="00977BF3" w:rsidRPr="00921EF2" w:rsidRDefault="00977BF3" w:rsidP="00B124D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48069E7" w14:textId="6BE4CEFD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sa </w:t>
      </w:r>
      <w:r w:rsidR="00425508" w:rsidRPr="00921EF2">
        <w:rPr>
          <w:sz w:val="22"/>
          <w:szCs w:val="22"/>
          <w:lang w:val="sk-SK"/>
        </w:rPr>
        <w:t xml:space="preserve">vo vysokej miere </w:t>
      </w:r>
      <w:r w:rsidR="00977BF3" w:rsidRPr="00921EF2">
        <w:rPr>
          <w:sz w:val="22"/>
          <w:szCs w:val="22"/>
          <w:lang w:val="sk-SK"/>
        </w:rPr>
        <w:t xml:space="preserve">viaže na plazmatické proteíny, </w:t>
      </w:r>
      <w:r w:rsidR="00425508" w:rsidRPr="00921EF2">
        <w:rPr>
          <w:sz w:val="22"/>
          <w:szCs w:val="22"/>
          <w:lang w:val="sk-SK"/>
        </w:rPr>
        <w:t xml:space="preserve">táto </w:t>
      </w:r>
      <w:r w:rsidR="00977BF3" w:rsidRPr="00921EF2">
        <w:rPr>
          <w:sz w:val="22"/>
          <w:szCs w:val="22"/>
          <w:lang w:val="sk-SK"/>
        </w:rPr>
        <w:t xml:space="preserve">väzba </w:t>
      </w:r>
      <w:r w:rsidR="00425508" w:rsidRPr="00921EF2">
        <w:rPr>
          <w:sz w:val="22"/>
          <w:szCs w:val="22"/>
          <w:lang w:val="sk-SK"/>
        </w:rPr>
        <w:t xml:space="preserve">závisí </w:t>
      </w:r>
      <w:r w:rsidR="00977BF3" w:rsidRPr="00921EF2">
        <w:rPr>
          <w:sz w:val="22"/>
          <w:szCs w:val="22"/>
          <w:lang w:val="sk-SK"/>
        </w:rPr>
        <w:t>od dávky a saturácie.</w:t>
      </w:r>
    </w:p>
    <w:p w14:paraId="0D6BA00F" w14:textId="77777777" w:rsidR="00977BF3" w:rsidRPr="00921EF2" w:rsidRDefault="00977BF3" w:rsidP="00B124D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4E80A75" w14:textId="5CB7F05B" w:rsidR="00977BF3" w:rsidRPr="00921EF2" w:rsidRDefault="0042550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Molekula </w:t>
      </w:r>
      <w:r w:rsidR="0023483F"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>u môž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byť </w:t>
      </w:r>
      <w:r w:rsidR="0066701C" w:rsidRPr="00921EF2">
        <w:rPr>
          <w:sz w:val="22"/>
          <w:szCs w:val="22"/>
          <w:lang w:val="sk-SK"/>
        </w:rPr>
        <w:t>dialyzovaná</w:t>
      </w:r>
      <w:r w:rsidR="00977BF3" w:rsidRPr="00921EF2">
        <w:rPr>
          <w:sz w:val="22"/>
          <w:szCs w:val="22"/>
          <w:lang w:val="sk-SK"/>
        </w:rPr>
        <w:t xml:space="preserve">, </w:t>
      </w:r>
      <w:r w:rsidR="00C22133" w:rsidRPr="00921EF2">
        <w:rPr>
          <w:sz w:val="22"/>
          <w:szCs w:val="22"/>
          <w:lang w:val="sk-SK"/>
        </w:rPr>
        <w:t xml:space="preserve">ale </w:t>
      </w:r>
      <w:r w:rsidR="00977BF3" w:rsidRPr="00921EF2">
        <w:rPr>
          <w:sz w:val="22"/>
          <w:szCs w:val="22"/>
          <w:lang w:val="sk-SK"/>
        </w:rPr>
        <w:t>len voľná forma (približne 10</w:t>
      </w:r>
      <w:r w:rsidR="00C24E7B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%) sa</w:t>
      </w:r>
      <w:r w:rsidR="00977BF3" w:rsidRPr="00921EF2">
        <w:rPr>
          <w:bCs/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vylučuje.</w:t>
      </w:r>
    </w:p>
    <w:p w14:paraId="04E60E6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08C2A464" w14:textId="178CC6E7" w:rsidR="00977BF3" w:rsidRPr="00921EF2" w:rsidRDefault="00977BF3" w:rsidP="00B124D9">
      <w:pPr>
        <w:pStyle w:val="Zarkazkladnhotextu2"/>
        <w:ind w:left="0" w:firstLine="0"/>
        <w:rPr>
          <w:bCs/>
          <w:sz w:val="22"/>
          <w:szCs w:val="22"/>
        </w:rPr>
      </w:pPr>
      <w:r w:rsidRPr="00921EF2">
        <w:rPr>
          <w:sz w:val="22"/>
          <w:szCs w:val="22"/>
        </w:rPr>
        <w:t xml:space="preserve">Na rozdiel od iných antiepileptík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 xml:space="preserve"> sodný </w:t>
      </w:r>
      <w:r w:rsidR="00425508" w:rsidRPr="00921EF2">
        <w:rPr>
          <w:sz w:val="22"/>
          <w:szCs w:val="22"/>
        </w:rPr>
        <w:t xml:space="preserve">nezvyšuje </w:t>
      </w:r>
      <w:r w:rsidRPr="00921EF2">
        <w:rPr>
          <w:sz w:val="22"/>
          <w:szCs w:val="22"/>
        </w:rPr>
        <w:t xml:space="preserve">svoju </w:t>
      </w:r>
      <w:r w:rsidR="00425508" w:rsidRPr="00921EF2">
        <w:rPr>
          <w:sz w:val="22"/>
          <w:szCs w:val="22"/>
        </w:rPr>
        <w:t xml:space="preserve">vlastnú </w:t>
      </w:r>
      <w:r w:rsidRPr="00921EF2">
        <w:rPr>
          <w:sz w:val="22"/>
          <w:szCs w:val="22"/>
        </w:rPr>
        <w:t>degradáciu</w:t>
      </w:r>
      <w:r w:rsidR="00425508" w:rsidRPr="00921EF2">
        <w:rPr>
          <w:sz w:val="22"/>
          <w:szCs w:val="22"/>
        </w:rPr>
        <w:t>,</w:t>
      </w:r>
      <w:r w:rsidRPr="00921EF2">
        <w:rPr>
          <w:sz w:val="22"/>
          <w:szCs w:val="22"/>
        </w:rPr>
        <w:t xml:space="preserve"> a ani degradáciu iných látok, napr. estrogénprogesta</w:t>
      </w:r>
      <w:r w:rsidR="00425508" w:rsidRPr="00921EF2">
        <w:rPr>
          <w:sz w:val="22"/>
          <w:szCs w:val="22"/>
        </w:rPr>
        <w:t>tív</w:t>
      </w:r>
      <w:r w:rsidRPr="00921EF2">
        <w:rPr>
          <w:sz w:val="22"/>
          <w:szCs w:val="22"/>
        </w:rPr>
        <w:t>. Je to v dôsledku absencie enzým indukujúceho efektu zahŕňajúceho cytochróm P450</w:t>
      </w:r>
      <w:r w:rsidRPr="00921EF2">
        <w:rPr>
          <w:bCs/>
          <w:sz w:val="22"/>
          <w:szCs w:val="22"/>
        </w:rPr>
        <w:t>.</w:t>
      </w:r>
    </w:p>
    <w:p w14:paraId="2E293B30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7ED07660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Biologický polčas je </w:t>
      </w:r>
      <w:r w:rsidR="00E84F78" w:rsidRPr="00921EF2">
        <w:rPr>
          <w:sz w:val="22"/>
          <w:szCs w:val="22"/>
          <w:lang w:val="sk-SK"/>
        </w:rPr>
        <w:t xml:space="preserve">cca </w:t>
      </w:r>
      <w:r w:rsidRPr="00921EF2">
        <w:rPr>
          <w:sz w:val="22"/>
          <w:szCs w:val="22"/>
          <w:lang w:val="sk-SK"/>
        </w:rPr>
        <w:t>8</w:t>
      </w:r>
      <w:r w:rsidR="00092C0A" w:rsidRPr="00921EF2">
        <w:rPr>
          <w:sz w:val="22"/>
          <w:szCs w:val="22"/>
          <w:lang w:val="sk-SK"/>
        </w:rPr>
        <w:t> </w:t>
      </w:r>
      <w:r w:rsidR="00425508" w:rsidRPr="00921EF2">
        <w:rPr>
          <w:sz w:val="22"/>
          <w:szCs w:val="22"/>
          <w:lang w:val="sk-SK"/>
        </w:rPr>
        <w:t>až </w:t>
      </w:r>
      <w:r w:rsidRPr="00921EF2">
        <w:rPr>
          <w:sz w:val="22"/>
          <w:szCs w:val="22"/>
          <w:lang w:val="sk-SK"/>
        </w:rPr>
        <w:t>20 hodín. U detí je zvyčajne kratší.</w:t>
      </w:r>
    </w:p>
    <w:p w14:paraId="1E5A4E31" w14:textId="77777777" w:rsidR="000218C2" w:rsidRPr="00921EF2" w:rsidRDefault="000218C2" w:rsidP="00B124D9">
      <w:pPr>
        <w:rPr>
          <w:color w:val="222222"/>
          <w:sz w:val="22"/>
          <w:szCs w:val="22"/>
        </w:rPr>
      </w:pPr>
    </w:p>
    <w:p w14:paraId="09767775" w14:textId="25F9A386" w:rsidR="000218C2" w:rsidRPr="00921EF2" w:rsidRDefault="000218C2" w:rsidP="00B124D9">
      <w:pPr>
        <w:rPr>
          <w:sz w:val="22"/>
          <w:szCs w:val="22"/>
          <w:lang w:val="sk-SK"/>
        </w:rPr>
      </w:pPr>
      <w:r w:rsidRPr="00921EF2">
        <w:rPr>
          <w:color w:val="222222"/>
          <w:sz w:val="22"/>
          <w:szCs w:val="22"/>
        </w:rPr>
        <w:t xml:space="preserve">Hlavnou cestou biotransformácie </w:t>
      </w:r>
      <w:r w:rsidR="0023483F" w:rsidRPr="00921EF2">
        <w:rPr>
          <w:color w:val="222222"/>
          <w:sz w:val="22"/>
          <w:szCs w:val="22"/>
        </w:rPr>
        <w:t>valproát</w:t>
      </w:r>
      <w:r w:rsidRPr="00921EF2">
        <w:rPr>
          <w:color w:val="222222"/>
          <w:sz w:val="22"/>
          <w:szCs w:val="22"/>
        </w:rPr>
        <w:t>u je glukuronidácia (~ 40 %), hlavne prostredníctvom UGT1A6, UGT1A9 a UGT2B7.</w:t>
      </w:r>
      <w:r w:rsidRPr="00921EF2">
        <w:rPr>
          <w:sz w:val="22"/>
          <w:szCs w:val="22"/>
          <w:lang w:val="sk-SK"/>
        </w:rPr>
        <w:t xml:space="preserve"> </w:t>
      </w:r>
    </w:p>
    <w:p w14:paraId="20D18C3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1FBC842" w14:textId="75030273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sodný sa vylučuje </w:t>
      </w:r>
      <w:r w:rsidR="00425508" w:rsidRPr="00921EF2">
        <w:rPr>
          <w:sz w:val="22"/>
          <w:szCs w:val="22"/>
          <w:lang w:val="sk-SK"/>
        </w:rPr>
        <w:t xml:space="preserve">najmä </w:t>
      </w:r>
      <w:r w:rsidR="00977BF3" w:rsidRPr="00921EF2">
        <w:rPr>
          <w:sz w:val="22"/>
          <w:szCs w:val="22"/>
          <w:lang w:val="sk-SK"/>
        </w:rPr>
        <w:t>močom</w:t>
      </w:r>
      <w:r w:rsidR="00425508" w:rsidRPr="00921EF2">
        <w:rPr>
          <w:sz w:val="22"/>
          <w:szCs w:val="22"/>
          <w:lang w:val="sk-SK"/>
        </w:rPr>
        <w:t xml:space="preserve"> po</w:t>
      </w:r>
      <w:r w:rsidR="00977BF3" w:rsidRPr="00921EF2">
        <w:rPr>
          <w:sz w:val="22"/>
          <w:szCs w:val="22"/>
          <w:lang w:val="sk-SK"/>
        </w:rPr>
        <w:t xml:space="preserve"> metaboliz</w:t>
      </w:r>
      <w:r w:rsidR="00425508" w:rsidRPr="00921EF2">
        <w:rPr>
          <w:sz w:val="22"/>
          <w:szCs w:val="22"/>
          <w:lang w:val="sk-SK"/>
        </w:rPr>
        <w:t xml:space="preserve">ácii </w:t>
      </w:r>
      <w:r w:rsidR="00977BF3" w:rsidRPr="00921EF2">
        <w:rPr>
          <w:sz w:val="22"/>
          <w:szCs w:val="22"/>
          <w:lang w:val="sk-SK"/>
        </w:rPr>
        <w:t xml:space="preserve">konjugáciou </w:t>
      </w:r>
      <w:r w:rsidR="00425508" w:rsidRPr="00921EF2">
        <w:rPr>
          <w:sz w:val="22"/>
          <w:szCs w:val="22"/>
          <w:lang w:val="sk-SK"/>
        </w:rPr>
        <w:t xml:space="preserve">s kyselinou glukuronovou </w:t>
      </w:r>
      <w:r w:rsidR="00977BF3" w:rsidRPr="00921EF2">
        <w:rPr>
          <w:sz w:val="22"/>
          <w:szCs w:val="22"/>
          <w:lang w:val="sk-SK"/>
        </w:rPr>
        <w:t xml:space="preserve">a </w:t>
      </w:r>
      <w:r w:rsidR="00425508" w:rsidRPr="00921EF2">
        <w:rPr>
          <w:sz w:val="22"/>
          <w:szCs w:val="22"/>
          <w:lang w:val="sk-SK"/>
        </w:rPr>
        <w:t>beta-</w:t>
      </w:r>
      <w:r w:rsidR="00977BF3" w:rsidRPr="00921EF2">
        <w:rPr>
          <w:sz w:val="22"/>
          <w:szCs w:val="22"/>
          <w:lang w:val="sk-SK"/>
        </w:rPr>
        <w:t>oxidáciou.</w:t>
      </w:r>
    </w:p>
    <w:p w14:paraId="533E560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9764FE3" w14:textId="77777777" w:rsidR="00977BF3" w:rsidRPr="00921EF2" w:rsidRDefault="00977BF3" w:rsidP="00B124D9">
      <w:pPr>
        <w:rPr>
          <w:bCs/>
          <w:i/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 xml:space="preserve">Vlastnosti </w:t>
      </w:r>
      <w:r w:rsidR="0078086D" w:rsidRPr="00921EF2">
        <w:rPr>
          <w:i/>
          <w:sz w:val="22"/>
          <w:szCs w:val="22"/>
          <w:lang w:val="sk-SK"/>
        </w:rPr>
        <w:t>Orfiril long</w:t>
      </w:r>
    </w:p>
    <w:p w14:paraId="6AE3840A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porovnaní s filmom obalenými tabletami je </w:t>
      </w:r>
      <w:r w:rsidR="0078086D" w:rsidRPr="00921EF2">
        <w:rPr>
          <w:sz w:val="22"/>
          <w:szCs w:val="22"/>
          <w:lang w:val="sk-SK"/>
        </w:rPr>
        <w:t xml:space="preserve">Orfiril long </w:t>
      </w:r>
      <w:r w:rsidRPr="00921EF2">
        <w:rPr>
          <w:sz w:val="22"/>
          <w:szCs w:val="22"/>
          <w:lang w:val="sk-SK"/>
        </w:rPr>
        <w:t>ako forma s predĺženým uvoľňovaním charakterizovaná pri ekvivalentných dávkach:</w:t>
      </w:r>
    </w:p>
    <w:p w14:paraId="354D65E6" w14:textId="77777777" w:rsidR="00977BF3" w:rsidRPr="00921EF2" w:rsidRDefault="00977BF3" w:rsidP="00B124D9">
      <w:pPr>
        <w:tabs>
          <w:tab w:val="left" w:pos="284"/>
          <w:tab w:val="left" w:pos="360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>elimináciou obdobia latencie po podaní</w:t>
      </w:r>
    </w:p>
    <w:p w14:paraId="754B028A" w14:textId="77777777" w:rsidR="00977BF3" w:rsidRPr="00921EF2" w:rsidRDefault="00977BF3" w:rsidP="00B124D9">
      <w:pPr>
        <w:numPr>
          <w:ilvl w:val="0"/>
          <w:numId w:val="5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predĺženou absorpciou</w:t>
      </w:r>
    </w:p>
    <w:p w14:paraId="59AD6E1A" w14:textId="77777777" w:rsidR="00977BF3" w:rsidRPr="00921EF2" w:rsidRDefault="00977BF3" w:rsidP="00B124D9">
      <w:pPr>
        <w:numPr>
          <w:ilvl w:val="0"/>
          <w:numId w:val="5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podobnou biologickou dostupnosťou</w:t>
      </w:r>
    </w:p>
    <w:p w14:paraId="6D65D2F4" w14:textId="77777777" w:rsidR="00977BF3" w:rsidRPr="00921EF2" w:rsidRDefault="00977BF3" w:rsidP="00B124D9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koncentrácia celkovej a voľnej formy (C</w:t>
      </w:r>
      <w:r w:rsidRPr="00921EF2">
        <w:rPr>
          <w:sz w:val="22"/>
          <w:szCs w:val="22"/>
          <w:vertAlign w:val="subscript"/>
          <w:lang w:val="sk-SK"/>
        </w:rPr>
        <w:t>max</w:t>
      </w:r>
      <w:r w:rsidRPr="00921EF2">
        <w:rPr>
          <w:sz w:val="22"/>
          <w:szCs w:val="22"/>
          <w:lang w:val="sk-SK"/>
        </w:rPr>
        <w:t>) je nižšia (zníženie C</w:t>
      </w:r>
      <w:r w:rsidRPr="00921EF2">
        <w:rPr>
          <w:sz w:val="22"/>
          <w:szCs w:val="22"/>
          <w:vertAlign w:val="subscript"/>
          <w:lang w:val="sk-SK"/>
        </w:rPr>
        <w:t>max</w:t>
      </w:r>
      <w:r w:rsidRPr="00921EF2">
        <w:rPr>
          <w:sz w:val="22"/>
          <w:szCs w:val="22"/>
          <w:lang w:val="sk-SK"/>
        </w:rPr>
        <w:t xml:space="preserve"> o približne 25</w:t>
      </w:r>
      <w:r w:rsidR="00C24E7B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%, ale hladina je relatívne stabilná v rozmedzí od 4 do 14 hodín po podaní).</w:t>
      </w:r>
    </w:p>
    <w:p w14:paraId="765ACFFA" w14:textId="77777777" w:rsidR="00977BF3" w:rsidRPr="00921EF2" w:rsidRDefault="00977BF3" w:rsidP="00B124D9">
      <w:pPr>
        <w:pStyle w:val="Zarkazkladnhotextu3"/>
        <w:rPr>
          <w:sz w:val="22"/>
          <w:szCs w:val="22"/>
        </w:rPr>
      </w:pPr>
      <w:r w:rsidRPr="00921EF2">
        <w:rPr>
          <w:sz w:val="22"/>
          <w:szCs w:val="22"/>
        </w:rPr>
        <w:t xml:space="preserve">V súvislosti s tým, koncentrácie kyseliny valproovej sú homogénne distribuované počas 24 hodín. Pri dávkovaní dvakrát denne je </w:t>
      </w:r>
      <w:r w:rsidR="004753E9" w:rsidRPr="00921EF2">
        <w:rPr>
          <w:sz w:val="22"/>
          <w:szCs w:val="22"/>
        </w:rPr>
        <w:t>výchylka kolísania koncentrácií polovičná</w:t>
      </w:r>
      <w:r w:rsidRPr="00921EF2">
        <w:rPr>
          <w:sz w:val="22"/>
          <w:szCs w:val="22"/>
        </w:rPr>
        <w:t>.</w:t>
      </w:r>
    </w:p>
    <w:p w14:paraId="14E9950C" w14:textId="77777777" w:rsidR="00977BF3" w:rsidRPr="00921EF2" w:rsidRDefault="00977BF3" w:rsidP="00B124D9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výraznejšia lineárna závislosť dávky a plazmatickej koncentrácie (celkovej a voľnej).</w:t>
      </w:r>
    </w:p>
    <w:p w14:paraId="60079E2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1F4A881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5.3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Predklinické údaje o bezpečnosti</w:t>
      </w:r>
    </w:p>
    <w:p w14:paraId="0952EED6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4DA1487B" w14:textId="77777777" w:rsidR="000E5248" w:rsidRPr="000E5248" w:rsidRDefault="000E5248" w:rsidP="000E5248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0E5248">
        <w:rPr>
          <w:rFonts w:ascii="Times New Roman" w:hAnsi="Times New Roman" w:cs="Times New Roman"/>
          <w:sz w:val="22"/>
          <w:szCs w:val="22"/>
        </w:rPr>
        <w:t xml:space="preserve">Štúdie na zvieratách preukázali, že expozícia valproátu </w:t>
      </w:r>
      <w:r w:rsidRPr="000E5248">
        <w:rPr>
          <w:rFonts w:ascii="Times New Roman" w:hAnsi="Times New Roman" w:cs="Times New Roman"/>
          <w:i/>
          <w:sz w:val="22"/>
          <w:szCs w:val="22"/>
        </w:rPr>
        <w:t xml:space="preserve">in utero </w:t>
      </w:r>
      <w:r w:rsidRPr="000E5248">
        <w:rPr>
          <w:rFonts w:ascii="Times New Roman" w:hAnsi="Times New Roman" w:cs="Times New Roman"/>
          <w:sz w:val="22"/>
          <w:szCs w:val="22"/>
        </w:rPr>
        <w:t>vedie k morfologickým a funkčným zmenám sluchového systému u potkanov a myší.</w:t>
      </w:r>
    </w:p>
    <w:p w14:paraId="3F666E20" w14:textId="77777777" w:rsidR="005C64C0" w:rsidRPr="00921EF2" w:rsidRDefault="005C64C0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579B9A7D" w14:textId="77777777" w:rsidR="005C64C0" w:rsidRPr="00921EF2" w:rsidRDefault="005C64C0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07829796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</w:t>
      </w:r>
      <w:r w:rsidRPr="00921EF2">
        <w:rPr>
          <w:rFonts w:ascii="Times New Roman" w:hAnsi="Times New Roman" w:cs="Times New Roman"/>
          <w:sz w:val="22"/>
          <w:szCs w:val="22"/>
        </w:rPr>
        <w:tab/>
        <w:t xml:space="preserve">FARMACEUTICKÉ </w:t>
      </w:r>
      <w:r w:rsidR="00725FB5" w:rsidRPr="00921EF2">
        <w:rPr>
          <w:rFonts w:ascii="Times New Roman" w:hAnsi="Times New Roman" w:cs="Times New Roman"/>
          <w:sz w:val="22"/>
          <w:szCs w:val="22"/>
        </w:rPr>
        <w:t>INFORMÁCIE</w:t>
      </w:r>
    </w:p>
    <w:p w14:paraId="37FE17BB" w14:textId="77777777" w:rsidR="00977BF3" w:rsidRPr="00921EF2" w:rsidRDefault="00977BF3" w:rsidP="00B124D9">
      <w:pPr>
        <w:pStyle w:val="Nadpis2"/>
        <w:tabs>
          <w:tab w:val="left" w:pos="567"/>
          <w:tab w:val="left" w:pos="2205"/>
        </w:tabs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</w:p>
    <w:p w14:paraId="29E12A4A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6.1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Zoznam pomocných látok</w:t>
      </w:r>
    </w:p>
    <w:p w14:paraId="3E202C0E" w14:textId="77777777" w:rsidR="00977BF3" w:rsidRPr="00921EF2" w:rsidRDefault="00977BF3" w:rsidP="00B124D9">
      <w:pPr>
        <w:pStyle w:val="Zkladntext"/>
        <w:keepNext/>
        <w:jc w:val="left"/>
        <w:rPr>
          <w:sz w:val="22"/>
          <w:szCs w:val="22"/>
        </w:rPr>
      </w:pPr>
    </w:p>
    <w:p w14:paraId="7346E063" w14:textId="77777777" w:rsidR="0055753D" w:rsidRPr="001B59B9" w:rsidRDefault="0055753D" w:rsidP="0055753D">
      <w:pPr>
        <w:rPr>
          <w:i/>
          <w:sz w:val="22"/>
          <w:lang w:val="sk-SK"/>
        </w:rPr>
      </w:pPr>
      <w:r w:rsidRPr="001B59B9">
        <w:rPr>
          <w:i/>
          <w:sz w:val="22"/>
          <w:lang w:val="sk-SK"/>
        </w:rPr>
        <w:t>Orfiril long 150 mg, Orfiril long 300 mg, Orfiril long 500 mg a Orfiril long 1</w:t>
      </w:r>
      <w:r w:rsidR="00052A19" w:rsidRPr="001B59B9">
        <w:rPr>
          <w:i/>
          <w:sz w:val="22"/>
          <w:lang w:val="sk-SK"/>
        </w:rPr>
        <w:t> </w:t>
      </w:r>
      <w:r w:rsidRPr="001B59B9">
        <w:rPr>
          <w:i/>
          <w:sz w:val="22"/>
          <w:lang w:val="sk-SK"/>
        </w:rPr>
        <w:t>000 mg:</w:t>
      </w:r>
    </w:p>
    <w:p w14:paraId="011B24DD" w14:textId="0F81ED84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stear</w:t>
      </w:r>
      <w:r w:rsidR="00FA78D1" w:rsidRPr="00921EF2">
        <w:rPr>
          <w:sz w:val="22"/>
          <w:szCs w:val="22"/>
          <w:lang w:val="sk-SK"/>
        </w:rPr>
        <w:t>át</w:t>
      </w:r>
      <w:r w:rsidRPr="00921EF2">
        <w:rPr>
          <w:sz w:val="22"/>
          <w:szCs w:val="22"/>
          <w:lang w:val="sk-SK"/>
        </w:rPr>
        <w:t xml:space="preserve"> vápenatý, </w:t>
      </w:r>
    </w:p>
    <w:p w14:paraId="0961DF2C" w14:textId="06819E9F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koloidný metylovaný oxid kremičitý, </w:t>
      </w:r>
    </w:p>
    <w:p w14:paraId="0ABB46E6" w14:textId="77777777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am</w:t>
      </w:r>
      <w:r w:rsidR="005E1DC7">
        <w:rPr>
          <w:sz w:val="22"/>
          <w:szCs w:val="22"/>
          <w:lang w:val="sk-SK"/>
        </w:rPr>
        <w:t>ó</w:t>
      </w:r>
      <w:r w:rsidR="00AD0C1F" w:rsidRPr="00921EF2">
        <w:rPr>
          <w:sz w:val="22"/>
          <w:szCs w:val="22"/>
          <w:lang w:val="sk-SK"/>
        </w:rPr>
        <w:t>nio</w:t>
      </w:r>
      <w:r w:rsidRPr="00921EF2">
        <w:rPr>
          <w:sz w:val="22"/>
          <w:szCs w:val="22"/>
          <w:lang w:val="sk-SK"/>
        </w:rPr>
        <w:t xml:space="preserve">-metakrylátový kopolymér typ B, </w:t>
      </w:r>
    </w:p>
    <w:p w14:paraId="4D9B8F1A" w14:textId="77777777" w:rsidR="005E1DC7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etylcelulóza, </w:t>
      </w:r>
    </w:p>
    <w:p w14:paraId="63CDBAB6" w14:textId="35AF000C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 xml:space="preserve">dibutylester sebakovej kyseliny, </w:t>
      </w:r>
    </w:p>
    <w:p w14:paraId="6680CD9A" w14:textId="15A18E60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kyselina</w:t>
      </w:r>
      <w:r w:rsidR="003C3948" w:rsidRPr="00921EF2">
        <w:rPr>
          <w:sz w:val="22"/>
          <w:szCs w:val="22"/>
          <w:lang w:val="sk-SK"/>
        </w:rPr>
        <w:t xml:space="preserve"> olejová</w:t>
      </w:r>
      <w:r w:rsidRPr="00921EF2">
        <w:rPr>
          <w:sz w:val="22"/>
          <w:szCs w:val="22"/>
          <w:lang w:val="sk-SK"/>
        </w:rPr>
        <w:t xml:space="preserve">, </w:t>
      </w:r>
    </w:p>
    <w:p w14:paraId="765C85F4" w14:textId="77777777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kyselina sorbová, </w:t>
      </w:r>
    </w:p>
    <w:p w14:paraId="568BC8E4" w14:textId="77777777" w:rsidR="0055753D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hydroxid sodný</w:t>
      </w:r>
    </w:p>
    <w:p w14:paraId="4BA6B85B" w14:textId="77777777" w:rsidR="00A223A5" w:rsidRPr="00921EF2" w:rsidRDefault="00A223A5" w:rsidP="0055753D">
      <w:pPr>
        <w:rPr>
          <w:sz w:val="22"/>
          <w:szCs w:val="22"/>
          <w:lang w:val="sk-SK"/>
        </w:rPr>
      </w:pPr>
    </w:p>
    <w:p w14:paraId="55FB599E" w14:textId="77777777" w:rsidR="0055753D" w:rsidRPr="00921EF2" w:rsidRDefault="00A223A5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</w:t>
      </w:r>
      <w:r w:rsidR="0055753D" w:rsidRPr="00921EF2">
        <w:rPr>
          <w:sz w:val="22"/>
          <w:szCs w:val="22"/>
          <w:lang w:val="sk-SK"/>
        </w:rPr>
        <w:t>avyše</w:t>
      </w:r>
      <w:r w:rsidRPr="00921EF2">
        <w:rPr>
          <w:sz w:val="22"/>
          <w:szCs w:val="22"/>
          <w:lang w:val="sk-SK"/>
        </w:rPr>
        <w:t xml:space="preserve"> u</w:t>
      </w:r>
      <w:r w:rsidR="0055753D" w:rsidRPr="00921EF2">
        <w:rPr>
          <w:sz w:val="22"/>
          <w:szCs w:val="22"/>
          <w:lang w:val="sk-SK"/>
        </w:rPr>
        <w:t>:</w:t>
      </w:r>
    </w:p>
    <w:p w14:paraId="26A9E515" w14:textId="77777777" w:rsidR="007A423E" w:rsidRPr="005E1DC7" w:rsidRDefault="0055753D" w:rsidP="0055753D">
      <w:pPr>
        <w:rPr>
          <w:i/>
          <w:sz w:val="22"/>
          <w:szCs w:val="22"/>
          <w:lang w:val="sk-SK"/>
        </w:rPr>
      </w:pPr>
      <w:r w:rsidRPr="001B59B9">
        <w:rPr>
          <w:i/>
          <w:sz w:val="22"/>
          <w:lang w:val="sk-SK"/>
        </w:rPr>
        <w:t xml:space="preserve">Orfiril long 150 mg: </w:t>
      </w:r>
    </w:p>
    <w:p w14:paraId="5EC61292" w14:textId="77777777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želatína, </w:t>
      </w:r>
    </w:p>
    <w:p w14:paraId="6FC350DD" w14:textId="77777777" w:rsidR="0055753D" w:rsidRPr="00921EF2" w:rsidRDefault="0055753D" w:rsidP="0055753D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lang w:val="sk-SK"/>
        </w:rPr>
        <w:t>indigokarmín</w:t>
      </w:r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(E132)</w:t>
      </w:r>
    </w:p>
    <w:p w14:paraId="330228B8" w14:textId="77777777" w:rsidR="007A423E" w:rsidRPr="005E1DC7" w:rsidRDefault="0055753D" w:rsidP="0055753D">
      <w:pPr>
        <w:tabs>
          <w:tab w:val="left" w:pos="426"/>
        </w:tabs>
        <w:rPr>
          <w:i/>
          <w:sz w:val="22"/>
          <w:szCs w:val="22"/>
          <w:lang w:val="sk-SK"/>
        </w:rPr>
      </w:pPr>
      <w:r w:rsidRPr="001B59B9">
        <w:rPr>
          <w:i/>
          <w:sz w:val="22"/>
          <w:lang w:val="sk-SK"/>
        </w:rPr>
        <w:t>Orfiril long 300 mg</w:t>
      </w:r>
      <w:r w:rsidRPr="005E1DC7">
        <w:rPr>
          <w:i/>
          <w:sz w:val="22"/>
          <w:szCs w:val="22"/>
          <w:lang w:val="sk-SK"/>
        </w:rPr>
        <w:t xml:space="preserve">: </w:t>
      </w:r>
    </w:p>
    <w:p w14:paraId="74E0ED30" w14:textId="77777777" w:rsidR="007A423E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želatína, </w:t>
      </w:r>
    </w:p>
    <w:p w14:paraId="73F83C2D" w14:textId="77777777" w:rsidR="007A423E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indigokarmín</w:t>
      </w:r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(E132), </w:t>
      </w:r>
    </w:p>
    <w:p w14:paraId="1529805D" w14:textId="2D0928B0" w:rsidR="0055753D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chinolínová žltá</w:t>
      </w:r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(E104)</w:t>
      </w:r>
    </w:p>
    <w:p w14:paraId="742E268E" w14:textId="77777777" w:rsidR="0055753D" w:rsidRPr="00684DD7" w:rsidDel="0055753D" w:rsidRDefault="0055753D" w:rsidP="001B59B9">
      <w:pPr>
        <w:pStyle w:val="Zkladntext"/>
        <w:jc w:val="left"/>
        <w:rPr>
          <w:sz w:val="22"/>
        </w:rPr>
      </w:pPr>
    </w:p>
    <w:p w14:paraId="298A0D53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02DE6D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6.2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Inkompatibility</w:t>
      </w:r>
    </w:p>
    <w:p w14:paraId="6BFCCC92" w14:textId="77777777" w:rsidR="00977BF3" w:rsidRPr="00921EF2" w:rsidRDefault="00977BF3" w:rsidP="00B124D9">
      <w:pPr>
        <w:pStyle w:val="Zkladntext3"/>
        <w:keepNext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5C40E56A" w14:textId="77777777" w:rsidR="00977BF3" w:rsidRPr="00921EF2" w:rsidRDefault="00D82BAC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Neaplikovateľné.</w:t>
      </w:r>
    </w:p>
    <w:p w14:paraId="40ADEE65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B9F7F31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6.3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Čas použiteľnosti</w:t>
      </w:r>
    </w:p>
    <w:p w14:paraId="60DF6738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7587C940" w14:textId="77777777" w:rsidR="00A223A5" w:rsidRPr="001B59B9" w:rsidRDefault="00A223A5" w:rsidP="00A223A5">
      <w:pPr>
        <w:rPr>
          <w:i/>
          <w:sz w:val="22"/>
          <w:lang w:val="en-GB"/>
        </w:rPr>
      </w:pPr>
      <w:r w:rsidRPr="001B59B9">
        <w:rPr>
          <w:i/>
          <w:sz w:val="22"/>
          <w:lang w:val="en-GB"/>
        </w:rPr>
        <w:t>Orfiril long 150 mg a Orfiril long 300 mg:</w:t>
      </w:r>
    </w:p>
    <w:p w14:paraId="75408A64" w14:textId="77777777" w:rsidR="00A223A5" w:rsidRPr="00921EF2" w:rsidRDefault="00A223A5" w:rsidP="00A223A5">
      <w:pPr>
        <w:rPr>
          <w:sz w:val="22"/>
          <w:szCs w:val="22"/>
          <w:lang w:val="en-GB"/>
        </w:rPr>
      </w:pPr>
      <w:r w:rsidRPr="00921EF2">
        <w:rPr>
          <w:sz w:val="22"/>
          <w:szCs w:val="22"/>
          <w:lang w:val="en-GB"/>
        </w:rPr>
        <w:t>2 roky</w:t>
      </w:r>
    </w:p>
    <w:p w14:paraId="480A1F21" w14:textId="77777777" w:rsidR="00A223A5" w:rsidRPr="00921EF2" w:rsidRDefault="00A223A5" w:rsidP="00A223A5">
      <w:pPr>
        <w:rPr>
          <w:sz w:val="22"/>
          <w:szCs w:val="22"/>
          <w:lang w:val="en-GB"/>
        </w:rPr>
      </w:pPr>
    </w:p>
    <w:p w14:paraId="4759181E" w14:textId="77777777" w:rsidR="00A223A5" w:rsidRPr="001B59B9" w:rsidRDefault="00A223A5" w:rsidP="00A223A5">
      <w:pPr>
        <w:rPr>
          <w:i/>
          <w:sz w:val="22"/>
          <w:lang w:val="en-GB"/>
        </w:rPr>
      </w:pPr>
      <w:r w:rsidRPr="001B59B9">
        <w:rPr>
          <w:i/>
          <w:sz w:val="22"/>
          <w:lang w:val="en-GB"/>
        </w:rPr>
        <w:t>Orfiril long 500 mg a Orfiril long 1 000 mg:</w:t>
      </w:r>
    </w:p>
    <w:p w14:paraId="3FFF1CA7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3 roky</w:t>
      </w:r>
    </w:p>
    <w:p w14:paraId="38FAFFC5" w14:textId="77777777" w:rsidR="00A223A5" w:rsidRPr="00921EF2" w:rsidRDefault="00A223A5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1032FEE3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6.4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Špeciálne upozornenia na uchovávanie</w:t>
      </w:r>
    </w:p>
    <w:p w14:paraId="0F690789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4B52C7AB" w14:textId="77777777" w:rsidR="00A223A5" w:rsidRPr="00921EF2" w:rsidRDefault="00A223A5" w:rsidP="00A223A5">
      <w:pPr>
        <w:rPr>
          <w:snapToGrid w:val="0"/>
          <w:sz w:val="22"/>
          <w:szCs w:val="22"/>
          <w:lang w:val="sk-SK"/>
        </w:rPr>
      </w:pPr>
      <w:r w:rsidRPr="00921EF2">
        <w:rPr>
          <w:snapToGrid w:val="0"/>
          <w:sz w:val="22"/>
          <w:szCs w:val="22"/>
          <w:lang w:val="sk-SK"/>
        </w:rPr>
        <w:t>Uchovávajte pri teplote do 30 º C.</w:t>
      </w:r>
    </w:p>
    <w:p w14:paraId="41C2CE1A" w14:textId="77777777" w:rsidR="00A223A5" w:rsidRPr="00921EF2" w:rsidRDefault="00A223A5" w:rsidP="00A223A5">
      <w:pPr>
        <w:rPr>
          <w:snapToGrid w:val="0"/>
          <w:sz w:val="22"/>
          <w:szCs w:val="22"/>
          <w:lang w:val="sk-SK"/>
        </w:rPr>
      </w:pPr>
      <w:r w:rsidRPr="00921EF2">
        <w:rPr>
          <w:snapToGrid w:val="0"/>
          <w:sz w:val="22"/>
          <w:szCs w:val="22"/>
          <w:lang w:val="sk-SK"/>
        </w:rPr>
        <w:t>Uchovávajte v pôvodnom obale.</w:t>
      </w:r>
    </w:p>
    <w:p w14:paraId="69699342" w14:textId="77777777" w:rsidR="00A223A5" w:rsidRPr="00921EF2" w:rsidDel="00A223A5" w:rsidRDefault="00A223A5" w:rsidP="005E1DC7">
      <w:pPr>
        <w:pStyle w:val="Zkladntext"/>
        <w:tabs>
          <w:tab w:val="left" w:pos="-142"/>
        </w:tabs>
        <w:rPr>
          <w:sz w:val="22"/>
          <w:szCs w:val="22"/>
        </w:rPr>
      </w:pPr>
      <w:r w:rsidRPr="00921EF2">
        <w:rPr>
          <w:snapToGrid w:val="0"/>
          <w:sz w:val="22"/>
          <w:szCs w:val="22"/>
        </w:rPr>
        <w:t>Obal udržiavajte dôkladne uzatvorený.</w:t>
      </w:r>
    </w:p>
    <w:p w14:paraId="124346B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9FB7D25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6.5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Druh obalu a obsah balenia</w:t>
      </w:r>
    </w:p>
    <w:p w14:paraId="7FFCB88C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1D40D756" w14:textId="536AB231" w:rsidR="00A223A5" w:rsidRDefault="00A223A5" w:rsidP="00A223A5">
      <w:pPr>
        <w:rPr>
          <w:sz w:val="22"/>
          <w:szCs w:val="22"/>
          <w:lang w:val="sk-SK"/>
        </w:rPr>
      </w:pPr>
      <w:r w:rsidRPr="001B59B9">
        <w:rPr>
          <w:i/>
          <w:sz w:val="22"/>
          <w:lang w:val="sk-SK"/>
        </w:rPr>
        <w:t>Orfiril long 150 mg a Orfiril long 300 mg</w:t>
      </w:r>
      <w:r w:rsidRPr="00921EF2">
        <w:rPr>
          <w:sz w:val="22"/>
          <w:szCs w:val="22"/>
          <w:lang w:val="sk-SK"/>
        </w:rPr>
        <w:t>: plastový obal z polyetylénu bielej farby, uzavretý plastovým uzáverom z polypropylénu bielej farby, vysušovadlo, papierová škatuľka, pís</w:t>
      </w:r>
      <w:r w:rsidR="005E1DC7">
        <w:rPr>
          <w:sz w:val="22"/>
          <w:szCs w:val="22"/>
          <w:lang w:val="sk-SK"/>
        </w:rPr>
        <w:t>omná informácia pre používateľa.</w:t>
      </w:r>
    </w:p>
    <w:p w14:paraId="5B91B71D" w14:textId="77777777" w:rsidR="005E1DC7" w:rsidRPr="00921EF2" w:rsidRDefault="005E1DC7" w:rsidP="00A223A5">
      <w:pPr>
        <w:rPr>
          <w:sz w:val="22"/>
          <w:szCs w:val="22"/>
          <w:lang w:val="sk-SK"/>
        </w:rPr>
      </w:pPr>
    </w:p>
    <w:p w14:paraId="002AA835" w14:textId="77777777" w:rsidR="003C3948" w:rsidRPr="00921EF2" w:rsidRDefault="003C3948" w:rsidP="00A223A5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Veľkosť balenia: 50, 100 alebo 200 kapsúl s predĺženým uvoľňovaním</w:t>
      </w:r>
    </w:p>
    <w:p w14:paraId="7F83B677" w14:textId="77777777" w:rsidR="00A223A5" w:rsidRPr="00921EF2" w:rsidRDefault="00A223A5" w:rsidP="00A223A5">
      <w:pPr>
        <w:rPr>
          <w:sz w:val="22"/>
          <w:szCs w:val="22"/>
          <w:lang w:val="sk-SK"/>
        </w:rPr>
      </w:pPr>
    </w:p>
    <w:p w14:paraId="2A97FC4C" w14:textId="77777777" w:rsidR="00D632DA" w:rsidRPr="005E746B" w:rsidRDefault="00D632DA" w:rsidP="00D632DA">
      <w:pPr>
        <w:rPr>
          <w:sz w:val="22"/>
          <w:szCs w:val="22"/>
          <w:lang w:val="sk-SK"/>
        </w:rPr>
      </w:pPr>
      <w:r w:rsidRPr="005E746B">
        <w:rPr>
          <w:sz w:val="22"/>
          <w:szCs w:val="22"/>
        </w:rPr>
        <w:t>Na trh nemusia byť uvedené všetky veľkosti balenia.</w:t>
      </w:r>
    </w:p>
    <w:p w14:paraId="23B6BFEF" w14:textId="77777777" w:rsidR="00D632DA" w:rsidRPr="005E1DC7" w:rsidRDefault="00D632DA">
      <w:pPr>
        <w:rPr>
          <w:i/>
          <w:sz w:val="22"/>
          <w:lang w:val="sk-SK"/>
        </w:rPr>
      </w:pPr>
    </w:p>
    <w:p w14:paraId="7AFC02CB" w14:textId="3F42DBDD" w:rsidR="00A223A5" w:rsidRDefault="00A223A5">
      <w:pPr>
        <w:rPr>
          <w:sz w:val="22"/>
          <w:szCs w:val="22"/>
          <w:lang w:val="sk-SK"/>
        </w:rPr>
      </w:pPr>
      <w:r w:rsidRPr="001B59B9">
        <w:rPr>
          <w:i/>
          <w:sz w:val="22"/>
          <w:lang w:val="sk-SK"/>
        </w:rPr>
        <w:t>Orfiril long 500 mg a Orfiril long 1 000 mg</w:t>
      </w:r>
      <w:r w:rsidRPr="00921EF2">
        <w:rPr>
          <w:sz w:val="22"/>
          <w:szCs w:val="22"/>
          <w:lang w:val="sk-SK"/>
        </w:rPr>
        <w:t>: vrecko (papier/Al/PE) s obsahom minitabliet, papierová škatuľka, pís</w:t>
      </w:r>
      <w:r w:rsidR="005E1DC7">
        <w:rPr>
          <w:sz w:val="22"/>
          <w:szCs w:val="22"/>
          <w:lang w:val="sk-SK"/>
        </w:rPr>
        <w:t>omná informácia pre používateľa.</w:t>
      </w:r>
    </w:p>
    <w:p w14:paraId="31040EDF" w14:textId="77777777" w:rsidR="005E1DC7" w:rsidRPr="00921EF2" w:rsidDel="00A223A5" w:rsidRDefault="005E1DC7">
      <w:pPr>
        <w:rPr>
          <w:sz w:val="22"/>
          <w:szCs w:val="22"/>
          <w:lang w:val="sk-SK"/>
        </w:rPr>
      </w:pPr>
    </w:p>
    <w:p w14:paraId="03BB54DC" w14:textId="77777777" w:rsidR="003C3948" w:rsidRPr="00921EF2" w:rsidRDefault="003C3948" w:rsidP="003C3948">
      <w:pPr>
        <w:tabs>
          <w:tab w:val="left" w:pos="-720"/>
          <w:tab w:val="left" w:pos="0"/>
        </w:tabs>
        <w:suppressAutoHyphens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Veľkosť balenia: 50, 100 alebo 200 vreciek s obsahom tabliet s predĺženým uvoľňovaním (minitablety s predĺženým uvoľňovaním vo vrecku určené na jednorazové použitie)</w:t>
      </w:r>
    </w:p>
    <w:p w14:paraId="44B33937" w14:textId="77777777" w:rsidR="00977BF3" w:rsidRDefault="00977BF3" w:rsidP="00B124D9">
      <w:pPr>
        <w:rPr>
          <w:sz w:val="22"/>
          <w:szCs w:val="22"/>
          <w:lang w:val="sk-SK"/>
        </w:rPr>
      </w:pPr>
    </w:p>
    <w:p w14:paraId="40B911DE" w14:textId="3BF46C7C" w:rsidR="00D632DA" w:rsidRPr="005E746B" w:rsidRDefault="00D632DA" w:rsidP="00B124D9">
      <w:pPr>
        <w:rPr>
          <w:sz w:val="22"/>
          <w:szCs w:val="22"/>
          <w:lang w:val="sk-SK"/>
        </w:rPr>
      </w:pPr>
      <w:r w:rsidRPr="005E746B">
        <w:rPr>
          <w:sz w:val="22"/>
          <w:szCs w:val="22"/>
        </w:rPr>
        <w:t>Na trh nemusia byť uvedené všetky veľkosti balenia.</w:t>
      </w:r>
    </w:p>
    <w:p w14:paraId="16EF47BE" w14:textId="77777777" w:rsidR="00D632DA" w:rsidRPr="00921EF2" w:rsidRDefault="00D632DA" w:rsidP="00B124D9">
      <w:pPr>
        <w:rPr>
          <w:sz w:val="22"/>
          <w:szCs w:val="22"/>
          <w:lang w:val="sk-SK"/>
        </w:rPr>
      </w:pPr>
    </w:p>
    <w:p w14:paraId="2AA6BCC9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6.6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color w:val="000000"/>
          <w:sz w:val="22"/>
          <w:szCs w:val="22"/>
        </w:rPr>
        <w:t>Špeciálne opatrenia na likvidáciu a iné zaobchádzanie s liekom</w:t>
      </w:r>
    </w:p>
    <w:p w14:paraId="59A541A3" w14:textId="77777777" w:rsidR="00977BF3" w:rsidRPr="00921EF2" w:rsidRDefault="00977BF3" w:rsidP="00B124D9">
      <w:pPr>
        <w:pStyle w:val="Zkladntext3"/>
        <w:keepNext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33D3E328" w14:textId="77777777" w:rsidR="00A223A5" w:rsidRDefault="00A223A5" w:rsidP="00A223A5">
      <w:pPr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Žiadne zvláštne požiadavky.</w:t>
      </w:r>
    </w:p>
    <w:p w14:paraId="62BE404F" w14:textId="77777777" w:rsidR="005E1DC7" w:rsidRPr="00921EF2" w:rsidRDefault="005E1DC7" w:rsidP="00A223A5">
      <w:pPr>
        <w:jc w:val="both"/>
        <w:rPr>
          <w:sz w:val="22"/>
          <w:szCs w:val="22"/>
          <w:lang w:val="sk-SK"/>
        </w:rPr>
      </w:pPr>
    </w:p>
    <w:p w14:paraId="37B5FB2E" w14:textId="77777777" w:rsidR="00A808A8" w:rsidRPr="00921EF2" w:rsidRDefault="00D82BAC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Všetok n</w:t>
      </w:r>
      <w:r w:rsidR="00A808A8" w:rsidRPr="00921EF2">
        <w:rPr>
          <w:rFonts w:ascii="Times New Roman" w:hAnsi="Times New Roman" w:cs="Times New Roman"/>
          <w:sz w:val="22"/>
          <w:szCs w:val="22"/>
        </w:rPr>
        <w:t>epoužitý liek alebo odpad</w:t>
      </w:r>
      <w:r w:rsidR="004D4023" w:rsidRPr="00921EF2">
        <w:rPr>
          <w:rFonts w:ascii="Times New Roman" w:hAnsi="Times New Roman" w:cs="Times New Roman"/>
          <w:sz w:val="22"/>
          <w:szCs w:val="22"/>
        </w:rPr>
        <w:t xml:space="preserve"> vzniknutý z lieku </w:t>
      </w:r>
      <w:r w:rsidRPr="00921EF2">
        <w:rPr>
          <w:rFonts w:ascii="Times New Roman" w:hAnsi="Times New Roman" w:cs="Times New Roman"/>
          <w:sz w:val="22"/>
          <w:szCs w:val="22"/>
        </w:rPr>
        <w:t>sa má zlikvidovať v súlade s národnými požiadavkami.</w:t>
      </w:r>
    </w:p>
    <w:p w14:paraId="5B71DD70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3A4907B3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1EB93B17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7.</w:t>
      </w:r>
      <w:r w:rsidRPr="00921EF2">
        <w:rPr>
          <w:rFonts w:ascii="Times New Roman" w:hAnsi="Times New Roman" w:cs="Times New Roman"/>
          <w:sz w:val="22"/>
          <w:szCs w:val="22"/>
        </w:rPr>
        <w:tab/>
        <w:t>DRŽITEĽ ROZHODNUTIA O REGISTRÁCII</w:t>
      </w:r>
    </w:p>
    <w:p w14:paraId="431CABC2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3DF6197A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Desitin Arzneimittel GmbH</w:t>
      </w:r>
    </w:p>
    <w:p w14:paraId="253C3BA8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Weg beim Jäger 214</w:t>
      </w:r>
    </w:p>
    <w:p w14:paraId="12C969CF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22335 Hamburg</w:t>
      </w:r>
    </w:p>
    <w:p w14:paraId="53ECF281" w14:textId="77777777" w:rsidR="00A223A5" w:rsidRPr="00921EF2" w:rsidRDefault="00A223A5" w:rsidP="00A223A5">
      <w:pPr>
        <w:pStyle w:val="Hlavika"/>
        <w:tabs>
          <w:tab w:val="clear" w:pos="4536"/>
          <w:tab w:val="clear" w:pos="9072"/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Nemecko</w:t>
      </w:r>
    </w:p>
    <w:p w14:paraId="4420239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001505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72D058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8.</w:t>
      </w:r>
      <w:r w:rsidRPr="00921EF2">
        <w:rPr>
          <w:rFonts w:ascii="Times New Roman" w:hAnsi="Times New Roman" w:cs="Times New Roman"/>
          <w:sz w:val="22"/>
          <w:szCs w:val="22"/>
        </w:rPr>
        <w:tab/>
        <w:t>REGISTRAČNÉ ČÍSLO</w:t>
      </w:r>
    </w:p>
    <w:p w14:paraId="68AFC48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A12E23B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150 mg: 21/0298/00-S</w:t>
      </w:r>
    </w:p>
    <w:p w14:paraId="017DC8F4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300 mg: 21/0299/00-S</w:t>
      </w:r>
    </w:p>
    <w:p w14:paraId="5192F21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500 mg: 21/0076/01-S</w:t>
      </w:r>
    </w:p>
    <w:p w14:paraId="0D5F023B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Orfiril long 1 000 mg: 21/0077/01-S</w:t>
      </w:r>
    </w:p>
    <w:p w14:paraId="10E53926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4CE249F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35FBBFB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9.</w:t>
      </w:r>
      <w:r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color w:val="000000"/>
          <w:sz w:val="22"/>
          <w:szCs w:val="22"/>
        </w:rPr>
        <w:t>DÁTUM PRVEJ REGISTRÁCIE / PREDĹŽENIA REGISTRÁCIE</w:t>
      </w:r>
    </w:p>
    <w:p w14:paraId="7ABB6C5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3373AFE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r w:rsidRPr="001B59B9">
        <w:rPr>
          <w:i/>
          <w:sz w:val="22"/>
          <w:lang w:val="sk-SK"/>
        </w:rPr>
        <w:t>Orfiril long 150 mg</w:t>
      </w:r>
    </w:p>
    <w:p w14:paraId="78DED48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13. septembra 2000</w:t>
      </w:r>
    </w:p>
    <w:p w14:paraId="178CFA7F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16729974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4575BD46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r w:rsidRPr="001B59B9">
        <w:rPr>
          <w:i/>
          <w:sz w:val="22"/>
          <w:lang w:val="sk-SK"/>
        </w:rPr>
        <w:t>Orfiril long 300 mg</w:t>
      </w:r>
    </w:p>
    <w:p w14:paraId="50EB00DE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13. septembra 2000</w:t>
      </w:r>
    </w:p>
    <w:p w14:paraId="628D27B4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5C39032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123BA693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r w:rsidRPr="001B59B9">
        <w:rPr>
          <w:i/>
          <w:sz w:val="22"/>
          <w:lang w:val="sk-SK"/>
        </w:rPr>
        <w:t xml:space="preserve">Orfiril long 500 mg: </w:t>
      </w:r>
    </w:p>
    <w:p w14:paraId="157204F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9. februára 2001</w:t>
      </w:r>
    </w:p>
    <w:p w14:paraId="5235F822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7B7D2037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0A49E574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r w:rsidRPr="001B59B9">
        <w:rPr>
          <w:i/>
          <w:sz w:val="22"/>
          <w:lang w:val="sk-SK"/>
        </w:rPr>
        <w:t xml:space="preserve">Orfiril long 1 000 mg: </w:t>
      </w:r>
    </w:p>
    <w:p w14:paraId="4FF45633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9. februára 2001</w:t>
      </w:r>
    </w:p>
    <w:p w14:paraId="6B9BD22B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53DAAE30" w14:textId="77777777" w:rsidR="00A223A5" w:rsidRPr="00921EF2" w:rsidRDefault="00A223A5" w:rsidP="00A223A5">
      <w:pPr>
        <w:tabs>
          <w:tab w:val="left" w:pos="426"/>
        </w:tabs>
        <w:rPr>
          <w:bCs/>
          <w:sz w:val="22"/>
          <w:szCs w:val="22"/>
          <w:lang w:val="sk-SK"/>
        </w:rPr>
      </w:pPr>
    </w:p>
    <w:p w14:paraId="075936F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49D6451" w14:textId="77777777" w:rsidR="00B7337F" w:rsidRPr="00921EF2" w:rsidRDefault="00B7337F" w:rsidP="00B124D9">
      <w:pPr>
        <w:rPr>
          <w:sz w:val="22"/>
          <w:szCs w:val="22"/>
          <w:lang w:val="sk-SK"/>
        </w:rPr>
      </w:pPr>
    </w:p>
    <w:p w14:paraId="251E23B6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10.</w:t>
      </w:r>
      <w:r w:rsidRPr="00921EF2">
        <w:rPr>
          <w:rFonts w:ascii="Times New Roman" w:hAnsi="Times New Roman" w:cs="Times New Roman"/>
          <w:sz w:val="22"/>
          <w:szCs w:val="22"/>
        </w:rPr>
        <w:tab/>
        <w:t>DÁTUM REVÍZIE TEXTU</w:t>
      </w:r>
    </w:p>
    <w:p w14:paraId="104CBE0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B2211BD" w14:textId="77777777" w:rsidR="00182391" w:rsidRPr="00921EF2" w:rsidRDefault="00CB0D0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05/2020</w:t>
      </w:r>
    </w:p>
    <w:sectPr w:rsidR="00182391" w:rsidRPr="00921EF2" w:rsidSect="001B59B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9E4DC" w14:textId="77777777" w:rsidR="00AE639B" w:rsidRDefault="00AE639B">
      <w:r>
        <w:separator/>
      </w:r>
    </w:p>
  </w:endnote>
  <w:endnote w:type="continuationSeparator" w:id="0">
    <w:p w14:paraId="2F944719" w14:textId="77777777" w:rsidR="00AE639B" w:rsidRDefault="00AE639B">
      <w:r>
        <w:continuationSeparator/>
      </w:r>
    </w:p>
  </w:endnote>
  <w:endnote w:type="continuationNotice" w:id="1">
    <w:p w14:paraId="2EF81BF3" w14:textId="77777777" w:rsidR="00AE639B" w:rsidRDefault="00AE6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22BE" w14:textId="77777777" w:rsidR="00A1408B" w:rsidRDefault="00A1408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AF7B1B" w14:textId="77777777" w:rsidR="00A1408B" w:rsidRDefault="00A1408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D389" w14:textId="0532CC1E" w:rsidR="00B21E7F" w:rsidRPr="009A6B5B" w:rsidRDefault="00B21E7F">
    <w:pPr>
      <w:pStyle w:val="Pta"/>
      <w:jc w:val="center"/>
      <w:rPr>
        <w:sz w:val="18"/>
        <w:szCs w:val="18"/>
      </w:rPr>
    </w:pPr>
    <w:r w:rsidRPr="009A6B5B">
      <w:rPr>
        <w:sz w:val="18"/>
        <w:szCs w:val="18"/>
      </w:rPr>
      <w:fldChar w:fldCharType="begin"/>
    </w:r>
    <w:r w:rsidRPr="009A6B5B">
      <w:rPr>
        <w:sz w:val="18"/>
        <w:szCs w:val="18"/>
      </w:rPr>
      <w:instrText>PAGE   \* MERGEFORMAT</w:instrText>
    </w:r>
    <w:r w:rsidRPr="009A6B5B">
      <w:rPr>
        <w:sz w:val="18"/>
        <w:szCs w:val="18"/>
      </w:rPr>
      <w:fldChar w:fldCharType="separate"/>
    </w:r>
    <w:r w:rsidR="004F754C" w:rsidRPr="004F754C">
      <w:rPr>
        <w:noProof/>
        <w:sz w:val="18"/>
        <w:szCs w:val="18"/>
        <w:lang w:val="sk-SK"/>
      </w:rPr>
      <w:t>18</w:t>
    </w:r>
    <w:r w:rsidRPr="009A6B5B">
      <w:rPr>
        <w:sz w:val="18"/>
        <w:szCs w:val="18"/>
      </w:rPr>
      <w:fldChar w:fldCharType="end"/>
    </w:r>
  </w:p>
  <w:p w14:paraId="4499E95D" w14:textId="77777777" w:rsidR="00A1408B" w:rsidRDefault="00A1408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F453" w14:textId="77777777" w:rsidR="00AE639B" w:rsidRDefault="00AE639B">
      <w:r>
        <w:separator/>
      </w:r>
    </w:p>
  </w:footnote>
  <w:footnote w:type="continuationSeparator" w:id="0">
    <w:p w14:paraId="2162BABF" w14:textId="77777777" w:rsidR="00AE639B" w:rsidRDefault="00AE639B">
      <w:r>
        <w:continuationSeparator/>
      </w:r>
    </w:p>
  </w:footnote>
  <w:footnote w:type="continuationNotice" w:id="1">
    <w:p w14:paraId="7C94540C" w14:textId="77777777" w:rsidR="00AE639B" w:rsidRDefault="00AE6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F76A6" w14:textId="77777777" w:rsidR="0084027A" w:rsidRPr="00FD1942" w:rsidRDefault="0084027A" w:rsidP="00AD5D3D">
    <w:pPr>
      <w:pStyle w:val="Hlavika"/>
      <w:rPr>
        <w:sz w:val="18"/>
        <w:szCs w:val="18"/>
        <w:lang w:val="sk-SK"/>
      </w:rPr>
    </w:pPr>
    <w:r w:rsidRPr="00FD1942">
      <w:rPr>
        <w:sz w:val="18"/>
        <w:szCs w:val="18"/>
        <w:lang w:val="sk-SK"/>
      </w:rPr>
      <w:t>Schválený text k rozhodnutiu o zmene ev. č.: 2012/03860-ZME, 2013/03620-ZME</w:t>
    </w:r>
    <w:r w:rsidRPr="00FD1942" w:rsidDel="0084027A">
      <w:rPr>
        <w:sz w:val="18"/>
        <w:szCs w:val="18"/>
        <w:lang w:val="sk-SK"/>
      </w:rPr>
      <w:t xml:space="preserve"> </w:t>
    </w:r>
  </w:p>
  <w:p w14:paraId="0D4782DE" w14:textId="77777777" w:rsidR="00CE2B95" w:rsidRPr="00FD1942" w:rsidRDefault="0084027A" w:rsidP="00CE2B95">
    <w:pPr>
      <w:pStyle w:val="Hlavika"/>
      <w:rPr>
        <w:sz w:val="18"/>
        <w:szCs w:val="18"/>
      </w:rPr>
    </w:pPr>
    <w:r w:rsidRPr="00FD1942">
      <w:rPr>
        <w:sz w:val="18"/>
        <w:szCs w:val="18"/>
        <w:lang w:val="sk-SK"/>
      </w:rPr>
      <w:t xml:space="preserve">Príloha č.1 k notifikácii o zmene, ev. č.: 2012/03861-ZIB; 2012/03862-ZIB, 2013/03621-Z1A, </w:t>
    </w:r>
    <w:r w:rsidR="008A2809" w:rsidRPr="00FD1942">
      <w:rPr>
        <w:sz w:val="18"/>
        <w:szCs w:val="18"/>
        <w:lang w:val="sk-SK"/>
      </w:rPr>
      <w:t xml:space="preserve">2014/07493-Z1A, </w:t>
    </w:r>
    <w:r w:rsidRPr="00FD1942">
      <w:rPr>
        <w:sz w:val="18"/>
        <w:szCs w:val="18"/>
        <w:lang w:val="sk-SK"/>
      </w:rPr>
      <w:t xml:space="preserve">2015/00059-ZIB, 2015/02640-ZIA, 2016/00036-Z1A, </w:t>
    </w:r>
    <w:r w:rsidR="008A2809" w:rsidRPr="00FD1942">
      <w:rPr>
        <w:sz w:val="18"/>
        <w:szCs w:val="18"/>
        <w:lang w:val="sk-SK"/>
      </w:rPr>
      <w:t xml:space="preserve">2016/02995-Z1B, </w:t>
    </w:r>
    <w:r w:rsidRPr="00FD1942">
      <w:rPr>
        <w:sz w:val="18"/>
        <w:szCs w:val="18"/>
        <w:lang w:val="sk-SK"/>
      </w:rPr>
      <w:t>2016/06053-Z1B</w:t>
    </w:r>
    <w:r w:rsidR="00FD1942" w:rsidRPr="00FD1942">
      <w:rPr>
        <w:sz w:val="18"/>
        <w:szCs w:val="18"/>
        <w:lang w:val="sk-SK"/>
      </w:rPr>
      <w:t>, 2018/05311-ZIB, 2018/08204-ZIA, 2020/00594-ZIB</w:t>
    </w:r>
  </w:p>
  <w:p w14:paraId="0B7439D8" w14:textId="77777777" w:rsidR="00CE2B95" w:rsidRDefault="00CE2B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1FEF4" w14:textId="77777777" w:rsidR="00CC65FE" w:rsidRPr="00CC0BFC" w:rsidRDefault="00B05C0C" w:rsidP="00CC65FE">
    <w:pPr>
      <w:pStyle w:val="Hlavika"/>
      <w:rPr>
        <w:sz w:val="18"/>
        <w:szCs w:val="18"/>
        <w:lang w:val="sk-SK"/>
      </w:rPr>
    </w:pPr>
    <w:r w:rsidRPr="00B35602">
      <w:rPr>
        <w:sz w:val="18"/>
        <w:szCs w:val="18"/>
        <w:lang w:val="sk-SK"/>
      </w:rPr>
      <w:t>Schválený text k rozhodnutiu o zmene, ev. č.:</w:t>
    </w:r>
    <w:r>
      <w:rPr>
        <w:sz w:val="18"/>
        <w:szCs w:val="18"/>
        <w:lang w:val="sk-SK"/>
      </w:rPr>
      <w:t xml:space="preserve"> </w:t>
    </w:r>
    <w:r w:rsidR="003940E5">
      <w:rPr>
        <w:sz w:val="18"/>
        <w:szCs w:val="18"/>
        <w:lang w:val="sk-SK"/>
      </w:rPr>
      <w:t>2016/05919-ZME</w:t>
    </w:r>
  </w:p>
  <w:p w14:paraId="0D2EA219" w14:textId="77777777" w:rsidR="008163BB" w:rsidRDefault="008163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289E"/>
    <w:multiLevelType w:val="hybridMultilevel"/>
    <w:tmpl w:val="DB7CC0E0"/>
    <w:lvl w:ilvl="0" w:tplc="D74030A8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F2"/>
    <w:multiLevelType w:val="hybridMultilevel"/>
    <w:tmpl w:val="68A8773C"/>
    <w:lvl w:ilvl="0" w:tplc="C5D89686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DDD"/>
    <w:multiLevelType w:val="hybridMultilevel"/>
    <w:tmpl w:val="EA123C46"/>
    <w:lvl w:ilvl="0" w:tplc="E73A1B92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6B24"/>
    <w:multiLevelType w:val="hybridMultilevel"/>
    <w:tmpl w:val="606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E7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26C210B6"/>
    <w:multiLevelType w:val="hybridMultilevel"/>
    <w:tmpl w:val="04128DAA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9DC"/>
    <w:multiLevelType w:val="hybridMultilevel"/>
    <w:tmpl w:val="71ECDC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0725"/>
    <w:multiLevelType w:val="hybridMultilevel"/>
    <w:tmpl w:val="927AF378"/>
    <w:lvl w:ilvl="0" w:tplc="C6AC41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F2EAB"/>
    <w:multiLevelType w:val="hybridMultilevel"/>
    <w:tmpl w:val="2EE42FA4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A7D"/>
    <w:multiLevelType w:val="hybridMultilevel"/>
    <w:tmpl w:val="705261DA"/>
    <w:lvl w:ilvl="0" w:tplc="27FC61F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C52AF"/>
    <w:multiLevelType w:val="hybridMultilevel"/>
    <w:tmpl w:val="9362C446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3066"/>
    <w:multiLevelType w:val="hybridMultilevel"/>
    <w:tmpl w:val="B9EE64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14715"/>
    <w:multiLevelType w:val="hybridMultilevel"/>
    <w:tmpl w:val="E496F57A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13183"/>
    <w:multiLevelType w:val="singleLevel"/>
    <w:tmpl w:val="418CF9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556E3A"/>
    <w:multiLevelType w:val="hybridMultilevel"/>
    <w:tmpl w:val="F080E808"/>
    <w:lvl w:ilvl="0" w:tplc="3E90964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01B10"/>
    <w:multiLevelType w:val="hybridMultilevel"/>
    <w:tmpl w:val="B37C209E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A04E3"/>
    <w:multiLevelType w:val="singleLevel"/>
    <w:tmpl w:val="739CC8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AE2456"/>
    <w:multiLevelType w:val="hybridMultilevel"/>
    <w:tmpl w:val="4EB6EFC0"/>
    <w:lvl w:ilvl="0" w:tplc="0F4C1C28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96B47"/>
    <w:multiLevelType w:val="hybridMultilevel"/>
    <w:tmpl w:val="9B0CC3A8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7E6"/>
    <w:multiLevelType w:val="hybridMultilevel"/>
    <w:tmpl w:val="37C876D6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06E4E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 w15:restartNumberingAfterBreak="0">
    <w:nsid w:val="66BD3E9A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2" w15:restartNumberingAfterBreak="0">
    <w:nsid w:val="704B48C7"/>
    <w:multiLevelType w:val="hybridMultilevel"/>
    <w:tmpl w:val="73B44A34"/>
    <w:lvl w:ilvl="0" w:tplc="C066B100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61188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 w15:restartNumberingAfterBreak="0">
    <w:nsid w:val="7A9E4674"/>
    <w:multiLevelType w:val="hybridMultilevel"/>
    <w:tmpl w:val="24A8B1D2"/>
    <w:lvl w:ilvl="0" w:tplc="2D3A5FF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008AF36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57B3"/>
    <w:multiLevelType w:val="hybridMultilevel"/>
    <w:tmpl w:val="882EAE20"/>
    <w:lvl w:ilvl="0" w:tplc="418CF96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0"/>
  </w:num>
  <w:num w:numId="5">
    <w:abstractNumId w:val="23"/>
  </w:num>
  <w:num w:numId="6">
    <w:abstractNumId w:val="2"/>
  </w:num>
  <w:num w:numId="7">
    <w:abstractNumId w:val="0"/>
  </w:num>
  <w:num w:numId="8">
    <w:abstractNumId w:val="1"/>
  </w:num>
  <w:num w:numId="9">
    <w:abstractNumId w:val="22"/>
  </w:num>
  <w:num w:numId="10">
    <w:abstractNumId w:val="17"/>
  </w:num>
  <w:num w:numId="11">
    <w:abstractNumId w:val="14"/>
  </w:num>
  <w:num w:numId="12">
    <w:abstractNumId w:val="24"/>
  </w:num>
  <w:num w:numId="13">
    <w:abstractNumId w:val="7"/>
  </w:num>
  <w:num w:numId="14">
    <w:abstractNumId w:val="12"/>
  </w:num>
  <w:num w:numId="15">
    <w:abstractNumId w:val="10"/>
  </w:num>
  <w:num w:numId="16">
    <w:abstractNumId w:val="18"/>
  </w:num>
  <w:num w:numId="17">
    <w:abstractNumId w:val="19"/>
  </w:num>
  <w:num w:numId="18">
    <w:abstractNumId w:val="9"/>
  </w:num>
  <w:num w:numId="19">
    <w:abstractNumId w:val="3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3"/>
    <w:rsid w:val="0000066C"/>
    <w:rsid w:val="000017E0"/>
    <w:rsid w:val="000037CC"/>
    <w:rsid w:val="000047B6"/>
    <w:rsid w:val="000070CC"/>
    <w:rsid w:val="00012805"/>
    <w:rsid w:val="000218C2"/>
    <w:rsid w:val="0002678B"/>
    <w:rsid w:val="0003130E"/>
    <w:rsid w:val="000332E5"/>
    <w:rsid w:val="00035D2B"/>
    <w:rsid w:val="00052A19"/>
    <w:rsid w:val="00053EB0"/>
    <w:rsid w:val="00062430"/>
    <w:rsid w:val="0006262B"/>
    <w:rsid w:val="0006438A"/>
    <w:rsid w:val="00064E96"/>
    <w:rsid w:val="00065897"/>
    <w:rsid w:val="000663A9"/>
    <w:rsid w:val="00067558"/>
    <w:rsid w:val="00071709"/>
    <w:rsid w:val="00072B75"/>
    <w:rsid w:val="00074BEC"/>
    <w:rsid w:val="00075E6E"/>
    <w:rsid w:val="000836AE"/>
    <w:rsid w:val="00086374"/>
    <w:rsid w:val="00090C02"/>
    <w:rsid w:val="000921A6"/>
    <w:rsid w:val="00092C0A"/>
    <w:rsid w:val="000A1A5D"/>
    <w:rsid w:val="000A1FD6"/>
    <w:rsid w:val="000A26F5"/>
    <w:rsid w:val="000A2C21"/>
    <w:rsid w:val="000B206E"/>
    <w:rsid w:val="000B2963"/>
    <w:rsid w:val="000B4466"/>
    <w:rsid w:val="000C26D6"/>
    <w:rsid w:val="000C5A99"/>
    <w:rsid w:val="000C5C14"/>
    <w:rsid w:val="000C63C6"/>
    <w:rsid w:val="000E004C"/>
    <w:rsid w:val="000E2030"/>
    <w:rsid w:val="000E2F6A"/>
    <w:rsid w:val="000E408B"/>
    <w:rsid w:val="000E5248"/>
    <w:rsid w:val="000E545B"/>
    <w:rsid w:val="000E6EF0"/>
    <w:rsid w:val="000F199E"/>
    <w:rsid w:val="000F3E22"/>
    <w:rsid w:val="000F688C"/>
    <w:rsid w:val="00101489"/>
    <w:rsid w:val="00110CC7"/>
    <w:rsid w:val="001166C6"/>
    <w:rsid w:val="00117561"/>
    <w:rsid w:val="00122F16"/>
    <w:rsid w:val="0013728A"/>
    <w:rsid w:val="001435ED"/>
    <w:rsid w:val="00145274"/>
    <w:rsid w:val="00147DD4"/>
    <w:rsid w:val="00151E45"/>
    <w:rsid w:val="00153303"/>
    <w:rsid w:val="00154031"/>
    <w:rsid w:val="00162FCA"/>
    <w:rsid w:val="001632CF"/>
    <w:rsid w:val="00165CE0"/>
    <w:rsid w:val="00167A25"/>
    <w:rsid w:val="0017179D"/>
    <w:rsid w:val="0017189B"/>
    <w:rsid w:val="00181FDE"/>
    <w:rsid w:val="00182391"/>
    <w:rsid w:val="0019309F"/>
    <w:rsid w:val="00197D24"/>
    <w:rsid w:val="00197E9E"/>
    <w:rsid w:val="001A0A72"/>
    <w:rsid w:val="001A486B"/>
    <w:rsid w:val="001A56B9"/>
    <w:rsid w:val="001A7A93"/>
    <w:rsid w:val="001B356E"/>
    <w:rsid w:val="001B3F16"/>
    <w:rsid w:val="001B59B9"/>
    <w:rsid w:val="001C373A"/>
    <w:rsid w:val="001C541B"/>
    <w:rsid w:val="001C7470"/>
    <w:rsid w:val="001C7BF7"/>
    <w:rsid w:val="001D1269"/>
    <w:rsid w:val="001E2589"/>
    <w:rsid w:val="001E309B"/>
    <w:rsid w:val="001F0AF5"/>
    <w:rsid w:val="001F1CD8"/>
    <w:rsid w:val="001F5235"/>
    <w:rsid w:val="001F7E04"/>
    <w:rsid w:val="0020469E"/>
    <w:rsid w:val="00206A7E"/>
    <w:rsid w:val="00207164"/>
    <w:rsid w:val="0021120C"/>
    <w:rsid w:val="00212F99"/>
    <w:rsid w:val="00220277"/>
    <w:rsid w:val="00225DE6"/>
    <w:rsid w:val="0023123F"/>
    <w:rsid w:val="00232448"/>
    <w:rsid w:val="0023483F"/>
    <w:rsid w:val="002351A8"/>
    <w:rsid w:val="0023575B"/>
    <w:rsid w:val="00237751"/>
    <w:rsid w:val="00240AAE"/>
    <w:rsid w:val="00245081"/>
    <w:rsid w:val="00245878"/>
    <w:rsid w:val="002474D3"/>
    <w:rsid w:val="00257D1D"/>
    <w:rsid w:val="00261519"/>
    <w:rsid w:val="00262249"/>
    <w:rsid w:val="002622B1"/>
    <w:rsid w:val="00263D1A"/>
    <w:rsid w:val="00263E38"/>
    <w:rsid w:val="00264697"/>
    <w:rsid w:val="002651FA"/>
    <w:rsid w:val="00266332"/>
    <w:rsid w:val="002666D6"/>
    <w:rsid w:val="00266C48"/>
    <w:rsid w:val="00273EE8"/>
    <w:rsid w:val="002742A7"/>
    <w:rsid w:val="00277652"/>
    <w:rsid w:val="002827CC"/>
    <w:rsid w:val="0028665A"/>
    <w:rsid w:val="002876E6"/>
    <w:rsid w:val="0029669A"/>
    <w:rsid w:val="00296C1D"/>
    <w:rsid w:val="002A05E5"/>
    <w:rsid w:val="002A3996"/>
    <w:rsid w:val="002A5E05"/>
    <w:rsid w:val="002B05B0"/>
    <w:rsid w:val="002B33AD"/>
    <w:rsid w:val="002B3C58"/>
    <w:rsid w:val="002B75E0"/>
    <w:rsid w:val="002C2F18"/>
    <w:rsid w:val="002C44A5"/>
    <w:rsid w:val="002C5674"/>
    <w:rsid w:val="002D2980"/>
    <w:rsid w:val="002D3828"/>
    <w:rsid w:val="002D520D"/>
    <w:rsid w:val="002D7039"/>
    <w:rsid w:val="002D72D7"/>
    <w:rsid w:val="002E3F6C"/>
    <w:rsid w:val="002F26F2"/>
    <w:rsid w:val="00300DA7"/>
    <w:rsid w:val="003118DE"/>
    <w:rsid w:val="00314CBA"/>
    <w:rsid w:val="00316C07"/>
    <w:rsid w:val="00317FE0"/>
    <w:rsid w:val="003222A0"/>
    <w:rsid w:val="00323CF0"/>
    <w:rsid w:val="003245C5"/>
    <w:rsid w:val="0032560C"/>
    <w:rsid w:val="00325FCA"/>
    <w:rsid w:val="0032603B"/>
    <w:rsid w:val="00331A99"/>
    <w:rsid w:val="00331F95"/>
    <w:rsid w:val="00333023"/>
    <w:rsid w:val="0033319E"/>
    <w:rsid w:val="003403EF"/>
    <w:rsid w:val="00340452"/>
    <w:rsid w:val="00341C57"/>
    <w:rsid w:val="00345F85"/>
    <w:rsid w:val="00345F99"/>
    <w:rsid w:val="003507D3"/>
    <w:rsid w:val="003531EF"/>
    <w:rsid w:val="003567D6"/>
    <w:rsid w:val="00357109"/>
    <w:rsid w:val="00361C4F"/>
    <w:rsid w:val="00364B57"/>
    <w:rsid w:val="00371908"/>
    <w:rsid w:val="00372A54"/>
    <w:rsid w:val="0037499D"/>
    <w:rsid w:val="0037507C"/>
    <w:rsid w:val="003758BF"/>
    <w:rsid w:val="00376870"/>
    <w:rsid w:val="00376D3E"/>
    <w:rsid w:val="00384402"/>
    <w:rsid w:val="00385275"/>
    <w:rsid w:val="00387678"/>
    <w:rsid w:val="00387858"/>
    <w:rsid w:val="00391DEE"/>
    <w:rsid w:val="0039210E"/>
    <w:rsid w:val="003922EB"/>
    <w:rsid w:val="00392AC5"/>
    <w:rsid w:val="003940E5"/>
    <w:rsid w:val="00395F31"/>
    <w:rsid w:val="003A0C5F"/>
    <w:rsid w:val="003A4B01"/>
    <w:rsid w:val="003A76CB"/>
    <w:rsid w:val="003B6489"/>
    <w:rsid w:val="003C2863"/>
    <w:rsid w:val="003C3948"/>
    <w:rsid w:val="003E1487"/>
    <w:rsid w:val="003E15BF"/>
    <w:rsid w:val="003E4A94"/>
    <w:rsid w:val="003E4ED8"/>
    <w:rsid w:val="003F68D2"/>
    <w:rsid w:val="003F7C87"/>
    <w:rsid w:val="004016A5"/>
    <w:rsid w:val="0041011E"/>
    <w:rsid w:val="00412530"/>
    <w:rsid w:val="00412CC7"/>
    <w:rsid w:val="00416098"/>
    <w:rsid w:val="00423EDB"/>
    <w:rsid w:val="00425508"/>
    <w:rsid w:val="00425A58"/>
    <w:rsid w:val="00425CA2"/>
    <w:rsid w:val="00433F43"/>
    <w:rsid w:val="00436338"/>
    <w:rsid w:val="004378EC"/>
    <w:rsid w:val="00445B0C"/>
    <w:rsid w:val="0045781A"/>
    <w:rsid w:val="004601F1"/>
    <w:rsid w:val="00460D2A"/>
    <w:rsid w:val="00461B80"/>
    <w:rsid w:val="0046285D"/>
    <w:rsid w:val="004668B5"/>
    <w:rsid w:val="0046799E"/>
    <w:rsid w:val="004707B0"/>
    <w:rsid w:val="004753E9"/>
    <w:rsid w:val="00475B0C"/>
    <w:rsid w:val="004771E6"/>
    <w:rsid w:val="004775E7"/>
    <w:rsid w:val="00482456"/>
    <w:rsid w:val="00482FCB"/>
    <w:rsid w:val="00483FA8"/>
    <w:rsid w:val="00484C2E"/>
    <w:rsid w:val="00485693"/>
    <w:rsid w:val="00486DA8"/>
    <w:rsid w:val="00490C44"/>
    <w:rsid w:val="004912F1"/>
    <w:rsid w:val="00496D67"/>
    <w:rsid w:val="004A4D7F"/>
    <w:rsid w:val="004C0A5F"/>
    <w:rsid w:val="004C59E0"/>
    <w:rsid w:val="004D4023"/>
    <w:rsid w:val="004D5302"/>
    <w:rsid w:val="004E0ED0"/>
    <w:rsid w:val="004E2AD3"/>
    <w:rsid w:val="004E54EE"/>
    <w:rsid w:val="004E6768"/>
    <w:rsid w:val="004E6ADC"/>
    <w:rsid w:val="004E78F7"/>
    <w:rsid w:val="004F14CD"/>
    <w:rsid w:val="004F74DE"/>
    <w:rsid w:val="004F754C"/>
    <w:rsid w:val="004F7FE3"/>
    <w:rsid w:val="005007F4"/>
    <w:rsid w:val="0050109F"/>
    <w:rsid w:val="00515B15"/>
    <w:rsid w:val="00521B03"/>
    <w:rsid w:val="00522395"/>
    <w:rsid w:val="0053103C"/>
    <w:rsid w:val="005440B1"/>
    <w:rsid w:val="0055000D"/>
    <w:rsid w:val="005506BA"/>
    <w:rsid w:val="0055123F"/>
    <w:rsid w:val="00552F09"/>
    <w:rsid w:val="005535EE"/>
    <w:rsid w:val="005546BD"/>
    <w:rsid w:val="00554B08"/>
    <w:rsid w:val="00556BEC"/>
    <w:rsid w:val="0055753D"/>
    <w:rsid w:val="00563DDA"/>
    <w:rsid w:val="00571362"/>
    <w:rsid w:val="00575817"/>
    <w:rsid w:val="005759F7"/>
    <w:rsid w:val="00580C11"/>
    <w:rsid w:val="00582489"/>
    <w:rsid w:val="005828CB"/>
    <w:rsid w:val="00583071"/>
    <w:rsid w:val="00584FD3"/>
    <w:rsid w:val="005952DF"/>
    <w:rsid w:val="0059647F"/>
    <w:rsid w:val="00596B70"/>
    <w:rsid w:val="005A0966"/>
    <w:rsid w:val="005A0B0F"/>
    <w:rsid w:val="005A3DD1"/>
    <w:rsid w:val="005A3E9D"/>
    <w:rsid w:val="005A4003"/>
    <w:rsid w:val="005A5068"/>
    <w:rsid w:val="005A7723"/>
    <w:rsid w:val="005B65CD"/>
    <w:rsid w:val="005C1194"/>
    <w:rsid w:val="005C1D0C"/>
    <w:rsid w:val="005C4DB8"/>
    <w:rsid w:val="005C64C0"/>
    <w:rsid w:val="005C79F3"/>
    <w:rsid w:val="005D2B83"/>
    <w:rsid w:val="005D3B0E"/>
    <w:rsid w:val="005D4661"/>
    <w:rsid w:val="005D51BB"/>
    <w:rsid w:val="005E1DC7"/>
    <w:rsid w:val="005E746B"/>
    <w:rsid w:val="005E7C64"/>
    <w:rsid w:val="005F52D5"/>
    <w:rsid w:val="005F7036"/>
    <w:rsid w:val="00601BF0"/>
    <w:rsid w:val="00610EE4"/>
    <w:rsid w:val="00611389"/>
    <w:rsid w:val="00621660"/>
    <w:rsid w:val="00622577"/>
    <w:rsid w:val="006276D4"/>
    <w:rsid w:val="00631A05"/>
    <w:rsid w:val="006338A9"/>
    <w:rsid w:val="006436CF"/>
    <w:rsid w:val="00647191"/>
    <w:rsid w:val="0065386E"/>
    <w:rsid w:val="0066701C"/>
    <w:rsid w:val="00667269"/>
    <w:rsid w:val="006678D2"/>
    <w:rsid w:val="00684DD7"/>
    <w:rsid w:val="00691F25"/>
    <w:rsid w:val="0069238F"/>
    <w:rsid w:val="006A1595"/>
    <w:rsid w:val="006A2C52"/>
    <w:rsid w:val="006A3A4F"/>
    <w:rsid w:val="006A49B7"/>
    <w:rsid w:val="006A5514"/>
    <w:rsid w:val="006A6643"/>
    <w:rsid w:val="006A783F"/>
    <w:rsid w:val="006B247D"/>
    <w:rsid w:val="006C198D"/>
    <w:rsid w:val="006C4C7F"/>
    <w:rsid w:val="006D208C"/>
    <w:rsid w:val="006D4E77"/>
    <w:rsid w:val="006D6270"/>
    <w:rsid w:val="006E0D00"/>
    <w:rsid w:val="006E7F09"/>
    <w:rsid w:val="006F76D5"/>
    <w:rsid w:val="00705FB1"/>
    <w:rsid w:val="00707D8A"/>
    <w:rsid w:val="00714C69"/>
    <w:rsid w:val="00720C42"/>
    <w:rsid w:val="00720F06"/>
    <w:rsid w:val="00725FB5"/>
    <w:rsid w:val="00733B20"/>
    <w:rsid w:val="00735083"/>
    <w:rsid w:val="00736124"/>
    <w:rsid w:val="007406A5"/>
    <w:rsid w:val="007407CD"/>
    <w:rsid w:val="00740AF6"/>
    <w:rsid w:val="00742E05"/>
    <w:rsid w:val="00746D2E"/>
    <w:rsid w:val="00756417"/>
    <w:rsid w:val="00760633"/>
    <w:rsid w:val="0076286D"/>
    <w:rsid w:val="0076324A"/>
    <w:rsid w:val="00764B59"/>
    <w:rsid w:val="0076537C"/>
    <w:rsid w:val="00770E1E"/>
    <w:rsid w:val="0078086D"/>
    <w:rsid w:val="007903C5"/>
    <w:rsid w:val="007925E4"/>
    <w:rsid w:val="00793974"/>
    <w:rsid w:val="00795139"/>
    <w:rsid w:val="00796012"/>
    <w:rsid w:val="00797BD8"/>
    <w:rsid w:val="007A423E"/>
    <w:rsid w:val="007A4ED2"/>
    <w:rsid w:val="007A649C"/>
    <w:rsid w:val="007B085D"/>
    <w:rsid w:val="007B4C62"/>
    <w:rsid w:val="007B6ED3"/>
    <w:rsid w:val="007C4A34"/>
    <w:rsid w:val="007D0F3D"/>
    <w:rsid w:val="007D3410"/>
    <w:rsid w:val="007D35B9"/>
    <w:rsid w:val="007D5964"/>
    <w:rsid w:val="007D679C"/>
    <w:rsid w:val="007E1AB9"/>
    <w:rsid w:val="007E5048"/>
    <w:rsid w:val="007E7176"/>
    <w:rsid w:val="007E7C88"/>
    <w:rsid w:val="007F3BDE"/>
    <w:rsid w:val="007F62EB"/>
    <w:rsid w:val="007F6FA8"/>
    <w:rsid w:val="00800195"/>
    <w:rsid w:val="008008E6"/>
    <w:rsid w:val="00810580"/>
    <w:rsid w:val="00815AE5"/>
    <w:rsid w:val="008163BB"/>
    <w:rsid w:val="00827588"/>
    <w:rsid w:val="00835D6A"/>
    <w:rsid w:val="0084027A"/>
    <w:rsid w:val="008405C3"/>
    <w:rsid w:val="00843A16"/>
    <w:rsid w:val="00850C5D"/>
    <w:rsid w:val="00871AA6"/>
    <w:rsid w:val="00872A3D"/>
    <w:rsid w:val="00887542"/>
    <w:rsid w:val="00892592"/>
    <w:rsid w:val="0089592E"/>
    <w:rsid w:val="008A2809"/>
    <w:rsid w:val="008A68D9"/>
    <w:rsid w:val="008C60C2"/>
    <w:rsid w:val="008C692B"/>
    <w:rsid w:val="008D4546"/>
    <w:rsid w:val="008D491A"/>
    <w:rsid w:val="008D58A7"/>
    <w:rsid w:val="008E342B"/>
    <w:rsid w:val="008E6DFE"/>
    <w:rsid w:val="008F298E"/>
    <w:rsid w:val="008F3A84"/>
    <w:rsid w:val="008F42C3"/>
    <w:rsid w:val="008F69A7"/>
    <w:rsid w:val="00900E3F"/>
    <w:rsid w:val="009100F2"/>
    <w:rsid w:val="00910C80"/>
    <w:rsid w:val="00915EB8"/>
    <w:rsid w:val="00920517"/>
    <w:rsid w:val="00921EF2"/>
    <w:rsid w:val="00926E70"/>
    <w:rsid w:val="00936312"/>
    <w:rsid w:val="0094751A"/>
    <w:rsid w:val="00950DC4"/>
    <w:rsid w:val="0095179F"/>
    <w:rsid w:val="00952092"/>
    <w:rsid w:val="009536A5"/>
    <w:rsid w:val="009572C5"/>
    <w:rsid w:val="0095756C"/>
    <w:rsid w:val="009724F5"/>
    <w:rsid w:val="00973FAA"/>
    <w:rsid w:val="00977BF3"/>
    <w:rsid w:val="00983CBD"/>
    <w:rsid w:val="009923C9"/>
    <w:rsid w:val="009A2950"/>
    <w:rsid w:val="009A6B5B"/>
    <w:rsid w:val="009B1550"/>
    <w:rsid w:val="009B7A33"/>
    <w:rsid w:val="009C332D"/>
    <w:rsid w:val="009C769D"/>
    <w:rsid w:val="009D163C"/>
    <w:rsid w:val="009D64BA"/>
    <w:rsid w:val="009D6B69"/>
    <w:rsid w:val="009E601F"/>
    <w:rsid w:val="009E6922"/>
    <w:rsid w:val="009F0968"/>
    <w:rsid w:val="009F5135"/>
    <w:rsid w:val="009F619C"/>
    <w:rsid w:val="009F6BB1"/>
    <w:rsid w:val="00A030CB"/>
    <w:rsid w:val="00A05085"/>
    <w:rsid w:val="00A06B09"/>
    <w:rsid w:val="00A1408B"/>
    <w:rsid w:val="00A223A5"/>
    <w:rsid w:val="00A23038"/>
    <w:rsid w:val="00A23B7C"/>
    <w:rsid w:val="00A25BEA"/>
    <w:rsid w:val="00A36BDC"/>
    <w:rsid w:val="00A45FCB"/>
    <w:rsid w:val="00A477AA"/>
    <w:rsid w:val="00A478C5"/>
    <w:rsid w:val="00A56605"/>
    <w:rsid w:val="00A6045A"/>
    <w:rsid w:val="00A72098"/>
    <w:rsid w:val="00A72E34"/>
    <w:rsid w:val="00A73903"/>
    <w:rsid w:val="00A75875"/>
    <w:rsid w:val="00A76AD5"/>
    <w:rsid w:val="00A77C20"/>
    <w:rsid w:val="00A77E96"/>
    <w:rsid w:val="00A808A8"/>
    <w:rsid w:val="00A82350"/>
    <w:rsid w:val="00A903A3"/>
    <w:rsid w:val="00AA1AD5"/>
    <w:rsid w:val="00AA55BC"/>
    <w:rsid w:val="00AB00DA"/>
    <w:rsid w:val="00AB1B5F"/>
    <w:rsid w:val="00AB32C1"/>
    <w:rsid w:val="00AB639C"/>
    <w:rsid w:val="00AD0C1F"/>
    <w:rsid w:val="00AD32B2"/>
    <w:rsid w:val="00AD4346"/>
    <w:rsid w:val="00AD5D3D"/>
    <w:rsid w:val="00AD5FF6"/>
    <w:rsid w:val="00AE43EE"/>
    <w:rsid w:val="00AE5368"/>
    <w:rsid w:val="00AE639B"/>
    <w:rsid w:val="00AF0053"/>
    <w:rsid w:val="00AF4B4D"/>
    <w:rsid w:val="00AF6241"/>
    <w:rsid w:val="00AF6B29"/>
    <w:rsid w:val="00AF6C2B"/>
    <w:rsid w:val="00B03E51"/>
    <w:rsid w:val="00B05C0C"/>
    <w:rsid w:val="00B07B09"/>
    <w:rsid w:val="00B104BC"/>
    <w:rsid w:val="00B10B47"/>
    <w:rsid w:val="00B11694"/>
    <w:rsid w:val="00B124D9"/>
    <w:rsid w:val="00B146B5"/>
    <w:rsid w:val="00B1675E"/>
    <w:rsid w:val="00B16A6E"/>
    <w:rsid w:val="00B17F87"/>
    <w:rsid w:val="00B21E7F"/>
    <w:rsid w:val="00B2367A"/>
    <w:rsid w:val="00B35602"/>
    <w:rsid w:val="00B356DC"/>
    <w:rsid w:val="00B376F6"/>
    <w:rsid w:val="00B44753"/>
    <w:rsid w:val="00B46590"/>
    <w:rsid w:val="00B46A0E"/>
    <w:rsid w:val="00B47308"/>
    <w:rsid w:val="00B5329C"/>
    <w:rsid w:val="00B55F2B"/>
    <w:rsid w:val="00B56B9D"/>
    <w:rsid w:val="00B7337F"/>
    <w:rsid w:val="00B83D03"/>
    <w:rsid w:val="00B910AC"/>
    <w:rsid w:val="00B9398E"/>
    <w:rsid w:val="00B93D88"/>
    <w:rsid w:val="00B9580F"/>
    <w:rsid w:val="00B95E1C"/>
    <w:rsid w:val="00B96E10"/>
    <w:rsid w:val="00BB0B61"/>
    <w:rsid w:val="00BB2B23"/>
    <w:rsid w:val="00BB30F2"/>
    <w:rsid w:val="00BC2772"/>
    <w:rsid w:val="00BC6661"/>
    <w:rsid w:val="00BD4DBA"/>
    <w:rsid w:val="00BD5822"/>
    <w:rsid w:val="00BD628B"/>
    <w:rsid w:val="00BD67E9"/>
    <w:rsid w:val="00BE1EC6"/>
    <w:rsid w:val="00BE3E90"/>
    <w:rsid w:val="00BE5D24"/>
    <w:rsid w:val="00BE5FAA"/>
    <w:rsid w:val="00BF116F"/>
    <w:rsid w:val="00BF5E07"/>
    <w:rsid w:val="00BF73EC"/>
    <w:rsid w:val="00C0159A"/>
    <w:rsid w:val="00C01A3A"/>
    <w:rsid w:val="00C03368"/>
    <w:rsid w:val="00C101D5"/>
    <w:rsid w:val="00C133D6"/>
    <w:rsid w:val="00C145C5"/>
    <w:rsid w:val="00C15965"/>
    <w:rsid w:val="00C20BA5"/>
    <w:rsid w:val="00C2197F"/>
    <w:rsid w:val="00C22133"/>
    <w:rsid w:val="00C22306"/>
    <w:rsid w:val="00C22FD5"/>
    <w:rsid w:val="00C24E7B"/>
    <w:rsid w:val="00C30C69"/>
    <w:rsid w:val="00C311B9"/>
    <w:rsid w:val="00C36FE5"/>
    <w:rsid w:val="00C37AEE"/>
    <w:rsid w:val="00C40A38"/>
    <w:rsid w:val="00C435DD"/>
    <w:rsid w:val="00C45719"/>
    <w:rsid w:val="00C458F3"/>
    <w:rsid w:val="00C47430"/>
    <w:rsid w:val="00C50537"/>
    <w:rsid w:val="00C53AD1"/>
    <w:rsid w:val="00C553AF"/>
    <w:rsid w:val="00C606C5"/>
    <w:rsid w:val="00C61F82"/>
    <w:rsid w:val="00C67B17"/>
    <w:rsid w:val="00C72739"/>
    <w:rsid w:val="00C727EC"/>
    <w:rsid w:val="00C826D3"/>
    <w:rsid w:val="00C82AB1"/>
    <w:rsid w:val="00C82F55"/>
    <w:rsid w:val="00C833E8"/>
    <w:rsid w:val="00C84A01"/>
    <w:rsid w:val="00C90A3E"/>
    <w:rsid w:val="00C92126"/>
    <w:rsid w:val="00C930A0"/>
    <w:rsid w:val="00C96DBB"/>
    <w:rsid w:val="00CA335E"/>
    <w:rsid w:val="00CA42D2"/>
    <w:rsid w:val="00CA7391"/>
    <w:rsid w:val="00CB0D03"/>
    <w:rsid w:val="00CB4E07"/>
    <w:rsid w:val="00CC0BFC"/>
    <w:rsid w:val="00CC3837"/>
    <w:rsid w:val="00CC4376"/>
    <w:rsid w:val="00CC65FE"/>
    <w:rsid w:val="00CD2FBD"/>
    <w:rsid w:val="00CD4512"/>
    <w:rsid w:val="00CE2B95"/>
    <w:rsid w:val="00CE39B0"/>
    <w:rsid w:val="00CE48C4"/>
    <w:rsid w:val="00CE78CA"/>
    <w:rsid w:val="00CF0229"/>
    <w:rsid w:val="00CF3BE2"/>
    <w:rsid w:val="00CF74E6"/>
    <w:rsid w:val="00CF7DC2"/>
    <w:rsid w:val="00D017C1"/>
    <w:rsid w:val="00D01802"/>
    <w:rsid w:val="00D037B2"/>
    <w:rsid w:val="00D16FBB"/>
    <w:rsid w:val="00D2295D"/>
    <w:rsid w:val="00D23F62"/>
    <w:rsid w:val="00D27AFC"/>
    <w:rsid w:val="00D31294"/>
    <w:rsid w:val="00D3217F"/>
    <w:rsid w:val="00D36E02"/>
    <w:rsid w:val="00D42F57"/>
    <w:rsid w:val="00D46135"/>
    <w:rsid w:val="00D52249"/>
    <w:rsid w:val="00D5314E"/>
    <w:rsid w:val="00D6087A"/>
    <w:rsid w:val="00D632DA"/>
    <w:rsid w:val="00D64B12"/>
    <w:rsid w:val="00D72626"/>
    <w:rsid w:val="00D73E3C"/>
    <w:rsid w:val="00D74310"/>
    <w:rsid w:val="00D74ADD"/>
    <w:rsid w:val="00D81E4F"/>
    <w:rsid w:val="00D82BAC"/>
    <w:rsid w:val="00D8305B"/>
    <w:rsid w:val="00D930E7"/>
    <w:rsid w:val="00D93D5F"/>
    <w:rsid w:val="00D97C18"/>
    <w:rsid w:val="00DA4F22"/>
    <w:rsid w:val="00DA7800"/>
    <w:rsid w:val="00DB0BA3"/>
    <w:rsid w:val="00DB2534"/>
    <w:rsid w:val="00DB4417"/>
    <w:rsid w:val="00DC0C31"/>
    <w:rsid w:val="00DC180D"/>
    <w:rsid w:val="00DC3B55"/>
    <w:rsid w:val="00DD3E3F"/>
    <w:rsid w:val="00DD447D"/>
    <w:rsid w:val="00DD549B"/>
    <w:rsid w:val="00DD5F44"/>
    <w:rsid w:val="00DE21A2"/>
    <w:rsid w:val="00DE2344"/>
    <w:rsid w:val="00DE596C"/>
    <w:rsid w:val="00DE75FE"/>
    <w:rsid w:val="00DF3A26"/>
    <w:rsid w:val="00E00B12"/>
    <w:rsid w:val="00E02B49"/>
    <w:rsid w:val="00E0388A"/>
    <w:rsid w:val="00E064C7"/>
    <w:rsid w:val="00E141B1"/>
    <w:rsid w:val="00E14B02"/>
    <w:rsid w:val="00E21213"/>
    <w:rsid w:val="00E24D86"/>
    <w:rsid w:val="00E26E0C"/>
    <w:rsid w:val="00E31821"/>
    <w:rsid w:val="00E353CB"/>
    <w:rsid w:val="00E364F8"/>
    <w:rsid w:val="00E378D5"/>
    <w:rsid w:val="00E410F7"/>
    <w:rsid w:val="00E4267E"/>
    <w:rsid w:val="00E53697"/>
    <w:rsid w:val="00E55017"/>
    <w:rsid w:val="00E57DD0"/>
    <w:rsid w:val="00E6425F"/>
    <w:rsid w:val="00E66C26"/>
    <w:rsid w:val="00E82531"/>
    <w:rsid w:val="00E84F78"/>
    <w:rsid w:val="00E8526B"/>
    <w:rsid w:val="00E86906"/>
    <w:rsid w:val="00E8703C"/>
    <w:rsid w:val="00E941F9"/>
    <w:rsid w:val="00E97B32"/>
    <w:rsid w:val="00EA259D"/>
    <w:rsid w:val="00EA2891"/>
    <w:rsid w:val="00EA3380"/>
    <w:rsid w:val="00EA3C31"/>
    <w:rsid w:val="00EB0104"/>
    <w:rsid w:val="00EB5AA9"/>
    <w:rsid w:val="00EC0731"/>
    <w:rsid w:val="00EC5182"/>
    <w:rsid w:val="00ED0D2F"/>
    <w:rsid w:val="00ED1285"/>
    <w:rsid w:val="00ED570F"/>
    <w:rsid w:val="00ED5EE4"/>
    <w:rsid w:val="00EE5E2D"/>
    <w:rsid w:val="00EE662D"/>
    <w:rsid w:val="00EF02A0"/>
    <w:rsid w:val="00EF111D"/>
    <w:rsid w:val="00EF1DBB"/>
    <w:rsid w:val="00EF21BE"/>
    <w:rsid w:val="00F011D7"/>
    <w:rsid w:val="00F029E8"/>
    <w:rsid w:val="00F052F9"/>
    <w:rsid w:val="00F07D65"/>
    <w:rsid w:val="00F15C7E"/>
    <w:rsid w:val="00F20664"/>
    <w:rsid w:val="00F2286E"/>
    <w:rsid w:val="00F269CC"/>
    <w:rsid w:val="00F27E6D"/>
    <w:rsid w:val="00F27EA9"/>
    <w:rsid w:val="00F322B6"/>
    <w:rsid w:val="00F3292D"/>
    <w:rsid w:val="00F33C94"/>
    <w:rsid w:val="00F37595"/>
    <w:rsid w:val="00F40286"/>
    <w:rsid w:val="00F4047A"/>
    <w:rsid w:val="00F416B4"/>
    <w:rsid w:val="00F4673F"/>
    <w:rsid w:val="00F52E7F"/>
    <w:rsid w:val="00F536F2"/>
    <w:rsid w:val="00F60135"/>
    <w:rsid w:val="00F6467F"/>
    <w:rsid w:val="00F64D13"/>
    <w:rsid w:val="00F7075F"/>
    <w:rsid w:val="00F71B88"/>
    <w:rsid w:val="00F760E7"/>
    <w:rsid w:val="00F76E56"/>
    <w:rsid w:val="00F8239E"/>
    <w:rsid w:val="00F95C23"/>
    <w:rsid w:val="00FA2B2F"/>
    <w:rsid w:val="00FA482F"/>
    <w:rsid w:val="00FA55CD"/>
    <w:rsid w:val="00FA78D1"/>
    <w:rsid w:val="00FB1B04"/>
    <w:rsid w:val="00FB332C"/>
    <w:rsid w:val="00FB540C"/>
    <w:rsid w:val="00FB7E55"/>
    <w:rsid w:val="00FC1054"/>
    <w:rsid w:val="00FC3765"/>
    <w:rsid w:val="00FD1942"/>
    <w:rsid w:val="00FE349F"/>
    <w:rsid w:val="00FE701D"/>
    <w:rsid w:val="00FF18AE"/>
    <w:rsid w:val="00FF335A"/>
    <w:rsid w:val="00FF624A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3A41B"/>
  <w15:chartTrackingRefBased/>
  <w15:docId w15:val="{D7A15E9B-D689-417F-A1AC-74ECDA8C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7BF3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977BF3"/>
    <w:pPr>
      <w:keepNext/>
      <w:autoSpaceDE w:val="0"/>
      <w:autoSpaceDN w:val="0"/>
      <w:outlineLvl w:val="0"/>
    </w:pPr>
    <w:rPr>
      <w:rFonts w:ascii="Arial" w:hAnsi="Arial" w:cs="Arial"/>
      <w:b/>
      <w:bCs/>
      <w:sz w:val="20"/>
      <w:szCs w:val="32"/>
      <w:lang w:val="sk-SK"/>
    </w:rPr>
  </w:style>
  <w:style w:type="paragraph" w:styleId="Nadpis2">
    <w:name w:val="heading 2"/>
    <w:basedOn w:val="Normlny"/>
    <w:next w:val="Normlny"/>
    <w:qFormat/>
    <w:rsid w:val="00977BF3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lang w:val="sk-SK"/>
    </w:rPr>
  </w:style>
  <w:style w:type="paragraph" w:styleId="Nadpis3">
    <w:name w:val="heading 3"/>
    <w:basedOn w:val="Normlny"/>
    <w:next w:val="Normlny"/>
    <w:qFormat/>
    <w:rsid w:val="00977BF3"/>
    <w:pPr>
      <w:keepNext/>
      <w:autoSpaceDE w:val="0"/>
      <w:autoSpaceDN w:val="0"/>
      <w:outlineLvl w:val="2"/>
    </w:pPr>
    <w:rPr>
      <w:rFonts w:ascii="Arial" w:hAnsi="Arial" w:cs="Arial"/>
      <w:b/>
      <w:bCs/>
      <w:color w:val="000000"/>
      <w:sz w:val="20"/>
    </w:rPr>
  </w:style>
  <w:style w:type="paragraph" w:styleId="Nadpis4">
    <w:name w:val="heading 4"/>
    <w:basedOn w:val="Normlny"/>
    <w:next w:val="Normlny"/>
    <w:qFormat/>
    <w:rsid w:val="00977BF3"/>
    <w:pPr>
      <w:keepNext/>
      <w:autoSpaceDE w:val="0"/>
      <w:autoSpaceDN w:val="0"/>
      <w:jc w:val="both"/>
      <w:outlineLvl w:val="3"/>
    </w:pPr>
    <w:rPr>
      <w:b/>
      <w:bCs/>
      <w:lang w:val="sk-SK"/>
    </w:rPr>
  </w:style>
  <w:style w:type="paragraph" w:styleId="Nadpis5">
    <w:name w:val="heading 5"/>
    <w:basedOn w:val="Normlny"/>
    <w:next w:val="Normlny"/>
    <w:qFormat/>
    <w:rsid w:val="00977BF3"/>
    <w:pPr>
      <w:keepNext/>
      <w:autoSpaceDE w:val="0"/>
      <w:autoSpaceDN w:val="0"/>
      <w:jc w:val="both"/>
      <w:outlineLvl w:val="4"/>
    </w:pPr>
    <w:rPr>
      <w:rFonts w:ascii="Arial" w:hAnsi="Arial" w:cs="Arial"/>
      <w:sz w:val="20"/>
      <w:u w:val="single"/>
      <w:lang w:val="sk-SK"/>
    </w:rPr>
  </w:style>
  <w:style w:type="paragraph" w:styleId="Nadpis6">
    <w:name w:val="heading 6"/>
    <w:basedOn w:val="Normlny"/>
    <w:next w:val="Normlny"/>
    <w:qFormat/>
    <w:rsid w:val="00977BF3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 w:val="20"/>
      <w:u w:val="single"/>
      <w:lang w:val="sk-SK"/>
    </w:rPr>
  </w:style>
  <w:style w:type="paragraph" w:styleId="Nadpis7">
    <w:name w:val="heading 7"/>
    <w:basedOn w:val="Normlny"/>
    <w:next w:val="Normlny"/>
    <w:qFormat/>
    <w:rsid w:val="00977BF3"/>
    <w:pPr>
      <w:keepNext/>
      <w:jc w:val="both"/>
      <w:outlineLvl w:val="6"/>
    </w:pPr>
    <w:rPr>
      <w:rFonts w:ascii="Arial" w:hAnsi="Arial" w:cs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77BF3"/>
    <w:pPr>
      <w:autoSpaceDE w:val="0"/>
      <w:autoSpaceDN w:val="0"/>
      <w:jc w:val="center"/>
    </w:pPr>
    <w:rPr>
      <w:b/>
      <w:bCs/>
      <w:u w:val="single"/>
      <w:lang w:val="sk-SK"/>
    </w:rPr>
  </w:style>
  <w:style w:type="paragraph" w:styleId="Zkladntext">
    <w:name w:val="Body Text"/>
    <w:basedOn w:val="Normlny"/>
    <w:rsid w:val="00977BF3"/>
    <w:pPr>
      <w:autoSpaceDE w:val="0"/>
      <w:autoSpaceDN w:val="0"/>
      <w:jc w:val="both"/>
    </w:pPr>
    <w:rPr>
      <w:lang w:val="sk-SK"/>
    </w:rPr>
  </w:style>
  <w:style w:type="paragraph" w:styleId="Zarkazkladnhotextu3">
    <w:name w:val="Body Text Indent 3"/>
    <w:basedOn w:val="Normlny"/>
    <w:rsid w:val="00977BF3"/>
    <w:pPr>
      <w:autoSpaceDE w:val="0"/>
      <w:autoSpaceDN w:val="0"/>
      <w:ind w:left="284"/>
    </w:pPr>
    <w:rPr>
      <w:lang w:val="sk-SK"/>
    </w:rPr>
  </w:style>
  <w:style w:type="paragraph" w:styleId="Zkladntext3">
    <w:name w:val="Body Text 3"/>
    <w:basedOn w:val="Normlny"/>
    <w:rsid w:val="00977BF3"/>
    <w:pPr>
      <w:autoSpaceDE w:val="0"/>
      <w:autoSpaceDN w:val="0"/>
      <w:jc w:val="both"/>
    </w:pPr>
    <w:rPr>
      <w:rFonts w:ascii="Arial" w:hAnsi="Arial" w:cs="Arial"/>
      <w:sz w:val="20"/>
      <w:lang w:val="sk-SK"/>
    </w:rPr>
  </w:style>
  <w:style w:type="paragraph" w:styleId="Zarkazkladnhotextu">
    <w:name w:val="Body Text Indent"/>
    <w:basedOn w:val="Normlny"/>
    <w:rsid w:val="00977BF3"/>
    <w:pPr>
      <w:autoSpaceDE w:val="0"/>
      <w:autoSpaceDN w:val="0"/>
    </w:pPr>
    <w:rPr>
      <w:lang w:val="sk-SK"/>
    </w:rPr>
  </w:style>
  <w:style w:type="paragraph" w:styleId="Zarkazkladnhotextu2">
    <w:name w:val="Body Text Indent 2"/>
    <w:basedOn w:val="Normlny"/>
    <w:rsid w:val="00977BF3"/>
    <w:pPr>
      <w:autoSpaceDE w:val="0"/>
      <w:autoSpaceDN w:val="0"/>
      <w:ind w:left="142" w:hanging="142"/>
    </w:pPr>
    <w:rPr>
      <w:lang w:val="sk-SK"/>
    </w:rPr>
  </w:style>
  <w:style w:type="paragraph" w:styleId="Pta">
    <w:name w:val="footer"/>
    <w:basedOn w:val="Normlny"/>
    <w:link w:val="PtaChar"/>
    <w:uiPriority w:val="99"/>
    <w:rsid w:val="00977B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77BF3"/>
  </w:style>
  <w:style w:type="paragraph" w:styleId="Hlavika">
    <w:name w:val="header"/>
    <w:basedOn w:val="Normlny"/>
    <w:link w:val="HlavikaChar"/>
    <w:rsid w:val="00977BF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F5135"/>
    <w:rPr>
      <w:rFonts w:ascii="Tahoma" w:hAnsi="Tahoma" w:cs="Tahoma"/>
      <w:sz w:val="16"/>
      <w:szCs w:val="16"/>
    </w:rPr>
  </w:style>
  <w:style w:type="paragraph" w:customStyle="1" w:styleId="TblTextLeft">
    <w:name w:val="Tbl Text Left"/>
    <w:rsid w:val="005759F7"/>
    <w:pPr>
      <w:spacing w:before="60" w:after="60"/>
    </w:pPr>
    <w:rPr>
      <w:rFonts w:ascii="Arial Narrow" w:eastAsia="Times New Roman" w:hAnsi="Arial Narrow"/>
      <w:lang w:val="en-US" w:eastAsia="en-US"/>
    </w:rPr>
  </w:style>
  <w:style w:type="character" w:customStyle="1" w:styleId="hps">
    <w:name w:val="hps"/>
    <w:rsid w:val="0041011E"/>
  </w:style>
  <w:style w:type="character" w:customStyle="1" w:styleId="atn">
    <w:name w:val="atn"/>
    <w:rsid w:val="0041011E"/>
  </w:style>
  <w:style w:type="character" w:styleId="Hypertextovprepojenie">
    <w:name w:val="Hyperlink"/>
    <w:rsid w:val="00C22306"/>
    <w:rPr>
      <w:color w:val="0000FF"/>
      <w:u w:val="single"/>
    </w:rPr>
  </w:style>
  <w:style w:type="character" w:customStyle="1" w:styleId="shorttext">
    <w:name w:val="short_text"/>
    <w:rsid w:val="00D31294"/>
  </w:style>
  <w:style w:type="paragraph" w:customStyle="1" w:styleId="Default">
    <w:name w:val="Default"/>
    <w:rsid w:val="001F7E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B21E7F"/>
    <w:rPr>
      <w:rFonts w:eastAsia="Times New Roman"/>
      <w:sz w:val="24"/>
      <w:szCs w:val="24"/>
      <w:lang w:val="cs-CZ" w:eastAsia="cs-CZ"/>
    </w:rPr>
  </w:style>
  <w:style w:type="character" w:styleId="Odkaznakomentr">
    <w:name w:val="annotation reference"/>
    <w:unhideWhenUsed/>
    <w:rsid w:val="000B296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B2963"/>
    <w:rPr>
      <w:sz w:val="20"/>
      <w:szCs w:val="20"/>
    </w:rPr>
  </w:style>
  <w:style w:type="character" w:customStyle="1" w:styleId="TextkomentraChar">
    <w:name w:val="Text komentára Char"/>
    <w:link w:val="Textkomentra"/>
    <w:rsid w:val="000B2963"/>
    <w:rPr>
      <w:rFonts w:eastAsia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296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B2963"/>
    <w:rPr>
      <w:rFonts w:eastAsia="Times New Roman"/>
      <w:b/>
      <w:bCs/>
      <w:lang w:val="cs-CZ" w:eastAsia="cs-CZ"/>
    </w:rPr>
  </w:style>
  <w:style w:type="paragraph" w:customStyle="1" w:styleId="knZulassung02">
    <w:name w:val="knZulassung02"/>
    <w:basedOn w:val="Normlny"/>
    <w:uiPriority w:val="99"/>
    <w:rsid w:val="007B085D"/>
    <w:pPr>
      <w:suppressAutoHyphens/>
      <w:spacing w:before="120" w:after="120"/>
      <w:ind w:left="1843" w:right="284"/>
    </w:pPr>
    <w:rPr>
      <w:rFonts w:ascii="Arial" w:hAnsi="Arial" w:cs="Arial"/>
      <w:sz w:val="22"/>
      <w:szCs w:val="22"/>
      <w:lang w:val="en-GB" w:eastAsia="ar-SA"/>
    </w:rPr>
  </w:style>
  <w:style w:type="paragraph" w:styleId="Revzia">
    <w:name w:val="Revision"/>
    <w:hidden/>
    <w:uiPriority w:val="99"/>
    <w:semiHidden/>
    <w:rsid w:val="00C553AF"/>
    <w:rPr>
      <w:rFonts w:eastAsia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F760E7"/>
    <w:pPr>
      <w:spacing w:after="143"/>
    </w:pPr>
    <w:rPr>
      <w:lang w:val="sk-SK" w:eastAsia="sk-SK"/>
    </w:rPr>
  </w:style>
  <w:style w:type="character" w:customStyle="1" w:styleId="HlavikaChar">
    <w:name w:val="Hlavička Char"/>
    <w:link w:val="Hlavika"/>
    <w:rsid w:val="00A223A5"/>
    <w:rPr>
      <w:rFonts w:eastAsia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87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5100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47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23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043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4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79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6476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29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23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48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062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68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35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37741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4567517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8856286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0580745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2010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30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8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976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0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A702-2EC4-4A6A-A3FE-8B84EBD5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7686</Words>
  <Characters>43811</Characters>
  <Application>Microsoft Office Word</Application>
  <DocSecurity>0</DocSecurity>
  <Lines>365</Lines>
  <Paragraphs>102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sanofi-aventis</Company>
  <LinksUpToDate>false</LinksUpToDate>
  <CharactersWithSpaces>51395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Salgova</dc:creator>
  <cp:keywords/>
  <cp:lastModifiedBy>Repiščáková, Janka</cp:lastModifiedBy>
  <cp:revision>5</cp:revision>
  <cp:lastPrinted>2018-05-03T11:28:00Z</cp:lastPrinted>
  <dcterms:created xsi:type="dcterms:W3CDTF">2020-06-02T18:51:00Z</dcterms:created>
  <dcterms:modified xsi:type="dcterms:W3CDTF">2020-06-05T08:00:00Z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