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BF" w:rsidRPr="006878F3" w:rsidRDefault="002158BF" w:rsidP="000654B5">
      <w:pPr>
        <w:pStyle w:val="Nzov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  <w:r w:rsidRPr="006878F3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2158BF" w:rsidRPr="006878F3" w:rsidRDefault="002158BF" w:rsidP="003C602A">
      <w:pPr>
        <w:pStyle w:val="Nzov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8453DD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>1.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NÁZOV LIEKU </w:t>
      </w:r>
    </w:p>
    <w:p w:rsidR="002158BF" w:rsidRPr="006878F3" w:rsidRDefault="002158BF" w:rsidP="000252B9">
      <w:pPr>
        <w:widowControl w:val="0"/>
        <w:rPr>
          <w:b/>
          <w:bCs/>
          <w:sz w:val="22"/>
          <w:szCs w:val="22"/>
        </w:rPr>
      </w:pPr>
    </w:p>
    <w:p w:rsidR="002158BF" w:rsidRPr="006878F3" w:rsidRDefault="00FE0BF6" w:rsidP="008453DD">
      <w:pPr>
        <w:widowControl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200 mg perorálny prášok</w:t>
      </w:r>
    </w:p>
    <w:p w:rsidR="002158BF" w:rsidRPr="006878F3" w:rsidRDefault="00FE0BF6" w:rsidP="000654B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400 mg perorálny prášok</w:t>
      </w:r>
    </w:p>
    <w:p w:rsidR="00EA54CC" w:rsidRPr="006878F3" w:rsidRDefault="00EA54CC" w:rsidP="000654B5">
      <w:pPr>
        <w:widowControl w:val="0"/>
        <w:rPr>
          <w:b/>
          <w:bCs/>
          <w:color w:val="000000"/>
          <w:sz w:val="22"/>
          <w:szCs w:val="22"/>
        </w:rPr>
      </w:pPr>
    </w:p>
    <w:p w:rsidR="00C06309" w:rsidRPr="006878F3" w:rsidRDefault="00C06309" w:rsidP="000654B5">
      <w:pPr>
        <w:widowControl w:val="0"/>
        <w:rPr>
          <w:b/>
          <w:bCs/>
          <w:color w:val="000000"/>
          <w:sz w:val="22"/>
          <w:szCs w:val="22"/>
        </w:rPr>
      </w:pPr>
    </w:p>
    <w:p w:rsidR="00EA54CC" w:rsidRPr="006878F3" w:rsidRDefault="002158BF" w:rsidP="000654B5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2.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KVALITATÍVNE A KVANTITATÍVNE ZLOŽENIE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FE0BF6" w:rsidRPr="006878F3" w:rsidRDefault="00FE0BF6" w:rsidP="00FE0BF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Každé vrecko obsahuje 200 mg ibuprof</w:t>
      </w:r>
      <w:r w:rsidR="00201D3C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nu.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FE0BF6" w:rsidRPr="006878F3" w:rsidRDefault="00FE0BF6" w:rsidP="00FE0BF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Každé vrecko obsahuje 400 mg ibuprof</w:t>
      </w:r>
      <w:r w:rsidR="00201D3C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nu.</w:t>
      </w:r>
    </w:p>
    <w:p w:rsidR="00FE0BF6" w:rsidRPr="006878F3" w:rsidRDefault="00FE0BF6" w:rsidP="003C602A">
      <w:pPr>
        <w:widowControl w:val="0"/>
        <w:rPr>
          <w:sz w:val="22"/>
          <w:szCs w:val="22"/>
        </w:rPr>
      </w:pPr>
    </w:p>
    <w:p w:rsidR="00E370C8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  <w:u w:val="single"/>
        </w:rPr>
        <w:t>Pomocné látky</w:t>
      </w:r>
      <w:r w:rsidR="00E10400" w:rsidRPr="006878F3">
        <w:rPr>
          <w:sz w:val="22"/>
          <w:szCs w:val="22"/>
          <w:u w:val="single"/>
        </w:rPr>
        <w:t xml:space="preserve"> so známym účinkom</w:t>
      </w:r>
      <w:r w:rsidR="00D834CB" w:rsidRPr="006878F3">
        <w:rPr>
          <w:sz w:val="22"/>
          <w:szCs w:val="22"/>
        </w:rPr>
        <w:t xml:space="preserve"> </w:t>
      </w:r>
    </w:p>
    <w:p w:rsidR="00FE0BF6" w:rsidRPr="006878F3" w:rsidRDefault="00FE0BF6" w:rsidP="00FE0BF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Každé vrecko obsahuje </w:t>
      </w:r>
      <w:r w:rsidR="001E71B5" w:rsidRPr="006878F3">
        <w:rPr>
          <w:bCs/>
          <w:sz w:val="22"/>
          <w:szCs w:val="22"/>
        </w:rPr>
        <w:t>645,0</w:t>
      </w:r>
      <w:r w:rsidRPr="006878F3">
        <w:rPr>
          <w:bCs/>
          <w:sz w:val="22"/>
          <w:szCs w:val="22"/>
        </w:rPr>
        <w:t xml:space="preserve"> mg</w:t>
      </w:r>
      <w:r w:rsidR="001E71B5" w:rsidRPr="006878F3">
        <w:rPr>
          <w:bCs/>
          <w:sz w:val="22"/>
          <w:szCs w:val="22"/>
        </w:rPr>
        <w:t xml:space="preserve">  izomaltu 720</w:t>
      </w:r>
      <w:r w:rsidRPr="006878F3">
        <w:rPr>
          <w:bCs/>
          <w:sz w:val="22"/>
          <w:szCs w:val="22"/>
        </w:rPr>
        <w:t>.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FE0BF6" w:rsidRPr="006878F3" w:rsidRDefault="00FE0BF6" w:rsidP="00FE0BF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Každé vrecko obsahuje </w:t>
      </w:r>
      <w:r w:rsidR="001E71B5" w:rsidRPr="006878F3">
        <w:rPr>
          <w:bCs/>
          <w:sz w:val="22"/>
          <w:szCs w:val="22"/>
        </w:rPr>
        <w:t xml:space="preserve">1 290,0 </w:t>
      </w:r>
      <w:r w:rsidRPr="006878F3">
        <w:rPr>
          <w:bCs/>
          <w:sz w:val="22"/>
          <w:szCs w:val="22"/>
        </w:rPr>
        <w:t>mg</w:t>
      </w:r>
      <w:r w:rsidR="001E71B5" w:rsidRPr="006878F3">
        <w:rPr>
          <w:bCs/>
          <w:sz w:val="22"/>
          <w:szCs w:val="22"/>
        </w:rPr>
        <w:t xml:space="preserve"> izomaltu 720</w:t>
      </w:r>
      <w:r w:rsidRPr="006878F3">
        <w:rPr>
          <w:bCs/>
          <w:sz w:val="22"/>
          <w:szCs w:val="22"/>
        </w:rPr>
        <w:t>.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outlineLvl w:val="0"/>
        <w:rPr>
          <w:noProof/>
          <w:sz w:val="22"/>
          <w:szCs w:val="22"/>
        </w:rPr>
      </w:pPr>
      <w:r w:rsidRPr="006878F3">
        <w:rPr>
          <w:noProof/>
          <w:sz w:val="22"/>
          <w:szCs w:val="22"/>
        </w:rPr>
        <w:t>Úplný zoznam pomocných látok, pozri časť 6.1.</w:t>
      </w:r>
    </w:p>
    <w:p w:rsidR="00EA54CC" w:rsidRPr="006878F3" w:rsidRDefault="00EA54CC" w:rsidP="003C602A">
      <w:pPr>
        <w:outlineLvl w:val="0"/>
        <w:rPr>
          <w:noProof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3.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LIEKOVÁ FORMA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2158BF" w:rsidRPr="006878F3" w:rsidRDefault="00FE0BF6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Perorálny prášok</w:t>
      </w:r>
      <w:r w:rsidR="00D834CB" w:rsidRPr="006878F3">
        <w:rPr>
          <w:sz w:val="22"/>
          <w:szCs w:val="22"/>
        </w:rPr>
        <w:t>.</w:t>
      </w:r>
    </w:p>
    <w:p w:rsidR="00D834CB" w:rsidRPr="006878F3" w:rsidRDefault="00D834CB" w:rsidP="003C602A">
      <w:pPr>
        <w:widowControl w:val="0"/>
        <w:rPr>
          <w:sz w:val="22"/>
          <w:szCs w:val="22"/>
        </w:rPr>
      </w:pPr>
    </w:p>
    <w:p w:rsidR="00EA54CC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Biel</w:t>
      </w:r>
      <w:r w:rsidR="00FE0BF6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 alebo takmer biel</w:t>
      </w:r>
      <w:r w:rsidR="00FE0BF6" w:rsidRPr="006878F3">
        <w:rPr>
          <w:sz w:val="22"/>
          <w:szCs w:val="22"/>
        </w:rPr>
        <w:t>y perorálny prášok s citrónovou príchuťou</w:t>
      </w:r>
      <w:r w:rsidR="00EA54CC" w:rsidRPr="006878F3">
        <w:rPr>
          <w:sz w:val="22"/>
          <w:szCs w:val="22"/>
        </w:rPr>
        <w:t>.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KLINICKÉ ÚDAJE</w:t>
      </w: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4.1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="003730D1" w:rsidRPr="006878F3">
        <w:rPr>
          <w:b/>
          <w:bCs/>
          <w:color w:val="000000"/>
          <w:sz w:val="22"/>
          <w:szCs w:val="22"/>
        </w:rPr>
        <w:t xml:space="preserve">Terapeutické </w:t>
      </w:r>
      <w:r w:rsidR="003730D1" w:rsidRPr="006878F3">
        <w:rPr>
          <w:b/>
          <w:sz w:val="22"/>
          <w:szCs w:val="22"/>
        </w:rPr>
        <w:t>i</w:t>
      </w:r>
      <w:r w:rsidRPr="006878F3">
        <w:rPr>
          <w:b/>
          <w:sz w:val="22"/>
          <w:szCs w:val="22"/>
        </w:rPr>
        <w:t>ndikácie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FE0BF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K</w:t>
      </w:r>
      <w:r w:rsidR="00D834CB" w:rsidRPr="006878F3">
        <w:rPr>
          <w:color w:val="000000"/>
          <w:sz w:val="22"/>
          <w:szCs w:val="22"/>
        </w:rPr>
        <w:t>rátkodob</w:t>
      </w:r>
      <w:r w:rsidRPr="006878F3">
        <w:rPr>
          <w:color w:val="000000"/>
          <w:sz w:val="22"/>
          <w:szCs w:val="22"/>
        </w:rPr>
        <w:t>á</w:t>
      </w:r>
      <w:r w:rsidR="00D834CB" w:rsidRPr="006878F3">
        <w:rPr>
          <w:color w:val="000000"/>
          <w:sz w:val="22"/>
          <w:szCs w:val="22"/>
        </w:rPr>
        <w:t xml:space="preserve"> symptomatick</w:t>
      </w:r>
      <w:r w:rsidRPr="006878F3">
        <w:rPr>
          <w:color w:val="000000"/>
          <w:sz w:val="22"/>
          <w:szCs w:val="22"/>
        </w:rPr>
        <w:t>á</w:t>
      </w:r>
      <w:r w:rsidR="00D834CB" w:rsidRPr="006878F3">
        <w:rPr>
          <w:color w:val="000000"/>
          <w:sz w:val="22"/>
          <w:szCs w:val="22"/>
        </w:rPr>
        <w:t xml:space="preserve"> liečb</w:t>
      </w:r>
      <w:r w:rsidRPr="006878F3">
        <w:rPr>
          <w:color w:val="000000"/>
          <w:sz w:val="22"/>
          <w:szCs w:val="22"/>
        </w:rPr>
        <w:t>a</w:t>
      </w:r>
      <w:r w:rsidR="00D834CB" w:rsidRPr="006878F3">
        <w:rPr>
          <w:color w:val="000000"/>
          <w:sz w:val="22"/>
          <w:szCs w:val="22"/>
        </w:rPr>
        <w:t>:</w:t>
      </w:r>
      <w:r w:rsidR="002158BF" w:rsidRPr="006878F3">
        <w:rPr>
          <w:color w:val="000000"/>
          <w:sz w:val="22"/>
          <w:szCs w:val="22"/>
        </w:rPr>
        <w:t xml:space="preserve">  </w:t>
      </w:r>
    </w:p>
    <w:p w:rsidR="002158BF" w:rsidRPr="006878F3" w:rsidRDefault="002158BF" w:rsidP="000252B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slabej až stredne silnej bolesti </w:t>
      </w:r>
    </w:p>
    <w:p w:rsidR="00D834CB" w:rsidRPr="006878F3" w:rsidRDefault="00D834CB" w:rsidP="000252B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horúčky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E0BF6" w:rsidRPr="006878F3" w:rsidRDefault="00FE0BF6" w:rsidP="00FE0BF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200 mg je indikovaný dospelým, dospievajúcim a deťom s telesnou hmotnosťou od 20 kg (vo veku 6 rokov a vyššom).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FE0BF6" w:rsidRPr="006878F3" w:rsidRDefault="00FE0BF6" w:rsidP="00FE0BF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FE0BF6" w:rsidRPr="006878F3" w:rsidRDefault="00FE0BF6" w:rsidP="00FE0BF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400 mg je indikovaný dospelým, dospievajúcim s telesnou hmotnosťou od 40 kg (vo veku 12 rokov a vyššom).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>4.2</w:t>
      </w:r>
      <w:r w:rsidR="00EA54CC" w:rsidRPr="006878F3">
        <w:rPr>
          <w:b/>
          <w:sz w:val="22"/>
          <w:szCs w:val="22"/>
        </w:rPr>
        <w:tab/>
      </w:r>
      <w:r w:rsidRPr="006878F3">
        <w:rPr>
          <w:b/>
          <w:sz w:val="22"/>
          <w:szCs w:val="22"/>
        </w:rPr>
        <w:t>Dávkovanie a spôsob podávania</w:t>
      </w:r>
    </w:p>
    <w:p w:rsidR="00E10400" w:rsidRPr="006878F3" w:rsidRDefault="00E1040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</w:p>
    <w:p w:rsidR="002158BF" w:rsidRPr="006878F3" w:rsidRDefault="00E10400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Dávkovanie</w:t>
      </w:r>
      <w:r w:rsidR="002158BF" w:rsidRPr="006878F3">
        <w:rPr>
          <w:color w:val="000000"/>
          <w:sz w:val="22"/>
          <w:szCs w:val="22"/>
          <w:u w:val="single"/>
        </w:rPr>
        <w:t xml:space="preserve"> </w:t>
      </w:r>
    </w:p>
    <w:p w:rsidR="00C7421A" w:rsidRPr="006878F3" w:rsidRDefault="00C7421A" w:rsidP="00C7421A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C7421A" w:rsidRPr="006878F3" w:rsidRDefault="00C7421A" w:rsidP="00C7421A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Dávkovanie sa vypočíta na základe informácií v tabuľke uvedenej nižšie. Dávkovanie ibuprof</w:t>
      </w:r>
      <w:r w:rsidR="001F05CE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 xml:space="preserve">nu deťom a dospievajúcim závisí od telesnej hmotnosti, resp. veku – spravidla 7 až 10 mg/kg telesnej </w:t>
      </w:r>
      <w:r w:rsidRPr="006878F3">
        <w:rPr>
          <w:bCs/>
          <w:sz w:val="22"/>
          <w:szCs w:val="22"/>
        </w:rPr>
        <w:lastRenderedPageBreak/>
        <w:t>hmotnosti ako jednotlivá dávka až po maximálne 30 mg/kg telesnej hmotnosti ako celková denná dávka.</w:t>
      </w:r>
    </w:p>
    <w:p w:rsidR="00C7421A" w:rsidRPr="006878F3" w:rsidRDefault="00C7421A" w:rsidP="00C7421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C7421A" w:rsidRPr="006878F3" w:rsidRDefault="00C7421A" w:rsidP="00C7421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 xml:space="preserve">Príslušný dávkovací interval je určený podľa príznakov a celkovej dennej dávky. </w:t>
      </w:r>
      <w:r w:rsidRPr="006878F3">
        <w:rPr>
          <w:color w:val="000000"/>
          <w:sz w:val="22"/>
          <w:szCs w:val="22"/>
        </w:rPr>
        <w:t>Nemá byť kratší ako 6 hodín. Odporúčaná maximálna denná dávka sa nemá prekročiť.</w:t>
      </w:r>
    </w:p>
    <w:p w:rsidR="00C7421A" w:rsidRPr="006878F3" w:rsidRDefault="00C7421A" w:rsidP="00C7421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C7421A" w:rsidRPr="006878F3" w:rsidTr="00446766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Maximálna denná dávka </w:t>
            </w:r>
          </w:p>
        </w:tc>
      </w:tr>
      <w:tr w:rsidR="00C7421A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 kg až 29 kg</w:t>
            </w:r>
          </w:p>
          <w:p w:rsidR="00C7421A" w:rsidRPr="006878F3" w:rsidRDefault="00C7421A" w:rsidP="00C7421A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(deti: 6 až 9 rokov) 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600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C7421A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30 kg až 39 kg</w:t>
            </w:r>
          </w:p>
          <w:p w:rsidR="00C7421A" w:rsidRPr="006878F3" w:rsidRDefault="00C7421A" w:rsidP="00D6222E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(deti: 10</w:t>
            </w:r>
            <w:r w:rsidR="00D6222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až 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11 rokov) 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800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C7421A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spacing w:line="240" w:lineRule="atLeast"/>
              <w:ind w:left="72" w:right="496" w:hanging="43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≥ 40 kg</w:t>
            </w:r>
          </w:p>
          <w:p w:rsidR="00C7421A" w:rsidRPr="006878F3" w:rsidRDefault="00C7421A" w:rsidP="00D6222E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6222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ospievajúci </w:t>
            </w:r>
            <w:r w:rsidR="00D6222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od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200-400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1 200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C7421A" w:rsidRPr="006878F3" w:rsidRDefault="00C7421A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:rsidR="00C7421A" w:rsidRPr="006878F3" w:rsidRDefault="00C7421A" w:rsidP="00C7421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3692B" w:rsidRPr="006878F3" w:rsidRDefault="0093692B" w:rsidP="009369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Ak je u detí a dospievajúcich potrebné tento liek užívať dlhšie ako 3 dni, alebo ak sa príznaky zhoršia, je potrebná konzultácia s lekárom.</w:t>
      </w:r>
    </w:p>
    <w:p w:rsidR="0093692B" w:rsidRPr="006878F3" w:rsidRDefault="0093692B" w:rsidP="009369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Ak je u dospelých potrebné užívať tento liek dlhšie ako 3 dni v prípade horúčky alebo dlhšie ako 4 dni v prípade liečby bolesti, alebo ak sa príznaky zhoršia, je potrebná konzultácia s lekárom.</w:t>
      </w:r>
    </w:p>
    <w:p w:rsidR="0093692B" w:rsidRPr="006878F3" w:rsidRDefault="0093692B" w:rsidP="00C7421A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C7421A" w:rsidRPr="006878F3" w:rsidRDefault="00C7421A" w:rsidP="00C7421A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0654B5" w:rsidRPr="006878F3" w:rsidRDefault="000654B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D6222E" w:rsidRPr="006878F3" w:rsidRDefault="00D6222E" w:rsidP="00D6222E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Dávkovanie sa vypočíta na základe informácií v tabuľke uvedenej nižšie. </w:t>
      </w:r>
    </w:p>
    <w:p w:rsidR="00D6222E" w:rsidRPr="006878F3" w:rsidRDefault="00D6222E" w:rsidP="00D6222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 xml:space="preserve">Príslušný dávkovací interval je určený podľa príznakov a celkovej dennej dávky. </w:t>
      </w:r>
      <w:r w:rsidRPr="006878F3">
        <w:rPr>
          <w:color w:val="000000"/>
          <w:sz w:val="22"/>
          <w:szCs w:val="22"/>
        </w:rPr>
        <w:t>Nemá byť kratší ako 6 hodín. Odporúčaná maximálna dávka sa nemá prekročiť.</w:t>
      </w:r>
    </w:p>
    <w:p w:rsidR="00D6222E" w:rsidRPr="006878F3" w:rsidRDefault="00D6222E" w:rsidP="00D6222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D6222E" w:rsidRPr="006878F3" w:rsidTr="00446766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Maximálna denná dávka </w:t>
            </w:r>
          </w:p>
        </w:tc>
      </w:tr>
      <w:tr w:rsidR="00D6222E" w:rsidRPr="006878F3" w:rsidTr="00446766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spacing w:line="240" w:lineRule="atLeast"/>
              <w:ind w:left="72" w:right="496" w:hanging="43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≥ 40 kg</w:t>
            </w:r>
          </w:p>
          <w:p w:rsidR="00D6222E" w:rsidRPr="006878F3" w:rsidRDefault="00D6222E" w:rsidP="00446766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400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1 200 mg ibuprof</w:t>
            </w:r>
            <w:r w:rsidR="001F05CE" w:rsidRPr="006878F3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6878F3">
              <w:rPr>
                <w:rFonts w:ascii="Times New Roman" w:hAnsi="Times New Roman"/>
                <w:sz w:val="22"/>
                <w:szCs w:val="22"/>
                <w:lang w:val="sk-SK"/>
              </w:rPr>
              <w:t>nu</w:t>
            </w:r>
          </w:p>
          <w:p w:rsidR="00D6222E" w:rsidRPr="006878F3" w:rsidRDefault="00D6222E" w:rsidP="00446766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:rsidR="00C7421A" w:rsidRPr="006878F3" w:rsidRDefault="00C7421A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E10400" w:rsidRPr="006878F3" w:rsidRDefault="00F1747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Ak je u detí </w:t>
      </w:r>
      <w:r w:rsidR="00887667" w:rsidRPr="006878F3">
        <w:rPr>
          <w:color w:val="000000"/>
          <w:sz w:val="22"/>
          <w:szCs w:val="22"/>
        </w:rPr>
        <w:t>a dospievajúcich</w:t>
      </w:r>
      <w:r w:rsidRPr="006878F3">
        <w:rPr>
          <w:color w:val="000000"/>
          <w:sz w:val="22"/>
          <w:szCs w:val="22"/>
        </w:rPr>
        <w:t xml:space="preserve"> </w:t>
      </w:r>
      <w:r w:rsidR="007A17D6" w:rsidRPr="006878F3">
        <w:rPr>
          <w:color w:val="000000"/>
          <w:sz w:val="22"/>
          <w:szCs w:val="22"/>
        </w:rPr>
        <w:t xml:space="preserve">potrebné </w:t>
      </w:r>
      <w:r w:rsidR="00887667" w:rsidRPr="006878F3">
        <w:rPr>
          <w:color w:val="000000"/>
          <w:sz w:val="22"/>
          <w:szCs w:val="22"/>
        </w:rPr>
        <w:t xml:space="preserve">tento liek </w:t>
      </w:r>
      <w:r w:rsidRPr="006878F3">
        <w:rPr>
          <w:color w:val="000000"/>
          <w:sz w:val="22"/>
          <w:szCs w:val="22"/>
        </w:rPr>
        <w:t xml:space="preserve">užívať </w:t>
      </w:r>
      <w:r w:rsidR="00D6222E" w:rsidRPr="006878F3">
        <w:rPr>
          <w:color w:val="000000"/>
          <w:sz w:val="22"/>
          <w:szCs w:val="22"/>
        </w:rPr>
        <w:t>dlhšie</w:t>
      </w:r>
      <w:r w:rsidRPr="006878F3">
        <w:rPr>
          <w:color w:val="000000"/>
          <w:sz w:val="22"/>
          <w:szCs w:val="22"/>
        </w:rPr>
        <w:t xml:space="preserve"> ako 3 dn</w:t>
      </w:r>
      <w:r w:rsidR="00D6222E" w:rsidRPr="006878F3">
        <w:rPr>
          <w:color w:val="000000"/>
          <w:sz w:val="22"/>
          <w:szCs w:val="22"/>
        </w:rPr>
        <w:t>i</w:t>
      </w:r>
      <w:r w:rsidRPr="006878F3">
        <w:rPr>
          <w:color w:val="000000"/>
          <w:sz w:val="22"/>
          <w:szCs w:val="22"/>
        </w:rPr>
        <w:t>, alebo ak sa príznaky zhoršia</w:t>
      </w:r>
      <w:r w:rsidR="006650FC" w:rsidRPr="006878F3">
        <w:rPr>
          <w:color w:val="000000"/>
          <w:sz w:val="22"/>
          <w:szCs w:val="22"/>
        </w:rPr>
        <w:t>,</w:t>
      </w:r>
      <w:r w:rsidR="002158BF" w:rsidRPr="006878F3">
        <w:rPr>
          <w:color w:val="000000"/>
          <w:sz w:val="22"/>
          <w:szCs w:val="22"/>
        </w:rPr>
        <w:t xml:space="preserve"> </w:t>
      </w:r>
      <w:r w:rsidR="006650FC" w:rsidRPr="006878F3">
        <w:rPr>
          <w:color w:val="000000"/>
          <w:sz w:val="22"/>
          <w:szCs w:val="22"/>
        </w:rPr>
        <w:t xml:space="preserve">je </w:t>
      </w:r>
      <w:r w:rsidR="00D6222E" w:rsidRPr="006878F3">
        <w:rPr>
          <w:color w:val="000000"/>
          <w:sz w:val="22"/>
          <w:szCs w:val="22"/>
        </w:rPr>
        <w:t>potrebná</w:t>
      </w:r>
      <w:r w:rsidR="006650FC" w:rsidRPr="006878F3">
        <w:rPr>
          <w:color w:val="000000"/>
          <w:sz w:val="22"/>
          <w:szCs w:val="22"/>
        </w:rPr>
        <w:t xml:space="preserve"> konzultácia s lekárom</w:t>
      </w:r>
      <w:r w:rsidR="002158BF" w:rsidRPr="006878F3">
        <w:rPr>
          <w:color w:val="000000"/>
          <w:sz w:val="22"/>
          <w:szCs w:val="22"/>
        </w:rPr>
        <w:t>.</w:t>
      </w:r>
    </w:p>
    <w:p w:rsidR="00FE1D98" w:rsidRPr="006878F3" w:rsidRDefault="00FE1D9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Ak </w:t>
      </w:r>
      <w:r w:rsidR="00F1747C" w:rsidRPr="006878F3">
        <w:rPr>
          <w:color w:val="000000"/>
          <w:sz w:val="22"/>
          <w:szCs w:val="22"/>
        </w:rPr>
        <w:t>je</w:t>
      </w:r>
      <w:r w:rsidRPr="006878F3">
        <w:rPr>
          <w:color w:val="000000"/>
          <w:sz w:val="22"/>
          <w:szCs w:val="22"/>
        </w:rPr>
        <w:t xml:space="preserve"> u</w:t>
      </w:r>
      <w:r w:rsidR="007A17D6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 xml:space="preserve">dospelých </w:t>
      </w:r>
      <w:r w:rsidR="007A17D6" w:rsidRPr="006878F3">
        <w:rPr>
          <w:color w:val="000000"/>
          <w:sz w:val="22"/>
          <w:szCs w:val="22"/>
        </w:rPr>
        <w:t xml:space="preserve">potrebné </w:t>
      </w:r>
      <w:r w:rsidR="00F1747C" w:rsidRPr="006878F3">
        <w:rPr>
          <w:color w:val="000000"/>
          <w:sz w:val="22"/>
          <w:szCs w:val="22"/>
        </w:rPr>
        <w:t xml:space="preserve">užívať </w:t>
      </w:r>
      <w:r w:rsidRPr="006878F3">
        <w:rPr>
          <w:color w:val="000000"/>
          <w:sz w:val="22"/>
          <w:szCs w:val="22"/>
        </w:rPr>
        <w:t xml:space="preserve">tento liek dlhšie ako 3 dni v prípade horúčky alebo dlhšie ako 4 dni v prípade liečby bolesti, alebo ak sa </w:t>
      </w:r>
      <w:r w:rsidR="007A17D6" w:rsidRPr="006878F3">
        <w:rPr>
          <w:color w:val="000000"/>
          <w:sz w:val="22"/>
          <w:szCs w:val="22"/>
        </w:rPr>
        <w:t>príznak</w:t>
      </w:r>
      <w:r w:rsidRPr="006878F3">
        <w:rPr>
          <w:color w:val="000000"/>
          <w:sz w:val="22"/>
          <w:szCs w:val="22"/>
        </w:rPr>
        <w:t xml:space="preserve">y </w:t>
      </w:r>
      <w:r w:rsidR="00DC12BB" w:rsidRPr="006878F3">
        <w:rPr>
          <w:color w:val="000000"/>
          <w:sz w:val="22"/>
          <w:szCs w:val="22"/>
        </w:rPr>
        <w:t>zhoršia</w:t>
      </w:r>
      <w:r w:rsidRPr="006878F3">
        <w:rPr>
          <w:color w:val="000000"/>
          <w:sz w:val="22"/>
          <w:szCs w:val="22"/>
        </w:rPr>
        <w:t xml:space="preserve">, je </w:t>
      </w:r>
      <w:r w:rsidR="00D6222E" w:rsidRPr="006878F3">
        <w:rPr>
          <w:color w:val="000000"/>
          <w:sz w:val="22"/>
          <w:szCs w:val="22"/>
        </w:rPr>
        <w:t>potrebná</w:t>
      </w:r>
      <w:r w:rsidRPr="006878F3">
        <w:rPr>
          <w:color w:val="000000"/>
          <w:sz w:val="22"/>
          <w:szCs w:val="22"/>
        </w:rPr>
        <w:t xml:space="preserve"> konzultácia s lekárom.</w:t>
      </w:r>
    </w:p>
    <w:p w:rsidR="00D6222E" w:rsidRPr="006878F3" w:rsidRDefault="00D6222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6222E" w:rsidRPr="006878F3" w:rsidRDefault="00D6222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Len na krátkodobé použitie.</w:t>
      </w:r>
    </w:p>
    <w:p w:rsidR="00AC7E6C" w:rsidRPr="006878F3" w:rsidRDefault="00AC7E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24B84" w:rsidRPr="006878F3" w:rsidRDefault="00924B84" w:rsidP="008453D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Nežiaduce účinky možno minimalizovať podávaním najnižš</w:t>
      </w:r>
      <w:r w:rsidR="00D6222E" w:rsidRPr="006878F3">
        <w:rPr>
          <w:color w:val="000000"/>
          <w:sz w:val="22"/>
          <w:szCs w:val="22"/>
        </w:rPr>
        <w:t>ej účinnej dávky počas najkratšieho času</w:t>
      </w:r>
      <w:r w:rsidRPr="006878F3">
        <w:rPr>
          <w:color w:val="000000"/>
          <w:sz w:val="22"/>
          <w:szCs w:val="22"/>
        </w:rPr>
        <w:t xml:space="preserve"> potrebn</w:t>
      </w:r>
      <w:r w:rsidR="00D6222E" w:rsidRPr="006878F3">
        <w:rPr>
          <w:color w:val="000000"/>
          <w:sz w:val="22"/>
          <w:szCs w:val="22"/>
        </w:rPr>
        <w:t xml:space="preserve">ého </w:t>
      </w:r>
      <w:r w:rsidRPr="006878F3">
        <w:rPr>
          <w:color w:val="000000"/>
          <w:sz w:val="22"/>
          <w:szCs w:val="22"/>
        </w:rPr>
        <w:t>na kontrolu príznakov (pozri časť 4.4).</w:t>
      </w:r>
    </w:p>
    <w:p w:rsidR="00924B84" w:rsidRPr="006878F3" w:rsidRDefault="00924B84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C76E45" w:rsidP="008453DD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/>
          <w:bCs/>
          <w:i/>
          <w:color w:val="000000"/>
          <w:sz w:val="22"/>
          <w:szCs w:val="22"/>
        </w:rPr>
        <w:t>Osobitn</w:t>
      </w:r>
      <w:r w:rsidR="00D6222E" w:rsidRPr="006878F3">
        <w:rPr>
          <w:b/>
          <w:bCs/>
          <w:i/>
          <w:color w:val="000000"/>
          <w:sz w:val="22"/>
          <w:szCs w:val="22"/>
        </w:rPr>
        <w:t>é</w:t>
      </w:r>
      <w:r w:rsidR="000D42C2" w:rsidRPr="006878F3">
        <w:rPr>
          <w:b/>
          <w:bCs/>
          <w:i/>
          <w:color w:val="000000"/>
          <w:sz w:val="22"/>
          <w:szCs w:val="22"/>
        </w:rPr>
        <w:t xml:space="preserve"> populáci</w:t>
      </w:r>
      <w:r w:rsidR="00D6222E" w:rsidRPr="006878F3">
        <w:rPr>
          <w:b/>
          <w:bCs/>
          <w:i/>
          <w:color w:val="000000"/>
          <w:sz w:val="22"/>
          <w:szCs w:val="22"/>
        </w:rPr>
        <w:t>e</w:t>
      </w:r>
    </w:p>
    <w:p w:rsidR="002158BF" w:rsidRPr="006878F3" w:rsidRDefault="002158BF" w:rsidP="008453D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0252B9" w:rsidRDefault="0058786C" w:rsidP="008453D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252B9">
        <w:rPr>
          <w:i/>
          <w:sz w:val="22"/>
          <w:szCs w:val="22"/>
          <w:u w:val="single"/>
        </w:rPr>
        <w:t xml:space="preserve">Starší </w:t>
      </w:r>
      <w:r w:rsidR="00E77AE6" w:rsidRPr="000252B9">
        <w:rPr>
          <w:i/>
          <w:sz w:val="22"/>
          <w:szCs w:val="22"/>
          <w:u w:val="single"/>
        </w:rPr>
        <w:t>pacienti</w:t>
      </w:r>
    </w:p>
    <w:p w:rsidR="0058786C" w:rsidRPr="006878F3" w:rsidRDefault="00E77AE6" w:rsidP="000654B5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N</w:t>
      </w:r>
      <w:r w:rsidR="0058786C" w:rsidRPr="006878F3">
        <w:rPr>
          <w:sz w:val="22"/>
          <w:szCs w:val="22"/>
        </w:rPr>
        <w:t>ie je potrebná</w:t>
      </w:r>
      <w:r w:rsidR="00D74E80" w:rsidRPr="006878F3">
        <w:rPr>
          <w:sz w:val="22"/>
          <w:szCs w:val="22"/>
        </w:rPr>
        <w:t xml:space="preserve"> žiadna</w:t>
      </w:r>
      <w:r w:rsidR="0058786C" w:rsidRPr="006878F3">
        <w:rPr>
          <w:sz w:val="22"/>
          <w:szCs w:val="22"/>
        </w:rPr>
        <w:t xml:space="preserve"> </w:t>
      </w:r>
      <w:r w:rsidR="00D74E80" w:rsidRPr="006878F3">
        <w:rPr>
          <w:sz w:val="22"/>
          <w:szCs w:val="22"/>
        </w:rPr>
        <w:t xml:space="preserve">špeciálna </w:t>
      </w:r>
      <w:r w:rsidR="0058786C" w:rsidRPr="006878F3">
        <w:rPr>
          <w:sz w:val="22"/>
          <w:szCs w:val="22"/>
        </w:rPr>
        <w:t xml:space="preserve">úprava dávkovania. Z dôvodu možných </w:t>
      </w:r>
      <w:r w:rsidR="00D46C8A" w:rsidRPr="006878F3">
        <w:rPr>
          <w:sz w:val="22"/>
          <w:szCs w:val="22"/>
        </w:rPr>
        <w:t xml:space="preserve">nežiaducich </w:t>
      </w:r>
      <w:r w:rsidR="0058786C" w:rsidRPr="006878F3">
        <w:rPr>
          <w:sz w:val="22"/>
          <w:szCs w:val="22"/>
        </w:rPr>
        <w:t xml:space="preserve">účinkov (pozri časť 4.4) sa u starších ľudí vyžaduje </w:t>
      </w:r>
      <w:r w:rsidR="00D46C8A" w:rsidRPr="006878F3">
        <w:rPr>
          <w:sz w:val="22"/>
          <w:szCs w:val="22"/>
        </w:rPr>
        <w:t xml:space="preserve">obzvlášť </w:t>
      </w:r>
      <w:r w:rsidR="0058786C" w:rsidRPr="006878F3">
        <w:rPr>
          <w:sz w:val="22"/>
          <w:szCs w:val="22"/>
        </w:rPr>
        <w:t>dôkladné sledovanie.</w:t>
      </w:r>
    </w:p>
    <w:p w:rsidR="0058786C" w:rsidRPr="006878F3" w:rsidRDefault="0058786C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0252B9" w:rsidRDefault="00E77AE6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 w:rsidRPr="000252B9">
        <w:rPr>
          <w:i/>
          <w:color w:val="000000"/>
          <w:sz w:val="22"/>
          <w:szCs w:val="22"/>
          <w:u w:val="single"/>
        </w:rPr>
        <w:t>Renálna insuficiencia</w:t>
      </w:r>
    </w:p>
    <w:p w:rsidR="002158BF" w:rsidRPr="006878F3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lastRenderedPageBreak/>
        <w:t>U pacientov s</w:t>
      </w:r>
      <w:r w:rsidR="002158BF" w:rsidRPr="006878F3">
        <w:rPr>
          <w:color w:val="000000"/>
          <w:sz w:val="22"/>
          <w:szCs w:val="22"/>
        </w:rPr>
        <w:t xml:space="preserve"> </w:t>
      </w:r>
      <w:r w:rsidR="0087170D" w:rsidRPr="006878F3">
        <w:rPr>
          <w:color w:val="000000"/>
          <w:sz w:val="22"/>
          <w:szCs w:val="22"/>
        </w:rPr>
        <w:t>miernou</w:t>
      </w:r>
      <w:r w:rsidR="002158BF" w:rsidRPr="006878F3">
        <w:rPr>
          <w:color w:val="000000"/>
          <w:sz w:val="22"/>
          <w:szCs w:val="22"/>
        </w:rPr>
        <w:t xml:space="preserve"> a</w:t>
      </w:r>
      <w:r w:rsidRPr="006878F3">
        <w:rPr>
          <w:color w:val="000000"/>
          <w:sz w:val="22"/>
          <w:szCs w:val="22"/>
        </w:rPr>
        <w:t>ž</w:t>
      </w:r>
      <w:r w:rsidR="002158BF" w:rsidRPr="006878F3">
        <w:rPr>
          <w:color w:val="000000"/>
          <w:sz w:val="22"/>
          <w:szCs w:val="22"/>
        </w:rPr>
        <w:t xml:space="preserve"> stredne 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Pr="006878F3">
        <w:rPr>
          <w:color w:val="000000"/>
          <w:sz w:val="22"/>
          <w:szCs w:val="22"/>
        </w:rPr>
        <w:t>ruchou</w:t>
      </w:r>
      <w:r w:rsidR="002158BF" w:rsidRPr="006878F3">
        <w:rPr>
          <w:color w:val="000000"/>
          <w:sz w:val="22"/>
          <w:szCs w:val="22"/>
        </w:rPr>
        <w:t xml:space="preserve"> funkcie obličiek sa </w:t>
      </w:r>
      <w:r w:rsidR="00D46C8A" w:rsidRPr="006878F3">
        <w:rPr>
          <w:color w:val="000000"/>
          <w:sz w:val="22"/>
          <w:szCs w:val="22"/>
        </w:rPr>
        <w:t xml:space="preserve">zníženie </w:t>
      </w:r>
      <w:r w:rsidR="002158BF" w:rsidRPr="006878F3">
        <w:rPr>
          <w:color w:val="000000"/>
          <w:sz w:val="22"/>
          <w:szCs w:val="22"/>
        </w:rPr>
        <w:t>dávkovania nevyžaduje (pacienti s</w:t>
      </w:r>
      <w:r w:rsidR="0087170D" w:rsidRPr="006878F3">
        <w:rPr>
          <w:color w:val="000000"/>
          <w:sz w:val="22"/>
          <w:szCs w:val="22"/>
        </w:rPr>
        <w:t>o</w:t>
      </w:r>
      <w:r w:rsidR="002158BF" w:rsidRPr="006878F3">
        <w:rPr>
          <w:color w:val="000000"/>
          <w:sz w:val="22"/>
          <w:szCs w:val="22"/>
        </w:rPr>
        <w:t> 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="0044509F" w:rsidRPr="006878F3">
        <w:rPr>
          <w:color w:val="000000"/>
          <w:sz w:val="22"/>
          <w:szCs w:val="22"/>
        </w:rPr>
        <w:t>ruchou</w:t>
      </w:r>
      <w:r w:rsidR="002158BF" w:rsidRPr="006878F3">
        <w:rPr>
          <w:color w:val="000000"/>
          <w:sz w:val="22"/>
          <w:szCs w:val="22"/>
        </w:rPr>
        <w:t xml:space="preserve"> funkcie obličiek, pozri časť 4.3).  </w:t>
      </w:r>
    </w:p>
    <w:p w:rsidR="002158BF" w:rsidRPr="000252B9" w:rsidRDefault="002158BF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2158BF" w:rsidRPr="000252B9" w:rsidRDefault="00E77AE6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252B9">
        <w:rPr>
          <w:i/>
          <w:color w:val="000000"/>
          <w:sz w:val="22"/>
          <w:szCs w:val="22"/>
          <w:u w:val="single"/>
        </w:rPr>
        <w:t>Hepatálna insuficiencia</w:t>
      </w:r>
      <w:r w:rsidR="00D46C8A" w:rsidRPr="000252B9">
        <w:rPr>
          <w:i/>
          <w:color w:val="000000"/>
          <w:sz w:val="22"/>
          <w:szCs w:val="22"/>
          <w:u w:val="single"/>
        </w:rPr>
        <w:t xml:space="preserve"> (pozri časť 5.2)</w:t>
      </w:r>
      <w:r w:rsidR="002158BF" w:rsidRPr="000252B9">
        <w:rPr>
          <w:i/>
          <w:color w:val="000000"/>
          <w:sz w:val="22"/>
          <w:szCs w:val="22"/>
        </w:rPr>
        <w:t xml:space="preserve"> </w:t>
      </w:r>
    </w:p>
    <w:p w:rsidR="002158BF" w:rsidRPr="006878F3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U pacientov s</w:t>
      </w:r>
      <w:r w:rsidR="002158BF" w:rsidRPr="006878F3">
        <w:rPr>
          <w:color w:val="000000"/>
          <w:sz w:val="22"/>
          <w:szCs w:val="22"/>
        </w:rPr>
        <w:t xml:space="preserve"> </w:t>
      </w:r>
      <w:r w:rsidR="0087170D" w:rsidRPr="006878F3">
        <w:rPr>
          <w:color w:val="000000"/>
          <w:sz w:val="22"/>
          <w:szCs w:val="22"/>
        </w:rPr>
        <w:t>miernou</w:t>
      </w:r>
      <w:r w:rsidR="002158BF" w:rsidRPr="006878F3">
        <w:rPr>
          <w:color w:val="000000"/>
          <w:sz w:val="22"/>
          <w:szCs w:val="22"/>
        </w:rPr>
        <w:t xml:space="preserve"> a</w:t>
      </w:r>
      <w:r w:rsidRPr="006878F3">
        <w:rPr>
          <w:color w:val="000000"/>
          <w:sz w:val="22"/>
          <w:szCs w:val="22"/>
        </w:rPr>
        <w:t>ž</w:t>
      </w:r>
      <w:r w:rsidR="002158BF" w:rsidRPr="006878F3">
        <w:rPr>
          <w:color w:val="000000"/>
          <w:sz w:val="22"/>
          <w:szCs w:val="22"/>
        </w:rPr>
        <w:t xml:space="preserve"> stredne 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="0008794D" w:rsidRPr="006878F3">
        <w:rPr>
          <w:color w:val="000000"/>
          <w:sz w:val="22"/>
          <w:szCs w:val="22"/>
        </w:rPr>
        <w:t>ruch</w:t>
      </w:r>
      <w:r w:rsidRPr="006878F3">
        <w:rPr>
          <w:color w:val="000000"/>
          <w:sz w:val="22"/>
          <w:szCs w:val="22"/>
        </w:rPr>
        <w:t>ou</w:t>
      </w:r>
      <w:r w:rsidR="002158BF" w:rsidRPr="006878F3">
        <w:rPr>
          <w:color w:val="000000"/>
          <w:sz w:val="22"/>
          <w:szCs w:val="22"/>
        </w:rPr>
        <w:t xml:space="preserve"> funkcie pečene sa </w:t>
      </w:r>
      <w:r w:rsidR="00D46C8A" w:rsidRPr="006878F3">
        <w:rPr>
          <w:color w:val="000000"/>
          <w:sz w:val="22"/>
          <w:szCs w:val="22"/>
        </w:rPr>
        <w:t xml:space="preserve">zníženie </w:t>
      </w:r>
      <w:r w:rsidR="002158BF" w:rsidRPr="006878F3">
        <w:rPr>
          <w:color w:val="000000"/>
          <w:sz w:val="22"/>
          <w:szCs w:val="22"/>
        </w:rPr>
        <w:t>dávkovania nevyžaduje (pacienti s</w:t>
      </w:r>
      <w:r w:rsidR="0087170D" w:rsidRPr="006878F3">
        <w:rPr>
          <w:color w:val="000000"/>
          <w:sz w:val="22"/>
          <w:szCs w:val="22"/>
        </w:rPr>
        <w:t>o</w:t>
      </w:r>
      <w:r w:rsidR="002158BF" w:rsidRPr="006878F3">
        <w:rPr>
          <w:color w:val="000000"/>
          <w:sz w:val="22"/>
          <w:szCs w:val="22"/>
        </w:rPr>
        <w:t> </w:t>
      </w:r>
      <w:r w:rsidR="0087170D" w:rsidRPr="006878F3">
        <w:rPr>
          <w:color w:val="000000"/>
          <w:sz w:val="22"/>
          <w:szCs w:val="22"/>
        </w:rPr>
        <w:t>závažnou</w:t>
      </w:r>
      <w:r w:rsidR="002158BF" w:rsidRPr="006878F3">
        <w:rPr>
          <w:color w:val="000000"/>
          <w:sz w:val="22"/>
          <w:szCs w:val="22"/>
        </w:rPr>
        <w:t xml:space="preserve"> po</w:t>
      </w:r>
      <w:r w:rsidR="0008794D" w:rsidRPr="006878F3">
        <w:rPr>
          <w:color w:val="000000"/>
          <w:sz w:val="22"/>
          <w:szCs w:val="22"/>
        </w:rPr>
        <w:t>ruchou</w:t>
      </w:r>
      <w:r w:rsidR="002158BF" w:rsidRPr="006878F3">
        <w:rPr>
          <w:color w:val="000000"/>
          <w:sz w:val="22"/>
          <w:szCs w:val="22"/>
        </w:rPr>
        <w:t xml:space="preserve"> funkcie pečene, pozri časť 4.3). 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0252B9" w:rsidRDefault="00E10400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252B9">
        <w:rPr>
          <w:b/>
          <w:i/>
          <w:color w:val="000000"/>
          <w:sz w:val="22"/>
          <w:szCs w:val="22"/>
        </w:rPr>
        <w:t>Pediatrická populácia</w:t>
      </w:r>
      <w:r w:rsidR="002158BF" w:rsidRPr="000252B9">
        <w:rPr>
          <w:b/>
          <w:i/>
          <w:color w:val="000000"/>
          <w:sz w:val="22"/>
          <w:szCs w:val="22"/>
        </w:rPr>
        <w:t xml:space="preserve"> </w:t>
      </w:r>
    </w:p>
    <w:p w:rsidR="00E77AE6" w:rsidRPr="006878F3" w:rsidRDefault="00E77AE6" w:rsidP="00E77AE6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E77AE6" w:rsidRPr="006878F3" w:rsidRDefault="00E77AE6" w:rsidP="00E77AE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200 mg je kontraindikovaný u detí do 20 kg telesnej hmotnosti alebo vo veku do 6 rokov z dôvodu vysokého obsahu liečiva, pozri časť 4.3.</w:t>
      </w:r>
    </w:p>
    <w:p w:rsidR="00E77AE6" w:rsidRPr="006878F3" w:rsidRDefault="00E77AE6" w:rsidP="00E77AE6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E77AE6" w:rsidRPr="006878F3" w:rsidRDefault="00E77AE6" w:rsidP="00E77AE6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E77AE6" w:rsidRPr="006878F3" w:rsidRDefault="00E77AE6" w:rsidP="00E77AE6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Ibuprofen STADA 400 mg je kontraindikovaný u dospievajúcich do 40 kg telesnej hmotnosti a u detí  do 12 rokov z dôvodu vysokého obsahu liečiva, pozri časť 4.3.</w:t>
      </w:r>
    </w:p>
    <w:p w:rsidR="00E10400" w:rsidRPr="006878F3" w:rsidRDefault="00E1040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Spôsob podávania</w:t>
      </w:r>
    </w:p>
    <w:p w:rsidR="002158BF" w:rsidRPr="006878F3" w:rsidRDefault="002158BF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E77AE6" w:rsidRPr="006878F3" w:rsidRDefault="00E77AE6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Na perorálne použitie.</w:t>
      </w:r>
    </w:p>
    <w:p w:rsidR="00E77AE6" w:rsidRPr="006878F3" w:rsidRDefault="00E77AE6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E77AE6" w:rsidRPr="006878F3" w:rsidRDefault="00E77AE6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Perorálny prášok sa nemusí užívať s tekutinou; prášok sa rozpustí na jazyku a prehĺta sa so slinami. Tento liek možno použiť v situáciách, keď nie sú dostupné žiadne tekutiny.</w:t>
      </w:r>
    </w:p>
    <w:p w:rsidR="002158BF" w:rsidRPr="006878F3" w:rsidRDefault="00E77AE6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Pacientom</w:t>
      </w:r>
      <w:r w:rsidR="00374FBB" w:rsidRPr="006878F3">
        <w:rPr>
          <w:bCs/>
          <w:color w:val="000000"/>
          <w:sz w:val="22"/>
          <w:szCs w:val="22"/>
        </w:rPr>
        <w:t xml:space="preserve"> s citlivým žalúdkom </w:t>
      </w:r>
      <w:r w:rsidR="002158BF" w:rsidRPr="006878F3">
        <w:rPr>
          <w:sz w:val="22"/>
          <w:szCs w:val="22"/>
        </w:rPr>
        <w:t xml:space="preserve">sa odporúča užívať </w:t>
      </w:r>
      <w:r w:rsidRPr="006878F3">
        <w:rPr>
          <w:sz w:val="22"/>
          <w:szCs w:val="22"/>
        </w:rPr>
        <w:t>liek</w:t>
      </w:r>
      <w:r w:rsidR="002158BF" w:rsidRPr="006878F3">
        <w:rPr>
          <w:sz w:val="22"/>
          <w:szCs w:val="22"/>
        </w:rPr>
        <w:t xml:space="preserve"> </w:t>
      </w:r>
      <w:r w:rsidR="002158BF" w:rsidRPr="006878F3">
        <w:rPr>
          <w:bCs/>
          <w:sz w:val="22"/>
          <w:szCs w:val="22"/>
        </w:rPr>
        <w:t xml:space="preserve">počas jedla.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4.3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Kontraindikácie</w:t>
      </w:r>
    </w:p>
    <w:p w:rsidR="00DC140D" w:rsidRPr="006878F3" w:rsidRDefault="00DC140D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505E44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p</w:t>
      </w:r>
      <w:r w:rsidR="00505E44" w:rsidRPr="006878F3">
        <w:rPr>
          <w:sz w:val="22"/>
          <w:szCs w:val="22"/>
        </w:rPr>
        <w:t>recitlivenosť na liečivo alebo na ktorúkoľvek z pomocn</w:t>
      </w:r>
      <w:r w:rsidRPr="006878F3">
        <w:rPr>
          <w:sz w:val="22"/>
          <w:szCs w:val="22"/>
        </w:rPr>
        <w:t>ých látok uvedených v časti 6.1</w:t>
      </w:r>
    </w:p>
    <w:p w:rsidR="002158BF" w:rsidRPr="006878F3" w:rsidRDefault="001450C8" w:rsidP="001450C8">
      <w:pPr>
        <w:numPr>
          <w:ilvl w:val="0"/>
          <w:numId w:val="12"/>
        </w:numPr>
        <w:tabs>
          <w:tab w:val="left" w:pos="709"/>
        </w:tabs>
        <w:rPr>
          <w:sz w:val="22"/>
          <w:szCs w:val="22"/>
        </w:rPr>
      </w:pPr>
      <w:r w:rsidRPr="006878F3">
        <w:rPr>
          <w:sz w:val="22"/>
          <w:szCs w:val="22"/>
        </w:rPr>
        <w:t>reakcie precitlivenosti (napr. b</w:t>
      </w:r>
      <w:r w:rsidR="002158BF" w:rsidRPr="006878F3">
        <w:rPr>
          <w:sz w:val="22"/>
          <w:szCs w:val="22"/>
        </w:rPr>
        <w:t>ronchospazmu</w:t>
      </w:r>
      <w:r w:rsidR="003054B3" w:rsidRPr="006878F3">
        <w:rPr>
          <w:sz w:val="22"/>
          <w:szCs w:val="22"/>
        </w:rPr>
        <w:t>s</w:t>
      </w:r>
      <w:r w:rsidR="002158BF" w:rsidRPr="006878F3">
        <w:rPr>
          <w:sz w:val="22"/>
          <w:szCs w:val="22"/>
        </w:rPr>
        <w:t>, astm</w:t>
      </w:r>
      <w:r w:rsidR="003054B3"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>, rinitíd</w:t>
      </w:r>
      <w:r w:rsidR="003054B3"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>, angioedém alebo urtikári</w:t>
      </w:r>
      <w:r w:rsidR="00D46C8A" w:rsidRPr="006878F3">
        <w:rPr>
          <w:sz w:val="22"/>
          <w:szCs w:val="22"/>
        </w:rPr>
        <w:t>a</w:t>
      </w:r>
      <w:r w:rsidRPr="006878F3">
        <w:rPr>
          <w:sz w:val="22"/>
          <w:szCs w:val="22"/>
        </w:rPr>
        <w:t>)</w:t>
      </w:r>
      <w:r w:rsidR="00D46C8A" w:rsidRPr="006878F3">
        <w:rPr>
          <w:sz w:val="22"/>
          <w:szCs w:val="22"/>
        </w:rPr>
        <w:t xml:space="preserve"> </w:t>
      </w:r>
      <w:r w:rsidR="003054B3" w:rsidRPr="006878F3">
        <w:rPr>
          <w:sz w:val="22"/>
          <w:szCs w:val="22"/>
        </w:rPr>
        <w:t>spojen</w:t>
      </w:r>
      <w:r w:rsidRPr="006878F3">
        <w:rPr>
          <w:sz w:val="22"/>
          <w:szCs w:val="22"/>
        </w:rPr>
        <w:t>é</w:t>
      </w:r>
      <w:r w:rsidR="003054B3" w:rsidRPr="006878F3">
        <w:rPr>
          <w:sz w:val="22"/>
          <w:szCs w:val="22"/>
        </w:rPr>
        <w:t xml:space="preserve"> s </w:t>
      </w:r>
      <w:r w:rsidR="00116D0A" w:rsidRPr="006878F3">
        <w:rPr>
          <w:sz w:val="22"/>
          <w:szCs w:val="22"/>
        </w:rPr>
        <w:t>už</w:t>
      </w:r>
      <w:r w:rsidRPr="006878F3">
        <w:rPr>
          <w:sz w:val="22"/>
          <w:szCs w:val="22"/>
        </w:rPr>
        <w:t>ívaní</w:t>
      </w:r>
      <w:r w:rsidR="00116D0A" w:rsidRPr="006878F3">
        <w:rPr>
          <w:sz w:val="22"/>
          <w:szCs w:val="22"/>
        </w:rPr>
        <w:t>m</w:t>
      </w:r>
      <w:r w:rsidR="003054B3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kyselin</w:t>
      </w:r>
      <w:r w:rsidR="003054B3" w:rsidRPr="006878F3">
        <w:rPr>
          <w:sz w:val="22"/>
          <w:szCs w:val="22"/>
        </w:rPr>
        <w:t>y</w:t>
      </w:r>
      <w:r w:rsidR="002158BF" w:rsidRPr="006878F3">
        <w:rPr>
          <w:sz w:val="22"/>
          <w:szCs w:val="22"/>
        </w:rPr>
        <w:t xml:space="preserve"> acetylsalicylov</w:t>
      </w:r>
      <w:r w:rsidR="003054B3" w:rsidRPr="006878F3">
        <w:rPr>
          <w:sz w:val="22"/>
          <w:szCs w:val="22"/>
        </w:rPr>
        <w:t>ej</w:t>
      </w:r>
      <w:r w:rsidR="002158BF" w:rsidRPr="006878F3">
        <w:rPr>
          <w:sz w:val="22"/>
          <w:szCs w:val="22"/>
        </w:rPr>
        <w:t xml:space="preserve"> alebo iný</w:t>
      </w:r>
      <w:r w:rsidRPr="006878F3">
        <w:rPr>
          <w:sz w:val="22"/>
          <w:szCs w:val="22"/>
        </w:rPr>
        <w:t>ch</w:t>
      </w:r>
      <w:r w:rsidR="002158BF" w:rsidRPr="006878F3">
        <w:rPr>
          <w:sz w:val="22"/>
          <w:szCs w:val="22"/>
        </w:rPr>
        <w:t xml:space="preserve"> nesteroid</w:t>
      </w:r>
      <w:r w:rsidR="003054B3" w:rsidRPr="006878F3">
        <w:rPr>
          <w:sz w:val="22"/>
          <w:szCs w:val="22"/>
        </w:rPr>
        <w:t>ný</w:t>
      </w:r>
      <w:r w:rsidRPr="006878F3">
        <w:rPr>
          <w:sz w:val="22"/>
          <w:szCs w:val="22"/>
        </w:rPr>
        <w:t>ch</w:t>
      </w:r>
      <w:r w:rsidR="002158BF" w:rsidRPr="006878F3">
        <w:rPr>
          <w:sz w:val="22"/>
          <w:szCs w:val="22"/>
        </w:rPr>
        <w:t xml:space="preserve"> protizápalový</w:t>
      </w:r>
      <w:r w:rsidRPr="006878F3">
        <w:rPr>
          <w:sz w:val="22"/>
          <w:szCs w:val="22"/>
        </w:rPr>
        <w:t>ch</w:t>
      </w:r>
      <w:r w:rsidR="002158BF" w:rsidRPr="006878F3">
        <w:rPr>
          <w:sz w:val="22"/>
          <w:szCs w:val="22"/>
        </w:rPr>
        <w:t xml:space="preserve"> lie</w:t>
      </w:r>
      <w:r w:rsidRPr="006878F3">
        <w:rPr>
          <w:sz w:val="22"/>
          <w:szCs w:val="22"/>
        </w:rPr>
        <w:t>kov</w:t>
      </w:r>
      <w:r w:rsidR="00EA54CC" w:rsidRPr="006878F3">
        <w:rPr>
          <w:sz w:val="22"/>
          <w:szCs w:val="22"/>
        </w:rPr>
        <w:t xml:space="preserve"> (NSAID)</w:t>
      </w:r>
      <w:r w:rsidRPr="006878F3">
        <w:rPr>
          <w:sz w:val="22"/>
          <w:szCs w:val="22"/>
        </w:rPr>
        <w:t xml:space="preserve"> v anamnéze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n</w:t>
      </w:r>
      <w:r w:rsidR="002158BF" w:rsidRPr="006878F3">
        <w:rPr>
          <w:color w:val="000000"/>
          <w:sz w:val="22"/>
          <w:szCs w:val="22"/>
        </w:rPr>
        <w:t>eobjasnen</w:t>
      </w:r>
      <w:r w:rsidR="00CF6305" w:rsidRPr="006878F3">
        <w:rPr>
          <w:color w:val="000000"/>
          <w:sz w:val="22"/>
          <w:szCs w:val="22"/>
        </w:rPr>
        <w:t>é</w:t>
      </w:r>
      <w:r w:rsidR="002158BF" w:rsidRPr="006878F3">
        <w:rPr>
          <w:color w:val="000000"/>
          <w:sz w:val="22"/>
          <w:szCs w:val="22"/>
        </w:rPr>
        <w:t xml:space="preserve"> poruch</w:t>
      </w:r>
      <w:r w:rsidR="00CF6305" w:rsidRPr="006878F3">
        <w:rPr>
          <w:color w:val="000000"/>
          <w:sz w:val="22"/>
          <w:szCs w:val="22"/>
        </w:rPr>
        <w:t>y</w:t>
      </w:r>
      <w:r w:rsidRPr="006878F3">
        <w:rPr>
          <w:color w:val="000000"/>
          <w:sz w:val="22"/>
          <w:szCs w:val="22"/>
        </w:rPr>
        <w:t xml:space="preserve"> krvotvorby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 xml:space="preserve">ktívny alebo </w:t>
      </w:r>
      <w:r w:rsidR="00CF6305" w:rsidRPr="006878F3">
        <w:rPr>
          <w:sz w:val="22"/>
          <w:szCs w:val="22"/>
        </w:rPr>
        <w:t>v</w:t>
      </w:r>
      <w:r w:rsidR="002158BF" w:rsidRPr="006878F3">
        <w:rPr>
          <w:sz w:val="22"/>
          <w:szCs w:val="22"/>
        </w:rPr>
        <w:t xml:space="preserve"> </w:t>
      </w:r>
      <w:r w:rsidR="00D46C8A" w:rsidRPr="006878F3">
        <w:rPr>
          <w:sz w:val="22"/>
          <w:szCs w:val="22"/>
        </w:rPr>
        <w:t xml:space="preserve">anamnéze </w:t>
      </w:r>
      <w:r w:rsidR="00CF6305" w:rsidRPr="006878F3">
        <w:rPr>
          <w:sz w:val="22"/>
          <w:szCs w:val="22"/>
        </w:rPr>
        <w:t>sa opakujúci peptický</w:t>
      </w:r>
      <w:r w:rsidR="00067EEE" w:rsidRPr="006878F3">
        <w:rPr>
          <w:sz w:val="22"/>
          <w:szCs w:val="22"/>
        </w:rPr>
        <w:t xml:space="preserve"> vred/</w:t>
      </w:r>
      <w:r w:rsidR="002158BF" w:rsidRPr="006878F3">
        <w:rPr>
          <w:sz w:val="22"/>
          <w:szCs w:val="22"/>
        </w:rPr>
        <w:t>hemorági</w:t>
      </w:r>
      <w:r w:rsidR="00CF6305" w:rsidRPr="006878F3">
        <w:rPr>
          <w:sz w:val="22"/>
          <w:szCs w:val="22"/>
        </w:rPr>
        <w:t xml:space="preserve">a (dva alebo </w:t>
      </w:r>
      <w:r w:rsidR="00D1122B" w:rsidRPr="006878F3">
        <w:rPr>
          <w:sz w:val="22"/>
          <w:szCs w:val="22"/>
        </w:rPr>
        <w:t>viacero jednotlivých</w:t>
      </w:r>
      <w:r w:rsidR="008D49AB" w:rsidRPr="006878F3">
        <w:rPr>
          <w:sz w:val="22"/>
          <w:szCs w:val="22"/>
        </w:rPr>
        <w:t xml:space="preserve"> </w:t>
      </w:r>
      <w:r w:rsidR="003D17C6" w:rsidRPr="006878F3">
        <w:rPr>
          <w:sz w:val="22"/>
          <w:szCs w:val="22"/>
        </w:rPr>
        <w:t xml:space="preserve">epizód </w:t>
      </w:r>
      <w:r w:rsidR="00D1122B" w:rsidRPr="006878F3">
        <w:rPr>
          <w:sz w:val="22"/>
          <w:szCs w:val="22"/>
        </w:rPr>
        <w:t>preukázanej ulcerácie</w:t>
      </w:r>
      <w:r w:rsidR="002158BF" w:rsidRPr="006878F3">
        <w:rPr>
          <w:sz w:val="22"/>
          <w:szCs w:val="22"/>
        </w:rPr>
        <w:t xml:space="preserve"> alebo krvácania)</w:t>
      </w:r>
      <w:r w:rsidR="00ED4D07" w:rsidRPr="006878F3">
        <w:rPr>
          <w:color w:val="000000"/>
          <w:sz w:val="22"/>
          <w:szCs w:val="22"/>
        </w:rPr>
        <w:t xml:space="preserve">. 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>namnéz</w:t>
      </w:r>
      <w:r w:rsidR="00BE0623" w:rsidRPr="006878F3">
        <w:rPr>
          <w:sz w:val="22"/>
          <w:szCs w:val="22"/>
        </w:rPr>
        <w:t>a</w:t>
      </w:r>
      <w:r w:rsidR="002158BF" w:rsidRPr="006878F3">
        <w:rPr>
          <w:sz w:val="22"/>
          <w:szCs w:val="22"/>
        </w:rPr>
        <w:t xml:space="preserve"> gastrointestinálneho krvácania alebo perforácie v súvislosti s predchádzajúcou terapiou NSAID</w:t>
      </w:r>
      <w:r w:rsidR="00276B7F" w:rsidRPr="006878F3">
        <w:rPr>
          <w:color w:val="000000"/>
          <w:sz w:val="22"/>
          <w:szCs w:val="22"/>
        </w:rPr>
        <w:t xml:space="preserve">. </w:t>
      </w:r>
      <w:r w:rsidR="002158BF"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c</w:t>
      </w:r>
      <w:r w:rsidR="002158BF" w:rsidRPr="006878F3">
        <w:rPr>
          <w:sz w:val="22"/>
          <w:szCs w:val="22"/>
        </w:rPr>
        <w:t>erebrovaskulárn</w:t>
      </w:r>
      <w:r w:rsidR="00CF6305" w:rsidRPr="006878F3">
        <w:rPr>
          <w:sz w:val="22"/>
          <w:szCs w:val="22"/>
        </w:rPr>
        <w:t>e</w:t>
      </w:r>
      <w:r w:rsidR="002158BF" w:rsidRPr="006878F3">
        <w:rPr>
          <w:sz w:val="22"/>
          <w:szCs w:val="22"/>
        </w:rPr>
        <w:t xml:space="preserve"> alebo in</w:t>
      </w:r>
      <w:r w:rsidR="00CF6305" w:rsidRPr="006878F3">
        <w:rPr>
          <w:sz w:val="22"/>
          <w:szCs w:val="22"/>
        </w:rPr>
        <w:t>é</w:t>
      </w:r>
      <w:r w:rsidR="002158BF" w:rsidRPr="006878F3">
        <w:rPr>
          <w:sz w:val="22"/>
          <w:szCs w:val="22"/>
        </w:rPr>
        <w:t xml:space="preserve"> aktívn</w:t>
      </w:r>
      <w:r w:rsidR="00CF6305" w:rsidRPr="006878F3">
        <w:rPr>
          <w:sz w:val="22"/>
          <w:szCs w:val="22"/>
        </w:rPr>
        <w:t>e</w:t>
      </w:r>
      <w:r w:rsidR="002158BF" w:rsidRPr="006878F3">
        <w:rPr>
          <w:sz w:val="22"/>
          <w:szCs w:val="22"/>
        </w:rPr>
        <w:t xml:space="preserve"> krvácan</w:t>
      </w:r>
      <w:r w:rsidR="00CF6305" w:rsidRPr="006878F3">
        <w:rPr>
          <w:sz w:val="22"/>
          <w:szCs w:val="22"/>
        </w:rPr>
        <w:t>ie</w:t>
      </w:r>
      <w:r w:rsidR="00DF4799" w:rsidRPr="006878F3">
        <w:rPr>
          <w:color w:val="000000"/>
          <w:sz w:val="22"/>
          <w:szCs w:val="22"/>
        </w:rPr>
        <w:t>.</w:t>
      </w:r>
      <w:r w:rsidR="002158BF" w:rsidRPr="006878F3">
        <w:rPr>
          <w:color w:val="000000"/>
          <w:sz w:val="22"/>
          <w:szCs w:val="22"/>
        </w:rPr>
        <w:t xml:space="preserve"> </w:t>
      </w:r>
    </w:p>
    <w:p w:rsidR="001450C8" w:rsidRPr="006878F3" w:rsidRDefault="00AE06FB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</w:t>
      </w:r>
      <w:r w:rsidR="00E91155" w:rsidRPr="006878F3">
        <w:rPr>
          <w:color w:val="000000"/>
          <w:sz w:val="22"/>
          <w:szCs w:val="22"/>
        </w:rPr>
        <w:t xml:space="preserve"> </w:t>
      </w:r>
      <w:r w:rsidR="002158BF" w:rsidRPr="006878F3">
        <w:rPr>
          <w:color w:val="000000"/>
          <w:sz w:val="22"/>
          <w:szCs w:val="22"/>
        </w:rPr>
        <w:t>peče</w:t>
      </w:r>
      <w:r w:rsidR="003708BF" w:rsidRPr="006878F3">
        <w:rPr>
          <w:color w:val="000000"/>
          <w:sz w:val="22"/>
          <w:szCs w:val="22"/>
        </w:rPr>
        <w:t>ňové zlyhanie</w:t>
      </w:r>
      <w:r w:rsidR="001450C8" w:rsidRPr="006878F3">
        <w:rPr>
          <w:color w:val="000000"/>
          <w:sz w:val="22"/>
          <w:szCs w:val="22"/>
        </w:rPr>
        <w:t xml:space="preserve"> alebo</w:t>
      </w:r>
      <w:r w:rsidR="002158BF" w:rsidRPr="006878F3">
        <w:rPr>
          <w:color w:val="000000"/>
          <w:sz w:val="22"/>
          <w:szCs w:val="22"/>
        </w:rPr>
        <w:t xml:space="preserve"> </w:t>
      </w:r>
      <w:r w:rsidRPr="006878F3">
        <w:rPr>
          <w:color w:val="000000"/>
          <w:sz w:val="22"/>
          <w:szCs w:val="22"/>
        </w:rPr>
        <w:t>závažné</w:t>
      </w:r>
      <w:r w:rsidR="003708BF" w:rsidRPr="006878F3">
        <w:rPr>
          <w:color w:val="000000"/>
          <w:sz w:val="22"/>
          <w:szCs w:val="22"/>
        </w:rPr>
        <w:t xml:space="preserve"> obličkové zlyhanie</w:t>
      </w:r>
      <w:r w:rsidR="00CF6305"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AE06FB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</w:t>
      </w:r>
      <w:r w:rsidR="00CF6305" w:rsidRPr="006878F3">
        <w:rPr>
          <w:sz w:val="22"/>
          <w:szCs w:val="22"/>
        </w:rPr>
        <w:t xml:space="preserve"> srdcové</w:t>
      </w:r>
      <w:r w:rsidR="00CF6305" w:rsidRPr="006878F3">
        <w:rPr>
          <w:color w:val="0000FF"/>
          <w:sz w:val="22"/>
          <w:szCs w:val="22"/>
        </w:rPr>
        <w:t xml:space="preserve"> </w:t>
      </w:r>
      <w:r w:rsidR="00CF6305" w:rsidRPr="006878F3">
        <w:rPr>
          <w:sz w:val="22"/>
          <w:szCs w:val="22"/>
        </w:rPr>
        <w:t>zlyh</w:t>
      </w:r>
      <w:r w:rsidR="00CC354A" w:rsidRPr="006878F3">
        <w:rPr>
          <w:sz w:val="22"/>
          <w:szCs w:val="22"/>
        </w:rPr>
        <w:t>ávanie</w:t>
      </w:r>
      <w:r w:rsidR="00924B84" w:rsidRPr="006878F3">
        <w:rPr>
          <w:sz w:val="22"/>
          <w:szCs w:val="22"/>
        </w:rPr>
        <w:t xml:space="preserve"> (</w:t>
      </w:r>
      <w:r w:rsidR="001450C8" w:rsidRPr="006878F3">
        <w:rPr>
          <w:color w:val="000000"/>
          <w:sz w:val="22"/>
          <w:szCs w:val="22"/>
        </w:rPr>
        <w:t>štádium</w:t>
      </w:r>
      <w:r w:rsidR="00924B84" w:rsidRPr="006878F3">
        <w:rPr>
          <w:color w:val="000000"/>
          <w:sz w:val="22"/>
          <w:szCs w:val="22"/>
        </w:rPr>
        <w:t xml:space="preserve"> NYHA</w:t>
      </w:r>
      <w:r w:rsidR="001450C8" w:rsidRPr="006878F3">
        <w:rPr>
          <w:color w:val="000000"/>
          <w:sz w:val="22"/>
          <w:szCs w:val="22"/>
        </w:rPr>
        <w:t xml:space="preserve"> IV</w:t>
      </w:r>
      <w:r w:rsidR="00924B84" w:rsidRPr="006878F3">
        <w:rPr>
          <w:color w:val="000000"/>
          <w:sz w:val="22"/>
          <w:szCs w:val="22"/>
        </w:rPr>
        <w:t>)</w:t>
      </w:r>
    </w:p>
    <w:p w:rsidR="002158BF" w:rsidRPr="006878F3" w:rsidRDefault="00AE06FB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</w:t>
      </w:r>
      <w:r w:rsidR="002158BF" w:rsidRPr="006878F3">
        <w:rPr>
          <w:color w:val="000000"/>
          <w:sz w:val="22"/>
          <w:szCs w:val="22"/>
        </w:rPr>
        <w:t xml:space="preserve"> dehydratáci</w:t>
      </w:r>
      <w:r w:rsidR="00CF6305" w:rsidRPr="006878F3">
        <w:rPr>
          <w:color w:val="000000"/>
          <w:sz w:val="22"/>
          <w:szCs w:val="22"/>
        </w:rPr>
        <w:t>a</w:t>
      </w:r>
      <w:r w:rsidR="002158BF" w:rsidRPr="006878F3">
        <w:rPr>
          <w:color w:val="000000"/>
          <w:sz w:val="22"/>
          <w:szCs w:val="22"/>
        </w:rPr>
        <w:t xml:space="preserve"> (spôsoben</w:t>
      </w:r>
      <w:r w:rsidR="000B01D0" w:rsidRPr="006878F3">
        <w:rPr>
          <w:color w:val="000000"/>
          <w:sz w:val="22"/>
          <w:szCs w:val="22"/>
        </w:rPr>
        <w:t>á</w:t>
      </w:r>
      <w:r w:rsidR="002158BF" w:rsidRPr="006878F3">
        <w:rPr>
          <w:color w:val="000000"/>
          <w:sz w:val="22"/>
          <w:szCs w:val="22"/>
        </w:rPr>
        <w:t xml:space="preserve"> vracaním, hnačkou alebo nedostatočným príjmom tekutín)</w:t>
      </w:r>
    </w:p>
    <w:p w:rsidR="002158BF" w:rsidRPr="006878F3" w:rsidRDefault="001450C8" w:rsidP="001450C8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tehotenstvo v poslednom trimestri (pozri časť 4.6)</w:t>
      </w:r>
    </w:p>
    <w:p w:rsidR="00CF6305" w:rsidRPr="006878F3" w:rsidRDefault="00CF6305" w:rsidP="003C602A">
      <w:pPr>
        <w:rPr>
          <w:b/>
          <w:bCs/>
          <w:color w:val="000000"/>
          <w:sz w:val="22"/>
          <w:szCs w:val="22"/>
        </w:rPr>
      </w:pPr>
    </w:p>
    <w:p w:rsidR="001450C8" w:rsidRPr="006878F3" w:rsidRDefault="001450C8" w:rsidP="001450C8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1450C8" w:rsidRPr="006878F3" w:rsidRDefault="001450C8" w:rsidP="001450C8">
      <w:pPr>
        <w:numPr>
          <w:ilvl w:val="0"/>
          <w:numId w:val="13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deti do 20 kg telesnej hmotnosti alebo vo veku do 6 rokov </w:t>
      </w:r>
    </w:p>
    <w:p w:rsidR="001450C8" w:rsidRPr="006878F3" w:rsidRDefault="001450C8" w:rsidP="001450C8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1450C8" w:rsidRPr="006878F3" w:rsidRDefault="001450C8" w:rsidP="001450C8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1450C8" w:rsidRPr="006878F3" w:rsidRDefault="001450C8" w:rsidP="001450C8">
      <w:pPr>
        <w:numPr>
          <w:ilvl w:val="0"/>
          <w:numId w:val="13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dospievajúci do 40 kg telesnej hmotnosti a deti do 12 rokov </w:t>
      </w:r>
    </w:p>
    <w:p w:rsidR="001450C8" w:rsidRPr="006878F3" w:rsidRDefault="001450C8" w:rsidP="003C602A">
      <w:pPr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rPr>
          <w:b/>
          <w:noProof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4.4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noProof/>
          <w:sz w:val="22"/>
          <w:szCs w:val="22"/>
        </w:rPr>
        <w:t>Osobitné upozornenia a opatrenia pri používaní</w:t>
      </w:r>
    </w:p>
    <w:p w:rsidR="002158BF" w:rsidRPr="006878F3" w:rsidRDefault="002158BF" w:rsidP="003C602A">
      <w:pPr>
        <w:rPr>
          <w:noProof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Nežiaduce účinky sa môžu minimalizovať užívaním najnižšej účinnej dávky počas </w:t>
      </w:r>
      <w:r w:rsidR="00C44D72" w:rsidRPr="006878F3">
        <w:rPr>
          <w:color w:val="000000"/>
          <w:sz w:val="22"/>
          <w:szCs w:val="22"/>
        </w:rPr>
        <w:t>najkratšieho času</w:t>
      </w:r>
      <w:r w:rsidRPr="006878F3">
        <w:rPr>
          <w:color w:val="000000"/>
          <w:sz w:val="22"/>
          <w:szCs w:val="22"/>
        </w:rPr>
        <w:t xml:space="preserve"> potrebn</w:t>
      </w:r>
      <w:r w:rsidR="00C44D72" w:rsidRPr="006878F3">
        <w:rPr>
          <w:color w:val="000000"/>
          <w:sz w:val="22"/>
          <w:szCs w:val="22"/>
        </w:rPr>
        <w:t>ého</w:t>
      </w:r>
      <w:r w:rsidRPr="006878F3">
        <w:rPr>
          <w:color w:val="000000"/>
          <w:sz w:val="22"/>
          <w:szCs w:val="22"/>
        </w:rPr>
        <w:t xml:space="preserve"> na zvládnutie príznakov (pozri </w:t>
      </w:r>
      <w:r w:rsidR="00C44D72" w:rsidRPr="006878F3">
        <w:rPr>
          <w:color w:val="000000"/>
          <w:sz w:val="22"/>
          <w:szCs w:val="22"/>
        </w:rPr>
        <w:t xml:space="preserve">nižšie </w:t>
      </w:r>
      <w:r w:rsidR="00C43960" w:rsidRPr="006878F3">
        <w:rPr>
          <w:color w:val="000000"/>
          <w:sz w:val="22"/>
          <w:szCs w:val="22"/>
        </w:rPr>
        <w:t xml:space="preserve">gastrointestinálne a kardiovaskulárne </w:t>
      </w:r>
      <w:r w:rsidR="00C44D72" w:rsidRPr="006878F3">
        <w:rPr>
          <w:color w:val="000000"/>
          <w:sz w:val="22"/>
          <w:szCs w:val="22"/>
        </w:rPr>
        <w:t>účinky</w:t>
      </w:r>
      <w:r w:rsidRPr="006878F3">
        <w:rPr>
          <w:color w:val="000000"/>
          <w:sz w:val="22"/>
          <w:szCs w:val="22"/>
        </w:rPr>
        <w:t xml:space="preserve">). </w:t>
      </w:r>
    </w:p>
    <w:p w:rsidR="00C44D72" w:rsidRPr="006878F3" w:rsidRDefault="00C44D7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44D72" w:rsidRPr="006878F3" w:rsidRDefault="00C44D72" w:rsidP="00C44D72">
      <w:pPr>
        <w:rPr>
          <w:sz w:val="22"/>
          <w:szCs w:val="22"/>
        </w:rPr>
      </w:pPr>
      <w:r w:rsidRPr="006878F3">
        <w:rPr>
          <w:sz w:val="22"/>
          <w:szCs w:val="22"/>
        </w:rPr>
        <w:t>Pozornosť sa vyžaduje u pacientov s určitými stavmi, ktoré sa môžu zhoršovať: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systémový lupus erythematosus a zmiešané ochorenie spojivového tkaniva - zvýšené riziko aseptickej meningitídy (pozri časť 4.8)</w:t>
      </w:r>
    </w:p>
    <w:p w:rsidR="00C44D72" w:rsidRPr="006878F3" w:rsidRDefault="00C44D72" w:rsidP="00C44D7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vrodená porucha metabolizmu porfyrínov (napr. akútna intermitentná porfýria)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lastRenderedPageBreak/>
        <w:t>gastrointestinálne poruchy a chronické zápalové ochorenie čriev (ulcerózna kolitída, Crohnova choroba) (pozri časť 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hypertenzia a /alebo srdcová porucha, keďže sa môže zhoršiť funkcia obličiek (pozri časti 4.3 a 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porucha funkcie obličiek (pozri časti 4.3 a 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hepatálna dysfunkcia (pozri časti 4.3 a 4.8)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bezprostredne po veľkom chirurgickom výkone</w:t>
      </w:r>
    </w:p>
    <w:p w:rsidR="00C44D72" w:rsidRPr="006878F3" w:rsidRDefault="00C44D72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u pacientov, ktorí alergicky reagujú na iné látky, pretože zvýšené riziko reakcií precitlivenosti existuje aj u ľudí užívajúcich 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</w:p>
    <w:p w:rsidR="00A430F8" w:rsidRPr="006878F3" w:rsidRDefault="00A430F8" w:rsidP="00C44D7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u pacientov, ktorí majú sennú nádchu, nosové polypy alebo chronické obštrukčné respiračné poruchy, pretože existuje zvýšené riziko u </w:t>
      </w:r>
      <w:r w:rsidR="00CC354A" w:rsidRPr="006878F3">
        <w:rPr>
          <w:sz w:val="22"/>
          <w:szCs w:val="22"/>
        </w:rPr>
        <w:t>ľ</w:t>
      </w:r>
      <w:r w:rsidRPr="006878F3">
        <w:rPr>
          <w:sz w:val="22"/>
          <w:szCs w:val="22"/>
        </w:rPr>
        <w:t xml:space="preserve">udí s alergickými reakciami. Môže sa to prejaviť </w:t>
      </w:r>
      <w:r w:rsidR="00CC354A" w:rsidRPr="006878F3">
        <w:rPr>
          <w:sz w:val="22"/>
          <w:szCs w:val="22"/>
        </w:rPr>
        <w:t>ako</w:t>
      </w:r>
      <w:r w:rsidRPr="006878F3">
        <w:rPr>
          <w:sz w:val="22"/>
          <w:szCs w:val="22"/>
        </w:rPr>
        <w:t xml:space="preserve"> záchvat</w:t>
      </w:r>
      <w:r w:rsidR="00CC354A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 astmy (tzv. analgetická astma), Quinckeho edém alebo žihľavka</w:t>
      </w:r>
      <w:r w:rsidR="00CC354A" w:rsidRPr="006878F3">
        <w:rPr>
          <w:sz w:val="22"/>
          <w:szCs w:val="22"/>
        </w:rPr>
        <w:t>.</w:t>
      </w:r>
    </w:p>
    <w:p w:rsidR="00C44D72" w:rsidRPr="006878F3" w:rsidRDefault="00C44D72" w:rsidP="00C44D72">
      <w:pPr>
        <w:rPr>
          <w:sz w:val="22"/>
          <w:szCs w:val="22"/>
        </w:rPr>
      </w:pPr>
    </w:p>
    <w:p w:rsidR="002158BF" w:rsidRPr="006878F3" w:rsidRDefault="00A430F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Gastrointestinál</w:t>
      </w:r>
      <w:r w:rsidR="00CC354A" w:rsidRPr="006878F3">
        <w:rPr>
          <w:color w:val="000000"/>
          <w:sz w:val="22"/>
          <w:szCs w:val="22"/>
          <w:u w:val="single"/>
        </w:rPr>
        <w:t>n</w:t>
      </w:r>
      <w:r w:rsidRPr="006878F3">
        <w:rPr>
          <w:color w:val="000000"/>
          <w:sz w:val="22"/>
          <w:szCs w:val="22"/>
          <w:u w:val="single"/>
        </w:rPr>
        <w:t>e účinky</w:t>
      </w:r>
      <w:r w:rsidR="002158BF" w:rsidRPr="006878F3" w:rsidDel="00D727A4">
        <w:rPr>
          <w:color w:val="000000"/>
          <w:sz w:val="22"/>
          <w:szCs w:val="22"/>
          <w:u w:val="single"/>
        </w:rPr>
        <w:t xml:space="preserve"> </w:t>
      </w:r>
      <w:r w:rsidR="002158BF" w:rsidRPr="006878F3">
        <w:rPr>
          <w:color w:val="000000"/>
          <w:sz w:val="22"/>
          <w:szCs w:val="22"/>
          <w:u w:val="single"/>
        </w:rPr>
        <w:t xml:space="preserve">  </w:t>
      </w:r>
    </w:p>
    <w:p w:rsidR="002158BF" w:rsidRPr="006878F3" w:rsidRDefault="00A430F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Použitie 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 xml:space="preserve">nu súbežne s NSAID vrátane selektívnych inhibítorov cyklooxygenázy-2 zvyšuje riziko nežiaducich reakcií (pozri časť 4.5) a má sa </w:t>
      </w:r>
      <w:r w:rsidR="00CC354A" w:rsidRPr="006878F3">
        <w:rPr>
          <w:color w:val="000000"/>
          <w:sz w:val="22"/>
          <w:szCs w:val="22"/>
        </w:rPr>
        <w:t>m</w:t>
      </w:r>
      <w:r w:rsidRPr="006878F3">
        <w:rPr>
          <w:color w:val="000000"/>
          <w:sz w:val="22"/>
          <w:szCs w:val="22"/>
        </w:rPr>
        <w:t xml:space="preserve">u vyhnúť.     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i/>
          <w:color w:val="000000"/>
          <w:sz w:val="22"/>
          <w:szCs w:val="22"/>
        </w:rPr>
        <w:t xml:space="preserve">Starší </w:t>
      </w:r>
      <w:r w:rsidR="00A430F8" w:rsidRPr="006878F3">
        <w:rPr>
          <w:i/>
          <w:color w:val="000000"/>
          <w:sz w:val="22"/>
          <w:szCs w:val="22"/>
        </w:rPr>
        <w:t>pacienti:</w:t>
      </w:r>
      <w:r w:rsidRPr="006878F3">
        <w:rPr>
          <w:i/>
          <w:color w:val="000000"/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Starší </w:t>
      </w:r>
      <w:r w:rsidR="00A430F8" w:rsidRPr="006878F3">
        <w:rPr>
          <w:sz w:val="22"/>
          <w:szCs w:val="22"/>
        </w:rPr>
        <w:t>pacienti</w:t>
      </w:r>
      <w:r w:rsidRPr="006878F3">
        <w:rPr>
          <w:sz w:val="22"/>
          <w:szCs w:val="22"/>
        </w:rPr>
        <w:t xml:space="preserve"> majú zvýšenú frekvenciu výskytu nežiaducich reakcií na NSAID, najmä</w:t>
      </w:r>
      <w:r w:rsidR="00C43960" w:rsidRPr="006878F3">
        <w:rPr>
          <w:color w:val="000000"/>
          <w:sz w:val="22"/>
          <w:szCs w:val="22"/>
        </w:rPr>
        <w:t xml:space="preserve"> </w:t>
      </w:r>
      <w:r w:rsidRPr="006878F3">
        <w:rPr>
          <w:color w:val="000000"/>
          <w:sz w:val="22"/>
          <w:szCs w:val="22"/>
        </w:rPr>
        <w:t>gastrointestinálne</w:t>
      </w:r>
      <w:r w:rsidR="00740CB8" w:rsidRPr="006878F3">
        <w:rPr>
          <w:color w:val="000000"/>
          <w:sz w:val="22"/>
          <w:szCs w:val="22"/>
        </w:rPr>
        <w:t>ho</w:t>
      </w:r>
      <w:r w:rsidRPr="006878F3">
        <w:rPr>
          <w:color w:val="000000"/>
          <w:sz w:val="22"/>
          <w:szCs w:val="22"/>
        </w:rPr>
        <w:t xml:space="preserve"> </w:t>
      </w:r>
      <w:r w:rsidR="00A430F8" w:rsidRPr="006878F3">
        <w:rPr>
          <w:color w:val="000000"/>
          <w:sz w:val="22"/>
          <w:szCs w:val="22"/>
        </w:rPr>
        <w:t xml:space="preserve">(GI) </w:t>
      </w:r>
      <w:r w:rsidRPr="006878F3">
        <w:rPr>
          <w:color w:val="000000"/>
          <w:sz w:val="22"/>
          <w:szCs w:val="22"/>
        </w:rPr>
        <w:t>krvácani</w:t>
      </w:r>
      <w:r w:rsidR="00740CB8" w:rsidRPr="006878F3">
        <w:rPr>
          <w:color w:val="000000"/>
          <w:sz w:val="22"/>
          <w:szCs w:val="22"/>
        </w:rPr>
        <w:t>a</w:t>
      </w:r>
      <w:r w:rsidRPr="006878F3">
        <w:rPr>
          <w:color w:val="000000"/>
          <w:sz w:val="22"/>
          <w:szCs w:val="22"/>
        </w:rPr>
        <w:t xml:space="preserve"> a perforáci</w:t>
      </w:r>
      <w:r w:rsidR="00740CB8" w:rsidRPr="006878F3">
        <w:rPr>
          <w:color w:val="000000"/>
          <w:sz w:val="22"/>
          <w:szCs w:val="22"/>
        </w:rPr>
        <w:t>e</w:t>
      </w:r>
      <w:r w:rsidRPr="006878F3">
        <w:rPr>
          <w:color w:val="000000"/>
          <w:sz w:val="22"/>
          <w:szCs w:val="22"/>
        </w:rPr>
        <w:t>, ktoré môžu byť fatálne (pozri časť 4.2).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Gastrointestinálne krvácanie, tvorba vredov a perforácia: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Gastrointestinálne krvácanie, tvorba vredov </w:t>
      </w:r>
      <w:r w:rsidRPr="006878F3">
        <w:rPr>
          <w:sz w:val="22"/>
          <w:szCs w:val="22"/>
        </w:rPr>
        <w:t>a</w:t>
      </w:r>
      <w:r w:rsidR="004543D5" w:rsidRPr="006878F3">
        <w:rPr>
          <w:sz w:val="22"/>
          <w:szCs w:val="22"/>
        </w:rPr>
        <w:t>lebo</w:t>
      </w:r>
      <w:r w:rsidRPr="006878F3">
        <w:rPr>
          <w:sz w:val="22"/>
          <w:szCs w:val="22"/>
        </w:rPr>
        <w:t xml:space="preserve"> perforácia, ktoré môžu byť fatálne, boli hlásené </w:t>
      </w:r>
      <w:r w:rsidR="00957458" w:rsidRPr="006878F3">
        <w:rPr>
          <w:sz w:val="22"/>
          <w:szCs w:val="22"/>
        </w:rPr>
        <w:t>pri</w:t>
      </w:r>
      <w:r w:rsidRPr="006878F3">
        <w:rPr>
          <w:sz w:val="22"/>
          <w:szCs w:val="22"/>
        </w:rPr>
        <w:t xml:space="preserve"> všetkých NSAID kedykoľvek v priebehu liečby, s </w:t>
      </w:r>
      <w:r w:rsidR="00A430F8" w:rsidRPr="006878F3">
        <w:rPr>
          <w:sz w:val="22"/>
          <w:szCs w:val="22"/>
        </w:rPr>
        <w:t xml:space="preserve">akýmikoľvek varovnými príznakmi </w:t>
      </w:r>
      <w:r w:rsidRPr="006878F3">
        <w:rPr>
          <w:sz w:val="22"/>
          <w:szCs w:val="22"/>
        </w:rPr>
        <w:t>alebo bez</w:t>
      </w:r>
      <w:r w:rsidR="00A430F8" w:rsidRPr="006878F3">
        <w:rPr>
          <w:sz w:val="22"/>
          <w:szCs w:val="22"/>
        </w:rPr>
        <w:t xml:space="preserve"> nich </w:t>
      </w:r>
      <w:r w:rsidRPr="006878F3">
        <w:rPr>
          <w:sz w:val="22"/>
          <w:szCs w:val="22"/>
        </w:rPr>
        <w:t xml:space="preserve"> alebo </w:t>
      </w:r>
      <w:r w:rsidR="00A430F8" w:rsidRPr="006878F3">
        <w:rPr>
          <w:sz w:val="22"/>
          <w:szCs w:val="22"/>
        </w:rPr>
        <w:t xml:space="preserve">bez </w:t>
      </w:r>
      <w:r w:rsidRPr="006878F3">
        <w:rPr>
          <w:sz w:val="22"/>
          <w:szCs w:val="22"/>
        </w:rPr>
        <w:t xml:space="preserve">predchádzajúcich závažných gastrointestinálnych </w:t>
      </w:r>
      <w:r w:rsidR="00F56B24" w:rsidRPr="006878F3">
        <w:rPr>
          <w:sz w:val="22"/>
          <w:szCs w:val="22"/>
        </w:rPr>
        <w:t>udalostí</w:t>
      </w:r>
      <w:r w:rsidRPr="006878F3">
        <w:rPr>
          <w:sz w:val="22"/>
          <w:szCs w:val="22"/>
        </w:rPr>
        <w:t xml:space="preserve">.      </w:t>
      </w:r>
    </w:p>
    <w:p w:rsidR="00F56B24" w:rsidRPr="006878F3" w:rsidRDefault="00F56B24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Ak sa GI krvácanie alebo tvorba vredov objavia u pacientov užívajúcich 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n, odporúča sa ukončiť liečbu.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Riziko </w:t>
      </w:r>
      <w:r w:rsidR="00F56B24" w:rsidRPr="006878F3">
        <w:rPr>
          <w:rFonts w:ascii="Times New Roman" w:hAnsi="Times New Roman" w:cs="Times New Roman"/>
          <w:sz w:val="22"/>
          <w:szCs w:val="22"/>
          <w:lang w:val="sk-SK"/>
        </w:rPr>
        <w:t>GI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 krvácania, tvorby vredov alebo perforácie sa zvyšuje so zvyšujúcou sa dávkou NSAID, u pacientov s anamnézou vredovej choroby, najmä ak bola komplikovaná krvácaním alebo perforáciou (pozri časť 4.3) a u starších </w:t>
      </w:r>
      <w:r w:rsidR="004543D5" w:rsidRPr="006878F3">
        <w:rPr>
          <w:rFonts w:ascii="Times New Roman" w:hAnsi="Times New Roman" w:cs="Times New Roman"/>
          <w:sz w:val="22"/>
          <w:szCs w:val="22"/>
          <w:lang w:val="sk-SK"/>
        </w:rPr>
        <w:t>ľudí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>. Títo pacienti majú začať liečbu najnižšou možnou dávkou. U týchto pacientov a tiež u pacientov, u ktorých sa vyžaduje sú</w:t>
      </w:r>
      <w:r w:rsidR="00E91155" w:rsidRPr="006878F3">
        <w:rPr>
          <w:rFonts w:ascii="Times New Roman" w:hAnsi="Times New Roman" w:cs="Times New Roman"/>
          <w:sz w:val="22"/>
          <w:szCs w:val="22"/>
          <w:lang w:val="sk-SK"/>
        </w:rPr>
        <w:t>bežná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 liečba nízkymi dávkami kyseliny acetylsalicylovej alebo inými liekmi s pravdepodobnosťou zvýšenia rizika pre tráviaci trakt, sa má zvážiť sú</w:t>
      </w:r>
      <w:r w:rsidR="00E91155" w:rsidRPr="006878F3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 podávanie protektívnej liečby (napr. mi</w:t>
      </w:r>
      <w:r w:rsidR="00576A7F" w:rsidRPr="006878F3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6878F3">
        <w:rPr>
          <w:rFonts w:ascii="Times New Roman" w:hAnsi="Times New Roman" w:cs="Times New Roman"/>
          <w:sz w:val="22"/>
          <w:szCs w:val="22"/>
          <w:lang w:val="sk-SK"/>
        </w:rPr>
        <w:t xml:space="preserve">oprostol alebo inhibítory protónovej pumpy) (pozri nižšie a časť 4.5).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56B24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Pacienti s </w:t>
      </w:r>
      <w:r w:rsidR="00F56B24" w:rsidRPr="006878F3">
        <w:rPr>
          <w:color w:val="000000"/>
          <w:sz w:val="22"/>
          <w:szCs w:val="22"/>
        </w:rPr>
        <w:t>GI</w:t>
      </w:r>
      <w:r w:rsidRPr="006878F3">
        <w:rPr>
          <w:color w:val="000000"/>
          <w:sz w:val="22"/>
          <w:szCs w:val="22"/>
        </w:rPr>
        <w:t xml:space="preserve"> toxicitou v anamnéze, najmä starší pacienti, </w:t>
      </w:r>
      <w:r w:rsidR="009608CB" w:rsidRPr="006878F3">
        <w:rPr>
          <w:color w:val="000000"/>
          <w:sz w:val="22"/>
          <w:szCs w:val="22"/>
        </w:rPr>
        <w:t xml:space="preserve">musia </w:t>
      </w:r>
      <w:r w:rsidRPr="006878F3">
        <w:rPr>
          <w:color w:val="000000"/>
          <w:sz w:val="22"/>
          <w:szCs w:val="22"/>
        </w:rPr>
        <w:t>hlásiť všetky neobvyklé abdominálne príznaky (</w:t>
      </w:r>
      <w:r w:rsidR="00740CB8" w:rsidRPr="006878F3">
        <w:rPr>
          <w:color w:val="000000"/>
          <w:sz w:val="22"/>
          <w:szCs w:val="22"/>
        </w:rPr>
        <w:t xml:space="preserve">najmä </w:t>
      </w:r>
      <w:r w:rsidRPr="006878F3">
        <w:rPr>
          <w:color w:val="000000"/>
          <w:sz w:val="22"/>
          <w:szCs w:val="22"/>
        </w:rPr>
        <w:t>krvácanie z </w:t>
      </w:r>
      <w:r w:rsidR="00F56B24" w:rsidRPr="006878F3">
        <w:rPr>
          <w:color w:val="000000"/>
          <w:sz w:val="22"/>
          <w:szCs w:val="22"/>
        </w:rPr>
        <w:t>GI</w:t>
      </w:r>
      <w:r w:rsidRPr="006878F3">
        <w:rPr>
          <w:color w:val="000000"/>
          <w:sz w:val="22"/>
          <w:szCs w:val="22"/>
        </w:rPr>
        <w:t xml:space="preserve"> traktu), predovšetkým v počiatočných štádiách liečby. </w:t>
      </w:r>
    </w:p>
    <w:p w:rsidR="00F56B24" w:rsidRPr="006878F3" w:rsidRDefault="00F56B24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Zvýšená opatrnosť je potrebná u pacientov liečených súbežne liekmi, ktoré by mohli zvyšovať riziko tvorby vredov alebo krvácania, akými sú perorálne kortikosteroidy, antikoagulanciá ako warfarín, </w:t>
      </w:r>
      <w:r w:rsidR="00957458" w:rsidRPr="006878F3">
        <w:rPr>
          <w:sz w:val="22"/>
          <w:szCs w:val="22"/>
        </w:rPr>
        <w:t xml:space="preserve">selektívne </w:t>
      </w:r>
      <w:r w:rsidRPr="006878F3">
        <w:rPr>
          <w:sz w:val="22"/>
          <w:szCs w:val="22"/>
        </w:rPr>
        <w:t>inhibítory spätného vychytávania s</w:t>
      </w:r>
      <w:r w:rsidR="00C90112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rotonínu alebo antiagregačné lieky, ako je napr. kyselina acetylsalicylová (pozri časť 4.5).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NSAID sa majú podávať s opatrnosťou u pacientov s anamnézou gastrointestinálnych ochorení (ulcerózna kolitída, Crohnova choroba), </w:t>
      </w:r>
      <w:r w:rsidR="00F56B24" w:rsidRPr="006878F3">
        <w:rPr>
          <w:sz w:val="22"/>
          <w:szCs w:val="22"/>
        </w:rPr>
        <w:t>keďže môže</w:t>
      </w:r>
      <w:r w:rsidRPr="006878F3">
        <w:rPr>
          <w:sz w:val="22"/>
          <w:szCs w:val="22"/>
        </w:rPr>
        <w:t xml:space="preserve"> dôjsť k exacerbácii týchto ochorení (pozri časť 4.8).</w:t>
      </w: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F56B24" w:rsidRPr="000252B9" w:rsidRDefault="006160AC" w:rsidP="00F56B2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252B9">
        <w:rPr>
          <w:sz w:val="22"/>
          <w:szCs w:val="22"/>
          <w:u w:val="single"/>
        </w:rPr>
        <w:t>Závažné k</w:t>
      </w:r>
      <w:r w:rsidR="00F56B24" w:rsidRPr="000252B9">
        <w:rPr>
          <w:sz w:val="22"/>
          <w:szCs w:val="22"/>
          <w:u w:val="single"/>
        </w:rPr>
        <w:t>ožné reakcie</w:t>
      </w: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C13896" w:rsidRPr="000252B9" w:rsidRDefault="00F56B24" w:rsidP="000252B9">
      <w:pPr>
        <w:rPr>
          <w:sz w:val="22"/>
          <w:szCs w:val="22"/>
        </w:rPr>
      </w:pPr>
      <w:r w:rsidRPr="000252B9">
        <w:rPr>
          <w:sz w:val="22"/>
          <w:szCs w:val="22"/>
        </w:rPr>
        <w:t xml:space="preserve">V súvislosti s liečbou NSAID boli zriedkavo hlásené závažné kožné reakcie, vrátane exfoliatívnej dermatitídy, Stevensovho-Johnsonovho syndrómu a toxickej epidermálnej nekrolýzy, niektoré z nich fatálne (pozri časť 4.8). Zdá sa, že pacienti majú najvyššie riziko týchto reakcií na začiatku liečby; väčšina z týchto reakcií sa objavila v priebehu prvého mesiaca liečby. </w:t>
      </w:r>
      <w:r w:rsidR="006160AC" w:rsidRPr="000252B9">
        <w:rPr>
          <w:sz w:val="22"/>
          <w:szCs w:val="22"/>
        </w:rPr>
        <w:t xml:space="preserve">V súvislosti s liekmi obsahujúcimi ibuprofén bola hlásená akútna generalizovaná exantematózna pustulóza (AGEP). Ibuprofén je potrebné vysadiť pri prvom výskyte prejavov a príznakov závažných kožných reakcií, ako je kožná vyrážka, lézie na slizniciach alebo akýkoľvek iný prejav precitlivenosti.  </w:t>
      </w: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</w:rPr>
      </w:pPr>
    </w:p>
    <w:p w:rsidR="00F56B24" w:rsidRPr="000252B9" w:rsidRDefault="00F56B24" w:rsidP="00F56B24">
      <w:pPr>
        <w:autoSpaceDE w:val="0"/>
        <w:autoSpaceDN w:val="0"/>
        <w:adjustRightInd w:val="0"/>
        <w:rPr>
          <w:sz w:val="22"/>
          <w:szCs w:val="22"/>
        </w:rPr>
      </w:pPr>
      <w:r w:rsidRPr="000252B9">
        <w:rPr>
          <w:sz w:val="22"/>
          <w:szCs w:val="22"/>
        </w:rPr>
        <w:t>Výnimočne môže byť varicela dôvodom vzniku závažných komplikácií infekcií kože a mäkkých tkanív. V súčasnosti nie je možné vylúčiť úlohu NSAID v zhoršení týchto infekcií. Preto sa</w:t>
      </w:r>
      <w:r w:rsidRPr="000252B9" w:rsidDel="00C8084C">
        <w:rPr>
          <w:sz w:val="22"/>
          <w:szCs w:val="22"/>
        </w:rPr>
        <w:t xml:space="preserve"> </w:t>
      </w:r>
      <w:r w:rsidRPr="000252B9">
        <w:rPr>
          <w:sz w:val="22"/>
          <w:szCs w:val="22"/>
        </w:rPr>
        <w:t>v prípade varicely odporúča vyhnúť liečbe ibuprof</w:t>
      </w:r>
      <w:r w:rsidR="00AE06FB" w:rsidRPr="000252B9">
        <w:rPr>
          <w:sz w:val="22"/>
          <w:szCs w:val="22"/>
        </w:rPr>
        <w:t>é</w:t>
      </w:r>
      <w:r w:rsidRPr="000252B9">
        <w:rPr>
          <w:sz w:val="22"/>
          <w:szCs w:val="22"/>
        </w:rPr>
        <w:t>nom.</w:t>
      </w:r>
    </w:p>
    <w:p w:rsidR="002158BF" w:rsidRPr="000252B9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733024" w:rsidRPr="000252B9" w:rsidRDefault="002158BF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252B9">
        <w:rPr>
          <w:sz w:val="22"/>
          <w:szCs w:val="22"/>
          <w:u w:val="single"/>
        </w:rPr>
        <w:t>Kardiovaskulárne a cerebrovaskulárne účinky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6878F3" w:rsidRDefault="002158BF" w:rsidP="003C602A">
      <w:pPr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Opatrnosť (konzultácia s lekárom alebo lekárnikom) je potrebná pred začatím liečby u pacientov s</w:t>
      </w:r>
      <w:r w:rsidR="00DF4799" w:rsidRPr="006878F3">
        <w:rPr>
          <w:bCs/>
          <w:sz w:val="22"/>
          <w:szCs w:val="22"/>
        </w:rPr>
        <w:t> </w:t>
      </w:r>
      <w:r w:rsidRPr="006878F3">
        <w:rPr>
          <w:bCs/>
          <w:sz w:val="22"/>
          <w:szCs w:val="22"/>
        </w:rPr>
        <w:t>anamnézou hypertenzie a/alebo srdcového zlyh</w:t>
      </w:r>
      <w:r w:rsidR="00957458" w:rsidRPr="006878F3">
        <w:rPr>
          <w:bCs/>
          <w:sz w:val="22"/>
          <w:szCs w:val="22"/>
        </w:rPr>
        <w:t>ávania</w:t>
      </w:r>
      <w:r w:rsidRPr="006878F3">
        <w:rPr>
          <w:bCs/>
          <w:sz w:val="22"/>
          <w:szCs w:val="22"/>
        </w:rPr>
        <w:t>, pretože v súvislosti s liečbou NSAID boli hlásené retencia tekutín, hypertenzia a edémy.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74F95" w:rsidRPr="006878F3" w:rsidRDefault="009342BD" w:rsidP="003C602A">
      <w:pPr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Klinické štúdie naznačili, že používanie ibuprofenu, najmä vo vysokých dávkach (</w:t>
      </w:r>
      <w:r w:rsidR="00224D19" w:rsidRPr="006878F3">
        <w:rPr>
          <w:bCs/>
          <w:sz w:val="22"/>
          <w:szCs w:val="22"/>
        </w:rPr>
        <w:t>2 </w:t>
      </w:r>
      <w:r w:rsidRPr="006878F3">
        <w:rPr>
          <w:bCs/>
          <w:sz w:val="22"/>
          <w:szCs w:val="22"/>
        </w:rPr>
        <w:t xml:space="preserve">400 mg denne) môže byť spojené s malým zvýšeným rizikom arteriálnych trombotických udalostí (napríklad infarkt myokardu alebo mozgová príhoda). </w:t>
      </w:r>
    </w:p>
    <w:p w:rsidR="009342BD" w:rsidRPr="006878F3" w:rsidRDefault="009342BD" w:rsidP="003C602A">
      <w:pPr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 xml:space="preserve">Epidemiologické štúdie celkovo nenaznačujú, že by nízke dávky ibuprofenu (napr. </w:t>
      </w:r>
      <w:r w:rsidR="00224D19" w:rsidRPr="006878F3">
        <w:rPr>
          <w:bCs/>
          <w:sz w:val="22"/>
          <w:szCs w:val="22"/>
        </w:rPr>
        <w:t>≤ </w:t>
      </w:r>
      <w:r w:rsidRPr="006878F3">
        <w:rPr>
          <w:bCs/>
          <w:sz w:val="22"/>
          <w:szCs w:val="22"/>
        </w:rPr>
        <w:t>1</w:t>
      </w:r>
      <w:r w:rsidR="00224D19" w:rsidRPr="006878F3">
        <w:rPr>
          <w:bCs/>
          <w:sz w:val="22"/>
          <w:szCs w:val="22"/>
        </w:rPr>
        <w:t> 200 </w:t>
      </w:r>
      <w:r w:rsidRPr="006878F3">
        <w:rPr>
          <w:bCs/>
          <w:sz w:val="22"/>
          <w:szCs w:val="22"/>
        </w:rPr>
        <w:t>mg denne) boli spojené so zvýšeným rizikom arteriálnych trombotických udalostí.</w:t>
      </w:r>
    </w:p>
    <w:p w:rsidR="009342BD" w:rsidRPr="006878F3" w:rsidRDefault="009342BD" w:rsidP="003C602A">
      <w:pPr>
        <w:rPr>
          <w:bCs/>
          <w:sz w:val="22"/>
          <w:szCs w:val="22"/>
        </w:rPr>
      </w:pPr>
    </w:p>
    <w:p w:rsidR="009342BD" w:rsidRPr="006878F3" w:rsidRDefault="009342B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Pacienti s nekontrolovanou hypertenziou, kongestívnym zlyh</w:t>
      </w:r>
      <w:r w:rsidR="00957458" w:rsidRPr="006878F3">
        <w:rPr>
          <w:color w:val="000000"/>
          <w:sz w:val="22"/>
          <w:szCs w:val="22"/>
        </w:rPr>
        <w:t>ávaním</w:t>
      </w:r>
      <w:r w:rsidRPr="006878F3">
        <w:rPr>
          <w:color w:val="000000"/>
          <w:sz w:val="22"/>
          <w:szCs w:val="22"/>
        </w:rPr>
        <w:t xml:space="preserve"> srdca (</w:t>
      </w:r>
      <w:r w:rsidR="00974F95" w:rsidRPr="006878F3">
        <w:rPr>
          <w:color w:val="000000"/>
          <w:sz w:val="22"/>
          <w:szCs w:val="22"/>
        </w:rPr>
        <w:t xml:space="preserve">štádium </w:t>
      </w:r>
      <w:r w:rsidRPr="006878F3">
        <w:rPr>
          <w:color w:val="000000"/>
          <w:sz w:val="22"/>
          <w:szCs w:val="22"/>
        </w:rPr>
        <w:t>NYHA</w:t>
      </w:r>
      <w:r w:rsidR="00974F95" w:rsidRPr="006878F3">
        <w:rPr>
          <w:color w:val="000000"/>
          <w:sz w:val="22"/>
          <w:szCs w:val="22"/>
        </w:rPr>
        <w:t xml:space="preserve"> II – III</w:t>
      </w:r>
      <w:r w:rsidRPr="006878F3">
        <w:rPr>
          <w:color w:val="000000"/>
          <w:sz w:val="22"/>
          <w:szCs w:val="22"/>
        </w:rPr>
        <w:t xml:space="preserve">), diagnostikovaným ischemickým ochorením srdca, ochorením periférnych artérií </w:t>
      </w:r>
      <w:r w:rsidR="00974F95" w:rsidRPr="006878F3">
        <w:rPr>
          <w:color w:val="000000"/>
          <w:sz w:val="22"/>
          <w:szCs w:val="22"/>
        </w:rPr>
        <w:t xml:space="preserve">a/alebo </w:t>
      </w:r>
      <w:r w:rsidRPr="006878F3">
        <w:rPr>
          <w:color w:val="000000"/>
          <w:sz w:val="22"/>
          <w:szCs w:val="22"/>
        </w:rPr>
        <w:t>cerebrovaskulárnym ochorením majú byť liečení 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>nom len po dôkladnom zvážení a nemajú sa používať vysoké dávky (2</w:t>
      </w:r>
      <w:r w:rsidR="00224D19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>400 mg denne).</w:t>
      </w:r>
    </w:p>
    <w:p w:rsidR="009342BD" w:rsidRPr="006878F3" w:rsidRDefault="009342B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 </w:t>
      </w:r>
    </w:p>
    <w:p w:rsidR="009342BD" w:rsidRPr="006878F3" w:rsidRDefault="009342B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Pred začatím dlhodobej liečby pacientov s rizikovými faktormi vznik</w:t>
      </w:r>
      <w:r w:rsidR="00974F95" w:rsidRPr="006878F3">
        <w:rPr>
          <w:color w:val="000000"/>
          <w:sz w:val="22"/>
          <w:szCs w:val="22"/>
        </w:rPr>
        <w:t>u</w:t>
      </w:r>
      <w:r w:rsidRPr="006878F3">
        <w:rPr>
          <w:color w:val="000000"/>
          <w:sz w:val="22"/>
          <w:szCs w:val="22"/>
        </w:rPr>
        <w:t xml:space="preserve"> kardiovaskulárnych udalostí (napr. hypertenzia, hyperlipidémia, </w:t>
      </w:r>
      <w:r w:rsidRPr="006878F3">
        <w:rPr>
          <w:i/>
          <w:color w:val="000000"/>
          <w:sz w:val="22"/>
          <w:szCs w:val="22"/>
        </w:rPr>
        <w:t>diabetes mellitus</w:t>
      </w:r>
      <w:r w:rsidRPr="006878F3">
        <w:rPr>
          <w:color w:val="000000"/>
          <w:sz w:val="22"/>
          <w:szCs w:val="22"/>
        </w:rPr>
        <w:t>, fajčenie) je potrebné dôsledné zváženie, najmä v</w:t>
      </w:r>
      <w:r w:rsidR="00DF4799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>prípade, že sú potrebné vysoké dávky 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>nu (</w:t>
      </w:r>
      <w:r w:rsidR="00224D19" w:rsidRPr="006878F3">
        <w:rPr>
          <w:color w:val="000000"/>
          <w:sz w:val="22"/>
          <w:szCs w:val="22"/>
        </w:rPr>
        <w:t>2 </w:t>
      </w:r>
      <w:r w:rsidRPr="006878F3">
        <w:rPr>
          <w:color w:val="000000"/>
          <w:sz w:val="22"/>
          <w:szCs w:val="22"/>
        </w:rPr>
        <w:t>400 mg/denne).</w:t>
      </w:r>
    </w:p>
    <w:p w:rsidR="00D10867" w:rsidRPr="006878F3" w:rsidRDefault="00D10867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974F9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Ďalšie upozornenia</w:t>
      </w:r>
    </w:p>
    <w:p w:rsidR="00B74559" w:rsidRPr="006878F3" w:rsidRDefault="00B7455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Závažné akútne hypersenzitívne reakcie (napr. anafylaktický šok) sa vyskytujú veľmi zriedkavo. Pri prvých </w:t>
      </w:r>
      <w:r w:rsidR="00C015A9" w:rsidRPr="006878F3">
        <w:rPr>
          <w:color w:val="000000"/>
          <w:sz w:val="22"/>
          <w:szCs w:val="22"/>
        </w:rPr>
        <w:t xml:space="preserve">prejavoch </w:t>
      </w:r>
      <w:r w:rsidRPr="006878F3">
        <w:rPr>
          <w:color w:val="000000"/>
          <w:sz w:val="22"/>
          <w:szCs w:val="22"/>
        </w:rPr>
        <w:t>alergických reakcií po užití</w:t>
      </w:r>
      <w:r w:rsidR="00974F95" w:rsidRPr="006878F3">
        <w:rPr>
          <w:color w:val="000000"/>
          <w:sz w:val="22"/>
          <w:szCs w:val="22"/>
        </w:rPr>
        <w:t>/podaní ibuprof</w:t>
      </w:r>
      <w:r w:rsidR="00AE06FB" w:rsidRPr="006878F3">
        <w:rPr>
          <w:color w:val="000000"/>
          <w:sz w:val="22"/>
          <w:szCs w:val="22"/>
        </w:rPr>
        <w:t>é</w:t>
      </w:r>
      <w:r w:rsidR="00974F95" w:rsidRPr="006878F3">
        <w:rPr>
          <w:color w:val="000000"/>
          <w:sz w:val="22"/>
          <w:szCs w:val="22"/>
        </w:rPr>
        <w:t>nu</w:t>
      </w:r>
      <w:r w:rsidRPr="006878F3">
        <w:rPr>
          <w:color w:val="000000"/>
          <w:sz w:val="22"/>
          <w:szCs w:val="22"/>
        </w:rPr>
        <w:t xml:space="preserve"> </w:t>
      </w:r>
      <w:r w:rsidR="00E4108E" w:rsidRPr="006878F3">
        <w:rPr>
          <w:color w:val="000000"/>
          <w:sz w:val="22"/>
          <w:szCs w:val="22"/>
        </w:rPr>
        <w:t xml:space="preserve">sa musí </w:t>
      </w:r>
      <w:r w:rsidRPr="006878F3">
        <w:rPr>
          <w:color w:val="000000"/>
          <w:sz w:val="22"/>
          <w:szCs w:val="22"/>
        </w:rPr>
        <w:t>liečb</w:t>
      </w:r>
      <w:r w:rsidR="00E4108E" w:rsidRPr="006878F3">
        <w:rPr>
          <w:color w:val="000000"/>
          <w:sz w:val="22"/>
          <w:szCs w:val="22"/>
        </w:rPr>
        <w:t>a</w:t>
      </w:r>
      <w:r w:rsidRPr="006878F3">
        <w:rPr>
          <w:color w:val="000000"/>
          <w:sz w:val="22"/>
          <w:szCs w:val="22"/>
        </w:rPr>
        <w:t xml:space="preserve"> </w:t>
      </w:r>
      <w:r w:rsidR="00957458" w:rsidRPr="006878F3">
        <w:rPr>
          <w:color w:val="000000"/>
          <w:sz w:val="22"/>
          <w:szCs w:val="22"/>
        </w:rPr>
        <w:t>ukončiť.</w:t>
      </w:r>
      <w:r w:rsidRPr="006878F3">
        <w:rPr>
          <w:color w:val="000000"/>
          <w:sz w:val="22"/>
          <w:szCs w:val="22"/>
        </w:rPr>
        <w:t xml:space="preserve"> </w:t>
      </w:r>
      <w:r w:rsidR="00FE2691" w:rsidRPr="006878F3">
        <w:rPr>
          <w:color w:val="000000"/>
          <w:sz w:val="22"/>
          <w:szCs w:val="22"/>
        </w:rPr>
        <w:t>V závislosti od</w:t>
      </w:r>
      <w:r w:rsidRPr="006878F3">
        <w:rPr>
          <w:color w:val="000000"/>
          <w:sz w:val="22"/>
          <w:szCs w:val="22"/>
        </w:rPr>
        <w:t xml:space="preserve"> príznak</w:t>
      </w:r>
      <w:r w:rsidR="00FE2691" w:rsidRPr="006878F3">
        <w:rPr>
          <w:color w:val="000000"/>
          <w:sz w:val="22"/>
          <w:szCs w:val="22"/>
        </w:rPr>
        <w:t>ov</w:t>
      </w:r>
      <w:r w:rsidRPr="006878F3">
        <w:rPr>
          <w:color w:val="000000"/>
          <w:sz w:val="22"/>
          <w:szCs w:val="22"/>
        </w:rPr>
        <w:t xml:space="preserve"> </w:t>
      </w:r>
      <w:r w:rsidR="00FE2691" w:rsidRPr="006878F3">
        <w:rPr>
          <w:color w:val="000000"/>
          <w:sz w:val="22"/>
          <w:szCs w:val="22"/>
        </w:rPr>
        <w:t xml:space="preserve">majú byť </w:t>
      </w:r>
      <w:r w:rsidR="00957458" w:rsidRPr="006878F3">
        <w:rPr>
          <w:color w:val="000000"/>
          <w:sz w:val="22"/>
          <w:szCs w:val="22"/>
        </w:rPr>
        <w:t xml:space="preserve">zdravotníckymi pracovníkmi </w:t>
      </w:r>
      <w:r w:rsidR="00974F95" w:rsidRPr="006878F3">
        <w:rPr>
          <w:color w:val="000000"/>
          <w:sz w:val="22"/>
          <w:szCs w:val="22"/>
        </w:rPr>
        <w:t>začaté</w:t>
      </w:r>
      <w:r w:rsidR="00FE2691" w:rsidRPr="006878F3">
        <w:rPr>
          <w:color w:val="000000"/>
          <w:sz w:val="22"/>
          <w:szCs w:val="22"/>
        </w:rPr>
        <w:t xml:space="preserve"> požadované </w:t>
      </w:r>
      <w:r w:rsidR="00957458" w:rsidRPr="006878F3">
        <w:rPr>
          <w:color w:val="000000"/>
          <w:sz w:val="22"/>
          <w:szCs w:val="22"/>
        </w:rPr>
        <w:t xml:space="preserve">medicínske </w:t>
      </w:r>
      <w:r w:rsidR="00FE2691" w:rsidRPr="006878F3">
        <w:rPr>
          <w:color w:val="000000"/>
          <w:sz w:val="22"/>
          <w:szCs w:val="22"/>
        </w:rPr>
        <w:t xml:space="preserve">opatrenia. </w:t>
      </w:r>
    </w:p>
    <w:p w:rsidR="0092533F" w:rsidRPr="006878F3" w:rsidRDefault="0092533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4559" w:rsidRPr="006878F3" w:rsidRDefault="00D834C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  <w:r w:rsidR="00035E2E" w:rsidRPr="006878F3">
        <w:rPr>
          <w:sz w:val="22"/>
          <w:szCs w:val="22"/>
        </w:rPr>
        <w:t xml:space="preserve"> </w:t>
      </w:r>
      <w:r w:rsidR="00B74559" w:rsidRPr="006878F3">
        <w:rPr>
          <w:sz w:val="22"/>
          <w:szCs w:val="22"/>
        </w:rPr>
        <w:t xml:space="preserve">môže dočasne inhibovať funkciu krvných doštičiek (agregáciu trombocytov). Pacienti s poruchami </w:t>
      </w:r>
      <w:r w:rsidR="00974F95" w:rsidRPr="006878F3">
        <w:rPr>
          <w:sz w:val="22"/>
          <w:szCs w:val="22"/>
        </w:rPr>
        <w:t>krvných doštičiek</w:t>
      </w:r>
      <w:r w:rsidR="00B74559" w:rsidRPr="006878F3">
        <w:rPr>
          <w:sz w:val="22"/>
          <w:szCs w:val="22"/>
        </w:rPr>
        <w:t xml:space="preserve"> musia byť preto starostlivo sledovaní.</w:t>
      </w: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B74559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Pri dlhodob</w:t>
      </w:r>
      <w:r w:rsidR="00974F95" w:rsidRPr="006878F3">
        <w:rPr>
          <w:sz w:val="22"/>
          <w:szCs w:val="22"/>
        </w:rPr>
        <w:t>ej liečbe</w:t>
      </w:r>
      <w:r w:rsidR="005F3784" w:rsidRPr="006878F3">
        <w:rPr>
          <w:sz w:val="22"/>
          <w:szCs w:val="22"/>
        </w:rPr>
        <w:t xml:space="preserve"> ibuprof</w:t>
      </w:r>
      <w:r w:rsidR="00AE06FB" w:rsidRPr="006878F3">
        <w:rPr>
          <w:sz w:val="22"/>
          <w:szCs w:val="22"/>
        </w:rPr>
        <w:t>é</w:t>
      </w:r>
      <w:r w:rsidR="005F3784" w:rsidRPr="006878F3">
        <w:rPr>
          <w:sz w:val="22"/>
          <w:szCs w:val="22"/>
        </w:rPr>
        <w:t>n</w:t>
      </w:r>
      <w:r w:rsidR="001C2899" w:rsidRPr="006878F3">
        <w:rPr>
          <w:sz w:val="22"/>
          <w:szCs w:val="22"/>
        </w:rPr>
        <w:t>om</w:t>
      </w:r>
      <w:r w:rsidRPr="006878F3">
        <w:rPr>
          <w:sz w:val="22"/>
          <w:szCs w:val="22"/>
        </w:rPr>
        <w:t xml:space="preserve"> </w:t>
      </w:r>
      <w:r w:rsidR="005F3784" w:rsidRPr="006878F3">
        <w:rPr>
          <w:sz w:val="22"/>
          <w:szCs w:val="22"/>
        </w:rPr>
        <w:t xml:space="preserve">sú </w:t>
      </w:r>
      <w:r w:rsidRPr="006878F3">
        <w:rPr>
          <w:sz w:val="22"/>
          <w:szCs w:val="22"/>
        </w:rPr>
        <w:t>potrebné pravideln</w:t>
      </w:r>
      <w:r w:rsidR="005F3784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 kontroly</w:t>
      </w:r>
      <w:r w:rsidR="005F3784" w:rsidRPr="006878F3">
        <w:rPr>
          <w:sz w:val="22"/>
          <w:szCs w:val="22"/>
        </w:rPr>
        <w:t xml:space="preserve"> hodnôt pečeňových enzýmov, funkcie</w:t>
      </w:r>
      <w:r w:rsidRPr="006878F3">
        <w:rPr>
          <w:sz w:val="22"/>
          <w:szCs w:val="22"/>
        </w:rPr>
        <w:t xml:space="preserve"> obličiek a krvného obrazu. </w:t>
      </w:r>
    </w:p>
    <w:p w:rsidR="00987873" w:rsidRPr="006878F3" w:rsidRDefault="00987873" w:rsidP="003C602A">
      <w:pPr>
        <w:widowControl w:val="0"/>
        <w:rPr>
          <w:sz w:val="22"/>
          <w:szCs w:val="22"/>
        </w:rPr>
      </w:pPr>
    </w:p>
    <w:p w:rsidR="00A12CFF" w:rsidRPr="006878F3" w:rsidRDefault="00A12CF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Dlhodobé </w:t>
      </w:r>
      <w:r w:rsidR="00974F95" w:rsidRPr="006878F3">
        <w:rPr>
          <w:sz w:val="22"/>
          <w:szCs w:val="22"/>
        </w:rPr>
        <w:t>po</w:t>
      </w:r>
      <w:r w:rsidRPr="006878F3">
        <w:rPr>
          <w:sz w:val="22"/>
          <w:szCs w:val="22"/>
        </w:rPr>
        <w:t xml:space="preserve">užívanie </w:t>
      </w:r>
      <w:r w:rsidR="00670C74" w:rsidRPr="006878F3">
        <w:rPr>
          <w:sz w:val="22"/>
          <w:szCs w:val="22"/>
        </w:rPr>
        <w:t>akéhokoľvek</w:t>
      </w:r>
      <w:r w:rsidRPr="006878F3">
        <w:rPr>
          <w:sz w:val="22"/>
          <w:szCs w:val="22"/>
        </w:rPr>
        <w:t xml:space="preserve"> typu analgetík </w:t>
      </w:r>
      <w:r w:rsidR="00670C74" w:rsidRPr="006878F3">
        <w:rPr>
          <w:sz w:val="22"/>
          <w:szCs w:val="22"/>
        </w:rPr>
        <w:t>na</w:t>
      </w:r>
      <w:r w:rsidRPr="006878F3">
        <w:rPr>
          <w:sz w:val="22"/>
          <w:szCs w:val="22"/>
        </w:rPr>
        <w:t xml:space="preserve"> bolesť hlavy môže stav zhoršiť. Ak k tejto situácii d</w:t>
      </w:r>
      <w:r w:rsidR="00670C74" w:rsidRPr="006878F3">
        <w:rPr>
          <w:sz w:val="22"/>
          <w:szCs w:val="22"/>
        </w:rPr>
        <w:t>ôjde</w:t>
      </w:r>
      <w:r w:rsidRPr="006878F3">
        <w:rPr>
          <w:sz w:val="22"/>
          <w:szCs w:val="22"/>
        </w:rPr>
        <w:t xml:space="preserve"> alebo</w:t>
      </w:r>
      <w:r w:rsidR="00011547" w:rsidRPr="006878F3">
        <w:rPr>
          <w:sz w:val="22"/>
          <w:szCs w:val="22"/>
        </w:rPr>
        <w:t xml:space="preserve"> je na ňu podozrenie,</w:t>
      </w:r>
      <w:r w:rsidRPr="006878F3">
        <w:rPr>
          <w:sz w:val="22"/>
          <w:szCs w:val="22"/>
        </w:rPr>
        <w:t xml:space="preserve"> musí sa konzultovať </w:t>
      </w:r>
      <w:r w:rsidR="00733024" w:rsidRPr="006878F3">
        <w:rPr>
          <w:sz w:val="22"/>
          <w:szCs w:val="22"/>
        </w:rPr>
        <w:t xml:space="preserve">s </w:t>
      </w:r>
      <w:r w:rsidRPr="006878F3">
        <w:rPr>
          <w:sz w:val="22"/>
          <w:szCs w:val="22"/>
        </w:rPr>
        <w:t>lekár</w:t>
      </w:r>
      <w:r w:rsidR="00733024" w:rsidRPr="006878F3">
        <w:rPr>
          <w:sz w:val="22"/>
          <w:szCs w:val="22"/>
        </w:rPr>
        <w:t>om</w:t>
      </w:r>
      <w:r w:rsidRPr="006878F3">
        <w:rPr>
          <w:sz w:val="22"/>
          <w:szCs w:val="22"/>
        </w:rPr>
        <w:t xml:space="preserve"> a liečba sa má prerušiť. Diagnóza bolesti hlavy z</w:t>
      </w:r>
      <w:r w:rsidR="00C54615" w:rsidRPr="006878F3">
        <w:rPr>
          <w:sz w:val="22"/>
          <w:szCs w:val="22"/>
        </w:rPr>
        <w:t> </w:t>
      </w:r>
      <w:r w:rsidRPr="006878F3">
        <w:rPr>
          <w:sz w:val="22"/>
          <w:szCs w:val="22"/>
        </w:rPr>
        <w:t>nad</w:t>
      </w:r>
      <w:r w:rsidR="00C54615" w:rsidRPr="006878F3">
        <w:rPr>
          <w:sz w:val="22"/>
          <w:szCs w:val="22"/>
        </w:rPr>
        <w:t xml:space="preserve">merného </w:t>
      </w:r>
      <w:r w:rsidRPr="006878F3">
        <w:rPr>
          <w:sz w:val="22"/>
          <w:szCs w:val="22"/>
        </w:rPr>
        <w:t xml:space="preserve">užívania liekov </w:t>
      </w:r>
      <w:r w:rsidR="002C1765" w:rsidRPr="006878F3">
        <w:rPr>
          <w:sz w:val="22"/>
          <w:szCs w:val="22"/>
        </w:rPr>
        <w:t xml:space="preserve">sa má </w:t>
      </w:r>
      <w:r w:rsidR="00974F95" w:rsidRPr="006878F3">
        <w:rPr>
          <w:sz w:val="22"/>
          <w:szCs w:val="22"/>
        </w:rPr>
        <w:t>očakávať</w:t>
      </w:r>
      <w:r w:rsidRPr="006878F3">
        <w:rPr>
          <w:sz w:val="22"/>
          <w:szCs w:val="22"/>
        </w:rPr>
        <w:t xml:space="preserve"> u pacientov, ktorí majú častú alebo dennú bolesť hlavy napriek (alebo kvôli) pravidelnému užívaniu liekov proti bolesti hlavy.</w:t>
      </w:r>
    </w:p>
    <w:p w:rsidR="00D10867" w:rsidRPr="006878F3" w:rsidRDefault="00D10867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801B23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Veľmi časté </w:t>
      </w:r>
      <w:r w:rsidR="00B74559" w:rsidRPr="006878F3">
        <w:rPr>
          <w:sz w:val="22"/>
          <w:szCs w:val="22"/>
        </w:rPr>
        <w:t xml:space="preserve">používanie analgetík, najmä ak sa užíva viacero analgetík v kombinácii, </w:t>
      </w:r>
      <w:r w:rsidRPr="006878F3">
        <w:rPr>
          <w:sz w:val="22"/>
          <w:szCs w:val="22"/>
        </w:rPr>
        <w:t xml:space="preserve">môže </w:t>
      </w:r>
      <w:r w:rsidR="00974F95" w:rsidRPr="006878F3">
        <w:rPr>
          <w:sz w:val="22"/>
          <w:szCs w:val="22"/>
        </w:rPr>
        <w:t>spravidla</w:t>
      </w:r>
      <w:r w:rsidRPr="006878F3">
        <w:rPr>
          <w:sz w:val="22"/>
          <w:szCs w:val="22"/>
        </w:rPr>
        <w:t xml:space="preserve"> </w:t>
      </w:r>
      <w:r w:rsidR="00B74559" w:rsidRPr="006878F3">
        <w:rPr>
          <w:sz w:val="22"/>
          <w:szCs w:val="22"/>
        </w:rPr>
        <w:t>spôsobiť trvalé poškodenie obličiek s rizikom zlyhania obličiek (analgetická nefropatia).</w:t>
      </w:r>
      <w:r w:rsidR="00974F95" w:rsidRPr="006878F3">
        <w:rPr>
          <w:sz w:val="22"/>
          <w:szCs w:val="22"/>
        </w:rPr>
        <w:t xml:space="preserve"> Riziko môže byť zvýšené pri zvýšenej fyzickej záťaži spojenej s nedostatkom soli a dehydratáciou. Tomuto sa preto má vyh</w:t>
      </w:r>
      <w:r w:rsidR="00530D08" w:rsidRPr="006878F3">
        <w:rPr>
          <w:sz w:val="22"/>
          <w:szCs w:val="22"/>
        </w:rPr>
        <w:t>n</w:t>
      </w:r>
      <w:r w:rsidR="00974F95" w:rsidRPr="006878F3">
        <w:rPr>
          <w:sz w:val="22"/>
          <w:szCs w:val="22"/>
        </w:rPr>
        <w:t>úť.</w:t>
      </w: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B7455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Konzumácia alkoholu pri liečbe NSAID môže zvyšovať nežiaduce účinky liečiva, obzvlášť tie, ktoré </w:t>
      </w:r>
      <w:r w:rsidR="00AB1D59" w:rsidRPr="006878F3">
        <w:rPr>
          <w:color w:val="000000"/>
          <w:sz w:val="22"/>
          <w:szCs w:val="22"/>
        </w:rPr>
        <w:t xml:space="preserve">sa </w:t>
      </w:r>
      <w:r w:rsidRPr="006878F3">
        <w:rPr>
          <w:color w:val="000000"/>
          <w:sz w:val="22"/>
          <w:szCs w:val="22"/>
        </w:rPr>
        <w:t xml:space="preserve">týkajú gastrointestinálneho traktu alebo centrálneho nervového systému. </w:t>
      </w: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B74559" w:rsidRPr="006878F3" w:rsidRDefault="00B74559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NSAID môžu maskovať </w:t>
      </w:r>
      <w:r w:rsidR="007A17D6" w:rsidRPr="006878F3">
        <w:rPr>
          <w:sz w:val="22"/>
          <w:szCs w:val="22"/>
        </w:rPr>
        <w:t>príznak</w:t>
      </w:r>
      <w:r w:rsidRPr="006878F3">
        <w:rPr>
          <w:sz w:val="22"/>
          <w:szCs w:val="22"/>
        </w:rPr>
        <w:t>y infekcie a horúčky.</w:t>
      </w:r>
    </w:p>
    <w:p w:rsidR="00974F95" w:rsidRPr="006878F3" w:rsidRDefault="00974F95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</w:p>
    <w:p w:rsidR="00654F3E" w:rsidRPr="006878F3" w:rsidRDefault="00974F95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  <w:r w:rsidRPr="006878F3">
        <w:rPr>
          <w:bCs/>
          <w:color w:val="000000"/>
          <w:sz w:val="22"/>
          <w:szCs w:val="22"/>
          <w:u w:val="single"/>
        </w:rPr>
        <w:t>Pediatrická populácia</w:t>
      </w:r>
    </w:p>
    <w:p w:rsidR="009447F9" w:rsidRPr="006878F3" w:rsidRDefault="009447F9" w:rsidP="009447F9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9447F9" w:rsidRPr="006878F3" w:rsidRDefault="009447F9" w:rsidP="009447F9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t>U dehydrovaných detí a dospievajúcich existuje riziko poruchy funkcie obličiek.</w:t>
      </w:r>
    </w:p>
    <w:p w:rsidR="009447F9" w:rsidRPr="006878F3" w:rsidRDefault="009447F9" w:rsidP="009447F9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9447F9" w:rsidRPr="006878F3" w:rsidRDefault="009447F9" w:rsidP="009447F9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9447F9" w:rsidRPr="006878F3" w:rsidRDefault="009447F9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878F3">
        <w:rPr>
          <w:bCs/>
          <w:color w:val="000000"/>
          <w:sz w:val="22"/>
          <w:szCs w:val="22"/>
        </w:rPr>
        <w:lastRenderedPageBreak/>
        <w:t>U dehydrovaných dospievajúcich existuje riziko poruchy funkcie obličiek.</w:t>
      </w:r>
    </w:p>
    <w:p w:rsidR="009447F9" w:rsidRPr="006878F3" w:rsidRDefault="009447F9" w:rsidP="00654F3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9447F9" w:rsidRPr="006878F3" w:rsidRDefault="009447F9" w:rsidP="00654F3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Ibuprofen STADA obsahuje </w:t>
      </w:r>
      <w:r w:rsidR="001E71B5" w:rsidRPr="006878F3">
        <w:rPr>
          <w:b/>
          <w:bCs/>
          <w:color w:val="000000"/>
          <w:sz w:val="22"/>
          <w:szCs w:val="22"/>
        </w:rPr>
        <w:t xml:space="preserve"> izomalt 720</w:t>
      </w:r>
    </w:p>
    <w:p w:rsidR="009342BD" w:rsidRPr="006878F3" w:rsidRDefault="001E71B5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Pacienti so zriedkavými dedičnými problémami intolerancie fruktózy nesmú užívať tento liek.</w:t>
      </w:r>
    </w:p>
    <w:p w:rsidR="00A42112" w:rsidRPr="006878F3" w:rsidRDefault="00A42112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4.5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Liekové a iné interakcie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7E4A10" w:rsidRPr="006878F3" w:rsidRDefault="007E4A1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AE06F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878F3">
              <w:rPr>
                <w:b/>
                <w:color w:val="000000"/>
                <w:sz w:val="22"/>
                <w:szCs w:val="22"/>
              </w:rPr>
              <w:t>Súbežné používanie ibuprof</w:t>
            </w:r>
            <w:r w:rsidR="00AE06FB" w:rsidRPr="006878F3">
              <w:rPr>
                <w:b/>
                <w:color w:val="000000"/>
                <w:sz w:val="22"/>
                <w:szCs w:val="22"/>
              </w:rPr>
              <w:t>é</w:t>
            </w:r>
            <w:r w:rsidRPr="006878F3">
              <w:rPr>
                <w:b/>
                <w:color w:val="000000"/>
                <w:sz w:val="22"/>
                <w:szCs w:val="22"/>
              </w:rPr>
              <w:t>nu s: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878F3">
              <w:rPr>
                <w:b/>
                <w:color w:val="000000"/>
                <w:sz w:val="22"/>
                <w:szCs w:val="22"/>
              </w:rPr>
              <w:t>Možné účinky: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Iné nesteroidné protizápalové lieky (NSAID) vrátane salicylátov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podávanie niekoľkých NSAID môže kvôli synergickému účinku zvyšovať riziko tvorby gastrointestinálnych vredov a krvácania. Súbežnému používaniu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 xml:space="preserve">nu s inými NSAID sa preto treba vyhnúť (pozri časť 4.4). 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Digoxín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užívanie Ibuprofenu STADA s</w:t>
            </w:r>
            <w:r w:rsidR="00873015" w:rsidRPr="006878F3">
              <w:rPr>
                <w:color w:val="000000"/>
                <w:sz w:val="22"/>
                <w:szCs w:val="22"/>
              </w:rPr>
              <w:t> liekmi obsahujúcimi digoxín</w:t>
            </w:r>
            <w:r w:rsidRPr="006878F3">
              <w:rPr>
                <w:color w:val="000000"/>
                <w:sz w:val="22"/>
                <w:szCs w:val="22"/>
              </w:rPr>
              <w:t xml:space="preserve"> môže viesť k zvýšeniu hladín </w:t>
            </w:r>
            <w:r w:rsidR="00873015" w:rsidRPr="006878F3">
              <w:rPr>
                <w:color w:val="000000"/>
                <w:sz w:val="22"/>
                <w:szCs w:val="22"/>
              </w:rPr>
              <w:t>digoxínu</w:t>
            </w:r>
            <w:r w:rsidRPr="006878F3">
              <w:rPr>
                <w:color w:val="000000"/>
                <w:sz w:val="22"/>
                <w:szCs w:val="22"/>
              </w:rPr>
              <w:t xml:space="preserve"> v sére. Kontrola hladín digoxínu v sére sa pri správnom užívaní (maximálne 3 alebo 4 dni) zvyčajne nevyžaduje. 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Kortikosteroidy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Kortikosteroidy môžu zvyšovať riziko nežiaducich reakcií, najmä v gastrointestinálnom trakte (gastrointestinálne; ulcerácia alebo krvácanie (pozri časť 4.4).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Antiagregačné lieky</w:t>
            </w:r>
            <w:r w:rsidR="006160AC" w:rsidRPr="006878F3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Zvýšené riziko gastrointestinálneho krvácania </w:t>
            </w:r>
            <w:r w:rsidRPr="006878F3">
              <w:rPr>
                <w:color w:val="000000"/>
                <w:sz w:val="22"/>
                <w:szCs w:val="22"/>
              </w:rPr>
              <w:t xml:space="preserve">(pozri časť 4.4).    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Kyselina acetylsalicylová</w:t>
            </w:r>
            <w:r w:rsidR="006160AC" w:rsidRPr="006878F3">
              <w:rPr>
                <w:sz w:val="22"/>
                <w:szCs w:val="22"/>
              </w:rPr>
              <w:t>:</w:t>
            </w:r>
            <w:r w:rsidRPr="006878F3">
              <w:rPr>
                <w:sz w:val="22"/>
                <w:szCs w:val="22"/>
              </w:rPr>
              <w:t xml:space="preserve">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Súbežné podávanie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a kyseliny acetylsalicylovej sa neodporúča z dôvodu možných zvýšených nežiaducich účinkov.</w:t>
            </w:r>
          </w:p>
          <w:p w:rsidR="009447F9" w:rsidRPr="006878F3" w:rsidRDefault="009447F9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Experimentálne údaje naznačujú, že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 môže pri súčasnom dávkovaní kompetitívne inhibovať účinok nízkej dávky kyseliny acetylsalicylovej na agregáciu trombocytov. Hoci existujú nejasnosti s ohľadom na extrapoláciu týchto údajov na klinickú situáciu, nedá sa vylúčiť možnosť, že pravidelné, dlhodobé používanie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môže znížiť kardioprotektívny účinok nízkej dávky kyseliny acetylsalicylovej. V prípade príležitostného používania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sa žiaden klinicky relevantný účinok nepovažuje za pravdepodobný (pozri časť 5.1).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Antikoagulanciá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</w:t>
            </w:r>
          </w:p>
          <w:p w:rsidR="009447F9" w:rsidRPr="006878F3" w:rsidRDefault="009447F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447F9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NSAID môžu zvyšovať účinok antikoagulancií, napr. warfarínu (pozri časť 4.4).</w:t>
            </w:r>
          </w:p>
        </w:tc>
      </w:tr>
      <w:tr w:rsidR="009447F9" w:rsidRPr="006878F3" w:rsidTr="006627F3">
        <w:tc>
          <w:tcPr>
            <w:tcW w:w="4219" w:type="dxa"/>
            <w:shd w:val="clear" w:color="auto" w:fill="auto"/>
          </w:tcPr>
          <w:p w:rsidR="009447F9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Fenytoín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9447F9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užívanie Ibuprofenu STADA s liekmi obsahujúcimi fenytoín môže viesť k zvýšeniu hladín fenytoínu v sére. Kontrola hladín fenytoínu v sére sa pri správnom užívaní (maximálne 3 alebo 4 dni) zvyčajne nevyžaduje.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Selektívne inhibítory spätného vychytávania sérotonínu (SSRI)</w:t>
            </w:r>
            <w:r w:rsidR="006160AC" w:rsidRPr="006878F3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Zvýšené riziko gastrointestinálneho krvácania </w:t>
            </w:r>
            <w:r w:rsidRPr="006878F3">
              <w:rPr>
                <w:color w:val="000000"/>
                <w:sz w:val="22"/>
                <w:szCs w:val="22"/>
              </w:rPr>
              <w:t xml:space="preserve">(pozri časť 4.4).   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Lítium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užívanie Ibuprofenu STADA s liekmi obsahujúcimi lítium môže viesť k zvýšeniu hladín lítia v sére. Kontrola hladín lítia v sére sa pri správnom užívaní (maximálne 3 alebo 4 dni) zvyčajne nevyžaduje.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Probenecid a</w:t>
            </w:r>
            <w:r w:rsidR="006160AC" w:rsidRPr="006878F3">
              <w:rPr>
                <w:color w:val="000000"/>
                <w:sz w:val="22"/>
                <w:szCs w:val="22"/>
              </w:rPr>
              <w:t> </w:t>
            </w:r>
            <w:r w:rsidRPr="006878F3">
              <w:rPr>
                <w:color w:val="000000"/>
                <w:sz w:val="22"/>
                <w:szCs w:val="22"/>
              </w:rPr>
              <w:t>sulfinpyrazón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Lieky, ktoré obsahujú probenecid alebo sulfinpyrazón, môžu spomaliť vylučovanie ibuprofenu.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lastRenderedPageBreak/>
              <w:t>Diuretiká, ACE inhibítory, betablokátory a antagonisty angiotenzínu II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  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NSAID môžu znižovať účinok diuretík a iných antihypertenzív. U niektorých pacientov so zhoršenou funkciou obličiek (napr. u dehydratovaných pacientov alebo u starších ľudí so zhoršenou funkciou obličiek) môže byť výsledkom súbežného podávania ACE inhibítorov, betablokátorov alebo antagonistov angiotenzínu II a liekov, ktoré inhibujú cyklooxygenázu, ďalšie zhoršenie renálnej funkcie, vrátane možného akútneho zlyhania obličiek, ktoré je zvyčajne reverzibilné. Preto takáto kombinácia sa má podávať s opatrnosťou najmä u starších ľudí. Pacienti majú byť primerane hydratovaní a má sa zvážiť pravidelné sledovanie funkcie obličiek po začatí kombinovanej liečby.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Draslík šetriace diuretiká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podávanie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a draslík šetriacich diuretík môže viesť k hyperkaliémii.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Metotrexát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Podanie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nu v priebehu 24 hodín pred alebo po podaní metotrexátu môže vyvolať zvýšenie koncentrácií metotrexátu a zvýšiť toxicitu.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Cyklosporín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Riziko nefrotoxického účinku spôsobeného cyklosporínom sa zvyšuje pri súbežnom podaní určitých NSAID. Tento účinok nemožno vylúčiť ani pri použití kombinácie cyklosporínu a 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 xml:space="preserve">nu.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Takrolimus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Riziko nefrotoxicity sa zvyšuje, ak sa oba lieky podávajú súbežne.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Zidovudín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  <w:p w:rsidR="00873015" w:rsidRPr="006878F3" w:rsidRDefault="00873015" w:rsidP="00914C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Existuje dôkaz o zvýšenom riziku hemartróz a hematómov u HIV (+) pozitívnych hemofilických pacientov súčasne užívajúcich zidovudín a 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n.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1C2899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D</w:t>
            </w:r>
            <w:r w:rsidR="00E16C03" w:rsidRPr="006878F3">
              <w:rPr>
                <w:color w:val="000000"/>
                <w:sz w:val="22"/>
                <w:szCs w:val="22"/>
              </w:rPr>
              <w:t>e</w:t>
            </w:r>
            <w:r w:rsidRPr="006878F3">
              <w:rPr>
                <w:color w:val="000000"/>
                <w:sz w:val="22"/>
                <w:szCs w:val="22"/>
              </w:rPr>
              <w:t>riváty s</w:t>
            </w:r>
            <w:r w:rsidR="00914CB6" w:rsidRPr="006878F3">
              <w:rPr>
                <w:color w:val="000000"/>
                <w:sz w:val="22"/>
                <w:szCs w:val="22"/>
              </w:rPr>
              <w:t>ulfonylurey</w:t>
            </w:r>
            <w:r w:rsidR="006160AC" w:rsidRPr="006878F3">
              <w:rPr>
                <w:color w:val="000000"/>
                <w:sz w:val="22"/>
                <w:szCs w:val="22"/>
              </w:rPr>
              <w:t>:</w:t>
            </w:r>
            <w:r w:rsidR="00914CB6" w:rsidRPr="006878F3">
              <w:rPr>
                <w:color w:val="000000"/>
                <w:sz w:val="22"/>
                <w:szCs w:val="22"/>
              </w:rPr>
              <w:t xml:space="preserve">  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AE06F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Klinické sledovania poukázali na interakcie medzi nesteroidnými protizápalovými liečivami a antidiabetikami (</w:t>
            </w:r>
            <w:r w:rsidR="000246E8" w:rsidRPr="006878F3">
              <w:rPr>
                <w:sz w:val="22"/>
                <w:szCs w:val="22"/>
              </w:rPr>
              <w:t xml:space="preserve">derivátmi </w:t>
            </w:r>
            <w:r w:rsidRPr="006878F3">
              <w:rPr>
                <w:sz w:val="22"/>
                <w:szCs w:val="22"/>
              </w:rPr>
              <w:t>sulfonylure</w:t>
            </w:r>
            <w:r w:rsidR="000246E8" w:rsidRPr="006878F3">
              <w:rPr>
                <w:sz w:val="22"/>
                <w:szCs w:val="22"/>
              </w:rPr>
              <w:t>y</w:t>
            </w:r>
            <w:r w:rsidRPr="006878F3">
              <w:rPr>
                <w:sz w:val="22"/>
                <w:szCs w:val="22"/>
              </w:rPr>
              <w:t>). Hoci doteraz neboli opísané interakcie medzi ibuprof</w:t>
            </w:r>
            <w:r w:rsidR="00AE06FB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nom a</w:t>
            </w:r>
            <w:r w:rsidR="00047382" w:rsidRPr="006878F3">
              <w:rPr>
                <w:sz w:val="22"/>
                <w:szCs w:val="22"/>
              </w:rPr>
              <w:t> derivátmi sulfonylurey</w:t>
            </w:r>
            <w:r w:rsidRPr="006878F3">
              <w:rPr>
                <w:sz w:val="22"/>
                <w:szCs w:val="22"/>
              </w:rPr>
              <w:t xml:space="preserve">, z dôvodu opatrnosti sa pri súbežnom užívaní odporúča kontrola hladiny glukózy v krvi. </w:t>
            </w:r>
          </w:p>
        </w:tc>
      </w:tr>
      <w:tr w:rsidR="00873015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Chinolónové antibiotiká</w:t>
            </w:r>
            <w:r w:rsidR="006160AC" w:rsidRPr="006878F3">
              <w:rPr>
                <w:sz w:val="22"/>
                <w:szCs w:val="22"/>
              </w:rPr>
              <w:t>:</w:t>
            </w:r>
          </w:p>
          <w:p w:rsidR="00873015" w:rsidRPr="006878F3" w:rsidRDefault="00873015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73015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Výsledky štúdií na zvieratách naznačujú, že NSAID môžu zvýšiť riziko kŕčov  spojených s chinolónovými antibiotikami. Pacienti užívajúci súbežne NSAID a chinolóny môžu mať zvýšené riziko vzniku kŕčov.</w:t>
            </w:r>
          </w:p>
        </w:tc>
      </w:tr>
      <w:tr w:rsidR="00914CB6" w:rsidRPr="006878F3" w:rsidTr="006627F3">
        <w:tc>
          <w:tcPr>
            <w:tcW w:w="4219" w:type="dxa"/>
            <w:shd w:val="clear" w:color="auto" w:fill="auto"/>
          </w:tcPr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CYP2C9 inhibítory</w:t>
            </w:r>
            <w:r w:rsidR="006160AC" w:rsidRPr="006878F3">
              <w:rPr>
                <w:sz w:val="22"/>
                <w:szCs w:val="22"/>
              </w:rPr>
              <w:t>:</w:t>
            </w:r>
          </w:p>
          <w:p w:rsidR="00914CB6" w:rsidRPr="006878F3" w:rsidRDefault="00914CB6" w:rsidP="006627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14CB6" w:rsidRPr="006878F3" w:rsidRDefault="00914CB6" w:rsidP="00AE06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Súbežné podávanie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s CYP2C9 inhibítormi môže zvýšiť expozíciu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(CYP2C9 substrát). V štúdii s flukonazolom a vorikonazolom (CYP2C9 inhibítory) bolo pozorované približne 80 až 100 % zvýšenie expozície S(+)-ibuprof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nu. Pri súbežnom podávaní silných CYP2C9 inhibítorov s 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nom, najmä pri vysokých dávkach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 podávaných s vorikonazolom alebo flukonazolom, sa má uvažovať o znížení dávok ibuprof</w:t>
            </w:r>
            <w:r w:rsidR="00AE06FB" w:rsidRPr="006878F3">
              <w:rPr>
                <w:color w:val="000000"/>
                <w:sz w:val="22"/>
                <w:szCs w:val="22"/>
              </w:rPr>
              <w:t>é</w:t>
            </w:r>
            <w:r w:rsidRPr="006878F3">
              <w:rPr>
                <w:color w:val="000000"/>
                <w:sz w:val="22"/>
                <w:szCs w:val="22"/>
              </w:rPr>
              <w:t>nu.</w:t>
            </w:r>
          </w:p>
        </w:tc>
      </w:tr>
    </w:tbl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4.6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="003730D1" w:rsidRPr="006878F3">
        <w:rPr>
          <w:b/>
          <w:bCs/>
          <w:color w:val="000000"/>
          <w:sz w:val="22"/>
          <w:szCs w:val="22"/>
        </w:rPr>
        <w:t>Fertilita, g</w:t>
      </w:r>
      <w:r w:rsidRPr="006878F3">
        <w:rPr>
          <w:b/>
          <w:sz w:val="22"/>
          <w:szCs w:val="22"/>
        </w:rPr>
        <w:t>ravidit</w:t>
      </w:r>
      <w:r w:rsidR="008A3BBA" w:rsidRPr="006878F3">
        <w:rPr>
          <w:b/>
          <w:sz w:val="22"/>
          <w:szCs w:val="22"/>
        </w:rPr>
        <w:t>a</w:t>
      </w:r>
      <w:r w:rsidR="003730D1" w:rsidRPr="006878F3">
        <w:rPr>
          <w:b/>
          <w:sz w:val="22"/>
          <w:szCs w:val="22"/>
        </w:rPr>
        <w:t xml:space="preserve"> a</w:t>
      </w:r>
      <w:r w:rsidRPr="006878F3">
        <w:rPr>
          <w:b/>
          <w:sz w:val="22"/>
          <w:szCs w:val="22"/>
        </w:rPr>
        <w:t xml:space="preserve"> laktáci</w:t>
      </w:r>
      <w:r w:rsidR="008A3BBA" w:rsidRPr="006878F3">
        <w:rPr>
          <w:b/>
          <w:sz w:val="22"/>
          <w:szCs w:val="22"/>
        </w:rPr>
        <w:t>a</w:t>
      </w: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E11C35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lastRenderedPageBreak/>
        <w:t>Gravidita</w:t>
      </w:r>
    </w:p>
    <w:p w:rsidR="00866481" w:rsidRPr="006878F3" w:rsidRDefault="00866481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Inhibícia syntézy prostaglandínov môže nepriaznivo ovplyvňovať graviditu a/alebo </w:t>
      </w:r>
      <w:r w:rsidR="000C5EA3" w:rsidRPr="006878F3">
        <w:rPr>
          <w:sz w:val="22"/>
          <w:szCs w:val="22"/>
        </w:rPr>
        <w:t xml:space="preserve">vývin </w:t>
      </w:r>
      <w:r w:rsidRPr="006878F3">
        <w:rPr>
          <w:sz w:val="22"/>
          <w:szCs w:val="22"/>
        </w:rPr>
        <w:t>embrya a</w:t>
      </w:r>
      <w:r w:rsidR="008453DD" w:rsidRPr="006878F3">
        <w:rPr>
          <w:sz w:val="22"/>
          <w:szCs w:val="22"/>
        </w:rPr>
        <w:t> </w:t>
      </w:r>
      <w:r w:rsidRPr="006878F3">
        <w:rPr>
          <w:sz w:val="22"/>
          <w:szCs w:val="22"/>
        </w:rPr>
        <w:t>plodu.</w:t>
      </w:r>
      <w:r w:rsidR="007A5206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Údaje z epidemiologických štúdií poukazujú na zvýšené riziko potratu, malformácií srdca a gastroschízy po užívaní inhibítorov syntézy prostaglandínov v začiatočných štádiách gravidity. </w:t>
      </w:r>
      <w:r w:rsidR="007A5206" w:rsidRPr="006878F3">
        <w:rPr>
          <w:sz w:val="22"/>
          <w:szCs w:val="22"/>
        </w:rPr>
        <w:t>U</w:t>
      </w:r>
      <w:r w:rsidR="0021521F" w:rsidRPr="006878F3">
        <w:rPr>
          <w:sz w:val="22"/>
          <w:szCs w:val="22"/>
        </w:rPr>
        <w:t>sudzuje sa, že riziko sa zvyšuje s dávkou a dĺžkou terapie.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Podávanie inhibítora syntézy prostaglandínov u zvierat ukázalo zvýšenie pre- a</w:t>
      </w:r>
      <w:r w:rsidR="00E21F5C" w:rsidRPr="006878F3">
        <w:rPr>
          <w:sz w:val="22"/>
          <w:szCs w:val="22"/>
        </w:rPr>
        <w:t> </w:t>
      </w:r>
      <w:r w:rsidRPr="006878F3">
        <w:rPr>
          <w:sz w:val="22"/>
          <w:szCs w:val="22"/>
        </w:rPr>
        <w:t xml:space="preserve">postimplantačných strát a embryo-fetálnej letality. </w:t>
      </w:r>
      <w:r w:rsidR="007A5206" w:rsidRPr="006878F3">
        <w:rPr>
          <w:sz w:val="22"/>
          <w:szCs w:val="22"/>
        </w:rPr>
        <w:t>Okrem toho</w:t>
      </w:r>
      <w:r w:rsidRPr="006878F3">
        <w:rPr>
          <w:sz w:val="22"/>
          <w:szCs w:val="22"/>
        </w:rPr>
        <w:t xml:space="preserve"> u zvierat, ktoré dostávali počas organogenézy inhibítor syntézy prostaglandínov, bol zaznamenaný zvýšený výskyt rôznych malformácií, vrátane kardiovaskulárnych. </w:t>
      </w:r>
      <w:r w:rsidRPr="006878F3">
        <w:rPr>
          <w:color w:val="000000"/>
          <w:sz w:val="22"/>
          <w:szCs w:val="22"/>
        </w:rPr>
        <w:t xml:space="preserve"> </w:t>
      </w:r>
    </w:p>
    <w:p w:rsidR="007A5206" w:rsidRPr="006878F3" w:rsidRDefault="007A520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C104A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</w:t>
      </w:r>
      <w:r w:rsidR="000C5EA3" w:rsidRPr="006878F3">
        <w:rPr>
          <w:sz w:val="22"/>
          <w:szCs w:val="22"/>
        </w:rPr>
        <w:t>sa nes</w:t>
      </w:r>
      <w:r w:rsidR="00886148" w:rsidRPr="006878F3">
        <w:rPr>
          <w:sz w:val="22"/>
          <w:szCs w:val="22"/>
        </w:rPr>
        <w:t>m</w:t>
      </w:r>
      <w:r w:rsidR="000C5EA3" w:rsidRPr="006878F3">
        <w:rPr>
          <w:sz w:val="22"/>
          <w:szCs w:val="22"/>
        </w:rPr>
        <w:t>ie</w:t>
      </w:r>
      <w:r w:rsidR="002158BF" w:rsidRPr="006878F3">
        <w:rPr>
          <w:sz w:val="22"/>
          <w:szCs w:val="22"/>
        </w:rPr>
        <w:t xml:space="preserve"> užíva</w:t>
      </w:r>
      <w:r w:rsidR="000C5EA3" w:rsidRPr="006878F3">
        <w:rPr>
          <w:sz w:val="22"/>
          <w:szCs w:val="22"/>
        </w:rPr>
        <w:t>ť</w:t>
      </w:r>
      <w:r w:rsidR="002158BF" w:rsidRPr="006878F3">
        <w:rPr>
          <w:sz w:val="22"/>
          <w:szCs w:val="22"/>
        </w:rPr>
        <w:t xml:space="preserve"> počas prvého a druhého trimestra gravidity</w:t>
      </w:r>
      <w:r w:rsidR="000C5EA3" w:rsidRPr="006878F3">
        <w:rPr>
          <w:sz w:val="22"/>
          <w:szCs w:val="22"/>
        </w:rPr>
        <w:t xml:space="preserve"> pokiaľ to nie je jednoznačne</w:t>
      </w:r>
      <w:r w:rsidR="002158BF" w:rsidRPr="006878F3">
        <w:rPr>
          <w:sz w:val="22"/>
          <w:szCs w:val="22"/>
        </w:rPr>
        <w:t xml:space="preserve"> </w:t>
      </w:r>
      <w:r w:rsidR="000C5EA3" w:rsidRPr="006878F3">
        <w:rPr>
          <w:sz w:val="22"/>
          <w:szCs w:val="22"/>
        </w:rPr>
        <w:t>nevyhnutné</w:t>
      </w:r>
      <w:r w:rsidR="002158BF" w:rsidRPr="006878F3">
        <w:rPr>
          <w:sz w:val="22"/>
          <w:szCs w:val="22"/>
        </w:rPr>
        <w:t xml:space="preserve">. Ak </w:t>
      </w: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užíva žena, ktorá sa snaží otehotnieť alebo žena v prvom alebo druhom trimestri gravidity, má užívať čo najnižšie možné dávky a liečba má byť čo najkratšia.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715E50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V </w:t>
      </w:r>
      <w:r w:rsidR="002158BF" w:rsidRPr="006878F3">
        <w:rPr>
          <w:sz w:val="22"/>
          <w:szCs w:val="22"/>
        </w:rPr>
        <w:t>tre</w:t>
      </w:r>
      <w:r w:rsidRPr="006878F3">
        <w:rPr>
          <w:sz w:val="22"/>
          <w:szCs w:val="22"/>
        </w:rPr>
        <w:t>ťom</w:t>
      </w:r>
      <w:r w:rsidR="002158BF" w:rsidRPr="006878F3">
        <w:rPr>
          <w:sz w:val="22"/>
          <w:szCs w:val="22"/>
        </w:rPr>
        <w:t xml:space="preserve"> trimestri gravidity všetky inhibítory syntézy prostaglandínov</w:t>
      </w:r>
      <w:r w:rsidR="0021521F" w:rsidRPr="006878F3">
        <w:rPr>
          <w:color w:val="000000"/>
          <w:sz w:val="22"/>
          <w:szCs w:val="22"/>
        </w:rPr>
        <w:t xml:space="preserve"> môžu</w:t>
      </w:r>
      <w:r w:rsidR="002158BF" w:rsidRPr="006878F3">
        <w:rPr>
          <w:color w:val="000000"/>
          <w:sz w:val="22"/>
          <w:szCs w:val="22"/>
        </w:rPr>
        <w:t xml:space="preserve"> </w:t>
      </w:r>
      <w:r w:rsidRPr="006878F3">
        <w:rPr>
          <w:color w:val="000000"/>
          <w:sz w:val="22"/>
          <w:szCs w:val="22"/>
        </w:rPr>
        <w:t>vystaviť</w:t>
      </w:r>
    </w:p>
    <w:p w:rsidR="002158BF" w:rsidRPr="006878F3" w:rsidRDefault="002158BF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plod</w:t>
      </w:r>
      <w:r w:rsidRPr="006878F3">
        <w:rPr>
          <w:color w:val="000000"/>
          <w:sz w:val="22"/>
          <w:szCs w:val="22"/>
        </w:rPr>
        <w:t xml:space="preserve">: </w:t>
      </w:r>
    </w:p>
    <w:p w:rsidR="002158BF" w:rsidRPr="006878F3" w:rsidRDefault="002158BF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kardiopulmonálnej toxicite (s predčasným uzáverom </w:t>
      </w:r>
      <w:r w:rsidRPr="006878F3">
        <w:rPr>
          <w:i/>
          <w:sz w:val="22"/>
          <w:szCs w:val="22"/>
        </w:rPr>
        <w:t>ductus arteriosus</w:t>
      </w:r>
      <w:r w:rsidRPr="006878F3">
        <w:rPr>
          <w:sz w:val="22"/>
          <w:szCs w:val="22"/>
        </w:rPr>
        <w:t xml:space="preserve"> a pulmonálnou hypertenziou)</w:t>
      </w:r>
      <w:r w:rsidRPr="006878F3">
        <w:rPr>
          <w:color w:val="000000"/>
          <w:sz w:val="22"/>
          <w:szCs w:val="22"/>
        </w:rPr>
        <w:t xml:space="preserve">; </w:t>
      </w:r>
    </w:p>
    <w:p w:rsidR="002158BF" w:rsidRPr="006878F3" w:rsidRDefault="00866481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r</w:t>
      </w:r>
      <w:r w:rsidR="002158BF" w:rsidRPr="006878F3">
        <w:rPr>
          <w:sz w:val="22"/>
          <w:szCs w:val="22"/>
        </w:rPr>
        <w:t>enálnej dysfunkcii, ktorá môže progredovať do zlyhania obličiek s oligohydramniónom</w:t>
      </w:r>
      <w:r w:rsidR="002158BF" w:rsidRPr="006878F3">
        <w:rPr>
          <w:color w:val="000000"/>
          <w:sz w:val="22"/>
          <w:szCs w:val="22"/>
        </w:rPr>
        <w:t xml:space="preserve">; </w:t>
      </w:r>
    </w:p>
    <w:p w:rsidR="00866481" w:rsidRPr="006878F3" w:rsidRDefault="00866481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866481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M</w:t>
      </w:r>
      <w:r w:rsidR="002158BF" w:rsidRPr="006878F3">
        <w:rPr>
          <w:sz w:val="22"/>
          <w:szCs w:val="22"/>
        </w:rPr>
        <w:t xml:space="preserve">atku a </w:t>
      </w:r>
      <w:r w:rsidRPr="006878F3">
        <w:rPr>
          <w:sz w:val="22"/>
          <w:szCs w:val="22"/>
        </w:rPr>
        <w:t>novorodenca</w:t>
      </w:r>
      <w:r w:rsidR="00187973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na konci gravidity</w:t>
      </w:r>
      <w:r w:rsidR="002158BF" w:rsidRPr="006878F3">
        <w:rPr>
          <w:color w:val="000000"/>
          <w:sz w:val="22"/>
          <w:szCs w:val="22"/>
        </w:rPr>
        <w:t xml:space="preserve">: </w:t>
      </w:r>
    </w:p>
    <w:p w:rsidR="00866481" w:rsidRPr="006878F3" w:rsidRDefault="00866481" w:rsidP="008664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možnému predĺženiu času krvácania, antiagregačnému účinku, ktorý sa môže vyskytnúť aj po veľmi nízkych dávkach</w:t>
      </w:r>
      <w:r w:rsidRPr="006878F3">
        <w:rPr>
          <w:color w:val="000000"/>
          <w:sz w:val="22"/>
          <w:szCs w:val="22"/>
        </w:rPr>
        <w:t xml:space="preserve">; </w:t>
      </w:r>
    </w:p>
    <w:p w:rsidR="002158BF" w:rsidRPr="006878F3" w:rsidRDefault="002158BF" w:rsidP="0086648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878F3">
        <w:rPr>
          <w:sz w:val="22"/>
          <w:szCs w:val="22"/>
        </w:rPr>
        <w:t>inhibícii kontrakcií maternice vyúsťujúcich do oneskoreného alebo predĺženého pôrodu.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86648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Vzhľadom na to je 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v treťom trimestri gravidity</w:t>
      </w:r>
      <w:r w:rsidR="002158BF" w:rsidRPr="006878F3">
        <w:rPr>
          <w:color w:val="000000"/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kontraindikovan</w:t>
      </w:r>
      <w:r w:rsidRPr="006878F3">
        <w:rPr>
          <w:sz w:val="22"/>
          <w:szCs w:val="22"/>
        </w:rPr>
        <w:t>ý</w:t>
      </w:r>
      <w:r w:rsidR="002158BF" w:rsidRPr="006878F3">
        <w:rPr>
          <w:color w:val="000000"/>
          <w:sz w:val="22"/>
          <w:szCs w:val="22"/>
        </w:rPr>
        <w:t xml:space="preserve">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F97D7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>Dojčenie</w:t>
      </w:r>
    </w:p>
    <w:p w:rsidR="00866481" w:rsidRPr="006878F3" w:rsidRDefault="0086648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C104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color w:val="000000"/>
          <w:sz w:val="22"/>
          <w:szCs w:val="22"/>
        </w:rPr>
        <w:t>Ibuprof</w:t>
      </w:r>
      <w:r w:rsidR="00AE06FB" w:rsidRPr="006878F3">
        <w:rPr>
          <w:color w:val="000000"/>
          <w:sz w:val="22"/>
          <w:szCs w:val="22"/>
        </w:rPr>
        <w:t>é</w:t>
      </w:r>
      <w:r w:rsidR="00715E50" w:rsidRPr="006878F3">
        <w:rPr>
          <w:color w:val="000000"/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a jeho metabolity</w:t>
      </w:r>
      <w:r w:rsidR="00C53100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prechádzajú do materského mlieka</w:t>
      </w:r>
      <w:r w:rsidR="00F42295" w:rsidRPr="006878F3">
        <w:rPr>
          <w:sz w:val="22"/>
          <w:szCs w:val="22"/>
        </w:rPr>
        <w:t xml:space="preserve"> iba v nízkych koncentráciách</w:t>
      </w:r>
      <w:r w:rsidR="002158BF" w:rsidRPr="006878F3">
        <w:rPr>
          <w:sz w:val="22"/>
          <w:szCs w:val="22"/>
        </w:rPr>
        <w:t xml:space="preserve">. Keďže </w:t>
      </w:r>
      <w:r w:rsidR="00441FBB" w:rsidRPr="006878F3">
        <w:rPr>
          <w:sz w:val="22"/>
          <w:szCs w:val="22"/>
        </w:rPr>
        <w:t xml:space="preserve">doteraz </w:t>
      </w:r>
      <w:r w:rsidR="002158BF" w:rsidRPr="006878F3">
        <w:rPr>
          <w:sz w:val="22"/>
          <w:szCs w:val="22"/>
        </w:rPr>
        <w:t xml:space="preserve">nie sú známe škodlivé </w:t>
      </w:r>
      <w:r w:rsidR="00866481" w:rsidRPr="006878F3">
        <w:rPr>
          <w:sz w:val="22"/>
          <w:szCs w:val="22"/>
        </w:rPr>
        <w:t>účinky na</w:t>
      </w:r>
      <w:r w:rsidR="002158BF" w:rsidRPr="006878F3">
        <w:rPr>
          <w:sz w:val="22"/>
          <w:szCs w:val="22"/>
        </w:rPr>
        <w:t xml:space="preserve"> dojča, pri krátkodobej liečbe</w:t>
      </w:r>
      <w:r w:rsidR="005D30C9" w:rsidRPr="006878F3">
        <w:rPr>
          <w:sz w:val="22"/>
          <w:szCs w:val="22"/>
        </w:rPr>
        <w:t xml:space="preserve"> v odporúčaných dávkach </w:t>
      </w:r>
      <w:r w:rsidR="002158BF" w:rsidRPr="006878F3">
        <w:rPr>
          <w:sz w:val="22"/>
          <w:szCs w:val="22"/>
        </w:rPr>
        <w:t xml:space="preserve">nie je </w:t>
      </w:r>
      <w:r w:rsidR="00A60A03" w:rsidRPr="006878F3">
        <w:rPr>
          <w:sz w:val="22"/>
          <w:szCs w:val="22"/>
        </w:rPr>
        <w:t xml:space="preserve">zvyčajne </w:t>
      </w:r>
      <w:r w:rsidR="002158BF" w:rsidRPr="006878F3">
        <w:rPr>
          <w:sz w:val="22"/>
          <w:szCs w:val="22"/>
        </w:rPr>
        <w:t xml:space="preserve">potrebné prerušiť dojčenie.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 xml:space="preserve">Fertilita   </w:t>
      </w:r>
    </w:p>
    <w:p w:rsidR="00866481" w:rsidRPr="006878F3" w:rsidRDefault="0086648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Existuje niekoľko dôkazov, že lie</w:t>
      </w:r>
      <w:r w:rsidR="00866481" w:rsidRPr="006878F3">
        <w:rPr>
          <w:color w:val="000000"/>
          <w:sz w:val="22"/>
          <w:szCs w:val="22"/>
        </w:rPr>
        <w:t>ky</w:t>
      </w:r>
      <w:r w:rsidRPr="006878F3">
        <w:rPr>
          <w:color w:val="000000"/>
          <w:sz w:val="22"/>
          <w:szCs w:val="22"/>
        </w:rPr>
        <w:t xml:space="preserve">, ktoré inhibujú cyklooxygenázu/syntézu prostaglandínov môžu u žien ovplyvnením ovulácie spôsobiť zníženie plodnosti. Toto zníženie je po </w:t>
      </w:r>
      <w:r w:rsidR="00CF4864" w:rsidRPr="006878F3">
        <w:rPr>
          <w:color w:val="000000"/>
          <w:sz w:val="22"/>
          <w:szCs w:val="22"/>
        </w:rPr>
        <w:t xml:space="preserve">ukončení </w:t>
      </w:r>
      <w:r w:rsidRPr="006878F3">
        <w:rPr>
          <w:color w:val="000000"/>
          <w:sz w:val="22"/>
          <w:szCs w:val="22"/>
        </w:rPr>
        <w:t xml:space="preserve">liečby reverzibilné.  </w:t>
      </w:r>
    </w:p>
    <w:p w:rsidR="00441FBB" w:rsidRPr="006878F3" w:rsidRDefault="00441FBB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4.7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Ovplyvnenie schopnosti viesť vozidlá a obsluhovať stroje</w:t>
      </w:r>
    </w:p>
    <w:p w:rsidR="00715E50" w:rsidRPr="006878F3" w:rsidRDefault="00715E50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6878F3" w:rsidRDefault="00540096" w:rsidP="00540096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</w:t>
      </w:r>
      <w:r w:rsidR="00715E50" w:rsidRPr="006878F3">
        <w:rPr>
          <w:sz w:val="22"/>
          <w:szCs w:val="22"/>
        </w:rPr>
        <w:t xml:space="preserve"> má malý vplyv na schopnosť viesť vozidlá alebo obsluhovať stroje.</w:t>
      </w:r>
      <w:r w:rsidR="002158BF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Keďže však p</w:t>
      </w:r>
      <w:r w:rsidR="00327C21" w:rsidRPr="006878F3">
        <w:rPr>
          <w:sz w:val="22"/>
          <w:szCs w:val="22"/>
        </w:rPr>
        <w:t xml:space="preserve">očas užívania </w:t>
      </w:r>
      <w:r w:rsidRPr="006878F3">
        <w:rPr>
          <w:sz w:val="22"/>
          <w:szCs w:val="22"/>
        </w:rPr>
        <w:t>Ibuprofenu STADA vo vysokých dávkach</w:t>
      </w:r>
      <w:r w:rsidR="00327C21" w:rsidRPr="006878F3">
        <w:rPr>
          <w:sz w:val="22"/>
          <w:szCs w:val="22"/>
        </w:rPr>
        <w:t xml:space="preserve"> môže </w:t>
      </w:r>
      <w:r w:rsidR="0047697D" w:rsidRPr="006878F3">
        <w:rPr>
          <w:sz w:val="22"/>
          <w:szCs w:val="22"/>
        </w:rPr>
        <w:t>dôjsť</w:t>
      </w:r>
      <w:r w:rsidR="00327C21" w:rsidRPr="006878F3">
        <w:rPr>
          <w:sz w:val="22"/>
          <w:szCs w:val="22"/>
        </w:rPr>
        <w:t xml:space="preserve"> k </w:t>
      </w:r>
      <w:r w:rsidRPr="006878F3">
        <w:rPr>
          <w:sz w:val="22"/>
          <w:szCs w:val="22"/>
        </w:rPr>
        <w:t>nežiaducim</w:t>
      </w:r>
      <w:r w:rsidR="00327C21" w:rsidRPr="006878F3">
        <w:rPr>
          <w:sz w:val="22"/>
          <w:szCs w:val="22"/>
        </w:rPr>
        <w:t xml:space="preserve"> účinkom </w:t>
      </w:r>
      <w:r w:rsidRPr="006878F3">
        <w:rPr>
          <w:sz w:val="22"/>
          <w:szCs w:val="22"/>
        </w:rPr>
        <w:t xml:space="preserve">na centrálnu nervovú sústavu, </w:t>
      </w:r>
      <w:r w:rsidR="00327C21" w:rsidRPr="006878F3">
        <w:rPr>
          <w:sz w:val="22"/>
          <w:szCs w:val="22"/>
        </w:rPr>
        <w:t xml:space="preserve">ako je </w:t>
      </w:r>
      <w:r w:rsidR="00715E50" w:rsidRPr="006878F3">
        <w:rPr>
          <w:sz w:val="22"/>
          <w:szCs w:val="22"/>
        </w:rPr>
        <w:t>únava</w:t>
      </w:r>
      <w:r w:rsidRPr="006878F3">
        <w:rPr>
          <w:sz w:val="22"/>
          <w:szCs w:val="22"/>
        </w:rPr>
        <w:t>, poruchy zraku</w:t>
      </w:r>
      <w:r w:rsidR="00715E50" w:rsidRPr="006878F3">
        <w:rPr>
          <w:sz w:val="22"/>
          <w:szCs w:val="22"/>
        </w:rPr>
        <w:t xml:space="preserve"> a</w:t>
      </w:r>
      <w:r w:rsidRPr="006878F3">
        <w:rPr>
          <w:sz w:val="22"/>
          <w:szCs w:val="22"/>
        </w:rPr>
        <w:t> </w:t>
      </w:r>
      <w:r w:rsidR="00715E50" w:rsidRPr="006878F3">
        <w:rPr>
          <w:sz w:val="22"/>
          <w:szCs w:val="22"/>
        </w:rPr>
        <w:t>závrat</w:t>
      </w:r>
      <w:r w:rsidRPr="006878F3">
        <w:rPr>
          <w:sz w:val="22"/>
          <w:szCs w:val="22"/>
        </w:rPr>
        <w:t>, v ojedinelých prípadoch môže byť zmenená s</w:t>
      </w:r>
      <w:r w:rsidR="0047697D" w:rsidRPr="006878F3">
        <w:rPr>
          <w:sz w:val="22"/>
          <w:szCs w:val="22"/>
        </w:rPr>
        <w:t xml:space="preserve">chopnosť </w:t>
      </w:r>
      <w:r w:rsidR="00A60A03" w:rsidRPr="006878F3">
        <w:rPr>
          <w:sz w:val="22"/>
          <w:szCs w:val="22"/>
        </w:rPr>
        <w:t>reagovať</w:t>
      </w:r>
      <w:r w:rsidR="005158EB" w:rsidRPr="006878F3">
        <w:rPr>
          <w:sz w:val="22"/>
          <w:szCs w:val="22"/>
        </w:rPr>
        <w:t xml:space="preserve"> a</w:t>
      </w:r>
      <w:r w:rsidR="0047697D" w:rsidRPr="006878F3">
        <w:rPr>
          <w:sz w:val="22"/>
          <w:szCs w:val="22"/>
        </w:rPr>
        <w:t xml:space="preserve"> </w:t>
      </w:r>
      <w:r w:rsidR="005158EB" w:rsidRPr="006878F3">
        <w:rPr>
          <w:sz w:val="22"/>
          <w:szCs w:val="22"/>
        </w:rPr>
        <w:t xml:space="preserve">znížená </w:t>
      </w:r>
      <w:r w:rsidR="0047697D" w:rsidRPr="006878F3">
        <w:rPr>
          <w:sz w:val="22"/>
          <w:szCs w:val="22"/>
        </w:rPr>
        <w:t>schopnosť</w:t>
      </w:r>
      <w:r w:rsidR="002158BF" w:rsidRPr="006878F3">
        <w:rPr>
          <w:sz w:val="22"/>
          <w:szCs w:val="22"/>
        </w:rPr>
        <w:t xml:space="preserve"> viesť vozidlá alebo obsluhovať stroje. Toto vo </w:t>
      </w:r>
      <w:r w:rsidRPr="006878F3">
        <w:rPr>
          <w:sz w:val="22"/>
          <w:szCs w:val="22"/>
        </w:rPr>
        <w:t>zvýšenej</w:t>
      </w:r>
      <w:r w:rsidR="002158BF" w:rsidRPr="006878F3">
        <w:rPr>
          <w:sz w:val="22"/>
          <w:szCs w:val="22"/>
        </w:rPr>
        <w:t xml:space="preserve"> miere platí pri kombinácii s</w:t>
      </w:r>
      <w:r w:rsidR="008453DD" w:rsidRPr="006878F3">
        <w:rPr>
          <w:sz w:val="22"/>
          <w:szCs w:val="22"/>
        </w:rPr>
        <w:t> </w:t>
      </w:r>
      <w:r w:rsidR="002158BF" w:rsidRPr="006878F3">
        <w:rPr>
          <w:sz w:val="22"/>
          <w:szCs w:val="22"/>
        </w:rPr>
        <w:t>alkoholom.</w:t>
      </w:r>
    </w:p>
    <w:p w:rsidR="00540096" w:rsidRPr="006878F3" w:rsidRDefault="00540096" w:rsidP="00540096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>4.8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Nežiaduce účinky</w:t>
      </w: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</w:p>
    <w:p w:rsidR="00327C21" w:rsidRPr="006878F3" w:rsidRDefault="00327C2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Zoznam nasledovných nežiaducich účinkov zahŕňa všetky nežiaduce účinky, ktoré sa počas liečby </w:t>
      </w:r>
      <w:r w:rsidR="00C104AF" w:rsidRPr="006878F3">
        <w:rPr>
          <w:color w:val="000000"/>
          <w:sz w:val="22"/>
          <w:szCs w:val="22"/>
        </w:rPr>
        <w:t>ibuprof</w:t>
      </w:r>
      <w:r w:rsidR="00AE06FB" w:rsidRPr="006878F3">
        <w:rPr>
          <w:color w:val="000000"/>
          <w:sz w:val="22"/>
          <w:szCs w:val="22"/>
        </w:rPr>
        <w:t>é</w:t>
      </w:r>
      <w:r w:rsidRPr="006878F3">
        <w:rPr>
          <w:color w:val="000000"/>
          <w:sz w:val="22"/>
          <w:szCs w:val="22"/>
        </w:rPr>
        <w:t xml:space="preserve">nom zaznamenali a tie, ktoré sa vyskytli </w:t>
      </w:r>
      <w:r w:rsidR="00AD4C9E" w:rsidRPr="006878F3">
        <w:rPr>
          <w:color w:val="000000"/>
          <w:sz w:val="22"/>
          <w:szCs w:val="22"/>
        </w:rPr>
        <w:t>pri</w:t>
      </w:r>
      <w:r w:rsidRPr="006878F3">
        <w:rPr>
          <w:color w:val="000000"/>
          <w:sz w:val="22"/>
          <w:szCs w:val="22"/>
        </w:rPr>
        <w:t xml:space="preserve"> dlhodobej liečbe </w:t>
      </w:r>
      <w:r w:rsidR="00AD4C9E" w:rsidRPr="006878F3">
        <w:rPr>
          <w:color w:val="000000"/>
          <w:sz w:val="22"/>
          <w:szCs w:val="22"/>
        </w:rPr>
        <w:t>s</w:t>
      </w:r>
      <w:r w:rsidRPr="006878F3">
        <w:rPr>
          <w:color w:val="000000"/>
          <w:sz w:val="22"/>
          <w:szCs w:val="22"/>
        </w:rPr>
        <w:t xml:space="preserve"> vysoký</w:t>
      </w:r>
      <w:r w:rsidR="00AD4C9E" w:rsidRPr="006878F3">
        <w:rPr>
          <w:color w:val="000000"/>
          <w:sz w:val="22"/>
          <w:szCs w:val="22"/>
        </w:rPr>
        <w:t>mi</w:t>
      </w:r>
      <w:r w:rsidRPr="006878F3">
        <w:rPr>
          <w:color w:val="000000"/>
          <w:sz w:val="22"/>
          <w:szCs w:val="22"/>
        </w:rPr>
        <w:t xml:space="preserve"> dávka</w:t>
      </w:r>
      <w:r w:rsidR="00AD4C9E" w:rsidRPr="006878F3">
        <w:rPr>
          <w:color w:val="000000"/>
          <w:sz w:val="22"/>
          <w:szCs w:val="22"/>
        </w:rPr>
        <w:t>mi</w:t>
      </w:r>
      <w:r w:rsidRPr="006878F3">
        <w:rPr>
          <w:color w:val="000000"/>
          <w:sz w:val="22"/>
          <w:szCs w:val="22"/>
        </w:rPr>
        <w:t xml:space="preserve"> u</w:t>
      </w:r>
      <w:r w:rsidR="008453DD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>reumatických pacientov. Stanovená častosť výskytu, ktorá siaha až po veľmi zriedkavé hlásenia, sa týka krátkodobého používania denných dávok po maximálnu dennú dávku 1</w:t>
      </w:r>
      <w:r w:rsidR="008453DD" w:rsidRPr="006878F3">
        <w:rPr>
          <w:color w:val="000000"/>
          <w:sz w:val="22"/>
          <w:szCs w:val="22"/>
        </w:rPr>
        <w:t> </w:t>
      </w:r>
      <w:r w:rsidRPr="006878F3">
        <w:rPr>
          <w:color w:val="000000"/>
          <w:sz w:val="22"/>
          <w:szCs w:val="22"/>
        </w:rPr>
        <w:t xml:space="preserve">200 mg </w:t>
      </w:r>
      <w:r w:rsidR="00DF4EEF" w:rsidRPr="006878F3">
        <w:rPr>
          <w:color w:val="000000"/>
          <w:sz w:val="22"/>
          <w:szCs w:val="22"/>
        </w:rPr>
        <w:t>ibuprof</w:t>
      </w:r>
      <w:r w:rsidR="00AE06FB" w:rsidRPr="006878F3">
        <w:rPr>
          <w:color w:val="000000"/>
          <w:sz w:val="22"/>
          <w:szCs w:val="22"/>
        </w:rPr>
        <w:t>é</w:t>
      </w:r>
      <w:r w:rsidR="00DF4EEF" w:rsidRPr="006878F3">
        <w:rPr>
          <w:color w:val="000000"/>
          <w:sz w:val="22"/>
          <w:szCs w:val="22"/>
        </w:rPr>
        <w:t xml:space="preserve">nu </w:t>
      </w:r>
      <w:r w:rsidRPr="006878F3">
        <w:rPr>
          <w:color w:val="000000"/>
          <w:sz w:val="22"/>
          <w:szCs w:val="22"/>
        </w:rPr>
        <w:t>pr</w:t>
      </w:r>
      <w:r w:rsidR="00A27437" w:rsidRPr="006878F3">
        <w:rPr>
          <w:color w:val="000000"/>
          <w:sz w:val="22"/>
          <w:szCs w:val="22"/>
        </w:rPr>
        <w:t>e</w:t>
      </w:r>
      <w:r w:rsidRPr="006878F3">
        <w:rPr>
          <w:color w:val="000000"/>
          <w:sz w:val="22"/>
          <w:szCs w:val="22"/>
        </w:rPr>
        <w:t xml:space="preserve"> peroráln</w:t>
      </w:r>
      <w:r w:rsidR="00A27437" w:rsidRPr="006878F3">
        <w:rPr>
          <w:color w:val="000000"/>
          <w:sz w:val="22"/>
          <w:szCs w:val="22"/>
        </w:rPr>
        <w:t>e</w:t>
      </w:r>
      <w:r w:rsidRPr="006878F3">
        <w:rPr>
          <w:color w:val="000000"/>
          <w:sz w:val="22"/>
          <w:szCs w:val="22"/>
        </w:rPr>
        <w:t xml:space="preserve"> </w:t>
      </w:r>
      <w:r w:rsidR="00A27437" w:rsidRPr="006878F3">
        <w:rPr>
          <w:color w:val="000000"/>
          <w:sz w:val="22"/>
          <w:szCs w:val="22"/>
        </w:rPr>
        <w:t xml:space="preserve">liekové formy </w:t>
      </w:r>
      <w:r w:rsidRPr="006878F3">
        <w:rPr>
          <w:color w:val="000000"/>
          <w:sz w:val="22"/>
          <w:szCs w:val="22"/>
        </w:rPr>
        <w:t>a </w:t>
      </w:r>
      <w:r w:rsidR="007A17D6" w:rsidRPr="006878F3">
        <w:rPr>
          <w:color w:val="000000"/>
          <w:sz w:val="22"/>
          <w:szCs w:val="22"/>
        </w:rPr>
        <w:t>maximálne</w:t>
      </w:r>
      <w:r w:rsidRPr="006878F3">
        <w:rPr>
          <w:color w:val="000000"/>
          <w:sz w:val="22"/>
          <w:szCs w:val="22"/>
        </w:rPr>
        <w:t xml:space="preserve"> 1800 mg pre čapíky. </w:t>
      </w:r>
    </w:p>
    <w:p w:rsidR="00327C21" w:rsidRPr="006878F3" w:rsidRDefault="00327C2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lastRenderedPageBreak/>
        <w:t xml:space="preserve">Pri nasledovných nežiaducich reakciách na liečivo treba brať do úvahy, </w:t>
      </w:r>
      <w:r w:rsidR="00AD4C9E" w:rsidRPr="006878F3">
        <w:rPr>
          <w:color w:val="000000"/>
          <w:sz w:val="22"/>
          <w:szCs w:val="22"/>
        </w:rPr>
        <w:t>že sú prevažne závislé od dávky a</w:t>
      </w:r>
      <w:r w:rsidRPr="006878F3">
        <w:rPr>
          <w:color w:val="000000"/>
          <w:sz w:val="22"/>
          <w:szCs w:val="22"/>
        </w:rPr>
        <w:t xml:space="preserve"> s individuálnymi rozdielmi u pacientov.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Najčastejšie pozorované nežiaduce </w:t>
      </w:r>
      <w:r w:rsidR="00AD4C9E" w:rsidRPr="006878F3">
        <w:rPr>
          <w:sz w:val="22"/>
          <w:szCs w:val="22"/>
        </w:rPr>
        <w:t>reakcie</w:t>
      </w:r>
      <w:r w:rsidR="003D1485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sú gastrointestinálne</w:t>
      </w:r>
      <w:r w:rsidR="00AD4C9E" w:rsidRPr="006878F3">
        <w:rPr>
          <w:sz w:val="22"/>
          <w:szCs w:val="22"/>
        </w:rPr>
        <w:t>j povahy</w:t>
      </w:r>
      <w:r w:rsidRPr="006878F3">
        <w:rPr>
          <w:sz w:val="22"/>
          <w:szCs w:val="22"/>
        </w:rPr>
        <w:t>.</w:t>
      </w:r>
      <w:r w:rsidR="000112B0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Vyskytnúť sa môž</w:t>
      </w:r>
      <w:r w:rsidR="00897E3F" w:rsidRPr="006878F3">
        <w:rPr>
          <w:sz w:val="22"/>
          <w:szCs w:val="22"/>
        </w:rPr>
        <w:t>u</w:t>
      </w:r>
      <w:r w:rsidRPr="006878F3">
        <w:rPr>
          <w:sz w:val="22"/>
          <w:szCs w:val="22"/>
        </w:rPr>
        <w:t xml:space="preserve"> žalúdočn</w:t>
      </w:r>
      <w:r w:rsidR="00897E3F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 vred</w:t>
      </w:r>
      <w:r w:rsidR="00897E3F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, perforácia alebo gastrointestinálne krvácanie, </w:t>
      </w:r>
      <w:r w:rsidR="00AD4C9E" w:rsidRPr="006878F3">
        <w:rPr>
          <w:sz w:val="22"/>
          <w:szCs w:val="22"/>
        </w:rPr>
        <w:t>niekedy</w:t>
      </w:r>
      <w:r w:rsidRPr="006878F3">
        <w:rPr>
          <w:sz w:val="22"/>
          <w:szCs w:val="22"/>
        </w:rPr>
        <w:t xml:space="preserve"> fatálne, </w:t>
      </w:r>
      <w:r w:rsidR="00D1161F" w:rsidRPr="006878F3">
        <w:rPr>
          <w:sz w:val="22"/>
          <w:szCs w:val="22"/>
        </w:rPr>
        <w:t xml:space="preserve">najmä </w:t>
      </w:r>
      <w:r w:rsidRPr="006878F3">
        <w:rPr>
          <w:sz w:val="22"/>
          <w:szCs w:val="22"/>
        </w:rPr>
        <w:t xml:space="preserve">u starších </w:t>
      </w:r>
      <w:r w:rsidR="00B007D2" w:rsidRPr="006878F3">
        <w:rPr>
          <w:sz w:val="22"/>
          <w:szCs w:val="22"/>
        </w:rPr>
        <w:t>ľudí</w:t>
      </w:r>
      <w:r w:rsidRPr="006878F3">
        <w:rPr>
          <w:sz w:val="22"/>
          <w:szCs w:val="22"/>
        </w:rPr>
        <w:t xml:space="preserve"> (pozri časť 4.4).</w:t>
      </w:r>
      <w:r w:rsidR="000112B0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Po podávaní </w:t>
      </w:r>
      <w:r w:rsidR="00C104AF" w:rsidRPr="006878F3">
        <w:rPr>
          <w:sz w:val="22"/>
          <w:szCs w:val="22"/>
        </w:rPr>
        <w:t>ibuprof</w:t>
      </w:r>
      <w:r w:rsidR="00AE06FB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>u boli hlásené nevoľnosť, vracanie, hnačk</w:t>
      </w:r>
      <w:r w:rsidR="00AD4C9E" w:rsidRPr="006878F3">
        <w:rPr>
          <w:sz w:val="22"/>
          <w:szCs w:val="22"/>
        </w:rPr>
        <w:t>a</w:t>
      </w:r>
      <w:r w:rsidRPr="006878F3">
        <w:rPr>
          <w:sz w:val="22"/>
          <w:szCs w:val="22"/>
        </w:rPr>
        <w:t xml:space="preserve">, plynatosť, zápcha, dyspepsia, bolesť brucha, meléna, hemateméza, ulcerózna stomatitída, exacerbácia kolitídy a Crohnovej choroby (pozri časť 4.4). Menej často </w:t>
      </w:r>
      <w:r w:rsidR="00D1161F" w:rsidRPr="006878F3">
        <w:rPr>
          <w:sz w:val="22"/>
          <w:szCs w:val="22"/>
        </w:rPr>
        <w:t xml:space="preserve">bola </w:t>
      </w:r>
      <w:r w:rsidRPr="006878F3">
        <w:rPr>
          <w:sz w:val="22"/>
          <w:szCs w:val="22"/>
        </w:rPr>
        <w:t>zaznamena</w:t>
      </w:r>
      <w:r w:rsidR="00D1161F" w:rsidRPr="006878F3">
        <w:rPr>
          <w:sz w:val="22"/>
          <w:szCs w:val="22"/>
        </w:rPr>
        <w:t>ná</w:t>
      </w:r>
      <w:r w:rsidRPr="006878F3">
        <w:rPr>
          <w:sz w:val="22"/>
          <w:szCs w:val="22"/>
        </w:rPr>
        <w:t xml:space="preserve"> gastritída. </w:t>
      </w:r>
      <w:r w:rsidR="00AD4C9E" w:rsidRPr="006878F3">
        <w:rPr>
          <w:sz w:val="22"/>
          <w:szCs w:val="22"/>
        </w:rPr>
        <w:t xml:space="preserve"> </w:t>
      </w:r>
      <w:r w:rsidR="005618CC" w:rsidRPr="006878F3">
        <w:rPr>
          <w:sz w:val="22"/>
          <w:szCs w:val="22"/>
        </w:rPr>
        <w:t>R</w:t>
      </w:r>
      <w:r w:rsidR="00AD4C9E" w:rsidRPr="006878F3">
        <w:rPr>
          <w:sz w:val="22"/>
          <w:szCs w:val="22"/>
        </w:rPr>
        <w:t xml:space="preserve">iziko gastrointestinálneho krvácania je </w:t>
      </w:r>
      <w:r w:rsidR="005618CC" w:rsidRPr="006878F3">
        <w:rPr>
          <w:sz w:val="22"/>
          <w:szCs w:val="22"/>
        </w:rPr>
        <w:t xml:space="preserve">predovšetkým </w:t>
      </w:r>
      <w:r w:rsidR="00AD4C9E" w:rsidRPr="006878F3">
        <w:rPr>
          <w:sz w:val="22"/>
          <w:szCs w:val="22"/>
        </w:rPr>
        <w:t>závislé od rozmedzia dávok a dĺžky užívania.</w:t>
      </w:r>
    </w:p>
    <w:p w:rsidR="00B007D2" w:rsidRPr="006878F3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3692B" w:rsidRPr="006878F3" w:rsidRDefault="0093692B" w:rsidP="0093692B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V súvislosti s liečbou NSAID bol hlásený edém, hypertenzia a zlyhávanie srdca</w:t>
      </w:r>
      <w:r w:rsidR="009C732B" w:rsidRPr="006878F3">
        <w:rPr>
          <w:rStyle w:val="Odkaznakomentr"/>
          <w:sz w:val="22"/>
          <w:szCs w:val="22"/>
          <w:lang w:eastAsia="x-none"/>
        </w:rPr>
        <w:t>.</w:t>
      </w:r>
    </w:p>
    <w:p w:rsidR="0093692B" w:rsidRPr="006878F3" w:rsidRDefault="0093692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7D78" w:rsidRPr="006878F3" w:rsidRDefault="00F97D78" w:rsidP="003C602A">
      <w:pPr>
        <w:rPr>
          <w:sz w:val="22"/>
          <w:szCs w:val="22"/>
        </w:rPr>
      </w:pPr>
      <w:r w:rsidRPr="006878F3">
        <w:rPr>
          <w:sz w:val="22"/>
          <w:szCs w:val="22"/>
        </w:rPr>
        <w:t>Klinické štúdie naznačili, že používanie ibuprof</w:t>
      </w:r>
      <w:r w:rsidR="002B6411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nu, najmä vo vysokých dávkach (2 400 mg denne) môže byť spojené s malým zvýšeným rizikom arteriálnych trombotických udalostí (napríklad infarkt myokardu alebo mozgová príhoda) (pozri časť 4.4). </w:t>
      </w:r>
    </w:p>
    <w:p w:rsidR="00AD4C9E" w:rsidRPr="006878F3" w:rsidRDefault="00AD4C9E" w:rsidP="003C602A">
      <w:pPr>
        <w:rPr>
          <w:sz w:val="22"/>
          <w:szCs w:val="22"/>
        </w:rPr>
      </w:pPr>
    </w:p>
    <w:p w:rsidR="00AD4C9E" w:rsidRPr="006878F3" w:rsidRDefault="00AD4C9E" w:rsidP="003C602A">
      <w:pPr>
        <w:rPr>
          <w:sz w:val="22"/>
          <w:szCs w:val="22"/>
        </w:rPr>
      </w:pPr>
      <w:r w:rsidRPr="006878F3">
        <w:rPr>
          <w:sz w:val="22"/>
          <w:szCs w:val="22"/>
        </w:rPr>
        <w:t>Pacie</w:t>
      </w:r>
      <w:r w:rsidR="00A42112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>ti majú byť informovaní, aby po spozorovaní závažných nežiaducich reakcií na liečivo okamžite prestali užívať Ibuprofen STADA a poradili sa s lekárom.</w:t>
      </w:r>
    </w:p>
    <w:p w:rsidR="00AD4C9E" w:rsidRPr="006878F3" w:rsidRDefault="00AD4C9E" w:rsidP="003C602A">
      <w:pPr>
        <w:rPr>
          <w:sz w:val="22"/>
          <w:szCs w:val="22"/>
        </w:rPr>
      </w:pPr>
    </w:p>
    <w:p w:rsidR="00AD4C9E" w:rsidRPr="006878F3" w:rsidRDefault="00AD4C9E" w:rsidP="00AD4C9E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Frekvencie sú definované ako: veľmi časté (≥ 1/10), časté (</w:t>
      </w:r>
      <w:r w:rsidRPr="006878F3">
        <w:rPr>
          <w:sz w:val="22"/>
          <w:szCs w:val="22"/>
        </w:rPr>
        <w:sym w:font="Symbol" w:char="F0B3"/>
      </w:r>
      <w:r w:rsidRPr="006878F3">
        <w:rPr>
          <w:sz w:val="22"/>
          <w:szCs w:val="22"/>
        </w:rPr>
        <w:t> 1/100 až &lt; 1/10), menej časté (</w:t>
      </w:r>
      <w:r w:rsidRPr="006878F3">
        <w:rPr>
          <w:sz w:val="22"/>
          <w:szCs w:val="22"/>
        </w:rPr>
        <w:sym w:font="Symbol" w:char="F0B3"/>
      </w:r>
      <w:r w:rsidRPr="006878F3">
        <w:rPr>
          <w:sz w:val="22"/>
          <w:szCs w:val="22"/>
        </w:rPr>
        <w:t> 1/1 000 až &lt; 1/100), zriedkavé (</w:t>
      </w:r>
      <w:r w:rsidRPr="006878F3">
        <w:rPr>
          <w:sz w:val="22"/>
          <w:szCs w:val="22"/>
        </w:rPr>
        <w:sym w:font="Symbol" w:char="F0B3"/>
      </w:r>
      <w:r w:rsidRPr="006878F3">
        <w:rPr>
          <w:sz w:val="22"/>
          <w:szCs w:val="22"/>
        </w:rPr>
        <w:t> 1/10 000 až &lt; 1/1 000), veľmi zriedkavé (&lt; 1/10 000)</w:t>
      </w:r>
    </w:p>
    <w:p w:rsidR="00EC0190" w:rsidRPr="006878F3" w:rsidRDefault="00EC0190" w:rsidP="00AD4C9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3722"/>
      </w:tblGrid>
      <w:tr w:rsidR="00AD4C9E" w:rsidRPr="006878F3" w:rsidTr="00FF4BA1">
        <w:tc>
          <w:tcPr>
            <w:tcW w:w="2660" w:type="dxa"/>
            <w:shd w:val="clear" w:color="auto" w:fill="auto"/>
          </w:tcPr>
          <w:p w:rsidR="00AD4C9E" w:rsidRPr="006878F3" w:rsidRDefault="004F533F" w:rsidP="003C602A">
            <w:pPr>
              <w:rPr>
                <w:b/>
                <w:sz w:val="22"/>
                <w:szCs w:val="22"/>
              </w:rPr>
            </w:pPr>
            <w:r w:rsidRPr="006878F3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1984" w:type="dxa"/>
            <w:shd w:val="clear" w:color="auto" w:fill="auto"/>
          </w:tcPr>
          <w:p w:rsidR="00AD4C9E" w:rsidRPr="006878F3" w:rsidRDefault="004F533F" w:rsidP="003C602A">
            <w:pPr>
              <w:rPr>
                <w:b/>
                <w:sz w:val="22"/>
                <w:szCs w:val="22"/>
              </w:rPr>
            </w:pPr>
            <w:r w:rsidRPr="006878F3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4F533F" w:rsidP="004F533F">
            <w:pPr>
              <w:rPr>
                <w:b/>
                <w:sz w:val="22"/>
                <w:szCs w:val="22"/>
              </w:rPr>
            </w:pPr>
            <w:r w:rsidRPr="006878F3">
              <w:rPr>
                <w:b/>
                <w:sz w:val="22"/>
                <w:szCs w:val="22"/>
              </w:rPr>
              <w:t>Nežiaduca udalosť</w:t>
            </w: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4F533F" w:rsidRPr="000252B9" w:rsidRDefault="004F533F" w:rsidP="004F533F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Infekcie a nákazy   </w:t>
            </w:r>
          </w:p>
          <w:p w:rsidR="00AD4C9E" w:rsidRPr="006878F3" w:rsidRDefault="00AD4C9E" w:rsidP="003C60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4F533F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4F533F" w:rsidP="004F533F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Exacerbácia infekčného zápalu (napr. vznik nekrotizujúcej fasciitídy) bola opísaná v časovej súvislosti </w:t>
            </w:r>
            <w:r w:rsidRPr="006878F3">
              <w:rPr>
                <w:noProof/>
                <w:sz w:val="22"/>
                <w:szCs w:val="22"/>
              </w:rPr>
              <w:t xml:space="preserve">so systémovým </w:t>
            </w:r>
            <w:r w:rsidRPr="006878F3">
              <w:rPr>
                <w:sz w:val="22"/>
                <w:szCs w:val="22"/>
              </w:rPr>
              <w:t>podávaním nesteroidných protizápalových liečiv. To je pravdepodobne spojené s mechanizmom účinku nesteroidných protizápalových liečiv.</w:t>
            </w:r>
          </w:p>
          <w:p w:rsidR="004F533F" w:rsidRPr="006878F3" w:rsidRDefault="004F533F" w:rsidP="004F533F">
            <w:pPr>
              <w:rPr>
                <w:sz w:val="22"/>
                <w:szCs w:val="22"/>
              </w:rPr>
            </w:pPr>
          </w:p>
          <w:p w:rsidR="004F533F" w:rsidRPr="006878F3" w:rsidRDefault="004F533F" w:rsidP="004F533F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 súvislosti s liečbou ibuprof</w:t>
            </w:r>
            <w:r w:rsidR="002B6411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 xml:space="preserve">nom boli zaznamenané prejavy aseptickej </w:t>
            </w:r>
          </w:p>
          <w:p w:rsidR="004F533F" w:rsidRPr="006878F3" w:rsidRDefault="004F533F" w:rsidP="004F53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meningitídy ako sú stuhnutie šije, bolesť hlavy, nevoľnosť, vracanie, horúčka, alebo poruchy vedomia. Pacienti s určitými poruchami imunitného systému (systémový lupus erythematosus alebo zmiešaná choroba spojivového tkaniva) môžu byť vystavení vyššiemu riziku. </w:t>
            </w:r>
          </w:p>
          <w:p w:rsidR="004F533F" w:rsidRPr="006878F3" w:rsidRDefault="004F533F" w:rsidP="004F533F">
            <w:pPr>
              <w:rPr>
                <w:sz w:val="22"/>
                <w:szCs w:val="22"/>
              </w:rPr>
            </w:pP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4F533F" w:rsidRPr="000252B9" w:rsidRDefault="004F533F" w:rsidP="004F533F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krvi a lymfatického systému  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4F533F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4F533F" w:rsidRPr="006878F3" w:rsidRDefault="004F533F" w:rsidP="004F533F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Poruchy krvotvorby (anémia, leukopénia, trombocytopénia, pancytopénia,</w:t>
            </w:r>
          </w:p>
          <w:p w:rsidR="00AD4C9E" w:rsidRPr="006878F3" w:rsidRDefault="004F533F" w:rsidP="00EC019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agranulocytóza</w:t>
            </w:r>
            <w:r w:rsidRPr="006878F3">
              <w:rPr>
                <w:sz w:val="22"/>
                <w:szCs w:val="22"/>
              </w:rPr>
              <w:t>). Skoré prejavy môžu zahŕňať</w:t>
            </w:r>
            <w:r w:rsidR="00EC0190" w:rsidRPr="006878F3">
              <w:rPr>
                <w:sz w:val="22"/>
                <w:szCs w:val="22"/>
              </w:rPr>
              <w:t xml:space="preserve"> horúčku, bolesť</w:t>
            </w:r>
            <w:r w:rsidRPr="006878F3">
              <w:rPr>
                <w:sz w:val="22"/>
                <w:szCs w:val="22"/>
              </w:rPr>
              <w:t xml:space="preserve"> hrdla, povrchové lézie v ústach, chrípke podobné príznaky, závažnú malátnosť, krvácanie z nosa a krvácanie z kože. Pri dlhodobej liečbe ibuprof</w:t>
            </w:r>
            <w:r w:rsidR="002B6411" w:rsidRPr="006878F3">
              <w:rPr>
                <w:sz w:val="22"/>
                <w:szCs w:val="22"/>
              </w:rPr>
              <w:t>é</w:t>
            </w:r>
            <w:r w:rsidRPr="006878F3">
              <w:rPr>
                <w:sz w:val="22"/>
                <w:szCs w:val="22"/>
              </w:rPr>
              <w:t>nom sa má pravidelne kontrolovať krvný obraz</w:t>
            </w:r>
          </w:p>
          <w:p w:rsidR="00EC0190" w:rsidRPr="006878F3" w:rsidRDefault="00EC0190" w:rsidP="00EC0190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</w:tr>
      <w:tr w:rsidR="00EC0190" w:rsidRPr="006878F3" w:rsidTr="00FF4BA1">
        <w:trPr>
          <w:trHeight w:val="383"/>
        </w:trPr>
        <w:tc>
          <w:tcPr>
            <w:tcW w:w="2660" w:type="dxa"/>
            <w:vMerge w:val="restart"/>
            <w:shd w:val="clear" w:color="auto" w:fill="auto"/>
          </w:tcPr>
          <w:p w:rsidR="00EC0190" w:rsidRPr="000252B9" w:rsidRDefault="00EC0190" w:rsidP="00EC019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imunitného </w:t>
            </w:r>
            <w:r w:rsidRPr="000252B9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systému </w:t>
            </w:r>
          </w:p>
          <w:p w:rsidR="00EC0190" w:rsidRPr="000252B9" w:rsidRDefault="00EC0190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C0190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lastRenderedPageBreak/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EC0190" w:rsidRPr="006878F3" w:rsidRDefault="00EC0190" w:rsidP="00EC019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right="-144" w:hanging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Reakcie z precitlivenosti vrátane vyrážky </w:t>
            </w:r>
            <w:r w:rsidRPr="006878F3">
              <w:rPr>
                <w:sz w:val="22"/>
                <w:szCs w:val="22"/>
              </w:rPr>
              <w:lastRenderedPageBreak/>
              <w:t xml:space="preserve">a svrbenia, ako i astmatické záchvaty </w:t>
            </w:r>
          </w:p>
          <w:p w:rsidR="00EC0190" w:rsidRPr="006878F3" w:rsidRDefault="00EC0190" w:rsidP="00EC019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right="-144" w:hanging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(s možnosťou poklesu krvného tlaku). </w:t>
            </w:r>
          </w:p>
          <w:p w:rsidR="00EC0190" w:rsidRPr="006878F3" w:rsidRDefault="00EC0190" w:rsidP="003C602A">
            <w:pPr>
              <w:rPr>
                <w:sz w:val="22"/>
                <w:szCs w:val="22"/>
              </w:rPr>
            </w:pPr>
          </w:p>
        </w:tc>
      </w:tr>
      <w:tr w:rsidR="00EC0190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EC0190" w:rsidRPr="000252B9" w:rsidRDefault="00EC0190" w:rsidP="00EC019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C0190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EC0190" w:rsidRPr="006878F3" w:rsidRDefault="00EC0190" w:rsidP="00EC0190">
            <w:pPr>
              <w:widowControl w:val="0"/>
              <w:ind w:left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 xml:space="preserve">Závažné celkové reakcie  precitlivenosti. Tie sa môžu prejaviť ako opuch tváre, opuch jazyka, opuch vnútorného hrtana so zúžením dýchacích ciest, ťažkosti s dýchaním, tachykardia, pokles krvného tlaku až život ohrozujúci šok. </w:t>
            </w:r>
          </w:p>
          <w:p w:rsidR="00EC0190" w:rsidRPr="006878F3" w:rsidRDefault="00EC0190" w:rsidP="00EC0190">
            <w:pPr>
              <w:widowControl w:val="0"/>
              <w:ind w:left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Pri výskyte jedného z týchto príznakov, čo sa môže stať aj pri prvom užití lieku, je nutné bezodkladne vyhľadať lekársku pomoc.</w:t>
            </w:r>
          </w:p>
          <w:p w:rsidR="00EC0190" w:rsidRPr="006878F3" w:rsidRDefault="00EC0190" w:rsidP="003C602A">
            <w:pPr>
              <w:rPr>
                <w:sz w:val="22"/>
                <w:szCs w:val="22"/>
              </w:rPr>
            </w:pP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EC0190" w:rsidRPr="000252B9" w:rsidRDefault="00EC0190" w:rsidP="00EC019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Psychické poruchy   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EC0190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Psychotické reakcie, depresia</w:t>
            </w: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nervového systému     </w:t>
            </w:r>
          </w:p>
          <w:p w:rsidR="00AD4C9E" w:rsidRPr="000252B9" w:rsidRDefault="00AD4C9E" w:rsidP="00EC019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167848" w:rsidP="00167848">
            <w:pPr>
              <w:autoSpaceDE w:val="0"/>
              <w:autoSpaceDN w:val="0"/>
              <w:adjustRightInd w:val="0"/>
              <w:ind w:left="34" w:hanging="34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Poruchy </w:t>
            </w:r>
            <w:r w:rsidRPr="006878F3">
              <w:rPr>
                <w:sz w:val="22"/>
                <w:szCs w:val="22"/>
              </w:rPr>
              <w:t>centrálneho nervového systému ako je bolesť hlavy, závrat, nespavosť, agitácia, podráždenosť alebo únava.</w:t>
            </w:r>
            <w:r w:rsidRPr="006878F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D4C9E" w:rsidRPr="006878F3" w:rsidTr="00FF4BA1">
        <w:trPr>
          <w:trHeight w:val="401"/>
        </w:trPr>
        <w:tc>
          <w:tcPr>
            <w:tcW w:w="2660" w:type="dxa"/>
            <w:shd w:val="clear" w:color="auto" w:fill="auto"/>
          </w:tcPr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oka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167848" w:rsidP="0016784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Poruchy videnia. </w:t>
            </w:r>
          </w:p>
        </w:tc>
      </w:tr>
      <w:tr w:rsidR="00AD4C9E" w:rsidRPr="006878F3" w:rsidTr="00FF4BA1">
        <w:tc>
          <w:tcPr>
            <w:tcW w:w="2660" w:type="dxa"/>
            <w:shd w:val="clear" w:color="auto" w:fill="auto"/>
          </w:tcPr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ucha a labyrintu  </w:t>
            </w:r>
          </w:p>
          <w:p w:rsidR="00AD4C9E" w:rsidRPr="000252B9" w:rsidRDefault="00AD4C9E" w:rsidP="003C602A">
            <w:pPr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Zriedkavé</w:t>
            </w:r>
          </w:p>
        </w:tc>
        <w:tc>
          <w:tcPr>
            <w:tcW w:w="3722" w:type="dxa"/>
            <w:shd w:val="clear" w:color="auto" w:fill="auto"/>
          </w:tcPr>
          <w:p w:rsidR="00AD4C9E" w:rsidRPr="006878F3" w:rsidRDefault="00167848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Tinitus.</w:t>
            </w:r>
          </w:p>
        </w:tc>
      </w:tr>
      <w:tr w:rsidR="00167848" w:rsidRPr="006878F3" w:rsidTr="00FF4BA1">
        <w:tc>
          <w:tcPr>
            <w:tcW w:w="2660" w:type="dxa"/>
            <w:shd w:val="clear" w:color="auto" w:fill="auto"/>
          </w:tcPr>
          <w:p w:rsidR="00167848" w:rsidRPr="000252B9" w:rsidRDefault="00823DDD" w:rsidP="00823DDD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srdca a srdcovej činnosti  </w:t>
            </w:r>
          </w:p>
        </w:tc>
        <w:tc>
          <w:tcPr>
            <w:tcW w:w="1984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Palpitácie, srdcové zlyhanie, infarkt myokardu.</w:t>
            </w:r>
            <w:r w:rsidRPr="006878F3">
              <w:rPr>
                <w:i/>
                <w:sz w:val="22"/>
                <w:szCs w:val="22"/>
              </w:rPr>
              <w:t xml:space="preserve">     </w:t>
            </w:r>
          </w:p>
        </w:tc>
      </w:tr>
      <w:tr w:rsidR="00167848" w:rsidRPr="006878F3" w:rsidTr="00FF4BA1">
        <w:tc>
          <w:tcPr>
            <w:tcW w:w="2660" w:type="dxa"/>
            <w:shd w:val="clear" w:color="auto" w:fill="auto"/>
          </w:tcPr>
          <w:p w:rsidR="00823DDD" w:rsidRPr="000252B9" w:rsidRDefault="00823DDD" w:rsidP="00823DDD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ciev  </w:t>
            </w:r>
          </w:p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167848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Arteriálna hypertenzia, vaskulitída.</w:t>
            </w:r>
            <w:r w:rsidRPr="006878F3">
              <w:rPr>
                <w:i/>
                <w:sz w:val="22"/>
                <w:szCs w:val="22"/>
              </w:rPr>
              <w:t xml:space="preserve">     </w:t>
            </w:r>
          </w:p>
        </w:tc>
      </w:tr>
      <w:tr w:rsidR="00823DDD" w:rsidRPr="006878F3" w:rsidTr="00FF4BA1">
        <w:trPr>
          <w:trHeight w:val="335"/>
        </w:trPr>
        <w:tc>
          <w:tcPr>
            <w:tcW w:w="2660" w:type="dxa"/>
            <w:vMerge w:val="restart"/>
            <w:shd w:val="clear" w:color="auto" w:fill="auto"/>
          </w:tcPr>
          <w:p w:rsidR="00823DDD" w:rsidRPr="000252B9" w:rsidRDefault="00823DDD" w:rsidP="00823DDD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gastrointestinálneho traktu  </w:t>
            </w:r>
          </w:p>
          <w:p w:rsidR="00823DDD" w:rsidRPr="000252B9" w:rsidRDefault="00823DDD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3722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Gastrointestinálne príznaky ako sú pálenie záhy, bolesť brucha, nevoľnosť, dyspepsia,</w:t>
            </w:r>
            <w:r w:rsidR="00711DAD" w:rsidRPr="006878F3">
              <w:rPr>
                <w:color w:val="000000"/>
                <w:sz w:val="22"/>
                <w:szCs w:val="22"/>
              </w:rPr>
              <w:t xml:space="preserve"> </w:t>
            </w:r>
            <w:r w:rsidRPr="006878F3">
              <w:rPr>
                <w:color w:val="000000"/>
                <w:sz w:val="22"/>
                <w:szCs w:val="22"/>
              </w:rPr>
              <w:t xml:space="preserve">vracanie, plynatosť, hnačka, zápcha a malé straty krvi z gastrointestinálneho traktu, ktoré môžu vo výnimočných prípadoch spôsobovať anémiu.    </w:t>
            </w:r>
          </w:p>
        </w:tc>
      </w:tr>
      <w:tr w:rsidR="00823DDD" w:rsidRPr="006878F3" w:rsidTr="00FF4BA1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823DDD" w:rsidRPr="006878F3" w:rsidRDefault="00823DDD" w:rsidP="00823DD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Žalúdočné alebo črevné vredy, potenciálne s krvácaním a perforáciou. Ulcerózna stomatitída, exacerbácia kolitídy a Crohnovej choroby (pozri časť 4.4), gastritída.   </w:t>
            </w:r>
          </w:p>
        </w:tc>
      </w:tr>
      <w:tr w:rsidR="00823DDD" w:rsidRPr="006878F3" w:rsidTr="00FF4BA1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823DDD" w:rsidRPr="006878F3" w:rsidRDefault="00823DDD" w:rsidP="00823DD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23DDD" w:rsidRPr="006878F3" w:rsidRDefault="00823DDD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823DDD" w:rsidRPr="006878F3" w:rsidRDefault="00823DDD" w:rsidP="00823DDD">
            <w:pPr>
              <w:autoSpaceDE w:val="0"/>
              <w:autoSpaceDN w:val="0"/>
              <w:adjustRightInd w:val="0"/>
              <w:ind w:left="34" w:hanging="34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Ezofagitída, pankreatitída, tvorba intestinálnych diafragmatických striktúr.</w:t>
            </w:r>
          </w:p>
          <w:p w:rsidR="00823DDD" w:rsidRPr="006878F3" w:rsidRDefault="00823DDD" w:rsidP="00823DD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Pacient musí byť upozornený na vysadenie lieku a okamžité vyhľadanie lekára pri relatívne silnej bolesti v hornej časti brucha, pri meléne či čiernej stolici alebo vracaní krvi. </w:t>
            </w:r>
          </w:p>
        </w:tc>
      </w:tr>
      <w:tr w:rsidR="00167848" w:rsidRPr="006878F3" w:rsidTr="00FF4BA1">
        <w:tc>
          <w:tcPr>
            <w:tcW w:w="2660" w:type="dxa"/>
            <w:shd w:val="clear" w:color="auto" w:fill="auto"/>
          </w:tcPr>
          <w:p w:rsidR="0035228B" w:rsidRPr="000252B9" w:rsidRDefault="0035228B" w:rsidP="0035228B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pečene a žlčových ciest     </w:t>
            </w:r>
            <w:r w:rsidRPr="000252B9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167848" w:rsidRPr="000252B9" w:rsidRDefault="00167848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7848" w:rsidRPr="006878F3" w:rsidRDefault="0035228B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167848" w:rsidRPr="006878F3" w:rsidRDefault="0035228B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Dysfunkcia pečene, poškodenie pečene, najmä v prípade dlhodobej liečby, zlyhávanie pečene, akútna hepatitída.    </w:t>
            </w:r>
          </w:p>
        </w:tc>
      </w:tr>
      <w:tr w:rsidR="005B4833" w:rsidRPr="006878F3" w:rsidTr="00FF4BA1">
        <w:trPr>
          <w:trHeight w:val="383"/>
        </w:trPr>
        <w:tc>
          <w:tcPr>
            <w:tcW w:w="2660" w:type="dxa"/>
            <w:vMerge w:val="restart"/>
            <w:shd w:val="clear" w:color="auto" w:fill="auto"/>
          </w:tcPr>
          <w:p w:rsidR="005B4833" w:rsidRPr="000252B9" w:rsidRDefault="005B4833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kože </w:t>
            </w:r>
            <w:r w:rsidRPr="000252B9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a podkožného tkaniva   </w:t>
            </w:r>
          </w:p>
          <w:p w:rsidR="005B4833" w:rsidRPr="000252B9" w:rsidRDefault="005B4833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B4833" w:rsidRPr="006878F3" w:rsidRDefault="005B4833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lastRenderedPageBreak/>
              <w:t>Menej časté</w:t>
            </w:r>
          </w:p>
        </w:tc>
        <w:tc>
          <w:tcPr>
            <w:tcW w:w="3722" w:type="dxa"/>
            <w:shd w:val="clear" w:color="auto" w:fill="auto"/>
          </w:tcPr>
          <w:p w:rsidR="005B4833" w:rsidRPr="006878F3" w:rsidRDefault="005B4833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Rôzne druhy kožnej vyrážky.</w:t>
            </w:r>
          </w:p>
        </w:tc>
      </w:tr>
      <w:tr w:rsidR="005B4833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5B4833" w:rsidRPr="000252B9" w:rsidRDefault="005B4833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B4833" w:rsidRPr="006878F3" w:rsidRDefault="005B4833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5B4833" w:rsidRPr="006878F3" w:rsidRDefault="005B4833" w:rsidP="003522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Bulózne reakcie vrátane Stevensovho-Johnsonovho syndrómu a toxickej epidermálnej nekrolýzy (Lyellov syndróm), alopécia.</w:t>
            </w:r>
            <w:r w:rsidRPr="006878F3">
              <w:rPr>
                <w:color w:val="000000"/>
                <w:sz w:val="22"/>
                <w:szCs w:val="22"/>
              </w:rPr>
              <w:t xml:space="preserve"> Vo výnimočných prípadoch sa môžu vyskytnúť závažné kožné komplikácie mäkkých tkanív pri infekcii varicely (pozri tiež "Infekcie a nákazy"). </w:t>
            </w:r>
          </w:p>
        </w:tc>
      </w:tr>
      <w:tr w:rsidR="005B4833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5B4833" w:rsidRPr="000252B9" w:rsidRDefault="005B4833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B4833" w:rsidRPr="006878F3" w:rsidRDefault="005B4833" w:rsidP="00476A7B">
            <w:pPr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3722" w:type="dxa"/>
            <w:shd w:val="clear" w:color="auto" w:fill="auto"/>
          </w:tcPr>
          <w:p w:rsidR="005B4833" w:rsidRPr="006878F3" w:rsidRDefault="005B4833" w:rsidP="00476A7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878F3">
              <w:rPr>
                <w:rFonts w:ascii="Times New Roman" w:hAnsi="Times New Roman" w:cs="Times New Roman"/>
                <w:bCs/>
                <w:sz w:val="22"/>
                <w:szCs w:val="22"/>
              </w:rPr>
              <w:t>Lieková reakcia s eozinofíliou a systémovými príznakmi (syndróm DRESS)</w:t>
            </w:r>
            <w:r w:rsidR="00C13896" w:rsidRPr="006878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C13896" w:rsidRPr="006878F3">
              <w:rPr>
                <w:rFonts w:ascii="Times New Roman" w:hAnsi="Times New Roman" w:cs="Times New Roman"/>
                <w:sz w:val="22"/>
                <w:szCs w:val="22"/>
              </w:rPr>
              <w:t>akútna generalizovaná exantematózna pustulóza (AGEP)</w:t>
            </w:r>
            <w:r w:rsidRPr="006878F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B4833" w:rsidRPr="006878F3" w:rsidRDefault="005B4833" w:rsidP="00476A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F4BA1" w:rsidRPr="006878F3" w:rsidTr="00FF4BA1">
        <w:trPr>
          <w:trHeight w:val="383"/>
        </w:trPr>
        <w:tc>
          <w:tcPr>
            <w:tcW w:w="2660" w:type="dxa"/>
            <w:vMerge w:val="restart"/>
            <w:shd w:val="clear" w:color="auto" w:fill="auto"/>
          </w:tcPr>
          <w:p w:rsidR="00FF4BA1" w:rsidRPr="000252B9" w:rsidRDefault="00FF4BA1" w:rsidP="0035228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0252B9">
              <w:rPr>
                <w:b/>
                <w:i/>
                <w:color w:val="000000"/>
                <w:sz w:val="22"/>
                <w:szCs w:val="22"/>
              </w:rPr>
              <w:t xml:space="preserve">Poruchy obličiek a močových ciest      </w:t>
            </w:r>
          </w:p>
          <w:p w:rsidR="00FF4BA1" w:rsidRPr="000252B9" w:rsidRDefault="00FF4BA1" w:rsidP="00167848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Zriedkavé</w:t>
            </w:r>
          </w:p>
        </w:tc>
        <w:tc>
          <w:tcPr>
            <w:tcW w:w="3722" w:type="dxa"/>
            <w:shd w:val="clear" w:color="auto" w:fill="auto"/>
          </w:tcPr>
          <w:p w:rsidR="00FF4BA1" w:rsidRPr="006878F3" w:rsidRDefault="00FF4BA1" w:rsidP="00FF4BA1">
            <w:pPr>
              <w:tabs>
                <w:tab w:val="left" w:pos="1843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Poškodenie tkaniva obličiek (papilárna nekróza), najmä pri dlhodobej terapii, </w:t>
            </w:r>
          </w:p>
          <w:p w:rsidR="00FF4BA1" w:rsidRPr="006878F3" w:rsidRDefault="00FF4BA1" w:rsidP="00FF4BA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ab/>
              <w:t>zvýšenie koncentrácie kyseliny močovej v krvi sa tiež objavuje zriedkavo.</w:t>
            </w:r>
          </w:p>
        </w:tc>
      </w:tr>
      <w:tr w:rsidR="00FF4BA1" w:rsidRPr="006878F3" w:rsidTr="00FF4BA1">
        <w:trPr>
          <w:trHeight w:val="382"/>
        </w:trPr>
        <w:tc>
          <w:tcPr>
            <w:tcW w:w="2660" w:type="dxa"/>
            <w:vMerge/>
            <w:shd w:val="clear" w:color="auto" w:fill="auto"/>
          </w:tcPr>
          <w:p w:rsidR="00FF4BA1" w:rsidRPr="006878F3" w:rsidRDefault="00FF4BA1" w:rsidP="0035228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3722" w:type="dxa"/>
            <w:shd w:val="clear" w:color="auto" w:fill="auto"/>
          </w:tcPr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color w:val="000000"/>
                <w:sz w:val="22"/>
                <w:szCs w:val="22"/>
              </w:rPr>
              <w:t xml:space="preserve">Tvorba </w:t>
            </w:r>
            <w:r w:rsidRPr="006878F3">
              <w:rPr>
                <w:sz w:val="22"/>
                <w:szCs w:val="22"/>
              </w:rPr>
              <w:t>edémov, najmä u pacientov s arteriálnou hypertenziou alebo s nedostatočnosťou obličiek, nefrotický syndróm, intersticiálna nefritída, ktorá môže byť sprevádzaná akútnou nedostatočnosťou obličiek.</w:t>
            </w:r>
          </w:p>
          <w:p w:rsidR="00FF4BA1" w:rsidRPr="006878F3" w:rsidRDefault="00FF4BA1" w:rsidP="003C602A">
            <w:pPr>
              <w:rPr>
                <w:sz w:val="22"/>
                <w:szCs w:val="22"/>
              </w:rPr>
            </w:pPr>
            <w:r w:rsidRPr="006878F3">
              <w:rPr>
                <w:sz w:val="22"/>
                <w:szCs w:val="22"/>
              </w:rPr>
              <w:t>Preto sa má pravidelne kontrolovať funkcia obličiek.</w:t>
            </w:r>
          </w:p>
        </w:tc>
      </w:tr>
    </w:tbl>
    <w:p w:rsidR="008453DD" w:rsidRPr="006878F3" w:rsidRDefault="008453DD" w:rsidP="003C602A">
      <w:pPr>
        <w:rPr>
          <w:sz w:val="22"/>
          <w:szCs w:val="22"/>
        </w:rPr>
      </w:pPr>
    </w:p>
    <w:p w:rsidR="002158BF" w:rsidRPr="006878F3" w:rsidRDefault="00FF4BA1" w:rsidP="00FF4BA1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color w:val="000000"/>
          <w:sz w:val="22"/>
          <w:szCs w:val="22"/>
        </w:rPr>
        <w:t>Ak je to vhodné, pacienti majú byť adekvátne informovaní, že majú ihneď ukončiť užívanie Ibuprofenu STADA a poradiť sa s lekárom, ak spozorujú niektorý z týchto stavov:</w:t>
      </w:r>
    </w:p>
    <w:p w:rsidR="0035228B" w:rsidRPr="006878F3" w:rsidRDefault="0035228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5228B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závažné gastrointestinálne ťažkosti, pálenie záhy alebo bolesť brucha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hematemézu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melénu alebo krv v moči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kožné reakcie ako sú svrbivé vyrážky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respiračnú tieseň a/alebo opuch tváre a hrtana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vyčerpanosť kombinovanú so stratou chuti do jedla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bolesť hrdla kombinovanú s aftóznymi vredmi, únavou a horúčkou</w:t>
      </w:r>
    </w:p>
    <w:p w:rsidR="00FF4BA1" w:rsidRPr="006878F3" w:rsidRDefault="00FF4BA1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silné krvácanie z nosa a krvácanie do kože</w:t>
      </w:r>
    </w:p>
    <w:p w:rsidR="00157139" w:rsidRPr="006878F3" w:rsidRDefault="00711DAD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nezvyčajná </w:t>
      </w:r>
      <w:r w:rsidR="00157139" w:rsidRPr="006878F3">
        <w:rPr>
          <w:color w:val="000000"/>
          <w:sz w:val="22"/>
          <w:szCs w:val="22"/>
        </w:rPr>
        <w:t>únava kombinovaná so zníženým vylučovaním moču</w:t>
      </w:r>
    </w:p>
    <w:p w:rsidR="00157139" w:rsidRPr="006878F3" w:rsidRDefault="00157139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opuch chodidiel alebo nôh</w:t>
      </w:r>
    </w:p>
    <w:p w:rsidR="00157139" w:rsidRPr="006878F3" w:rsidRDefault="00157139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bolesť na hrudníku</w:t>
      </w:r>
    </w:p>
    <w:p w:rsidR="00157139" w:rsidRPr="006878F3" w:rsidRDefault="00157139" w:rsidP="00D8612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poruchy videnia</w:t>
      </w:r>
    </w:p>
    <w:p w:rsidR="00FA50C4" w:rsidRPr="006878F3" w:rsidRDefault="00FA50C4" w:rsidP="003C602A">
      <w:pPr>
        <w:suppressLineNumbers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C13896" w:rsidRPr="00BC17DE" w:rsidRDefault="00C13896" w:rsidP="00C13896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  <w:u w:val="single"/>
        </w:rPr>
      </w:pPr>
      <w:r w:rsidRPr="00021468">
        <w:rPr>
          <w:sz w:val="22"/>
          <w:szCs w:val="22"/>
          <w:u w:val="single"/>
        </w:rPr>
        <w:t>Hlásenie podozrení na nežiaduce reakcie</w:t>
      </w:r>
    </w:p>
    <w:p w:rsidR="00C13896" w:rsidRPr="006878F3" w:rsidRDefault="00C13896" w:rsidP="00C1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szCs w:val="22"/>
        </w:rPr>
      </w:pPr>
      <w:r w:rsidRPr="0079266F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</w:t>
      </w:r>
      <w:r w:rsidRPr="001459FB">
        <w:rPr>
          <w:sz w:val="22"/>
          <w:szCs w:val="22"/>
        </w:rPr>
        <w:t xml:space="preserve">li akékoľvek podozrenia na nežiaduce reakcie na </w:t>
      </w:r>
      <w:r w:rsidRPr="001459FB">
        <w:rPr>
          <w:sz w:val="22"/>
          <w:szCs w:val="22"/>
          <w:shd w:val="clear" w:color="auto" w:fill="C0C0C0"/>
        </w:rPr>
        <w:t>národné centrum hlásenia uvedené v </w:t>
      </w:r>
      <w:hyperlink r:id="rId9" w:history="1">
        <w:r w:rsidRPr="000252B9">
          <w:rPr>
            <w:rStyle w:val="Hypertextovprepojenie"/>
            <w:sz w:val="22"/>
            <w:szCs w:val="22"/>
            <w:shd w:val="clear" w:color="auto" w:fill="C0C0C0"/>
          </w:rPr>
          <w:t>Prílohe V</w:t>
        </w:r>
      </w:hyperlink>
      <w:r w:rsidRPr="006878F3">
        <w:rPr>
          <w:rStyle w:val="Hypertextovprepojenie"/>
          <w:sz w:val="22"/>
          <w:szCs w:val="22"/>
        </w:rPr>
        <w:t>.</w:t>
      </w:r>
    </w:p>
    <w:p w:rsidR="00712095" w:rsidRPr="006878F3" w:rsidRDefault="00712095" w:rsidP="003C602A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4.9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Predávkovanie</w:t>
      </w: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t xml:space="preserve">Príznaky predávkovania </w:t>
      </w:r>
    </w:p>
    <w:p w:rsidR="002158BF" w:rsidRPr="006878F3" w:rsidRDefault="00E73229" w:rsidP="00E73229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Príznaky predávkovania m</w:t>
      </w:r>
      <w:r w:rsidR="002158BF" w:rsidRPr="006878F3">
        <w:rPr>
          <w:sz w:val="22"/>
          <w:szCs w:val="22"/>
        </w:rPr>
        <w:t xml:space="preserve">ôžu </w:t>
      </w:r>
      <w:r w:rsidRPr="006878F3">
        <w:rPr>
          <w:sz w:val="22"/>
          <w:szCs w:val="22"/>
        </w:rPr>
        <w:t>zahŕňať</w:t>
      </w:r>
      <w:r w:rsidR="00547745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>príznaky súvisiace s</w:t>
      </w:r>
      <w:r w:rsidR="002158BF" w:rsidRPr="006878F3">
        <w:rPr>
          <w:sz w:val="22"/>
          <w:szCs w:val="22"/>
        </w:rPr>
        <w:t xml:space="preserve"> </w:t>
      </w:r>
      <w:r w:rsidR="00D22A51" w:rsidRPr="006878F3">
        <w:rPr>
          <w:sz w:val="22"/>
          <w:szCs w:val="22"/>
        </w:rPr>
        <w:t>centráln</w:t>
      </w:r>
      <w:r w:rsidRPr="006878F3">
        <w:rPr>
          <w:sz w:val="22"/>
          <w:szCs w:val="22"/>
        </w:rPr>
        <w:t>ym</w:t>
      </w:r>
      <w:r w:rsidR="00D22A51" w:rsidRPr="006878F3">
        <w:rPr>
          <w:sz w:val="22"/>
          <w:szCs w:val="22"/>
        </w:rPr>
        <w:t xml:space="preserve"> nervov</w:t>
      </w:r>
      <w:r w:rsidRPr="006878F3">
        <w:rPr>
          <w:sz w:val="22"/>
          <w:szCs w:val="22"/>
        </w:rPr>
        <w:t>ým</w:t>
      </w:r>
      <w:r w:rsidR="00D22A51" w:rsidRPr="006878F3">
        <w:rPr>
          <w:sz w:val="22"/>
          <w:szCs w:val="22"/>
        </w:rPr>
        <w:t xml:space="preserve"> systém</w:t>
      </w:r>
      <w:r w:rsidRPr="006878F3">
        <w:rPr>
          <w:sz w:val="22"/>
          <w:szCs w:val="22"/>
        </w:rPr>
        <w:t>om</w:t>
      </w:r>
      <w:r w:rsidR="00277B8D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, ak</w:t>
      </w:r>
      <w:r w:rsidRPr="006878F3">
        <w:rPr>
          <w:sz w:val="22"/>
          <w:szCs w:val="22"/>
        </w:rPr>
        <w:t>o sú bolesť</w:t>
      </w:r>
      <w:r w:rsidR="002158BF" w:rsidRPr="006878F3">
        <w:rPr>
          <w:sz w:val="22"/>
          <w:szCs w:val="22"/>
        </w:rPr>
        <w:t xml:space="preserve"> hlavy, závrat, </w:t>
      </w:r>
      <w:r w:rsidR="005E5EE6" w:rsidRPr="006878F3">
        <w:rPr>
          <w:sz w:val="22"/>
          <w:szCs w:val="22"/>
        </w:rPr>
        <w:t>točenie hlavy</w:t>
      </w:r>
      <w:r w:rsidRPr="006878F3">
        <w:rPr>
          <w:sz w:val="22"/>
          <w:szCs w:val="22"/>
        </w:rPr>
        <w:t xml:space="preserve"> a</w:t>
      </w:r>
      <w:r w:rsidR="005E5EE6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bezvedomie (u detí tiež myoklonické kŕče)</w:t>
      </w:r>
      <w:r w:rsidR="00990805" w:rsidRPr="006878F3">
        <w:rPr>
          <w:sz w:val="22"/>
          <w:szCs w:val="22"/>
        </w:rPr>
        <w:t>,</w:t>
      </w:r>
      <w:r w:rsidR="002158BF" w:rsidRPr="006878F3">
        <w:rPr>
          <w:sz w:val="22"/>
          <w:szCs w:val="22"/>
        </w:rPr>
        <w:t xml:space="preserve"> bolesť brucha, nevoľnosť</w:t>
      </w:r>
      <w:r w:rsidRPr="006878F3">
        <w:rPr>
          <w:sz w:val="22"/>
          <w:szCs w:val="22"/>
        </w:rPr>
        <w:t>,</w:t>
      </w:r>
      <w:r w:rsidR="002158BF" w:rsidRPr="006878F3">
        <w:rPr>
          <w:sz w:val="22"/>
          <w:szCs w:val="22"/>
        </w:rPr>
        <w:t xml:space="preserve"> vracanie</w:t>
      </w:r>
      <w:r w:rsidRPr="006878F3">
        <w:rPr>
          <w:sz w:val="22"/>
          <w:szCs w:val="22"/>
        </w:rPr>
        <w:t>, gastrointestinálne krvácanie a dysfunkciu pečene a obličiek, hypotenziu,</w:t>
      </w:r>
      <w:r w:rsidR="005E5EE6" w:rsidRPr="006878F3">
        <w:rPr>
          <w:sz w:val="22"/>
          <w:szCs w:val="22"/>
        </w:rPr>
        <w:t xml:space="preserve"> </w:t>
      </w:r>
      <w:r w:rsidR="002158BF" w:rsidRPr="006878F3">
        <w:rPr>
          <w:sz w:val="22"/>
          <w:szCs w:val="22"/>
        </w:rPr>
        <w:t>útlm dýchania a cyanóz</w:t>
      </w:r>
      <w:r w:rsidRPr="006878F3">
        <w:rPr>
          <w:sz w:val="22"/>
          <w:szCs w:val="22"/>
        </w:rPr>
        <w:t>u</w:t>
      </w:r>
      <w:r w:rsidR="002158BF" w:rsidRPr="006878F3">
        <w:rPr>
          <w:sz w:val="22"/>
          <w:szCs w:val="22"/>
        </w:rPr>
        <w:t>.</w:t>
      </w:r>
      <w:r w:rsidR="005B4833" w:rsidRPr="006878F3">
        <w:rPr>
          <w:sz w:val="22"/>
          <w:szCs w:val="22"/>
        </w:rPr>
        <w:t xml:space="preserve"> </w:t>
      </w:r>
      <w:r w:rsidR="005B4833" w:rsidRPr="006878F3">
        <w:rPr>
          <w:bCs/>
          <w:sz w:val="22"/>
          <w:szCs w:val="22"/>
        </w:rPr>
        <w:t>Pri vážnej otrave sa môže vyskytnúť metabolická acidóza.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2158BF" w:rsidRPr="006878F3" w:rsidRDefault="00A50D61" w:rsidP="003C602A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6878F3">
        <w:rPr>
          <w:color w:val="000000"/>
          <w:sz w:val="22"/>
          <w:szCs w:val="22"/>
          <w:u w:val="single"/>
        </w:rPr>
        <w:lastRenderedPageBreak/>
        <w:t>Terap</w:t>
      </w:r>
      <w:r w:rsidR="00E73229" w:rsidRPr="006878F3">
        <w:rPr>
          <w:color w:val="000000"/>
          <w:sz w:val="22"/>
          <w:szCs w:val="22"/>
          <w:u w:val="single"/>
        </w:rPr>
        <w:t>eutické opatrenia pri predávkovaní</w:t>
      </w:r>
    </w:p>
    <w:p w:rsidR="002158BF" w:rsidRPr="006878F3" w:rsidRDefault="00E7322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>Š</w:t>
      </w:r>
      <w:r w:rsidR="002158BF" w:rsidRPr="006878F3">
        <w:rPr>
          <w:sz w:val="22"/>
          <w:szCs w:val="22"/>
        </w:rPr>
        <w:t>pecifické antidotum</w:t>
      </w:r>
      <w:r w:rsidRPr="006878F3">
        <w:rPr>
          <w:sz w:val="22"/>
          <w:szCs w:val="22"/>
        </w:rPr>
        <w:t xml:space="preserve"> neexistuje</w:t>
      </w:r>
      <w:r w:rsidR="002158BF" w:rsidRPr="006878F3">
        <w:rPr>
          <w:sz w:val="22"/>
          <w:szCs w:val="22"/>
        </w:rPr>
        <w:t>.</w:t>
      </w:r>
    </w:p>
    <w:p w:rsidR="00E73229" w:rsidRPr="006878F3" w:rsidRDefault="00E7322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Možno zvážiť perorálne podanie aktívneho uhlia do jednej hodiny, ako pacient užil potenciálne toxické množstvo.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11C35" w:rsidRPr="006878F3" w:rsidRDefault="00E11C3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FARMAKOLOGICKÉ VLASTNOSTI</w:t>
      </w:r>
      <w:r w:rsidRPr="006878F3">
        <w:rPr>
          <w:b/>
          <w:bCs/>
          <w:color w:val="000000"/>
          <w:sz w:val="22"/>
          <w:szCs w:val="22"/>
        </w:rPr>
        <w:t xml:space="preserve">  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5.1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Farmakodynamické vlastnosti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color w:val="000000"/>
          <w:sz w:val="22"/>
          <w:szCs w:val="22"/>
        </w:rPr>
      </w:pPr>
      <w:r w:rsidRPr="006878F3">
        <w:rPr>
          <w:sz w:val="22"/>
          <w:szCs w:val="22"/>
        </w:rPr>
        <w:t xml:space="preserve">Farmakoterapeutická skupina: </w:t>
      </w:r>
      <w:r w:rsidR="003220FF" w:rsidRPr="006878F3">
        <w:rPr>
          <w:sz w:val="22"/>
          <w:szCs w:val="22"/>
        </w:rPr>
        <w:t>Nesteroidové a</w:t>
      </w:r>
      <w:r w:rsidR="00E73229" w:rsidRPr="006878F3">
        <w:rPr>
          <w:sz w:val="22"/>
          <w:szCs w:val="22"/>
        </w:rPr>
        <w:t>ntiflogistiká a antireumatiká</w:t>
      </w:r>
      <w:r w:rsidR="00596E02" w:rsidRPr="006878F3">
        <w:rPr>
          <w:sz w:val="22"/>
          <w:szCs w:val="22"/>
        </w:rPr>
        <w:t>,</w:t>
      </w:r>
      <w:r w:rsidRPr="006878F3">
        <w:rPr>
          <w:sz w:val="22"/>
          <w:szCs w:val="22"/>
        </w:rPr>
        <w:t xml:space="preserve"> deriváty kyseliny propiónovej</w:t>
      </w:r>
      <w:r w:rsidR="00596E02" w:rsidRPr="006878F3">
        <w:rPr>
          <w:sz w:val="22"/>
          <w:szCs w:val="22"/>
        </w:rPr>
        <w:t xml:space="preserve">, </w:t>
      </w:r>
      <w:r w:rsidRPr="006878F3">
        <w:rPr>
          <w:sz w:val="22"/>
          <w:szCs w:val="22"/>
        </w:rPr>
        <w:t>ATC kód</w:t>
      </w:r>
      <w:r w:rsidRPr="006878F3">
        <w:rPr>
          <w:color w:val="000000"/>
          <w:sz w:val="22"/>
          <w:szCs w:val="22"/>
        </w:rPr>
        <w:t xml:space="preserve">: M01AE01 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C104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Ibuprof</w:t>
      </w:r>
      <w:r w:rsidR="002B6411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je nesteroid</w:t>
      </w:r>
      <w:r w:rsidR="00852F24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é protizápalové liečivo </w:t>
      </w:r>
      <w:r w:rsidR="00E76B34" w:rsidRPr="006878F3">
        <w:rPr>
          <w:sz w:val="22"/>
          <w:szCs w:val="22"/>
        </w:rPr>
        <w:t xml:space="preserve">(NSAID) </w:t>
      </w:r>
      <w:r w:rsidR="002158BF" w:rsidRPr="006878F3">
        <w:rPr>
          <w:sz w:val="22"/>
          <w:szCs w:val="22"/>
        </w:rPr>
        <w:t xml:space="preserve">s dokázanou účinnosťou </w:t>
      </w:r>
      <w:r w:rsidR="00990805" w:rsidRPr="006878F3">
        <w:rPr>
          <w:sz w:val="22"/>
          <w:szCs w:val="22"/>
        </w:rPr>
        <w:t xml:space="preserve">prostredníctvom inhibície syntézy prostaglandínov </w:t>
      </w:r>
      <w:r w:rsidR="002158BF" w:rsidRPr="006878F3">
        <w:rPr>
          <w:sz w:val="22"/>
          <w:szCs w:val="22"/>
        </w:rPr>
        <w:t xml:space="preserve">na konvenčných experimentálnych modeloch zápalu u zvierat. U ľudí </w:t>
      </w:r>
      <w:r w:rsidR="00852F24" w:rsidRPr="006878F3">
        <w:rPr>
          <w:sz w:val="22"/>
          <w:szCs w:val="22"/>
        </w:rPr>
        <w:t>ibuprof</w:t>
      </w:r>
      <w:r w:rsidR="002B6411" w:rsidRPr="006878F3">
        <w:rPr>
          <w:sz w:val="22"/>
          <w:szCs w:val="22"/>
        </w:rPr>
        <w:t>é</w:t>
      </w:r>
      <w:r w:rsidR="00852F24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zmierňuje bolesť </w:t>
      </w:r>
      <w:r w:rsidR="00852F24" w:rsidRPr="006878F3">
        <w:rPr>
          <w:sz w:val="22"/>
          <w:szCs w:val="22"/>
        </w:rPr>
        <w:t xml:space="preserve">vyvolanú </w:t>
      </w:r>
      <w:r w:rsidR="002158BF" w:rsidRPr="006878F3">
        <w:rPr>
          <w:sz w:val="22"/>
          <w:szCs w:val="22"/>
        </w:rPr>
        <w:t>zápalom</w:t>
      </w:r>
      <w:r w:rsidR="00852F24" w:rsidRPr="006878F3">
        <w:rPr>
          <w:sz w:val="22"/>
          <w:szCs w:val="22"/>
        </w:rPr>
        <w:t>,  </w:t>
      </w:r>
      <w:r w:rsidR="002158BF" w:rsidRPr="006878F3">
        <w:rPr>
          <w:sz w:val="22"/>
          <w:szCs w:val="22"/>
        </w:rPr>
        <w:t>opuch</w:t>
      </w:r>
      <w:r w:rsidR="00852F24" w:rsidRPr="006878F3">
        <w:rPr>
          <w:sz w:val="22"/>
          <w:szCs w:val="22"/>
        </w:rPr>
        <w:t xml:space="preserve"> a horúčku</w:t>
      </w:r>
      <w:r w:rsidR="002158BF" w:rsidRPr="006878F3">
        <w:rPr>
          <w:sz w:val="22"/>
          <w:szCs w:val="22"/>
        </w:rPr>
        <w:t xml:space="preserve">. Okrem toho </w:t>
      </w:r>
      <w:r w:rsidRPr="006878F3">
        <w:rPr>
          <w:sz w:val="22"/>
          <w:szCs w:val="22"/>
        </w:rPr>
        <w:t>ibuprof</w:t>
      </w:r>
      <w:r w:rsidR="002B6411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 xml:space="preserve"> </w:t>
      </w:r>
      <w:r w:rsidR="006E3D17" w:rsidRPr="006878F3">
        <w:rPr>
          <w:sz w:val="22"/>
          <w:szCs w:val="22"/>
        </w:rPr>
        <w:t xml:space="preserve">reverzibilne </w:t>
      </w:r>
      <w:r w:rsidR="002158BF" w:rsidRPr="006878F3">
        <w:rPr>
          <w:sz w:val="22"/>
          <w:szCs w:val="22"/>
        </w:rPr>
        <w:t>inhibuje ADP a kolagénom indukovanú agregáciu trombocytov.</w:t>
      </w:r>
    </w:p>
    <w:p w:rsidR="00101477" w:rsidRPr="006878F3" w:rsidRDefault="00101477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8453DD" w:rsidRPr="006878F3" w:rsidRDefault="00F97D78" w:rsidP="003C602A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Experimentálne údaje naznačujú, že ibuprof</w:t>
      </w:r>
      <w:r w:rsidR="002B6411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 môže pri súčasnom dávkovaní kompetitívne inhibovať účinok nízkej dávky kyseliny acetylsalicylovej na agregáciu trombocytov. Niektoré farmakodynamické štúdie preukázali, že pri jednej dávke ibuprof</w:t>
      </w:r>
      <w:r w:rsidR="002B6411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 400 mg užitého v priebehu 8</w:t>
      </w:r>
      <w:r w:rsidR="002E42B9" w:rsidRPr="006878F3">
        <w:rPr>
          <w:bCs/>
          <w:sz w:val="22"/>
          <w:szCs w:val="22"/>
        </w:rPr>
        <w:t> </w:t>
      </w:r>
      <w:r w:rsidRPr="006878F3">
        <w:rPr>
          <w:bCs/>
          <w:sz w:val="22"/>
          <w:szCs w:val="22"/>
        </w:rPr>
        <w:t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ibuprof</w:t>
      </w:r>
      <w:r w:rsidR="00CB72A5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>nu môže znížiť kardioprotektívny účinok nízkej dávky kyseliny acetylsalicylovej. V prípade príležitostného používania ibuprof</w:t>
      </w:r>
      <w:r w:rsidR="00CB72A5" w:rsidRPr="006878F3">
        <w:rPr>
          <w:bCs/>
          <w:sz w:val="22"/>
          <w:szCs w:val="22"/>
        </w:rPr>
        <w:t>é</w:t>
      </w:r>
      <w:r w:rsidRPr="006878F3">
        <w:rPr>
          <w:bCs/>
          <w:sz w:val="22"/>
          <w:szCs w:val="22"/>
        </w:rPr>
        <w:t xml:space="preserve">nu sa žiaden klinicky relevantný účinok nepovažuje za pravdepodobný (pozri časť 4.5). </w:t>
      </w:r>
    </w:p>
    <w:p w:rsidR="002F050A" w:rsidRPr="006878F3" w:rsidRDefault="002F050A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5.2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Farmakokinetické vlastnosti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E2197" w:rsidRPr="006878F3" w:rsidRDefault="002158BF" w:rsidP="009E2197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Po perorálnom podaní sa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 xml:space="preserve"> čiastočne absorbuje už v žalúdku a potom úplne v tenkom čreve. </w:t>
      </w:r>
      <w:r w:rsidR="009E2197" w:rsidRPr="006878F3">
        <w:rPr>
          <w:sz w:val="22"/>
          <w:szCs w:val="22"/>
        </w:rPr>
        <w:t>Po metabolizme v pečeni (hydroxylácia, karboxylácia) sa farmakologicky neúčinné metabolity úplne eliminujú, hlavne obličkami (90 %), ale aj žlčou. Eliminačný polčas ibuprof</w:t>
      </w:r>
      <w:r w:rsidR="00CB72A5" w:rsidRPr="006878F3">
        <w:rPr>
          <w:sz w:val="22"/>
          <w:szCs w:val="22"/>
        </w:rPr>
        <w:t>é</w:t>
      </w:r>
      <w:r w:rsidR="009E2197" w:rsidRPr="006878F3">
        <w:rPr>
          <w:sz w:val="22"/>
          <w:szCs w:val="22"/>
        </w:rPr>
        <w:t>nu je u zdravých osôb ako aj u osôb s pečeňovým a obličkovým ochorením 1,8-3,5 hodiny</w:t>
      </w:r>
      <w:r w:rsidR="00711DAD" w:rsidRPr="006878F3">
        <w:rPr>
          <w:sz w:val="22"/>
          <w:szCs w:val="22"/>
        </w:rPr>
        <w:t>,</w:t>
      </w:r>
      <w:r w:rsidR="009E2197" w:rsidRPr="006878F3">
        <w:rPr>
          <w:sz w:val="22"/>
          <w:szCs w:val="22"/>
        </w:rPr>
        <w:t xml:space="preserve"> </w:t>
      </w:r>
      <w:r w:rsidR="00711DAD" w:rsidRPr="006878F3">
        <w:rPr>
          <w:sz w:val="22"/>
          <w:szCs w:val="22"/>
        </w:rPr>
        <w:t>v</w:t>
      </w:r>
      <w:r w:rsidR="009E2197" w:rsidRPr="006878F3">
        <w:rPr>
          <w:sz w:val="22"/>
          <w:szCs w:val="22"/>
        </w:rPr>
        <w:t>äzba na plazmatické proteíny je asi 99 %. Maximálne plazmatické koncentrácie sa po perorálnom podaní liekových foriem s normálnym uvoľňovaním dosiahnu po 1-2 hodinách.</w:t>
      </w:r>
    </w:p>
    <w:p w:rsidR="009E2197" w:rsidRPr="006878F3" w:rsidRDefault="009E2197" w:rsidP="009E2197">
      <w:pPr>
        <w:autoSpaceDE w:val="0"/>
        <w:autoSpaceDN w:val="0"/>
        <w:adjustRightInd w:val="0"/>
        <w:rPr>
          <w:sz w:val="22"/>
          <w:szCs w:val="22"/>
        </w:rPr>
      </w:pPr>
    </w:p>
    <w:p w:rsidR="009E2197" w:rsidRPr="006878F3" w:rsidRDefault="009E2197" w:rsidP="009E2197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V komparatívnej štúdii biodostupnosti v podmienkach hladovania bol rozsah absorpcie stanovený ako bioekvivalentný s referenčným liekom uvedeným na trh </w:t>
      </w:r>
      <w:r w:rsidR="00711DAD" w:rsidRPr="006878F3">
        <w:rPr>
          <w:sz w:val="22"/>
          <w:szCs w:val="22"/>
        </w:rPr>
        <w:t>pre</w:t>
      </w:r>
      <w:r w:rsidRPr="006878F3">
        <w:rPr>
          <w:sz w:val="22"/>
          <w:szCs w:val="22"/>
        </w:rPr>
        <w:t> ob</w:t>
      </w:r>
      <w:r w:rsidR="00711DAD" w:rsidRPr="006878F3">
        <w:rPr>
          <w:sz w:val="22"/>
          <w:szCs w:val="22"/>
        </w:rPr>
        <w:t>a</w:t>
      </w:r>
      <w:r w:rsidRPr="006878F3">
        <w:rPr>
          <w:sz w:val="22"/>
          <w:szCs w:val="22"/>
        </w:rPr>
        <w:t xml:space="preserve"> enantiomér</w:t>
      </w:r>
      <w:r w:rsidR="00711DAD" w:rsidRPr="006878F3">
        <w:rPr>
          <w:sz w:val="22"/>
          <w:szCs w:val="22"/>
        </w:rPr>
        <w:t>y</w:t>
      </w:r>
      <w:r w:rsidRPr="006878F3">
        <w:rPr>
          <w:sz w:val="22"/>
          <w:szCs w:val="22"/>
        </w:rPr>
        <w:t xml:space="preserve"> ibuprof</w:t>
      </w:r>
      <w:r w:rsidR="00CB72A5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 xml:space="preserve">nu s (S)-enantiomérom reprezentujúcim farmakologicky aktívnu </w:t>
      </w:r>
      <w:r w:rsidR="00711DAD" w:rsidRPr="006878F3">
        <w:rPr>
          <w:sz w:val="22"/>
          <w:szCs w:val="22"/>
        </w:rPr>
        <w:t xml:space="preserve">zložku </w:t>
      </w:r>
      <w:r w:rsidRPr="006878F3">
        <w:rPr>
          <w:sz w:val="22"/>
          <w:szCs w:val="22"/>
        </w:rPr>
        <w:t xml:space="preserve">v racemáte. </w:t>
      </w:r>
      <w:r w:rsidR="004929AB" w:rsidRPr="006878F3">
        <w:rPr>
          <w:sz w:val="22"/>
          <w:szCs w:val="22"/>
        </w:rPr>
        <w:t xml:space="preserve">Za postprandiálneho stavu mal perorálny prášok nižšiu mieru absorpcie </w:t>
      </w:r>
      <w:r w:rsidR="00711DAD" w:rsidRPr="006878F3">
        <w:rPr>
          <w:sz w:val="22"/>
          <w:szCs w:val="22"/>
        </w:rPr>
        <w:t>pri </w:t>
      </w:r>
      <w:r w:rsidR="004929AB" w:rsidRPr="006878F3">
        <w:rPr>
          <w:sz w:val="22"/>
          <w:szCs w:val="22"/>
        </w:rPr>
        <w:t>oboch enantiméro</w:t>
      </w:r>
      <w:r w:rsidR="00711DAD" w:rsidRPr="006878F3">
        <w:rPr>
          <w:sz w:val="22"/>
          <w:szCs w:val="22"/>
        </w:rPr>
        <w:t>ch</w:t>
      </w:r>
      <w:r w:rsidR="004929AB" w:rsidRPr="006878F3">
        <w:rPr>
          <w:sz w:val="22"/>
          <w:szCs w:val="22"/>
        </w:rPr>
        <w:t xml:space="preserve"> ibuprof</w:t>
      </w:r>
      <w:r w:rsidR="00CB72A5" w:rsidRPr="006878F3">
        <w:rPr>
          <w:sz w:val="22"/>
          <w:szCs w:val="22"/>
        </w:rPr>
        <w:t>é</w:t>
      </w:r>
      <w:r w:rsidR="004929AB" w:rsidRPr="006878F3">
        <w:rPr>
          <w:sz w:val="22"/>
          <w:szCs w:val="22"/>
        </w:rPr>
        <w:t>nu v porovnaní s referenčným liekom uvedeným na trh.</w:t>
      </w:r>
      <w:r w:rsidR="00AA10F1" w:rsidRPr="006878F3">
        <w:rPr>
          <w:sz w:val="22"/>
          <w:szCs w:val="22"/>
        </w:rPr>
        <w:t xml:space="preserve"> Rozsah absorpcie bol dokázaný ako bioekvivalentný</w:t>
      </w:r>
      <w:r w:rsidR="004929AB" w:rsidRPr="006878F3">
        <w:rPr>
          <w:sz w:val="22"/>
          <w:szCs w:val="22"/>
        </w:rPr>
        <w:t xml:space="preserve"> </w:t>
      </w:r>
      <w:r w:rsidR="00AA10F1" w:rsidRPr="006878F3">
        <w:rPr>
          <w:sz w:val="22"/>
          <w:szCs w:val="22"/>
        </w:rPr>
        <w:t>v postprandiálnom stave.</w:t>
      </w:r>
    </w:p>
    <w:p w:rsidR="004A1E56" w:rsidRPr="006878F3" w:rsidRDefault="004A1E56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5.3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Predklinické údaje o</w:t>
      </w:r>
      <w:r w:rsidR="003730D1" w:rsidRPr="006878F3">
        <w:rPr>
          <w:b/>
          <w:sz w:val="22"/>
          <w:szCs w:val="22"/>
        </w:rPr>
        <w:t> </w:t>
      </w:r>
      <w:r w:rsidRPr="006878F3">
        <w:rPr>
          <w:b/>
          <w:sz w:val="22"/>
          <w:szCs w:val="22"/>
        </w:rPr>
        <w:t>bezpečnosti</w:t>
      </w:r>
    </w:p>
    <w:p w:rsidR="003730D1" w:rsidRPr="006878F3" w:rsidRDefault="003730D1" w:rsidP="003C602A">
      <w:pPr>
        <w:widowControl w:val="0"/>
        <w:rPr>
          <w:b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Subchronická a chronická toxicita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 xml:space="preserve">u sa </w:t>
      </w:r>
      <w:r w:rsidR="000810BF" w:rsidRPr="006878F3">
        <w:rPr>
          <w:sz w:val="22"/>
          <w:szCs w:val="22"/>
        </w:rPr>
        <w:t>v</w:t>
      </w:r>
      <w:r w:rsidRPr="006878F3">
        <w:rPr>
          <w:sz w:val="22"/>
          <w:szCs w:val="22"/>
        </w:rPr>
        <w:t xml:space="preserve"> </w:t>
      </w:r>
      <w:r w:rsidR="004929AB" w:rsidRPr="006878F3">
        <w:rPr>
          <w:sz w:val="22"/>
          <w:szCs w:val="22"/>
        </w:rPr>
        <w:t>tes</w:t>
      </w:r>
      <w:r w:rsidR="00CB72A5" w:rsidRPr="006878F3">
        <w:rPr>
          <w:sz w:val="22"/>
          <w:szCs w:val="22"/>
        </w:rPr>
        <w:t>t</w:t>
      </w:r>
      <w:r w:rsidR="004929AB" w:rsidRPr="006878F3">
        <w:rPr>
          <w:sz w:val="22"/>
          <w:szCs w:val="22"/>
        </w:rPr>
        <w:t>och</w:t>
      </w:r>
      <w:r w:rsidRPr="006878F3">
        <w:rPr>
          <w:sz w:val="22"/>
          <w:szCs w:val="22"/>
        </w:rPr>
        <w:t xml:space="preserve"> </w:t>
      </w:r>
      <w:r w:rsidR="000810BF" w:rsidRPr="006878F3">
        <w:rPr>
          <w:sz w:val="22"/>
          <w:szCs w:val="22"/>
        </w:rPr>
        <w:t>na</w:t>
      </w:r>
      <w:r w:rsidRPr="006878F3">
        <w:rPr>
          <w:sz w:val="22"/>
          <w:szCs w:val="22"/>
        </w:rPr>
        <w:t xml:space="preserve"> zvierat</w:t>
      </w:r>
      <w:r w:rsidR="000810BF" w:rsidRPr="006878F3">
        <w:rPr>
          <w:sz w:val="22"/>
          <w:szCs w:val="22"/>
        </w:rPr>
        <w:t>ách</w:t>
      </w:r>
      <w:r w:rsidRPr="006878F3">
        <w:rPr>
          <w:sz w:val="22"/>
          <w:szCs w:val="22"/>
        </w:rPr>
        <w:t xml:space="preserve"> prejavila </w:t>
      </w:r>
      <w:r w:rsidR="00612301" w:rsidRPr="006878F3">
        <w:rPr>
          <w:sz w:val="22"/>
          <w:szCs w:val="22"/>
        </w:rPr>
        <w:t xml:space="preserve">hlavne </w:t>
      </w:r>
      <w:r w:rsidRPr="006878F3">
        <w:rPr>
          <w:sz w:val="22"/>
          <w:szCs w:val="22"/>
        </w:rPr>
        <w:t xml:space="preserve">vo forme lézií a vredov v gastrointestinálnom trakte. </w:t>
      </w:r>
    </w:p>
    <w:p w:rsidR="002158BF" w:rsidRPr="006878F3" w:rsidRDefault="006934A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i/>
          <w:sz w:val="22"/>
          <w:szCs w:val="22"/>
        </w:rPr>
        <w:t>In vitro</w:t>
      </w:r>
      <w:r w:rsidRPr="006878F3">
        <w:rPr>
          <w:sz w:val="22"/>
          <w:szCs w:val="22"/>
        </w:rPr>
        <w:t xml:space="preserve"> a </w:t>
      </w:r>
      <w:r w:rsidRPr="006878F3">
        <w:rPr>
          <w:i/>
          <w:sz w:val="22"/>
          <w:szCs w:val="22"/>
        </w:rPr>
        <w:t>in vivo</w:t>
      </w:r>
      <w:r w:rsidRPr="006878F3">
        <w:rPr>
          <w:sz w:val="22"/>
          <w:szCs w:val="22"/>
        </w:rPr>
        <w:t xml:space="preserve"> š</w:t>
      </w:r>
      <w:r w:rsidR="002158BF" w:rsidRPr="006878F3">
        <w:rPr>
          <w:sz w:val="22"/>
          <w:szCs w:val="22"/>
        </w:rPr>
        <w:t>túdie ne</w:t>
      </w:r>
      <w:r w:rsidR="000810BF" w:rsidRPr="006878F3">
        <w:rPr>
          <w:sz w:val="22"/>
          <w:szCs w:val="22"/>
        </w:rPr>
        <w:t>pre</w:t>
      </w:r>
      <w:r w:rsidR="002158BF" w:rsidRPr="006878F3">
        <w:rPr>
          <w:sz w:val="22"/>
          <w:szCs w:val="22"/>
        </w:rPr>
        <w:t xml:space="preserve">ukázali klinicky relevantné </w:t>
      </w:r>
      <w:r w:rsidR="009E449A" w:rsidRPr="006878F3">
        <w:rPr>
          <w:sz w:val="22"/>
          <w:szCs w:val="22"/>
        </w:rPr>
        <w:t xml:space="preserve">dôkazy </w:t>
      </w:r>
      <w:r w:rsidR="002158BF" w:rsidRPr="006878F3">
        <w:rPr>
          <w:sz w:val="22"/>
          <w:szCs w:val="22"/>
        </w:rPr>
        <w:t>mutagénn</w:t>
      </w:r>
      <w:r w:rsidR="00994A91" w:rsidRPr="006878F3">
        <w:rPr>
          <w:sz w:val="22"/>
          <w:szCs w:val="22"/>
        </w:rPr>
        <w:t>eho</w:t>
      </w:r>
      <w:r w:rsidR="002158BF" w:rsidRPr="006878F3">
        <w:rPr>
          <w:sz w:val="22"/>
          <w:szCs w:val="22"/>
        </w:rPr>
        <w:t xml:space="preserve"> </w:t>
      </w:r>
      <w:r w:rsidR="00994A91" w:rsidRPr="006878F3">
        <w:rPr>
          <w:sz w:val="22"/>
          <w:szCs w:val="22"/>
        </w:rPr>
        <w:t xml:space="preserve">potenciálu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2158BF" w:rsidRPr="006878F3">
        <w:rPr>
          <w:sz w:val="22"/>
          <w:szCs w:val="22"/>
        </w:rPr>
        <w:t>u. Štúdie na potkanoch a myšiach nepreukázali žiadne</w:t>
      </w:r>
      <w:r w:rsidR="00A62767" w:rsidRPr="006878F3">
        <w:rPr>
          <w:sz w:val="22"/>
          <w:szCs w:val="22"/>
        </w:rPr>
        <w:t xml:space="preserve"> náznaky</w:t>
      </w:r>
      <w:r w:rsidR="002158BF" w:rsidRPr="006878F3">
        <w:rPr>
          <w:sz w:val="22"/>
          <w:szCs w:val="22"/>
        </w:rPr>
        <w:t xml:space="preserve"> karcinogénnych účinkov</w:t>
      </w:r>
      <w:r w:rsidRPr="006878F3">
        <w:rPr>
          <w:sz w:val="22"/>
          <w:szCs w:val="22"/>
        </w:rPr>
        <w:t xml:space="preserve"> ibuprof</w:t>
      </w:r>
      <w:r w:rsidR="00CB72A5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nu</w:t>
      </w:r>
      <w:r w:rsidR="002158BF" w:rsidRPr="006878F3">
        <w:rPr>
          <w:sz w:val="22"/>
          <w:szCs w:val="22"/>
        </w:rPr>
        <w:t xml:space="preserve">. </w:t>
      </w:r>
    </w:p>
    <w:p w:rsidR="002158BF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 xml:space="preserve">U králikov viedol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="00994A91" w:rsidRPr="006878F3">
        <w:rPr>
          <w:sz w:val="22"/>
          <w:szCs w:val="22"/>
        </w:rPr>
        <w:t xml:space="preserve"> </w:t>
      </w:r>
      <w:r w:rsidRPr="006878F3">
        <w:rPr>
          <w:sz w:val="22"/>
          <w:szCs w:val="22"/>
        </w:rPr>
        <w:t xml:space="preserve">k inhibícii ovulácie a u rozdielnych druhov zvierat (králiky, potkany, myši) k poruchám implantácie. Experimentálne štúdie na potkanoch a králikoch ukázali, že </w:t>
      </w:r>
      <w:r w:rsidR="00C104AF" w:rsidRPr="006878F3">
        <w:rPr>
          <w:sz w:val="22"/>
          <w:szCs w:val="22"/>
        </w:rPr>
        <w:t>ibuprof</w:t>
      </w:r>
      <w:r w:rsidR="00CB72A5" w:rsidRPr="006878F3">
        <w:rPr>
          <w:sz w:val="22"/>
          <w:szCs w:val="22"/>
        </w:rPr>
        <w:t>é</w:t>
      </w:r>
      <w:r w:rsidR="00D834CB" w:rsidRPr="006878F3">
        <w:rPr>
          <w:sz w:val="22"/>
          <w:szCs w:val="22"/>
        </w:rPr>
        <w:t>n</w:t>
      </w:r>
      <w:r w:rsidRPr="006878F3">
        <w:rPr>
          <w:sz w:val="22"/>
          <w:szCs w:val="22"/>
        </w:rPr>
        <w:t xml:space="preserve"> prechádza placentárnou bariérou. Po podávaní dávok toxických pre matky u potkanov sa v potomstve zistil zvýšený výskyt malformácií (defekty komorového septa).</w:t>
      </w:r>
    </w:p>
    <w:p w:rsidR="004929AB" w:rsidRPr="006878F3" w:rsidRDefault="004929AB" w:rsidP="003C602A">
      <w:pPr>
        <w:widowControl w:val="0"/>
        <w:rPr>
          <w:sz w:val="22"/>
          <w:szCs w:val="22"/>
        </w:rPr>
      </w:pPr>
    </w:p>
    <w:p w:rsidR="004929AB" w:rsidRPr="006878F3" w:rsidRDefault="004929AB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Liečivo ibuprof</w:t>
      </w:r>
      <w:r w:rsidR="00CB72A5" w:rsidRPr="006878F3">
        <w:rPr>
          <w:sz w:val="22"/>
          <w:szCs w:val="22"/>
        </w:rPr>
        <w:t>é</w:t>
      </w:r>
      <w:r w:rsidRPr="006878F3">
        <w:rPr>
          <w:sz w:val="22"/>
          <w:szCs w:val="22"/>
        </w:rPr>
        <w:t>n môže predstavovať riziko pre ryby.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53BDD" w:rsidRPr="006878F3" w:rsidRDefault="00A53BDD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>FARMACEUTICKÉ ÚDAJE</w:t>
      </w: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</w:p>
    <w:p w:rsidR="00E11C35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6.1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 xml:space="preserve">Zoznam pomocných látok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sz w:val="22"/>
          <w:szCs w:val="22"/>
        </w:rPr>
        <w:t xml:space="preserve"> </w:t>
      </w:r>
    </w:p>
    <w:p w:rsidR="005B4833" w:rsidRPr="006878F3" w:rsidRDefault="005B4833" w:rsidP="004929AB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i</w:t>
      </w:r>
      <w:r w:rsidR="001E71B5" w:rsidRPr="006878F3">
        <w:rPr>
          <w:sz w:val="22"/>
          <w:szCs w:val="22"/>
        </w:rPr>
        <w:t>zomalt 720</w:t>
      </w:r>
    </w:p>
    <w:p w:rsidR="004929AB" w:rsidRPr="006878F3" w:rsidRDefault="004929AB" w:rsidP="004929AB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kyselina citrónová, bezvodá</w:t>
      </w:r>
    </w:p>
    <w:p w:rsidR="004929AB" w:rsidRPr="006878F3" w:rsidRDefault="004929A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acesulfam, draselná soľ (E950)</w:t>
      </w:r>
    </w:p>
    <w:p w:rsidR="004929AB" w:rsidRPr="006878F3" w:rsidRDefault="004929AB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glyceroldistearát</w:t>
      </w:r>
      <w:r w:rsidR="00DC4ADC" w:rsidRPr="006878F3">
        <w:rPr>
          <w:sz w:val="22"/>
          <w:szCs w:val="22"/>
        </w:rPr>
        <w:t xml:space="preserve"> (typ 1)</w:t>
      </w:r>
    </w:p>
    <w:p w:rsidR="004929AB" w:rsidRPr="006878F3" w:rsidRDefault="00537627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citrónová aróma (obsahuje prírodné aromatické látky, aromatické látky identické s prírodnými arómami, maltodextrín, alfa-tokoferol (E307))</w:t>
      </w:r>
    </w:p>
    <w:p w:rsidR="004929AB" w:rsidRPr="006878F3" w:rsidRDefault="004929AB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6.2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Inkompatibility</w:t>
      </w:r>
    </w:p>
    <w:p w:rsidR="0030065E" w:rsidRPr="006878F3" w:rsidRDefault="0030065E" w:rsidP="003C602A">
      <w:pPr>
        <w:widowControl w:val="0"/>
        <w:rPr>
          <w:b/>
          <w:sz w:val="22"/>
          <w:szCs w:val="22"/>
        </w:rPr>
      </w:pPr>
    </w:p>
    <w:p w:rsidR="002158BF" w:rsidRPr="006878F3" w:rsidRDefault="002158BF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Neaplikovateľné</w:t>
      </w:r>
      <w:r w:rsidR="00F97D78" w:rsidRPr="006878F3">
        <w:rPr>
          <w:sz w:val="22"/>
          <w:szCs w:val="22"/>
        </w:rPr>
        <w:t>.</w:t>
      </w:r>
    </w:p>
    <w:p w:rsidR="002158BF" w:rsidRPr="006878F3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6.3 </w:t>
      </w:r>
      <w:r w:rsidRPr="006878F3">
        <w:rPr>
          <w:b/>
          <w:sz w:val="22"/>
          <w:szCs w:val="22"/>
        </w:rPr>
        <w:t xml:space="preserve"> </w:t>
      </w:r>
      <w:r w:rsidR="00EA54CC" w:rsidRPr="006878F3">
        <w:rPr>
          <w:b/>
          <w:sz w:val="22"/>
          <w:szCs w:val="22"/>
        </w:rPr>
        <w:tab/>
      </w:r>
      <w:r w:rsidRPr="006878F3">
        <w:rPr>
          <w:b/>
          <w:sz w:val="22"/>
          <w:szCs w:val="22"/>
        </w:rPr>
        <w:t>Čas použiteľnosti</w:t>
      </w:r>
    </w:p>
    <w:p w:rsidR="0030065E" w:rsidRPr="006878F3" w:rsidRDefault="0030065E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6878F3" w:rsidRDefault="00537627" w:rsidP="003C602A">
      <w:pPr>
        <w:widowControl w:val="0"/>
        <w:rPr>
          <w:sz w:val="22"/>
          <w:szCs w:val="22"/>
        </w:rPr>
      </w:pPr>
      <w:r w:rsidRPr="006878F3">
        <w:rPr>
          <w:sz w:val="22"/>
          <w:szCs w:val="22"/>
        </w:rPr>
        <w:t>4</w:t>
      </w:r>
      <w:r w:rsidR="002158BF" w:rsidRPr="006878F3">
        <w:rPr>
          <w:sz w:val="22"/>
          <w:szCs w:val="22"/>
        </w:rPr>
        <w:t xml:space="preserve"> roky</w:t>
      </w:r>
    </w:p>
    <w:p w:rsidR="002158BF" w:rsidRPr="006878F3" w:rsidRDefault="000810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 </w:t>
      </w:r>
      <w:r w:rsidR="002158BF" w:rsidRPr="006878F3">
        <w:rPr>
          <w:color w:val="000000"/>
          <w:sz w:val="22"/>
          <w:szCs w:val="22"/>
        </w:rPr>
        <w:t xml:space="preserve">   </w:t>
      </w:r>
    </w:p>
    <w:p w:rsidR="002158BF" w:rsidRPr="006878F3" w:rsidRDefault="002158BF" w:rsidP="003C602A">
      <w:pPr>
        <w:rPr>
          <w:b/>
          <w:noProof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6.4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noProof/>
          <w:sz w:val="22"/>
          <w:szCs w:val="22"/>
        </w:rPr>
        <w:t>Špeciálne upozornenia na uchovávanie</w:t>
      </w:r>
    </w:p>
    <w:p w:rsidR="0030065E" w:rsidRPr="006878F3" w:rsidRDefault="0030065E" w:rsidP="003C602A">
      <w:pPr>
        <w:rPr>
          <w:b/>
          <w:noProof/>
          <w:sz w:val="22"/>
          <w:szCs w:val="22"/>
        </w:rPr>
      </w:pPr>
    </w:p>
    <w:p w:rsidR="002158BF" w:rsidRPr="006878F3" w:rsidRDefault="00C73654" w:rsidP="003C602A">
      <w:pPr>
        <w:widowControl w:val="0"/>
        <w:rPr>
          <w:sz w:val="22"/>
          <w:szCs w:val="22"/>
        </w:rPr>
      </w:pPr>
      <w:r w:rsidRPr="006878F3">
        <w:rPr>
          <w:noProof/>
          <w:sz w:val="22"/>
          <w:szCs w:val="22"/>
        </w:rPr>
        <w:t>Uchovávajte pri teplote neprevyšujúcej 25 °C. Uchovávajte v pôvodnom obale na ochranu pred svetlom.</w:t>
      </w:r>
    </w:p>
    <w:p w:rsidR="00F97D78" w:rsidRPr="006878F3" w:rsidRDefault="00F97D78" w:rsidP="003C602A">
      <w:pPr>
        <w:widowControl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/>
          <w:bCs/>
          <w:color w:val="000000"/>
          <w:sz w:val="22"/>
          <w:szCs w:val="22"/>
        </w:rPr>
        <w:t xml:space="preserve">6.5 </w:t>
      </w:r>
      <w:r w:rsidR="00EA54CC" w:rsidRPr="006878F3">
        <w:rPr>
          <w:b/>
          <w:bCs/>
          <w:color w:val="000000"/>
          <w:sz w:val="22"/>
          <w:szCs w:val="22"/>
        </w:rPr>
        <w:tab/>
      </w:r>
      <w:r w:rsidRPr="006878F3">
        <w:rPr>
          <w:b/>
          <w:sz w:val="22"/>
          <w:szCs w:val="22"/>
        </w:rPr>
        <w:t>Druh obalu a obsah balenia</w:t>
      </w:r>
      <w:r w:rsidRPr="006878F3">
        <w:rPr>
          <w:b/>
          <w:bCs/>
          <w:color w:val="000000"/>
          <w:sz w:val="22"/>
          <w:szCs w:val="22"/>
        </w:rPr>
        <w:t xml:space="preserve"> </w:t>
      </w:r>
    </w:p>
    <w:p w:rsidR="0030065E" w:rsidRPr="006878F3" w:rsidRDefault="0030065E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73654" w:rsidRPr="006878F3" w:rsidRDefault="00C73654" w:rsidP="00C73654">
      <w:pPr>
        <w:widowControl w:val="0"/>
        <w:rPr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200 mg perorálny prášok</w:t>
      </w:r>
    </w:p>
    <w:p w:rsidR="00C73654" w:rsidRPr="006878F3" w:rsidRDefault="00821BD4" w:rsidP="00C7365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Vrecká z  polyetylén</w:t>
      </w:r>
      <w:r w:rsidR="001E71B5" w:rsidRPr="006878F3">
        <w:rPr>
          <w:bCs/>
          <w:sz w:val="22"/>
          <w:szCs w:val="22"/>
        </w:rPr>
        <w:t>tereftalátu</w:t>
      </w:r>
      <w:r w:rsidRPr="006878F3">
        <w:rPr>
          <w:bCs/>
          <w:sz w:val="22"/>
          <w:szCs w:val="22"/>
        </w:rPr>
        <w:t>, hliníková fólia a polyetylén.</w:t>
      </w:r>
    </w:p>
    <w:p w:rsidR="00821BD4" w:rsidRPr="006878F3" w:rsidRDefault="00821BD4" w:rsidP="00C73654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21BD4" w:rsidRPr="006878F3" w:rsidRDefault="00821BD4" w:rsidP="00C7365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Balenia po 6, 10, 12 a 20 vreciek.</w:t>
      </w:r>
    </w:p>
    <w:p w:rsidR="00C73654" w:rsidRPr="006878F3" w:rsidRDefault="00C73654" w:rsidP="00C73654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C73654" w:rsidRPr="006878F3" w:rsidRDefault="00C73654" w:rsidP="00C73654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  <w:r w:rsidRPr="006878F3">
        <w:rPr>
          <w:bCs/>
          <w:i/>
          <w:sz w:val="22"/>
          <w:szCs w:val="22"/>
        </w:rPr>
        <w:t>Ibuprofen STADA 400 mg perorálny prášok</w:t>
      </w:r>
    </w:p>
    <w:p w:rsidR="00821BD4" w:rsidRPr="006878F3" w:rsidRDefault="00821BD4" w:rsidP="00821BD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Vrecká z  polyetylén</w:t>
      </w:r>
      <w:r w:rsidR="001E71B5" w:rsidRPr="006878F3">
        <w:rPr>
          <w:bCs/>
          <w:sz w:val="22"/>
          <w:szCs w:val="22"/>
        </w:rPr>
        <w:t>tereftalátu</w:t>
      </w:r>
      <w:r w:rsidRPr="006878F3">
        <w:rPr>
          <w:bCs/>
          <w:sz w:val="22"/>
          <w:szCs w:val="22"/>
        </w:rPr>
        <w:t>, hliníková fólia a polyetylén.</w:t>
      </w:r>
    </w:p>
    <w:p w:rsidR="00821BD4" w:rsidRPr="006878F3" w:rsidRDefault="00821BD4" w:rsidP="00821BD4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21BD4" w:rsidRPr="006878F3" w:rsidRDefault="00821BD4" w:rsidP="00821BD4">
      <w:pPr>
        <w:autoSpaceDE w:val="0"/>
        <w:autoSpaceDN w:val="0"/>
        <w:adjustRightInd w:val="0"/>
        <w:rPr>
          <w:bCs/>
          <w:sz w:val="22"/>
          <w:szCs w:val="22"/>
        </w:rPr>
      </w:pPr>
      <w:r w:rsidRPr="006878F3">
        <w:rPr>
          <w:bCs/>
          <w:sz w:val="22"/>
          <w:szCs w:val="22"/>
        </w:rPr>
        <w:t>Balenia po 10, 12 a 20 vreciek.</w:t>
      </w:r>
    </w:p>
    <w:p w:rsidR="00C73654" w:rsidRPr="006878F3" w:rsidRDefault="00C73654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F23237" w:rsidRPr="006878F3" w:rsidRDefault="00F23237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 xml:space="preserve">Na trh nemusia byť uvedené </w:t>
      </w:r>
      <w:r w:rsidR="003B0AD2" w:rsidRPr="006878F3">
        <w:rPr>
          <w:color w:val="000000"/>
          <w:sz w:val="22"/>
          <w:szCs w:val="22"/>
        </w:rPr>
        <w:t>všetky veľkosti balenia.</w:t>
      </w:r>
    </w:p>
    <w:p w:rsidR="007C1064" w:rsidRPr="006878F3" w:rsidRDefault="007C1064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0065E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6.6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noProof/>
          <w:sz w:val="22"/>
          <w:szCs w:val="22"/>
        </w:rPr>
        <w:t>Špeciálne opatrenia na likvidáciu</w:t>
      </w:r>
      <w:r w:rsidRPr="006878F3">
        <w:rPr>
          <w:b/>
          <w:bCs/>
          <w:sz w:val="22"/>
          <w:szCs w:val="22"/>
        </w:rPr>
        <w:t xml:space="preserve"> a iné zaobchádzanie </w:t>
      </w:r>
      <w:r w:rsidR="003730D1" w:rsidRPr="006878F3">
        <w:rPr>
          <w:b/>
          <w:bCs/>
          <w:sz w:val="22"/>
          <w:szCs w:val="22"/>
        </w:rPr>
        <w:t>s liekom</w:t>
      </w:r>
      <w:r w:rsidRPr="006878F3">
        <w:rPr>
          <w:b/>
          <w:bCs/>
          <w:sz w:val="22"/>
          <w:szCs w:val="22"/>
        </w:rPr>
        <w:t xml:space="preserve"> 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 </w:t>
      </w:r>
    </w:p>
    <w:p w:rsidR="0030065E" w:rsidRPr="006878F3" w:rsidRDefault="003278AF" w:rsidP="003C602A">
      <w:pPr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6878F3">
        <w:rPr>
          <w:sz w:val="22"/>
          <w:szCs w:val="22"/>
          <w:shd w:val="clear" w:color="auto" w:fill="FFFFFF"/>
        </w:rPr>
        <w:t>Tento</w:t>
      </w:r>
      <w:r w:rsidRPr="006878F3">
        <w:rPr>
          <w:rStyle w:val="apple-converted-space"/>
          <w:sz w:val="22"/>
          <w:szCs w:val="22"/>
          <w:shd w:val="clear" w:color="auto" w:fill="FFFFFF"/>
        </w:rPr>
        <w:t> </w:t>
      </w:r>
      <w:r w:rsidRPr="006878F3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liek môže predstavovať riziko pre životné</w:t>
      </w:r>
      <w:r w:rsidRPr="006878F3">
        <w:rPr>
          <w:rStyle w:val="apple-converted-space"/>
          <w:sz w:val="22"/>
          <w:szCs w:val="22"/>
          <w:shd w:val="clear" w:color="auto" w:fill="FFFFFF"/>
        </w:rPr>
        <w:t> </w:t>
      </w:r>
      <w:r w:rsidRPr="006878F3">
        <w:rPr>
          <w:sz w:val="22"/>
          <w:szCs w:val="22"/>
          <w:shd w:val="clear" w:color="auto" w:fill="FFFFFF"/>
        </w:rPr>
        <w:t>prostredie (pozri časť 5.3).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  <w:shd w:val="clear" w:color="auto" w:fill="FFFFFF"/>
        </w:rPr>
        <w:t>Všetok nepoužitý liek alebo odpad vzniknutý z lieku sa má zlikvidovať v súlade s národnými požiadavkami.</w:t>
      </w:r>
    </w:p>
    <w:p w:rsidR="00F97D78" w:rsidRPr="006878F3" w:rsidRDefault="00F97D78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6878F3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7.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DRŽITEĽ ROZHODNUTIA O REGISTRÁCII   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STADA Arzneimittel AG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Stadastrasse 2-18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61118 Bad Vilbel</w:t>
      </w:r>
    </w:p>
    <w:p w:rsidR="003278AF" w:rsidRPr="006878F3" w:rsidRDefault="003278AF" w:rsidP="003C602A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Nemecko</w:t>
      </w: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widowControl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8. </w:t>
      </w:r>
      <w:r w:rsidR="00EA54CC" w:rsidRPr="006878F3">
        <w:rPr>
          <w:b/>
          <w:bCs/>
          <w:sz w:val="22"/>
          <w:szCs w:val="22"/>
        </w:rPr>
        <w:tab/>
      </w:r>
      <w:r w:rsidR="000B3432" w:rsidRPr="006878F3">
        <w:rPr>
          <w:b/>
          <w:bCs/>
          <w:sz w:val="22"/>
          <w:szCs w:val="22"/>
        </w:rPr>
        <w:t>REGISTRAČNÉ ČÍSLA</w:t>
      </w:r>
    </w:p>
    <w:p w:rsidR="0030065E" w:rsidRPr="006878F3" w:rsidRDefault="0030065E" w:rsidP="003C602A">
      <w:pPr>
        <w:widowControl w:val="0"/>
        <w:rPr>
          <w:b/>
          <w:bCs/>
          <w:sz w:val="22"/>
          <w:szCs w:val="22"/>
        </w:rPr>
      </w:pPr>
    </w:p>
    <w:p w:rsidR="000B3432" w:rsidRPr="006878F3" w:rsidRDefault="000B3432" w:rsidP="000B3432">
      <w:pPr>
        <w:widowControl w:val="0"/>
        <w:rPr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lastRenderedPageBreak/>
        <w:t>Ibuprofen STADA 200 mg perorálny prášok: 07/0226/17-S</w:t>
      </w:r>
    </w:p>
    <w:p w:rsidR="000B3432" w:rsidRPr="006878F3" w:rsidRDefault="000B3432" w:rsidP="000B343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878F3">
        <w:rPr>
          <w:bCs/>
          <w:sz w:val="22"/>
          <w:szCs w:val="22"/>
        </w:rPr>
        <w:t>Ibuprofen STADA 400 mg perorálny prášok: 07/0227/17-S</w:t>
      </w:r>
    </w:p>
    <w:p w:rsidR="000B3432" w:rsidRPr="006878F3" w:rsidRDefault="000B3432" w:rsidP="003C60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B3432" w:rsidRPr="006878F3" w:rsidRDefault="000B3432" w:rsidP="003C60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0065E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>9.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DÁTUM </w:t>
      </w:r>
      <w:r w:rsidR="003B0AD2" w:rsidRPr="006878F3">
        <w:rPr>
          <w:b/>
          <w:bCs/>
          <w:sz w:val="22"/>
          <w:szCs w:val="22"/>
        </w:rPr>
        <w:t xml:space="preserve">PRVEJ </w:t>
      </w:r>
      <w:r w:rsidRPr="006878F3">
        <w:rPr>
          <w:b/>
          <w:bCs/>
          <w:sz w:val="22"/>
          <w:szCs w:val="22"/>
        </w:rPr>
        <w:t>REGISTRÁCIE/PREDĹŽENIA REGISTRÁCIE</w:t>
      </w: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 </w:t>
      </w:r>
    </w:p>
    <w:p w:rsidR="003B0AD2" w:rsidRPr="006878F3" w:rsidRDefault="003B0AD2" w:rsidP="003278AF">
      <w:pPr>
        <w:autoSpaceDE w:val="0"/>
        <w:autoSpaceDN w:val="0"/>
        <w:adjustRightInd w:val="0"/>
        <w:rPr>
          <w:sz w:val="22"/>
          <w:szCs w:val="22"/>
        </w:rPr>
      </w:pPr>
      <w:r w:rsidRPr="006878F3">
        <w:rPr>
          <w:sz w:val="22"/>
          <w:szCs w:val="22"/>
        </w:rPr>
        <w:t>Dátum prvej registrác</w:t>
      </w:r>
      <w:r w:rsidR="00B1361D" w:rsidRPr="006878F3">
        <w:rPr>
          <w:sz w:val="22"/>
          <w:szCs w:val="22"/>
        </w:rPr>
        <w:t>i</w:t>
      </w:r>
      <w:r w:rsidRPr="006878F3">
        <w:rPr>
          <w:sz w:val="22"/>
          <w:szCs w:val="22"/>
        </w:rPr>
        <w:t xml:space="preserve">e: </w:t>
      </w:r>
      <w:r w:rsidR="00415B11" w:rsidRPr="006878F3">
        <w:rPr>
          <w:sz w:val="22"/>
          <w:szCs w:val="22"/>
        </w:rPr>
        <w:t>7. augusta 2017</w:t>
      </w:r>
    </w:p>
    <w:p w:rsidR="003278AF" w:rsidRPr="006878F3" w:rsidRDefault="003278AF" w:rsidP="003278AF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6878F3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6878F3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78F3">
        <w:rPr>
          <w:b/>
          <w:bCs/>
          <w:sz w:val="22"/>
          <w:szCs w:val="22"/>
        </w:rPr>
        <w:t xml:space="preserve">10. </w:t>
      </w:r>
      <w:r w:rsidR="00EA54CC" w:rsidRPr="006878F3">
        <w:rPr>
          <w:b/>
          <w:bCs/>
          <w:sz w:val="22"/>
          <w:szCs w:val="22"/>
        </w:rPr>
        <w:tab/>
      </w:r>
      <w:r w:rsidRPr="006878F3">
        <w:rPr>
          <w:b/>
          <w:bCs/>
          <w:sz w:val="22"/>
          <w:szCs w:val="22"/>
        </w:rPr>
        <w:t xml:space="preserve">DÁTUM REVÍZIE TEXTU  </w:t>
      </w:r>
    </w:p>
    <w:p w:rsidR="002E42B9" w:rsidRPr="006878F3" w:rsidRDefault="002E42B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B354F" w:rsidRPr="006878F3" w:rsidRDefault="004E5DE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78F3">
        <w:rPr>
          <w:color w:val="000000"/>
          <w:sz w:val="22"/>
          <w:szCs w:val="22"/>
        </w:rPr>
        <w:t>0</w:t>
      </w:r>
      <w:r w:rsidR="001459FB">
        <w:rPr>
          <w:color w:val="000000"/>
          <w:sz w:val="22"/>
          <w:szCs w:val="22"/>
        </w:rPr>
        <w:t>6</w:t>
      </w:r>
      <w:r w:rsidRPr="006878F3">
        <w:rPr>
          <w:color w:val="000000"/>
          <w:sz w:val="22"/>
          <w:szCs w:val="22"/>
        </w:rPr>
        <w:t>/2020</w:t>
      </w:r>
    </w:p>
    <w:sectPr w:rsidR="009B354F" w:rsidRPr="006878F3" w:rsidSect="00A42112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E6" w:rsidRDefault="004E5DE6">
      <w:r>
        <w:separator/>
      </w:r>
    </w:p>
  </w:endnote>
  <w:endnote w:type="continuationSeparator" w:id="0">
    <w:p w:rsidR="004E5DE6" w:rsidRDefault="004E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Default="004E5DE6" w:rsidP="00135B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5DE6" w:rsidRDefault="004E5D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Pr="00E0153F" w:rsidRDefault="004E5DE6" w:rsidP="00E0153F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E0153F">
      <w:rPr>
        <w:rStyle w:val="slostrany"/>
        <w:sz w:val="18"/>
        <w:szCs w:val="18"/>
      </w:rPr>
      <w:fldChar w:fldCharType="begin"/>
    </w:r>
    <w:r w:rsidRPr="00E0153F">
      <w:rPr>
        <w:rStyle w:val="slostrany"/>
        <w:sz w:val="18"/>
        <w:szCs w:val="18"/>
      </w:rPr>
      <w:instrText xml:space="preserve">PAGE  </w:instrText>
    </w:r>
    <w:r w:rsidRPr="00E0153F">
      <w:rPr>
        <w:rStyle w:val="slostrany"/>
        <w:sz w:val="18"/>
        <w:szCs w:val="18"/>
      </w:rPr>
      <w:fldChar w:fldCharType="separate"/>
    </w:r>
    <w:r w:rsidR="000252B9">
      <w:rPr>
        <w:rStyle w:val="slostrany"/>
        <w:noProof/>
        <w:sz w:val="18"/>
        <w:szCs w:val="18"/>
      </w:rPr>
      <w:t>14</w:t>
    </w:r>
    <w:r w:rsidRPr="00E0153F">
      <w:rPr>
        <w:rStyle w:val="slostrany"/>
        <w:sz w:val="18"/>
        <w:szCs w:val="18"/>
      </w:rPr>
      <w:fldChar w:fldCharType="end"/>
    </w:r>
  </w:p>
  <w:p w:rsidR="004E5DE6" w:rsidRDefault="004E5DE6" w:rsidP="004A345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Pr="00E0153F" w:rsidRDefault="004E5DE6" w:rsidP="00E0153F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E6" w:rsidRDefault="004E5DE6">
      <w:r>
        <w:separator/>
      </w:r>
    </w:p>
  </w:footnote>
  <w:footnote w:type="continuationSeparator" w:id="0">
    <w:p w:rsidR="004E5DE6" w:rsidRDefault="004E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E6" w:rsidRDefault="004E5DE6" w:rsidP="00C13896">
    <w:pPr>
      <w:pStyle w:val="Hlavika"/>
    </w:pPr>
    <w:r>
      <w:rPr>
        <w:sz w:val="18"/>
        <w:szCs w:val="18"/>
        <w:lang w:val="sk-SK"/>
      </w:rPr>
      <w:t>Príloha č. 1 k notifikácii o zmene, ev. č.: 2019/06773-Z1B</w:t>
    </w:r>
  </w:p>
  <w:p w:rsidR="004E5DE6" w:rsidRDefault="004E5D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B9"/>
    <w:multiLevelType w:val="hybridMultilevel"/>
    <w:tmpl w:val="EAFC7F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7F95"/>
    <w:multiLevelType w:val="hybridMultilevel"/>
    <w:tmpl w:val="959AB3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5F44"/>
    <w:multiLevelType w:val="hybridMultilevel"/>
    <w:tmpl w:val="187220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329C"/>
    <w:multiLevelType w:val="hybridMultilevel"/>
    <w:tmpl w:val="B70CF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E0C70"/>
    <w:multiLevelType w:val="hybridMultilevel"/>
    <w:tmpl w:val="C55624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844CC"/>
    <w:multiLevelType w:val="hybridMultilevel"/>
    <w:tmpl w:val="7032AD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8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B42416"/>
    <w:multiLevelType w:val="hybridMultilevel"/>
    <w:tmpl w:val="12F47E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A159E7"/>
    <w:multiLevelType w:val="hybridMultilevel"/>
    <w:tmpl w:val="8EA4C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67929"/>
    <w:multiLevelType w:val="hybridMultilevel"/>
    <w:tmpl w:val="BD40C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342CF3"/>
    <w:multiLevelType w:val="hybridMultilevel"/>
    <w:tmpl w:val="354AA3D4"/>
    <w:lvl w:ilvl="0" w:tplc="2944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60796F"/>
    <w:multiLevelType w:val="hybridMultilevel"/>
    <w:tmpl w:val="B79ECA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16EA9"/>
    <w:multiLevelType w:val="hybridMultilevel"/>
    <w:tmpl w:val="D5106D62"/>
    <w:lvl w:ilvl="0" w:tplc="E22C5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16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8A"/>
    <w:rsid w:val="00001C91"/>
    <w:rsid w:val="000049C4"/>
    <w:rsid w:val="000112B0"/>
    <w:rsid w:val="00011547"/>
    <w:rsid w:val="00013790"/>
    <w:rsid w:val="00021468"/>
    <w:rsid w:val="000246E8"/>
    <w:rsid w:val="000252B9"/>
    <w:rsid w:val="00026C58"/>
    <w:rsid w:val="00027965"/>
    <w:rsid w:val="0003355A"/>
    <w:rsid w:val="00035E2E"/>
    <w:rsid w:val="0004041A"/>
    <w:rsid w:val="000407B4"/>
    <w:rsid w:val="00041187"/>
    <w:rsid w:val="00043763"/>
    <w:rsid w:val="00046DD8"/>
    <w:rsid w:val="00047382"/>
    <w:rsid w:val="00050294"/>
    <w:rsid w:val="0005164A"/>
    <w:rsid w:val="00055BB5"/>
    <w:rsid w:val="0005663F"/>
    <w:rsid w:val="00056B1A"/>
    <w:rsid w:val="00060AB8"/>
    <w:rsid w:val="00061374"/>
    <w:rsid w:val="000654B5"/>
    <w:rsid w:val="00067EEE"/>
    <w:rsid w:val="000725A5"/>
    <w:rsid w:val="0008068D"/>
    <w:rsid w:val="00080CD6"/>
    <w:rsid w:val="000810BF"/>
    <w:rsid w:val="00085299"/>
    <w:rsid w:val="00086429"/>
    <w:rsid w:val="0008794D"/>
    <w:rsid w:val="000A1CA7"/>
    <w:rsid w:val="000A6731"/>
    <w:rsid w:val="000B01D0"/>
    <w:rsid w:val="000B0591"/>
    <w:rsid w:val="000B224B"/>
    <w:rsid w:val="000B2A49"/>
    <w:rsid w:val="000B3432"/>
    <w:rsid w:val="000B5DB2"/>
    <w:rsid w:val="000B7439"/>
    <w:rsid w:val="000B7F2B"/>
    <w:rsid w:val="000C4067"/>
    <w:rsid w:val="000C5EA3"/>
    <w:rsid w:val="000D42C2"/>
    <w:rsid w:val="000D7C87"/>
    <w:rsid w:val="000E0D95"/>
    <w:rsid w:val="000E135A"/>
    <w:rsid w:val="000E162D"/>
    <w:rsid w:val="000E5DF4"/>
    <w:rsid w:val="000F103E"/>
    <w:rsid w:val="000F5972"/>
    <w:rsid w:val="000F5A40"/>
    <w:rsid w:val="001000AB"/>
    <w:rsid w:val="0010060A"/>
    <w:rsid w:val="00101477"/>
    <w:rsid w:val="00101BB8"/>
    <w:rsid w:val="0010261A"/>
    <w:rsid w:val="00102638"/>
    <w:rsid w:val="0011013E"/>
    <w:rsid w:val="00110A7C"/>
    <w:rsid w:val="00114282"/>
    <w:rsid w:val="00115544"/>
    <w:rsid w:val="00116D0A"/>
    <w:rsid w:val="00116ED4"/>
    <w:rsid w:val="00122C6B"/>
    <w:rsid w:val="001234B2"/>
    <w:rsid w:val="00123DCA"/>
    <w:rsid w:val="00124EC4"/>
    <w:rsid w:val="00126A3F"/>
    <w:rsid w:val="001271BC"/>
    <w:rsid w:val="00135B30"/>
    <w:rsid w:val="00137C46"/>
    <w:rsid w:val="001418F3"/>
    <w:rsid w:val="00141CE9"/>
    <w:rsid w:val="001431B4"/>
    <w:rsid w:val="001450C8"/>
    <w:rsid w:val="0014571F"/>
    <w:rsid w:val="001459FB"/>
    <w:rsid w:val="00145D55"/>
    <w:rsid w:val="00147ADB"/>
    <w:rsid w:val="00150964"/>
    <w:rsid w:val="00154BDB"/>
    <w:rsid w:val="001551FB"/>
    <w:rsid w:val="00156E88"/>
    <w:rsid w:val="00157139"/>
    <w:rsid w:val="0016430D"/>
    <w:rsid w:val="00167848"/>
    <w:rsid w:val="00170CFA"/>
    <w:rsid w:val="00170F01"/>
    <w:rsid w:val="00171BFB"/>
    <w:rsid w:val="00174A4C"/>
    <w:rsid w:val="0017644B"/>
    <w:rsid w:val="001818BF"/>
    <w:rsid w:val="00186960"/>
    <w:rsid w:val="00187973"/>
    <w:rsid w:val="00193F75"/>
    <w:rsid w:val="001961E4"/>
    <w:rsid w:val="001965EF"/>
    <w:rsid w:val="00196EFF"/>
    <w:rsid w:val="001970EA"/>
    <w:rsid w:val="001A03A4"/>
    <w:rsid w:val="001A08AA"/>
    <w:rsid w:val="001A691D"/>
    <w:rsid w:val="001A7DD2"/>
    <w:rsid w:val="001B4A2E"/>
    <w:rsid w:val="001C1472"/>
    <w:rsid w:val="001C2899"/>
    <w:rsid w:val="001C6A96"/>
    <w:rsid w:val="001D3F39"/>
    <w:rsid w:val="001D5DB5"/>
    <w:rsid w:val="001E274A"/>
    <w:rsid w:val="001E71B5"/>
    <w:rsid w:val="001F0346"/>
    <w:rsid w:val="001F05CE"/>
    <w:rsid w:val="001F0DD2"/>
    <w:rsid w:val="001F2E52"/>
    <w:rsid w:val="001F3A21"/>
    <w:rsid w:val="00201D3C"/>
    <w:rsid w:val="00205893"/>
    <w:rsid w:val="00210B0A"/>
    <w:rsid w:val="0021272C"/>
    <w:rsid w:val="0021457F"/>
    <w:rsid w:val="0021521F"/>
    <w:rsid w:val="002158BF"/>
    <w:rsid w:val="00216D68"/>
    <w:rsid w:val="00217B22"/>
    <w:rsid w:val="00222525"/>
    <w:rsid w:val="002229E8"/>
    <w:rsid w:val="00224D19"/>
    <w:rsid w:val="00230341"/>
    <w:rsid w:val="00231326"/>
    <w:rsid w:val="00231ABE"/>
    <w:rsid w:val="002412B8"/>
    <w:rsid w:val="002424DE"/>
    <w:rsid w:val="0024764A"/>
    <w:rsid w:val="00247BA2"/>
    <w:rsid w:val="00251224"/>
    <w:rsid w:val="00255C86"/>
    <w:rsid w:val="00256A60"/>
    <w:rsid w:val="00257A3F"/>
    <w:rsid w:val="00260A33"/>
    <w:rsid w:val="0026752E"/>
    <w:rsid w:val="00270A23"/>
    <w:rsid w:val="002721EB"/>
    <w:rsid w:val="002747ED"/>
    <w:rsid w:val="00276B7F"/>
    <w:rsid w:val="00277B8D"/>
    <w:rsid w:val="002870AA"/>
    <w:rsid w:val="00292069"/>
    <w:rsid w:val="00297109"/>
    <w:rsid w:val="002A03A3"/>
    <w:rsid w:val="002A0436"/>
    <w:rsid w:val="002A655F"/>
    <w:rsid w:val="002A741A"/>
    <w:rsid w:val="002B564B"/>
    <w:rsid w:val="002B58C8"/>
    <w:rsid w:val="002B6411"/>
    <w:rsid w:val="002C1765"/>
    <w:rsid w:val="002C67AF"/>
    <w:rsid w:val="002C70B8"/>
    <w:rsid w:val="002E42B9"/>
    <w:rsid w:val="002E76E0"/>
    <w:rsid w:val="002F050A"/>
    <w:rsid w:val="0030065E"/>
    <w:rsid w:val="00300757"/>
    <w:rsid w:val="003036DC"/>
    <w:rsid w:val="00304A73"/>
    <w:rsid w:val="003053B4"/>
    <w:rsid w:val="003054B3"/>
    <w:rsid w:val="00305F57"/>
    <w:rsid w:val="0030662D"/>
    <w:rsid w:val="003113EA"/>
    <w:rsid w:val="00313C81"/>
    <w:rsid w:val="00321654"/>
    <w:rsid w:val="003220FF"/>
    <w:rsid w:val="00326251"/>
    <w:rsid w:val="00327869"/>
    <w:rsid w:val="003278AF"/>
    <w:rsid w:val="00327C21"/>
    <w:rsid w:val="00330823"/>
    <w:rsid w:val="00331B21"/>
    <w:rsid w:val="00331E81"/>
    <w:rsid w:val="00335A03"/>
    <w:rsid w:val="00341383"/>
    <w:rsid w:val="00342815"/>
    <w:rsid w:val="00346C92"/>
    <w:rsid w:val="00347819"/>
    <w:rsid w:val="00351C1E"/>
    <w:rsid w:val="0035228B"/>
    <w:rsid w:val="003539C7"/>
    <w:rsid w:val="0035423A"/>
    <w:rsid w:val="00355E0A"/>
    <w:rsid w:val="0035740E"/>
    <w:rsid w:val="00357E41"/>
    <w:rsid w:val="00362579"/>
    <w:rsid w:val="00362C8F"/>
    <w:rsid w:val="00365DAF"/>
    <w:rsid w:val="00366B49"/>
    <w:rsid w:val="003708BF"/>
    <w:rsid w:val="003730D1"/>
    <w:rsid w:val="00374FBB"/>
    <w:rsid w:val="003860F6"/>
    <w:rsid w:val="00386FEA"/>
    <w:rsid w:val="003A2919"/>
    <w:rsid w:val="003A51A2"/>
    <w:rsid w:val="003B0AD2"/>
    <w:rsid w:val="003B1A09"/>
    <w:rsid w:val="003B1BDC"/>
    <w:rsid w:val="003B3315"/>
    <w:rsid w:val="003B4E59"/>
    <w:rsid w:val="003C2C0A"/>
    <w:rsid w:val="003C602A"/>
    <w:rsid w:val="003D0864"/>
    <w:rsid w:val="003D1485"/>
    <w:rsid w:val="003D16FC"/>
    <w:rsid w:val="003D17C6"/>
    <w:rsid w:val="003E2483"/>
    <w:rsid w:val="003E6522"/>
    <w:rsid w:val="003E6C83"/>
    <w:rsid w:val="003F5B61"/>
    <w:rsid w:val="004019AF"/>
    <w:rsid w:val="00404859"/>
    <w:rsid w:val="004060D8"/>
    <w:rsid w:val="00415B11"/>
    <w:rsid w:val="00430975"/>
    <w:rsid w:val="00434083"/>
    <w:rsid w:val="004358E7"/>
    <w:rsid w:val="00440213"/>
    <w:rsid w:val="00441FBB"/>
    <w:rsid w:val="0044509F"/>
    <w:rsid w:val="00446766"/>
    <w:rsid w:val="004472F2"/>
    <w:rsid w:val="00450199"/>
    <w:rsid w:val="004535F7"/>
    <w:rsid w:val="004543D5"/>
    <w:rsid w:val="00455F6A"/>
    <w:rsid w:val="00464072"/>
    <w:rsid w:val="00465462"/>
    <w:rsid w:val="00467309"/>
    <w:rsid w:val="004739C3"/>
    <w:rsid w:val="0047697D"/>
    <w:rsid w:val="00476A7B"/>
    <w:rsid w:val="00482EFA"/>
    <w:rsid w:val="00487298"/>
    <w:rsid w:val="004929AB"/>
    <w:rsid w:val="00493D78"/>
    <w:rsid w:val="00494537"/>
    <w:rsid w:val="00496563"/>
    <w:rsid w:val="004A1E56"/>
    <w:rsid w:val="004A253C"/>
    <w:rsid w:val="004A345E"/>
    <w:rsid w:val="004A49DE"/>
    <w:rsid w:val="004B1DB2"/>
    <w:rsid w:val="004B63FA"/>
    <w:rsid w:val="004B6F57"/>
    <w:rsid w:val="004C25F2"/>
    <w:rsid w:val="004C4542"/>
    <w:rsid w:val="004D17AD"/>
    <w:rsid w:val="004D3537"/>
    <w:rsid w:val="004D639D"/>
    <w:rsid w:val="004E0E21"/>
    <w:rsid w:val="004E1344"/>
    <w:rsid w:val="004E5DE6"/>
    <w:rsid w:val="004E735A"/>
    <w:rsid w:val="004F00A0"/>
    <w:rsid w:val="004F2E01"/>
    <w:rsid w:val="004F469F"/>
    <w:rsid w:val="004F533F"/>
    <w:rsid w:val="004F5BAE"/>
    <w:rsid w:val="004F6D95"/>
    <w:rsid w:val="00503C7D"/>
    <w:rsid w:val="00505E44"/>
    <w:rsid w:val="005077A2"/>
    <w:rsid w:val="005117EF"/>
    <w:rsid w:val="00511CAD"/>
    <w:rsid w:val="00512884"/>
    <w:rsid w:val="00513254"/>
    <w:rsid w:val="00514535"/>
    <w:rsid w:val="005158EB"/>
    <w:rsid w:val="00516C11"/>
    <w:rsid w:val="00521103"/>
    <w:rsid w:val="00523503"/>
    <w:rsid w:val="00525AFC"/>
    <w:rsid w:val="00525D34"/>
    <w:rsid w:val="00530D08"/>
    <w:rsid w:val="00531A96"/>
    <w:rsid w:val="005339C0"/>
    <w:rsid w:val="00537627"/>
    <w:rsid w:val="00537E70"/>
    <w:rsid w:val="00540096"/>
    <w:rsid w:val="00541952"/>
    <w:rsid w:val="00541EF6"/>
    <w:rsid w:val="00544265"/>
    <w:rsid w:val="00544783"/>
    <w:rsid w:val="005450FE"/>
    <w:rsid w:val="00547745"/>
    <w:rsid w:val="00551F06"/>
    <w:rsid w:val="005535AA"/>
    <w:rsid w:val="005554E9"/>
    <w:rsid w:val="00557402"/>
    <w:rsid w:val="005618CC"/>
    <w:rsid w:val="00563132"/>
    <w:rsid w:val="005647DA"/>
    <w:rsid w:val="00564BA7"/>
    <w:rsid w:val="005660F4"/>
    <w:rsid w:val="00567BF6"/>
    <w:rsid w:val="00576A7F"/>
    <w:rsid w:val="0058051F"/>
    <w:rsid w:val="00581441"/>
    <w:rsid w:val="0058786C"/>
    <w:rsid w:val="00596E02"/>
    <w:rsid w:val="005975A6"/>
    <w:rsid w:val="005A1C3E"/>
    <w:rsid w:val="005A5311"/>
    <w:rsid w:val="005A7285"/>
    <w:rsid w:val="005A7C68"/>
    <w:rsid w:val="005B027F"/>
    <w:rsid w:val="005B4833"/>
    <w:rsid w:val="005B6645"/>
    <w:rsid w:val="005B69E7"/>
    <w:rsid w:val="005C0BB0"/>
    <w:rsid w:val="005C10BA"/>
    <w:rsid w:val="005C3713"/>
    <w:rsid w:val="005D0570"/>
    <w:rsid w:val="005D30C9"/>
    <w:rsid w:val="005E5EE6"/>
    <w:rsid w:val="005F0A3F"/>
    <w:rsid w:val="005F0D09"/>
    <w:rsid w:val="005F3784"/>
    <w:rsid w:val="005F57B6"/>
    <w:rsid w:val="006012EC"/>
    <w:rsid w:val="0060210F"/>
    <w:rsid w:val="00604B01"/>
    <w:rsid w:val="00605B66"/>
    <w:rsid w:val="006108FD"/>
    <w:rsid w:val="00612301"/>
    <w:rsid w:val="00614404"/>
    <w:rsid w:val="0061478B"/>
    <w:rsid w:val="006160AC"/>
    <w:rsid w:val="006213A6"/>
    <w:rsid w:val="0062296D"/>
    <w:rsid w:val="006247E2"/>
    <w:rsid w:val="00634CA6"/>
    <w:rsid w:val="006352F0"/>
    <w:rsid w:val="0063579D"/>
    <w:rsid w:val="00642385"/>
    <w:rsid w:val="00643890"/>
    <w:rsid w:val="00644D6C"/>
    <w:rsid w:val="00647C75"/>
    <w:rsid w:val="00651EA5"/>
    <w:rsid w:val="00654E57"/>
    <w:rsid w:val="00654F3E"/>
    <w:rsid w:val="006627F3"/>
    <w:rsid w:val="006650FC"/>
    <w:rsid w:val="00670613"/>
    <w:rsid w:val="00670C74"/>
    <w:rsid w:val="00675F72"/>
    <w:rsid w:val="006838B8"/>
    <w:rsid w:val="00685836"/>
    <w:rsid w:val="006878F3"/>
    <w:rsid w:val="00687F39"/>
    <w:rsid w:val="00690D4D"/>
    <w:rsid w:val="006934AB"/>
    <w:rsid w:val="006A0849"/>
    <w:rsid w:val="006A26A5"/>
    <w:rsid w:val="006A414C"/>
    <w:rsid w:val="006B2F1F"/>
    <w:rsid w:val="006B3C85"/>
    <w:rsid w:val="006B6BB1"/>
    <w:rsid w:val="006C10C0"/>
    <w:rsid w:val="006C38AA"/>
    <w:rsid w:val="006D1387"/>
    <w:rsid w:val="006D14D0"/>
    <w:rsid w:val="006D502A"/>
    <w:rsid w:val="006D63B4"/>
    <w:rsid w:val="006D6723"/>
    <w:rsid w:val="006E0B42"/>
    <w:rsid w:val="006E1B63"/>
    <w:rsid w:val="006E3D17"/>
    <w:rsid w:val="006E4EA9"/>
    <w:rsid w:val="006F260C"/>
    <w:rsid w:val="006F2B10"/>
    <w:rsid w:val="006F66A9"/>
    <w:rsid w:val="006F75D7"/>
    <w:rsid w:val="00700122"/>
    <w:rsid w:val="00707F30"/>
    <w:rsid w:val="00710CA1"/>
    <w:rsid w:val="00711DAD"/>
    <w:rsid w:val="00712095"/>
    <w:rsid w:val="00713072"/>
    <w:rsid w:val="00713870"/>
    <w:rsid w:val="0071532E"/>
    <w:rsid w:val="00715693"/>
    <w:rsid w:val="00715E50"/>
    <w:rsid w:val="007164EA"/>
    <w:rsid w:val="00726AF9"/>
    <w:rsid w:val="0073211F"/>
    <w:rsid w:val="00733024"/>
    <w:rsid w:val="00735FB1"/>
    <w:rsid w:val="00740CB8"/>
    <w:rsid w:val="00743BBC"/>
    <w:rsid w:val="00752CB2"/>
    <w:rsid w:val="00752E12"/>
    <w:rsid w:val="0075514D"/>
    <w:rsid w:val="007621A7"/>
    <w:rsid w:val="00763127"/>
    <w:rsid w:val="00764EC3"/>
    <w:rsid w:val="0077012B"/>
    <w:rsid w:val="007719FF"/>
    <w:rsid w:val="007731B9"/>
    <w:rsid w:val="00774F25"/>
    <w:rsid w:val="007822B7"/>
    <w:rsid w:val="00783787"/>
    <w:rsid w:val="0079266F"/>
    <w:rsid w:val="00792F27"/>
    <w:rsid w:val="007938F0"/>
    <w:rsid w:val="00796681"/>
    <w:rsid w:val="007A17D6"/>
    <w:rsid w:val="007A5206"/>
    <w:rsid w:val="007A79F4"/>
    <w:rsid w:val="007B290F"/>
    <w:rsid w:val="007B2D0C"/>
    <w:rsid w:val="007B36AC"/>
    <w:rsid w:val="007B4935"/>
    <w:rsid w:val="007B7A62"/>
    <w:rsid w:val="007C1064"/>
    <w:rsid w:val="007C596A"/>
    <w:rsid w:val="007D21A0"/>
    <w:rsid w:val="007D2748"/>
    <w:rsid w:val="007D6AE8"/>
    <w:rsid w:val="007E3E0F"/>
    <w:rsid w:val="007E4A10"/>
    <w:rsid w:val="007E4E6B"/>
    <w:rsid w:val="007E5D89"/>
    <w:rsid w:val="007F0C70"/>
    <w:rsid w:val="007F13D2"/>
    <w:rsid w:val="007F2D74"/>
    <w:rsid w:val="00801101"/>
    <w:rsid w:val="00801B23"/>
    <w:rsid w:val="00802634"/>
    <w:rsid w:val="0080313B"/>
    <w:rsid w:val="0080424F"/>
    <w:rsid w:val="008069E8"/>
    <w:rsid w:val="008103E5"/>
    <w:rsid w:val="0081259A"/>
    <w:rsid w:val="0081480E"/>
    <w:rsid w:val="00816B35"/>
    <w:rsid w:val="00816EDE"/>
    <w:rsid w:val="00816FF0"/>
    <w:rsid w:val="008210BC"/>
    <w:rsid w:val="00821BD4"/>
    <w:rsid w:val="00823DDD"/>
    <w:rsid w:val="00825D5D"/>
    <w:rsid w:val="008266D0"/>
    <w:rsid w:val="00826DE1"/>
    <w:rsid w:val="008321F7"/>
    <w:rsid w:val="00832AFC"/>
    <w:rsid w:val="008334D3"/>
    <w:rsid w:val="008368E6"/>
    <w:rsid w:val="00836D58"/>
    <w:rsid w:val="00841EE9"/>
    <w:rsid w:val="00843268"/>
    <w:rsid w:val="008435C7"/>
    <w:rsid w:val="00844DFD"/>
    <w:rsid w:val="008453DD"/>
    <w:rsid w:val="00846816"/>
    <w:rsid w:val="00852F24"/>
    <w:rsid w:val="0085369F"/>
    <w:rsid w:val="00855509"/>
    <w:rsid w:val="00857041"/>
    <w:rsid w:val="00860702"/>
    <w:rsid w:val="00864144"/>
    <w:rsid w:val="00866481"/>
    <w:rsid w:val="0087170D"/>
    <w:rsid w:val="00873015"/>
    <w:rsid w:val="00882682"/>
    <w:rsid w:val="00884364"/>
    <w:rsid w:val="008850B4"/>
    <w:rsid w:val="00886148"/>
    <w:rsid w:val="00887667"/>
    <w:rsid w:val="008909EC"/>
    <w:rsid w:val="00893DF9"/>
    <w:rsid w:val="00894283"/>
    <w:rsid w:val="00897E3F"/>
    <w:rsid w:val="008A303B"/>
    <w:rsid w:val="008A3BBA"/>
    <w:rsid w:val="008A41E0"/>
    <w:rsid w:val="008A56CE"/>
    <w:rsid w:val="008B3A5F"/>
    <w:rsid w:val="008B3D76"/>
    <w:rsid w:val="008B5148"/>
    <w:rsid w:val="008B6C27"/>
    <w:rsid w:val="008B717E"/>
    <w:rsid w:val="008C0119"/>
    <w:rsid w:val="008C1A97"/>
    <w:rsid w:val="008C2BB5"/>
    <w:rsid w:val="008C3A4F"/>
    <w:rsid w:val="008C7CDA"/>
    <w:rsid w:val="008D17A8"/>
    <w:rsid w:val="008D1F38"/>
    <w:rsid w:val="008D3AD4"/>
    <w:rsid w:val="008D4676"/>
    <w:rsid w:val="008D49AB"/>
    <w:rsid w:val="008D578B"/>
    <w:rsid w:val="008E53C4"/>
    <w:rsid w:val="008F0FA1"/>
    <w:rsid w:val="008F7889"/>
    <w:rsid w:val="00903E30"/>
    <w:rsid w:val="00910F2D"/>
    <w:rsid w:val="009121E1"/>
    <w:rsid w:val="00912474"/>
    <w:rsid w:val="00914CB6"/>
    <w:rsid w:val="009214E7"/>
    <w:rsid w:val="00924B84"/>
    <w:rsid w:val="0092533F"/>
    <w:rsid w:val="00925FD8"/>
    <w:rsid w:val="0093342E"/>
    <w:rsid w:val="0093369F"/>
    <w:rsid w:val="009342BD"/>
    <w:rsid w:val="0093692B"/>
    <w:rsid w:val="00937A74"/>
    <w:rsid w:val="009447F9"/>
    <w:rsid w:val="009473BD"/>
    <w:rsid w:val="009502FD"/>
    <w:rsid w:val="00952959"/>
    <w:rsid w:val="00957458"/>
    <w:rsid w:val="009608CB"/>
    <w:rsid w:val="00962325"/>
    <w:rsid w:val="00962420"/>
    <w:rsid w:val="00966143"/>
    <w:rsid w:val="00974F95"/>
    <w:rsid w:val="009810D4"/>
    <w:rsid w:val="009843DA"/>
    <w:rsid w:val="00984D5C"/>
    <w:rsid w:val="00986DDA"/>
    <w:rsid w:val="00987873"/>
    <w:rsid w:val="00990805"/>
    <w:rsid w:val="00992975"/>
    <w:rsid w:val="00994A91"/>
    <w:rsid w:val="00995782"/>
    <w:rsid w:val="009A1CF1"/>
    <w:rsid w:val="009A333F"/>
    <w:rsid w:val="009B0383"/>
    <w:rsid w:val="009B354F"/>
    <w:rsid w:val="009B3F63"/>
    <w:rsid w:val="009B79AD"/>
    <w:rsid w:val="009C0531"/>
    <w:rsid w:val="009C0641"/>
    <w:rsid w:val="009C23E2"/>
    <w:rsid w:val="009C732B"/>
    <w:rsid w:val="009C7F4C"/>
    <w:rsid w:val="009D3698"/>
    <w:rsid w:val="009D5BE7"/>
    <w:rsid w:val="009E2197"/>
    <w:rsid w:val="009E3F92"/>
    <w:rsid w:val="009E449A"/>
    <w:rsid w:val="009E4FDD"/>
    <w:rsid w:val="009E68E4"/>
    <w:rsid w:val="009E7121"/>
    <w:rsid w:val="009F4CC9"/>
    <w:rsid w:val="009F5330"/>
    <w:rsid w:val="009F54E6"/>
    <w:rsid w:val="009F650D"/>
    <w:rsid w:val="00A00534"/>
    <w:rsid w:val="00A07524"/>
    <w:rsid w:val="00A12CFF"/>
    <w:rsid w:val="00A13102"/>
    <w:rsid w:val="00A147E2"/>
    <w:rsid w:val="00A156AA"/>
    <w:rsid w:val="00A1597E"/>
    <w:rsid w:val="00A21097"/>
    <w:rsid w:val="00A22BC8"/>
    <w:rsid w:val="00A27437"/>
    <w:rsid w:val="00A278C8"/>
    <w:rsid w:val="00A356CB"/>
    <w:rsid w:val="00A37285"/>
    <w:rsid w:val="00A40A84"/>
    <w:rsid w:val="00A41727"/>
    <w:rsid w:val="00A42112"/>
    <w:rsid w:val="00A430F8"/>
    <w:rsid w:val="00A432F5"/>
    <w:rsid w:val="00A44FB9"/>
    <w:rsid w:val="00A45147"/>
    <w:rsid w:val="00A50563"/>
    <w:rsid w:val="00A50D61"/>
    <w:rsid w:val="00A5197D"/>
    <w:rsid w:val="00A51AEE"/>
    <w:rsid w:val="00A52058"/>
    <w:rsid w:val="00A52D27"/>
    <w:rsid w:val="00A53BDD"/>
    <w:rsid w:val="00A60A03"/>
    <w:rsid w:val="00A62767"/>
    <w:rsid w:val="00A64A2B"/>
    <w:rsid w:val="00A66BDD"/>
    <w:rsid w:val="00A704E1"/>
    <w:rsid w:val="00A7644A"/>
    <w:rsid w:val="00A837AC"/>
    <w:rsid w:val="00A84F05"/>
    <w:rsid w:val="00A85A53"/>
    <w:rsid w:val="00A8677B"/>
    <w:rsid w:val="00A8712F"/>
    <w:rsid w:val="00A94161"/>
    <w:rsid w:val="00AA0288"/>
    <w:rsid w:val="00AA10F1"/>
    <w:rsid w:val="00AA2412"/>
    <w:rsid w:val="00AA7633"/>
    <w:rsid w:val="00AB0984"/>
    <w:rsid w:val="00AB1D59"/>
    <w:rsid w:val="00AB2AE0"/>
    <w:rsid w:val="00AB7551"/>
    <w:rsid w:val="00AC659F"/>
    <w:rsid w:val="00AC7E6C"/>
    <w:rsid w:val="00AD301E"/>
    <w:rsid w:val="00AD4C9E"/>
    <w:rsid w:val="00AE06FB"/>
    <w:rsid w:val="00AE64DB"/>
    <w:rsid w:val="00AE72AF"/>
    <w:rsid w:val="00AF4FD2"/>
    <w:rsid w:val="00B007D2"/>
    <w:rsid w:val="00B00809"/>
    <w:rsid w:val="00B06643"/>
    <w:rsid w:val="00B132D9"/>
    <w:rsid w:val="00B1361D"/>
    <w:rsid w:val="00B209EA"/>
    <w:rsid w:val="00B23DA2"/>
    <w:rsid w:val="00B24FB4"/>
    <w:rsid w:val="00B31B28"/>
    <w:rsid w:val="00B35767"/>
    <w:rsid w:val="00B4549A"/>
    <w:rsid w:val="00B45C2B"/>
    <w:rsid w:val="00B51818"/>
    <w:rsid w:val="00B521B2"/>
    <w:rsid w:val="00B52319"/>
    <w:rsid w:val="00B55CC0"/>
    <w:rsid w:val="00B571A1"/>
    <w:rsid w:val="00B611B5"/>
    <w:rsid w:val="00B62CEA"/>
    <w:rsid w:val="00B62CFC"/>
    <w:rsid w:val="00B65B5A"/>
    <w:rsid w:val="00B67109"/>
    <w:rsid w:val="00B70299"/>
    <w:rsid w:val="00B7254D"/>
    <w:rsid w:val="00B74559"/>
    <w:rsid w:val="00B7510E"/>
    <w:rsid w:val="00B77609"/>
    <w:rsid w:val="00B8002B"/>
    <w:rsid w:val="00B807D2"/>
    <w:rsid w:val="00B8474F"/>
    <w:rsid w:val="00B85A87"/>
    <w:rsid w:val="00B8671B"/>
    <w:rsid w:val="00B8762E"/>
    <w:rsid w:val="00B8776C"/>
    <w:rsid w:val="00B92C0B"/>
    <w:rsid w:val="00B959E2"/>
    <w:rsid w:val="00B95C94"/>
    <w:rsid w:val="00BA1B8F"/>
    <w:rsid w:val="00BA37A8"/>
    <w:rsid w:val="00BA49BE"/>
    <w:rsid w:val="00BA7F6B"/>
    <w:rsid w:val="00BB0921"/>
    <w:rsid w:val="00BB1EF8"/>
    <w:rsid w:val="00BB2B77"/>
    <w:rsid w:val="00BB37AE"/>
    <w:rsid w:val="00BB4EE1"/>
    <w:rsid w:val="00BB73AD"/>
    <w:rsid w:val="00BC17DE"/>
    <w:rsid w:val="00BC28AE"/>
    <w:rsid w:val="00BC4B4C"/>
    <w:rsid w:val="00BC726B"/>
    <w:rsid w:val="00BD557A"/>
    <w:rsid w:val="00BE0623"/>
    <w:rsid w:val="00BE188F"/>
    <w:rsid w:val="00BE241D"/>
    <w:rsid w:val="00BF2051"/>
    <w:rsid w:val="00C015A9"/>
    <w:rsid w:val="00C036D8"/>
    <w:rsid w:val="00C06309"/>
    <w:rsid w:val="00C07202"/>
    <w:rsid w:val="00C104AF"/>
    <w:rsid w:val="00C13896"/>
    <w:rsid w:val="00C158D4"/>
    <w:rsid w:val="00C165F4"/>
    <w:rsid w:val="00C177BB"/>
    <w:rsid w:val="00C22220"/>
    <w:rsid w:val="00C26079"/>
    <w:rsid w:val="00C31069"/>
    <w:rsid w:val="00C32896"/>
    <w:rsid w:val="00C346E6"/>
    <w:rsid w:val="00C34B0F"/>
    <w:rsid w:val="00C37DB2"/>
    <w:rsid w:val="00C43960"/>
    <w:rsid w:val="00C44D72"/>
    <w:rsid w:val="00C45320"/>
    <w:rsid w:val="00C46FA5"/>
    <w:rsid w:val="00C5180F"/>
    <w:rsid w:val="00C53100"/>
    <w:rsid w:val="00C5396C"/>
    <w:rsid w:val="00C54615"/>
    <w:rsid w:val="00C57A36"/>
    <w:rsid w:val="00C62942"/>
    <w:rsid w:val="00C64F0F"/>
    <w:rsid w:val="00C656BC"/>
    <w:rsid w:val="00C6611B"/>
    <w:rsid w:val="00C7164B"/>
    <w:rsid w:val="00C73654"/>
    <w:rsid w:val="00C7421A"/>
    <w:rsid w:val="00C76E45"/>
    <w:rsid w:val="00C8084C"/>
    <w:rsid w:val="00C86678"/>
    <w:rsid w:val="00C87C80"/>
    <w:rsid w:val="00C90112"/>
    <w:rsid w:val="00C941A5"/>
    <w:rsid w:val="00C96884"/>
    <w:rsid w:val="00C97B00"/>
    <w:rsid w:val="00CA44A0"/>
    <w:rsid w:val="00CB5B18"/>
    <w:rsid w:val="00CB72A5"/>
    <w:rsid w:val="00CC04A3"/>
    <w:rsid w:val="00CC354A"/>
    <w:rsid w:val="00CC627D"/>
    <w:rsid w:val="00CC67A8"/>
    <w:rsid w:val="00CC6960"/>
    <w:rsid w:val="00CC69EC"/>
    <w:rsid w:val="00CD055C"/>
    <w:rsid w:val="00CD27A0"/>
    <w:rsid w:val="00CD7718"/>
    <w:rsid w:val="00CE1BF9"/>
    <w:rsid w:val="00CE73A6"/>
    <w:rsid w:val="00CF4864"/>
    <w:rsid w:val="00CF5407"/>
    <w:rsid w:val="00CF6305"/>
    <w:rsid w:val="00CF7EC6"/>
    <w:rsid w:val="00D0288D"/>
    <w:rsid w:val="00D06943"/>
    <w:rsid w:val="00D10867"/>
    <w:rsid w:val="00D1122B"/>
    <w:rsid w:val="00D1161F"/>
    <w:rsid w:val="00D14969"/>
    <w:rsid w:val="00D14A22"/>
    <w:rsid w:val="00D159EA"/>
    <w:rsid w:val="00D16D42"/>
    <w:rsid w:val="00D21BAD"/>
    <w:rsid w:val="00D22170"/>
    <w:rsid w:val="00D22A51"/>
    <w:rsid w:val="00D23858"/>
    <w:rsid w:val="00D247E1"/>
    <w:rsid w:val="00D25E1B"/>
    <w:rsid w:val="00D2714F"/>
    <w:rsid w:val="00D34DC7"/>
    <w:rsid w:val="00D42C05"/>
    <w:rsid w:val="00D44A79"/>
    <w:rsid w:val="00D45938"/>
    <w:rsid w:val="00D46C8A"/>
    <w:rsid w:val="00D531B8"/>
    <w:rsid w:val="00D5342B"/>
    <w:rsid w:val="00D54A8B"/>
    <w:rsid w:val="00D60626"/>
    <w:rsid w:val="00D6222E"/>
    <w:rsid w:val="00D727A4"/>
    <w:rsid w:val="00D7332C"/>
    <w:rsid w:val="00D73EA2"/>
    <w:rsid w:val="00D74E80"/>
    <w:rsid w:val="00D77BEA"/>
    <w:rsid w:val="00D81751"/>
    <w:rsid w:val="00D834CB"/>
    <w:rsid w:val="00D853B8"/>
    <w:rsid w:val="00D86015"/>
    <w:rsid w:val="00D8612E"/>
    <w:rsid w:val="00D92AD3"/>
    <w:rsid w:val="00DA1FCA"/>
    <w:rsid w:val="00DA3653"/>
    <w:rsid w:val="00DA38D9"/>
    <w:rsid w:val="00DA3C68"/>
    <w:rsid w:val="00DA6032"/>
    <w:rsid w:val="00DA75A0"/>
    <w:rsid w:val="00DB2F60"/>
    <w:rsid w:val="00DB3C34"/>
    <w:rsid w:val="00DB5097"/>
    <w:rsid w:val="00DC0E3A"/>
    <w:rsid w:val="00DC100C"/>
    <w:rsid w:val="00DC12BB"/>
    <w:rsid w:val="00DC137E"/>
    <w:rsid w:val="00DC140D"/>
    <w:rsid w:val="00DC2B3A"/>
    <w:rsid w:val="00DC4ADC"/>
    <w:rsid w:val="00DC51DE"/>
    <w:rsid w:val="00DC6226"/>
    <w:rsid w:val="00DD29E7"/>
    <w:rsid w:val="00DD41B9"/>
    <w:rsid w:val="00DD5BC8"/>
    <w:rsid w:val="00DE4240"/>
    <w:rsid w:val="00DF1CFC"/>
    <w:rsid w:val="00DF2EBA"/>
    <w:rsid w:val="00DF4799"/>
    <w:rsid w:val="00DF4EBA"/>
    <w:rsid w:val="00DF4EEF"/>
    <w:rsid w:val="00DF61C7"/>
    <w:rsid w:val="00E0153F"/>
    <w:rsid w:val="00E03C01"/>
    <w:rsid w:val="00E070FD"/>
    <w:rsid w:val="00E07FD5"/>
    <w:rsid w:val="00E10400"/>
    <w:rsid w:val="00E11C35"/>
    <w:rsid w:val="00E13F6B"/>
    <w:rsid w:val="00E15493"/>
    <w:rsid w:val="00E16C03"/>
    <w:rsid w:val="00E17EA3"/>
    <w:rsid w:val="00E21F5C"/>
    <w:rsid w:val="00E22A5D"/>
    <w:rsid w:val="00E26C37"/>
    <w:rsid w:val="00E275A1"/>
    <w:rsid w:val="00E31501"/>
    <w:rsid w:val="00E362F9"/>
    <w:rsid w:val="00E370C8"/>
    <w:rsid w:val="00E4108E"/>
    <w:rsid w:val="00E46F47"/>
    <w:rsid w:val="00E47AD8"/>
    <w:rsid w:val="00E50EEE"/>
    <w:rsid w:val="00E51689"/>
    <w:rsid w:val="00E54118"/>
    <w:rsid w:val="00E55EFE"/>
    <w:rsid w:val="00E5773C"/>
    <w:rsid w:val="00E620AA"/>
    <w:rsid w:val="00E62116"/>
    <w:rsid w:val="00E625DE"/>
    <w:rsid w:val="00E63A99"/>
    <w:rsid w:val="00E72D5C"/>
    <w:rsid w:val="00E73229"/>
    <w:rsid w:val="00E75F3B"/>
    <w:rsid w:val="00E76B34"/>
    <w:rsid w:val="00E778B6"/>
    <w:rsid w:val="00E77AE6"/>
    <w:rsid w:val="00E77FD9"/>
    <w:rsid w:val="00E858D0"/>
    <w:rsid w:val="00E91155"/>
    <w:rsid w:val="00EA54CC"/>
    <w:rsid w:val="00EA6D5B"/>
    <w:rsid w:val="00EA7371"/>
    <w:rsid w:val="00EB16FC"/>
    <w:rsid w:val="00EB350B"/>
    <w:rsid w:val="00EB6ABF"/>
    <w:rsid w:val="00EC0190"/>
    <w:rsid w:val="00EC3311"/>
    <w:rsid w:val="00EC4BB4"/>
    <w:rsid w:val="00EC4D9C"/>
    <w:rsid w:val="00ED2B59"/>
    <w:rsid w:val="00ED2D8A"/>
    <w:rsid w:val="00ED2F1A"/>
    <w:rsid w:val="00ED37AA"/>
    <w:rsid w:val="00ED3BAF"/>
    <w:rsid w:val="00ED4435"/>
    <w:rsid w:val="00ED4C09"/>
    <w:rsid w:val="00ED4D07"/>
    <w:rsid w:val="00ED6060"/>
    <w:rsid w:val="00EE0763"/>
    <w:rsid w:val="00EE3FCE"/>
    <w:rsid w:val="00EE4462"/>
    <w:rsid w:val="00EF742D"/>
    <w:rsid w:val="00F03A86"/>
    <w:rsid w:val="00F07047"/>
    <w:rsid w:val="00F15564"/>
    <w:rsid w:val="00F15AB2"/>
    <w:rsid w:val="00F1747C"/>
    <w:rsid w:val="00F23237"/>
    <w:rsid w:val="00F247FD"/>
    <w:rsid w:val="00F30366"/>
    <w:rsid w:val="00F3376E"/>
    <w:rsid w:val="00F379A2"/>
    <w:rsid w:val="00F408A1"/>
    <w:rsid w:val="00F42295"/>
    <w:rsid w:val="00F52D50"/>
    <w:rsid w:val="00F55482"/>
    <w:rsid w:val="00F56B24"/>
    <w:rsid w:val="00F57B42"/>
    <w:rsid w:val="00F7200B"/>
    <w:rsid w:val="00F748E7"/>
    <w:rsid w:val="00F76C1D"/>
    <w:rsid w:val="00F819C1"/>
    <w:rsid w:val="00F8380F"/>
    <w:rsid w:val="00F919D4"/>
    <w:rsid w:val="00F92AD2"/>
    <w:rsid w:val="00F95C59"/>
    <w:rsid w:val="00F97D78"/>
    <w:rsid w:val="00FA29EC"/>
    <w:rsid w:val="00FA4411"/>
    <w:rsid w:val="00FA4689"/>
    <w:rsid w:val="00FA50C4"/>
    <w:rsid w:val="00FB0793"/>
    <w:rsid w:val="00FB21F6"/>
    <w:rsid w:val="00FB242A"/>
    <w:rsid w:val="00FB3155"/>
    <w:rsid w:val="00FB51CA"/>
    <w:rsid w:val="00FB6019"/>
    <w:rsid w:val="00FC4EA1"/>
    <w:rsid w:val="00FC5816"/>
    <w:rsid w:val="00FC66E7"/>
    <w:rsid w:val="00FC73AC"/>
    <w:rsid w:val="00FC761C"/>
    <w:rsid w:val="00FC7AD5"/>
    <w:rsid w:val="00FD125E"/>
    <w:rsid w:val="00FD6A64"/>
    <w:rsid w:val="00FE09C0"/>
    <w:rsid w:val="00FE0BF6"/>
    <w:rsid w:val="00FE1D98"/>
    <w:rsid w:val="00FE2691"/>
    <w:rsid w:val="00FE5801"/>
    <w:rsid w:val="00FF3F71"/>
    <w:rsid w:val="00FF4BA1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11C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511CAD"/>
    <w:rPr>
      <w:sz w:val="2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511CAD"/>
    <w:rPr>
      <w:sz w:val="22"/>
      <w:lang w:val="x-none" w:eastAsia="x-none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styleId="Revzia">
    <w:name w:val="Revision"/>
    <w:hidden/>
    <w:uiPriority w:val="99"/>
    <w:semiHidden/>
    <w:rsid w:val="00A84F05"/>
    <w:rPr>
      <w:sz w:val="24"/>
      <w:szCs w:val="24"/>
    </w:rPr>
  </w:style>
  <w:style w:type="table" w:styleId="Mriekatabuky">
    <w:name w:val="Table Grid"/>
    <w:basedOn w:val="Normlnatabuka"/>
    <w:locked/>
    <w:rsid w:val="0094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278AF"/>
  </w:style>
  <w:style w:type="character" w:styleId="Zvraznenie">
    <w:name w:val="Emphasis"/>
    <w:uiPriority w:val="20"/>
    <w:qFormat/>
    <w:locked/>
    <w:rsid w:val="003278AF"/>
    <w:rPr>
      <w:i/>
      <w:iCs/>
    </w:rPr>
  </w:style>
  <w:style w:type="character" w:customStyle="1" w:styleId="HlavikaChar1">
    <w:name w:val="Hlavička Char1"/>
    <w:rsid w:val="00150964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A4211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4211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Default">
    <w:name w:val="Default"/>
    <w:rsid w:val="005B48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11C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511CAD"/>
    <w:rPr>
      <w:sz w:val="2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511CAD"/>
    <w:rPr>
      <w:sz w:val="22"/>
      <w:lang w:val="x-none" w:eastAsia="x-none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styleId="Revzia">
    <w:name w:val="Revision"/>
    <w:hidden/>
    <w:uiPriority w:val="99"/>
    <w:semiHidden/>
    <w:rsid w:val="00A84F05"/>
    <w:rPr>
      <w:sz w:val="24"/>
      <w:szCs w:val="24"/>
    </w:rPr>
  </w:style>
  <w:style w:type="table" w:styleId="Mriekatabuky">
    <w:name w:val="Table Grid"/>
    <w:basedOn w:val="Normlnatabuka"/>
    <w:locked/>
    <w:rsid w:val="0094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278AF"/>
  </w:style>
  <w:style w:type="character" w:styleId="Zvraznenie">
    <w:name w:val="Emphasis"/>
    <w:uiPriority w:val="20"/>
    <w:qFormat/>
    <w:locked/>
    <w:rsid w:val="003278AF"/>
    <w:rPr>
      <w:i/>
      <w:iCs/>
    </w:rPr>
  </w:style>
  <w:style w:type="character" w:customStyle="1" w:styleId="HlavikaChar1">
    <w:name w:val="Hlavička Char1"/>
    <w:rsid w:val="00150964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A4211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4211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Default">
    <w:name w:val="Default"/>
    <w:rsid w:val="005B48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4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1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64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E9AF-620C-4DFA-9362-61F9A404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4897</Words>
  <Characters>27914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Hewlett-Packard Company</Company>
  <LinksUpToDate>false</LinksUpToDate>
  <CharactersWithSpaces>32746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Regpharm</dc:creator>
  <cp:lastModifiedBy>Uhnáková Milota</cp:lastModifiedBy>
  <cp:revision>2</cp:revision>
  <cp:lastPrinted>2018-01-31T12:55:00Z</cp:lastPrinted>
  <dcterms:created xsi:type="dcterms:W3CDTF">2020-06-05T08:10:00Z</dcterms:created>
  <dcterms:modified xsi:type="dcterms:W3CDTF">2020-06-05T08:10:00Z</dcterms:modified>
</cp:coreProperties>
</file>