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5E" w:rsidRPr="000D7872" w:rsidRDefault="00864B5E">
      <w:pPr>
        <w:jc w:val="center"/>
      </w:pPr>
    </w:p>
    <w:p w:rsidR="00780926" w:rsidRPr="00886A5A" w:rsidRDefault="00780926">
      <w:pPr>
        <w:jc w:val="center"/>
        <w:rPr>
          <w:b/>
          <w:szCs w:val="22"/>
        </w:rPr>
      </w:pPr>
      <w:r w:rsidRPr="00886A5A">
        <w:rPr>
          <w:b/>
        </w:rPr>
        <w:t>SÚHRN CHARAKTERISTICKÝCH VLASTNOSTÍ LIEKU</w:t>
      </w:r>
    </w:p>
    <w:p w:rsidR="00B06E24" w:rsidRDefault="00B06E24">
      <w:pPr>
        <w:rPr>
          <w:szCs w:val="22"/>
        </w:rPr>
      </w:pPr>
    </w:p>
    <w:p w:rsidR="00AC016C" w:rsidRPr="00B13F68" w:rsidRDefault="00AC016C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1.</w:t>
      </w:r>
      <w:r w:rsidRPr="003021DE">
        <w:rPr>
          <w:b/>
          <w:szCs w:val="22"/>
        </w:rPr>
        <w:tab/>
        <w:t>NÁZOV LIEKU</w:t>
      </w:r>
    </w:p>
    <w:p w:rsidR="00780926" w:rsidRPr="003021DE" w:rsidRDefault="00780926" w:rsidP="00E41B3F">
      <w:pPr>
        <w:rPr>
          <w:szCs w:val="22"/>
        </w:rPr>
      </w:pPr>
    </w:p>
    <w:p w:rsidR="00FD15B6" w:rsidRPr="00D03E45" w:rsidRDefault="00FD15B6" w:rsidP="00FD15B6">
      <w:pPr>
        <w:tabs>
          <w:tab w:val="center" w:pos="4536"/>
          <w:tab w:val="right" w:pos="9072"/>
        </w:tabs>
      </w:pPr>
      <w:proofErr w:type="spellStart"/>
      <w:r w:rsidRPr="00D03E45">
        <w:t>Calcium</w:t>
      </w:r>
      <w:proofErr w:type="spellEnd"/>
      <w:r w:rsidRPr="00D03E45">
        <w:t xml:space="preserve"> </w:t>
      </w:r>
      <w:proofErr w:type="spellStart"/>
      <w:r w:rsidRPr="00D03E45">
        <w:t>Gluconate</w:t>
      </w:r>
      <w:proofErr w:type="spellEnd"/>
      <w:r w:rsidRPr="00D03E45">
        <w:t xml:space="preserve"> </w:t>
      </w:r>
      <w:proofErr w:type="spellStart"/>
      <w:r w:rsidR="00FF034B">
        <w:t>Hameln</w:t>
      </w:r>
      <w:proofErr w:type="spellEnd"/>
      <w:r w:rsidRPr="00D03E45">
        <w:t xml:space="preserve"> 10</w:t>
      </w:r>
      <w:r w:rsidR="00864B5E">
        <w:t> </w:t>
      </w:r>
      <w:r w:rsidRPr="00D03E45">
        <w:t>%</w:t>
      </w:r>
      <w:r w:rsidR="00F87114">
        <w:t xml:space="preserve"> injekčný roztok</w:t>
      </w:r>
    </w:p>
    <w:p w:rsidR="00780926" w:rsidRPr="00D03E45" w:rsidRDefault="00780926" w:rsidP="00E41B3F">
      <w:pPr>
        <w:rPr>
          <w:szCs w:val="22"/>
        </w:rPr>
      </w:pPr>
    </w:p>
    <w:p w:rsidR="00FD15B6" w:rsidRPr="00D03E45" w:rsidRDefault="00FD15B6" w:rsidP="00E41B3F">
      <w:pPr>
        <w:rPr>
          <w:szCs w:val="22"/>
        </w:rPr>
      </w:pPr>
    </w:p>
    <w:p w:rsidR="00780926" w:rsidRPr="00D03E45" w:rsidRDefault="00780926" w:rsidP="00E41B3F">
      <w:pPr>
        <w:rPr>
          <w:szCs w:val="22"/>
        </w:rPr>
      </w:pPr>
      <w:r w:rsidRPr="00D03E45">
        <w:rPr>
          <w:b/>
          <w:szCs w:val="22"/>
        </w:rPr>
        <w:t>2.</w:t>
      </w:r>
      <w:r w:rsidRPr="00D03E45">
        <w:rPr>
          <w:b/>
          <w:szCs w:val="22"/>
        </w:rPr>
        <w:tab/>
        <w:t>KVALITATÍVNE A</w:t>
      </w:r>
      <w:r w:rsidR="00A236CF" w:rsidRPr="00D03E45">
        <w:rPr>
          <w:b/>
          <w:szCs w:val="22"/>
        </w:rPr>
        <w:t> </w:t>
      </w:r>
      <w:r w:rsidRPr="00D03E45">
        <w:rPr>
          <w:b/>
          <w:szCs w:val="22"/>
        </w:rPr>
        <w:t>KVANTITATÍVNE ZLOŽENIE</w:t>
      </w:r>
    </w:p>
    <w:p w:rsidR="00780926" w:rsidRPr="00D03E45" w:rsidRDefault="00780926" w:rsidP="00FD15B6">
      <w:pPr>
        <w:ind w:left="0" w:firstLine="0"/>
      </w:pPr>
    </w:p>
    <w:p w:rsidR="00FD15B6" w:rsidRPr="00D03E45" w:rsidRDefault="00FD15B6" w:rsidP="00F87114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t xml:space="preserve">Každý 1 ml roztoku obsahuje 95 mg </w:t>
      </w:r>
      <w:proofErr w:type="spellStart"/>
      <w:r w:rsidRPr="00D03E45">
        <w:rPr>
          <w:szCs w:val="20"/>
          <w:lang w:eastAsia="en-US"/>
        </w:rPr>
        <w:t>glukonátu</w:t>
      </w:r>
      <w:proofErr w:type="spellEnd"/>
      <w:r w:rsidRPr="00D03E45">
        <w:rPr>
          <w:szCs w:val="20"/>
          <w:lang w:eastAsia="en-US"/>
        </w:rPr>
        <w:t xml:space="preserve"> </w:t>
      </w:r>
      <w:r w:rsidR="00F87114">
        <w:rPr>
          <w:szCs w:val="20"/>
          <w:lang w:eastAsia="en-US"/>
        </w:rPr>
        <w:t xml:space="preserve">vápenatého </w:t>
      </w:r>
      <w:r w:rsidRPr="00D03E45">
        <w:rPr>
          <w:szCs w:val="20"/>
          <w:lang w:eastAsia="en-US"/>
        </w:rPr>
        <w:t>na injekciu</w:t>
      </w:r>
      <w:r w:rsidR="00A10770">
        <w:rPr>
          <w:szCs w:val="20"/>
          <w:lang w:eastAsia="en-US"/>
        </w:rPr>
        <w:t xml:space="preserve"> (</w:t>
      </w:r>
      <w:proofErr w:type="spellStart"/>
      <w:r w:rsidR="00A10770" w:rsidRPr="00EF598C">
        <w:rPr>
          <w:i/>
          <w:szCs w:val="20"/>
          <w:lang w:eastAsia="en-US"/>
        </w:rPr>
        <w:t>calcii</w:t>
      </w:r>
      <w:proofErr w:type="spellEnd"/>
      <w:r w:rsidR="00A10770" w:rsidRPr="00EF598C">
        <w:rPr>
          <w:i/>
          <w:szCs w:val="20"/>
          <w:lang w:eastAsia="en-US"/>
        </w:rPr>
        <w:t xml:space="preserve"> </w:t>
      </w:r>
      <w:proofErr w:type="spellStart"/>
      <w:r w:rsidR="00A10770" w:rsidRPr="00EF598C">
        <w:rPr>
          <w:i/>
          <w:szCs w:val="20"/>
          <w:lang w:eastAsia="en-US"/>
        </w:rPr>
        <w:t>gluconas</w:t>
      </w:r>
      <w:proofErr w:type="spellEnd"/>
      <w:r w:rsidR="00A10770" w:rsidRPr="00EF598C">
        <w:rPr>
          <w:i/>
          <w:szCs w:val="20"/>
          <w:lang w:eastAsia="en-US"/>
        </w:rPr>
        <w:t xml:space="preserve"> </w:t>
      </w:r>
      <w:proofErr w:type="spellStart"/>
      <w:r w:rsidR="00A10770" w:rsidRPr="00EF598C">
        <w:rPr>
          <w:i/>
          <w:szCs w:val="20"/>
          <w:lang w:eastAsia="en-US"/>
        </w:rPr>
        <w:t>monohydricus</w:t>
      </w:r>
      <w:proofErr w:type="spellEnd"/>
      <w:r w:rsidR="00A10770" w:rsidRPr="00EF598C">
        <w:rPr>
          <w:i/>
          <w:szCs w:val="20"/>
          <w:lang w:eastAsia="en-US"/>
        </w:rPr>
        <w:t xml:space="preserve"> </w:t>
      </w:r>
      <w:proofErr w:type="spellStart"/>
      <w:r w:rsidR="00A10770" w:rsidRPr="00EF598C">
        <w:rPr>
          <w:i/>
          <w:szCs w:val="20"/>
          <w:lang w:eastAsia="en-US"/>
        </w:rPr>
        <w:t>pro</w:t>
      </w:r>
      <w:proofErr w:type="spellEnd"/>
      <w:r w:rsidR="00A10770" w:rsidRPr="00EF598C">
        <w:rPr>
          <w:i/>
          <w:szCs w:val="20"/>
          <w:lang w:eastAsia="en-US"/>
        </w:rPr>
        <w:t xml:space="preserve"> </w:t>
      </w:r>
      <w:proofErr w:type="spellStart"/>
      <w:r w:rsidR="00A10770" w:rsidRPr="00EF598C">
        <w:rPr>
          <w:i/>
          <w:szCs w:val="20"/>
          <w:lang w:eastAsia="en-US"/>
        </w:rPr>
        <w:t>iniectione</w:t>
      </w:r>
      <w:proofErr w:type="spellEnd"/>
      <w:r w:rsidR="00A10770">
        <w:rPr>
          <w:szCs w:val="20"/>
          <w:lang w:eastAsia="en-US"/>
        </w:rPr>
        <w:t>)</w:t>
      </w:r>
      <w:r w:rsidRPr="00D03E45">
        <w:rPr>
          <w:szCs w:val="20"/>
          <w:lang w:eastAsia="en-US"/>
        </w:rPr>
        <w:t>, čo zodpovedá 0,21</w:t>
      </w:r>
      <w:r w:rsidR="00997466">
        <w:rPr>
          <w:szCs w:val="20"/>
          <w:lang w:eastAsia="en-US"/>
        </w:rPr>
        <w:t xml:space="preserve"> </w:t>
      </w:r>
      <w:proofErr w:type="spellStart"/>
      <w:r w:rsidRPr="00D03E45">
        <w:rPr>
          <w:szCs w:val="20"/>
          <w:lang w:eastAsia="en-US"/>
        </w:rPr>
        <w:t>mmol</w:t>
      </w:r>
      <w:proofErr w:type="spellEnd"/>
      <w:r w:rsidRPr="00D03E45">
        <w:rPr>
          <w:szCs w:val="20"/>
          <w:lang w:eastAsia="en-US"/>
        </w:rPr>
        <w:t xml:space="preserve"> vápnika.</w:t>
      </w:r>
    </w:p>
    <w:p w:rsidR="00FD15B6" w:rsidRPr="00D03E45" w:rsidRDefault="00FD15B6" w:rsidP="00FD15B6">
      <w:pPr>
        <w:ind w:left="0" w:firstLine="0"/>
        <w:rPr>
          <w:noProof/>
          <w:szCs w:val="22"/>
        </w:rPr>
      </w:pPr>
    </w:p>
    <w:p w:rsidR="00FD15B6" w:rsidRPr="00D03E45" w:rsidRDefault="00FD15B6" w:rsidP="00FD15B6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t xml:space="preserve">Každých 10 ml roztoku obsahuje 950 mg </w:t>
      </w:r>
      <w:proofErr w:type="spellStart"/>
      <w:r w:rsidRPr="00D03E45">
        <w:rPr>
          <w:szCs w:val="20"/>
          <w:lang w:eastAsia="en-US"/>
        </w:rPr>
        <w:t>glukonátu</w:t>
      </w:r>
      <w:proofErr w:type="spellEnd"/>
      <w:r w:rsidRPr="00D03E45">
        <w:rPr>
          <w:szCs w:val="20"/>
          <w:lang w:eastAsia="en-US"/>
        </w:rPr>
        <w:t xml:space="preserve"> </w:t>
      </w:r>
      <w:r w:rsidR="00F87114">
        <w:rPr>
          <w:szCs w:val="20"/>
          <w:lang w:eastAsia="en-US"/>
        </w:rPr>
        <w:t xml:space="preserve">vápenatého </w:t>
      </w:r>
      <w:r w:rsidRPr="00D03E45">
        <w:rPr>
          <w:szCs w:val="20"/>
          <w:lang w:eastAsia="en-US"/>
        </w:rPr>
        <w:t>na injekciu</w:t>
      </w:r>
      <w:r w:rsidR="00C871AC">
        <w:rPr>
          <w:szCs w:val="20"/>
          <w:lang w:eastAsia="en-US"/>
        </w:rPr>
        <w:t xml:space="preserve"> (</w:t>
      </w:r>
      <w:proofErr w:type="spellStart"/>
      <w:r w:rsidR="00C871AC" w:rsidRPr="003E7614">
        <w:rPr>
          <w:i/>
          <w:szCs w:val="20"/>
          <w:lang w:eastAsia="en-US"/>
        </w:rPr>
        <w:t>calcii</w:t>
      </w:r>
      <w:proofErr w:type="spellEnd"/>
      <w:r w:rsidR="00C871AC" w:rsidRPr="003E7614">
        <w:rPr>
          <w:i/>
          <w:szCs w:val="20"/>
          <w:lang w:eastAsia="en-US"/>
        </w:rPr>
        <w:t xml:space="preserve"> </w:t>
      </w:r>
      <w:proofErr w:type="spellStart"/>
      <w:r w:rsidR="00C871AC" w:rsidRPr="003E7614">
        <w:rPr>
          <w:i/>
          <w:szCs w:val="20"/>
          <w:lang w:eastAsia="en-US"/>
        </w:rPr>
        <w:t>gluconas</w:t>
      </w:r>
      <w:proofErr w:type="spellEnd"/>
      <w:r w:rsidR="00C871AC" w:rsidRPr="003E7614">
        <w:rPr>
          <w:i/>
          <w:szCs w:val="20"/>
          <w:lang w:eastAsia="en-US"/>
        </w:rPr>
        <w:t xml:space="preserve"> </w:t>
      </w:r>
      <w:proofErr w:type="spellStart"/>
      <w:r w:rsidR="00C871AC" w:rsidRPr="003E7614">
        <w:rPr>
          <w:i/>
          <w:szCs w:val="20"/>
          <w:lang w:eastAsia="en-US"/>
        </w:rPr>
        <w:t>monohydricus</w:t>
      </w:r>
      <w:proofErr w:type="spellEnd"/>
      <w:r w:rsidR="00C871AC" w:rsidRPr="003E7614">
        <w:rPr>
          <w:i/>
          <w:szCs w:val="20"/>
          <w:lang w:eastAsia="en-US"/>
        </w:rPr>
        <w:t xml:space="preserve"> </w:t>
      </w:r>
      <w:proofErr w:type="spellStart"/>
      <w:r w:rsidR="00C871AC" w:rsidRPr="003E7614">
        <w:rPr>
          <w:i/>
          <w:szCs w:val="20"/>
          <w:lang w:eastAsia="en-US"/>
        </w:rPr>
        <w:t>pro</w:t>
      </w:r>
      <w:proofErr w:type="spellEnd"/>
      <w:r w:rsidR="00C871AC" w:rsidRPr="003E7614">
        <w:rPr>
          <w:i/>
          <w:szCs w:val="20"/>
          <w:lang w:eastAsia="en-US"/>
        </w:rPr>
        <w:t xml:space="preserve"> </w:t>
      </w:r>
      <w:proofErr w:type="spellStart"/>
      <w:r w:rsidR="00C871AC" w:rsidRPr="003E7614">
        <w:rPr>
          <w:i/>
          <w:szCs w:val="20"/>
          <w:lang w:eastAsia="en-US"/>
        </w:rPr>
        <w:t>iniectione</w:t>
      </w:r>
      <w:proofErr w:type="spellEnd"/>
      <w:r w:rsidR="00C871AC">
        <w:rPr>
          <w:szCs w:val="20"/>
          <w:lang w:eastAsia="en-US"/>
        </w:rPr>
        <w:t>)</w:t>
      </w:r>
      <w:r w:rsidRPr="00D03E45">
        <w:rPr>
          <w:szCs w:val="20"/>
          <w:lang w:eastAsia="en-US"/>
        </w:rPr>
        <w:t xml:space="preserve">, čo zodpovedá 2,12 </w:t>
      </w:r>
      <w:proofErr w:type="spellStart"/>
      <w:r w:rsidRPr="00D03E45">
        <w:rPr>
          <w:szCs w:val="20"/>
          <w:lang w:eastAsia="en-US"/>
        </w:rPr>
        <w:t>mmol</w:t>
      </w:r>
      <w:proofErr w:type="spellEnd"/>
      <w:r w:rsidRPr="00D03E45">
        <w:rPr>
          <w:szCs w:val="20"/>
          <w:lang w:eastAsia="en-US"/>
        </w:rPr>
        <w:t xml:space="preserve"> vápnika.</w:t>
      </w:r>
    </w:p>
    <w:p w:rsidR="00FD15B6" w:rsidRPr="00D03E45" w:rsidRDefault="00FD15B6" w:rsidP="00FD15B6">
      <w:pPr>
        <w:ind w:left="0" w:firstLine="0"/>
        <w:rPr>
          <w:noProof/>
          <w:szCs w:val="22"/>
        </w:rPr>
      </w:pPr>
    </w:p>
    <w:p w:rsidR="00FD15B6" w:rsidRPr="00D03E45" w:rsidRDefault="00FD15B6" w:rsidP="00FD15B6">
      <w:pPr>
        <w:ind w:left="0" w:firstLine="0"/>
        <w:rPr>
          <w:szCs w:val="22"/>
        </w:rPr>
      </w:pPr>
      <w:r w:rsidRPr="00D03E45">
        <w:rPr>
          <w:noProof/>
          <w:szCs w:val="22"/>
        </w:rPr>
        <w:t xml:space="preserve">Pomocné látky: </w:t>
      </w:r>
      <w:r w:rsidRPr="00D03E45">
        <w:rPr>
          <w:szCs w:val="22"/>
        </w:rPr>
        <w:t xml:space="preserve">Liek tiež obsahuje určité množstvo </w:t>
      </w:r>
      <w:proofErr w:type="spellStart"/>
      <w:r w:rsidRPr="00860A16">
        <w:rPr>
          <w:szCs w:val="22"/>
        </w:rPr>
        <w:t>sacharátu</w:t>
      </w:r>
      <w:proofErr w:type="spellEnd"/>
      <w:r w:rsidR="00860A16">
        <w:rPr>
          <w:szCs w:val="22"/>
        </w:rPr>
        <w:t xml:space="preserve"> vápenatého</w:t>
      </w:r>
      <w:r w:rsidRPr="00860A16">
        <w:rPr>
          <w:szCs w:val="22"/>
        </w:rPr>
        <w:t>,</w:t>
      </w:r>
      <w:r w:rsidRPr="00D03E45">
        <w:rPr>
          <w:szCs w:val="22"/>
        </w:rPr>
        <w:t xml:space="preserve"> ktor</w:t>
      </w:r>
      <w:r w:rsidR="000669DC">
        <w:rPr>
          <w:szCs w:val="22"/>
        </w:rPr>
        <w:t>ý</w:t>
      </w:r>
      <w:r w:rsidRPr="00D03E45">
        <w:rPr>
          <w:szCs w:val="22"/>
        </w:rPr>
        <w:t xml:space="preserve"> zodpovedá 0,01 </w:t>
      </w:r>
      <w:proofErr w:type="spellStart"/>
      <w:r w:rsidRPr="00D03E45">
        <w:rPr>
          <w:szCs w:val="22"/>
        </w:rPr>
        <w:t>mmol</w:t>
      </w:r>
      <w:proofErr w:type="spellEnd"/>
      <w:r w:rsidRPr="00D03E45">
        <w:rPr>
          <w:szCs w:val="22"/>
        </w:rPr>
        <w:t xml:space="preserve"> vápnika/ml (0,11 </w:t>
      </w:r>
      <w:proofErr w:type="spellStart"/>
      <w:r w:rsidRPr="00D03E45">
        <w:rPr>
          <w:szCs w:val="22"/>
        </w:rPr>
        <w:t>mmol</w:t>
      </w:r>
      <w:proofErr w:type="spellEnd"/>
      <w:r w:rsidRPr="00D03E45">
        <w:rPr>
          <w:szCs w:val="22"/>
        </w:rPr>
        <w:t xml:space="preserve"> vápnika/10 ml).</w:t>
      </w:r>
    </w:p>
    <w:p w:rsidR="00FD15B6" w:rsidRPr="00D03E45" w:rsidRDefault="00FD15B6" w:rsidP="00FD15B6">
      <w:pPr>
        <w:rPr>
          <w:noProof/>
          <w:szCs w:val="22"/>
        </w:rPr>
      </w:pPr>
    </w:p>
    <w:p w:rsidR="00FD15B6" w:rsidRPr="00D03E45" w:rsidRDefault="00FD15B6" w:rsidP="00FD15B6">
      <w:pPr>
        <w:rPr>
          <w:noProof/>
          <w:szCs w:val="22"/>
        </w:rPr>
      </w:pPr>
      <w:r w:rsidRPr="00D03E45">
        <w:rPr>
          <w:noProof/>
          <w:szCs w:val="22"/>
        </w:rPr>
        <w:t>Celkový obsah vápnika je 0,22 mmol/ml (2,23 mmol/10</w:t>
      </w:r>
      <w:r w:rsidR="00BC3226">
        <w:rPr>
          <w:noProof/>
          <w:szCs w:val="22"/>
        </w:rPr>
        <w:t xml:space="preserve"> </w:t>
      </w:r>
      <w:r w:rsidRPr="00D03E45">
        <w:rPr>
          <w:noProof/>
          <w:szCs w:val="22"/>
        </w:rPr>
        <w:t>ml).</w:t>
      </w:r>
    </w:p>
    <w:p w:rsidR="00FD15B6" w:rsidRPr="00D03E45" w:rsidRDefault="00FD15B6" w:rsidP="00FD15B6">
      <w:pPr>
        <w:pStyle w:val="EMEAEnBodyText"/>
        <w:autoSpaceDE w:val="0"/>
        <w:autoSpaceDN w:val="0"/>
        <w:adjustRightInd w:val="0"/>
        <w:spacing w:before="0" w:after="0"/>
        <w:jc w:val="left"/>
        <w:rPr>
          <w:u w:val="single"/>
          <w:lang w:val="sk-SK"/>
        </w:rPr>
      </w:pPr>
    </w:p>
    <w:p w:rsidR="00780926" w:rsidRPr="00D03E45" w:rsidRDefault="00780926" w:rsidP="00FD15B6">
      <w:pPr>
        <w:tabs>
          <w:tab w:val="left" w:pos="567"/>
        </w:tabs>
        <w:ind w:left="0" w:firstLine="0"/>
        <w:rPr>
          <w:szCs w:val="20"/>
          <w:lang w:eastAsia="en-US"/>
        </w:rPr>
      </w:pPr>
      <w:r w:rsidRPr="00D03E45">
        <w:rPr>
          <w:szCs w:val="20"/>
          <w:lang w:eastAsia="en-US"/>
        </w:rPr>
        <w:t>Úplný zoznam pomocných látok, pozri časť 6.1.</w:t>
      </w:r>
    </w:p>
    <w:p w:rsidR="00780926" w:rsidRPr="00D03E45" w:rsidRDefault="00780926" w:rsidP="00FD15B6">
      <w:pPr>
        <w:rPr>
          <w:szCs w:val="22"/>
        </w:rPr>
      </w:pPr>
    </w:p>
    <w:p w:rsidR="00780926" w:rsidRPr="003021DE" w:rsidRDefault="00780926" w:rsidP="00FD15B6">
      <w:pPr>
        <w:rPr>
          <w:szCs w:val="22"/>
        </w:rPr>
      </w:pPr>
    </w:p>
    <w:p w:rsidR="00780926" w:rsidRPr="003021DE" w:rsidRDefault="00780926" w:rsidP="00E41B3F">
      <w:pPr>
        <w:rPr>
          <w:caps/>
          <w:szCs w:val="22"/>
        </w:rPr>
      </w:pPr>
      <w:r w:rsidRPr="003021DE">
        <w:rPr>
          <w:b/>
          <w:szCs w:val="22"/>
        </w:rPr>
        <w:t>3.</w:t>
      </w:r>
      <w:r w:rsidRPr="003021DE">
        <w:rPr>
          <w:b/>
          <w:szCs w:val="22"/>
        </w:rPr>
        <w:tab/>
        <w:t>LIEKOVÁ FORMA</w:t>
      </w:r>
    </w:p>
    <w:p w:rsidR="00780926" w:rsidRPr="00D03E45" w:rsidRDefault="00780926" w:rsidP="00FD15B6">
      <w:pPr>
        <w:rPr>
          <w:szCs w:val="22"/>
        </w:rPr>
      </w:pPr>
    </w:p>
    <w:p w:rsidR="00FD15B6" w:rsidRPr="00D03E45" w:rsidRDefault="00FD15B6" w:rsidP="00FD15B6">
      <w:pPr>
        <w:rPr>
          <w:szCs w:val="22"/>
        </w:rPr>
      </w:pPr>
      <w:r w:rsidRPr="00D03E45">
        <w:rPr>
          <w:szCs w:val="22"/>
        </w:rPr>
        <w:t>Injekčný roztok</w:t>
      </w:r>
    </w:p>
    <w:p w:rsidR="00FD15B6" w:rsidRPr="00D03E45" w:rsidRDefault="00FD15B6" w:rsidP="00FD15B6">
      <w:pPr>
        <w:rPr>
          <w:szCs w:val="22"/>
        </w:rPr>
      </w:pPr>
    </w:p>
    <w:p w:rsidR="00FD15B6" w:rsidRPr="00D03E45" w:rsidRDefault="00FD15B6" w:rsidP="00FD15B6">
      <w:pPr>
        <w:rPr>
          <w:szCs w:val="22"/>
        </w:rPr>
      </w:pPr>
      <w:r w:rsidRPr="00A55A55">
        <w:rPr>
          <w:szCs w:val="22"/>
        </w:rPr>
        <w:t>Bezfarebný, číry</w:t>
      </w:r>
      <w:r w:rsidR="00CE3965" w:rsidRPr="00A55A55">
        <w:rPr>
          <w:szCs w:val="22"/>
        </w:rPr>
        <w:t xml:space="preserve"> </w:t>
      </w:r>
      <w:r w:rsidRPr="00A55A55">
        <w:rPr>
          <w:szCs w:val="22"/>
        </w:rPr>
        <w:t>roztok</w:t>
      </w:r>
      <w:r w:rsidR="00CE3965" w:rsidRPr="00A55A55">
        <w:rPr>
          <w:szCs w:val="22"/>
        </w:rPr>
        <w:t xml:space="preserve"> bez</w:t>
      </w:r>
      <w:r w:rsidRPr="00A55A55">
        <w:rPr>
          <w:szCs w:val="22"/>
        </w:rPr>
        <w:t xml:space="preserve"> </w:t>
      </w:r>
      <w:r w:rsidR="00CE3965" w:rsidRPr="00A55A55">
        <w:rPr>
          <w:szCs w:val="22"/>
        </w:rPr>
        <w:t>viditeľných</w:t>
      </w:r>
      <w:r w:rsidRPr="00A55A55">
        <w:rPr>
          <w:szCs w:val="22"/>
        </w:rPr>
        <w:t xml:space="preserve"> častíc.</w:t>
      </w:r>
    </w:p>
    <w:p w:rsidR="00CE3965" w:rsidRPr="00D03E45" w:rsidRDefault="00CE3965" w:rsidP="00CE3965">
      <w:pPr>
        <w:rPr>
          <w:szCs w:val="22"/>
        </w:rPr>
      </w:pPr>
      <w:r w:rsidRPr="00D03E45">
        <w:rPr>
          <w:szCs w:val="22"/>
        </w:rPr>
        <w:t>pH 6,0-7,0</w:t>
      </w:r>
    </w:p>
    <w:p w:rsidR="00FD15B6" w:rsidRPr="00231B74" w:rsidRDefault="00CE3965" w:rsidP="00FD15B6">
      <w:pPr>
        <w:rPr>
          <w:szCs w:val="22"/>
        </w:rPr>
      </w:pPr>
      <w:proofErr w:type="spellStart"/>
      <w:r w:rsidRPr="00E82DE4">
        <w:rPr>
          <w:szCs w:val="22"/>
        </w:rPr>
        <w:t>O</w:t>
      </w:r>
      <w:r w:rsidR="00FD15B6" w:rsidRPr="00E82DE4">
        <w:rPr>
          <w:szCs w:val="22"/>
        </w:rPr>
        <w:t>smola</w:t>
      </w:r>
      <w:r w:rsidR="00E82DE4" w:rsidRPr="00E82DE4">
        <w:rPr>
          <w:szCs w:val="22"/>
        </w:rPr>
        <w:t>l</w:t>
      </w:r>
      <w:r w:rsidR="00FD15B6" w:rsidRPr="00E82DE4">
        <w:rPr>
          <w:szCs w:val="22"/>
        </w:rPr>
        <w:t>ita</w:t>
      </w:r>
      <w:proofErr w:type="spellEnd"/>
      <w:r w:rsidR="00FD15B6" w:rsidRPr="00D03E45">
        <w:rPr>
          <w:szCs w:val="22"/>
        </w:rPr>
        <w:t xml:space="preserve"> </w:t>
      </w:r>
      <w:r w:rsidRPr="00BC3226">
        <w:rPr>
          <w:szCs w:val="22"/>
        </w:rPr>
        <w:t xml:space="preserve">270-310 </w:t>
      </w:r>
      <w:proofErr w:type="spellStart"/>
      <w:r w:rsidRPr="00BC3226">
        <w:rPr>
          <w:szCs w:val="22"/>
        </w:rPr>
        <w:t>m</w:t>
      </w:r>
      <w:r w:rsidR="00397DDB" w:rsidRPr="00BC3226">
        <w:rPr>
          <w:szCs w:val="22"/>
        </w:rPr>
        <w:t>o</w:t>
      </w:r>
      <w:r w:rsidRPr="00BC3226">
        <w:rPr>
          <w:szCs w:val="22"/>
        </w:rPr>
        <w:t>smol</w:t>
      </w:r>
      <w:proofErr w:type="spellEnd"/>
      <w:r w:rsidRPr="00BC3226">
        <w:rPr>
          <w:szCs w:val="22"/>
        </w:rPr>
        <w:t>/kg</w:t>
      </w:r>
    </w:p>
    <w:p w:rsidR="00780926" w:rsidRPr="00D03E45" w:rsidRDefault="00780926" w:rsidP="00FD15B6">
      <w:pPr>
        <w:rPr>
          <w:szCs w:val="22"/>
        </w:rPr>
      </w:pPr>
    </w:p>
    <w:p w:rsidR="00780926" w:rsidRPr="00D03E45" w:rsidRDefault="00780926" w:rsidP="00E41B3F">
      <w:pPr>
        <w:rPr>
          <w:szCs w:val="22"/>
        </w:rPr>
      </w:pPr>
    </w:p>
    <w:p w:rsidR="00780926" w:rsidRPr="00D03E45" w:rsidRDefault="00780926" w:rsidP="00E41B3F">
      <w:pPr>
        <w:rPr>
          <w:caps/>
          <w:szCs w:val="22"/>
        </w:rPr>
      </w:pPr>
      <w:r w:rsidRPr="00D03E45">
        <w:rPr>
          <w:b/>
          <w:caps/>
          <w:szCs w:val="22"/>
        </w:rPr>
        <w:t>4.</w:t>
      </w:r>
      <w:r w:rsidRPr="00D03E45">
        <w:rPr>
          <w:b/>
          <w:caps/>
          <w:szCs w:val="22"/>
        </w:rPr>
        <w:tab/>
        <w:t>KLINICKÉ ÚDAJE</w:t>
      </w:r>
    </w:p>
    <w:p w:rsidR="00780926" w:rsidRPr="00D03E45" w:rsidRDefault="00780926" w:rsidP="00E41B3F">
      <w:pPr>
        <w:rPr>
          <w:szCs w:val="22"/>
        </w:rPr>
      </w:pPr>
    </w:p>
    <w:p w:rsidR="00780926" w:rsidRPr="00D03E45" w:rsidRDefault="00780926" w:rsidP="00E41B3F">
      <w:pPr>
        <w:rPr>
          <w:szCs w:val="22"/>
        </w:rPr>
      </w:pPr>
      <w:r w:rsidRPr="00D03E45">
        <w:rPr>
          <w:b/>
          <w:szCs w:val="22"/>
        </w:rPr>
        <w:t>4.1</w:t>
      </w:r>
      <w:r w:rsidRPr="00D03E45">
        <w:rPr>
          <w:b/>
          <w:szCs w:val="22"/>
        </w:rPr>
        <w:tab/>
        <w:t>Terapeutické indikácie</w:t>
      </w:r>
    </w:p>
    <w:p w:rsidR="00780926" w:rsidRPr="00D03E45" w:rsidRDefault="00780926" w:rsidP="00E41B3F">
      <w:pPr>
        <w:rPr>
          <w:szCs w:val="22"/>
        </w:rPr>
      </w:pPr>
    </w:p>
    <w:p w:rsidR="00CE3965" w:rsidRPr="00D03E45" w:rsidRDefault="00CE3965" w:rsidP="00E41B3F">
      <w:pPr>
        <w:rPr>
          <w:szCs w:val="22"/>
        </w:rPr>
      </w:pPr>
      <w:r w:rsidRPr="00D03E45">
        <w:rPr>
          <w:szCs w:val="22"/>
        </w:rPr>
        <w:t xml:space="preserve">Liečba akútnej symptomatickej </w:t>
      </w:r>
      <w:proofErr w:type="spellStart"/>
      <w:r w:rsidRPr="00D03E45">
        <w:rPr>
          <w:szCs w:val="22"/>
        </w:rPr>
        <w:t>hypokalciémie</w:t>
      </w:r>
      <w:proofErr w:type="spellEnd"/>
      <w:r w:rsidRPr="00D03E45">
        <w:rPr>
          <w:szCs w:val="22"/>
        </w:rPr>
        <w:t xml:space="preserve"> u dospelých.</w:t>
      </w:r>
    </w:p>
    <w:p w:rsidR="00CE3965" w:rsidRPr="00D03E45" w:rsidRDefault="00CE3965">
      <w:pPr>
        <w:rPr>
          <w:szCs w:val="22"/>
        </w:rPr>
      </w:pPr>
    </w:p>
    <w:p w:rsidR="00780926" w:rsidRPr="00D03E45" w:rsidRDefault="00780926">
      <w:pPr>
        <w:rPr>
          <w:b/>
          <w:szCs w:val="22"/>
        </w:rPr>
      </w:pPr>
      <w:r w:rsidRPr="00D03E45">
        <w:rPr>
          <w:b/>
          <w:szCs w:val="22"/>
        </w:rPr>
        <w:t>4.2</w:t>
      </w:r>
      <w:r w:rsidRPr="00D03E45">
        <w:rPr>
          <w:b/>
          <w:szCs w:val="22"/>
        </w:rPr>
        <w:tab/>
        <w:t>Dávkovanie a</w:t>
      </w:r>
      <w:r w:rsidR="00BD7004" w:rsidRPr="00D03E45">
        <w:rPr>
          <w:b/>
          <w:szCs w:val="22"/>
        </w:rPr>
        <w:t> </w:t>
      </w:r>
      <w:r w:rsidRPr="00D03E45">
        <w:rPr>
          <w:b/>
          <w:szCs w:val="22"/>
        </w:rPr>
        <w:t>spôsob podávania</w:t>
      </w:r>
    </w:p>
    <w:p w:rsidR="00780926" w:rsidRPr="00D03E45" w:rsidRDefault="00780926">
      <w:pPr>
        <w:rPr>
          <w:szCs w:val="22"/>
        </w:rPr>
      </w:pPr>
    </w:p>
    <w:p w:rsidR="00D03E45" w:rsidRPr="00D03E45" w:rsidRDefault="00CE3965" w:rsidP="00CE3965">
      <w:pPr>
        <w:ind w:left="0" w:firstLine="0"/>
        <w:rPr>
          <w:szCs w:val="22"/>
        </w:rPr>
      </w:pPr>
      <w:r w:rsidRPr="00D03E45">
        <w:rPr>
          <w:szCs w:val="22"/>
        </w:rPr>
        <w:t xml:space="preserve">Normálna koncentrácia vápnika v plazme je v rozsahu 2,25 </w:t>
      </w:r>
      <w:r w:rsidR="001834FA">
        <w:rPr>
          <w:szCs w:val="22"/>
        </w:rPr>
        <w:t>-</w:t>
      </w:r>
      <w:r w:rsidRPr="00D03E45">
        <w:rPr>
          <w:szCs w:val="22"/>
        </w:rPr>
        <w:t xml:space="preserve"> 2,75 </w:t>
      </w:r>
      <w:proofErr w:type="spellStart"/>
      <w:r w:rsidRPr="00D03E45">
        <w:rPr>
          <w:szCs w:val="22"/>
        </w:rPr>
        <w:t>mmol</w:t>
      </w:r>
      <w:proofErr w:type="spellEnd"/>
      <w:r w:rsidRPr="00D03E45">
        <w:rPr>
          <w:szCs w:val="22"/>
        </w:rPr>
        <w:t xml:space="preserve"> alebo 4,5 </w:t>
      </w:r>
      <w:r w:rsidR="001834FA">
        <w:rPr>
          <w:szCs w:val="22"/>
        </w:rPr>
        <w:t>-</w:t>
      </w:r>
      <w:r w:rsidRPr="00D03E45">
        <w:rPr>
          <w:szCs w:val="22"/>
        </w:rPr>
        <w:t xml:space="preserve"> 5,5 </w:t>
      </w:r>
      <w:proofErr w:type="spellStart"/>
      <w:r w:rsidRPr="00D03E45">
        <w:rPr>
          <w:szCs w:val="22"/>
        </w:rPr>
        <w:t>mEq</w:t>
      </w:r>
      <w:proofErr w:type="spellEnd"/>
      <w:r w:rsidR="00D03E45" w:rsidRPr="00D03E45">
        <w:rPr>
          <w:szCs w:val="22"/>
        </w:rPr>
        <w:t xml:space="preserve"> na </w:t>
      </w:r>
      <w:r w:rsidRPr="00D03E45">
        <w:rPr>
          <w:szCs w:val="22"/>
        </w:rPr>
        <w:t>l</w:t>
      </w:r>
      <w:r w:rsidR="00D03E45" w:rsidRPr="00D03E45">
        <w:rPr>
          <w:szCs w:val="22"/>
        </w:rPr>
        <w:t>iter</w:t>
      </w:r>
      <w:r w:rsidRPr="00D03E45">
        <w:rPr>
          <w:szCs w:val="22"/>
        </w:rPr>
        <w:t xml:space="preserve">. </w:t>
      </w:r>
      <w:r w:rsidR="00397DDB">
        <w:rPr>
          <w:szCs w:val="22"/>
        </w:rPr>
        <w:t xml:space="preserve">Liečbou sa má dosiahnuť alebo udržať </w:t>
      </w:r>
      <w:r w:rsidRPr="00D03E45">
        <w:rPr>
          <w:szCs w:val="22"/>
        </w:rPr>
        <w:t>t</w:t>
      </w:r>
      <w:r w:rsidR="00397DDB">
        <w:rPr>
          <w:szCs w:val="22"/>
        </w:rPr>
        <w:t>áto</w:t>
      </w:r>
      <w:r w:rsidRPr="00D03E45">
        <w:rPr>
          <w:szCs w:val="22"/>
        </w:rPr>
        <w:t xml:space="preserve"> hladin</w:t>
      </w:r>
      <w:r w:rsidR="00397DDB">
        <w:rPr>
          <w:szCs w:val="22"/>
        </w:rPr>
        <w:t>a</w:t>
      </w:r>
      <w:r w:rsidRPr="00D03E45">
        <w:rPr>
          <w:szCs w:val="22"/>
        </w:rPr>
        <w:t xml:space="preserve">. </w:t>
      </w:r>
    </w:p>
    <w:p w:rsidR="00D03E45" w:rsidRPr="00D03E45" w:rsidRDefault="00D03E45" w:rsidP="00CE3965">
      <w:pPr>
        <w:ind w:left="0" w:firstLine="0"/>
        <w:rPr>
          <w:szCs w:val="22"/>
        </w:rPr>
      </w:pPr>
    </w:p>
    <w:p w:rsidR="00CE3965" w:rsidRPr="00D03E45" w:rsidRDefault="00CE3965" w:rsidP="00CE3965">
      <w:pPr>
        <w:ind w:left="0" w:firstLine="0"/>
        <w:rPr>
          <w:szCs w:val="22"/>
        </w:rPr>
      </w:pPr>
      <w:r w:rsidRPr="00D03E45">
        <w:rPr>
          <w:szCs w:val="22"/>
        </w:rPr>
        <w:t xml:space="preserve">Počas liečby sa </w:t>
      </w:r>
      <w:r w:rsidR="00D03E45" w:rsidRPr="00D03E45">
        <w:rPr>
          <w:szCs w:val="22"/>
        </w:rPr>
        <w:t>majú</w:t>
      </w:r>
      <w:r w:rsidRPr="00D03E45">
        <w:rPr>
          <w:szCs w:val="22"/>
        </w:rPr>
        <w:t xml:space="preserve"> starostlivo sledovať hladiny vápnika v sére.</w:t>
      </w:r>
    </w:p>
    <w:p w:rsidR="00D03E45" w:rsidRPr="00D03E45" w:rsidRDefault="00D03E45" w:rsidP="00E41B3F">
      <w:pPr>
        <w:rPr>
          <w:szCs w:val="22"/>
          <w:u w:val="single"/>
        </w:rPr>
      </w:pPr>
    </w:p>
    <w:p w:rsidR="00E1698A" w:rsidRPr="00B13F68" w:rsidRDefault="00E1698A" w:rsidP="00E41B3F">
      <w:pPr>
        <w:rPr>
          <w:szCs w:val="22"/>
          <w:u w:val="single"/>
        </w:rPr>
      </w:pPr>
      <w:r w:rsidRPr="00D03E45">
        <w:rPr>
          <w:szCs w:val="22"/>
          <w:u w:val="single"/>
        </w:rPr>
        <w:t>Dávkovanie</w:t>
      </w:r>
    </w:p>
    <w:p w:rsidR="00E1698A" w:rsidRPr="00B13F68" w:rsidRDefault="00E1698A" w:rsidP="00E41B3F">
      <w:pPr>
        <w:rPr>
          <w:szCs w:val="22"/>
        </w:rPr>
      </w:pPr>
    </w:p>
    <w:p w:rsidR="00D03E45" w:rsidRPr="00D03E45" w:rsidRDefault="00D03E45" w:rsidP="00D03E45">
      <w:pPr>
        <w:rPr>
          <w:i/>
          <w:noProof/>
          <w:szCs w:val="22"/>
        </w:rPr>
      </w:pPr>
      <w:r w:rsidRPr="00D03E45">
        <w:rPr>
          <w:i/>
          <w:noProof/>
          <w:szCs w:val="22"/>
        </w:rPr>
        <w:t>Pomalá intravenózna injekcia alebo infúzia u pacientov s normálnou funkciou obličiek:</w:t>
      </w:r>
    </w:p>
    <w:p w:rsidR="00D03E45" w:rsidRPr="00D03E45" w:rsidRDefault="00D03E45" w:rsidP="00D03E45">
      <w:pPr>
        <w:rPr>
          <w:i/>
          <w:noProof/>
          <w:szCs w:val="22"/>
        </w:rPr>
      </w:pPr>
    </w:p>
    <w:p w:rsidR="00D03E45" w:rsidRPr="00D03E45" w:rsidRDefault="00D03E45" w:rsidP="00D03E45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t xml:space="preserve">10 - 20 ml </w:t>
      </w:r>
      <w:r w:rsidR="00943C90" w:rsidRPr="00F06247">
        <w:rPr>
          <w:b/>
          <w:bCs/>
          <w:noProof/>
          <w:szCs w:val="22"/>
        </w:rPr>
        <w:t>neriedeného</w:t>
      </w:r>
      <w:r w:rsidR="00943C90" w:rsidRPr="00D03E45">
        <w:t xml:space="preserve"> </w:t>
      </w:r>
      <w:r w:rsidR="007B1DE0">
        <w:t xml:space="preserve">lieku </w:t>
      </w:r>
      <w:proofErr w:type="spellStart"/>
      <w:r w:rsidRPr="00D03E45">
        <w:t>Calcium</w:t>
      </w:r>
      <w:proofErr w:type="spellEnd"/>
      <w:r w:rsidRPr="00D03E45">
        <w:t xml:space="preserve"> </w:t>
      </w:r>
      <w:proofErr w:type="spellStart"/>
      <w:r w:rsidRPr="00D03E45">
        <w:t>Gluconate</w:t>
      </w:r>
      <w:proofErr w:type="spellEnd"/>
      <w:r w:rsidRPr="00D03E45">
        <w:t xml:space="preserve"> </w:t>
      </w:r>
      <w:proofErr w:type="spellStart"/>
      <w:r w:rsidR="00FF034B">
        <w:t>Hameln</w:t>
      </w:r>
      <w:proofErr w:type="spellEnd"/>
      <w:r w:rsidRPr="00D03E45">
        <w:rPr>
          <w:noProof/>
          <w:szCs w:val="22"/>
        </w:rPr>
        <w:t xml:space="preserve"> (čo zodpovedá 2,2 - 4,4 mmol vápnika), sa môže podávať ako </w:t>
      </w:r>
      <w:r w:rsidRPr="00F06247">
        <w:rPr>
          <w:i/>
          <w:iCs/>
          <w:noProof/>
          <w:szCs w:val="22"/>
        </w:rPr>
        <w:t>pomalá intravenózna injekcia</w:t>
      </w:r>
      <w:r w:rsidRPr="00D03E45">
        <w:rPr>
          <w:noProof/>
          <w:szCs w:val="22"/>
        </w:rPr>
        <w:t xml:space="preserve"> počas 10 minút s monitorovaním </w:t>
      </w:r>
      <w:r w:rsidR="004E6067">
        <w:rPr>
          <w:noProof/>
          <w:szCs w:val="22"/>
        </w:rPr>
        <w:t>vápnika v plazme</w:t>
      </w:r>
      <w:r w:rsidRPr="00D03E45">
        <w:rPr>
          <w:noProof/>
          <w:szCs w:val="22"/>
        </w:rPr>
        <w:t xml:space="preserve"> a EKG.</w:t>
      </w:r>
    </w:p>
    <w:p w:rsidR="00D03E45" w:rsidRPr="00D03E45" w:rsidRDefault="00D03E45" w:rsidP="00D03E45">
      <w:pPr>
        <w:ind w:left="0" w:firstLine="0"/>
        <w:rPr>
          <w:noProof/>
          <w:szCs w:val="22"/>
        </w:rPr>
      </w:pPr>
    </w:p>
    <w:p w:rsidR="00D03E45" w:rsidRPr="00D03E45" w:rsidRDefault="00D03E45" w:rsidP="00D03E45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t>alebo</w:t>
      </w:r>
    </w:p>
    <w:p w:rsidR="00D03E45" w:rsidRPr="00D03E45" w:rsidRDefault="00D03E45" w:rsidP="00D03E45">
      <w:pPr>
        <w:ind w:left="0" w:firstLine="0"/>
        <w:rPr>
          <w:noProof/>
          <w:szCs w:val="22"/>
        </w:rPr>
      </w:pPr>
      <w:r w:rsidRPr="00D03E45">
        <w:rPr>
          <w:noProof/>
          <w:szCs w:val="22"/>
        </w:rPr>
        <w:lastRenderedPageBreak/>
        <w:t xml:space="preserve">10 - 20 ml </w:t>
      </w:r>
      <w:r w:rsidR="00050264">
        <w:rPr>
          <w:noProof/>
          <w:szCs w:val="22"/>
        </w:rPr>
        <w:t xml:space="preserve">lieku </w:t>
      </w:r>
      <w:proofErr w:type="spellStart"/>
      <w:r w:rsidR="00C9627C" w:rsidRPr="00D03E45">
        <w:t>Calcium</w:t>
      </w:r>
      <w:proofErr w:type="spellEnd"/>
      <w:r w:rsidR="00C9627C" w:rsidRPr="00D03E45">
        <w:t xml:space="preserve"> </w:t>
      </w:r>
      <w:proofErr w:type="spellStart"/>
      <w:r w:rsidR="00C9627C" w:rsidRPr="00D03E45">
        <w:t>Gluconate</w:t>
      </w:r>
      <w:proofErr w:type="spellEnd"/>
      <w:r w:rsidR="00C9627C" w:rsidRPr="00D03E45">
        <w:t xml:space="preserve"> </w:t>
      </w:r>
      <w:proofErr w:type="spellStart"/>
      <w:r w:rsidR="00FF034B">
        <w:t>Hameln</w:t>
      </w:r>
      <w:proofErr w:type="spellEnd"/>
      <w:r w:rsidRPr="00D03E45">
        <w:rPr>
          <w:noProof/>
          <w:szCs w:val="22"/>
        </w:rPr>
        <w:t xml:space="preserve"> (čo zodpovedá 2,2 - 4,4 mmol vápnika), sa môže </w:t>
      </w:r>
      <w:r w:rsidRPr="006B26D7">
        <w:rPr>
          <w:b/>
          <w:bCs/>
          <w:noProof/>
          <w:szCs w:val="22"/>
        </w:rPr>
        <w:t>zriediť</w:t>
      </w:r>
      <w:r w:rsidRPr="00D03E45">
        <w:rPr>
          <w:noProof/>
          <w:szCs w:val="22"/>
        </w:rPr>
        <w:t xml:space="preserve"> </w:t>
      </w:r>
      <w:r w:rsidRPr="00E86DD8">
        <w:rPr>
          <w:noProof/>
          <w:szCs w:val="22"/>
        </w:rPr>
        <w:t>v</w:t>
      </w:r>
      <w:r w:rsidRPr="00D03E45">
        <w:rPr>
          <w:noProof/>
          <w:szCs w:val="22"/>
        </w:rPr>
        <w:t xml:space="preserve"> 50 - 100 ml </w:t>
      </w:r>
      <w:r w:rsidR="006B26D7">
        <w:rPr>
          <w:noProof/>
          <w:szCs w:val="22"/>
        </w:rPr>
        <w:t xml:space="preserve">5 % </w:t>
      </w:r>
      <w:r w:rsidRPr="00F06247">
        <w:rPr>
          <w:noProof/>
          <w:szCs w:val="22"/>
        </w:rPr>
        <w:t>glukóz</w:t>
      </w:r>
      <w:r w:rsidR="006531C4">
        <w:rPr>
          <w:noProof/>
          <w:szCs w:val="22"/>
        </w:rPr>
        <w:t>y</w:t>
      </w:r>
      <w:r w:rsidRPr="00D03E45">
        <w:rPr>
          <w:noProof/>
          <w:szCs w:val="22"/>
        </w:rPr>
        <w:t xml:space="preserve"> </w:t>
      </w:r>
      <w:r w:rsidR="00AC5B45">
        <w:rPr>
          <w:noProof/>
          <w:szCs w:val="22"/>
        </w:rPr>
        <w:t>alebo 0,9</w:t>
      </w:r>
      <w:r w:rsidR="006B26D7">
        <w:rPr>
          <w:noProof/>
          <w:szCs w:val="22"/>
        </w:rPr>
        <w:t xml:space="preserve"> </w:t>
      </w:r>
      <w:r w:rsidR="00AC5B45">
        <w:rPr>
          <w:noProof/>
          <w:szCs w:val="22"/>
        </w:rPr>
        <w:t xml:space="preserve">% chloridu sodného </w:t>
      </w:r>
      <w:r w:rsidRPr="00D03E45">
        <w:rPr>
          <w:noProof/>
          <w:szCs w:val="22"/>
        </w:rPr>
        <w:t xml:space="preserve">a podávať ako </w:t>
      </w:r>
      <w:r w:rsidRPr="006B26D7">
        <w:rPr>
          <w:i/>
          <w:iCs/>
          <w:noProof/>
          <w:szCs w:val="22"/>
        </w:rPr>
        <w:t>pomalá intravenózna infúzia</w:t>
      </w:r>
      <w:r w:rsidRPr="00D03E45">
        <w:rPr>
          <w:noProof/>
          <w:szCs w:val="22"/>
        </w:rPr>
        <w:t xml:space="preserve"> počas 10 minút s </w:t>
      </w:r>
      <w:r w:rsidR="00B30082" w:rsidRPr="00D03E45">
        <w:rPr>
          <w:noProof/>
          <w:szCs w:val="22"/>
        </w:rPr>
        <w:t xml:space="preserve">monitorovaním </w:t>
      </w:r>
      <w:r w:rsidR="00E86DD8">
        <w:rPr>
          <w:noProof/>
          <w:szCs w:val="22"/>
        </w:rPr>
        <w:t>vápnika v plazme</w:t>
      </w:r>
      <w:r w:rsidR="00B30082" w:rsidRPr="00D03E45">
        <w:rPr>
          <w:noProof/>
          <w:szCs w:val="22"/>
        </w:rPr>
        <w:t xml:space="preserve"> a EKG</w:t>
      </w:r>
      <w:r w:rsidRPr="00D03E45">
        <w:rPr>
          <w:noProof/>
          <w:szCs w:val="22"/>
        </w:rPr>
        <w:t>.</w:t>
      </w:r>
    </w:p>
    <w:p w:rsidR="00D03E45" w:rsidRDefault="00D03E45" w:rsidP="00E41B3F">
      <w:pPr>
        <w:rPr>
          <w:i/>
          <w:noProof/>
          <w:szCs w:val="22"/>
        </w:rPr>
      </w:pPr>
    </w:p>
    <w:p w:rsidR="00B30082" w:rsidRPr="00B30082" w:rsidRDefault="00B30082" w:rsidP="00B30082">
      <w:pPr>
        <w:ind w:left="0" w:firstLine="0"/>
        <w:rPr>
          <w:noProof/>
          <w:szCs w:val="22"/>
        </w:rPr>
      </w:pPr>
      <w:r w:rsidRPr="00B30082">
        <w:rPr>
          <w:noProof/>
          <w:szCs w:val="22"/>
        </w:rPr>
        <w:t xml:space="preserve">V prípade potreby možno dávku </w:t>
      </w:r>
      <w:r w:rsidR="00B92F30">
        <w:rPr>
          <w:noProof/>
          <w:szCs w:val="22"/>
        </w:rPr>
        <w:t>z</w:t>
      </w:r>
      <w:r w:rsidRPr="00B30082">
        <w:rPr>
          <w:noProof/>
          <w:szCs w:val="22"/>
        </w:rPr>
        <w:t xml:space="preserve">opakovať v závislosti od klinického stavu pacienta. </w:t>
      </w:r>
      <w:r w:rsidR="00B92F30">
        <w:rPr>
          <w:noProof/>
          <w:szCs w:val="22"/>
        </w:rPr>
        <w:t>Ďalšie</w:t>
      </w:r>
      <w:r w:rsidRPr="00B30082">
        <w:rPr>
          <w:noProof/>
          <w:szCs w:val="22"/>
        </w:rPr>
        <w:t xml:space="preserve"> dávky sa majú upraviť podľa aktuálnej hladiny vápnika v sére.</w:t>
      </w:r>
    </w:p>
    <w:p w:rsidR="00B30082" w:rsidRPr="00B30082" w:rsidRDefault="00B30082" w:rsidP="00B30082">
      <w:pPr>
        <w:ind w:left="0" w:firstLine="0"/>
        <w:rPr>
          <w:noProof/>
          <w:szCs w:val="22"/>
        </w:rPr>
      </w:pPr>
    </w:p>
    <w:p w:rsidR="00D03E45" w:rsidRPr="00B30082" w:rsidRDefault="00B127D4" w:rsidP="00B30082">
      <w:pPr>
        <w:ind w:left="0" w:firstLine="0"/>
        <w:rPr>
          <w:noProof/>
          <w:szCs w:val="22"/>
        </w:rPr>
      </w:pPr>
      <w:r>
        <w:rPr>
          <w:noProof/>
          <w:szCs w:val="22"/>
        </w:rPr>
        <w:t>N</w:t>
      </w:r>
      <w:r w:rsidR="00B30082" w:rsidRPr="00B30082">
        <w:rPr>
          <w:noProof/>
          <w:szCs w:val="22"/>
        </w:rPr>
        <w:t xml:space="preserve">eodporúča </w:t>
      </w:r>
      <w:r>
        <w:rPr>
          <w:noProof/>
          <w:szCs w:val="22"/>
        </w:rPr>
        <w:t xml:space="preserve">sa podať </w:t>
      </w:r>
      <w:r w:rsidR="00B30082" w:rsidRPr="00B30082">
        <w:rPr>
          <w:noProof/>
          <w:szCs w:val="22"/>
        </w:rPr>
        <w:t xml:space="preserve">viac ako 50 ml </w:t>
      </w:r>
      <w:r w:rsidR="00050264">
        <w:rPr>
          <w:noProof/>
          <w:szCs w:val="22"/>
        </w:rPr>
        <w:t xml:space="preserve">lieku </w:t>
      </w:r>
      <w:proofErr w:type="spellStart"/>
      <w:r w:rsidRPr="00D03E45">
        <w:t>Calcium</w:t>
      </w:r>
      <w:proofErr w:type="spellEnd"/>
      <w:r w:rsidRPr="00D03E45">
        <w:t xml:space="preserve"> </w:t>
      </w:r>
      <w:proofErr w:type="spellStart"/>
      <w:r w:rsidRPr="00D03E45">
        <w:t>Gluconate</w:t>
      </w:r>
      <w:proofErr w:type="spellEnd"/>
      <w:r w:rsidRPr="00D03E45">
        <w:t xml:space="preserve"> </w:t>
      </w:r>
      <w:proofErr w:type="spellStart"/>
      <w:r w:rsidR="00FF034B">
        <w:t>Hameln</w:t>
      </w:r>
      <w:proofErr w:type="spellEnd"/>
      <w:r w:rsidRPr="00D03E45">
        <w:rPr>
          <w:noProof/>
          <w:szCs w:val="22"/>
        </w:rPr>
        <w:t xml:space="preserve"> </w:t>
      </w:r>
      <w:r w:rsidRPr="00B30082">
        <w:rPr>
          <w:noProof/>
          <w:szCs w:val="22"/>
        </w:rPr>
        <w:t xml:space="preserve">počas 24 </w:t>
      </w:r>
      <w:r w:rsidRPr="00B30B08">
        <w:rPr>
          <w:noProof/>
          <w:szCs w:val="22"/>
        </w:rPr>
        <w:t xml:space="preserve">hodín </w:t>
      </w:r>
      <w:r w:rsidR="00B30082" w:rsidRPr="00B30B08">
        <w:rPr>
          <w:noProof/>
          <w:szCs w:val="22"/>
        </w:rPr>
        <w:t xml:space="preserve">vzhľadom na riziko </w:t>
      </w:r>
      <w:r w:rsidR="00B30B08" w:rsidRPr="00B30B08">
        <w:rPr>
          <w:noProof/>
          <w:szCs w:val="22"/>
        </w:rPr>
        <w:t>expozície hliník</w:t>
      </w:r>
      <w:r w:rsidR="005F6DC7">
        <w:rPr>
          <w:noProof/>
          <w:szCs w:val="22"/>
        </w:rPr>
        <w:t>u</w:t>
      </w:r>
      <w:r w:rsidR="00B30082" w:rsidRPr="00B30082">
        <w:rPr>
          <w:noProof/>
          <w:szCs w:val="22"/>
        </w:rPr>
        <w:t xml:space="preserve"> (pozri časť 4.4).</w:t>
      </w:r>
    </w:p>
    <w:p w:rsidR="00D03E45" w:rsidRPr="00AC581C" w:rsidRDefault="00D03E45" w:rsidP="00B30082">
      <w:pPr>
        <w:ind w:left="0" w:firstLine="0"/>
        <w:rPr>
          <w:noProof/>
          <w:szCs w:val="22"/>
        </w:rPr>
      </w:pPr>
    </w:p>
    <w:p w:rsidR="00AC581C" w:rsidRPr="00AC581C" w:rsidRDefault="00D57BB9" w:rsidP="00AC581C">
      <w:pPr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Osobitné</w:t>
      </w:r>
      <w:r w:rsidR="00AC581C" w:rsidRPr="00AC581C">
        <w:rPr>
          <w:noProof/>
          <w:szCs w:val="22"/>
          <w:u w:val="single"/>
        </w:rPr>
        <w:t xml:space="preserve"> populácie</w:t>
      </w:r>
    </w:p>
    <w:p w:rsidR="00AC581C" w:rsidRPr="00AC581C" w:rsidRDefault="00AC581C" w:rsidP="00AC581C">
      <w:pPr>
        <w:rPr>
          <w:noProof/>
          <w:szCs w:val="22"/>
        </w:rPr>
      </w:pPr>
    </w:p>
    <w:p w:rsidR="00AC581C" w:rsidRPr="00AC581C" w:rsidRDefault="00AC581C" w:rsidP="00AC581C">
      <w:pPr>
        <w:rPr>
          <w:i/>
          <w:noProof/>
          <w:szCs w:val="22"/>
        </w:rPr>
      </w:pPr>
      <w:r>
        <w:rPr>
          <w:i/>
          <w:noProof/>
          <w:szCs w:val="22"/>
        </w:rPr>
        <w:t>Pediatrická populácia</w:t>
      </w:r>
    </w:p>
    <w:p w:rsidR="00AC581C" w:rsidRPr="00047ADD" w:rsidRDefault="00AC581C" w:rsidP="00AC581C">
      <w:pPr>
        <w:ind w:left="0" w:firstLine="0"/>
        <w:rPr>
          <w:noProof/>
          <w:szCs w:val="22"/>
        </w:rPr>
      </w:pPr>
      <w:r w:rsidRPr="00047ADD">
        <w:rPr>
          <w:noProof/>
          <w:szCs w:val="22"/>
        </w:rPr>
        <w:t xml:space="preserve">Použitie </w:t>
      </w:r>
      <w:r w:rsidR="00661936">
        <w:rPr>
          <w:noProof/>
          <w:szCs w:val="22"/>
        </w:rPr>
        <w:t xml:space="preserve">lieku </w:t>
      </w:r>
      <w:proofErr w:type="spellStart"/>
      <w:r w:rsidRPr="00047ADD">
        <w:rPr>
          <w:szCs w:val="22"/>
        </w:rPr>
        <w:t>Calcium</w:t>
      </w:r>
      <w:proofErr w:type="spellEnd"/>
      <w:r w:rsidRPr="00047ADD">
        <w:rPr>
          <w:szCs w:val="22"/>
        </w:rPr>
        <w:t xml:space="preserve"> </w:t>
      </w:r>
      <w:proofErr w:type="spellStart"/>
      <w:r w:rsidRPr="00047ADD">
        <w:rPr>
          <w:szCs w:val="22"/>
        </w:rPr>
        <w:t>Gluconate</w:t>
      </w:r>
      <w:proofErr w:type="spellEnd"/>
      <w:r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Pr="00047ADD">
        <w:rPr>
          <w:noProof/>
          <w:szCs w:val="22"/>
        </w:rPr>
        <w:t xml:space="preserve"> u pediatrických pacientov sa neodporúča </w:t>
      </w:r>
      <w:r w:rsidR="008E1393">
        <w:rPr>
          <w:noProof/>
          <w:szCs w:val="22"/>
        </w:rPr>
        <w:t>kvôli</w:t>
      </w:r>
      <w:r w:rsidR="00C66372" w:rsidRPr="00047ADD">
        <w:rPr>
          <w:noProof/>
          <w:szCs w:val="22"/>
        </w:rPr>
        <w:t xml:space="preserve"> </w:t>
      </w:r>
      <w:r w:rsidRPr="00047ADD">
        <w:rPr>
          <w:noProof/>
          <w:szCs w:val="22"/>
        </w:rPr>
        <w:t>rizik</w:t>
      </w:r>
      <w:r w:rsidR="008E1393">
        <w:rPr>
          <w:noProof/>
          <w:szCs w:val="22"/>
        </w:rPr>
        <w:t>u</w:t>
      </w:r>
      <w:r w:rsidRPr="00047ADD">
        <w:rPr>
          <w:noProof/>
          <w:szCs w:val="22"/>
        </w:rPr>
        <w:t xml:space="preserve"> </w:t>
      </w:r>
      <w:r w:rsidR="00F6595D">
        <w:rPr>
          <w:noProof/>
          <w:szCs w:val="22"/>
        </w:rPr>
        <w:t>expozície hliník</w:t>
      </w:r>
      <w:r w:rsidR="00661936">
        <w:rPr>
          <w:noProof/>
          <w:szCs w:val="22"/>
        </w:rPr>
        <w:t>u</w:t>
      </w:r>
      <w:r w:rsidR="00F6595D">
        <w:rPr>
          <w:noProof/>
          <w:szCs w:val="22"/>
        </w:rPr>
        <w:t xml:space="preserve">, </w:t>
      </w:r>
      <w:r w:rsidRPr="00047ADD">
        <w:rPr>
          <w:noProof/>
          <w:szCs w:val="22"/>
        </w:rPr>
        <w:t>vylúhovan</w:t>
      </w:r>
      <w:r w:rsidR="00F6595D">
        <w:rPr>
          <w:noProof/>
          <w:szCs w:val="22"/>
        </w:rPr>
        <w:t>é</w:t>
      </w:r>
      <w:r w:rsidR="00AC3EA5">
        <w:rPr>
          <w:noProof/>
          <w:szCs w:val="22"/>
        </w:rPr>
        <w:t>ho</w:t>
      </w:r>
      <w:r w:rsidRPr="00047ADD">
        <w:rPr>
          <w:noProof/>
          <w:szCs w:val="22"/>
        </w:rPr>
        <w:t xml:space="preserve"> z</w:t>
      </w:r>
      <w:r w:rsidR="00047ADD" w:rsidRPr="00047ADD">
        <w:rPr>
          <w:noProof/>
          <w:szCs w:val="22"/>
        </w:rPr>
        <w:t xml:space="preserve">o skla </w:t>
      </w:r>
      <w:r w:rsidRPr="00047ADD">
        <w:rPr>
          <w:noProof/>
          <w:szCs w:val="22"/>
        </w:rPr>
        <w:t>ampul</w:t>
      </w:r>
      <w:r w:rsidR="00047ADD" w:rsidRPr="00047ADD">
        <w:rPr>
          <w:noProof/>
          <w:szCs w:val="22"/>
        </w:rPr>
        <w:t>iek</w:t>
      </w:r>
      <w:r w:rsidRPr="00047ADD">
        <w:rPr>
          <w:noProof/>
          <w:szCs w:val="22"/>
        </w:rPr>
        <w:t xml:space="preserve"> </w:t>
      </w:r>
      <w:proofErr w:type="spellStart"/>
      <w:r w:rsidR="00047ADD" w:rsidRPr="00047ADD">
        <w:rPr>
          <w:color w:val="222222"/>
          <w:szCs w:val="22"/>
        </w:rPr>
        <w:t>glukonátom</w:t>
      </w:r>
      <w:proofErr w:type="spellEnd"/>
      <w:r w:rsidR="00661936">
        <w:rPr>
          <w:color w:val="222222"/>
          <w:szCs w:val="22"/>
        </w:rPr>
        <w:t xml:space="preserve"> vápenatým</w:t>
      </w:r>
      <w:r w:rsidRPr="00047ADD">
        <w:rPr>
          <w:noProof/>
          <w:szCs w:val="22"/>
        </w:rPr>
        <w:t>.</w:t>
      </w:r>
    </w:p>
    <w:p w:rsidR="00AC581C" w:rsidRPr="00AC581C" w:rsidRDefault="00AC581C" w:rsidP="00AC581C">
      <w:pPr>
        <w:ind w:left="0" w:firstLine="0"/>
        <w:rPr>
          <w:noProof/>
          <w:szCs w:val="22"/>
        </w:rPr>
      </w:pPr>
    </w:p>
    <w:p w:rsidR="00AC581C" w:rsidRPr="00AC581C" w:rsidRDefault="00AC581C" w:rsidP="00AC581C">
      <w:pPr>
        <w:ind w:left="0" w:firstLine="0"/>
        <w:rPr>
          <w:noProof/>
          <w:szCs w:val="22"/>
        </w:rPr>
      </w:pPr>
      <w:r w:rsidRPr="00AC581C">
        <w:rPr>
          <w:noProof/>
          <w:szCs w:val="22"/>
        </w:rPr>
        <w:t xml:space="preserve">Opakovaná alebo dlhodobá liečba, vrátane intravenóznej infúzie, u detí (mladších ako 18 rokov) je kontraindikovaná </w:t>
      </w:r>
      <w:r w:rsidR="006E6F5F">
        <w:rPr>
          <w:noProof/>
          <w:szCs w:val="22"/>
        </w:rPr>
        <w:t>kvôli riziku</w:t>
      </w:r>
      <w:r w:rsidRPr="00AC581C">
        <w:rPr>
          <w:noProof/>
          <w:szCs w:val="22"/>
        </w:rPr>
        <w:t xml:space="preserve"> </w:t>
      </w:r>
      <w:r w:rsidR="00F6595D">
        <w:rPr>
          <w:noProof/>
          <w:szCs w:val="22"/>
        </w:rPr>
        <w:t>expozície hliník</w:t>
      </w:r>
      <w:r w:rsidR="006C09F5">
        <w:rPr>
          <w:noProof/>
          <w:szCs w:val="22"/>
        </w:rPr>
        <w:t>u</w:t>
      </w:r>
      <w:r w:rsidR="00F6595D" w:rsidRPr="00AC581C">
        <w:rPr>
          <w:noProof/>
          <w:szCs w:val="22"/>
        </w:rPr>
        <w:t xml:space="preserve"> </w:t>
      </w:r>
      <w:r w:rsidRPr="00AC581C">
        <w:rPr>
          <w:noProof/>
          <w:szCs w:val="22"/>
        </w:rPr>
        <w:t>(pozri časti 4.3 a 4.4).</w:t>
      </w:r>
    </w:p>
    <w:p w:rsidR="00AC581C" w:rsidRPr="00AC581C" w:rsidRDefault="00AC581C" w:rsidP="00AC581C">
      <w:pPr>
        <w:ind w:left="0" w:firstLine="0"/>
        <w:rPr>
          <w:noProof/>
          <w:szCs w:val="22"/>
        </w:rPr>
      </w:pPr>
    </w:p>
    <w:p w:rsidR="00AC581C" w:rsidRPr="00047ADD" w:rsidRDefault="00047ADD" w:rsidP="00AC581C">
      <w:pPr>
        <w:ind w:left="0" w:firstLine="0"/>
        <w:rPr>
          <w:i/>
          <w:noProof/>
          <w:szCs w:val="22"/>
        </w:rPr>
      </w:pPr>
      <w:r w:rsidRPr="0007290D">
        <w:rPr>
          <w:i/>
          <w:noProof/>
          <w:szCs w:val="22"/>
        </w:rPr>
        <w:t>Starš</w:t>
      </w:r>
      <w:r w:rsidR="0007290D" w:rsidRPr="0007290D">
        <w:rPr>
          <w:i/>
          <w:noProof/>
          <w:szCs w:val="22"/>
        </w:rPr>
        <w:t>ie osoby</w:t>
      </w:r>
    </w:p>
    <w:p w:rsidR="00D03E45" w:rsidRPr="00AC581C" w:rsidRDefault="00AC581C" w:rsidP="00AC581C">
      <w:pPr>
        <w:ind w:left="0" w:firstLine="0"/>
        <w:rPr>
          <w:noProof/>
          <w:szCs w:val="22"/>
        </w:rPr>
      </w:pPr>
      <w:r w:rsidRPr="00AC581C">
        <w:rPr>
          <w:noProof/>
          <w:szCs w:val="22"/>
        </w:rPr>
        <w:t xml:space="preserve">Hoci </w:t>
      </w:r>
      <w:r w:rsidR="00C004A9">
        <w:rPr>
          <w:noProof/>
          <w:szCs w:val="22"/>
        </w:rPr>
        <w:t xml:space="preserve">nie je </w:t>
      </w:r>
      <w:r w:rsidR="00022FFB">
        <w:rPr>
          <w:noProof/>
          <w:szCs w:val="22"/>
        </w:rPr>
        <w:t>preukázané</w:t>
      </w:r>
      <w:r w:rsidRPr="00AC581C">
        <w:rPr>
          <w:noProof/>
          <w:szCs w:val="22"/>
        </w:rPr>
        <w:t>, že toleranci</w:t>
      </w:r>
      <w:r w:rsidR="00565009">
        <w:rPr>
          <w:noProof/>
          <w:szCs w:val="22"/>
        </w:rPr>
        <w:t>u</w:t>
      </w:r>
      <w:r w:rsidRPr="00AC581C">
        <w:rPr>
          <w:noProof/>
          <w:szCs w:val="22"/>
        </w:rPr>
        <w:t xml:space="preserve"> </w:t>
      </w:r>
      <w:r w:rsidR="002F7694">
        <w:rPr>
          <w:noProof/>
          <w:szCs w:val="22"/>
        </w:rPr>
        <w:t xml:space="preserve">lieku </w:t>
      </w:r>
      <w:proofErr w:type="spellStart"/>
      <w:r w:rsidR="00FD021D" w:rsidRPr="00047ADD">
        <w:rPr>
          <w:szCs w:val="22"/>
        </w:rPr>
        <w:t>Calcium</w:t>
      </w:r>
      <w:proofErr w:type="spellEnd"/>
      <w:r w:rsidR="00FD021D" w:rsidRPr="00047ADD">
        <w:rPr>
          <w:szCs w:val="22"/>
        </w:rPr>
        <w:t xml:space="preserve"> </w:t>
      </w:r>
      <w:proofErr w:type="spellStart"/>
      <w:r w:rsidR="00FD021D" w:rsidRPr="00047ADD">
        <w:rPr>
          <w:szCs w:val="22"/>
        </w:rPr>
        <w:t>Gluconate</w:t>
      </w:r>
      <w:proofErr w:type="spellEnd"/>
      <w:r w:rsidR="00FD021D"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Pr="00AC581C">
        <w:rPr>
          <w:noProof/>
          <w:szCs w:val="22"/>
        </w:rPr>
        <w:t xml:space="preserve"> priamo ovplyv</w:t>
      </w:r>
      <w:r w:rsidR="00022FFB">
        <w:rPr>
          <w:noProof/>
          <w:szCs w:val="22"/>
        </w:rPr>
        <w:t>ňuje</w:t>
      </w:r>
      <w:r w:rsidRPr="00AC581C">
        <w:rPr>
          <w:noProof/>
          <w:szCs w:val="22"/>
        </w:rPr>
        <w:t xml:space="preserve"> pokročil</w:t>
      </w:r>
      <w:r w:rsidR="00565009">
        <w:rPr>
          <w:noProof/>
          <w:szCs w:val="22"/>
        </w:rPr>
        <w:t>ý</w:t>
      </w:r>
      <w:r w:rsidRPr="00AC581C">
        <w:rPr>
          <w:noProof/>
          <w:szCs w:val="22"/>
        </w:rPr>
        <w:t xml:space="preserve"> vek, faktory, ktoré môžu byť niekedy spojené so starnutím, ak</w:t>
      </w:r>
      <w:r w:rsidR="00AC5B45">
        <w:rPr>
          <w:noProof/>
          <w:szCs w:val="22"/>
        </w:rPr>
        <w:t>ými</w:t>
      </w:r>
      <w:r w:rsidRPr="00AC581C">
        <w:rPr>
          <w:noProof/>
          <w:szCs w:val="22"/>
        </w:rPr>
        <w:t xml:space="preserve"> </w:t>
      </w:r>
      <w:r w:rsidR="008D5211">
        <w:rPr>
          <w:noProof/>
          <w:szCs w:val="22"/>
        </w:rPr>
        <w:t>sú</w:t>
      </w:r>
      <w:r w:rsidR="002B4FA3">
        <w:rPr>
          <w:noProof/>
          <w:szCs w:val="22"/>
        </w:rPr>
        <w:t xml:space="preserve"> porucha funkcie</w:t>
      </w:r>
      <w:r w:rsidRPr="00AC581C">
        <w:rPr>
          <w:noProof/>
          <w:szCs w:val="22"/>
        </w:rPr>
        <w:t xml:space="preserve"> obličiek a</w:t>
      </w:r>
      <w:r w:rsidR="00022FFB">
        <w:rPr>
          <w:noProof/>
          <w:szCs w:val="22"/>
        </w:rPr>
        <w:t> nedostatočná výživa</w:t>
      </w:r>
      <w:r w:rsidRPr="00AC581C">
        <w:rPr>
          <w:noProof/>
          <w:szCs w:val="22"/>
        </w:rPr>
        <w:t>, môžu nepriamo vpl</w:t>
      </w:r>
      <w:r w:rsidR="00022FFB">
        <w:rPr>
          <w:noProof/>
          <w:szCs w:val="22"/>
        </w:rPr>
        <w:t>ývať na</w:t>
      </w:r>
      <w:r w:rsidRPr="00AC581C">
        <w:rPr>
          <w:noProof/>
          <w:szCs w:val="22"/>
        </w:rPr>
        <w:t xml:space="preserve"> toleranciu a vyžadovať znížen</w:t>
      </w:r>
      <w:r w:rsidR="00022FFB">
        <w:rPr>
          <w:noProof/>
          <w:szCs w:val="22"/>
        </w:rPr>
        <w:t>é</w:t>
      </w:r>
      <w:r w:rsidRPr="00AC581C">
        <w:rPr>
          <w:noProof/>
          <w:szCs w:val="22"/>
        </w:rPr>
        <w:t xml:space="preserve"> dávk</w:t>
      </w:r>
      <w:r w:rsidR="00022FFB">
        <w:rPr>
          <w:noProof/>
          <w:szCs w:val="22"/>
        </w:rPr>
        <w:t>ovanie</w:t>
      </w:r>
      <w:r w:rsidRPr="00AC581C">
        <w:rPr>
          <w:noProof/>
          <w:szCs w:val="22"/>
        </w:rPr>
        <w:t>. Funkcia obličiek s vekom klesá a predpísan</w:t>
      </w:r>
      <w:r w:rsidR="006E7956">
        <w:rPr>
          <w:noProof/>
          <w:szCs w:val="22"/>
        </w:rPr>
        <w:t>ie</w:t>
      </w:r>
      <w:r w:rsidRPr="00AC581C">
        <w:rPr>
          <w:noProof/>
          <w:szCs w:val="22"/>
        </w:rPr>
        <w:t xml:space="preserve"> tohto lieku starším pacientom sa má zvážiť, </w:t>
      </w:r>
      <w:r w:rsidR="006E7956">
        <w:rPr>
          <w:noProof/>
          <w:szCs w:val="22"/>
        </w:rPr>
        <w:t>keďže</w:t>
      </w:r>
      <w:r w:rsidRPr="00AC581C">
        <w:rPr>
          <w:noProof/>
          <w:szCs w:val="22"/>
        </w:rPr>
        <w:t xml:space="preserve"> </w:t>
      </w:r>
      <w:proofErr w:type="spellStart"/>
      <w:r w:rsidR="00022FFB" w:rsidRPr="00047ADD">
        <w:rPr>
          <w:szCs w:val="22"/>
        </w:rPr>
        <w:t>Calcium</w:t>
      </w:r>
      <w:proofErr w:type="spellEnd"/>
      <w:r w:rsidR="00022FFB" w:rsidRPr="00047ADD">
        <w:rPr>
          <w:szCs w:val="22"/>
        </w:rPr>
        <w:t xml:space="preserve"> </w:t>
      </w:r>
      <w:proofErr w:type="spellStart"/>
      <w:r w:rsidR="00022FFB" w:rsidRPr="00047ADD">
        <w:rPr>
          <w:szCs w:val="22"/>
        </w:rPr>
        <w:t>Gluconate</w:t>
      </w:r>
      <w:proofErr w:type="spellEnd"/>
      <w:r w:rsidR="00022FFB"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="00022FFB" w:rsidRPr="00AC581C">
        <w:rPr>
          <w:noProof/>
          <w:szCs w:val="22"/>
        </w:rPr>
        <w:t xml:space="preserve"> </w:t>
      </w:r>
      <w:r w:rsidRPr="00AC581C">
        <w:rPr>
          <w:noProof/>
          <w:szCs w:val="22"/>
        </w:rPr>
        <w:t xml:space="preserve">je kontraindikovaný (pozri časť 4.3) pri opakovanom alebo dlhodobom podávaní </w:t>
      </w:r>
      <w:r w:rsidRPr="00667320">
        <w:rPr>
          <w:noProof/>
          <w:szCs w:val="22"/>
        </w:rPr>
        <w:t>paciento</w:t>
      </w:r>
      <w:r w:rsidR="006E7956">
        <w:rPr>
          <w:noProof/>
          <w:szCs w:val="22"/>
        </w:rPr>
        <w:t>m</w:t>
      </w:r>
      <w:r w:rsidRPr="00667320">
        <w:rPr>
          <w:noProof/>
          <w:szCs w:val="22"/>
        </w:rPr>
        <w:t xml:space="preserve"> s po</w:t>
      </w:r>
      <w:r w:rsidR="0007290D" w:rsidRPr="00667320">
        <w:rPr>
          <w:noProof/>
          <w:szCs w:val="22"/>
        </w:rPr>
        <w:t>ruchou</w:t>
      </w:r>
      <w:r w:rsidRPr="00667320">
        <w:rPr>
          <w:noProof/>
          <w:szCs w:val="22"/>
        </w:rPr>
        <w:t xml:space="preserve"> funkci</w:t>
      </w:r>
      <w:r w:rsidR="00667320" w:rsidRPr="00667320">
        <w:rPr>
          <w:noProof/>
          <w:szCs w:val="22"/>
        </w:rPr>
        <w:t>e</w:t>
      </w:r>
      <w:r w:rsidRPr="00667320">
        <w:rPr>
          <w:noProof/>
          <w:szCs w:val="22"/>
        </w:rPr>
        <w:t xml:space="preserve"> obličiek</w:t>
      </w:r>
      <w:r w:rsidRPr="00AC581C">
        <w:rPr>
          <w:noProof/>
          <w:szCs w:val="22"/>
        </w:rPr>
        <w:t xml:space="preserve"> (pozri časť 4.4). </w:t>
      </w:r>
    </w:p>
    <w:p w:rsidR="00D03E45" w:rsidRPr="00AC581C" w:rsidRDefault="00D03E45" w:rsidP="00E41B3F">
      <w:pPr>
        <w:rPr>
          <w:noProof/>
          <w:szCs w:val="22"/>
        </w:rPr>
      </w:pPr>
    </w:p>
    <w:p w:rsidR="00B23BFB" w:rsidRPr="00B23BFB" w:rsidRDefault="0007290D" w:rsidP="00B23BFB">
      <w:pPr>
        <w:ind w:left="0" w:firstLine="0"/>
        <w:rPr>
          <w:i/>
          <w:noProof/>
          <w:szCs w:val="22"/>
        </w:rPr>
      </w:pPr>
      <w:r>
        <w:rPr>
          <w:i/>
          <w:noProof/>
          <w:szCs w:val="22"/>
        </w:rPr>
        <w:t>Porucha funkcie obličiek</w:t>
      </w:r>
    </w:p>
    <w:p w:rsidR="00B23BFB" w:rsidRPr="00B23BFB" w:rsidRDefault="00B23BFB" w:rsidP="00B23BFB">
      <w:pPr>
        <w:ind w:left="0" w:firstLine="0"/>
        <w:rPr>
          <w:noProof/>
          <w:szCs w:val="22"/>
        </w:rPr>
      </w:pPr>
      <w:r w:rsidRPr="00B23BFB">
        <w:rPr>
          <w:noProof/>
          <w:szCs w:val="22"/>
        </w:rPr>
        <w:t xml:space="preserve">Pacienti s </w:t>
      </w:r>
      <w:r w:rsidR="000259F3">
        <w:rPr>
          <w:noProof/>
          <w:szCs w:val="22"/>
        </w:rPr>
        <w:t>poruchou</w:t>
      </w:r>
      <w:r w:rsidRPr="00B23BFB">
        <w:rPr>
          <w:noProof/>
          <w:szCs w:val="22"/>
        </w:rPr>
        <w:t xml:space="preserve"> </w:t>
      </w:r>
      <w:r w:rsidR="0007290D">
        <w:rPr>
          <w:noProof/>
          <w:szCs w:val="22"/>
        </w:rPr>
        <w:t xml:space="preserve">funkcie </w:t>
      </w:r>
      <w:r w:rsidRPr="00B23BFB">
        <w:rPr>
          <w:noProof/>
          <w:szCs w:val="22"/>
        </w:rPr>
        <w:t>obličiek majú zvýšené riziko hyperkalc</w:t>
      </w:r>
      <w:r w:rsidR="000259F3">
        <w:rPr>
          <w:noProof/>
          <w:szCs w:val="22"/>
        </w:rPr>
        <w:t>i</w:t>
      </w:r>
      <w:r w:rsidR="00933DC3">
        <w:rPr>
          <w:noProof/>
          <w:szCs w:val="22"/>
        </w:rPr>
        <w:t>émie. Pri</w:t>
      </w:r>
      <w:r w:rsidRPr="00B23BFB">
        <w:rPr>
          <w:noProof/>
          <w:szCs w:val="22"/>
        </w:rPr>
        <w:t xml:space="preserve"> urgentn</w:t>
      </w:r>
      <w:r w:rsidR="00933DC3">
        <w:rPr>
          <w:noProof/>
          <w:szCs w:val="22"/>
        </w:rPr>
        <w:t xml:space="preserve">ej </w:t>
      </w:r>
      <w:r w:rsidRPr="00B23BFB">
        <w:rPr>
          <w:noProof/>
          <w:szCs w:val="22"/>
        </w:rPr>
        <w:t>korekc</w:t>
      </w:r>
      <w:r w:rsidR="00933DC3">
        <w:rPr>
          <w:noProof/>
          <w:szCs w:val="22"/>
        </w:rPr>
        <w:t>i</w:t>
      </w:r>
      <w:r w:rsidRPr="00B23BFB">
        <w:rPr>
          <w:noProof/>
          <w:szCs w:val="22"/>
        </w:rPr>
        <w:t>i hypokalc</w:t>
      </w:r>
      <w:r w:rsidR="000259F3">
        <w:rPr>
          <w:noProof/>
          <w:szCs w:val="22"/>
        </w:rPr>
        <w:t>i</w:t>
      </w:r>
      <w:r w:rsidRPr="00B23BFB">
        <w:rPr>
          <w:noProof/>
          <w:szCs w:val="22"/>
        </w:rPr>
        <w:t xml:space="preserve">émie (krátkodobé použitie) </w:t>
      </w:r>
      <w:r w:rsidR="00F36019">
        <w:rPr>
          <w:noProof/>
          <w:szCs w:val="22"/>
        </w:rPr>
        <w:t xml:space="preserve">sa má </w:t>
      </w:r>
      <w:proofErr w:type="spellStart"/>
      <w:r w:rsidR="000259F3" w:rsidRPr="00047ADD">
        <w:rPr>
          <w:szCs w:val="22"/>
        </w:rPr>
        <w:t>Calcium</w:t>
      </w:r>
      <w:proofErr w:type="spellEnd"/>
      <w:r w:rsidR="000259F3" w:rsidRPr="00047ADD">
        <w:rPr>
          <w:szCs w:val="22"/>
        </w:rPr>
        <w:t xml:space="preserve"> </w:t>
      </w:r>
      <w:proofErr w:type="spellStart"/>
      <w:r w:rsidR="000259F3" w:rsidRPr="00047ADD">
        <w:rPr>
          <w:szCs w:val="22"/>
        </w:rPr>
        <w:t>Gluconate</w:t>
      </w:r>
      <w:proofErr w:type="spellEnd"/>
      <w:r w:rsidR="000259F3"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Pr="00B23BFB">
        <w:rPr>
          <w:noProof/>
          <w:szCs w:val="22"/>
        </w:rPr>
        <w:t xml:space="preserve"> titrovať </w:t>
      </w:r>
      <w:r w:rsidR="00933DC3">
        <w:rPr>
          <w:noProof/>
          <w:szCs w:val="22"/>
        </w:rPr>
        <w:t>podľa odozvy</w:t>
      </w:r>
      <w:r w:rsidR="003D6050" w:rsidRPr="003D6050">
        <w:rPr>
          <w:noProof/>
          <w:szCs w:val="22"/>
        </w:rPr>
        <w:t xml:space="preserve"> </w:t>
      </w:r>
      <w:r w:rsidR="003D6050" w:rsidRPr="00B23BFB">
        <w:rPr>
          <w:noProof/>
          <w:szCs w:val="22"/>
        </w:rPr>
        <w:t>a</w:t>
      </w:r>
      <w:r w:rsidR="00C004A9" w:rsidRPr="00B23BFB">
        <w:rPr>
          <w:noProof/>
          <w:szCs w:val="22"/>
        </w:rPr>
        <w:t xml:space="preserve"> majú </w:t>
      </w:r>
      <w:r w:rsidR="00C004A9">
        <w:rPr>
          <w:noProof/>
          <w:szCs w:val="22"/>
        </w:rPr>
        <w:t xml:space="preserve">sa </w:t>
      </w:r>
      <w:r w:rsidR="00C004A9" w:rsidRPr="00B23BFB">
        <w:rPr>
          <w:noProof/>
          <w:szCs w:val="22"/>
        </w:rPr>
        <w:t xml:space="preserve">starostlivo sledovať </w:t>
      </w:r>
      <w:r w:rsidR="003D6050" w:rsidRPr="00B23BFB">
        <w:rPr>
          <w:noProof/>
          <w:szCs w:val="22"/>
        </w:rPr>
        <w:t>hladiny vápnika v sére</w:t>
      </w:r>
      <w:r w:rsidRPr="00B23BFB">
        <w:rPr>
          <w:noProof/>
          <w:szCs w:val="22"/>
        </w:rPr>
        <w:t xml:space="preserve">, pretože u pacientov s </w:t>
      </w:r>
      <w:r w:rsidR="0007290D">
        <w:rPr>
          <w:noProof/>
          <w:szCs w:val="22"/>
        </w:rPr>
        <w:t>poruchou</w:t>
      </w:r>
      <w:r w:rsidRPr="00B23BFB">
        <w:rPr>
          <w:noProof/>
          <w:szCs w:val="22"/>
        </w:rPr>
        <w:t xml:space="preserve"> funkcie obličiek sa môže dosiahnuť požadovaný účinok s nižšou </w:t>
      </w:r>
      <w:r w:rsidR="00190DB6">
        <w:rPr>
          <w:noProof/>
          <w:szCs w:val="22"/>
        </w:rPr>
        <w:t xml:space="preserve">dávkou </w:t>
      </w:r>
      <w:r w:rsidRPr="00B23BFB">
        <w:rPr>
          <w:noProof/>
          <w:szCs w:val="22"/>
        </w:rPr>
        <w:t xml:space="preserve">vápnika (pozri časť 4.4). U </w:t>
      </w:r>
      <w:r w:rsidRPr="00F36019">
        <w:rPr>
          <w:noProof/>
          <w:szCs w:val="22"/>
        </w:rPr>
        <w:t>pacientov s</w:t>
      </w:r>
      <w:r w:rsidR="00887F66">
        <w:rPr>
          <w:noProof/>
          <w:szCs w:val="22"/>
        </w:rPr>
        <w:t>o závažnou</w:t>
      </w:r>
      <w:r w:rsidRPr="00F36019">
        <w:rPr>
          <w:noProof/>
          <w:szCs w:val="22"/>
        </w:rPr>
        <w:t xml:space="preserve"> renálnou insuficienciou a zlyh</w:t>
      </w:r>
      <w:r w:rsidR="00CA41FC">
        <w:rPr>
          <w:noProof/>
          <w:szCs w:val="22"/>
        </w:rPr>
        <w:t>ávaním</w:t>
      </w:r>
      <w:r w:rsidRPr="00F36019">
        <w:rPr>
          <w:noProof/>
          <w:szCs w:val="22"/>
        </w:rPr>
        <w:t xml:space="preserve"> obličiek </w:t>
      </w:r>
      <w:r w:rsidRPr="00B23BFB">
        <w:rPr>
          <w:noProof/>
          <w:szCs w:val="22"/>
        </w:rPr>
        <w:t>ma</w:t>
      </w:r>
      <w:r w:rsidR="00CA41FC">
        <w:rPr>
          <w:noProof/>
          <w:szCs w:val="22"/>
        </w:rPr>
        <w:t>jú</w:t>
      </w:r>
      <w:r w:rsidRPr="00B23BFB">
        <w:rPr>
          <w:noProof/>
          <w:szCs w:val="22"/>
        </w:rPr>
        <w:t xml:space="preserve"> byť dostupné vhodné metódy či</w:t>
      </w:r>
      <w:r w:rsidR="000259F3">
        <w:rPr>
          <w:noProof/>
          <w:szCs w:val="22"/>
        </w:rPr>
        <w:t>stenia krvi (t.j</w:t>
      </w:r>
      <w:r w:rsidRPr="00B23BFB">
        <w:rPr>
          <w:noProof/>
          <w:szCs w:val="22"/>
        </w:rPr>
        <w:t xml:space="preserve">. </w:t>
      </w:r>
      <w:r w:rsidR="000259F3">
        <w:rPr>
          <w:noProof/>
          <w:szCs w:val="22"/>
        </w:rPr>
        <w:t>h</w:t>
      </w:r>
      <w:r w:rsidRPr="00B23BFB">
        <w:rPr>
          <w:noProof/>
          <w:szCs w:val="22"/>
        </w:rPr>
        <w:t>emodialýza alebo peritoneálna dialýza).</w:t>
      </w:r>
    </w:p>
    <w:p w:rsidR="00B23BFB" w:rsidRPr="00B23BFB" w:rsidRDefault="00B23BFB" w:rsidP="00B23BFB">
      <w:pPr>
        <w:ind w:left="0" w:firstLine="0"/>
        <w:rPr>
          <w:noProof/>
          <w:szCs w:val="22"/>
        </w:rPr>
      </w:pPr>
    </w:p>
    <w:p w:rsidR="00B23BFB" w:rsidRPr="00B23BFB" w:rsidRDefault="00F36019" w:rsidP="00B23BFB">
      <w:pPr>
        <w:ind w:left="0" w:firstLine="0"/>
        <w:rPr>
          <w:noProof/>
          <w:szCs w:val="22"/>
        </w:rPr>
      </w:pPr>
      <w:r>
        <w:rPr>
          <w:noProof/>
          <w:szCs w:val="22"/>
        </w:rPr>
        <w:t>O</w:t>
      </w:r>
      <w:r w:rsidRPr="00B23BFB">
        <w:rPr>
          <w:noProof/>
          <w:szCs w:val="22"/>
        </w:rPr>
        <w:t xml:space="preserve">pakované alebo dlhodobé podávanie </w:t>
      </w:r>
      <w:r w:rsidR="00F81AEF">
        <w:rPr>
          <w:noProof/>
          <w:szCs w:val="22"/>
        </w:rPr>
        <w:t xml:space="preserve">lieku </w:t>
      </w:r>
      <w:proofErr w:type="spellStart"/>
      <w:r w:rsidRPr="00047ADD">
        <w:rPr>
          <w:szCs w:val="22"/>
        </w:rPr>
        <w:t>Calcium</w:t>
      </w:r>
      <w:proofErr w:type="spellEnd"/>
      <w:r w:rsidRPr="00047ADD">
        <w:rPr>
          <w:szCs w:val="22"/>
        </w:rPr>
        <w:t xml:space="preserve"> </w:t>
      </w:r>
      <w:proofErr w:type="spellStart"/>
      <w:r w:rsidRPr="00047ADD">
        <w:rPr>
          <w:szCs w:val="22"/>
        </w:rPr>
        <w:t>Gluconate</w:t>
      </w:r>
      <w:proofErr w:type="spellEnd"/>
      <w:r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Pr="00B23BFB">
        <w:rPr>
          <w:noProof/>
          <w:szCs w:val="22"/>
        </w:rPr>
        <w:t xml:space="preserve"> </w:t>
      </w:r>
      <w:r w:rsidRPr="00341CC6">
        <w:rPr>
          <w:noProof/>
          <w:szCs w:val="22"/>
        </w:rPr>
        <w:t>pacientom s porucho</w:t>
      </w:r>
      <w:r w:rsidR="003434D4">
        <w:rPr>
          <w:noProof/>
          <w:szCs w:val="22"/>
        </w:rPr>
        <w:t>u</w:t>
      </w:r>
      <w:r w:rsidRPr="00341CC6">
        <w:rPr>
          <w:noProof/>
          <w:szCs w:val="22"/>
        </w:rPr>
        <w:t xml:space="preserve"> funkcie obličiek</w:t>
      </w:r>
      <w:r w:rsidR="00341CC6">
        <w:rPr>
          <w:noProof/>
          <w:szCs w:val="22"/>
        </w:rPr>
        <w:t xml:space="preserve"> </w:t>
      </w:r>
      <w:r>
        <w:rPr>
          <w:szCs w:val="22"/>
        </w:rPr>
        <w:t xml:space="preserve">je </w:t>
      </w:r>
      <w:r w:rsidR="00B23BFB" w:rsidRPr="00B23BFB">
        <w:rPr>
          <w:noProof/>
          <w:szCs w:val="22"/>
        </w:rPr>
        <w:t>kontraindikovan</w:t>
      </w:r>
      <w:r>
        <w:rPr>
          <w:noProof/>
          <w:szCs w:val="22"/>
        </w:rPr>
        <w:t>é</w:t>
      </w:r>
      <w:r w:rsidR="00B23BFB" w:rsidRPr="00B23BFB">
        <w:rPr>
          <w:noProof/>
          <w:szCs w:val="22"/>
        </w:rPr>
        <w:t xml:space="preserve"> kvôli riziku akumulácie hliníka a</w:t>
      </w:r>
      <w:r w:rsidR="00897C36">
        <w:rPr>
          <w:noProof/>
          <w:szCs w:val="22"/>
        </w:rPr>
        <w:t xml:space="preserve"> jeho </w:t>
      </w:r>
      <w:r w:rsidR="00B23BFB" w:rsidRPr="00B23BFB">
        <w:rPr>
          <w:noProof/>
          <w:szCs w:val="22"/>
        </w:rPr>
        <w:t>toxicity</w:t>
      </w:r>
      <w:r w:rsidR="008D5211">
        <w:rPr>
          <w:noProof/>
          <w:szCs w:val="22"/>
        </w:rPr>
        <w:t xml:space="preserve"> </w:t>
      </w:r>
      <w:r w:rsidR="008D5211" w:rsidRPr="00AC581C">
        <w:rPr>
          <w:noProof/>
          <w:szCs w:val="22"/>
        </w:rPr>
        <w:t>(pozri časti 4.3 a 4.4)</w:t>
      </w:r>
      <w:r w:rsidR="00B23BFB" w:rsidRPr="00B23BFB">
        <w:rPr>
          <w:noProof/>
          <w:szCs w:val="22"/>
        </w:rPr>
        <w:t>.</w:t>
      </w:r>
    </w:p>
    <w:p w:rsidR="00B23BFB" w:rsidRPr="00B23BFB" w:rsidRDefault="00B23BFB" w:rsidP="00B23BFB">
      <w:pPr>
        <w:ind w:left="0" w:firstLine="0"/>
        <w:rPr>
          <w:noProof/>
          <w:szCs w:val="22"/>
        </w:rPr>
      </w:pPr>
    </w:p>
    <w:p w:rsidR="00B23BFB" w:rsidRPr="00B23BFB" w:rsidRDefault="0007290D" w:rsidP="00B23BFB">
      <w:pPr>
        <w:ind w:left="0" w:firstLine="0"/>
        <w:rPr>
          <w:i/>
          <w:noProof/>
          <w:szCs w:val="22"/>
        </w:rPr>
      </w:pPr>
      <w:r>
        <w:rPr>
          <w:i/>
          <w:noProof/>
          <w:szCs w:val="22"/>
        </w:rPr>
        <w:t>Porucha funkcie pečene</w:t>
      </w:r>
    </w:p>
    <w:p w:rsidR="00D03E45" w:rsidRPr="00AC581C" w:rsidRDefault="00B23BFB" w:rsidP="00B23BFB">
      <w:pPr>
        <w:ind w:left="0" w:firstLine="0"/>
        <w:rPr>
          <w:noProof/>
          <w:szCs w:val="22"/>
        </w:rPr>
      </w:pPr>
      <w:r w:rsidRPr="00B23BFB">
        <w:rPr>
          <w:noProof/>
          <w:szCs w:val="22"/>
        </w:rPr>
        <w:t xml:space="preserve">Funkcia pečene neovplyvňuje dostupnosť ionizovaného vápnika po intravenóznom podaní </w:t>
      </w:r>
      <w:proofErr w:type="spellStart"/>
      <w:r w:rsidR="000259F3" w:rsidRPr="000259F3">
        <w:rPr>
          <w:szCs w:val="22"/>
        </w:rPr>
        <w:t>glukonátu</w:t>
      </w:r>
      <w:proofErr w:type="spellEnd"/>
      <w:r w:rsidR="00261732">
        <w:rPr>
          <w:szCs w:val="22"/>
        </w:rPr>
        <w:t xml:space="preserve"> vápenatého</w:t>
      </w:r>
      <w:r w:rsidRPr="000259F3">
        <w:rPr>
          <w:noProof/>
          <w:szCs w:val="22"/>
        </w:rPr>
        <w:t>.</w:t>
      </w:r>
      <w:r w:rsidRPr="00B23BFB">
        <w:rPr>
          <w:noProof/>
          <w:szCs w:val="22"/>
        </w:rPr>
        <w:t xml:space="preserve"> Úprava dávky u pacientov s </w:t>
      </w:r>
      <w:r w:rsidR="00667320">
        <w:rPr>
          <w:noProof/>
          <w:szCs w:val="22"/>
        </w:rPr>
        <w:t>poruchou</w:t>
      </w:r>
      <w:r w:rsidRPr="00B23BFB">
        <w:rPr>
          <w:noProof/>
          <w:szCs w:val="22"/>
        </w:rPr>
        <w:t xml:space="preserve"> funkcie pečene </w:t>
      </w:r>
      <w:r w:rsidR="00254E9D">
        <w:rPr>
          <w:noProof/>
          <w:szCs w:val="22"/>
        </w:rPr>
        <w:t>nie je potrebná</w:t>
      </w:r>
      <w:r w:rsidRPr="00B23BFB">
        <w:rPr>
          <w:noProof/>
          <w:szCs w:val="22"/>
        </w:rPr>
        <w:t>.</w:t>
      </w:r>
    </w:p>
    <w:p w:rsidR="00D03E45" w:rsidRPr="00AC581C" w:rsidRDefault="00D03E45" w:rsidP="00E41B3F">
      <w:pPr>
        <w:rPr>
          <w:noProof/>
          <w:szCs w:val="22"/>
        </w:rPr>
      </w:pPr>
    </w:p>
    <w:p w:rsidR="00E1698A" w:rsidRPr="003021DE" w:rsidRDefault="00E1698A" w:rsidP="00E41B3F">
      <w:pPr>
        <w:rPr>
          <w:szCs w:val="22"/>
          <w:u w:val="single"/>
        </w:rPr>
      </w:pPr>
      <w:r w:rsidRPr="003021DE">
        <w:rPr>
          <w:szCs w:val="22"/>
          <w:u w:val="single"/>
        </w:rPr>
        <w:t>Spôsob</w:t>
      </w:r>
      <w:r w:rsidR="00B06E24" w:rsidRPr="003021DE">
        <w:rPr>
          <w:noProof/>
          <w:szCs w:val="22"/>
          <w:u w:val="single"/>
        </w:rPr>
        <w:t xml:space="preserve"> podávania</w:t>
      </w:r>
    </w:p>
    <w:p w:rsidR="00E1698A" w:rsidRPr="00B13F68" w:rsidRDefault="00E1698A" w:rsidP="00E41B3F">
      <w:pPr>
        <w:rPr>
          <w:szCs w:val="22"/>
        </w:rPr>
      </w:pPr>
    </w:p>
    <w:p w:rsidR="00254E9D" w:rsidRPr="00254E9D" w:rsidRDefault="00254E9D" w:rsidP="00254E9D">
      <w:pPr>
        <w:rPr>
          <w:szCs w:val="22"/>
        </w:rPr>
      </w:pPr>
      <w:r w:rsidRPr="00254E9D">
        <w:rPr>
          <w:szCs w:val="22"/>
        </w:rPr>
        <w:t>Pomalá intravenózna injekcia a/alebo infúzia.</w:t>
      </w:r>
    </w:p>
    <w:p w:rsidR="00254E9D" w:rsidRPr="00254E9D" w:rsidRDefault="00254E9D" w:rsidP="00254E9D">
      <w:pPr>
        <w:rPr>
          <w:szCs w:val="22"/>
        </w:rPr>
      </w:pPr>
    </w:p>
    <w:p w:rsidR="00254E9D" w:rsidRPr="00254E9D" w:rsidRDefault="00254E9D" w:rsidP="00254E9D">
      <w:pPr>
        <w:rPr>
          <w:szCs w:val="22"/>
        </w:rPr>
      </w:pPr>
      <w:r w:rsidRPr="00254E9D">
        <w:rPr>
          <w:szCs w:val="22"/>
        </w:rPr>
        <w:t>Rýchlosť intravenózneho podávania ne</w:t>
      </w:r>
      <w:r w:rsidR="004E641F">
        <w:rPr>
          <w:szCs w:val="22"/>
        </w:rPr>
        <w:t>má</w:t>
      </w:r>
      <w:r w:rsidRPr="00254E9D">
        <w:rPr>
          <w:szCs w:val="22"/>
        </w:rPr>
        <w:t xml:space="preserve"> prekročiť 0,45 </w:t>
      </w:r>
      <w:proofErr w:type="spellStart"/>
      <w:r w:rsidRPr="00254E9D">
        <w:rPr>
          <w:szCs w:val="22"/>
        </w:rPr>
        <w:t>mmol</w:t>
      </w:r>
      <w:proofErr w:type="spellEnd"/>
      <w:r w:rsidRPr="00254E9D">
        <w:rPr>
          <w:szCs w:val="22"/>
        </w:rPr>
        <w:t xml:space="preserve"> vápnika za minútu.</w:t>
      </w:r>
    </w:p>
    <w:p w:rsidR="00254E9D" w:rsidRPr="00254E9D" w:rsidRDefault="00254E9D" w:rsidP="00254E9D">
      <w:pPr>
        <w:rPr>
          <w:szCs w:val="22"/>
        </w:rPr>
      </w:pPr>
    </w:p>
    <w:p w:rsidR="00E1698A" w:rsidRPr="003021DE" w:rsidRDefault="00E1698A" w:rsidP="00B13F68">
      <w:pPr>
        <w:autoSpaceDE w:val="0"/>
        <w:autoSpaceDN w:val="0"/>
        <w:adjustRightInd w:val="0"/>
        <w:rPr>
          <w:szCs w:val="22"/>
        </w:rPr>
      </w:pPr>
      <w:r w:rsidRPr="003021DE">
        <w:rPr>
          <w:szCs w:val="22"/>
        </w:rPr>
        <w:t>Pokyny na riedenie lieku pred podaním, pozri čas</w:t>
      </w:r>
      <w:r w:rsidR="00254E9D">
        <w:rPr>
          <w:szCs w:val="22"/>
        </w:rPr>
        <w:t xml:space="preserve">ti 4.2 a </w:t>
      </w:r>
      <w:r w:rsidRPr="003021DE">
        <w:rPr>
          <w:szCs w:val="22"/>
        </w:rPr>
        <w:t>6.6.</w:t>
      </w:r>
    </w:p>
    <w:p w:rsidR="00780926" w:rsidRDefault="00780926" w:rsidP="00E41B3F">
      <w:pPr>
        <w:rPr>
          <w:szCs w:val="22"/>
        </w:rPr>
      </w:pPr>
    </w:p>
    <w:p w:rsidR="00254E9D" w:rsidRPr="00254E9D" w:rsidRDefault="00254E9D" w:rsidP="00254E9D">
      <w:pPr>
        <w:ind w:left="0" w:firstLine="0"/>
        <w:rPr>
          <w:szCs w:val="22"/>
        </w:rPr>
      </w:pPr>
      <w:r w:rsidRPr="00254E9D">
        <w:rPr>
          <w:szCs w:val="22"/>
        </w:rPr>
        <w:t xml:space="preserve">Pacient </w:t>
      </w:r>
      <w:r>
        <w:rPr>
          <w:szCs w:val="22"/>
        </w:rPr>
        <w:t>má počas podávania ležať a má byť</w:t>
      </w:r>
      <w:r w:rsidRPr="00254E9D">
        <w:rPr>
          <w:szCs w:val="22"/>
        </w:rPr>
        <w:t xml:space="preserve"> starostlivo </w:t>
      </w:r>
      <w:r>
        <w:rPr>
          <w:szCs w:val="22"/>
        </w:rPr>
        <w:t>pozorovaný</w:t>
      </w:r>
      <w:r w:rsidRPr="00254E9D">
        <w:rPr>
          <w:szCs w:val="22"/>
        </w:rPr>
        <w:t xml:space="preserve">. Monitorovanie </w:t>
      </w:r>
      <w:r>
        <w:rPr>
          <w:szCs w:val="22"/>
        </w:rPr>
        <w:t>má</w:t>
      </w:r>
      <w:r w:rsidRPr="00254E9D">
        <w:rPr>
          <w:szCs w:val="22"/>
        </w:rPr>
        <w:t xml:space="preserve"> zahŕňať</w:t>
      </w:r>
      <w:r w:rsidR="008D5211">
        <w:rPr>
          <w:szCs w:val="22"/>
        </w:rPr>
        <w:t xml:space="preserve"> sledovanie</w:t>
      </w:r>
      <w:r w:rsidRPr="00254E9D">
        <w:rPr>
          <w:szCs w:val="22"/>
        </w:rPr>
        <w:t xml:space="preserve"> </w:t>
      </w:r>
      <w:r w:rsidRPr="00E86DD8">
        <w:rPr>
          <w:szCs w:val="22"/>
        </w:rPr>
        <w:t>vápnika</w:t>
      </w:r>
      <w:r w:rsidR="00E86DD8">
        <w:rPr>
          <w:szCs w:val="22"/>
        </w:rPr>
        <w:t xml:space="preserve"> v plazme</w:t>
      </w:r>
      <w:r w:rsidRPr="00254E9D">
        <w:rPr>
          <w:szCs w:val="22"/>
        </w:rPr>
        <w:t xml:space="preserve"> a EKG.</w:t>
      </w:r>
    </w:p>
    <w:p w:rsidR="00254E9D" w:rsidRDefault="00254E9D" w:rsidP="00E41B3F">
      <w:pPr>
        <w:rPr>
          <w:szCs w:val="22"/>
        </w:rPr>
      </w:pPr>
    </w:p>
    <w:p w:rsidR="00780926" w:rsidRPr="003021DE" w:rsidRDefault="00780926" w:rsidP="000D7872">
      <w:pPr>
        <w:keepNext/>
        <w:numPr>
          <w:ilvl w:val="1"/>
          <w:numId w:val="14"/>
        </w:numPr>
        <w:ind w:left="567" w:hanging="567"/>
        <w:rPr>
          <w:szCs w:val="22"/>
        </w:rPr>
      </w:pPr>
      <w:r w:rsidRPr="003021DE">
        <w:rPr>
          <w:b/>
          <w:szCs w:val="22"/>
        </w:rPr>
        <w:lastRenderedPageBreak/>
        <w:t>Kontraindikácie</w:t>
      </w:r>
    </w:p>
    <w:p w:rsidR="002678E0" w:rsidRDefault="002678E0" w:rsidP="000D7872">
      <w:pPr>
        <w:pStyle w:val="Zkladntext"/>
        <w:keepNext/>
        <w:rPr>
          <w:szCs w:val="22"/>
        </w:rPr>
      </w:pPr>
    </w:p>
    <w:p w:rsidR="009B0722" w:rsidRPr="009B0722" w:rsidRDefault="009B0722" w:rsidP="009B0722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9B0722">
        <w:rPr>
          <w:szCs w:val="22"/>
        </w:rPr>
        <w:t>Precitlivenosť na liečivo alebo na ktorúkoľvek z pomocných látok uvedených v časti 6.1.</w:t>
      </w:r>
    </w:p>
    <w:p w:rsidR="009B0722" w:rsidRPr="00A11292" w:rsidRDefault="009B0722" w:rsidP="009B0722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9B0722">
        <w:rPr>
          <w:szCs w:val="22"/>
        </w:rPr>
        <w:t xml:space="preserve">Pacienti s </w:t>
      </w:r>
      <w:proofErr w:type="spellStart"/>
      <w:r w:rsidRPr="009B0722">
        <w:rPr>
          <w:szCs w:val="22"/>
        </w:rPr>
        <w:t>hyperkalc</w:t>
      </w:r>
      <w:r>
        <w:rPr>
          <w:szCs w:val="22"/>
        </w:rPr>
        <w:t>i</w:t>
      </w:r>
      <w:r w:rsidRPr="009B0722">
        <w:rPr>
          <w:szCs w:val="22"/>
        </w:rPr>
        <w:t>émiou</w:t>
      </w:r>
      <w:proofErr w:type="spellEnd"/>
      <w:r w:rsidRPr="009B0722">
        <w:rPr>
          <w:szCs w:val="22"/>
        </w:rPr>
        <w:t xml:space="preserve"> (napr. </w:t>
      </w:r>
      <w:proofErr w:type="spellStart"/>
      <w:r w:rsidR="00985BB1">
        <w:rPr>
          <w:szCs w:val="22"/>
        </w:rPr>
        <w:t>h</w:t>
      </w:r>
      <w:r w:rsidRPr="009B0722">
        <w:rPr>
          <w:szCs w:val="22"/>
        </w:rPr>
        <w:t>yperparatyr</w:t>
      </w:r>
      <w:r w:rsidR="00FC6165">
        <w:rPr>
          <w:szCs w:val="22"/>
        </w:rPr>
        <w:t>eo</w:t>
      </w:r>
      <w:r w:rsidRPr="009B0722">
        <w:rPr>
          <w:szCs w:val="22"/>
        </w:rPr>
        <w:t>idizmom</w:t>
      </w:r>
      <w:proofErr w:type="spellEnd"/>
      <w:r w:rsidRPr="009B0722">
        <w:rPr>
          <w:szCs w:val="22"/>
        </w:rPr>
        <w:t xml:space="preserve">, </w:t>
      </w:r>
      <w:proofErr w:type="spellStart"/>
      <w:r w:rsidRPr="009B0722">
        <w:rPr>
          <w:szCs w:val="22"/>
        </w:rPr>
        <w:t>hypervitaminózou</w:t>
      </w:r>
      <w:proofErr w:type="spellEnd"/>
      <w:r w:rsidRPr="009B0722">
        <w:rPr>
          <w:szCs w:val="22"/>
        </w:rPr>
        <w:t xml:space="preserve"> </w:t>
      </w:r>
      <w:r w:rsidR="00FC6165">
        <w:rPr>
          <w:szCs w:val="22"/>
        </w:rPr>
        <w:t xml:space="preserve">vitamínu </w:t>
      </w:r>
      <w:r w:rsidRPr="009B0722">
        <w:rPr>
          <w:szCs w:val="22"/>
        </w:rPr>
        <w:t>D,</w:t>
      </w:r>
      <w:r w:rsidR="001A7F53">
        <w:rPr>
          <w:szCs w:val="22"/>
        </w:rPr>
        <w:t xml:space="preserve"> nádorovým ochorením s </w:t>
      </w:r>
      <w:proofErr w:type="spellStart"/>
      <w:r w:rsidR="001A7F53">
        <w:rPr>
          <w:szCs w:val="22"/>
        </w:rPr>
        <w:t>dekalcifikáciou</w:t>
      </w:r>
      <w:proofErr w:type="spellEnd"/>
      <w:r w:rsidR="001A7F53">
        <w:rPr>
          <w:szCs w:val="22"/>
        </w:rPr>
        <w:t xml:space="preserve"> kosti</w:t>
      </w:r>
      <w:r w:rsidRPr="00146BAB">
        <w:rPr>
          <w:szCs w:val="22"/>
        </w:rPr>
        <w:t>,</w:t>
      </w:r>
      <w:r w:rsidRPr="002F6F9F">
        <w:rPr>
          <w:szCs w:val="22"/>
        </w:rPr>
        <w:t xml:space="preserve"> </w:t>
      </w:r>
      <w:proofErr w:type="spellStart"/>
      <w:r w:rsidRPr="002F6F9F">
        <w:rPr>
          <w:szCs w:val="22"/>
        </w:rPr>
        <w:t>renálnou</w:t>
      </w:r>
      <w:proofErr w:type="spellEnd"/>
      <w:r w:rsidRPr="009B0722">
        <w:rPr>
          <w:szCs w:val="22"/>
        </w:rPr>
        <w:t xml:space="preserve"> </w:t>
      </w:r>
      <w:proofErr w:type="spellStart"/>
      <w:r w:rsidRPr="009B0722">
        <w:rPr>
          <w:szCs w:val="22"/>
        </w:rPr>
        <w:t>insuficienciou</w:t>
      </w:r>
      <w:proofErr w:type="spellEnd"/>
      <w:r w:rsidRPr="009B0722">
        <w:rPr>
          <w:szCs w:val="22"/>
        </w:rPr>
        <w:t xml:space="preserve">, </w:t>
      </w:r>
      <w:proofErr w:type="spellStart"/>
      <w:r w:rsidRPr="009B0722">
        <w:rPr>
          <w:szCs w:val="22"/>
        </w:rPr>
        <w:t>imobiliz</w:t>
      </w:r>
      <w:r w:rsidR="00FC6165">
        <w:rPr>
          <w:szCs w:val="22"/>
        </w:rPr>
        <w:t>ujúcou</w:t>
      </w:r>
      <w:proofErr w:type="spellEnd"/>
      <w:r w:rsidRPr="009B0722">
        <w:rPr>
          <w:szCs w:val="22"/>
        </w:rPr>
        <w:t xml:space="preserve"> </w:t>
      </w:r>
      <w:proofErr w:type="spellStart"/>
      <w:r w:rsidRPr="009B0722">
        <w:rPr>
          <w:szCs w:val="22"/>
        </w:rPr>
        <w:t>osteoporóz</w:t>
      </w:r>
      <w:r w:rsidR="00FC6165">
        <w:rPr>
          <w:szCs w:val="22"/>
        </w:rPr>
        <w:t>ou</w:t>
      </w:r>
      <w:proofErr w:type="spellEnd"/>
      <w:r w:rsidRPr="009B0722">
        <w:rPr>
          <w:szCs w:val="22"/>
        </w:rPr>
        <w:t xml:space="preserve">, </w:t>
      </w:r>
      <w:proofErr w:type="spellStart"/>
      <w:r w:rsidRPr="009B0722">
        <w:rPr>
          <w:szCs w:val="22"/>
        </w:rPr>
        <w:t>sarkoidózou</w:t>
      </w:r>
      <w:proofErr w:type="spellEnd"/>
      <w:r w:rsidRPr="009B0722">
        <w:rPr>
          <w:szCs w:val="22"/>
        </w:rPr>
        <w:t xml:space="preserve">, </w:t>
      </w:r>
      <w:proofErr w:type="spellStart"/>
      <w:r w:rsidR="00A11292">
        <w:rPr>
          <w:szCs w:val="22"/>
        </w:rPr>
        <w:t>milk-alkali</w:t>
      </w:r>
      <w:proofErr w:type="spellEnd"/>
      <w:r w:rsidR="00A11292">
        <w:rPr>
          <w:szCs w:val="22"/>
        </w:rPr>
        <w:t xml:space="preserve"> </w:t>
      </w:r>
      <w:r w:rsidRPr="00A11292">
        <w:rPr>
          <w:szCs w:val="22"/>
        </w:rPr>
        <w:t>syndrómom).</w:t>
      </w:r>
    </w:p>
    <w:p w:rsidR="009B0722" w:rsidRPr="009B0722" w:rsidRDefault="009B0722" w:rsidP="00FC6165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9B0722">
        <w:rPr>
          <w:szCs w:val="22"/>
        </w:rPr>
        <w:t xml:space="preserve">Pacienti s </w:t>
      </w:r>
      <w:proofErr w:type="spellStart"/>
      <w:r w:rsidRPr="009B0722">
        <w:rPr>
          <w:szCs w:val="22"/>
        </w:rPr>
        <w:t>hyperkalciúriou</w:t>
      </w:r>
      <w:proofErr w:type="spellEnd"/>
      <w:r w:rsidRPr="009B0722">
        <w:rPr>
          <w:szCs w:val="22"/>
        </w:rPr>
        <w:t>.</w:t>
      </w:r>
    </w:p>
    <w:p w:rsidR="009B0722" w:rsidRPr="009B0722" w:rsidRDefault="009B0722" w:rsidP="00FC6165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9B0722">
        <w:rPr>
          <w:szCs w:val="22"/>
        </w:rPr>
        <w:t xml:space="preserve">Otrava srdcovými </w:t>
      </w:r>
      <w:proofErr w:type="spellStart"/>
      <w:r w:rsidRPr="009B0722">
        <w:rPr>
          <w:szCs w:val="22"/>
        </w:rPr>
        <w:t>glykozidmi</w:t>
      </w:r>
      <w:proofErr w:type="spellEnd"/>
      <w:r w:rsidRPr="009B0722">
        <w:rPr>
          <w:szCs w:val="22"/>
        </w:rPr>
        <w:t>.</w:t>
      </w:r>
    </w:p>
    <w:p w:rsidR="009B0722" w:rsidRPr="009B0722" w:rsidRDefault="00FC6165" w:rsidP="000B1117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>
        <w:rPr>
          <w:szCs w:val="22"/>
        </w:rPr>
        <w:t>Liečba</w:t>
      </w:r>
      <w:r w:rsidR="009B0722" w:rsidRPr="009B0722">
        <w:rPr>
          <w:szCs w:val="22"/>
        </w:rPr>
        <w:t xml:space="preserve"> srdcovými </w:t>
      </w:r>
      <w:proofErr w:type="spellStart"/>
      <w:r w:rsidR="009B0722" w:rsidRPr="009B0722">
        <w:rPr>
          <w:szCs w:val="22"/>
        </w:rPr>
        <w:t>glykozidmi</w:t>
      </w:r>
      <w:proofErr w:type="spellEnd"/>
      <w:r w:rsidR="009B0722" w:rsidRPr="009B0722">
        <w:rPr>
          <w:szCs w:val="22"/>
        </w:rPr>
        <w:t xml:space="preserve">. Jedinou výnimkou môže byť, že intravenózne podanie vápnika je nevyhnutné </w:t>
      </w:r>
      <w:r w:rsidR="00970E86">
        <w:rPr>
          <w:szCs w:val="22"/>
        </w:rPr>
        <w:t>na</w:t>
      </w:r>
      <w:r w:rsidR="009B0722" w:rsidRPr="009B0722">
        <w:rPr>
          <w:szCs w:val="22"/>
        </w:rPr>
        <w:t xml:space="preserve"> liečbu </w:t>
      </w:r>
      <w:r w:rsidR="00F82E0B">
        <w:rPr>
          <w:szCs w:val="22"/>
        </w:rPr>
        <w:t>príznakov</w:t>
      </w:r>
      <w:r>
        <w:rPr>
          <w:szCs w:val="22"/>
        </w:rPr>
        <w:t xml:space="preserve"> </w:t>
      </w:r>
      <w:r w:rsidR="009B0722" w:rsidRPr="009B0722">
        <w:rPr>
          <w:szCs w:val="22"/>
        </w:rPr>
        <w:t>závažn</w:t>
      </w:r>
      <w:r w:rsidR="000B1117">
        <w:rPr>
          <w:szCs w:val="22"/>
        </w:rPr>
        <w:t>ej</w:t>
      </w:r>
      <w:r w:rsidR="009B0722" w:rsidRPr="009B0722">
        <w:rPr>
          <w:szCs w:val="22"/>
        </w:rPr>
        <w:t xml:space="preserve"> </w:t>
      </w:r>
      <w:proofErr w:type="spellStart"/>
      <w:r w:rsidR="009B0722" w:rsidRPr="009B0722">
        <w:rPr>
          <w:szCs w:val="22"/>
        </w:rPr>
        <w:t>hypokalc</w:t>
      </w:r>
      <w:r>
        <w:rPr>
          <w:szCs w:val="22"/>
        </w:rPr>
        <w:t>i</w:t>
      </w:r>
      <w:r w:rsidR="009B0722" w:rsidRPr="009B0722">
        <w:rPr>
          <w:szCs w:val="22"/>
        </w:rPr>
        <w:t>émie</w:t>
      </w:r>
      <w:proofErr w:type="spellEnd"/>
      <w:r w:rsidR="009B0722" w:rsidRPr="009B0722">
        <w:rPr>
          <w:szCs w:val="22"/>
        </w:rPr>
        <w:t>, ktor</w:t>
      </w:r>
      <w:r>
        <w:rPr>
          <w:szCs w:val="22"/>
        </w:rPr>
        <w:t xml:space="preserve">á vystavuje </w:t>
      </w:r>
      <w:r w:rsidR="009B0722" w:rsidRPr="009B0722">
        <w:rPr>
          <w:szCs w:val="22"/>
        </w:rPr>
        <w:t>pacient</w:t>
      </w:r>
      <w:r>
        <w:rPr>
          <w:szCs w:val="22"/>
        </w:rPr>
        <w:t>a</w:t>
      </w:r>
      <w:r w:rsidR="009B0722" w:rsidRPr="009B0722">
        <w:rPr>
          <w:szCs w:val="22"/>
        </w:rPr>
        <w:t xml:space="preserve"> bezprostredn</w:t>
      </w:r>
      <w:r>
        <w:rPr>
          <w:szCs w:val="22"/>
        </w:rPr>
        <w:t>ému</w:t>
      </w:r>
      <w:r w:rsidR="009B0722" w:rsidRPr="009B0722">
        <w:rPr>
          <w:szCs w:val="22"/>
        </w:rPr>
        <w:t xml:space="preserve"> ohrozen</w:t>
      </w:r>
      <w:r>
        <w:rPr>
          <w:szCs w:val="22"/>
        </w:rPr>
        <w:t>iu</w:t>
      </w:r>
      <w:r w:rsidR="009B0722" w:rsidRPr="009B0722">
        <w:rPr>
          <w:szCs w:val="22"/>
        </w:rPr>
        <w:t xml:space="preserve"> život</w:t>
      </w:r>
      <w:r>
        <w:rPr>
          <w:szCs w:val="22"/>
        </w:rPr>
        <w:t>a</w:t>
      </w:r>
      <w:r w:rsidR="009B0722" w:rsidRPr="009B0722">
        <w:rPr>
          <w:szCs w:val="22"/>
        </w:rPr>
        <w:t xml:space="preserve">, ak nie sú </w:t>
      </w:r>
      <w:r>
        <w:rPr>
          <w:szCs w:val="22"/>
        </w:rPr>
        <w:t>dostupné</w:t>
      </w:r>
      <w:r w:rsidR="009B0722" w:rsidRPr="009B0722">
        <w:rPr>
          <w:szCs w:val="22"/>
        </w:rPr>
        <w:t xml:space="preserve"> bezpečnejšie terapeutické alternatívy a nie je možné </w:t>
      </w:r>
      <w:r>
        <w:rPr>
          <w:szCs w:val="22"/>
        </w:rPr>
        <w:t xml:space="preserve">perorálne </w:t>
      </w:r>
      <w:r w:rsidR="009B0722" w:rsidRPr="009B0722">
        <w:rPr>
          <w:szCs w:val="22"/>
        </w:rPr>
        <w:t>poda</w:t>
      </w:r>
      <w:r w:rsidR="000B1117">
        <w:rPr>
          <w:szCs w:val="22"/>
        </w:rPr>
        <w:t>nie</w:t>
      </w:r>
      <w:r w:rsidR="009B0722" w:rsidRPr="009B0722">
        <w:rPr>
          <w:szCs w:val="22"/>
        </w:rPr>
        <w:t xml:space="preserve"> vápnik</w:t>
      </w:r>
      <w:r w:rsidR="000B1117">
        <w:rPr>
          <w:szCs w:val="22"/>
        </w:rPr>
        <w:t>a</w:t>
      </w:r>
      <w:r>
        <w:rPr>
          <w:szCs w:val="22"/>
        </w:rPr>
        <w:t xml:space="preserve"> (pozri tiež časti 4.4 a 4.5). </w:t>
      </w:r>
    </w:p>
    <w:p w:rsidR="009B0722" w:rsidRPr="009B0722" w:rsidRDefault="009B0722" w:rsidP="000B1117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9B0722">
        <w:rPr>
          <w:szCs w:val="22"/>
        </w:rPr>
        <w:t>S</w:t>
      </w:r>
      <w:r w:rsidR="000B1117">
        <w:rPr>
          <w:szCs w:val="22"/>
        </w:rPr>
        <w:t xml:space="preserve">úbežné podávanie s </w:t>
      </w:r>
      <w:proofErr w:type="spellStart"/>
      <w:r w:rsidR="000B1117">
        <w:rPr>
          <w:szCs w:val="22"/>
        </w:rPr>
        <w:t>ceftriaxónom</w:t>
      </w:r>
      <w:proofErr w:type="spellEnd"/>
      <w:r w:rsidRPr="009B0722">
        <w:rPr>
          <w:szCs w:val="22"/>
        </w:rPr>
        <w:t>:</w:t>
      </w:r>
    </w:p>
    <w:p w:rsidR="009B0722" w:rsidRPr="009B0722" w:rsidRDefault="0081597E" w:rsidP="000B1117">
      <w:pPr>
        <w:pStyle w:val="Zkladntext"/>
        <w:numPr>
          <w:ilvl w:val="1"/>
          <w:numId w:val="17"/>
        </w:numPr>
        <w:ind w:left="709" w:hanging="283"/>
        <w:rPr>
          <w:szCs w:val="22"/>
        </w:rPr>
      </w:pPr>
      <w:r>
        <w:rPr>
          <w:szCs w:val="22"/>
        </w:rPr>
        <w:t> </w:t>
      </w:r>
      <w:r w:rsidR="000B1117">
        <w:rPr>
          <w:szCs w:val="22"/>
        </w:rPr>
        <w:t>u</w:t>
      </w:r>
      <w:r>
        <w:rPr>
          <w:szCs w:val="22"/>
        </w:rPr>
        <w:t xml:space="preserve"> predčasne narodených</w:t>
      </w:r>
      <w:r w:rsidR="009B0722" w:rsidRPr="009B0722">
        <w:rPr>
          <w:szCs w:val="22"/>
        </w:rPr>
        <w:t xml:space="preserve"> novorodenc</w:t>
      </w:r>
      <w:r w:rsidR="000B1117">
        <w:rPr>
          <w:szCs w:val="22"/>
        </w:rPr>
        <w:t>ov</w:t>
      </w:r>
      <w:r w:rsidR="009B0722" w:rsidRPr="009B0722">
        <w:rPr>
          <w:szCs w:val="22"/>
        </w:rPr>
        <w:t xml:space="preserve"> </w:t>
      </w:r>
      <w:r w:rsidR="008D16D8">
        <w:rPr>
          <w:szCs w:val="22"/>
        </w:rPr>
        <w:t xml:space="preserve">až </w:t>
      </w:r>
      <w:r w:rsidR="009B0722" w:rsidRPr="009B0722">
        <w:rPr>
          <w:szCs w:val="22"/>
        </w:rPr>
        <w:t>do veku 41 týždňov (týždne tehotenstva + týždne života) a</w:t>
      </w:r>
    </w:p>
    <w:p w:rsidR="009B0722" w:rsidRPr="009B0722" w:rsidRDefault="00E73C04" w:rsidP="000B1117">
      <w:pPr>
        <w:pStyle w:val="Zkladntext"/>
        <w:numPr>
          <w:ilvl w:val="1"/>
          <w:numId w:val="17"/>
        </w:numPr>
        <w:ind w:left="709" w:hanging="283"/>
        <w:rPr>
          <w:szCs w:val="22"/>
        </w:rPr>
      </w:pPr>
      <w:r>
        <w:rPr>
          <w:szCs w:val="22"/>
        </w:rPr>
        <w:t> </w:t>
      </w:r>
      <w:r w:rsidR="000B1117">
        <w:rPr>
          <w:szCs w:val="22"/>
        </w:rPr>
        <w:t>u</w:t>
      </w:r>
      <w:r>
        <w:rPr>
          <w:szCs w:val="22"/>
        </w:rPr>
        <w:t> donosených</w:t>
      </w:r>
      <w:r w:rsidR="000B1117">
        <w:rPr>
          <w:szCs w:val="22"/>
        </w:rPr>
        <w:t xml:space="preserve"> </w:t>
      </w:r>
      <w:r w:rsidR="009B0722" w:rsidRPr="009B0722">
        <w:rPr>
          <w:szCs w:val="22"/>
        </w:rPr>
        <w:t>novorodenc</w:t>
      </w:r>
      <w:r w:rsidR="000B1117">
        <w:rPr>
          <w:szCs w:val="22"/>
        </w:rPr>
        <w:t>ov</w:t>
      </w:r>
      <w:r w:rsidR="009B0722" w:rsidRPr="009B0722">
        <w:rPr>
          <w:szCs w:val="22"/>
        </w:rPr>
        <w:t xml:space="preserve"> (</w:t>
      </w:r>
      <w:r w:rsidR="008D16D8">
        <w:rPr>
          <w:szCs w:val="22"/>
        </w:rPr>
        <w:t xml:space="preserve">až </w:t>
      </w:r>
      <w:r w:rsidR="009B0722" w:rsidRPr="009B0722">
        <w:rPr>
          <w:szCs w:val="22"/>
        </w:rPr>
        <w:t xml:space="preserve">do </w:t>
      </w:r>
      <w:r w:rsidR="000B1117">
        <w:rPr>
          <w:szCs w:val="22"/>
        </w:rPr>
        <w:t xml:space="preserve">veku </w:t>
      </w:r>
      <w:r w:rsidR="009B0722" w:rsidRPr="009B0722">
        <w:rPr>
          <w:szCs w:val="22"/>
        </w:rPr>
        <w:t xml:space="preserve">28 dní) z dôvodu rizika zrážania </w:t>
      </w:r>
      <w:proofErr w:type="spellStart"/>
      <w:r w:rsidR="009B0722" w:rsidRPr="009B0722">
        <w:rPr>
          <w:szCs w:val="22"/>
        </w:rPr>
        <w:t>ceftriaxónu-</w:t>
      </w:r>
      <w:r w:rsidR="001F5744">
        <w:rPr>
          <w:szCs w:val="22"/>
        </w:rPr>
        <w:t>vápnika</w:t>
      </w:r>
      <w:proofErr w:type="spellEnd"/>
      <w:r w:rsidR="009B0722" w:rsidRPr="009B0722">
        <w:rPr>
          <w:szCs w:val="22"/>
        </w:rPr>
        <w:t xml:space="preserve"> (pozri časti 4.4, 4.8 a 6.2).</w:t>
      </w:r>
    </w:p>
    <w:p w:rsidR="009B0722" w:rsidRPr="009B0722" w:rsidRDefault="009B0722" w:rsidP="000B1117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9B0722">
        <w:rPr>
          <w:szCs w:val="22"/>
        </w:rPr>
        <w:t xml:space="preserve">Opakovaná alebo dlhodobá liečba u detí (mladších ako 18 rokov) a pacientov s </w:t>
      </w:r>
      <w:r w:rsidR="001F5744">
        <w:rPr>
          <w:szCs w:val="22"/>
        </w:rPr>
        <w:t>porucho</w:t>
      </w:r>
      <w:r w:rsidR="00F91C5E">
        <w:rPr>
          <w:szCs w:val="22"/>
        </w:rPr>
        <w:t>u</w:t>
      </w:r>
      <w:r w:rsidRPr="009B0722">
        <w:rPr>
          <w:szCs w:val="22"/>
        </w:rPr>
        <w:t xml:space="preserve"> funkci</w:t>
      </w:r>
      <w:r w:rsidR="001F5744">
        <w:rPr>
          <w:szCs w:val="22"/>
        </w:rPr>
        <w:t>e</w:t>
      </w:r>
      <w:r w:rsidRPr="009B0722">
        <w:rPr>
          <w:szCs w:val="22"/>
        </w:rPr>
        <w:t xml:space="preserve"> </w:t>
      </w:r>
      <w:r w:rsidRPr="00EF598C">
        <w:rPr>
          <w:szCs w:val="22"/>
        </w:rPr>
        <w:t xml:space="preserve">obličiek </w:t>
      </w:r>
      <w:r w:rsidR="006028FD" w:rsidRPr="00EF598C">
        <w:rPr>
          <w:szCs w:val="22"/>
        </w:rPr>
        <w:t xml:space="preserve">kvôli </w:t>
      </w:r>
      <w:r w:rsidRPr="00EF598C">
        <w:rPr>
          <w:szCs w:val="22"/>
        </w:rPr>
        <w:t>rizik</w:t>
      </w:r>
      <w:r w:rsidR="006028FD" w:rsidRPr="00EF598C">
        <w:rPr>
          <w:szCs w:val="22"/>
        </w:rPr>
        <w:t>u</w:t>
      </w:r>
      <w:r w:rsidRPr="00EF598C">
        <w:rPr>
          <w:szCs w:val="22"/>
        </w:rPr>
        <w:t xml:space="preserve"> expozície</w:t>
      </w:r>
      <w:r w:rsidRPr="00F06247">
        <w:rPr>
          <w:szCs w:val="22"/>
        </w:rPr>
        <w:t xml:space="preserve"> hliník</w:t>
      </w:r>
      <w:r w:rsidR="006023CB">
        <w:rPr>
          <w:szCs w:val="22"/>
        </w:rPr>
        <w:t>u</w:t>
      </w:r>
      <w:r w:rsidRPr="009B0722">
        <w:rPr>
          <w:szCs w:val="22"/>
        </w:rPr>
        <w:t xml:space="preserve"> (pozri časť 4.4).</w:t>
      </w:r>
    </w:p>
    <w:p w:rsidR="009B0722" w:rsidRDefault="009B0722" w:rsidP="006028FD">
      <w:pPr>
        <w:pStyle w:val="Zkladntext"/>
        <w:numPr>
          <w:ilvl w:val="0"/>
          <w:numId w:val="15"/>
        </w:numPr>
        <w:ind w:left="426" w:hanging="426"/>
        <w:rPr>
          <w:szCs w:val="22"/>
        </w:rPr>
      </w:pPr>
      <w:r w:rsidRPr="009B0722">
        <w:rPr>
          <w:szCs w:val="22"/>
        </w:rPr>
        <w:t xml:space="preserve">Príprava totálnej </w:t>
      </w:r>
      <w:proofErr w:type="spellStart"/>
      <w:r w:rsidRPr="009B0722">
        <w:rPr>
          <w:szCs w:val="22"/>
        </w:rPr>
        <w:t>parenterálnej</w:t>
      </w:r>
      <w:proofErr w:type="spellEnd"/>
      <w:r w:rsidRPr="009B0722">
        <w:rPr>
          <w:szCs w:val="22"/>
        </w:rPr>
        <w:t xml:space="preserve"> výživy (</w:t>
      </w:r>
      <w:proofErr w:type="spellStart"/>
      <w:r w:rsidR="006023CB" w:rsidRPr="006023CB">
        <w:rPr>
          <w:szCs w:val="22"/>
        </w:rPr>
        <w:t>Total</w:t>
      </w:r>
      <w:proofErr w:type="spellEnd"/>
      <w:r w:rsidR="006023CB" w:rsidRPr="006023CB">
        <w:rPr>
          <w:szCs w:val="22"/>
        </w:rPr>
        <w:t xml:space="preserve"> </w:t>
      </w:r>
      <w:proofErr w:type="spellStart"/>
      <w:r w:rsidR="006023CB" w:rsidRPr="006023CB">
        <w:rPr>
          <w:szCs w:val="22"/>
        </w:rPr>
        <w:t>Parenteral</w:t>
      </w:r>
      <w:proofErr w:type="spellEnd"/>
      <w:r w:rsidR="006023CB" w:rsidRPr="006023CB">
        <w:rPr>
          <w:szCs w:val="22"/>
        </w:rPr>
        <w:t xml:space="preserve"> </w:t>
      </w:r>
      <w:proofErr w:type="spellStart"/>
      <w:r w:rsidR="006023CB" w:rsidRPr="006023CB">
        <w:rPr>
          <w:szCs w:val="22"/>
        </w:rPr>
        <w:t>Nutrition</w:t>
      </w:r>
      <w:proofErr w:type="spellEnd"/>
      <w:r w:rsidR="006023CB">
        <w:rPr>
          <w:szCs w:val="22"/>
        </w:rPr>
        <w:t xml:space="preserve">, </w:t>
      </w:r>
      <w:r w:rsidRPr="009B0722">
        <w:rPr>
          <w:szCs w:val="22"/>
        </w:rPr>
        <w:t>TPN</w:t>
      </w:r>
      <w:r w:rsidRPr="00EF598C">
        <w:rPr>
          <w:szCs w:val="22"/>
        </w:rPr>
        <w:t xml:space="preserve">) </w:t>
      </w:r>
      <w:r w:rsidR="006028FD" w:rsidRPr="00EF598C">
        <w:rPr>
          <w:szCs w:val="22"/>
        </w:rPr>
        <w:t xml:space="preserve">kvôli </w:t>
      </w:r>
      <w:r w:rsidRPr="00EF598C">
        <w:rPr>
          <w:szCs w:val="22"/>
        </w:rPr>
        <w:t>rizik</w:t>
      </w:r>
      <w:r w:rsidR="006028FD" w:rsidRPr="00EF598C">
        <w:rPr>
          <w:szCs w:val="22"/>
        </w:rPr>
        <w:t>u</w:t>
      </w:r>
      <w:r w:rsidRPr="00F06247">
        <w:rPr>
          <w:szCs w:val="22"/>
        </w:rPr>
        <w:t xml:space="preserve"> expozície</w:t>
      </w:r>
      <w:r w:rsidRPr="002F6F9F">
        <w:rPr>
          <w:szCs w:val="22"/>
        </w:rPr>
        <w:t xml:space="preserve"> hliník</w:t>
      </w:r>
      <w:r w:rsidR="00DA02A1">
        <w:rPr>
          <w:szCs w:val="22"/>
        </w:rPr>
        <w:t>u</w:t>
      </w:r>
      <w:r w:rsidRPr="009B0722">
        <w:rPr>
          <w:szCs w:val="22"/>
        </w:rPr>
        <w:t xml:space="preserve"> (pozri časť 4.4).</w:t>
      </w:r>
    </w:p>
    <w:p w:rsidR="009B0722" w:rsidRPr="00B13F68" w:rsidRDefault="009B0722" w:rsidP="009B0722">
      <w:pPr>
        <w:pStyle w:val="Zkladntext"/>
        <w:rPr>
          <w:szCs w:val="22"/>
        </w:rPr>
      </w:pPr>
    </w:p>
    <w:p w:rsidR="00780926" w:rsidRPr="001F5744" w:rsidRDefault="00780926" w:rsidP="009B0722">
      <w:pPr>
        <w:pStyle w:val="Zkladntext"/>
        <w:rPr>
          <w:b/>
          <w:szCs w:val="22"/>
        </w:rPr>
      </w:pPr>
      <w:r w:rsidRPr="001F5744">
        <w:rPr>
          <w:b/>
          <w:szCs w:val="22"/>
        </w:rPr>
        <w:t>4.4</w:t>
      </w:r>
      <w:r w:rsidRPr="001F5744">
        <w:rPr>
          <w:b/>
          <w:szCs w:val="22"/>
        </w:rPr>
        <w:tab/>
      </w:r>
      <w:r w:rsidRPr="003E3C0D">
        <w:rPr>
          <w:b/>
          <w:szCs w:val="22"/>
        </w:rPr>
        <w:t>Osobitné upozornenia a opatrenia pri používaní</w:t>
      </w:r>
    </w:p>
    <w:p w:rsidR="00E1698A" w:rsidRPr="00B13F68" w:rsidRDefault="00E1698A" w:rsidP="0046069B">
      <w:pPr>
        <w:pStyle w:val="Zkladntext"/>
        <w:rPr>
          <w:szCs w:val="22"/>
        </w:rPr>
      </w:pPr>
    </w:p>
    <w:p w:rsidR="00CD5640" w:rsidRPr="003E3C0D" w:rsidRDefault="00CD5640" w:rsidP="00AD0419">
      <w:pPr>
        <w:ind w:left="0" w:firstLine="0"/>
        <w:rPr>
          <w:noProof/>
          <w:szCs w:val="22"/>
          <w:u w:val="single"/>
        </w:rPr>
      </w:pPr>
      <w:r w:rsidRPr="003E3C0D">
        <w:rPr>
          <w:noProof/>
          <w:szCs w:val="22"/>
          <w:u w:val="single"/>
        </w:rPr>
        <w:t>Osobitné upozornenia</w:t>
      </w:r>
    </w:p>
    <w:p w:rsidR="00CD5640" w:rsidRPr="00CD5640" w:rsidRDefault="00B9687C" w:rsidP="00F06247">
      <w:pPr>
        <w:ind w:left="0" w:firstLine="0"/>
        <w:rPr>
          <w:noProof/>
          <w:szCs w:val="22"/>
        </w:rPr>
      </w:pPr>
      <w:r w:rsidRPr="00B9687C">
        <w:rPr>
          <w:szCs w:val="22"/>
        </w:rPr>
        <w:t xml:space="preserve">Pri </w:t>
      </w:r>
      <w:proofErr w:type="spellStart"/>
      <w:r w:rsidRPr="00B9687C">
        <w:rPr>
          <w:szCs w:val="22"/>
        </w:rPr>
        <w:t>parenteráln</w:t>
      </w:r>
      <w:r>
        <w:rPr>
          <w:szCs w:val="22"/>
        </w:rPr>
        <w:t>om</w:t>
      </w:r>
      <w:proofErr w:type="spellEnd"/>
      <w:r w:rsidRPr="00B9687C">
        <w:rPr>
          <w:szCs w:val="22"/>
        </w:rPr>
        <w:t xml:space="preserve"> podávaní vápnika sa </w:t>
      </w:r>
      <w:r>
        <w:rPr>
          <w:szCs w:val="22"/>
        </w:rPr>
        <w:t>majú</w:t>
      </w:r>
      <w:r w:rsidRPr="00B9687C">
        <w:rPr>
          <w:szCs w:val="22"/>
        </w:rPr>
        <w:t xml:space="preserve"> monitorovať jeho plazmatické hlad</w:t>
      </w:r>
      <w:r>
        <w:rPr>
          <w:szCs w:val="22"/>
        </w:rPr>
        <w:t>iny a vylučovanie močom</w:t>
      </w:r>
      <w:r w:rsidR="00CD5640" w:rsidRPr="00950607">
        <w:rPr>
          <w:noProof/>
          <w:szCs w:val="22"/>
        </w:rPr>
        <w:t xml:space="preserve">, najmä u detí, </w:t>
      </w:r>
      <w:r w:rsidR="00CD5640" w:rsidRPr="00F06247">
        <w:rPr>
          <w:noProof/>
          <w:szCs w:val="22"/>
        </w:rPr>
        <w:t>pri chronickom zlyh</w:t>
      </w:r>
      <w:r w:rsidR="00A2783E">
        <w:rPr>
          <w:noProof/>
          <w:szCs w:val="22"/>
        </w:rPr>
        <w:t>áv</w:t>
      </w:r>
      <w:r w:rsidR="00CD5640" w:rsidRPr="00F06247">
        <w:rPr>
          <w:noProof/>
          <w:szCs w:val="22"/>
        </w:rPr>
        <w:t>aní obličiek ale</w:t>
      </w:r>
      <w:r w:rsidR="003E3C0D" w:rsidRPr="00F06247">
        <w:rPr>
          <w:noProof/>
          <w:szCs w:val="22"/>
        </w:rPr>
        <w:t xml:space="preserve">bo </w:t>
      </w:r>
      <w:r w:rsidR="00241C00" w:rsidRPr="00F06247">
        <w:rPr>
          <w:noProof/>
          <w:szCs w:val="22"/>
        </w:rPr>
        <w:t xml:space="preserve">pri </w:t>
      </w:r>
      <w:r w:rsidR="003E3C0D" w:rsidRPr="00F06247">
        <w:rPr>
          <w:noProof/>
          <w:szCs w:val="22"/>
        </w:rPr>
        <w:t>tvorb</w:t>
      </w:r>
      <w:r w:rsidR="00241C00" w:rsidRPr="00F06247">
        <w:rPr>
          <w:noProof/>
          <w:szCs w:val="22"/>
        </w:rPr>
        <w:t>e</w:t>
      </w:r>
      <w:r w:rsidR="003E3C0D" w:rsidRPr="00F06247">
        <w:rPr>
          <w:noProof/>
          <w:szCs w:val="22"/>
        </w:rPr>
        <w:t xml:space="preserve"> kam</w:t>
      </w:r>
      <w:r w:rsidR="00CD5640" w:rsidRPr="00F06247">
        <w:rPr>
          <w:noProof/>
          <w:szCs w:val="22"/>
        </w:rPr>
        <w:t>e</w:t>
      </w:r>
      <w:r w:rsidR="003E3C0D" w:rsidRPr="00F06247">
        <w:rPr>
          <w:noProof/>
          <w:szCs w:val="22"/>
        </w:rPr>
        <w:t>ňov</w:t>
      </w:r>
      <w:r w:rsidR="00CD5640" w:rsidRPr="00F06247">
        <w:rPr>
          <w:noProof/>
          <w:szCs w:val="22"/>
        </w:rPr>
        <w:t xml:space="preserve"> v</w:t>
      </w:r>
      <w:r w:rsidR="00241C00" w:rsidRPr="00F06247">
        <w:rPr>
          <w:noProof/>
          <w:szCs w:val="22"/>
        </w:rPr>
        <w:t> </w:t>
      </w:r>
      <w:r w:rsidR="00CD5640" w:rsidRPr="00F06247">
        <w:rPr>
          <w:noProof/>
          <w:szCs w:val="22"/>
        </w:rPr>
        <w:t>močov</w:t>
      </w:r>
      <w:r w:rsidR="00241C00" w:rsidRPr="00F06247">
        <w:rPr>
          <w:noProof/>
          <w:szCs w:val="22"/>
        </w:rPr>
        <w:t>ých cestách</w:t>
      </w:r>
      <w:r w:rsidR="00CD5640" w:rsidRPr="00F06247">
        <w:rPr>
          <w:noProof/>
          <w:szCs w:val="22"/>
        </w:rPr>
        <w:t>.</w:t>
      </w:r>
      <w:r w:rsidR="00CD5640" w:rsidRPr="00CD5640">
        <w:rPr>
          <w:noProof/>
          <w:szCs w:val="22"/>
        </w:rPr>
        <w:t xml:space="preserve"> </w:t>
      </w:r>
      <w:r w:rsidR="00CD5640" w:rsidRPr="00950607">
        <w:rPr>
          <w:noProof/>
          <w:szCs w:val="22"/>
        </w:rPr>
        <w:t xml:space="preserve">Ak </w:t>
      </w:r>
      <w:r w:rsidR="000C0E29">
        <w:rPr>
          <w:noProof/>
          <w:szCs w:val="22"/>
        </w:rPr>
        <w:t>koncentrácia</w:t>
      </w:r>
      <w:r w:rsidR="000C0E29" w:rsidRPr="00950607">
        <w:rPr>
          <w:noProof/>
          <w:szCs w:val="22"/>
        </w:rPr>
        <w:t xml:space="preserve"> </w:t>
      </w:r>
      <w:r w:rsidR="00CD5640" w:rsidRPr="00950607">
        <w:rPr>
          <w:noProof/>
          <w:szCs w:val="22"/>
        </w:rPr>
        <w:t xml:space="preserve">vápnika v plazme presiahne 2,75 mmol na liter alebo </w:t>
      </w:r>
      <w:r w:rsidR="00CD5640" w:rsidRPr="00F06247">
        <w:rPr>
          <w:noProof/>
          <w:szCs w:val="22"/>
        </w:rPr>
        <w:t>ak 24-hodinová exkréci</w:t>
      </w:r>
      <w:r w:rsidR="00F745EA" w:rsidRPr="00F06247">
        <w:rPr>
          <w:noProof/>
          <w:szCs w:val="22"/>
        </w:rPr>
        <w:t>a vápnika v moči presiahne 5 mg</w:t>
      </w:r>
      <w:r w:rsidR="00CD5640" w:rsidRPr="00F06247">
        <w:rPr>
          <w:noProof/>
          <w:szCs w:val="22"/>
        </w:rPr>
        <w:t xml:space="preserve">/kg, </w:t>
      </w:r>
      <w:r w:rsidR="00CD5640" w:rsidRPr="0046069B">
        <w:rPr>
          <w:noProof/>
          <w:szCs w:val="22"/>
        </w:rPr>
        <w:t>l</w:t>
      </w:r>
      <w:r w:rsidR="00CD5640" w:rsidRPr="00950607">
        <w:rPr>
          <w:noProof/>
          <w:szCs w:val="22"/>
        </w:rPr>
        <w:t xml:space="preserve">iečba sa má okamžite prerušiť, pretože </w:t>
      </w:r>
      <w:r w:rsidR="00950607" w:rsidRPr="00950607">
        <w:rPr>
          <w:noProof/>
          <w:szCs w:val="22"/>
        </w:rPr>
        <w:t xml:space="preserve">pri takýchto </w:t>
      </w:r>
      <w:r w:rsidR="00531A1C">
        <w:rPr>
          <w:noProof/>
          <w:szCs w:val="22"/>
        </w:rPr>
        <w:t>koncentráciách</w:t>
      </w:r>
      <w:r w:rsidR="00531A1C" w:rsidRPr="00950607">
        <w:rPr>
          <w:noProof/>
          <w:szCs w:val="22"/>
        </w:rPr>
        <w:t xml:space="preserve"> </w:t>
      </w:r>
      <w:r w:rsidR="00CD5640" w:rsidRPr="00950607">
        <w:rPr>
          <w:noProof/>
          <w:szCs w:val="22"/>
        </w:rPr>
        <w:t>sa môžu vyskytnúť srdcové arytmie. Pozri tiež časť 4.3.</w:t>
      </w:r>
    </w:p>
    <w:p w:rsidR="00CD5640" w:rsidRPr="00CD5640" w:rsidRDefault="00CD5640" w:rsidP="0046069B">
      <w:pPr>
        <w:ind w:left="0" w:firstLine="0"/>
        <w:rPr>
          <w:noProof/>
          <w:szCs w:val="22"/>
        </w:rPr>
      </w:pPr>
    </w:p>
    <w:p w:rsidR="00CD5640" w:rsidRPr="00CD5640" w:rsidRDefault="00F745EA" w:rsidP="00AD0419">
      <w:pPr>
        <w:ind w:left="0" w:firstLine="0"/>
        <w:rPr>
          <w:noProof/>
          <w:szCs w:val="22"/>
        </w:rPr>
      </w:pPr>
      <w:r>
        <w:rPr>
          <w:noProof/>
          <w:szCs w:val="22"/>
        </w:rPr>
        <w:t>U</w:t>
      </w:r>
      <w:r w:rsidRPr="00CD5640">
        <w:rPr>
          <w:noProof/>
          <w:szCs w:val="22"/>
        </w:rPr>
        <w:t xml:space="preserve"> pacientov s nefrokalcinózou, </w:t>
      </w:r>
      <w:r>
        <w:rPr>
          <w:noProof/>
          <w:szCs w:val="22"/>
        </w:rPr>
        <w:t xml:space="preserve">ochoreniami </w:t>
      </w:r>
      <w:r w:rsidRPr="00CD5640">
        <w:rPr>
          <w:noProof/>
          <w:szCs w:val="22"/>
        </w:rPr>
        <w:t>srdc</w:t>
      </w:r>
      <w:r>
        <w:rPr>
          <w:noProof/>
          <w:szCs w:val="22"/>
        </w:rPr>
        <w:t>a</w:t>
      </w:r>
      <w:r w:rsidRPr="00CD5640">
        <w:rPr>
          <w:noProof/>
          <w:szCs w:val="22"/>
        </w:rPr>
        <w:t>, sarkoidózou (Boeckov</w:t>
      </w:r>
      <w:r>
        <w:rPr>
          <w:noProof/>
          <w:szCs w:val="22"/>
        </w:rPr>
        <w:t>a</w:t>
      </w:r>
      <w:r w:rsidRPr="00CD5640">
        <w:rPr>
          <w:noProof/>
          <w:szCs w:val="22"/>
        </w:rPr>
        <w:t xml:space="preserve"> chorob</w:t>
      </w:r>
      <w:r>
        <w:rPr>
          <w:noProof/>
          <w:szCs w:val="22"/>
        </w:rPr>
        <w:t>a</w:t>
      </w:r>
      <w:r w:rsidRPr="00CD5640">
        <w:rPr>
          <w:noProof/>
          <w:szCs w:val="22"/>
        </w:rPr>
        <w:t>)</w:t>
      </w:r>
      <w:r>
        <w:rPr>
          <w:noProof/>
          <w:szCs w:val="22"/>
        </w:rPr>
        <w:t xml:space="preserve"> a</w:t>
      </w:r>
      <w:r w:rsidRPr="00CD5640">
        <w:rPr>
          <w:noProof/>
          <w:szCs w:val="22"/>
        </w:rPr>
        <w:t xml:space="preserve"> u pacientov </w:t>
      </w:r>
      <w:r w:rsidR="009352C5">
        <w:rPr>
          <w:noProof/>
          <w:szCs w:val="22"/>
        </w:rPr>
        <w:t>po</w:t>
      </w:r>
      <w:r w:rsidRPr="00CD5640">
        <w:rPr>
          <w:noProof/>
          <w:szCs w:val="22"/>
        </w:rPr>
        <w:t xml:space="preserve">užívajúcich </w:t>
      </w:r>
      <w:r w:rsidR="005B18F1">
        <w:rPr>
          <w:noProof/>
          <w:szCs w:val="22"/>
        </w:rPr>
        <w:t>adrenalín</w:t>
      </w:r>
      <w:r w:rsidRPr="00CD5640">
        <w:rPr>
          <w:noProof/>
          <w:szCs w:val="22"/>
        </w:rPr>
        <w:t xml:space="preserve"> (pozri časť 4.5) alebo u starších pacientov</w:t>
      </w:r>
      <w:r>
        <w:rPr>
          <w:noProof/>
          <w:szCs w:val="22"/>
        </w:rPr>
        <w:t xml:space="preserve"> sa s</w:t>
      </w:r>
      <w:r w:rsidR="00CD5640" w:rsidRPr="00CD5640">
        <w:rPr>
          <w:noProof/>
          <w:szCs w:val="22"/>
        </w:rPr>
        <w:t>oli vápnika majú používať s opatrnosťou a po starostlivom stanovení indikácie</w:t>
      </w:r>
      <w:r>
        <w:rPr>
          <w:noProof/>
          <w:szCs w:val="22"/>
        </w:rPr>
        <w:t>.</w:t>
      </w:r>
    </w:p>
    <w:p w:rsidR="00CD5640" w:rsidRPr="00CD5640" w:rsidRDefault="00CD5640" w:rsidP="00846817">
      <w:pPr>
        <w:ind w:left="0" w:firstLine="0"/>
        <w:rPr>
          <w:noProof/>
          <w:szCs w:val="22"/>
        </w:rPr>
      </w:pPr>
    </w:p>
    <w:p w:rsidR="00CD5640" w:rsidRPr="006A201A" w:rsidRDefault="00241C00" w:rsidP="0002785C">
      <w:pPr>
        <w:ind w:left="0" w:firstLine="0"/>
        <w:rPr>
          <w:noProof/>
          <w:szCs w:val="22"/>
        </w:rPr>
      </w:pPr>
      <w:r>
        <w:rPr>
          <w:noProof/>
          <w:szCs w:val="22"/>
        </w:rPr>
        <w:t>V ojedinelom</w:t>
      </w:r>
      <w:r w:rsidR="00CD5640" w:rsidRPr="006A201A">
        <w:rPr>
          <w:noProof/>
          <w:szCs w:val="22"/>
        </w:rPr>
        <w:t xml:space="preserve"> prípade intravenózneho podania </w:t>
      </w:r>
      <w:proofErr w:type="spellStart"/>
      <w:r w:rsidR="006A201A" w:rsidRPr="006A201A">
        <w:rPr>
          <w:color w:val="222222"/>
          <w:szCs w:val="22"/>
        </w:rPr>
        <w:t>glukonátu</w:t>
      </w:r>
      <w:proofErr w:type="spellEnd"/>
      <w:r w:rsidR="00CD5640" w:rsidRPr="006A201A">
        <w:rPr>
          <w:noProof/>
          <w:szCs w:val="22"/>
        </w:rPr>
        <w:t xml:space="preserve"> </w:t>
      </w:r>
      <w:r w:rsidR="0086719F">
        <w:rPr>
          <w:noProof/>
          <w:szCs w:val="22"/>
        </w:rPr>
        <w:t xml:space="preserve">vápenatého </w:t>
      </w:r>
      <w:r w:rsidR="00CD5640" w:rsidRPr="006A201A">
        <w:rPr>
          <w:noProof/>
          <w:szCs w:val="22"/>
        </w:rPr>
        <w:t xml:space="preserve">pacientom, ktorí </w:t>
      </w:r>
      <w:r w:rsidR="006A201A" w:rsidRPr="006A201A">
        <w:rPr>
          <w:noProof/>
          <w:szCs w:val="22"/>
        </w:rPr>
        <w:t>užívajú</w:t>
      </w:r>
      <w:r w:rsidR="00CD5640" w:rsidRPr="006A201A">
        <w:rPr>
          <w:noProof/>
          <w:szCs w:val="22"/>
        </w:rPr>
        <w:t xml:space="preserve"> srdcové glykozidy, </w:t>
      </w:r>
      <w:r w:rsidR="006A201A" w:rsidRPr="006A201A">
        <w:rPr>
          <w:szCs w:val="22"/>
        </w:rPr>
        <w:t>primerané monitorovanie srdca</w:t>
      </w:r>
      <w:r w:rsidR="006A201A" w:rsidRPr="006A201A">
        <w:rPr>
          <w:noProof/>
          <w:szCs w:val="22"/>
        </w:rPr>
        <w:t xml:space="preserve"> </w:t>
      </w:r>
      <w:r w:rsidR="000122F7">
        <w:rPr>
          <w:noProof/>
          <w:szCs w:val="22"/>
        </w:rPr>
        <w:t xml:space="preserve">je povinné </w:t>
      </w:r>
      <w:r w:rsidR="006A201A" w:rsidRPr="006A201A">
        <w:rPr>
          <w:szCs w:val="22"/>
        </w:rPr>
        <w:t xml:space="preserve">a prvá pomoc pri srdcových komplikáciách, ako </w:t>
      </w:r>
      <w:r w:rsidR="00B9687C">
        <w:rPr>
          <w:szCs w:val="22"/>
        </w:rPr>
        <w:t>sú</w:t>
      </w:r>
      <w:r w:rsidR="006A201A" w:rsidRPr="006A201A">
        <w:rPr>
          <w:szCs w:val="22"/>
        </w:rPr>
        <w:t xml:space="preserve"> závažn</w:t>
      </w:r>
      <w:r w:rsidR="00B9687C">
        <w:rPr>
          <w:szCs w:val="22"/>
        </w:rPr>
        <w:t>é</w:t>
      </w:r>
      <w:r w:rsidR="006A201A" w:rsidRPr="006A201A">
        <w:rPr>
          <w:szCs w:val="22"/>
        </w:rPr>
        <w:t xml:space="preserve"> srdcov</w:t>
      </w:r>
      <w:r w:rsidR="00B9687C">
        <w:rPr>
          <w:szCs w:val="22"/>
        </w:rPr>
        <w:t xml:space="preserve">é </w:t>
      </w:r>
      <w:proofErr w:type="spellStart"/>
      <w:r w:rsidR="00B9687C">
        <w:rPr>
          <w:szCs w:val="22"/>
        </w:rPr>
        <w:t>arytmie</w:t>
      </w:r>
      <w:proofErr w:type="spellEnd"/>
      <w:r w:rsidR="000122F7">
        <w:rPr>
          <w:szCs w:val="22"/>
        </w:rPr>
        <w:t>, musí byť dostupná</w:t>
      </w:r>
      <w:r w:rsidR="00CD5640" w:rsidRPr="006A201A">
        <w:rPr>
          <w:noProof/>
          <w:szCs w:val="22"/>
        </w:rPr>
        <w:t xml:space="preserve"> (pozri tiež časti 4.3 a 4.5).</w:t>
      </w:r>
    </w:p>
    <w:p w:rsidR="00CD5640" w:rsidRDefault="00CD5640" w:rsidP="00CD5640">
      <w:pPr>
        <w:ind w:left="0" w:firstLine="0"/>
        <w:rPr>
          <w:noProof/>
          <w:szCs w:val="22"/>
        </w:rPr>
      </w:pPr>
    </w:p>
    <w:p w:rsidR="00E1698A" w:rsidRDefault="002156AD" w:rsidP="00CD5640">
      <w:pPr>
        <w:ind w:left="0" w:firstLine="0"/>
        <w:rPr>
          <w:noProof/>
          <w:szCs w:val="22"/>
        </w:rPr>
      </w:pPr>
      <w:proofErr w:type="spellStart"/>
      <w:r>
        <w:rPr>
          <w:color w:val="222222"/>
          <w:szCs w:val="22"/>
        </w:rPr>
        <w:t>G</w:t>
      </w:r>
      <w:r w:rsidR="00CC6624" w:rsidRPr="0046069B">
        <w:rPr>
          <w:color w:val="222222"/>
          <w:szCs w:val="22"/>
        </w:rPr>
        <w:t>lukonát</w:t>
      </w:r>
      <w:proofErr w:type="spellEnd"/>
      <w:r w:rsidR="00CC6624" w:rsidRPr="00F06247" w:rsidDel="00CC6624">
        <w:rPr>
          <w:noProof/>
          <w:szCs w:val="22"/>
        </w:rPr>
        <w:t xml:space="preserve"> </w:t>
      </w:r>
      <w:r>
        <w:rPr>
          <w:noProof/>
          <w:szCs w:val="22"/>
        </w:rPr>
        <w:t xml:space="preserve">vápenatý </w:t>
      </w:r>
      <w:r w:rsidR="00CD5640" w:rsidRPr="00F06247">
        <w:rPr>
          <w:noProof/>
          <w:szCs w:val="22"/>
        </w:rPr>
        <w:t xml:space="preserve">je fyzikálne nekompatibilný s mnohými inými zlúčeninami (pozri časť 6.2). Je potrebné </w:t>
      </w:r>
      <w:r w:rsidR="00FB4665">
        <w:rPr>
          <w:noProof/>
          <w:szCs w:val="22"/>
        </w:rPr>
        <w:t>dbať na to</w:t>
      </w:r>
      <w:r w:rsidR="00CD5640" w:rsidRPr="00F06247">
        <w:rPr>
          <w:noProof/>
          <w:szCs w:val="22"/>
        </w:rPr>
        <w:t xml:space="preserve">, aby sa zabránilo </w:t>
      </w:r>
      <w:r w:rsidR="00FB4665">
        <w:rPr>
          <w:noProof/>
          <w:szCs w:val="22"/>
        </w:rPr>
        <w:t>z</w:t>
      </w:r>
      <w:r w:rsidR="00277AD1" w:rsidRPr="00F06247">
        <w:rPr>
          <w:noProof/>
          <w:szCs w:val="22"/>
        </w:rPr>
        <w:t>miešaniu</w:t>
      </w:r>
      <w:r w:rsidR="00CD5640" w:rsidRPr="00F06247">
        <w:rPr>
          <w:noProof/>
          <w:szCs w:val="22"/>
        </w:rPr>
        <w:t xml:space="preserve"> </w:t>
      </w:r>
      <w:proofErr w:type="spellStart"/>
      <w:r w:rsidR="00CC6624" w:rsidRPr="0046069B">
        <w:rPr>
          <w:color w:val="222222"/>
          <w:szCs w:val="22"/>
        </w:rPr>
        <w:t>glukonátu</w:t>
      </w:r>
      <w:proofErr w:type="spellEnd"/>
      <w:r w:rsidR="00CC6624" w:rsidRPr="00F06247" w:rsidDel="00CC6624">
        <w:rPr>
          <w:noProof/>
          <w:szCs w:val="22"/>
        </w:rPr>
        <w:t xml:space="preserve"> </w:t>
      </w:r>
      <w:r w:rsidR="00C15062">
        <w:rPr>
          <w:noProof/>
          <w:szCs w:val="22"/>
        </w:rPr>
        <w:t xml:space="preserve">vápenatého </w:t>
      </w:r>
      <w:r w:rsidR="00CD5640" w:rsidRPr="00F06247">
        <w:rPr>
          <w:noProof/>
          <w:szCs w:val="22"/>
        </w:rPr>
        <w:t xml:space="preserve">a nekompatibilných liečiv </w:t>
      </w:r>
      <w:r w:rsidR="003B7444">
        <w:rPr>
          <w:noProof/>
          <w:szCs w:val="22"/>
        </w:rPr>
        <w:t>pri podaní</w:t>
      </w:r>
      <w:r w:rsidR="00CD5640" w:rsidRPr="00F06247">
        <w:rPr>
          <w:noProof/>
          <w:szCs w:val="22"/>
        </w:rPr>
        <w:t xml:space="preserve">, alebo v obehu po </w:t>
      </w:r>
      <w:r w:rsidR="00B47C43" w:rsidRPr="00F06247">
        <w:rPr>
          <w:noProof/>
          <w:szCs w:val="22"/>
        </w:rPr>
        <w:t>samostatnom</w:t>
      </w:r>
      <w:r w:rsidR="009115DD" w:rsidRPr="00F06247">
        <w:rPr>
          <w:noProof/>
          <w:szCs w:val="22"/>
        </w:rPr>
        <w:t xml:space="preserve"> </w:t>
      </w:r>
      <w:r w:rsidR="00CD5640" w:rsidRPr="00F06247">
        <w:rPr>
          <w:noProof/>
          <w:szCs w:val="22"/>
        </w:rPr>
        <w:t xml:space="preserve">podaní. </w:t>
      </w:r>
      <w:r w:rsidR="00FB4665">
        <w:rPr>
          <w:noProof/>
          <w:szCs w:val="22"/>
        </w:rPr>
        <w:t>Po</w:t>
      </w:r>
      <w:r w:rsidR="00CD5640" w:rsidRPr="00F06247">
        <w:rPr>
          <w:noProof/>
          <w:szCs w:val="22"/>
        </w:rPr>
        <w:t xml:space="preserve"> mikrokryštalizáci</w:t>
      </w:r>
      <w:r w:rsidR="00FB4665">
        <w:rPr>
          <w:noProof/>
          <w:szCs w:val="22"/>
        </w:rPr>
        <w:t>i</w:t>
      </w:r>
      <w:r w:rsidR="00CD5640" w:rsidRPr="00F06247">
        <w:rPr>
          <w:noProof/>
          <w:szCs w:val="22"/>
        </w:rPr>
        <w:t xml:space="preserve"> nerozpustných vápenatých solí v tele po </w:t>
      </w:r>
      <w:r w:rsidR="00B47C43" w:rsidRPr="00F06247">
        <w:rPr>
          <w:noProof/>
          <w:szCs w:val="22"/>
        </w:rPr>
        <w:t xml:space="preserve">samostatnom </w:t>
      </w:r>
      <w:r w:rsidR="00CD5640" w:rsidRPr="00F06247">
        <w:rPr>
          <w:noProof/>
          <w:szCs w:val="22"/>
        </w:rPr>
        <w:t xml:space="preserve">podaní fyzikálne nekompatibilných roztokov alebo </w:t>
      </w:r>
      <w:r w:rsidR="00BC5594" w:rsidRPr="00F06247">
        <w:rPr>
          <w:noProof/>
          <w:szCs w:val="22"/>
        </w:rPr>
        <w:t xml:space="preserve">roztokov </w:t>
      </w:r>
      <w:r w:rsidR="00E70E4F">
        <w:rPr>
          <w:noProof/>
          <w:szCs w:val="22"/>
        </w:rPr>
        <w:t>na</w:t>
      </w:r>
      <w:r w:rsidR="00BC5594" w:rsidRPr="00F06247">
        <w:rPr>
          <w:noProof/>
          <w:szCs w:val="22"/>
        </w:rPr>
        <w:t xml:space="preserve"> totálnu</w:t>
      </w:r>
      <w:r w:rsidR="00CD5640" w:rsidRPr="00F06247">
        <w:rPr>
          <w:noProof/>
          <w:szCs w:val="22"/>
        </w:rPr>
        <w:t xml:space="preserve"> parenteráln</w:t>
      </w:r>
      <w:r w:rsidR="00BC5594" w:rsidRPr="00F06247">
        <w:rPr>
          <w:noProof/>
          <w:szCs w:val="22"/>
        </w:rPr>
        <w:t>u</w:t>
      </w:r>
      <w:r w:rsidR="00CD5640" w:rsidRPr="00F06247">
        <w:rPr>
          <w:noProof/>
          <w:szCs w:val="22"/>
        </w:rPr>
        <w:t xml:space="preserve"> výživ</w:t>
      </w:r>
      <w:r w:rsidR="00BC5594" w:rsidRPr="00F06247">
        <w:rPr>
          <w:noProof/>
          <w:szCs w:val="22"/>
        </w:rPr>
        <w:t>u</w:t>
      </w:r>
      <w:r w:rsidR="00CD5640" w:rsidRPr="00F06247">
        <w:rPr>
          <w:noProof/>
          <w:szCs w:val="22"/>
        </w:rPr>
        <w:t xml:space="preserve"> obsahujúcich vápnik a fosfát </w:t>
      </w:r>
      <w:r w:rsidR="00753E3A" w:rsidRPr="00F06247">
        <w:rPr>
          <w:noProof/>
          <w:szCs w:val="22"/>
        </w:rPr>
        <w:t xml:space="preserve">sa </w:t>
      </w:r>
      <w:r w:rsidR="00CD5640" w:rsidRPr="00F06247">
        <w:rPr>
          <w:noProof/>
          <w:szCs w:val="22"/>
        </w:rPr>
        <w:t>vyskytli závažné komplikácie, vrátane úmrtí.</w:t>
      </w:r>
    </w:p>
    <w:p w:rsidR="00CD5640" w:rsidRPr="00852371" w:rsidRDefault="00CD5640" w:rsidP="00E41B3F">
      <w:pPr>
        <w:rPr>
          <w:noProof/>
          <w:szCs w:val="22"/>
        </w:rPr>
      </w:pPr>
    </w:p>
    <w:p w:rsidR="00950607" w:rsidRPr="006819CD" w:rsidRDefault="00950607" w:rsidP="00950607">
      <w:pPr>
        <w:rPr>
          <w:i/>
          <w:noProof/>
          <w:szCs w:val="22"/>
        </w:rPr>
      </w:pPr>
      <w:r w:rsidRPr="006819CD">
        <w:rPr>
          <w:i/>
          <w:noProof/>
          <w:szCs w:val="22"/>
        </w:rPr>
        <w:t>Po</w:t>
      </w:r>
      <w:r w:rsidR="006819CD" w:rsidRPr="006819CD">
        <w:rPr>
          <w:i/>
          <w:noProof/>
          <w:szCs w:val="22"/>
        </w:rPr>
        <w:t>rucha</w:t>
      </w:r>
      <w:r w:rsidRPr="006819CD">
        <w:rPr>
          <w:i/>
          <w:noProof/>
          <w:szCs w:val="22"/>
        </w:rPr>
        <w:t xml:space="preserve"> funkcie obličiek</w:t>
      </w:r>
    </w:p>
    <w:p w:rsidR="00950607" w:rsidRPr="00BA4002" w:rsidRDefault="00950607" w:rsidP="00BA4002">
      <w:pPr>
        <w:ind w:left="0" w:firstLine="0"/>
        <w:rPr>
          <w:noProof/>
          <w:szCs w:val="22"/>
        </w:rPr>
      </w:pPr>
      <w:r w:rsidRPr="00BA4002">
        <w:rPr>
          <w:noProof/>
          <w:szCs w:val="22"/>
        </w:rPr>
        <w:t>Po</w:t>
      </w:r>
      <w:r w:rsidR="00BA4002" w:rsidRPr="00BA4002">
        <w:rPr>
          <w:noProof/>
          <w:szCs w:val="22"/>
        </w:rPr>
        <w:t>rucha</w:t>
      </w:r>
      <w:r w:rsidRPr="00BA4002">
        <w:rPr>
          <w:noProof/>
          <w:szCs w:val="22"/>
        </w:rPr>
        <w:t xml:space="preserve"> funkcie obličiek môže </w:t>
      </w:r>
      <w:r w:rsidR="00BA4002" w:rsidRPr="00BA4002">
        <w:rPr>
          <w:noProof/>
          <w:szCs w:val="22"/>
        </w:rPr>
        <w:t>súvisieť</w:t>
      </w:r>
      <w:r w:rsidRPr="00BA4002">
        <w:rPr>
          <w:noProof/>
          <w:szCs w:val="22"/>
        </w:rPr>
        <w:t xml:space="preserve"> s hyperkalc</w:t>
      </w:r>
      <w:r w:rsidR="00BA4002" w:rsidRPr="00BA4002">
        <w:rPr>
          <w:noProof/>
          <w:szCs w:val="22"/>
        </w:rPr>
        <w:t>i</w:t>
      </w:r>
      <w:r w:rsidRPr="00BA4002">
        <w:rPr>
          <w:noProof/>
          <w:szCs w:val="22"/>
        </w:rPr>
        <w:t>émiou a sekundárnym hyperparatyr</w:t>
      </w:r>
      <w:r w:rsidR="00BA4002" w:rsidRPr="00BA4002">
        <w:rPr>
          <w:noProof/>
          <w:szCs w:val="22"/>
        </w:rPr>
        <w:t>e</w:t>
      </w:r>
      <w:r w:rsidRPr="00BA4002">
        <w:rPr>
          <w:noProof/>
          <w:szCs w:val="22"/>
        </w:rPr>
        <w:t xml:space="preserve">oidizmom. </w:t>
      </w:r>
      <w:r w:rsidR="00BA4002" w:rsidRPr="00BA4002">
        <w:rPr>
          <w:szCs w:val="22"/>
        </w:rPr>
        <w:t>Z tohto dôvodu sa má pacientom s porucho</w:t>
      </w:r>
      <w:r w:rsidR="00BA4002">
        <w:rPr>
          <w:szCs w:val="22"/>
        </w:rPr>
        <w:t>u funkcie</w:t>
      </w:r>
      <w:r w:rsidR="00BA4002" w:rsidRPr="00BA4002">
        <w:rPr>
          <w:szCs w:val="22"/>
        </w:rPr>
        <w:t xml:space="preserve"> obličiek podávať </w:t>
      </w:r>
      <w:proofErr w:type="spellStart"/>
      <w:r w:rsidR="00BA4002" w:rsidRPr="00BA4002">
        <w:rPr>
          <w:szCs w:val="22"/>
        </w:rPr>
        <w:t>parenterálne</w:t>
      </w:r>
      <w:proofErr w:type="spellEnd"/>
      <w:r w:rsidR="00BA4002" w:rsidRPr="00BA4002">
        <w:rPr>
          <w:szCs w:val="22"/>
        </w:rPr>
        <w:t xml:space="preserve"> vápnik len po starostlivom posúdení indikácie a</w:t>
      </w:r>
      <w:r w:rsidR="005C1DA8">
        <w:rPr>
          <w:szCs w:val="22"/>
        </w:rPr>
        <w:t> vápnikovo-</w:t>
      </w:r>
      <w:r w:rsidR="00BA4002" w:rsidRPr="00BA4002">
        <w:rPr>
          <w:szCs w:val="22"/>
        </w:rPr>
        <w:t>fosfátová rovnováha</w:t>
      </w:r>
      <w:r w:rsidR="00BA4002">
        <w:rPr>
          <w:szCs w:val="22"/>
        </w:rPr>
        <w:t xml:space="preserve"> sa má monitorovať</w:t>
      </w:r>
      <w:r w:rsidR="00BA4002" w:rsidRPr="00BA4002">
        <w:rPr>
          <w:szCs w:val="22"/>
        </w:rPr>
        <w:t xml:space="preserve">. </w:t>
      </w:r>
      <w:r w:rsidR="00CA41FC" w:rsidRPr="00B23BFB">
        <w:rPr>
          <w:noProof/>
          <w:szCs w:val="22"/>
        </w:rPr>
        <w:t xml:space="preserve">U </w:t>
      </w:r>
      <w:r w:rsidR="00CA41FC" w:rsidRPr="00F36019">
        <w:rPr>
          <w:noProof/>
          <w:szCs w:val="22"/>
        </w:rPr>
        <w:t>pacientov s</w:t>
      </w:r>
      <w:r w:rsidR="005C1DA8">
        <w:rPr>
          <w:noProof/>
          <w:szCs w:val="22"/>
        </w:rPr>
        <w:t>o závažnou</w:t>
      </w:r>
      <w:r w:rsidR="00CA41FC" w:rsidRPr="00F36019">
        <w:rPr>
          <w:noProof/>
          <w:szCs w:val="22"/>
        </w:rPr>
        <w:t xml:space="preserve"> renálnou insuficienciou </w:t>
      </w:r>
      <w:r w:rsidR="00CA41FC" w:rsidRPr="00EF598C">
        <w:rPr>
          <w:noProof/>
          <w:szCs w:val="22"/>
        </w:rPr>
        <w:t>a</w:t>
      </w:r>
      <w:r w:rsidR="003B7444" w:rsidRPr="00EF598C">
        <w:rPr>
          <w:noProof/>
          <w:szCs w:val="22"/>
        </w:rPr>
        <w:t xml:space="preserve"> </w:t>
      </w:r>
      <w:r w:rsidR="00CA41FC" w:rsidRPr="00EF598C">
        <w:rPr>
          <w:noProof/>
          <w:szCs w:val="22"/>
        </w:rPr>
        <w:t>zlyh</w:t>
      </w:r>
      <w:r w:rsidR="00463BD4" w:rsidRPr="00EF598C">
        <w:rPr>
          <w:noProof/>
          <w:szCs w:val="22"/>
        </w:rPr>
        <w:t>áv</w:t>
      </w:r>
      <w:r w:rsidR="00CA41FC" w:rsidRPr="00EF598C">
        <w:rPr>
          <w:noProof/>
          <w:szCs w:val="22"/>
        </w:rPr>
        <w:t>aní</w:t>
      </w:r>
      <w:r w:rsidR="003B7444" w:rsidRPr="00EF598C">
        <w:rPr>
          <w:noProof/>
          <w:szCs w:val="22"/>
        </w:rPr>
        <w:t xml:space="preserve">m </w:t>
      </w:r>
      <w:r w:rsidR="00CA41FC" w:rsidRPr="00EF598C">
        <w:rPr>
          <w:noProof/>
          <w:szCs w:val="22"/>
        </w:rPr>
        <w:t>obličiek</w:t>
      </w:r>
      <w:r w:rsidR="00CA41FC" w:rsidRPr="00F36019">
        <w:rPr>
          <w:noProof/>
          <w:szCs w:val="22"/>
        </w:rPr>
        <w:t xml:space="preserve"> </w:t>
      </w:r>
      <w:r w:rsidR="00CA41FC" w:rsidRPr="00B23BFB">
        <w:rPr>
          <w:noProof/>
          <w:szCs w:val="22"/>
        </w:rPr>
        <w:t>ma</w:t>
      </w:r>
      <w:r w:rsidR="00CA41FC">
        <w:rPr>
          <w:noProof/>
          <w:szCs w:val="22"/>
        </w:rPr>
        <w:t>jú</w:t>
      </w:r>
      <w:r w:rsidR="00CA41FC" w:rsidRPr="00B23BFB">
        <w:rPr>
          <w:noProof/>
          <w:szCs w:val="22"/>
        </w:rPr>
        <w:t xml:space="preserve"> byť dostupné vhodné metódy či</w:t>
      </w:r>
      <w:r w:rsidR="00CA41FC">
        <w:rPr>
          <w:noProof/>
          <w:szCs w:val="22"/>
        </w:rPr>
        <w:t>stenia krvi (t.j</w:t>
      </w:r>
      <w:r w:rsidR="00CA41FC" w:rsidRPr="00B23BFB">
        <w:rPr>
          <w:noProof/>
          <w:szCs w:val="22"/>
        </w:rPr>
        <w:t xml:space="preserve">. </w:t>
      </w:r>
      <w:r w:rsidR="00CA41FC">
        <w:rPr>
          <w:noProof/>
          <w:szCs w:val="22"/>
        </w:rPr>
        <w:t>h</w:t>
      </w:r>
      <w:r w:rsidR="00CA41FC" w:rsidRPr="00B23BFB">
        <w:rPr>
          <w:noProof/>
          <w:szCs w:val="22"/>
        </w:rPr>
        <w:t>emodial</w:t>
      </w:r>
      <w:r w:rsidR="00CA41FC">
        <w:rPr>
          <w:noProof/>
          <w:szCs w:val="22"/>
        </w:rPr>
        <w:t>ýza alebo peritoneálna dialýza)</w:t>
      </w:r>
      <w:r w:rsidRPr="00BA4002">
        <w:rPr>
          <w:noProof/>
          <w:szCs w:val="22"/>
        </w:rPr>
        <w:t xml:space="preserve"> </w:t>
      </w:r>
      <w:r w:rsidR="003B7444">
        <w:rPr>
          <w:noProof/>
          <w:szCs w:val="22"/>
        </w:rPr>
        <w:t xml:space="preserve">z dôvodu </w:t>
      </w:r>
      <w:r w:rsidRPr="00BA4002">
        <w:rPr>
          <w:noProof/>
          <w:szCs w:val="22"/>
        </w:rPr>
        <w:t>vyššie</w:t>
      </w:r>
      <w:r w:rsidR="003B7444">
        <w:rPr>
          <w:noProof/>
          <w:szCs w:val="22"/>
        </w:rPr>
        <w:t>ho</w:t>
      </w:r>
      <w:r w:rsidRPr="00BA4002">
        <w:rPr>
          <w:noProof/>
          <w:szCs w:val="22"/>
        </w:rPr>
        <w:t xml:space="preserve"> rizik</w:t>
      </w:r>
      <w:r w:rsidR="003B7444">
        <w:rPr>
          <w:noProof/>
          <w:szCs w:val="22"/>
        </w:rPr>
        <w:t>a</w:t>
      </w:r>
      <w:r w:rsidRPr="00BA4002">
        <w:rPr>
          <w:noProof/>
          <w:szCs w:val="22"/>
        </w:rPr>
        <w:t xml:space="preserve"> hyperkalc</w:t>
      </w:r>
      <w:r w:rsidR="00CA41FC">
        <w:rPr>
          <w:noProof/>
          <w:szCs w:val="22"/>
        </w:rPr>
        <w:t>i</w:t>
      </w:r>
      <w:r w:rsidRPr="00BA4002">
        <w:rPr>
          <w:noProof/>
          <w:szCs w:val="22"/>
        </w:rPr>
        <w:t>émie.</w:t>
      </w:r>
    </w:p>
    <w:p w:rsidR="006819CD" w:rsidRPr="00950607" w:rsidRDefault="006819CD" w:rsidP="00950607">
      <w:pPr>
        <w:rPr>
          <w:noProof/>
          <w:szCs w:val="22"/>
        </w:rPr>
      </w:pPr>
    </w:p>
    <w:p w:rsidR="00950607" w:rsidRPr="00CA41FC" w:rsidRDefault="00950607" w:rsidP="00950607">
      <w:pPr>
        <w:rPr>
          <w:i/>
          <w:noProof/>
          <w:szCs w:val="22"/>
        </w:rPr>
      </w:pPr>
      <w:r w:rsidRPr="00CA41FC">
        <w:rPr>
          <w:i/>
          <w:noProof/>
          <w:szCs w:val="22"/>
        </w:rPr>
        <w:t>Pacienti užívajúci ceftriax</w:t>
      </w:r>
      <w:r w:rsidR="005B666D">
        <w:rPr>
          <w:i/>
          <w:noProof/>
          <w:szCs w:val="22"/>
        </w:rPr>
        <w:t>ó</w:t>
      </w:r>
      <w:r w:rsidRPr="00CA41FC">
        <w:rPr>
          <w:i/>
          <w:noProof/>
          <w:szCs w:val="22"/>
        </w:rPr>
        <w:t>n</w:t>
      </w:r>
    </w:p>
    <w:p w:rsidR="00950607" w:rsidRPr="00950607" w:rsidRDefault="0090404B" w:rsidP="00ED1F09">
      <w:pPr>
        <w:ind w:left="0" w:firstLine="0"/>
        <w:rPr>
          <w:noProof/>
          <w:szCs w:val="22"/>
        </w:rPr>
      </w:pPr>
      <w:r w:rsidRPr="005C234E">
        <w:rPr>
          <w:color w:val="222222"/>
          <w:szCs w:val="22"/>
        </w:rPr>
        <w:t>U</w:t>
      </w:r>
      <w:r w:rsidR="00445716">
        <w:rPr>
          <w:color w:val="222222"/>
          <w:szCs w:val="22"/>
        </w:rPr>
        <w:t> predčasne narodených</w:t>
      </w:r>
      <w:r w:rsidRPr="005C234E">
        <w:rPr>
          <w:color w:val="222222"/>
          <w:szCs w:val="22"/>
        </w:rPr>
        <w:t xml:space="preserve"> a donosených novorodencov mladších ako jeden mesiac boli popísané prípady smrteľných reakcií po vzniku </w:t>
      </w:r>
      <w:r w:rsidR="00846817">
        <w:rPr>
          <w:color w:val="222222"/>
          <w:szCs w:val="22"/>
        </w:rPr>
        <w:t>zrazenín</w:t>
      </w:r>
      <w:r w:rsidR="00846817" w:rsidRPr="005C234E">
        <w:rPr>
          <w:color w:val="222222"/>
          <w:szCs w:val="22"/>
        </w:rPr>
        <w:t xml:space="preserve"> </w:t>
      </w:r>
      <w:r w:rsidRPr="005C234E">
        <w:rPr>
          <w:color w:val="222222"/>
          <w:szCs w:val="22"/>
        </w:rPr>
        <w:t xml:space="preserve">vápnika a </w:t>
      </w:r>
      <w:proofErr w:type="spellStart"/>
      <w:r w:rsidRPr="005C234E">
        <w:rPr>
          <w:color w:val="222222"/>
          <w:szCs w:val="22"/>
        </w:rPr>
        <w:t>ceftriax</w:t>
      </w:r>
      <w:r w:rsidR="005B666D">
        <w:rPr>
          <w:color w:val="222222"/>
          <w:szCs w:val="22"/>
        </w:rPr>
        <w:t>ó</w:t>
      </w:r>
      <w:r w:rsidRPr="005C234E">
        <w:rPr>
          <w:color w:val="222222"/>
          <w:szCs w:val="22"/>
        </w:rPr>
        <w:t>nu</w:t>
      </w:r>
      <w:proofErr w:type="spellEnd"/>
      <w:r w:rsidRPr="005C234E">
        <w:rPr>
          <w:color w:val="222222"/>
          <w:szCs w:val="22"/>
        </w:rPr>
        <w:t xml:space="preserve"> v pľúcach a obličkách.</w:t>
      </w:r>
      <w:r w:rsidR="00950607" w:rsidRPr="005C234E">
        <w:rPr>
          <w:noProof/>
          <w:szCs w:val="22"/>
        </w:rPr>
        <w:t xml:space="preserve"> </w:t>
      </w:r>
      <w:r w:rsidRPr="005C234E">
        <w:rPr>
          <w:noProof/>
          <w:szCs w:val="22"/>
        </w:rPr>
        <w:t xml:space="preserve">Minimálne </w:t>
      </w:r>
      <w:r w:rsidR="00504A92">
        <w:rPr>
          <w:noProof/>
          <w:szCs w:val="22"/>
        </w:rPr>
        <w:t>v jednom prípade</w:t>
      </w:r>
      <w:r w:rsidRPr="005C234E">
        <w:rPr>
          <w:noProof/>
          <w:szCs w:val="22"/>
        </w:rPr>
        <w:t xml:space="preserve"> </w:t>
      </w:r>
      <w:r w:rsidR="005B2700" w:rsidRPr="005C234E">
        <w:rPr>
          <w:noProof/>
          <w:szCs w:val="22"/>
        </w:rPr>
        <w:t>bol</w:t>
      </w:r>
      <w:r w:rsidR="005B2700">
        <w:rPr>
          <w:noProof/>
          <w:szCs w:val="22"/>
        </w:rPr>
        <w:t xml:space="preserve"> podaný</w:t>
      </w:r>
      <w:r w:rsidR="00950607" w:rsidRPr="00950607">
        <w:rPr>
          <w:noProof/>
          <w:szCs w:val="22"/>
        </w:rPr>
        <w:t xml:space="preserve"> ceftriax</w:t>
      </w:r>
      <w:r w:rsidR="005B666D">
        <w:rPr>
          <w:noProof/>
          <w:szCs w:val="22"/>
        </w:rPr>
        <w:t>ó</w:t>
      </w:r>
      <w:r w:rsidR="00950607" w:rsidRPr="00950607">
        <w:rPr>
          <w:noProof/>
          <w:szCs w:val="22"/>
        </w:rPr>
        <w:t>n a vápnik v rôzn</w:t>
      </w:r>
      <w:r w:rsidR="00AE3971">
        <w:rPr>
          <w:noProof/>
          <w:szCs w:val="22"/>
        </w:rPr>
        <w:t>om</w:t>
      </w:r>
      <w:r w:rsidR="00950607" w:rsidRPr="00950607">
        <w:rPr>
          <w:noProof/>
          <w:szCs w:val="22"/>
        </w:rPr>
        <w:t xml:space="preserve"> čas</w:t>
      </w:r>
      <w:r w:rsidR="00AE3971">
        <w:rPr>
          <w:noProof/>
          <w:szCs w:val="22"/>
        </w:rPr>
        <w:t>e</w:t>
      </w:r>
      <w:r w:rsidR="00950607" w:rsidRPr="00950607">
        <w:rPr>
          <w:noProof/>
          <w:szCs w:val="22"/>
        </w:rPr>
        <w:t xml:space="preserve"> a</w:t>
      </w:r>
      <w:r w:rsidR="005B2700">
        <w:rPr>
          <w:noProof/>
          <w:szCs w:val="22"/>
        </w:rPr>
        <w:t xml:space="preserve"> cez </w:t>
      </w:r>
      <w:r w:rsidR="005B2700" w:rsidRPr="0046069B">
        <w:rPr>
          <w:noProof/>
          <w:szCs w:val="22"/>
        </w:rPr>
        <w:t>rôzne</w:t>
      </w:r>
      <w:r w:rsidR="00950607" w:rsidRPr="0046069B">
        <w:rPr>
          <w:noProof/>
          <w:szCs w:val="22"/>
        </w:rPr>
        <w:t xml:space="preserve"> </w:t>
      </w:r>
      <w:r w:rsidR="00D93268">
        <w:rPr>
          <w:noProof/>
          <w:szCs w:val="22"/>
        </w:rPr>
        <w:t>intravenózne linky</w:t>
      </w:r>
      <w:r w:rsidR="00950607" w:rsidRPr="00950607">
        <w:rPr>
          <w:noProof/>
          <w:szCs w:val="22"/>
        </w:rPr>
        <w:t xml:space="preserve">. </w:t>
      </w:r>
      <w:r w:rsidR="009379D6" w:rsidRPr="0046069B">
        <w:rPr>
          <w:noProof/>
          <w:szCs w:val="22"/>
        </w:rPr>
        <w:t xml:space="preserve">Okrem prípadov u novorodencov sa </w:t>
      </w:r>
      <w:r w:rsidR="009379D6" w:rsidRPr="00AD0419">
        <w:rPr>
          <w:noProof/>
          <w:szCs w:val="22"/>
        </w:rPr>
        <w:t>n</w:t>
      </w:r>
      <w:r w:rsidR="009379D6" w:rsidRPr="00A32871">
        <w:rPr>
          <w:noProof/>
          <w:szCs w:val="22"/>
        </w:rPr>
        <w:t xml:space="preserve">enašli </w:t>
      </w:r>
      <w:r w:rsidR="009379D6" w:rsidRPr="00846817">
        <w:rPr>
          <w:noProof/>
          <w:szCs w:val="22"/>
        </w:rPr>
        <w:t xml:space="preserve">žiadne </w:t>
      </w:r>
      <w:r w:rsidR="009379D6" w:rsidRPr="0002785C">
        <w:rPr>
          <w:noProof/>
          <w:szCs w:val="22"/>
        </w:rPr>
        <w:t>potvrdzujúce správy</w:t>
      </w:r>
      <w:r w:rsidR="005078AB" w:rsidRPr="00F06247">
        <w:rPr>
          <w:noProof/>
          <w:szCs w:val="22"/>
        </w:rPr>
        <w:t xml:space="preserve"> </w:t>
      </w:r>
      <w:r w:rsidR="009379D6" w:rsidRPr="0046069B">
        <w:rPr>
          <w:noProof/>
          <w:szCs w:val="22"/>
        </w:rPr>
        <w:t xml:space="preserve">v </w:t>
      </w:r>
      <w:r w:rsidR="009379D6" w:rsidRPr="00F06247">
        <w:rPr>
          <w:noProof/>
          <w:szCs w:val="22"/>
        </w:rPr>
        <w:t xml:space="preserve">dostupných literárnych údajoch </w:t>
      </w:r>
      <w:r w:rsidR="00950607" w:rsidRPr="00F06247">
        <w:rPr>
          <w:noProof/>
          <w:szCs w:val="22"/>
        </w:rPr>
        <w:t>o intravaskulárnych precipitáciách u</w:t>
      </w:r>
      <w:r w:rsidR="00AE3971" w:rsidRPr="00F06247">
        <w:rPr>
          <w:noProof/>
          <w:szCs w:val="22"/>
        </w:rPr>
        <w:t> </w:t>
      </w:r>
      <w:r w:rsidR="00950607" w:rsidRPr="00F06247">
        <w:rPr>
          <w:noProof/>
          <w:szCs w:val="22"/>
        </w:rPr>
        <w:t xml:space="preserve">pacientov liečených ceftriaxónom a roztokmi obsahujúcimi vápnik alebo inými </w:t>
      </w:r>
      <w:r w:rsidR="00F70A6B">
        <w:rPr>
          <w:noProof/>
          <w:szCs w:val="22"/>
        </w:rPr>
        <w:t>liekmi</w:t>
      </w:r>
      <w:r w:rsidR="00950607" w:rsidRPr="00F06247">
        <w:rPr>
          <w:noProof/>
          <w:szCs w:val="22"/>
        </w:rPr>
        <w:t xml:space="preserve"> obsahujúcimi vápnik</w:t>
      </w:r>
      <w:r w:rsidR="00AE3971" w:rsidRPr="00F06247">
        <w:rPr>
          <w:noProof/>
          <w:szCs w:val="22"/>
        </w:rPr>
        <w:t xml:space="preserve">. </w:t>
      </w:r>
      <w:r w:rsidR="00950607" w:rsidRPr="0046069B">
        <w:rPr>
          <w:noProof/>
          <w:szCs w:val="22"/>
        </w:rPr>
        <w:t xml:space="preserve">Štúdie </w:t>
      </w:r>
      <w:r w:rsidR="00950607" w:rsidRPr="00F06247">
        <w:rPr>
          <w:i/>
          <w:iCs/>
          <w:noProof/>
          <w:szCs w:val="22"/>
        </w:rPr>
        <w:t>in vitro</w:t>
      </w:r>
      <w:r w:rsidR="00950607" w:rsidRPr="0046069B">
        <w:rPr>
          <w:noProof/>
          <w:szCs w:val="22"/>
        </w:rPr>
        <w:t xml:space="preserve"> preukázali, že novorodenci majú</w:t>
      </w:r>
      <w:r w:rsidR="00950607" w:rsidRPr="00950607">
        <w:rPr>
          <w:noProof/>
          <w:szCs w:val="22"/>
        </w:rPr>
        <w:t xml:space="preserve"> zvýšené riziko precipitácie ceftriax</w:t>
      </w:r>
      <w:r w:rsidR="005B666D">
        <w:rPr>
          <w:noProof/>
          <w:szCs w:val="22"/>
        </w:rPr>
        <w:t>ó</w:t>
      </w:r>
      <w:r w:rsidR="00950607" w:rsidRPr="00950607">
        <w:rPr>
          <w:noProof/>
          <w:szCs w:val="22"/>
        </w:rPr>
        <w:t>n</w:t>
      </w:r>
      <w:r w:rsidR="008E04DE">
        <w:rPr>
          <w:noProof/>
          <w:szCs w:val="22"/>
        </w:rPr>
        <w:t>u a vápnika</w:t>
      </w:r>
      <w:r w:rsidR="00950607" w:rsidRPr="00950607">
        <w:rPr>
          <w:noProof/>
          <w:szCs w:val="22"/>
        </w:rPr>
        <w:t xml:space="preserve"> v porovnaní s inými vekovými skupinami.</w:t>
      </w:r>
    </w:p>
    <w:p w:rsidR="00950607" w:rsidRPr="00950607" w:rsidRDefault="00950607" w:rsidP="00ED1F09">
      <w:pPr>
        <w:ind w:left="0" w:firstLine="0"/>
        <w:rPr>
          <w:noProof/>
          <w:szCs w:val="22"/>
        </w:rPr>
      </w:pPr>
    </w:p>
    <w:p w:rsidR="00950607" w:rsidRPr="00EF5ABD" w:rsidRDefault="001C383C" w:rsidP="00EF5ABD">
      <w:pPr>
        <w:ind w:left="0" w:firstLine="0"/>
        <w:rPr>
          <w:szCs w:val="22"/>
        </w:rPr>
      </w:pPr>
      <w:r w:rsidRPr="00EF5ABD">
        <w:rPr>
          <w:szCs w:val="22"/>
        </w:rPr>
        <w:t xml:space="preserve">U pacientov bez ohľadu na vek sa </w:t>
      </w:r>
      <w:proofErr w:type="spellStart"/>
      <w:r w:rsidRPr="00EF5ABD">
        <w:rPr>
          <w:szCs w:val="22"/>
        </w:rPr>
        <w:t>ceftriax</w:t>
      </w:r>
      <w:r w:rsidR="005B666D">
        <w:rPr>
          <w:szCs w:val="22"/>
        </w:rPr>
        <w:t>ó</w:t>
      </w:r>
      <w:r w:rsidRPr="00EF5ABD">
        <w:rPr>
          <w:szCs w:val="22"/>
        </w:rPr>
        <w:t>n</w:t>
      </w:r>
      <w:proofErr w:type="spellEnd"/>
      <w:r w:rsidRPr="00EF5ABD">
        <w:rPr>
          <w:szCs w:val="22"/>
        </w:rPr>
        <w:t xml:space="preserve"> nesmie </w:t>
      </w:r>
      <w:r w:rsidR="008A21E6">
        <w:rPr>
          <w:szCs w:val="22"/>
        </w:rPr>
        <w:t>miešať</w:t>
      </w:r>
      <w:r w:rsidR="008A21E6" w:rsidRPr="00EF5ABD">
        <w:rPr>
          <w:szCs w:val="22"/>
        </w:rPr>
        <w:t xml:space="preserve"> </w:t>
      </w:r>
      <w:r w:rsidRPr="00EF5ABD">
        <w:rPr>
          <w:szCs w:val="22"/>
        </w:rPr>
        <w:t>alebo podávať sú</w:t>
      </w:r>
      <w:r w:rsidR="005F3E71">
        <w:rPr>
          <w:szCs w:val="22"/>
        </w:rPr>
        <w:t>bež</w:t>
      </w:r>
      <w:r w:rsidRPr="00EF5ABD">
        <w:rPr>
          <w:szCs w:val="22"/>
        </w:rPr>
        <w:t>ne s akýmkoľvek intravenóznym roztokom obsah</w:t>
      </w:r>
      <w:r w:rsidR="008A21E6">
        <w:rPr>
          <w:szCs w:val="22"/>
        </w:rPr>
        <w:t>ujúcim</w:t>
      </w:r>
      <w:r w:rsidRPr="00EF5ABD">
        <w:rPr>
          <w:szCs w:val="22"/>
        </w:rPr>
        <w:t xml:space="preserve"> vápnik, dokonca ani cez </w:t>
      </w:r>
      <w:r w:rsidR="00A13528">
        <w:rPr>
          <w:szCs w:val="22"/>
        </w:rPr>
        <w:t>rôzne</w:t>
      </w:r>
      <w:r w:rsidRPr="00EF5ABD">
        <w:rPr>
          <w:szCs w:val="22"/>
        </w:rPr>
        <w:t xml:space="preserve"> </w:t>
      </w:r>
      <w:proofErr w:type="spellStart"/>
      <w:r w:rsidRPr="002A0EF1">
        <w:rPr>
          <w:szCs w:val="22"/>
        </w:rPr>
        <w:t>infúzne</w:t>
      </w:r>
      <w:proofErr w:type="spellEnd"/>
      <w:r w:rsidRPr="002A0EF1">
        <w:rPr>
          <w:szCs w:val="22"/>
        </w:rPr>
        <w:t xml:space="preserve"> </w:t>
      </w:r>
      <w:r w:rsidR="00D0425C">
        <w:rPr>
          <w:szCs w:val="22"/>
        </w:rPr>
        <w:t>linky</w:t>
      </w:r>
      <w:r w:rsidRPr="00EF5ABD">
        <w:rPr>
          <w:szCs w:val="22"/>
        </w:rPr>
        <w:t xml:space="preserve"> alebo rôzne miesta </w:t>
      </w:r>
      <w:r w:rsidR="00D0425C">
        <w:rPr>
          <w:szCs w:val="22"/>
        </w:rPr>
        <w:t>infúzie</w:t>
      </w:r>
      <w:r w:rsidR="002474A8">
        <w:rPr>
          <w:szCs w:val="22"/>
        </w:rPr>
        <w:t>.</w:t>
      </w:r>
    </w:p>
    <w:p w:rsidR="001C383C" w:rsidRPr="00A13528" w:rsidRDefault="001C383C" w:rsidP="00A13528">
      <w:pPr>
        <w:ind w:left="0" w:firstLine="0"/>
        <w:rPr>
          <w:noProof/>
          <w:szCs w:val="22"/>
        </w:rPr>
      </w:pPr>
    </w:p>
    <w:p w:rsidR="00950607" w:rsidRPr="00A13528" w:rsidRDefault="00A13528" w:rsidP="00A13528">
      <w:pPr>
        <w:ind w:left="0" w:firstLine="0"/>
        <w:rPr>
          <w:noProof/>
          <w:szCs w:val="22"/>
        </w:rPr>
      </w:pPr>
      <w:r w:rsidRPr="00A13528">
        <w:rPr>
          <w:color w:val="222222"/>
          <w:szCs w:val="22"/>
        </w:rPr>
        <w:t xml:space="preserve">U pacientov starších ako 28 dní sa však </w:t>
      </w:r>
      <w:r w:rsidR="00F51F6E">
        <w:rPr>
          <w:color w:val="222222"/>
          <w:szCs w:val="22"/>
        </w:rPr>
        <w:t>roztoky</w:t>
      </w:r>
      <w:r w:rsidRPr="00A13528">
        <w:rPr>
          <w:color w:val="222222"/>
          <w:szCs w:val="22"/>
        </w:rPr>
        <w:t xml:space="preserve"> s obsahom </w:t>
      </w:r>
      <w:proofErr w:type="spellStart"/>
      <w:r w:rsidRPr="00A13528">
        <w:rPr>
          <w:color w:val="222222"/>
          <w:szCs w:val="22"/>
        </w:rPr>
        <w:t>ceftriax</w:t>
      </w:r>
      <w:r w:rsidR="005B666D">
        <w:rPr>
          <w:color w:val="222222"/>
          <w:szCs w:val="22"/>
        </w:rPr>
        <w:t>ó</w:t>
      </w:r>
      <w:r w:rsidRPr="00A13528">
        <w:rPr>
          <w:color w:val="222222"/>
          <w:szCs w:val="22"/>
        </w:rPr>
        <w:t>nu</w:t>
      </w:r>
      <w:proofErr w:type="spellEnd"/>
      <w:r w:rsidRPr="00A13528">
        <w:rPr>
          <w:color w:val="222222"/>
          <w:szCs w:val="22"/>
        </w:rPr>
        <w:t xml:space="preserve"> a </w:t>
      </w:r>
      <w:r w:rsidR="006A40F7">
        <w:rPr>
          <w:color w:val="222222"/>
          <w:szCs w:val="22"/>
        </w:rPr>
        <w:t>vápnika</w:t>
      </w:r>
      <w:r w:rsidRPr="00A13528">
        <w:rPr>
          <w:color w:val="222222"/>
          <w:szCs w:val="22"/>
        </w:rPr>
        <w:t xml:space="preserve"> môžu podávať postupne, jeden po druhom, ak sa použijú rôzne </w:t>
      </w:r>
      <w:proofErr w:type="spellStart"/>
      <w:r w:rsidRPr="00A13528">
        <w:rPr>
          <w:color w:val="222222"/>
          <w:szCs w:val="22"/>
        </w:rPr>
        <w:t>infúzne</w:t>
      </w:r>
      <w:proofErr w:type="spellEnd"/>
      <w:r w:rsidRPr="00A13528">
        <w:rPr>
          <w:color w:val="222222"/>
          <w:szCs w:val="22"/>
        </w:rPr>
        <w:t xml:space="preserve"> </w:t>
      </w:r>
      <w:r w:rsidR="00F51F6E">
        <w:rPr>
          <w:color w:val="222222"/>
          <w:szCs w:val="22"/>
        </w:rPr>
        <w:t>linky</w:t>
      </w:r>
      <w:r w:rsidRPr="00A13528">
        <w:rPr>
          <w:color w:val="222222"/>
          <w:szCs w:val="22"/>
        </w:rPr>
        <w:t xml:space="preserve"> a rôzne miesta podania, alebo ak sa </w:t>
      </w:r>
      <w:r w:rsidR="00F51F6E">
        <w:rPr>
          <w:color w:val="222222"/>
          <w:szCs w:val="22"/>
        </w:rPr>
        <w:t>linky</w:t>
      </w:r>
      <w:r w:rsidRPr="00A13528">
        <w:rPr>
          <w:color w:val="222222"/>
          <w:szCs w:val="22"/>
        </w:rPr>
        <w:t xml:space="preserve"> na infúziu vymenia, alebo dôkladne prepláchnu medzi </w:t>
      </w:r>
      <w:proofErr w:type="spellStart"/>
      <w:r w:rsidRPr="00A13528">
        <w:rPr>
          <w:color w:val="222222"/>
          <w:szCs w:val="22"/>
        </w:rPr>
        <w:t>infúznymi</w:t>
      </w:r>
      <w:proofErr w:type="spellEnd"/>
      <w:r w:rsidRPr="00A13528">
        <w:rPr>
          <w:color w:val="222222"/>
          <w:szCs w:val="22"/>
        </w:rPr>
        <w:t xml:space="preserve"> podaniami fyziologickým roztokom, z dôvodu zamedzenia vzniku </w:t>
      </w:r>
      <w:proofErr w:type="spellStart"/>
      <w:r w:rsidRPr="00A13528">
        <w:rPr>
          <w:color w:val="222222"/>
          <w:szCs w:val="22"/>
        </w:rPr>
        <w:t>pre</w:t>
      </w:r>
      <w:r>
        <w:rPr>
          <w:color w:val="222222"/>
          <w:szCs w:val="22"/>
        </w:rPr>
        <w:t>cipitáci</w:t>
      </w:r>
      <w:r w:rsidR="006A40F7">
        <w:rPr>
          <w:color w:val="222222"/>
          <w:szCs w:val="22"/>
        </w:rPr>
        <w:t>í</w:t>
      </w:r>
      <w:proofErr w:type="spellEnd"/>
      <w:r w:rsidR="006A40F7">
        <w:rPr>
          <w:color w:val="222222"/>
          <w:szCs w:val="22"/>
        </w:rPr>
        <w:t xml:space="preserve"> (</w:t>
      </w:r>
      <w:r w:rsidR="006A40F7" w:rsidRPr="006A201A">
        <w:rPr>
          <w:noProof/>
          <w:szCs w:val="22"/>
        </w:rPr>
        <w:t>pozri časti 4.3</w:t>
      </w:r>
      <w:r w:rsidR="006A40F7">
        <w:rPr>
          <w:noProof/>
          <w:szCs w:val="22"/>
        </w:rPr>
        <w:t>, 4.8</w:t>
      </w:r>
      <w:r w:rsidR="006A40F7" w:rsidRPr="006A201A">
        <w:rPr>
          <w:noProof/>
          <w:szCs w:val="22"/>
        </w:rPr>
        <w:t xml:space="preserve"> a</w:t>
      </w:r>
      <w:r w:rsidR="006A40F7">
        <w:rPr>
          <w:noProof/>
          <w:szCs w:val="22"/>
        </w:rPr>
        <w:t> 6.2)</w:t>
      </w:r>
      <w:r w:rsidRPr="00A13528">
        <w:rPr>
          <w:color w:val="222222"/>
          <w:szCs w:val="22"/>
        </w:rPr>
        <w:t>.</w:t>
      </w:r>
      <w:r>
        <w:rPr>
          <w:color w:val="222222"/>
          <w:szCs w:val="22"/>
        </w:rPr>
        <w:t xml:space="preserve"> </w:t>
      </w:r>
      <w:r w:rsidR="00950607" w:rsidRPr="00A13528">
        <w:rPr>
          <w:noProof/>
          <w:szCs w:val="22"/>
        </w:rPr>
        <w:t>V prípade hypovolémie</w:t>
      </w:r>
      <w:r w:rsidR="00AA7E43">
        <w:rPr>
          <w:noProof/>
          <w:szCs w:val="22"/>
        </w:rPr>
        <w:t xml:space="preserve"> sa </w:t>
      </w:r>
      <w:r w:rsidR="006A40F7" w:rsidRPr="00A13528">
        <w:rPr>
          <w:noProof/>
          <w:szCs w:val="22"/>
        </w:rPr>
        <w:t>postupn</w:t>
      </w:r>
      <w:r w:rsidR="00F51F6E">
        <w:rPr>
          <w:noProof/>
          <w:szCs w:val="22"/>
        </w:rPr>
        <w:t>ým</w:t>
      </w:r>
      <w:r w:rsidR="006A40F7" w:rsidRPr="00A13528">
        <w:rPr>
          <w:noProof/>
          <w:szCs w:val="22"/>
        </w:rPr>
        <w:t xml:space="preserve"> infúzi</w:t>
      </w:r>
      <w:r w:rsidR="00F51F6E">
        <w:rPr>
          <w:noProof/>
          <w:szCs w:val="22"/>
        </w:rPr>
        <w:t>ám</w:t>
      </w:r>
      <w:r w:rsidR="006A40F7" w:rsidRPr="00A13528">
        <w:rPr>
          <w:noProof/>
          <w:szCs w:val="22"/>
        </w:rPr>
        <w:t xml:space="preserve"> </w:t>
      </w:r>
      <w:r w:rsidR="006A40F7" w:rsidRPr="00A13528">
        <w:rPr>
          <w:color w:val="222222"/>
          <w:szCs w:val="22"/>
        </w:rPr>
        <w:t>liek</w:t>
      </w:r>
      <w:r w:rsidR="006A40F7">
        <w:rPr>
          <w:color w:val="222222"/>
          <w:szCs w:val="22"/>
        </w:rPr>
        <w:t>ov</w:t>
      </w:r>
      <w:r w:rsidR="006A40F7" w:rsidRPr="00A13528">
        <w:rPr>
          <w:color w:val="222222"/>
          <w:szCs w:val="22"/>
        </w:rPr>
        <w:t xml:space="preserve"> s obsahom </w:t>
      </w:r>
      <w:proofErr w:type="spellStart"/>
      <w:r w:rsidR="006A40F7" w:rsidRPr="00A13528">
        <w:rPr>
          <w:color w:val="222222"/>
          <w:szCs w:val="22"/>
        </w:rPr>
        <w:t>ceftriax</w:t>
      </w:r>
      <w:r w:rsidR="005B666D">
        <w:rPr>
          <w:color w:val="222222"/>
          <w:szCs w:val="22"/>
        </w:rPr>
        <w:t>ó</w:t>
      </w:r>
      <w:r w:rsidR="006A40F7" w:rsidRPr="00A13528">
        <w:rPr>
          <w:color w:val="222222"/>
          <w:szCs w:val="22"/>
        </w:rPr>
        <w:t>nu</w:t>
      </w:r>
      <w:proofErr w:type="spellEnd"/>
      <w:r w:rsidR="006A40F7" w:rsidRPr="00A13528">
        <w:rPr>
          <w:color w:val="222222"/>
          <w:szCs w:val="22"/>
        </w:rPr>
        <w:t xml:space="preserve"> a</w:t>
      </w:r>
      <w:r w:rsidR="006A40F7">
        <w:rPr>
          <w:color w:val="222222"/>
          <w:szCs w:val="22"/>
        </w:rPr>
        <w:t xml:space="preserve"> vápnika </w:t>
      </w:r>
      <w:r w:rsidR="00F51F6E">
        <w:rPr>
          <w:color w:val="222222"/>
          <w:szCs w:val="22"/>
        </w:rPr>
        <w:t>má vyhnúť.</w:t>
      </w:r>
    </w:p>
    <w:p w:rsidR="00ED1F09" w:rsidRPr="00A13528" w:rsidRDefault="00ED1F09" w:rsidP="00A13528">
      <w:pPr>
        <w:ind w:left="0" w:firstLine="0"/>
        <w:rPr>
          <w:noProof/>
          <w:szCs w:val="22"/>
        </w:rPr>
      </w:pPr>
    </w:p>
    <w:p w:rsidR="00950607" w:rsidRPr="006A40F7" w:rsidRDefault="00950607" w:rsidP="00950607">
      <w:pPr>
        <w:rPr>
          <w:i/>
          <w:noProof/>
          <w:szCs w:val="22"/>
        </w:rPr>
      </w:pPr>
      <w:r w:rsidRPr="006A40F7">
        <w:rPr>
          <w:i/>
          <w:noProof/>
          <w:szCs w:val="22"/>
        </w:rPr>
        <w:t>Oxid hlinitý</w:t>
      </w:r>
    </w:p>
    <w:p w:rsidR="00950607" w:rsidRPr="00950607" w:rsidRDefault="00B61FBB" w:rsidP="006A40F7">
      <w:pPr>
        <w:ind w:left="0" w:firstLine="0"/>
        <w:rPr>
          <w:noProof/>
          <w:szCs w:val="22"/>
        </w:rPr>
      </w:pPr>
      <w:proofErr w:type="spellStart"/>
      <w:r>
        <w:rPr>
          <w:szCs w:val="20"/>
          <w:lang w:eastAsia="en-US"/>
        </w:rPr>
        <w:t>G</w:t>
      </w:r>
      <w:r w:rsidR="005F5F6E" w:rsidRPr="00D03E45">
        <w:rPr>
          <w:szCs w:val="20"/>
          <w:lang w:eastAsia="en-US"/>
        </w:rPr>
        <w:t>lukonát</w:t>
      </w:r>
      <w:proofErr w:type="spellEnd"/>
      <w:r w:rsidR="005F5F6E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vápenatý </w:t>
      </w:r>
      <w:r w:rsidR="005F5F6E">
        <w:rPr>
          <w:szCs w:val="20"/>
          <w:lang w:eastAsia="en-US"/>
        </w:rPr>
        <w:t>môže vylúhovať</w:t>
      </w:r>
      <w:r w:rsidR="005F5F6E" w:rsidRPr="00950607">
        <w:rPr>
          <w:noProof/>
          <w:szCs w:val="22"/>
        </w:rPr>
        <w:t xml:space="preserve"> </w:t>
      </w:r>
      <w:r w:rsidR="005F5F6E">
        <w:rPr>
          <w:noProof/>
          <w:szCs w:val="22"/>
        </w:rPr>
        <w:t>o</w:t>
      </w:r>
      <w:r w:rsidR="00950607" w:rsidRPr="00950607">
        <w:rPr>
          <w:noProof/>
          <w:szCs w:val="22"/>
        </w:rPr>
        <w:t>xid hlinitý z</w:t>
      </w:r>
      <w:r w:rsidR="005F5F6E">
        <w:rPr>
          <w:noProof/>
          <w:szCs w:val="22"/>
        </w:rPr>
        <w:t>o</w:t>
      </w:r>
      <w:r w:rsidR="00950607" w:rsidRPr="00950607">
        <w:rPr>
          <w:noProof/>
          <w:szCs w:val="22"/>
        </w:rPr>
        <w:t xml:space="preserve"> skla</w:t>
      </w:r>
      <w:r w:rsidR="005F5F6E">
        <w:rPr>
          <w:noProof/>
          <w:szCs w:val="22"/>
        </w:rPr>
        <w:t xml:space="preserve"> ampuliek</w:t>
      </w:r>
      <w:r w:rsidR="00950607" w:rsidRPr="00950607">
        <w:rPr>
          <w:noProof/>
          <w:szCs w:val="22"/>
        </w:rPr>
        <w:t>. Zvýšené hladiny hliníka môžu viesť k rizikám sp</w:t>
      </w:r>
      <w:r w:rsidR="005F5F6E">
        <w:rPr>
          <w:noProof/>
          <w:szCs w:val="22"/>
        </w:rPr>
        <w:t>á</w:t>
      </w:r>
      <w:r w:rsidR="00950607" w:rsidRPr="00950607">
        <w:rPr>
          <w:noProof/>
          <w:szCs w:val="22"/>
        </w:rPr>
        <w:t>j</w:t>
      </w:r>
      <w:r w:rsidR="005F5F6E">
        <w:rPr>
          <w:noProof/>
          <w:szCs w:val="22"/>
        </w:rPr>
        <w:t>aný</w:t>
      </w:r>
      <w:r>
        <w:rPr>
          <w:noProof/>
          <w:szCs w:val="22"/>
        </w:rPr>
        <w:t>m</w:t>
      </w:r>
      <w:r w:rsidR="00950607" w:rsidRPr="00950607">
        <w:rPr>
          <w:noProof/>
          <w:szCs w:val="22"/>
        </w:rPr>
        <w:t xml:space="preserve"> s toxicitou hliníka, ako sú nežiaduce účinky na mineralizáciu kostí a neurologický vývoj (mozg</w:t>
      </w:r>
      <w:r w:rsidR="008A21E6">
        <w:rPr>
          <w:noProof/>
          <w:szCs w:val="22"/>
        </w:rPr>
        <w:t>u</w:t>
      </w:r>
      <w:r w:rsidR="00950607" w:rsidRPr="00950607">
        <w:rPr>
          <w:noProof/>
          <w:szCs w:val="22"/>
        </w:rPr>
        <w:t xml:space="preserve"> a nervov</w:t>
      </w:r>
      <w:r w:rsidR="008A21E6">
        <w:rPr>
          <w:noProof/>
          <w:szCs w:val="22"/>
        </w:rPr>
        <w:t>ého</w:t>
      </w:r>
      <w:r w:rsidR="00950607" w:rsidRPr="00950607">
        <w:rPr>
          <w:noProof/>
          <w:szCs w:val="22"/>
        </w:rPr>
        <w:t xml:space="preserve"> systém</w:t>
      </w:r>
      <w:r w:rsidR="008A21E6">
        <w:rPr>
          <w:noProof/>
          <w:szCs w:val="22"/>
        </w:rPr>
        <w:t>u</w:t>
      </w:r>
      <w:r>
        <w:rPr>
          <w:noProof/>
          <w:szCs w:val="22"/>
        </w:rPr>
        <w:t xml:space="preserve">) </w:t>
      </w:r>
      <w:r w:rsidR="008A21E6">
        <w:rPr>
          <w:noProof/>
          <w:szCs w:val="22"/>
        </w:rPr>
        <w:t xml:space="preserve">najviac </w:t>
      </w:r>
      <w:r>
        <w:rPr>
          <w:noProof/>
          <w:szCs w:val="22"/>
        </w:rPr>
        <w:t xml:space="preserve">u </w:t>
      </w:r>
      <w:r w:rsidR="00950607" w:rsidRPr="00950607">
        <w:rPr>
          <w:noProof/>
          <w:szCs w:val="22"/>
        </w:rPr>
        <w:t>zraniteľných pacientov, ako sú pacienti s po</w:t>
      </w:r>
      <w:r w:rsidR="005F5F6E">
        <w:rPr>
          <w:noProof/>
          <w:szCs w:val="22"/>
        </w:rPr>
        <w:t>ruchou</w:t>
      </w:r>
      <w:r w:rsidR="00950607" w:rsidRPr="00950607">
        <w:rPr>
          <w:noProof/>
          <w:szCs w:val="22"/>
        </w:rPr>
        <w:t xml:space="preserve"> funkcie obličiek a deti (mladšie ako 18 rokov).</w:t>
      </w:r>
    </w:p>
    <w:p w:rsidR="00950607" w:rsidRDefault="00950607" w:rsidP="00E41B3F">
      <w:pPr>
        <w:rPr>
          <w:noProof/>
          <w:szCs w:val="22"/>
        </w:rPr>
      </w:pPr>
    </w:p>
    <w:p w:rsidR="00950607" w:rsidRPr="00F06247" w:rsidRDefault="00DE3D8C" w:rsidP="00950607">
      <w:pPr>
        <w:rPr>
          <w:iCs/>
          <w:noProof/>
          <w:szCs w:val="22"/>
          <w:u w:val="single"/>
        </w:rPr>
      </w:pPr>
      <w:r w:rsidRPr="00F06247">
        <w:rPr>
          <w:iCs/>
          <w:noProof/>
          <w:szCs w:val="22"/>
          <w:u w:val="single"/>
        </w:rPr>
        <w:t>O</w:t>
      </w:r>
      <w:r w:rsidR="00950607" w:rsidRPr="00F06247">
        <w:rPr>
          <w:iCs/>
          <w:noProof/>
          <w:szCs w:val="22"/>
          <w:u w:val="single"/>
        </w:rPr>
        <w:t xml:space="preserve">patrenia </w:t>
      </w:r>
      <w:r w:rsidRPr="00F06247">
        <w:rPr>
          <w:iCs/>
          <w:noProof/>
          <w:szCs w:val="22"/>
          <w:u w:val="single"/>
        </w:rPr>
        <w:t>pri</w:t>
      </w:r>
      <w:r w:rsidR="00950607" w:rsidRPr="00F06247">
        <w:rPr>
          <w:iCs/>
          <w:noProof/>
          <w:szCs w:val="22"/>
          <w:u w:val="single"/>
        </w:rPr>
        <w:t xml:space="preserve"> používan</w:t>
      </w:r>
      <w:r w:rsidRPr="00F06247">
        <w:rPr>
          <w:iCs/>
          <w:noProof/>
          <w:szCs w:val="22"/>
          <w:u w:val="single"/>
        </w:rPr>
        <w:t>í</w:t>
      </w:r>
    </w:p>
    <w:p w:rsidR="00950607" w:rsidRPr="00950607" w:rsidRDefault="00182A4A" w:rsidP="00DE3D8C">
      <w:pPr>
        <w:ind w:left="0" w:firstLine="0"/>
        <w:rPr>
          <w:noProof/>
          <w:szCs w:val="22"/>
        </w:rPr>
      </w:pPr>
      <w:r>
        <w:rPr>
          <w:szCs w:val="22"/>
        </w:rPr>
        <w:t>Pre</w:t>
      </w:r>
      <w:r w:rsidRPr="009B0722">
        <w:rPr>
          <w:szCs w:val="22"/>
        </w:rPr>
        <w:t xml:space="preserve"> </w:t>
      </w:r>
      <w:r w:rsidRPr="00AD46A0">
        <w:rPr>
          <w:szCs w:val="22"/>
        </w:rPr>
        <w:t>riziko expozície hliník</w:t>
      </w:r>
      <w:r w:rsidR="004A4DF1">
        <w:rPr>
          <w:szCs w:val="22"/>
        </w:rPr>
        <w:t>u</w:t>
      </w:r>
      <w:r w:rsidR="00DE3D8C" w:rsidRPr="00950607">
        <w:rPr>
          <w:noProof/>
          <w:szCs w:val="22"/>
        </w:rPr>
        <w:t xml:space="preserve"> (pozri časť 4.3)</w:t>
      </w:r>
      <w:r w:rsidR="00DE3D8C">
        <w:rPr>
          <w:noProof/>
          <w:szCs w:val="22"/>
        </w:rPr>
        <w:t xml:space="preserve"> je o</w:t>
      </w:r>
      <w:r w:rsidR="00950607" w:rsidRPr="00950607">
        <w:rPr>
          <w:noProof/>
          <w:szCs w:val="22"/>
        </w:rPr>
        <w:t xml:space="preserve">pakovaná alebo dlhodobá liečba </w:t>
      </w:r>
      <w:r w:rsidR="004A4DF1">
        <w:rPr>
          <w:noProof/>
          <w:szCs w:val="22"/>
        </w:rPr>
        <w:t xml:space="preserve">liekom </w:t>
      </w:r>
      <w:proofErr w:type="spellStart"/>
      <w:r w:rsidR="00DE3D8C" w:rsidRPr="00047ADD">
        <w:rPr>
          <w:szCs w:val="22"/>
        </w:rPr>
        <w:t>Calcium</w:t>
      </w:r>
      <w:proofErr w:type="spellEnd"/>
      <w:r w:rsidR="00DE3D8C" w:rsidRPr="00047ADD">
        <w:rPr>
          <w:szCs w:val="22"/>
        </w:rPr>
        <w:t xml:space="preserve"> </w:t>
      </w:r>
      <w:proofErr w:type="spellStart"/>
      <w:r w:rsidR="00DE3D8C" w:rsidRPr="00047ADD">
        <w:rPr>
          <w:szCs w:val="22"/>
        </w:rPr>
        <w:t>Gluconate</w:t>
      </w:r>
      <w:proofErr w:type="spellEnd"/>
      <w:r w:rsidR="00DE3D8C"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="002A0EF1">
        <w:rPr>
          <w:noProof/>
          <w:szCs w:val="22"/>
        </w:rPr>
        <w:t xml:space="preserve"> </w:t>
      </w:r>
      <w:r w:rsidR="00950607" w:rsidRPr="00950607">
        <w:rPr>
          <w:noProof/>
          <w:szCs w:val="22"/>
        </w:rPr>
        <w:t>vo forme intravenóznej infúzie</w:t>
      </w:r>
      <w:r w:rsidR="004A4DF1">
        <w:rPr>
          <w:noProof/>
          <w:szCs w:val="22"/>
        </w:rPr>
        <w:t>,</w:t>
      </w:r>
      <w:r w:rsidR="00950607" w:rsidRPr="00950607">
        <w:rPr>
          <w:noProof/>
          <w:szCs w:val="22"/>
        </w:rPr>
        <w:t xml:space="preserve"> u detí (mladších ako 18 rokov) a osôb s po</w:t>
      </w:r>
      <w:r w:rsidR="00DE3D8C">
        <w:rPr>
          <w:noProof/>
          <w:szCs w:val="22"/>
        </w:rPr>
        <w:t>ruchou</w:t>
      </w:r>
      <w:r w:rsidR="00950607" w:rsidRPr="00950607">
        <w:rPr>
          <w:noProof/>
          <w:szCs w:val="22"/>
        </w:rPr>
        <w:t xml:space="preserve"> funkcie obličiek alebo </w:t>
      </w:r>
      <w:r w:rsidR="004A4DF1">
        <w:rPr>
          <w:noProof/>
          <w:szCs w:val="22"/>
        </w:rPr>
        <w:t xml:space="preserve">na </w:t>
      </w:r>
      <w:r w:rsidR="00950607" w:rsidRPr="00950607">
        <w:rPr>
          <w:noProof/>
          <w:szCs w:val="22"/>
        </w:rPr>
        <w:t>príprav</w:t>
      </w:r>
      <w:r w:rsidR="004A4DF1">
        <w:rPr>
          <w:noProof/>
          <w:szCs w:val="22"/>
        </w:rPr>
        <w:t>u</w:t>
      </w:r>
      <w:r w:rsidR="00950607" w:rsidRPr="00950607">
        <w:rPr>
          <w:noProof/>
          <w:szCs w:val="22"/>
        </w:rPr>
        <w:t xml:space="preserve"> totálnej parenterálnej výživy (TPN) </w:t>
      </w:r>
      <w:r w:rsidR="00DE3D8C">
        <w:rPr>
          <w:noProof/>
          <w:szCs w:val="22"/>
        </w:rPr>
        <w:t>kontraindikovaná.</w:t>
      </w:r>
    </w:p>
    <w:p w:rsidR="00950607" w:rsidRDefault="00950607" w:rsidP="00950607">
      <w:pPr>
        <w:rPr>
          <w:noProof/>
          <w:szCs w:val="22"/>
        </w:rPr>
      </w:pPr>
    </w:p>
    <w:p w:rsidR="002D6D51" w:rsidRDefault="002D6D51" w:rsidP="00F06247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V priebehu 24 hodín </w:t>
      </w:r>
      <w:r w:rsidR="00BC5594">
        <w:rPr>
          <w:noProof/>
          <w:szCs w:val="22"/>
        </w:rPr>
        <w:t>sa</w:t>
      </w:r>
      <w:r w:rsidRPr="00F06247">
        <w:rPr>
          <w:b/>
          <w:bCs/>
          <w:noProof/>
          <w:szCs w:val="22"/>
        </w:rPr>
        <w:t xml:space="preserve"> </w:t>
      </w:r>
      <w:r w:rsidR="00BC5594">
        <w:rPr>
          <w:b/>
          <w:bCs/>
          <w:noProof/>
          <w:szCs w:val="22"/>
        </w:rPr>
        <w:t>ne</w:t>
      </w:r>
      <w:r w:rsidRPr="00F06247">
        <w:rPr>
          <w:b/>
          <w:bCs/>
          <w:noProof/>
          <w:szCs w:val="22"/>
        </w:rPr>
        <w:t>odporúča podať</w:t>
      </w:r>
      <w:r>
        <w:rPr>
          <w:noProof/>
          <w:szCs w:val="22"/>
        </w:rPr>
        <w:t xml:space="preserve"> viac ako 50 ml </w:t>
      </w:r>
      <w:r w:rsidR="00B97D2E">
        <w:rPr>
          <w:noProof/>
          <w:szCs w:val="22"/>
        </w:rPr>
        <w:t>lieku</w:t>
      </w:r>
      <w:r w:rsidR="00F909C0">
        <w:rPr>
          <w:noProof/>
          <w:szCs w:val="22"/>
        </w:rPr>
        <w:t xml:space="preserve"> </w:t>
      </w:r>
      <w:r>
        <w:rPr>
          <w:noProof/>
          <w:szCs w:val="22"/>
        </w:rPr>
        <w:t xml:space="preserve">Calcium Gluconate </w:t>
      </w:r>
      <w:proofErr w:type="spellStart"/>
      <w:r w:rsidR="003A18E8">
        <w:rPr>
          <w:szCs w:val="22"/>
        </w:rPr>
        <w:t>Hameln</w:t>
      </w:r>
      <w:proofErr w:type="spellEnd"/>
      <w:r>
        <w:rPr>
          <w:noProof/>
          <w:szCs w:val="22"/>
        </w:rPr>
        <w:t>. Vzhľadom na obsah hliníka v jednej ampul</w:t>
      </w:r>
      <w:r w:rsidR="00BC5594">
        <w:rPr>
          <w:noProof/>
          <w:szCs w:val="22"/>
        </w:rPr>
        <w:t>k</w:t>
      </w:r>
      <w:r>
        <w:rPr>
          <w:noProof/>
          <w:szCs w:val="22"/>
        </w:rPr>
        <w:t xml:space="preserve">e (meraného na konci </w:t>
      </w:r>
      <w:r w:rsidR="00A31000">
        <w:rPr>
          <w:noProof/>
          <w:szCs w:val="22"/>
        </w:rPr>
        <w:t>času</w:t>
      </w:r>
      <w:r>
        <w:rPr>
          <w:noProof/>
          <w:szCs w:val="22"/>
        </w:rPr>
        <w:t xml:space="preserve"> použiteľnosti) a berúc do úvahy súčasné vedecké pozna</w:t>
      </w:r>
      <w:r w:rsidR="00BC5594">
        <w:rPr>
          <w:noProof/>
          <w:szCs w:val="22"/>
        </w:rPr>
        <w:t xml:space="preserve">tky nie je možné </w:t>
      </w:r>
      <w:r>
        <w:rPr>
          <w:noProof/>
          <w:szCs w:val="22"/>
        </w:rPr>
        <w:t>vylúč</w:t>
      </w:r>
      <w:r w:rsidR="00BC5594">
        <w:rPr>
          <w:noProof/>
          <w:szCs w:val="22"/>
        </w:rPr>
        <w:t>iť</w:t>
      </w:r>
      <w:r>
        <w:rPr>
          <w:noProof/>
          <w:szCs w:val="22"/>
        </w:rPr>
        <w:t xml:space="preserve">, že </w:t>
      </w:r>
      <w:r w:rsidR="00BC5594">
        <w:rPr>
          <w:noProof/>
          <w:szCs w:val="22"/>
        </w:rPr>
        <w:t xml:space="preserve">expozícia </w:t>
      </w:r>
      <w:r>
        <w:rPr>
          <w:noProof/>
          <w:szCs w:val="22"/>
        </w:rPr>
        <w:t>hliník</w:t>
      </w:r>
      <w:r w:rsidR="00A31000">
        <w:rPr>
          <w:noProof/>
          <w:szCs w:val="22"/>
        </w:rPr>
        <w:t>u</w:t>
      </w:r>
      <w:r>
        <w:rPr>
          <w:noProof/>
          <w:szCs w:val="22"/>
        </w:rPr>
        <w:t xml:space="preserve"> (</w:t>
      </w:r>
      <w:r w:rsidR="0046069B">
        <w:rPr>
          <w:noProof/>
          <w:szCs w:val="22"/>
        </w:rPr>
        <w:t xml:space="preserve">pri </w:t>
      </w:r>
      <w:r>
        <w:rPr>
          <w:noProof/>
          <w:szCs w:val="22"/>
        </w:rPr>
        <w:t>podan</w:t>
      </w:r>
      <w:r w:rsidR="0046069B">
        <w:rPr>
          <w:noProof/>
          <w:szCs w:val="22"/>
        </w:rPr>
        <w:t>í</w:t>
      </w:r>
      <w:r>
        <w:rPr>
          <w:noProof/>
          <w:szCs w:val="22"/>
        </w:rPr>
        <w:t xml:space="preserve"> vyššieho počtu amp</w:t>
      </w:r>
      <w:r w:rsidR="0046069B">
        <w:rPr>
          <w:noProof/>
          <w:szCs w:val="22"/>
        </w:rPr>
        <w:t>uliek</w:t>
      </w:r>
      <w:r>
        <w:rPr>
          <w:noProof/>
          <w:szCs w:val="22"/>
        </w:rPr>
        <w:t xml:space="preserve"> ako je odporúčané) </w:t>
      </w:r>
      <w:r w:rsidR="00A31000">
        <w:rPr>
          <w:noProof/>
          <w:szCs w:val="22"/>
        </w:rPr>
        <w:t>by mohla</w:t>
      </w:r>
      <w:r>
        <w:rPr>
          <w:noProof/>
          <w:szCs w:val="22"/>
        </w:rPr>
        <w:t xml:space="preserve"> prispieť k budúce</w:t>
      </w:r>
      <w:r w:rsidR="00712688">
        <w:rPr>
          <w:noProof/>
          <w:szCs w:val="22"/>
        </w:rPr>
        <w:t>j</w:t>
      </w:r>
      <w:r>
        <w:rPr>
          <w:noProof/>
          <w:szCs w:val="22"/>
        </w:rPr>
        <w:t xml:space="preserve"> celkov</w:t>
      </w:r>
      <w:r w:rsidR="00712688">
        <w:rPr>
          <w:noProof/>
          <w:szCs w:val="22"/>
        </w:rPr>
        <w:t>ej</w:t>
      </w:r>
      <w:r>
        <w:rPr>
          <w:noProof/>
          <w:szCs w:val="22"/>
        </w:rPr>
        <w:t xml:space="preserve"> hliníkov</w:t>
      </w:r>
      <w:r w:rsidR="00712688">
        <w:rPr>
          <w:noProof/>
          <w:szCs w:val="22"/>
        </w:rPr>
        <w:t>ej</w:t>
      </w:r>
      <w:r>
        <w:rPr>
          <w:noProof/>
          <w:szCs w:val="22"/>
        </w:rPr>
        <w:t xml:space="preserve"> </w:t>
      </w:r>
      <w:r w:rsidR="00712688">
        <w:rPr>
          <w:noProof/>
          <w:szCs w:val="22"/>
        </w:rPr>
        <w:t>expozícií</w:t>
      </w:r>
      <w:r>
        <w:rPr>
          <w:noProof/>
          <w:szCs w:val="22"/>
        </w:rPr>
        <w:t xml:space="preserve"> (z</w:t>
      </w:r>
      <w:r w:rsidR="00A31000">
        <w:rPr>
          <w:noProof/>
          <w:szCs w:val="22"/>
        </w:rPr>
        <w:t>o</w:t>
      </w:r>
      <w:r>
        <w:rPr>
          <w:noProof/>
          <w:szCs w:val="22"/>
        </w:rPr>
        <w:t xml:space="preserve"> </w:t>
      </w:r>
      <w:r w:rsidR="00A31000">
        <w:rPr>
          <w:noProof/>
          <w:szCs w:val="22"/>
        </w:rPr>
        <w:t xml:space="preserve">životného </w:t>
      </w:r>
      <w:r>
        <w:rPr>
          <w:noProof/>
          <w:szCs w:val="22"/>
        </w:rPr>
        <w:t>prostredia, pitnej vody a jedla) a k potenciálnej toxicite u pacientov. (Pozri čas</w:t>
      </w:r>
      <w:r w:rsidR="00BC5594">
        <w:rPr>
          <w:noProof/>
          <w:szCs w:val="22"/>
        </w:rPr>
        <w:t>ti</w:t>
      </w:r>
      <w:r>
        <w:rPr>
          <w:noProof/>
          <w:szCs w:val="22"/>
        </w:rPr>
        <w:t xml:space="preserve"> 4.2 a 5.1).</w:t>
      </w:r>
    </w:p>
    <w:p w:rsidR="002D6D51" w:rsidRPr="00950607" w:rsidRDefault="002D6D51" w:rsidP="00950607">
      <w:pPr>
        <w:rPr>
          <w:noProof/>
          <w:szCs w:val="22"/>
        </w:rPr>
      </w:pPr>
    </w:p>
    <w:p w:rsidR="00950607" w:rsidRPr="00950607" w:rsidRDefault="00DE3D8C" w:rsidP="00DE3D8C">
      <w:pPr>
        <w:ind w:left="0" w:firstLine="0"/>
        <w:rPr>
          <w:noProof/>
          <w:szCs w:val="22"/>
        </w:rPr>
      </w:pPr>
      <w:r>
        <w:rPr>
          <w:noProof/>
          <w:szCs w:val="22"/>
        </w:rPr>
        <w:t>V</w:t>
      </w:r>
      <w:r w:rsidRPr="00950607">
        <w:rPr>
          <w:noProof/>
          <w:szCs w:val="22"/>
        </w:rPr>
        <w:t xml:space="preserve"> dôsledku intravenózneho predávkovania alebo príliš rýchlej intravenóznej injekcie</w:t>
      </w:r>
      <w:r>
        <w:rPr>
          <w:noProof/>
          <w:szCs w:val="22"/>
        </w:rPr>
        <w:t xml:space="preserve"> </w:t>
      </w:r>
      <w:r w:rsidR="00A7203A">
        <w:rPr>
          <w:noProof/>
          <w:szCs w:val="22"/>
        </w:rPr>
        <w:t>je pravdepodobné, že sa objavia</w:t>
      </w:r>
      <w:r w:rsidR="007924C7">
        <w:rPr>
          <w:noProof/>
          <w:szCs w:val="22"/>
        </w:rPr>
        <w:t xml:space="preserve"> k</w:t>
      </w:r>
      <w:r w:rsidR="00950607" w:rsidRPr="00950607">
        <w:rPr>
          <w:noProof/>
          <w:szCs w:val="22"/>
        </w:rPr>
        <w:t>ardiovaskulárne a</w:t>
      </w:r>
      <w:r w:rsidR="00846817">
        <w:rPr>
          <w:noProof/>
          <w:szCs w:val="22"/>
        </w:rPr>
        <w:t xml:space="preserve"> </w:t>
      </w:r>
      <w:r w:rsidR="00950607" w:rsidRPr="00950607">
        <w:rPr>
          <w:noProof/>
          <w:szCs w:val="22"/>
        </w:rPr>
        <w:t>iné systémové nežiaduce účinky ako príznaky akútnej hyperkalc</w:t>
      </w:r>
      <w:r>
        <w:rPr>
          <w:noProof/>
          <w:szCs w:val="22"/>
        </w:rPr>
        <w:t>i</w:t>
      </w:r>
      <w:r w:rsidR="00950607" w:rsidRPr="00950607">
        <w:rPr>
          <w:noProof/>
          <w:szCs w:val="22"/>
        </w:rPr>
        <w:t>émie</w:t>
      </w:r>
      <w:r w:rsidR="00061FB1">
        <w:rPr>
          <w:noProof/>
          <w:szCs w:val="22"/>
        </w:rPr>
        <w:t>.</w:t>
      </w:r>
      <w:r w:rsidR="00950607" w:rsidRPr="00950607">
        <w:rPr>
          <w:noProof/>
          <w:szCs w:val="22"/>
        </w:rPr>
        <w:t xml:space="preserve"> Ich výskyt a frekvencia priamo </w:t>
      </w:r>
      <w:r w:rsidR="004C6A7E">
        <w:rPr>
          <w:noProof/>
          <w:szCs w:val="22"/>
        </w:rPr>
        <w:t>závisí</w:t>
      </w:r>
      <w:r w:rsidR="00950607" w:rsidRPr="00950607">
        <w:rPr>
          <w:noProof/>
          <w:szCs w:val="22"/>
        </w:rPr>
        <w:t xml:space="preserve"> </w:t>
      </w:r>
      <w:r w:rsidR="004C6A7E">
        <w:rPr>
          <w:noProof/>
          <w:szCs w:val="22"/>
        </w:rPr>
        <w:t>od</w:t>
      </w:r>
      <w:r w:rsidR="00950607" w:rsidRPr="00950607">
        <w:rPr>
          <w:noProof/>
          <w:szCs w:val="22"/>
        </w:rPr>
        <w:t xml:space="preserve"> rýchlos</w:t>
      </w:r>
      <w:r w:rsidR="004C6A7E">
        <w:rPr>
          <w:noProof/>
          <w:szCs w:val="22"/>
        </w:rPr>
        <w:t>ti</w:t>
      </w:r>
      <w:r w:rsidR="00950607" w:rsidRPr="00950607">
        <w:rPr>
          <w:noProof/>
          <w:szCs w:val="22"/>
        </w:rPr>
        <w:t xml:space="preserve"> pod</w:t>
      </w:r>
      <w:r w:rsidR="00A7203A">
        <w:rPr>
          <w:noProof/>
          <w:szCs w:val="22"/>
        </w:rPr>
        <w:t>áv</w:t>
      </w:r>
      <w:r w:rsidR="00950607" w:rsidRPr="00950607">
        <w:rPr>
          <w:noProof/>
          <w:szCs w:val="22"/>
        </w:rPr>
        <w:t>ania a</w:t>
      </w:r>
      <w:r w:rsidR="0093668F">
        <w:rPr>
          <w:noProof/>
          <w:szCs w:val="22"/>
        </w:rPr>
        <w:t xml:space="preserve"> pod</w:t>
      </w:r>
      <w:r w:rsidR="009459BC">
        <w:rPr>
          <w:noProof/>
          <w:szCs w:val="22"/>
        </w:rPr>
        <w:t>áv</w:t>
      </w:r>
      <w:r w:rsidR="0093668F">
        <w:rPr>
          <w:noProof/>
          <w:szCs w:val="22"/>
        </w:rPr>
        <w:t>anej</w:t>
      </w:r>
      <w:r w:rsidR="00950607" w:rsidRPr="00950607">
        <w:rPr>
          <w:noProof/>
          <w:szCs w:val="22"/>
        </w:rPr>
        <w:t xml:space="preserve"> dávk</w:t>
      </w:r>
      <w:r w:rsidR="004C6A7E">
        <w:rPr>
          <w:noProof/>
          <w:szCs w:val="22"/>
        </w:rPr>
        <w:t>y</w:t>
      </w:r>
      <w:r w:rsidR="00950607" w:rsidRPr="00950607">
        <w:rPr>
          <w:noProof/>
          <w:szCs w:val="22"/>
        </w:rPr>
        <w:t>.</w:t>
      </w:r>
    </w:p>
    <w:p w:rsidR="00950607" w:rsidRPr="00D82ECA" w:rsidRDefault="00950607" w:rsidP="00D82ECA">
      <w:pPr>
        <w:rPr>
          <w:noProof/>
          <w:szCs w:val="22"/>
        </w:rPr>
      </w:pPr>
    </w:p>
    <w:p w:rsidR="00950607" w:rsidRPr="00D82ECA" w:rsidRDefault="00950607" w:rsidP="00D82ECA">
      <w:pPr>
        <w:ind w:left="0" w:firstLine="0"/>
        <w:rPr>
          <w:noProof/>
          <w:szCs w:val="22"/>
        </w:rPr>
      </w:pPr>
      <w:r w:rsidRPr="00D82ECA">
        <w:rPr>
          <w:noProof/>
          <w:szCs w:val="22"/>
        </w:rPr>
        <w:t>Roztoky obsahujúce vápnik sa majú podávať pomaly, aby sa minimalizoval</w:t>
      </w:r>
      <w:r w:rsidR="00593B7E">
        <w:rPr>
          <w:noProof/>
          <w:szCs w:val="22"/>
        </w:rPr>
        <w:t>a</w:t>
      </w:r>
      <w:r w:rsidR="00061FB1" w:rsidRPr="00D82ECA">
        <w:rPr>
          <w:noProof/>
          <w:szCs w:val="22"/>
        </w:rPr>
        <w:t xml:space="preserve"> </w:t>
      </w:r>
      <w:r w:rsidRPr="00D82ECA">
        <w:rPr>
          <w:noProof/>
          <w:szCs w:val="22"/>
        </w:rPr>
        <w:t>periférn</w:t>
      </w:r>
      <w:r w:rsidR="00593B7E">
        <w:rPr>
          <w:noProof/>
          <w:szCs w:val="22"/>
        </w:rPr>
        <w:t>a</w:t>
      </w:r>
      <w:r w:rsidR="00061FB1" w:rsidRPr="00D82ECA">
        <w:rPr>
          <w:noProof/>
          <w:szCs w:val="22"/>
        </w:rPr>
        <w:t xml:space="preserve"> </w:t>
      </w:r>
      <w:r w:rsidRPr="00D82ECA">
        <w:rPr>
          <w:noProof/>
          <w:szCs w:val="22"/>
        </w:rPr>
        <w:t>vazodilatáci</w:t>
      </w:r>
      <w:r w:rsidR="00593B7E">
        <w:rPr>
          <w:noProof/>
          <w:szCs w:val="22"/>
        </w:rPr>
        <w:t>a</w:t>
      </w:r>
      <w:r w:rsidRPr="00D82ECA">
        <w:rPr>
          <w:noProof/>
          <w:szCs w:val="22"/>
        </w:rPr>
        <w:t xml:space="preserve"> a srdcov</w:t>
      </w:r>
      <w:r w:rsidR="00593B7E">
        <w:rPr>
          <w:noProof/>
          <w:szCs w:val="22"/>
        </w:rPr>
        <w:t>á</w:t>
      </w:r>
      <w:r w:rsidRPr="00D82ECA">
        <w:rPr>
          <w:noProof/>
          <w:szCs w:val="22"/>
        </w:rPr>
        <w:t xml:space="preserve"> depresi</w:t>
      </w:r>
      <w:r w:rsidR="00F84D34">
        <w:rPr>
          <w:noProof/>
          <w:szCs w:val="22"/>
        </w:rPr>
        <w:t>a</w:t>
      </w:r>
      <w:r w:rsidRPr="00D82ECA">
        <w:rPr>
          <w:noProof/>
          <w:szCs w:val="22"/>
        </w:rPr>
        <w:t>.</w:t>
      </w:r>
    </w:p>
    <w:p w:rsidR="00D82ECA" w:rsidRPr="00D82ECA" w:rsidRDefault="00D82ECA" w:rsidP="00D82ECA">
      <w:pPr>
        <w:rPr>
          <w:szCs w:val="22"/>
        </w:rPr>
      </w:pPr>
    </w:p>
    <w:p w:rsidR="00D82ECA" w:rsidRPr="00D82ECA" w:rsidRDefault="00F55544" w:rsidP="00D82ECA">
      <w:pPr>
        <w:ind w:left="0" w:firstLine="0"/>
        <w:rPr>
          <w:szCs w:val="22"/>
        </w:rPr>
      </w:pPr>
      <w:r>
        <w:rPr>
          <w:szCs w:val="22"/>
        </w:rPr>
        <w:t>Príliš r</w:t>
      </w:r>
      <w:r w:rsidR="00D82ECA" w:rsidRPr="00F55544">
        <w:rPr>
          <w:szCs w:val="22"/>
        </w:rPr>
        <w:t xml:space="preserve">ýchle podanie intravenóznej injekcie môže vyvolať bradykardiu spojenú s </w:t>
      </w:r>
      <w:proofErr w:type="spellStart"/>
      <w:r w:rsidR="00D82ECA" w:rsidRPr="00F55544">
        <w:rPr>
          <w:szCs w:val="22"/>
        </w:rPr>
        <w:t>vazodilatáciou</w:t>
      </w:r>
      <w:proofErr w:type="spellEnd"/>
      <w:r w:rsidR="00D82ECA" w:rsidRPr="00F55544">
        <w:rPr>
          <w:szCs w:val="22"/>
        </w:rPr>
        <w:t xml:space="preserve"> alebo </w:t>
      </w:r>
      <w:proofErr w:type="spellStart"/>
      <w:r w:rsidR="00D82ECA" w:rsidRPr="00F55544">
        <w:rPr>
          <w:szCs w:val="22"/>
        </w:rPr>
        <w:t>arytmiu</w:t>
      </w:r>
      <w:proofErr w:type="spellEnd"/>
      <w:r w:rsidR="00D82ECA" w:rsidRPr="00F55544">
        <w:rPr>
          <w:szCs w:val="22"/>
        </w:rPr>
        <w:t xml:space="preserve">, preto je potrebná kontrola </w:t>
      </w:r>
      <w:proofErr w:type="spellStart"/>
      <w:r w:rsidR="00D82ECA" w:rsidRPr="00F55544">
        <w:rPr>
          <w:szCs w:val="22"/>
        </w:rPr>
        <w:t>tepovej</w:t>
      </w:r>
      <w:proofErr w:type="spellEnd"/>
      <w:r w:rsidR="00D82ECA" w:rsidRPr="00F55544">
        <w:rPr>
          <w:szCs w:val="22"/>
        </w:rPr>
        <w:t xml:space="preserve"> frekvencie srdca alebo EKG.</w:t>
      </w:r>
    </w:p>
    <w:p w:rsidR="00950607" w:rsidRPr="00D82ECA" w:rsidRDefault="00950607" w:rsidP="00D82ECA">
      <w:pPr>
        <w:ind w:left="0" w:firstLine="0"/>
        <w:rPr>
          <w:noProof/>
          <w:szCs w:val="22"/>
        </w:rPr>
      </w:pPr>
    </w:p>
    <w:p w:rsidR="00D82ECA" w:rsidRPr="00D82ECA" w:rsidRDefault="00D82ECA" w:rsidP="00D82ECA">
      <w:pPr>
        <w:ind w:left="0" w:firstLine="0"/>
        <w:rPr>
          <w:szCs w:val="22"/>
        </w:rPr>
      </w:pPr>
      <w:r w:rsidRPr="00D82ECA">
        <w:rPr>
          <w:szCs w:val="22"/>
        </w:rPr>
        <w:t xml:space="preserve">Pri podávaní vysokých </w:t>
      </w:r>
      <w:proofErr w:type="spellStart"/>
      <w:r w:rsidRPr="00D82ECA">
        <w:rPr>
          <w:szCs w:val="22"/>
        </w:rPr>
        <w:t>parenterálnych</w:t>
      </w:r>
      <w:proofErr w:type="spellEnd"/>
      <w:r w:rsidRPr="00D82ECA">
        <w:rPr>
          <w:szCs w:val="22"/>
        </w:rPr>
        <w:t xml:space="preserve"> dávok vápnika sa majú monitorovať jeho plazmatické hladiny a vylučovanie močom.</w:t>
      </w:r>
    </w:p>
    <w:p w:rsidR="00950607" w:rsidRPr="00D82ECA" w:rsidRDefault="00950607" w:rsidP="00D82ECA">
      <w:pPr>
        <w:ind w:left="0" w:firstLine="0"/>
        <w:rPr>
          <w:noProof/>
          <w:szCs w:val="22"/>
        </w:rPr>
      </w:pPr>
    </w:p>
    <w:p w:rsidR="00950607" w:rsidRPr="00950607" w:rsidRDefault="00950607" w:rsidP="00950607">
      <w:pPr>
        <w:rPr>
          <w:noProof/>
          <w:szCs w:val="22"/>
        </w:rPr>
      </w:pPr>
      <w:r w:rsidRPr="00950607">
        <w:rPr>
          <w:noProof/>
          <w:szCs w:val="22"/>
        </w:rPr>
        <w:t>Soli vápnika dráždia tkanivá.</w:t>
      </w:r>
    </w:p>
    <w:p w:rsidR="00950607" w:rsidRPr="00950607" w:rsidRDefault="00950607" w:rsidP="00950607">
      <w:pPr>
        <w:rPr>
          <w:noProof/>
          <w:szCs w:val="22"/>
        </w:rPr>
      </w:pPr>
    </w:p>
    <w:p w:rsidR="00950607" w:rsidRPr="00950607" w:rsidRDefault="00784CE7" w:rsidP="00D82ECA">
      <w:pPr>
        <w:ind w:left="0" w:firstLine="0"/>
        <w:rPr>
          <w:noProof/>
          <w:szCs w:val="22"/>
        </w:rPr>
      </w:pPr>
      <w:r>
        <w:rPr>
          <w:noProof/>
          <w:szCs w:val="22"/>
        </w:rPr>
        <w:t>Za</w:t>
      </w:r>
      <w:r w:rsidR="00950607" w:rsidRPr="00950607">
        <w:rPr>
          <w:noProof/>
          <w:szCs w:val="22"/>
        </w:rPr>
        <w:t>červenanie kože, pocit pálenia alebo bolesť počas intravenóznej injekcie môže naznačovať náhodnú perivaskulárnu injekciu, ktorá môže viesť k nekróze tkaniva.</w:t>
      </w:r>
    </w:p>
    <w:p w:rsidR="00950607" w:rsidRPr="00950607" w:rsidRDefault="00950607" w:rsidP="00950607">
      <w:pPr>
        <w:rPr>
          <w:noProof/>
          <w:szCs w:val="22"/>
        </w:rPr>
      </w:pPr>
    </w:p>
    <w:p w:rsidR="00950607" w:rsidRPr="00950607" w:rsidRDefault="00950607" w:rsidP="00D82ECA">
      <w:pPr>
        <w:ind w:left="0" w:firstLine="0"/>
        <w:rPr>
          <w:noProof/>
          <w:szCs w:val="22"/>
        </w:rPr>
      </w:pPr>
      <w:r w:rsidRPr="0028161E">
        <w:rPr>
          <w:noProof/>
          <w:szCs w:val="22"/>
        </w:rPr>
        <w:t xml:space="preserve">Miesto </w:t>
      </w:r>
      <w:r w:rsidR="00A2064D" w:rsidRPr="0028161E">
        <w:rPr>
          <w:noProof/>
          <w:szCs w:val="22"/>
        </w:rPr>
        <w:t xml:space="preserve">vpichu </w:t>
      </w:r>
      <w:r w:rsidRPr="0012069D">
        <w:rPr>
          <w:noProof/>
          <w:szCs w:val="22"/>
        </w:rPr>
        <w:t>infúzie sa m</w:t>
      </w:r>
      <w:r w:rsidR="00A2064D" w:rsidRPr="00E620CF">
        <w:rPr>
          <w:noProof/>
          <w:szCs w:val="22"/>
        </w:rPr>
        <w:t>usí</w:t>
      </w:r>
      <w:r w:rsidRPr="00E620CF">
        <w:rPr>
          <w:noProof/>
          <w:szCs w:val="22"/>
        </w:rPr>
        <w:t xml:space="preserve"> pravidelne </w:t>
      </w:r>
      <w:r w:rsidR="00234973" w:rsidRPr="00E620CF">
        <w:rPr>
          <w:noProof/>
          <w:szCs w:val="22"/>
        </w:rPr>
        <w:t>sledovať</w:t>
      </w:r>
      <w:r w:rsidRPr="00E620CF">
        <w:rPr>
          <w:noProof/>
          <w:szCs w:val="22"/>
        </w:rPr>
        <w:t>, aby s</w:t>
      </w:r>
      <w:r w:rsidRPr="00950607">
        <w:rPr>
          <w:noProof/>
          <w:szCs w:val="22"/>
        </w:rPr>
        <w:t>a za</w:t>
      </w:r>
      <w:r w:rsidR="00A2064D">
        <w:rPr>
          <w:noProof/>
          <w:szCs w:val="22"/>
        </w:rPr>
        <w:t>medzilo</w:t>
      </w:r>
      <w:r w:rsidRPr="00950607">
        <w:rPr>
          <w:noProof/>
          <w:szCs w:val="22"/>
        </w:rPr>
        <w:t xml:space="preserve"> po</w:t>
      </w:r>
      <w:r w:rsidR="0033646E">
        <w:rPr>
          <w:noProof/>
          <w:szCs w:val="22"/>
        </w:rPr>
        <w:t>škodeniu</w:t>
      </w:r>
      <w:r w:rsidRPr="00950607">
        <w:rPr>
          <w:noProof/>
          <w:szCs w:val="22"/>
        </w:rPr>
        <w:t xml:space="preserve"> extravazáciou.</w:t>
      </w:r>
    </w:p>
    <w:p w:rsidR="00950607" w:rsidRPr="00234973" w:rsidRDefault="00950607" w:rsidP="00234973">
      <w:pPr>
        <w:ind w:left="0" w:firstLine="0"/>
        <w:rPr>
          <w:noProof/>
          <w:szCs w:val="22"/>
        </w:rPr>
      </w:pPr>
    </w:p>
    <w:p w:rsidR="00234973" w:rsidRPr="00234973" w:rsidRDefault="00234973" w:rsidP="00234973">
      <w:pPr>
        <w:ind w:left="0" w:firstLine="0"/>
        <w:rPr>
          <w:color w:val="222222"/>
          <w:szCs w:val="22"/>
        </w:rPr>
      </w:pPr>
      <w:r w:rsidRPr="00234973">
        <w:rPr>
          <w:color w:val="222222"/>
          <w:szCs w:val="22"/>
        </w:rPr>
        <w:t xml:space="preserve">Pacienti, ktorí užívajú soli vápnika, sa majú starostlivo </w:t>
      </w:r>
      <w:r>
        <w:rPr>
          <w:color w:val="222222"/>
          <w:szCs w:val="22"/>
        </w:rPr>
        <w:t>monitorova</w:t>
      </w:r>
      <w:r w:rsidRPr="00234973">
        <w:rPr>
          <w:color w:val="222222"/>
          <w:szCs w:val="22"/>
        </w:rPr>
        <w:t>ť, aby sa zabezpečil</w:t>
      </w:r>
      <w:r w:rsidR="00E620CF">
        <w:rPr>
          <w:color w:val="222222"/>
          <w:szCs w:val="22"/>
        </w:rPr>
        <w:t>o zachovanie</w:t>
      </w:r>
      <w:r w:rsidRPr="00234973">
        <w:rPr>
          <w:color w:val="222222"/>
          <w:szCs w:val="22"/>
        </w:rPr>
        <w:t xml:space="preserve"> správn</w:t>
      </w:r>
      <w:r w:rsidR="00E620CF">
        <w:rPr>
          <w:color w:val="222222"/>
          <w:szCs w:val="22"/>
        </w:rPr>
        <w:t>ej</w:t>
      </w:r>
      <w:r w:rsidRPr="00234973">
        <w:rPr>
          <w:color w:val="222222"/>
          <w:szCs w:val="22"/>
        </w:rPr>
        <w:t xml:space="preserve"> rovnováh</w:t>
      </w:r>
      <w:r w:rsidR="00E620CF">
        <w:rPr>
          <w:color w:val="222222"/>
          <w:szCs w:val="22"/>
        </w:rPr>
        <w:t>y</w:t>
      </w:r>
      <w:r w:rsidRPr="00234973">
        <w:rPr>
          <w:color w:val="222222"/>
          <w:szCs w:val="22"/>
        </w:rPr>
        <w:t xml:space="preserve"> vápnika bez jeho ukladania do tkanív</w:t>
      </w:r>
      <w:r w:rsidR="00AD0419">
        <w:rPr>
          <w:color w:val="222222"/>
          <w:szCs w:val="22"/>
        </w:rPr>
        <w:t>.</w:t>
      </w:r>
    </w:p>
    <w:p w:rsidR="00234973" w:rsidRPr="00234973" w:rsidRDefault="00234973" w:rsidP="00234973">
      <w:pPr>
        <w:ind w:left="0" w:firstLine="0"/>
        <w:rPr>
          <w:color w:val="222222"/>
          <w:szCs w:val="22"/>
        </w:rPr>
      </w:pPr>
    </w:p>
    <w:p w:rsidR="00950607" w:rsidRDefault="00950607" w:rsidP="00234973">
      <w:pPr>
        <w:ind w:left="0" w:firstLine="0"/>
        <w:rPr>
          <w:noProof/>
          <w:szCs w:val="22"/>
        </w:rPr>
      </w:pPr>
      <w:r w:rsidRPr="00234973">
        <w:rPr>
          <w:noProof/>
          <w:szCs w:val="22"/>
        </w:rPr>
        <w:t>Je potrebné sa vy</w:t>
      </w:r>
      <w:r w:rsidR="00234973" w:rsidRPr="00234973">
        <w:rPr>
          <w:noProof/>
          <w:szCs w:val="22"/>
        </w:rPr>
        <w:t>varovať</w:t>
      </w:r>
      <w:r w:rsidR="00AD0419">
        <w:rPr>
          <w:noProof/>
          <w:szCs w:val="22"/>
        </w:rPr>
        <w:t xml:space="preserve"> vysokému</w:t>
      </w:r>
      <w:r w:rsidR="00234973" w:rsidRPr="00234973">
        <w:rPr>
          <w:noProof/>
          <w:szCs w:val="22"/>
        </w:rPr>
        <w:t xml:space="preserve"> príjmu </w:t>
      </w:r>
      <w:r w:rsidRPr="00234973">
        <w:rPr>
          <w:noProof/>
          <w:szCs w:val="22"/>
        </w:rPr>
        <w:t>vitamínu D.</w:t>
      </w:r>
    </w:p>
    <w:p w:rsidR="003A18E8" w:rsidRPr="00234973" w:rsidRDefault="003A18E8" w:rsidP="00234973">
      <w:pPr>
        <w:ind w:left="0" w:firstLine="0"/>
        <w:rPr>
          <w:noProof/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08042F">
        <w:rPr>
          <w:b/>
          <w:szCs w:val="22"/>
        </w:rPr>
        <w:t>4.5</w:t>
      </w:r>
      <w:r w:rsidRPr="0008042F">
        <w:rPr>
          <w:b/>
          <w:szCs w:val="22"/>
        </w:rPr>
        <w:tab/>
        <w:t>Liekové a</w:t>
      </w:r>
      <w:r w:rsidR="00A236CF" w:rsidRPr="0008042F">
        <w:rPr>
          <w:b/>
          <w:szCs w:val="22"/>
        </w:rPr>
        <w:t> </w:t>
      </w:r>
      <w:r w:rsidRPr="00FF41B4">
        <w:rPr>
          <w:b/>
          <w:szCs w:val="22"/>
        </w:rPr>
        <w:t>iné interakcie</w:t>
      </w:r>
    </w:p>
    <w:p w:rsidR="00780926" w:rsidRPr="003021DE" w:rsidRDefault="00780926" w:rsidP="00E41B3F">
      <w:pPr>
        <w:rPr>
          <w:szCs w:val="22"/>
        </w:rPr>
      </w:pPr>
    </w:p>
    <w:p w:rsidR="00950607" w:rsidRPr="00234973" w:rsidRDefault="00950607" w:rsidP="00950607">
      <w:pPr>
        <w:rPr>
          <w:i/>
          <w:noProof/>
        </w:rPr>
      </w:pPr>
      <w:r w:rsidRPr="00234973">
        <w:rPr>
          <w:i/>
          <w:noProof/>
        </w:rPr>
        <w:t>Srdcové glykozidy</w:t>
      </w:r>
    </w:p>
    <w:p w:rsidR="00690BA7" w:rsidRPr="00690BA7" w:rsidRDefault="00690BA7" w:rsidP="00690BA7">
      <w:pPr>
        <w:ind w:left="0" w:firstLine="0"/>
        <w:rPr>
          <w:color w:val="222222"/>
          <w:szCs w:val="22"/>
        </w:rPr>
      </w:pPr>
      <w:r w:rsidRPr="00690BA7">
        <w:rPr>
          <w:color w:val="222222"/>
          <w:szCs w:val="22"/>
        </w:rPr>
        <w:t xml:space="preserve">Vápnik môže zvyšovať účinok </w:t>
      </w:r>
      <w:proofErr w:type="spellStart"/>
      <w:r w:rsidRPr="00690BA7">
        <w:rPr>
          <w:color w:val="222222"/>
          <w:szCs w:val="22"/>
        </w:rPr>
        <w:t>digoxínu</w:t>
      </w:r>
      <w:proofErr w:type="spellEnd"/>
      <w:r w:rsidRPr="00690BA7">
        <w:rPr>
          <w:color w:val="222222"/>
          <w:szCs w:val="22"/>
        </w:rPr>
        <w:t xml:space="preserve"> a iných srdcových </w:t>
      </w:r>
      <w:proofErr w:type="spellStart"/>
      <w:r w:rsidRPr="00690BA7">
        <w:rPr>
          <w:color w:val="222222"/>
          <w:szCs w:val="22"/>
        </w:rPr>
        <w:t>glykozidov</w:t>
      </w:r>
      <w:proofErr w:type="spellEnd"/>
      <w:r w:rsidRPr="00690BA7">
        <w:rPr>
          <w:color w:val="222222"/>
          <w:szCs w:val="22"/>
        </w:rPr>
        <w:t>, čo môže spôsobiť závažnú toxicitu. Intravenózn</w:t>
      </w:r>
      <w:r w:rsidR="00764082">
        <w:rPr>
          <w:color w:val="222222"/>
          <w:szCs w:val="22"/>
        </w:rPr>
        <w:t>e podávanie</w:t>
      </w:r>
      <w:r w:rsidRPr="00690BA7">
        <w:rPr>
          <w:color w:val="222222"/>
          <w:szCs w:val="22"/>
        </w:rPr>
        <w:t xml:space="preserve"> liekov obsahujúcich vápnik pacientom liečených srdcovými </w:t>
      </w:r>
      <w:proofErr w:type="spellStart"/>
      <w:r w:rsidRPr="00690BA7">
        <w:rPr>
          <w:color w:val="222222"/>
          <w:szCs w:val="22"/>
        </w:rPr>
        <w:t>glykozidmi</w:t>
      </w:r>
      <w:proofErr w:type="spellEnd"/>
      <w:r w:rsidRPr="00690BA7">
        <w:rPr>
          <w:color w:val="222222"/>
          <w:szCs w:val="22"/>
        </w:rPr>
        <w:t xml:space="preserve"> je preto kontraindikovan</w:t>
      </w:r>
      <w:r w:rsidR="00764082">
        <w:rPr>
          <w:color w:val="222222"/>
          <w:szCs w:val="22"/>
        </w:rPr>
        <w:t>é</w:t>
      </w:r>
      <w:r w:rsidRPr="00690BA7">
        <w:rPr>
          <w:color w:val="222222"/>
          <w:szCs w:val="22"/>
        </w:rPr>
        <w:t>. Jedinou výnimkou intravenózne</w:t>
      </w:r>
      <w:r w:rsidR="00A32871">
        <w:rPr>
          <w:color w:val="222222"/>
          <w:szCs w:val="22"/>
        </w:rPr>
        <w:t>ho</w:t>
      </w:r>
      <w:r w:rsidRPr="00690BA7">
        <w:rPr>
          <w:color w:val="222222"/>
          <w:szCs w:val="22"/>
        </w:rPr>
        <w:t xml:space="preserve"> pod</w:t>
      </w:r>
      <w:r w:rsidR="00764082">
        <w:rPr>
          <w:color w:val="222222"/>
          <w:szCs w:val="22"/>
        </w:rPr>
        <w:t>áv</w:t>
      </w:r>
      <w:r w:rsidRPr="00690BA7">
        <w:rPr>
          <w:color w:val="222222"/>
          <w:szCs w:val="22"/>
        </w:rPr>
        <w:t>ani</w:t>
      </w:r>
      <w:r w:rsidR="00A32871">
        <w:rPr>
          <w:color w:val="222222"/>
          <w:szCs w:val="22"/>
        </w:rPr>
        <w:t>a</w:t>
      </w:r>
      <w:r w:rsidRPr="00690BA7">
        <w:rPr>
          <w:color w:val="222222"/>
          <w:szCs w:val="22"/>
        </w:rPr>
        <w:t xml:space="preserve"> vápnika </w:t>
      </w:r>
      <w:r w:rsidR="00A32871">
        <w:rPr>
          <w:color w:val="222222"/>
          <w:szCs w:val="22"/>
        </w:rPr>
        <w:t xml:space="preserve">je </w:t>
      </w:r>
      <w:r w:rsidRPr="00690BA7">
        <w:rPr>
          <w:color w:val="222222"/>
          <w:szCs w:val="22"/>
        </w:rPr>
        <w:t>nevyhnutn</w:t>
      </w:r>
      <w:r w:rsidR="00A32871">
        <w:rPr>
          <w:color w:val="222222"/>
          <w:szCs w:val="22"/>
        </w:rPr>
        <w:t>á</w:t>
      </w:r>
      <w:r w:rsidR="008B12C5">
        <w:rPr>
          <w:color w:val="222222"/>
          <w:szCs w:val="22"/>
        </w:rPr>
        <w:t xml:space="preserve"> </w:t>
      </w:r>
      <w:r w:rsidRPr="00690BA7">
        <w:rPr>
          <w:color w:val="222222"/>
          <w:szCs w:val="22"/>
        </w:rPr>
        <w:t>liečb</w:t>
      </w:r>
      <w:r w:rsidR="00A32871">
        <w:rPr>
          <w:color w:val="222222"/>
          <w:szCs w:val="22"/>
        </w:rPr>
        <w:t>a</w:t>
      </w:r>
      <w:r w:rsidRPr="00690BA7">
        <w:rPr>
          <w:color w:val="222222"/>
          <w:szCs w:val="22"/>
        </w:rPr>
        <w:t xml:space="preserve"> závažných </w:t>
      </w:r>
      <w:r w:rsidR="00F82E0B">
        <w:rPr>
          <w:color w:val="222222"/>
          <w:szCs w:val="22"/>
        </w:rPr>
        <w:t>príznakov</w:t>
      </w:r>
      <w:r w:rsidR="00F82E0B" w:rsidRPr="00690BA7">
        <w:rPr>
          <w:color w:val="222222"/>
          <w:szCs w:val="22"/>
        </w:rPr>
        <w:t xml:space="preserve"> </w:t>
      </w:r>
      <w:proofErr w:type="spellStart"/>
      <w:r w:rsidRPr="00690BA7">
        <w:rPr>
          <w:color w:val="222222"/>
          <w:szCs w:val="22"/>
        </w:rPr>
        <w:t>hypokalciémie</w:t>
      </w:r>
      <w:proofErr w:type="spellEnd"/>
      <w:r w:rsidRPr="00690BA7">
        <w:rPr>
          <w:color w:val="222222"/>
          <w:szCs w:val="22"/>
        </w:rPr>
        <w:t xml:space="preserve">, ktorá </w:t>
      </w:r>
      <w:r w:rsidR="008B12C5">
        <w:rPr>
          <w:color w:val="222222"/>
          <w:szCs w:val="22"/>
        </w:rPr>
        <w:t xml:space="preserve">ohrozuje život </w:t>
      </w:r>
      <w:r w:rsidRPr="00690BA7">
        <w:rPr>
          <w:color w:val="222222"/>
          <w:szCs w:val="22"/>
        </w:rPr>
        <w:t>pacienta, a</w:t>
      </w:r>
      <w:r w:rsidR="001842E6">
        <w:rPr>
          <w:color w:val="222222"/>
          <w:szCs w:val="22"/>
        </w:rPr>
        <w:t>k</w:t>
      </w:r>
      <w:r w:rsidRPr="00690BA7">
        <w:rPr>
          <w:color w:val="222222"/>
          <w:szCs w:val="22"/>
        </w:rPr>
        <w:t xml:space="preserve"> nie </w:t>
      </w:r>
      <w:r w:rsidR="005F3E71">
        <w:rPr>
          <w:color w:val="222222"/>
          <w:szCs w:val="22"/>
        </w:rPr>
        <w:t>sú</w:t>
      </w:r>
      <w:r w:rsidRPr="00690BA7">
        <w:rPr>
          <w:color w:val="222222"/>
          <w:szCs w:val="22"/>
        </w:rPr>
        <w:t xml:space="preserve"> dostupn</w:t>
      </w:r>
      <w:r w:rsidR="005F3E71">
        <w:rPr>
          <w:color w:val="222222"/>
          <w:szCs w:val="22"/>
        </w:rPr>
        <w:t>é</w:t>
      </w:r>
      <w:r w:rsidRPr="00690BA7">
        <w:rPr>
          <w:color w:val="222222"/>
          <w:szCs w:val="22"/>
        </w:rPr>
        <w:t xml:space="preserve"> in</w:t>
      </w:r>
      <w:r w:rsidR="005F3E71">
        <w:rPr>
          <w:color w:val="222222"/>
          <w:szCs w:val="22"/>
        </w:rPr>
        <w:t>é</w:t>
      </w:r>
      <w:r w:rsidRPr="00690BA7">
        <w:rPr>
          <w:color w:val="222222"/>
          <w:szCs w:val="22"/>
        </w:rPr>
        <w:t xml:space="preserve"> </w:t>
      </w:r>
      <w:r w:rsidRPr="00F06247">
        <w:rPr>
          <w:szCs w:val="22"/>
        </w:rPr>
        <w:t>bezpečn</w:t>
      </w:r>
      <w:r w:rsidR="005F3E71" w:rsidRPr="00F06247">
        <w:rPr>
          <w:szCs w:val="22"/>
        </w:rPr>
        <w:t>ejšie</w:t>
      </w:r>
      <w:r w:rsidRPr="00F06247">
        <w:rPr>
          <w:szCs w:val="22"/>
        </w:rPr>
        <w:t xml:space="preserve"> </w:t>
      </w:r>
      <w:r w:rsidR="005F3E71" w:rsidRPr="00F06247">
        <w:rPr>
          <w:rStyle w:val="tlid-translation"/>
          <w:rFonts w:ascii="Roboto" w:hAnsi="Roboto"/>
        </w:rPr>
        <w:t>terapeutické alternatívy</w:t>
      </w:r>
      <w:r w:rsidRPr="00690BA7">
        <w:rPr>
          <w:color w:val="222222"/>
          <w:szCs w:val="22"/>
        </w:rPr>
        <w:t xml:space="preserve"> a perorálne pod</w:t>
      </w:r>
      <w:r w:rsidR="00764082">
        <w:rPr>
          <w:color w:val="222222"/>
          <w:szCs w:val="22"/>
        </w:rPr>
        <w:t>áv</w:t>
      </w:r>
      <w:r w:rsidRPr="00690BA7">
        <w:rPr>
          <w:color w:val="222222"/>
          <w:szCs w:val="22"/>
        </w:rPr>
        <w:t>anie vápnika nie je možné (pozri tiež časti 4.3 a 4.4).</w:t>
      </w:r>
    </w:p>
    <w:p w:rsidR="00690BA7" w:rsidRDefault="00690BA7" w:rsidP="00950607">
      <w:pPr>
        <w:rPr>
          <w:noProof/>
        </w:rPr>
      </w:pPr>
    </w:p>
    <w:p w:rsidR="00950607" w:rsidRPr="008A07D0" w:rsidRDefault="00ED5A45" w:rsidP="00950607">
      <w:pPr>
        <w:rPr>
          <w:i/>
          <w:noProof/>
        </w:rPr>
      </w:pPr>
      <w:r>
        <w:rPr>
          <w:i/>
          <w:noProof/>
        </w:rPr>
        <w:t>Adrenalín</w:t>
      </w:r>
    </w:p>
    <w:p w:rsidR="00950607" w:rsidRDefault="00950607" w:rsidP="00690BA7">
      <w:pPr>
        <w:ind w:left="0" w:firstLine="0"/>
        <w:rPr>
          <w:noProof/>
        </w:rPr>
      </w:pPr>
      <w:r>
        <w:rPr>
          <w:noProof/>
        </w:rPr>
        <w:t xml:space="preserve">Súbežné podávanie vápnika a </w:t>
      </w:r>
      <w:r w:rsidR="00ED5A45">
        <w:rPr>
          <w:noProof/>
        </w:rPr>
        <w:t>adrenalínu</w:t>
      </w:r>
      <w:r>
        <w:rPr>
          <w:noProof/>
        </w:rPr>
        <w:t xml:space="preserve"> z</w:t>
      </w:r>
      <w:r w:rsidR="008A07D0">
        <w:rPr>
          <w:noProof/>
        </w:rPr>
        <w:t>oslabuje</w:t>
      </w:r>
      <w:r>
        <w:rPr>
          <w:noProof/>
        </w:rPr>
        <w:t xml:space="preserve"> </w:t>
      </w:r>
      <w:r w:rsidR="008A07D0">
        <w:rPr>
          <w:noProof/>
        </w:rPr>
        <w:t>beta</w:t>
      </w:r>
      <w:r>
        <w:rPr>
          <w:noProof/>
        </w:rPr>
        <w:t xml:space="preserve">-adrenergné účinky </w:t>
      </w:r>
      <w:r w:rsidR="00ED5A45">
        <w:rPr>
          <w:noProof/>
        </w:rPr>
        <w:t>adrenalínu</w:t>
      </w:r>
      <w:r>
        <w:rPr>
          <w:noProof/>
        </w:rPr>
        <w:t xml:space="preserve"> u</w:t>
      </w:r>
      <w:r w:rsidR="008A07D0">
        <w:rPr>
          <w:noProof/>
        </w:rPr>
        <w:t> </w:t>
      </w:r>
      <w:r>
        <w:rPr>
          <w:noProof/>
        </w:rPr>
        <w:t>pacientov</w:t>
      </w:r>
      <w:r w:rsidR="008A07D0">
        <w:rPr>
          <w:noProof/>
        </w:rPr>
        <w:t xml:space="preserve">, ktorí </w:t>
      </w:r>
      <w:r w:rsidR="00690BA7">
        <w:rPr>
          <w:noProof/>
        </w:rPr>
        <w:t xml:space="preserve">podstúpili </w:t>
      </w:r>
      <w:r>
        <w:rPr>
          <w:noProof/>
        </w:rPr>
        <w:t>operáci</w:t>
      </w:r>
      <w:r w:rsidR="00690BA7">
        <w:rPr>
          <w:noProof/>
        </w:rPr>
        <w:t>u</w:t>
      </w:r>
      <w:r>
        <w:rPr>
          <w:noProof/>
        </w:rPr>
        <w:t xml:space="preserve"> srdca (pozri časť 4.4).</w:t>
      </w:r>
    </w:p>
    <w:p w:rsidR="00950607" w:rsidRDefault="00950607" w:rsidP="00950607">
      <w:pPr>
        <w:rPr>
          <w:noProof/>
        </w:rPr>
      </w:pPr>
    </w:p>
    <w:p w:rsidR="00950607" w:rsidRPr="008A07D0" w:rsidRDefault="008A07D0" w:rsidP="00950607">
      <w:pPr>
        <w:rPr>
          <w:i/>
          <w:noProof/>
        </w:rPr>
      </w:pPr>
      <w:r>
        <w:rPr>
          <w:i/>
          <w:noProof/>
        </w:rPr>
        <w:t>Horčík</w:t>
      </w:r>
    </w:p>
    <w:p w:rsidR="00950607" w:rsidRDefault="00950607" w:rsidP="00950607">
      <w:pPr>
        <w:rPr>
          <w:noProof/>
        </w:rPr>
      </w:pPr>
      <w:r>
        <w:rPr>
          <w:noProof/>
        </w:rPr>
        <w:t>Vápnik a horčík vzájomne antagonizujú svoje účinky.</w:t>
      </w:r>
    </w:p>
    <w:p w:rsidR="00950607" w:rsidRDefault="00950607" w:rsidP="00950607">
      <w:pPr>
        <w:rPr>
          <w:noProof/>
        </w:rPr>
      </w:pPr>
    </w:p>
    <w:p w:rsidR="00950607" w:rsidRPr="008A07D0" w:rsidRDefault="00950607" w:rsidP="00950607">
      <w:pPr>
        <w:rPr>
          <w:i/>
          <w:noProof/>
        </w:rPr>
      </w:pPr>
      <w:r w:rsidRPr="008A07D0">
        <w:rPr>
          <w:i/>
          <w:noProof/>
        </w:rPr>
        <w:t>Antagonisty vápnika</w:t>
      </w:r>
    </w:p>
    <w:p w:rsidR="00950607" w:rsidRDefault="00950607" w:rsidP="00ED5A45">
      <w:pPr>
        <w:ind w:left="0" w:firstLine="0"/>
        <w:rPr>
          <w:noProof/>
        </w:rPr>
      </w:pPr>
      <w:r>
        <w:rPr>
          <w:noProof/>
        </w:rPr>
        <w:t xml:space="preserve">Vápnik môže antagonizovať účinok antagonistov vápnika (blokátorov </w:t>
      </w:r>
      <w:r w:rsidR="00ED5A45">
        <w:rPr>
          <w:noProof/>
        </w:rPr>
        <w:t>vápnikových</w:t>
      </w:r>
      <w:r>
        <w:rPr>
          <w:noProof/>
        </w:rPr>
        <w:t xml:space="preserve"> kanálov).</w:t>
      </w:r>
    </w:p>
    <w:p w:rsidR="00950607" w:rsidRDefault="00950607" w:rsidP="00950607">
      <w:pPr>
        <w:rPr>
          <w:noProof/>
        </w:rPr>
      </w:pPr>
    </w:p>
    <w:p w:rsidR="00950607" w:rsidRPr="008A07D0" w:rsidRDefault="00950607" w:rsidP="00950607">
      <w:pPr>
        <w:rPr>
          <w:i/>
          <w:noProof/>
        </w:rPr>
      </w:pPr>
      <w:r w:rsidRPr="008A07D0">
        <w:rPr>
          <w:i/>
          <w:noProof/>
        </w:rPr>
        <w:t>Tiazidové diuretiká</w:t>
      </w:r>
    </w:p>
    <w:p w:rsidR="00950607" w:rsidRDefault="00950607" w:rsidP="008A07D0">
      <w:pPr>
        <w:ind w:left="0" w:firstLine="0"/>
        <w:rPr>
          <w:noProof/>
        </w:rPr>
      </w:pPr>
      <w:r>
        <w:rPr>
          <w:noProof/>
        </w:rPr>
        <w:t>Kombinácia s tiazidovými diuretikami môže vyvolať hyperkalc</w:t>
      </w:r>
      <w:r w:rsidR="008A07D0">
        <w:rPr>
          <w:noProof/>
        </w:rPr>
        <w:t>i</w:t>
      </w:r>
      <w:r>
        <w:rPr>
          <w:noProof/>
        </w:rPr>
        <w:t>émiu, pretože tieto lieky znižujú vylučovanie vápnika obličkami.</w:t>
      </w:r>
    </w:p>
    <w:p w:rsidR="00950607" w:rsidRDefault="00950607" w:rsidP="00950607">
      <w:pPr>
        <w:rPr>
          <w:noProof/>
        </w:rPr>
      </w:pPr>
    </w:p>
    <w:p w:rsidR="00950607" w:rsidRPr="00234973" w:rsidRDefault="00950607" w:rsidP="00950607">
      <w:pPr>
        <w:rPr>
          <w:i/>
          <w:noProof/>
        </w:rPr>
      </w:pPr>
      <w:r w:rsidRPr="00234973">
        <w:rPr>
          <w:i/>
          <w:noProof/>
        </w:rPr>
        <w:t>Fyzikálne inkompatibility vrátane interakcie s ceftriax</w:t>
      </w:r>
      <w:r w:rsidR="00A83C9F">
        <w:rPr>
          <w:i/>
          <w:noProof/>
        </w:rPr>
        <w:t>ó</w:t>
      </w:r>
      <w:r w:rsidRPr="00234973">
        <w:rPr>
          <w:i/>
          <w:noProof/>
        </w:rPr>
        <w:t>nom</w:t>
      </w:r>
    </w:p>
    <w:p w:rsidR="00780926" w:rsidRDefault="00950607" w:rsidP="00950607">
      <w:pPr>
        <w:rPr>
          <w:noProof/>
        </w:rPr>
      </w:pPr>
      <w:r>
        <w:rPr>
          <w:noProof/>
        </w:rPr>
        <w:t>Pozri čas</w:t>
      </w:r>
      <w:r w:rsidR="00B57C34">
        <w:rPr>
          <w:noProof/>
        </w:rPr>
        <w:t>ť</w:t>
      </w:r>
      <w:r>
        <w:rPr>
          <w:noProof/>
        </w:rPr>
        <w:t xml:space="preserve"> 4.4 a</w:t>
      </w:r>
      <w:r w:rsidR="00B57C34">
        <w:rPr>
          <w:noProof/>
        </w:rPr>
        <w:t xml:space="preserve"> časť </w:t>
      </w:r>
      <w:r>
        <w:rPr>
          <w:noProof/>
        </w:rPr>
        <w:t>6.2.</w:t>
      </w:r>
    </w:p>
    <w:p w:rsidR="00950607" w:rsidRPr="003021DE" w:rsidRDefault="00950607" w:rsidP="00950607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4.6</w:t>
      </w:r>
      <w:r w:rsidRPr="003021DE">
        <w:rPr>
          <w:b/>
          <w:szCs w:val="22"/>
        </w:rPr>
        <w:tab/>
      </w:r>
      <w:r w:rsidR="00E1698A" w:rsidRPr="003021DE">
        <w:rPr>
          <w:b/>
          <w:noProof/>
          <w:szCs w:val="22"/>
        </w:rPr>
        <w:t>Fertilita, g</w:t>
      </w:r>
      <w:r w:rsidRPr="003021DE">
        <w:rPr>
          <w:b/>
          <w:szCs w:val="22"/>
        </w:rPr>
        <w:t>ravidita a</w:t>
      </w:r>
      <w:r w:rsidR="00BD7004" w:rsidRPr="00B13F68">
        <w:rPr>
          <w:b/>
          <w:szCs w:val="22"/>
        </w:rPr>
        <w:t> </w:t>
      </w:r>
      <w:r w:rsidRPr="003021DE">
        <w:rPr>
          <w:b/>
          <w:szCs w:val="22"/>
        </w:rPr>
        <w:t>laktácia</w:t>
      </w:r>
    </w:p>
    <w:p w:rsidR="00E1698A" w:rsidRPr="00B13F68" w:rsidRDefault="00E1698A" w:rsidP="00E41B3F"/>
    <w:p w:rsidR="00E1698A" w:rsidRDefault="00E1698A" w:rsidP="00E41B3F">
      <w:pPr>
        <w:rPr>
          <w:noProof/>
          <w:szCs w:val="22"/>
        </w:rPr>
      </w:pPr>
      <w:r w:rsidRPr="00B13F68">
        <w:rPr>
          <w:noProof/>
          <w:szCs w:val="22"/>
          <w:u w:val="single"/>
        </w:rPr>
        <w:t>Gravidita</w:t>
      </w:r>
    </w:p>
    <w:p w:rsidR="0007744D" w:rsidRPr="001F5744" w:rsidRDefault="0007744D" w:rsidP="0007744D">
      <w:pPr>
        <w:rPr>
          <w:szCs w:val="22"/>
        </w:rPr>
      </w:pPr>
      <w:r w:rsidRPr="001F5744">
        <w:rPr>
          <w:szCs w:val="22"/>
        </w:rPr>
        <w:t>Vápnik prechádza placentárnou bariérou a jeho koncentrácia v krvi plodu je vyššia ako v krvi matky.</w:t>
      </w:r>
    </w:p>
    <w:p w:rsidR="0007744D" w:rsidRDefault="0007744D" w:rsidP="00E41B3F">
      <w:pPr>
        <w:rPr>
          <w:noProof/>
          <w:szCs w:val="22"/>
        </w:rPr>
      </w:pPr>
    </w:p>
    <w:p w:rsidR="0007744D" w:rsidRPr="001F5744" w:rsidRDefault="0007744D" w:rsidP="0007744D">
      <w:pPr>
        <w:ind w:left="0" w:firstLine="0"/>
        <w:rPr>
          <w:szCs w:val="22"/>
        </w:rPr>
      </w:pPr>
      <w:proofErr w:type="spellStart"/>
      <w:r w:rsidRPr="00047ADD">
        <w:rPr>
          <w:szCs w:val="22"/>
        </w:rPr>
        <w:t>Calcium</w:t>
      </w:r>
      <w:proofErr w:type="spellEnd"/>
      <w:r w:rsidRPr="00047ADD">
        <w:rPr>
          <w:szCs w:val="22"/>
        </w:rPr>
        <w:t xml:space="preserve"> </w:t>
      </w:r>
      <w:proofErr w:type="spellStart"/>
      <w:r w:rsidRPr="00047ADD">
        <w:rPr>
          <w:szCs w:val="22"/>
        </w:rPr>
        <w:t>Gluconate</w:t>
      </w:r>
      <w:proofErr w:type="spellEnd"/>
      <w:r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Pr="001F5744">
        <w:rPr>
          <w:szCs w:val="22"/>
        </w:rPr>
        <w:t xml:space="preserve"> sa nemá používať počas gravidity, pokiaľ klinický stav ženy nevyžaduje liečbu </w:t>
      </w:r>
      <w:r w:rsidR="0040270A">
        <w:rPr>
          <w:szCs w:val="22"/>
        </w:rPr>
        <w:t xml:space="preserve">liekom </w:t>
      </w:r>
      <w:proofErr w:type="spellStart"/>
      <w:r w:rsidRPr="00047ADD">
        <w:rPr>
          <w:szCs w:val="22"/>
        </w:rPr>
        <w:t>Calcium</w:t>
      </w:r>
      <w:proofErr w:type="spellEnd"/>
      <w:r w:rsidRPr="00047ADD">
        <w:rPr>
          <w:szCs w:val="22"/>
        </w:rPr>
        <w:t xml:space="preserve"> </w:t>
      </w:r>
      <w:proofErr w:type="spellStart"/>
      <w:r w:rsidRPr="00047ADD">
        <w:rPr>
          <w:szCs w:val="22"/>
        </w:rPr>
        <w:t>Gluconate</w:t>
      </w:r>
      <w:proofErr w:type="spellEnd"/>
      <w:r w:rsidRPr="00047ADD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Pr="001F5744">
        <w:rPr>
          <w:szCs w:val="22"/>
        </w:rPr>
        <w:t>. Podávaná dávka sa má starostlivo vypočítať a hladina vápnika v sére pravidelne vyhodnoc</w:t>
      </w:r>
      <w:r>
        <w:rPr>
          <w:szCs w:val="22"/>
        </w:rPr>
        <w:t>ovať</w:t>
      </w:r>
      <w:r w:rsidRPr="001F5744">
        <w:rPr>
          <w:szCs w:val="22"/>
        </w:rPr>
        <w:t xml:space="preserve">, aby sa </w:t>
      </w:r>
      <w:r>
        <w:rPr>
          <w:szCs w:val="22"/>
        </w:rPr>
        <w:t>predišlo vzniku</w:t>
      </w:r>
      <w:r w:rsidRPr="001F5744">
        <w:rPr>
          <w:szCs w:val="22"/>
        </w:rPr>
        <w:t xml:space="preserve"> </w:t>
      </w:r>
      <w:proofErr w:type="spellStart"/>
      <w:r w:rsidRPr="001F5744">
        <w:rPr>
          <w:szCs w:val="22"/>
        </w:rPr>
        <w:t>hyperkalc</w:t>
      </w:r>
      <w:r>
        <w:rPr>
          <w:szCs w:val="22"/>
        </w:rPr>
        <w:t>i</w:t>
      </w:r>
      <w:r w:rsidRPr="001F5744">
        <w:rPr>
          <w:szCs w:val="22"/>
        </w:rPr>
        <w:t>émi</w:t>
      </w:r>
      <w:r>
        <w:rPr>
          <w:szCs w:val="22"/>
        </w:rPr>
        <w:t>e</w:t>
      </w:r>
      <w:proofErr w:type="spellEnd"/>
      <w:r w:rsidRPr="001F5744">
        <w:rPr>
          <w:szCs w:val="22"/>
        </w:rPr>
        <w:t xml:space="preserve">, ktorá môže byť </w:t>
      </w:r>
      <w:r>
        <w:rPr>
          <w:szCs w:val="22"/>
        </w:rPr>
        <w:t xml:space="preserve">pre plod </w:t>
      </w:r>
      <w:r w:rsidRPr="001F5744">
        <w:rPr>
          <w:szCs w:val="22"/>
        </w:rPr>
        <w:t>škodlivá.</w:t>
      </w:r>
    </w:p>
    <w:p w:rsidR="0007744D" w:rsidRPr="003021DE" w:rsidRDefault="0007744D" w:rsidP="00E41B3F">
      <w:pPr>
        <w:rPr>
          <w:noProof/>
          <w:szCs w:val="22"/>
        </w:rPr>
      </w:pPr>
    </w:p>
    <w:p w:rsidR="00E1698A" w:rsidRPr="003021DE" w:rsidRDefault="00BB6D67" w:rsidP="00E41B3F">
      <w:pPr>
        <w:rPr>
          <w:noProof/>
          <w:szCs w:val="22"/>
        </w:rPr>
      </w:pPr>
      <w:r>
        <w:rPr>
          <w:noProof/>
          <w:szCs w:val="22"/>
          <w:u w:val="single"/>
        </w:rPr>
        <w:t>Dojčenie</w:t>
      </w:r>
    </w:p>
    <w:p w:rsidR="00735FB1" w:rsidRPr="00735FB1" w:rsidRDefault="0007744D" w:rsidP="00735FB1">
      <w:pPr>
        <w:ind w:left="0" w:firstLine="0"/>
        <w:rPr>
          <w:szCs w:val="22"/>
        </w:rPr>
      </w:pPr>
      <w:r w:rsidRPr="00735FB1">
        <w:rPr>
          <w:szCs w:val="22"/>
        </w:rPr>
        <w:t xml:space="preserve">Vápnik sa vylučuje do materského mlieka. Toto treba mať na pamäti pri podávaní vápnika ženám, ktoré dojčia svoje deti. </w:t>
      </w:r>
      <w:r w:rsidR="00735FB1" w:rsidRPr="00735FB1">
        <w:rPr>
          <w:szCs w:val="22"/>
        </w:rPr>
        <w:t>Rozhodnutie</w:t>
      </w:r>
      <w:r w:rsidR="00B57C34">
        <w:rPr>
          <w:szCs w:val="22"/>
        </w:rPr>
        <w:t>,</w:t>
      </w:r>
      <w:r w:rsidR="00735FB1" w:rsidRPr="00735FB1">
        <w:rPr>
          <w:szCs w:val="22"/>
        </w:rPr>
        <w:t xml:space="preserve"> či ukončiť dojčenie alebo ukončiť/prerušiť liečbu </w:t>
      </w:r>
      <w:r w:rsidR="0040270A">
        <w:rPr>
          <w:szCs w:val="22"/>
        </w:rPr>
        <w:t xml:space="preserve">liekom </w:t>
      </w:r>
      <w:proofErr w:type="spellStart"/>
      <w:r w:rsidR="00735FB1" w:rsidRPr="00735FB1">
        <w:rPr>
          <w:szCs w:val="22"/>
        </w:rPr>
        <w:t>Calcium</w:t>
      </w:r>
      <w:proofErr w:type="spellEnd"/>
      <w:r w:rsidR="00735FB1" w:rsidRPr="00735FB1">
        <w:rPr>
          <w:szCs w:val="22"/>
        </w:rPr>
        <w:t xml:space="preserve"> </w:t>
      </w:r>
      <w:proofErr w:type="spellStart"/>
      <w:r w:rsidR="00735FB1" w:rsidRPr="00735FB1">
        <w:rPr>
          <w:szCs w:val="22"/>
        </w:rPr>
        <w:t>Gluconate</w:t>
      </w:r>
      <w:proofErr w:type="spellEnd"/>
      <w:r w:rsidR="00735FB1" w:rsidRPr="00735FB1">
        <w:rPr>
          <w:szCs w:val="22"/>
        </w:rPr>
        <w:t xml:space="preserve"> </w:t>
      </w:r>
      <w:proofErr w:type="spellStart"/>
      <w:r w:rsidR="00FF034B">
        <w:rPr>
          <w:szCs w:val="22"/>
        </w:rPr>
        <w:t>Hameln</w:t>
      </w:r>
      <w:proofErr w:type="spellEnd"/>
      <w:r w:rsidR="00735FB1" w:rsidRPr="00735FB1">
        <w:rPr>
          <w:szCs w:val="22"/>
        </w:rPr>
        <w:t xml:space="preserve"> sa m</w:t>
      </w:r>
      <w:r w:rsidR="0040270A">
        <w:rPr>
          <w:szCs w:val="22"/>
        </w:rPr>
        <w:t>usí</w:t>
      </w:r>
      <w:r w:rsidR="00735FB1" w:rsidRPr="00735FB1">
        <w:rPr>
          <w:szCs w:val="22"/>
        </w:rPr>
        <w:t xml:space="preserve"> urobiť po zvážení prínosu dojčenia pre dieťa a prínosu liečby pre ženu.</w:t>
      </w:r>
    </w:p>
    <w:p w:rsidR="0007744D" w:rsidRPr="00735FB1" w:rsidRDefault="0007744D" w:rsidP="0007744D">
      <w:pPr>
        <w:rPr>
          <w:szCs w:val="22"/>
        </w:rPr>
      </w:pPr>
    </w:p>
    <w:p w:rsidR="00E1698A" w:rsidRPr="003021DE" w:rsidRDefault="00E1698A" w:rsidP="00E41B3F">
      <w:pPr>
        <w:rPr>
          <w:noProof/>
          <w:szCs w:val="22"/>
        </w:rPr>
      </w:pPr>
      <w:r w:rsidRPr="00B13F68">
        <w:rPr>
          <w:noProof/>
          <w:szCs w:val="22"/>
          <w:u w:val="single"/>
        </w:rPr>
        <w:t>Fertilita</w:t>
      </w:r>
    </w:p>
    <w:p w:rsidR="00780926" w:rsidRDefault="00735FB1" w:rsidP="00E41B3F">
      <w:pPr>
        <w:rPr>
          <w:szCs w:val="22"/>
        </w:rPr>
      </w:pPr>
      <w:r w:rsidRPr="001F5744">
        <w:rPr>
          <w:szCs w:val="22"/>
        </w:rPr>
        <w:t>Nie sú k dispozícii žiadne údaje.</w:t>
      </w:r>
    </w:p>
    <w:p w:rsidR="001F5744" w:rsidRPr="003021DE" w:rsidRDefault="001F5744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4.7</w:t>
      </w:r>
      <w:r w:rsidRPr="003021DE">
        <w:rPr>
          <w:b/>
          <w:szCs w:val="22"/>
        </w:rPr>
        <w:tab/>
        <w:t>Ovplyvnenie schopnosti viesť vozidlá a</w:t>
      </w:r>
      <w:r w:rsidR="00F9666C">
        <w:rPr>
          <w:b/>
          <w:szCs w:val="22"/>
        </w:rPr>
        <w:t> </w:t>
      </w:r>
      <w:r w:rsidRPr="003021DE">
        <w:rPr>
          <w:b/>
          <w:szCs w:val="22"/>
        </w:rPr>
        <w:t>obsluhovať stroje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szCs w:val="22"/>
        </w:rPr>
        <w:t>Netýka sa.</w:t>
      </w:r>
    </w:p>
    <w:p w:rsidR="00780926" w:rsidRPr="003021DE" w:rsidRDefault="00780926" w:rsidP="00A75ECC">
      <w:pPr>
        <w:rPr>
          <w:szCs w:val="22"/>
        </w:rPr>
      </w:pPr>
    </w:p>
    <w:p w:rsidR="00780926" w:rsidRPr="003021DE" w:rsidRDefault="00780926" w:rsidP="000D7872">
      <w:pPr>
        <w:keepNext/>
        <w:rPr>
          <w:b/>
          <w:szCs w:val="22"/>
        </w:rPr>
      </w:pPr>
      <w:r w:rsidRPr="003021DE">
        <w:rPr>
          <w:b/>
          <w:szCs w:val="22"/>
        </w:rPr>
        <w:t>4.8</w:t>
      </w:r>
      <w:r w:rsidRPr="003021DE">
        <w:rPr>
          <w:b/>
          <w:szCs w:val="22"/>
        </w:rPr>
        <w:tab/>
      </w:r>
      <w:r w:rsidRPr="00690BA7">
        <w:rPr>
          <w:b/>
          <w:szCs w:val="22"/>
        </w:rPr>
        <w:t>Nežiaduce účinky</w:t>
      </w:r>
    </w:p>
    <w:p w:rsidR="00780926" w:rsidRPr="00E16F73" w:rsidRDefault="00780926" w:rsidP="000D7872">
      <w:pPr>
        <w:keepNext/>
        <w:rPr>
          <w:szCs w:val="22"/>
        </w:rPr>
      </w:pPr>
    </w:p>
    <w:p w:rsidR="00690BA7" w:rsidRDefault="00690BA7" w:rsidP="00E16F73">
      <w:pPr>
        <w:rPr>
          <w:szCs w:val="22"/>
        </w:rPr>
      </w:pPr>
      <w:r w:rsidRPr="00E16F73">
        <w:rPr>
          <w:szCs w:val="22"/>
        </w:rPr>
        <w:t>Frekvencia nižšie uvedených nežiaducich účinkov je definovaná podľa nasledujúcej konvencie:</w:t>
      </w:r>
    </w:p>
    <w:p w:rsidR="00E16F73" w:rsidRPr="00E16F73" w:rsidRDefault="00E16F73" w:rsidP="00E16F73">
      <w:pPr>
        <w:rPr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1194"/>
        <w:gridCol w:w="4228"/>
      </w:tblGrid>
      <w:tr w:rsidR="00E16F73" w:rsidRPr="00DC02F3" w:rsidTr="00F06247">
        <w:tc>
          <w:tcPr>
            <w:tcW w:w="8789" w:type="dxa"/>
            <w:gridSpan w:val="3"/>
            <w:shd w:val="clear" w:color="auto" w:fill="auto"/>
          </w:tcPr>
          <w:p w:rsidR="00690BA7" w:rsidRPr="00DC02F3" w:rsidRDefault="00690BA7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 xml:space="preserve">Veľmi časté </w:t>
            </w:r>
            <w:r w:rsidR="001C3BC0">
              <w:rPr>
                <w:szCs w:val="22"/>
              </w:rPr>
              <w:t>(</w:t>
            </w:r>
            <w:r w:rsidRPr="00DC02F3">
              <w:rPr>
                <w:szCs w:val="22"/>
              </w:rPr>
              <w:t>≥1/10</w:t>
            </w:r>
            <w:r w:rsidR="001C3BC0">
              <w:rPr>
                <w:szCs w:val="22"/>
              </w:rPr>
              <w:t>)</w:t>
            </w:r>
            <w:r w:rsidRPr="00DC02F3">
              <w:rPr>
                <w:szCs w:val="22"/>
              </w:rPr>
              <w:t xml:space="preserve">; Časté </w:t>
            </w:r>
            <w:r w:rsidR="001C3BC0">
              <w:rPr>
                <w:szCs w:val="22"/>
              </w:rPr>
              <w:t>(</w:t>
            </w:r>
            <w:r w:rsidRPr="00DC02F3">
              <w:rPr>
                <w:szCs w:val="22"/>
              </w:rPr>
              <w:t>≥1/100 až &lt;1/10</w:t>
            </w:r>
            <w:r w:rsidR="001C3BC0">
              <w:rPr>
                <w:szCs w:val="22"/>
              </w:rPr>
              <w:t>)</w:t>
            </w:r>
            <w:r w:rsidRPr="00DC02F3">
              <w:rPr>
                <w:szCs w:val="22"/>
              </w:rPr>
              <w:t xml:space="preserve">; Menej časté </w:t>
            </w:r>
            <w:r w:rsidR="001C3BC0">
              <w:rPr>
                <w:szCs w:val="22"/>
              </w:rPr>
              <w:t>(</w:t>
            </w:r>
            <w:r w:rsidRPr="00DC02F3">
              <w:rPr>
                <w:szCs w:val="22"/>
              </w:rPr>
              <w:t>≥1/1</w:t>
            </w:r>
            <w:r w:rsidR="00B57C34">
              <w:rPr>
                <w:szCs w:val="22"/>
              </w:rPr>
              <w:t xml:space="preserve"> </w:t>
            </w:r>
            <w:r w:rsidRPr="00DC02F3">
              <w:rPr>
                <w:szCs w:val="22"/>
              </w:rPr>
              <w:t>000 až &lt;1/100</w:t>
            </w:r>
            <w:r w:rsidR="001C3BC0">
              <w:rPr>
                <w:szCs w:val="22"/>
              </w:rPr>
              <w:t>)</w:t>
            </w:r>
            <w:r w:rsidRPr="00DC02F3">
              <w:rPr>
                <w:szCs w:val="22"/>
              </w:rPr>
              <w:t xml:space="preserve">; </w:t>
            </w:r>
            <w:r w:rsidR="00B57C34">
              <w:rPr>
                <w:szCs w:val="22"/>
              </w:rPr>
              <w:br/>
            </w:r>
            <w:r w:rsidRPr="00DC02F3">
              <w:rPr>
                <w:szCs w:val="22"/>
              </w:rPr>
              <w:t xml:space="preserve">Zriedkavé </w:t>
            </w:r>
            <w:r w:rsidR="001C3BC0">
              <w:rPr>
                <w:szCs w:val="22"/>
              </w:rPr>
              <w:t>(</w:t>
            </w:r>
            <w:r w:rsidRPr="00DC02F3">
              <w:rPr>
                <w:szCs w:val="22"/>
              </w:rPr>
              <w:t>≥1/10 000 až &lt;1/1</w:t>
            </w:r>
            <w:r w:rsidR="00B57C34">
              <w:rPr>
                <w:szCs w:val="22"/>
              </w:rPr>
              <w:t xml:space="preserve"> </w:t>
            </w:r>
            <w:r w:rsidRPr="00DC02F3">
              <w:rPr>
                <w:szCs w:val="22"/>
              </w:rPr>
              <w:t>000</w:t>
            </w:r>
            <w:r w:rsidR="001C3BC0">
              <w:rPr>
                <w:szCs w:val="22"/>
              </w:rPr>
              <w:t>)</w:t>
            </w:r>
            <w:r w:rsidR="00611ADD" w:rsidRPr="00DC02F3">
              <w:rPr>
                <w:szCs w:val="22"/>
              </w:rPr>
              <w:t xml:space="preserve">; </w:t>
            </w:r>
            <w:r w:rsidRPr="00DC02F3">
              <w:rPr>
                <w:szCs w:val="22"/>
              </w:rPr>
              <w:t xml:space="preserve">Neznáme </w:t>
            </w:r>
            <w:r w:rsidR="00611ADD" w:rsidRPr="00DC02F3">
              <w:rPr>
                <w:szCs w:val="22"/>
              </w:rPr>
              <w:t>(f</w:t>
            </w:r>
            <w:r w:rsidRPr="00DC02F3">
              <w:rPr>
                <w:szCs w:val="22"/>
              </w:rPr>
              <w:t>rekvencia sa nedá odhadnúť z dostupných údajov</w:t>
            </w:r>
            <w:r w:rsidR="00611ADD" w:rsidRPr="00DC02F3">
              <w:rPr>
                <w:szCs w:val="22"/>
              </w:rPr>
              <w:t>)</w:t>
            </w:r>
          </w:p>
        </w:tc>
      </w:tr>
      <w:tr w:rsidR="00E16F73" w:rsidRPr="00DC02F3" w:rsidTr="00F06247">
        <w:tc>
          <w:tcPr>
            <w:tcW w:w="3367" w:type="dxa"/>
            <w:shd w:val="clear" w:color="auto" w:fill="auto"/>
          </w:tcPr>
          <w:p w:rsidR="00690BA7" w:rsidRPr="00DC02F3" w:rsidRDefault="00611ADD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Trieda orgánových systémov</w:t>
            </w:r>
          </w:p>
        </w:tc>
        <w:tc>
          <w:tcPr>
            <w:tcW w:w="1194" w:type="dxa"/>
            <w:shd w:val="clear" w:color="auto" w:fill="auto"/>
          </w:tcPr>
          <w:p w:rsidR="00690BA7" w:rsidRPr="00DC02F3" w:rsidRDefault="00611ADD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Frekvencia</w:t>
            </w:r>
          </w:p>
        </w:tc>
        <w:tc>
          <w:tcPr>
            <w:tcW w:w="4228" w:type="dxa"/>
            <w:shd w:val="clear" w:color="auto" w:fill="auto"/>
          </w:tcPr>
          <w:p w:rsidR="00690BA7" w:rsidRPr="00DC02F3" w:rsidRDefault="00611ADD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Nežiaduce reakcie</w:t>
            </w:r>
          </w:p>
        </w:tc>
      </w:tr>
      <w:tr w:rsidR="00E16F73" w:rsidRPr="00DC02F3" w:rsidTr="00F06247">
        <w:tc>
          <w:tcPr>
            <w:tcW w:w="3367" w:type="dxa"/>
            <w:shd w:val="clear" w:color="auto" w:fill="auto"/>
          </w:tcPr>
          <w:p w:rsidR="00690BA7" w:rsidRPr="00F06247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F06247">
              <w:rPr>
                <w:b/>
                <w:bCs/>
                <w:iCs/>
                <w:szCs w:val="22"/>
              </w:rPr>
              <w:t>Poruchy srdca a srdcovej činnosti</w:t>
            </w:r>
          </w:p>
        </w:tc>
        <w:tc>
          <w:tcPr>
            <w:tcW w:w="1194" w:type="dxa"/>
            <w:shd w:val="clear" w:color="auto" w:fill="auto"/>
          </w:tcPr>
          <w:p w:rsidR="00690BA7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:rsidR="00690BA7" w:rsidRPr="00DC02F3" w:rsidRDefault="00611ADD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 xml:space="preserve">Bradykardia, srdcová </w:t>
            </w:r>
            <w:proofErr w:type="spellStart"/>
            <w:r w:rsidRPr="00DC02F3">
              <w:rPr>
                <w:szCs w:val="22"/>
              </w:rPr>
              <w:t>arytmia</w:t>
            </w:r>
            <w:proofErr w:type="spellEnd"/>
            <w:r w:rsidR="008571C3" w:rsidRPr="00DC02F3">
              <w:rPr>
                <w:szCs w:val="22"/>
              </w:rPr>
              <w:t>, zástava srdca, synkopa</w:t>
            </w:r>
            <w:r w:rsidR="00A1209E">
              <w:rPr>
                <w:szCs w:val="22"/>
              </w:rPr>
              <w:t>.</w:t>
            </w:r>
          </w:p>
        </w:tc>
      </w:tr>
      <w:tr w:rsidR="00E16F73" w:rsidRPr="00DC02F3" w:rsidTr="00F06247">
        <w:tc>
          <w:tcPr>
            <w:tcW w:w="3367" w:type="dxa"/>
            <w:shd w:val="clear" w:color="auto" w:fill="auto"/>
          </w:tcPr>
          <w:p w:rsidR="00690BA7" w:rsidRPr="00F06247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F06247">
              <w:rPr>
                <w:b/>
                <w:bCs/>
                <w:iCs/>
                <w:szCs w:val="22"/>
              </w:rPr>
              <w:t>Poruchy ciev</w:t>
            </w:r>
          </w:p>
        </w:tc>
        <w:tc>
          <w:tcPr>
            <w:tcW w:w="1194" w:type="dxa"/>
            <w:shd w:val="clear" w:color="auto" w:fill="auto"/>
          </w:tcPr>
          <w:p w:rsidR="00690BA7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:rsidR="00690BA7" w:rsidRPr="00DC02F3" w:rsidRDefault="00611ADD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 xml:space="preserve">Hypotenzia, </w:t>
            </w:r>
            <w:proofErr w:type="spellStart"/>
            <w:r w:rsidRPr="00DC02F3">
              <w:rPr>
                <w:szCs w:val="22"/>
              </w:rPr>
              <w:t>vazodilatácia</w:t>
            </w:r>
            <w:proofErr w:type="spellEnd"/>
            <w:r w:rsidRPr="00DC02F3">
              <w:rPr>
                <w:szCs w:val="22"/>
              </w:rPr>
              <w:t xml:space="preserve">, obehové zlyhanie (s možnosťou úmrtia), </w:t>
            </w:r>
            <w:r w:rsidR="008571C3" w:rsidRPr="00DC02F3">
              <w:rPr>
                <w:szCs w:val="22"/>
              </w:rPr>
              <w:t>návaly</w:t>
            </w:r>
            <w:r w:rsidR="00402F9D">
              <w:rPr>
                <w:szCs w:val="22"/>
              </w:rPr>
              <w:t xml:space="preserve"> tepla</w:t>
            </w:r>
            <w:r w:rsidR="008571C3" w:rsidRPr="00DC02F3">
              <w:rPr>
                <w:szCs w:val="22"/>
              </w:rPr>
              <w:t>, hlboká žilová trombóza</w:t>
            </w:r>
            <w:r w:rsidR="00A1209E">
              <w:rPr>
                <w:szCs w:val="22"/>
              </w:rPr>
              <w:t>.</w:t>
            </w:r>
          </w:p>
        </w:tc>
      </w:tr>
      <w:tr w:rsidR="00E16F73" w:rsidRPr="00DC02F3" w:rsidTr="00F06247">
        <w:tc>
          <w:tcPr>
            <w:tcW w:w="3367" w:type="dxa"/>
            <w:shd w:val="clear" w:color="auto" w:fill="auto"/>
          </w:tcPr>
          <w:p w:rsidR="00690BA7" w:rsidRPr="00F06247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F06247">
              <w:rPr>
                <w:b/>
                <w:bCs/>
                <w:iCs/>
                <w:szCs w:val="22"/>
              </w:rPr>
              <w:t xml:space="preserve">Poruchy </w:t>
            </w:r>
            <w:proofErr w:type="spellStart"/>
            <w:r w:rsidRPr="00F06247">
              <w:rPr>
                <w:b/>
                <w:bCs/>
                <w:iCs/>
                <w:szCs w:val="22"/>
              </w:rPr>
              <w:t>gastrointestinálneho</w:t>
            </w:r>
            <w:proofErr w:type="spellEnd"/>
            <w:r w:rsidRPr="00F06247">
              <w:rPr>
                <w:b/>
                <w:bCs/>
                <w:iCs/>
                <w:szCs w:val="22"/>
              </w:rPr>
              <w:t xml:space="preserve"> traktu</w:t>
            </w:r>
          </w:p>
        </w:tc>
        <w:tc>
          <w:tcPr>
            <w:tcW w:w="1194" w:type="dxa"/>
            <w:shd w:val="clear" w:color="auto" w:fill="auto"/>
          </w:tcPr>
          <w:p w:rsidR="00690BA7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:rsidR="00690BA7" w:rsidRPr="00DC02F3" w:rsidRDefault="00A1209E" w:rsidP="00DC02F3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Nevoľnosť</w:t>
            </w:r>
            <w:r w:rsidR="00611ADD" w:rsidRPr="00DC02F3">
              <w:rPr>
                <w:szCs w:val="22"/>
              </w:rPr>
              <w:t>, vracanie</w:t>
            </w:r>
            <w:r>
              <w:rPr>
                <w:szCs w:val="22"/>
              </w:rPr>
              <w:t>.</w:t>
            </w:r>
          </w:p>
        </w:tc>
      </w:tr>
      <w:tr w:rsidR="00E16F73" w:rsidRPr="00DC02F3" w:rsidTr="00F06247">
        <w:tc>
          <w:tcPr>
            <w:tcW w:w="3367" w:type="dxa"/>
            <w:shd w:val="clear" w:color="auto" w:fill="auto"/>
          </w:tcPr>
          <w:p w:rsidR="00611ADD" w:rsidRPr="00F06247" w:rsidRDefault="00611ADD" w:rsidP="00DC02F3">
            <w:pPr>
              <w:ind w:left="0" w:firstLine="0"/>
              <w:rPr>
                <w:b/>
                <w:bCs/>
                <w:iCs/>
                <w:szCs w:val="22"/>
              </w:rPr>
            </w:pPr>
            <w:r w:rsidRPr="00F06247">
              <w:rPr>
                <w:b/>
                <w:bCs/>
                <w:iCs/>
                <w:szCs w:val="22"/>
              </w:rPr>
              <w:t>Celkové poruchy a reakcie v mieste podania</w:t>
            </w:r>
          </w:p>
        </w:tc>
        <w:tc>
          <w:tcPr>
            <w:tcW w:w="1194" w:type="dxa"/>
            <w:shd w:val="clear" w:color="auto" w:fill="auto"/>
          </w:tcPr>
          <w:p w:rsidR="00611ADD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Zriedkavé</w:t>
            </w:r>
          </w:p>
          <w:p w:rsidR="008571C3" w:rsidRPr="00DC02F3" w:rsidRDefault="008571C3" w:rsidP="00DC02F3">
            <w:pPr>
              <w:ind w:left="0" w:firstLine="0"/>
              <w:rPr>
                <w:szCs w:val="22"/>
              </w:rPr>
            </w:pPr>
          </w:p>
          <w:p w:rsidR="00E16F73" w:rsidRPr="00DC02F3" w:rsidRDefault="00E16F73" w:rsidP="00DC02F3">
            <w:pPr>
              <w:ind w:left="0" w:firstLine="0"/>
              <w:rPr>
                <w:szCs w:val="22"/>
              </w:rPr>
            </w:pPr>
          </w:p>
          <w:p w:rsidR="00E16F73" w:rsidRPr="00DC02F3" w:rsidRDefault="00E16F73" w:rsidP="00DC02F3">
            <w:pPr>
              <w:ind w:left="0" w:firstLine="0"/>
              <w:rPr>
                <w:szCs w:val="22"/>
              </w:rPr>
            </w:pPr>
          </w:p>
          <w:p w:rsidR="00E16F73" w:rsidRPr="00DC02F3" w:rsidRDefault="00E16F73" w:rsidP="00DC02F3">
            <w:pPr>
              <w:ind w:left="0" w:firstLine="0"/>
              <w:rPr>
                <w:szCs w:val="22"/>
              </w:rPr>
            </w:pPr>
          </w:p>
          <w:p w:rsidR="00E16F73" w:rsidRPr="00DC02F3" w:rsidRDefault="00E16F73" w:rsidP="00DC02F3">
            <w:pPr>
              <w:ind w:left="0" w:firstLine="0"/>
              <w:rPr>
                <w:szCs w:val="22"/>
              </w:rPr>
            </w:pPr>
          </w:p>
          <w:p w:rsidR="008571C3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Neznáme</w:t>
            </w:r>
          </w:p>
          <w:p w:rsidR="008571C3" w:rsidRPr="00DC02F3" w:rsidRDefault="008571C3" w:rsidP="00DC02F3">
            <w:pPr>
              <w:ind w:left="0" w:firstLine="0"/>
              <w:rPr>
                <w:szCs w:val="22"/>
              </w:rPr>
            </w:pPr>
          </w:p>
          <w:p w:rsidR="00E16F73" w:rsidRPr="00DC02F3" w:rsidRDefault="00E16F73" w:rsidP="00DC02F3">
            <w:pPr>
              <w:ind w:left="0" w:firstLine="0"/>
              <w:rPr>
                <w:szCs w:val="22"/>
              </w:rPr>
            </w:pPr>
          </w:p>
          <w:p w:rsidR="00E16F73" w:rsidRDefault="00E16F73" w:rsidP="00DC02F3">
            <w:pPr>
              <w:ind w:left="0" w:firstLine="0"/>
              <w:rPr>
                <w:szCs w:val="22"/>
              </w:rPr>
            </w:pPr>
          </w:p>
          <w:p w:rsidR="00A02686" w:rsidRPr="00DC02F3" w:rsidRDefault="00A02686" w:rsidP="00DC02F3">
            <w:pPr>
              <w:ind w:left="0" w:firstLine="0"/>
              <w:rPr>
                <w:szCs w:val="22"/>
              </w:rPr>
            </w:pPr>
          </w:p>
          <w:p w:rsidR="008571C3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:rsidR="00611ADD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 xml:space="preserve">Závažné a v niektorých prípadoch smrteľné nežiaduce reakcie po intravenóznom podaní </w:t>
            </w:r>
            <w:proofErr w:type="spellStart"/>
            <w:r w:rsidRPr="00DC02F3">
              <w:rPr>
                <w:szCs w:val="22"/>
              </w:rPr>
              <w:t>ceftriax</w:t>
            </w:r>
            <w:r w:rsidR="0020326B">
              <w:rPr>
                <w:szCs w:val="22"/>
              </w:rPr>
              <w:t>ó</w:t>
            </w:r>
            <w:r w:rsidRPr="00DC02F3">
              <w:rPr>
                <w:szCs w:val="22"/>
              </w:rPr>
              <w:t>nu</w:t>
            </w:r>
            <w:proofErr w:type="spellEnd"/>
            <w:r w:rsidRPr="00DC02F3">
              <w:rPr>
                <w:szCs w:val="22"/>
              </w:rPr>
              <w:t xml:space="preserve"> a vápenatej soli </w:t>
            </w:r>
            <w:r w:rsidR="00B21DF0">
              <w:rPr>
                <w:szCs w:val="22"/>
              </w:rPr>
              <w:t xml:space="preserve">predčasne narodeným </w:t>
            </w:r>
            <w:r w:rsidRPr="00DC02F3">
              <w:rPr>
                <w:szCs w:val="22"/>
              </w:rPr>
              <w:t>a donosený</w:t>
            </w:r>
            <w:r w:rsidR="00E16F73" w:rsidRPr="00DC02F3">
              <w:rPr>
                <w:szCs w:val="22"/>
              </w:rPr>
              <w:t>m</w:t>
            </w:r>
            <w:r w:rsidRPr="00DC02F3">
              <w:rPr>
                <w:szCs w:val="22"/>
              </w:rPr>
              <w:t xml:space="preserve"> novorodenco</w:t>
            </w:r>
            <w:r w:rsidR="00E16F73" w:rsidRPr="00DC02F3">
              <w:rPr>
                <w:szCs w:val="22"/>
              </w:rPr>
              <w:t>m</w:t>
            </w:r>
            <w:r w:rsidRPr="00DC02F3">
              <w:rPr>
                <w:szCs w:val="22"/>
              </w:rPr>
              <w:t xml:space="preserve"> (vo veku &lt;28 dní)*.</w:t>
            </w:r>
          </w:p>
          <w:p w:rsidR="00611ADD" w:rsidRPr="00DC02F3" w:rsidRDefault="00611ADD" w:rsidP="00DC02F3">
            <w:pPr>
              <w:ind w:left="0" w:firstLine="0"/>
              <w:rPr>
                <w:szCs w:val="22"/>
              </w:rPr>
            </w:pPr>
          </w:p>
          <w:p w:rsidR="00611ADD" w:rsidRPr="00DC02F3" w:rsidRDefault="00E16F73" w:rsidP="00DC02F3">
            <w:pPr>
              <w:ind w:left="0" w:firstLine="0"/>
              <w:rPr>
                <w:szCs w:val="22"/>
              </w:rPr>
            </w:pPr>
            <w:proofErr w:type="spellStart"/>
            <w:r w:rsidRPr="00DC02F3">
              <w:rPr>
                <w:szCs w:val="22"/>
              </w:rPr>
              <w:t>Kalcinóza</w:t>
            </w:r>
            <w:proofErr w:type="spellEnd"/>
            <w:r w:rsidR="00842035">
              <w:rPr>
                <w:szCs w:val="22"/>
              </w:rPr>
              <w:t xml:space="preserve"> kože</w:t>
            </w:r>
            <w:r w:rsidRPr="00DC02F3">
              <w:rPr>
                <w:szCs w:val="22"/>
              </w:rPr>
              <w:t xml:space="preserve">, po ktorej môže nasledovať kožná ablácia a </w:t>
            </w:r>
            <w:proofErr w:type="spellStart"/>
            <w:r w:rsidRPr="00DC02F3">
              <w:rPr>
                <w:szCs w:val="22"/>
              </w:rPr>
              <w:t>nekróza</w:t>
            </w:r>
            <w:proofErr w:type="spellEnd"/>
            <w:r w:rsidRPr="00DC02F3">
              <w:rPr>
                <w:szCs w:val="22"/>
              </w:rPr>
              <w:t xml:space="preserve"> v dôsledku </w:t>
            </w:r>
            <w:proofErr w:type="spellStart"/>
            <w:r w:rsidRPr="00DC02F3">
              <w:rPr>
                <w:szCs w:val="22"/>
              </w:rPr>
              <w:t>extravazácie</w:t>
            </w:r>
            <w:proofErr w:type="spellEnd"/>
            <w:r w:rsidRPr="00DC02F3">
              <w:rPr>
                <w:szCs w:val="22"/>
              </w:rPr>
              <w:t>, kardiovaskulárnych a iných systémových nežiaducich účinkov**</w:t>
            </w:r>
            <w:r w:rsidR="00A1209E">
              <w:rPr>
                <w:szCs w:val="22"/>
              </w:rPr>
              <w:t>.</w:t>
            </w:r>
          </w:p>
          <w:p w:rsidR="00E16F73" w:rsidRPr="00DC02F3" w:rsidRDefault="00E16F73" w:rsidP="00DC02F3">
            <w:pPr>
              <w:ind w:left="0" w:firstLine="0"/>
              <w:rPr>
                <w:szCs w:val="22"/>
              </w:rPr>
            </w:pPr>
          </w:p>
          <w:p w:rsidR="00611ADD" w:rsidRPr="00DC02F3" w:rsidRDefault="00CF4AF7" w:rsidP="00DC02F3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Pocit</w:t>
            </w:r>
            <w:r w:rsidR="008571C3" w:rsidRPr="00DC02F3">
              <w:rPr>
                <w:szCs w:val="22"/>
              </w:rPr>
              <w:t xml:space="preserve"> tepla, potenie</w:t>
            </w:r>
            <w:r w:rsidR="00A1209E">
              <w:rPr>
                <w:szCs w:val="22"/>
              </w:rPr>
              <w:t>.</w:t>
            </w:r>
          </w:p>
        </w:tc>
      </w:tr>
      <w:tr w:rsidR="00E16F73" w:rsidRPr="00DC02F3" w:rsidTr="00F06247">
        <w:tc>
          <w:tcPr>
            <w:tcW w:w="3367" w:type="dxa"/>
            <w:shd w:val="clear" w:color="auto" w:fill="auto"/>
          </w:tcPr>
          <w:p w:rsidR="00690BA7" w:rsidRPr="00F06247" w:rsidRDefault="00611ADD" w:rsidP="00DC02F3">
            <w:pPr>
              <w:ind w:left="0" w:firstLine="0"/>
              <w:rPr>
                <w:b/>
                <w:bCs/>
                <w:szCs w:val="22"/>
              </w:rPr>
            </w:pPr>
            <w:r w:rsidRPr="00F06247">
              <w:rPr>
                <w:b/>
                <w:bCs/>
                <w:szCs w:val="22"/>
              </w:rPr>
              <w:t>Úrazy, otravy a kom</w:t>
            </w:r>
            <w:r w:rsidR="008571C3" w:rsidRPr="00F06247">
              <w:rPr>
                <w:b/>
                <w:bCs/>
                <w:szCs w:val="22"/>
              </w:rPr>
              <w:t>p</w:t>
            </w:r>
            <w:r w:rsidRPr="00F06247">
              <w:rPr>
                <w:b/>
                <w:bCs/>
                <w:szCs w:val="22"/>
              </w:rPr>
              <w:t>likácie liečebného postupu</w:t>
            </w:r>
          </w:p>
        </w:tc>
        <w:tc>
          <w:tcPr>
            <w:tcW w:w="1194" w:type="dxa"/>
            <w:shd w:val="clear" w:color="auto" w:fill="auto"/>
          </w:tcPr>
          <w:p w:rsidR="00690BA7" w:rsidRPr="00DC02F3" w:rsidRDefault="008571C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>Neznáme</w:t>
            </w:r>
          </w:p>
        </w:tc>
        <w:tc>
          <w:tcPr>
            <w:tcW w:w="4228" w:type="dxa"/>
            <w:shd w:val="clear" w:color="auto" w:fill="auto"/>
          </w:tcPr>
          <w:p w:rsidR="00690BA7" w:rsidRPr="00DC02F3" w:rsidRDefault="00E16F73" w:rsidP="00DC02F3">
            <w:pPr>
              <w:ind w:left="0" w:firstLine="0"/>
              <w:rPr>
                <w:szCs w:val="22"/>
              </w:rPr>
            </w:pPr>
            <w:r w:rsidRPr="00DC02F3">
              <w:rPr>
                <w:szCs w:val="22"/>
              </w:rPr>
              <w:t xml:space="preserve">Toxicita hliníka: </w:t>
            </w:r>
            <w:proofErr w:type="spellStart"/>
            <w:r w:rsidRPr="00DC02F3">
              <w:rPr>
                <w:szCs w:val="22"/>
              </w:rPr>
              <w:t>osteopénia</w:t>
            </w:r>
            <w:proofErr w:type="spellEnd"/>
            <w:r w:rsidRPr="00DC02F3">
              <w:rPr>
                <w:szCs w:val="22"/>
              </w:rPr>
              <w:t xml:space="preserve">, zlomeniny, krivica, zhoršená </w:t>
            </w:r>
            <w:proofErr w:type="spellStart"/>
            <w:r w:rsidRPr="00DC02F3">
              <w:rPr>
                <w:szCs w:val="22"/>
              </w:rPr>
              <w:t>mineralizácia</w:t>
            </w:r>
            <w:proofErr w:type="spellEnd"/>
            <w:r w:rsidRPr="00DC02F3">
              <w:rPr>
                <w:szCs w:val="22"/>
              </w:rPr>
              <w:t xml:space="preserve"> kostí (znížená kostná hmota a obsah minerálov), </w:t>
            </w:r>
            <w:proofErr w:type="spellStart"/>
            <w:r w:rsidRPr="00DC02F3">
              <w:rPr>
                <w:szCs w:val="22"/>
              </w:rPr>
              <w:t>neurotoxicita</w:t>
            </w:r>
            <w:proofErr w:type="spellEnd"/>
            <w:r w:rsidRPr="00DC02F3">
              <w:rPr>
                <w:szCs w:val="22"/>
              </w:rPr>
              <w:t xml:space="preserve"> (ovplyvňujúca vývoj mozgu a nervového systému) a </w:t>
            </w:r>
            <w:proofErr w:type="spellStart"/>
            <w:r w:rsidRPr="00DC02F3">
              <w:rPr>
                <w:szCs w:val="22"/>
              </w:rPr>
              <w:t>hepatotoxicita</w:t>
            </w:r>
            <w:proofErr w:type="spellEnd"/>
            <w:r w:rsidRPr="00DC02F3">
              <w:rPr>
                <w:szCs w:val="22"/>
              </w:rPr>
              <w:t>***</w:t>
            </w:r>
            <w:r w:rsidR="00A1209E">
              <w:rPr>
                <w:szCs w:val="22"/>
              </w:rPr>
              <w:t>.</w:t>
            </w:r>
          </w:p>
        </w:tc>
      </w:tr>
    </w:tbl>
    <w:p w:rsidR="00690BA7" w:rsidRPr="00E16F73" w:rsidRDefault="00690BA7" w:rsidP="00E16F73">
      <w:pPr>
        <w:rPr>
          <w:szCs w:val="22"/>
        </w:rPr>
      </w:pPr>
    </w:p>
    <w:p w:rsidR="00E16F73" w:rsidRPr="00E16F73" w:rsidRDefault="00E16F73" w:rsidP="00E16F73">
      <w:pPr>
        <w:rPr>
          <w:noProof/>
          <w:szCs w:val="22"/>
          <w:u w:val="single"/>
        </w:rPr>
      </w:pPr>
      <w:r w:rsidRPr="00E16F73">
        <w:rPr>
          <w:noProof/>
          <w:szCs w:val="22"/>
          <w:u w:val="single"/>
        </w:rPr>
        <w:t>Opis vybraných nežiaducich reakcií</w:t>
      </w:r>
    </w:p>
    <w:p w:rsidR="00E16F73" w:rsidRPr="00E16F73" w:rsidRDefault="00E16F73" w:rsidP="00E16F73">
      <w:pPr>
        <w:rPr>
          <w:noProof/>
          <w:szCs w:val="22"/>
        </w:rPr>
      </w:pPr>
    </w:p>
    <w:p w:rsidR="00E16F73" w:rsidRPr="00E16F73" w:rsidRDefault="00E16F73" w:rsidP="00E16F73">
      <w:pPr>
        <w:rPr>
          <w:noProof/>
          <w:szCs w:val="22"/>
          <w:u w:val="single"/>
        </w:rPr>
      </w:pPr>
      <w:r w:rsidRPr="000F04F6">
        <w:rPr>
          <w:noProof/>
          <w:szCs w:val="22"/>
          <w:u w:val="single"/>
        </w:rPr>
        <w:t>* Zrážanie ceftriax</w:t>
      </w:r>
      <w:r w:rsidR="0020326B" w:rsidRPr="00673321">
        <w:rPr>
          <w:noProof/>
          <w:szCs w:val="22"/>
          <w:u w:val="single"/>
        </w:rPr>
        <w:t>ó</w:t>
      </w:r>
      <w:r w:rsidRPr="00414CDE">
        <w:rPr>
          <w:noProof/>
          <w:szCs w:val="22"/>
          <w:u w:val="single"/>
        </w:rPr>
        <w:t>n-vápenatých solí</w:t>
      </w:r>
    </w:p>
    <w:p w:rsidR="00E16F73" w:rsidRPr="00E16F73" w:rsidRDefault="00E16F73" w:rsidP="003613A4">
      <w:pPr>
        <w:ind w:left="0" w:firstLine="0"/>
        <w:rPr>
          <w:noProof/>
          <w:szCs w:val="22"/>
        </w:rPr>
      </w:pPr>
      <w:r w:rsidRPr="00E16F73">
        <w:rPr>
          <w:noProof/>
          <w:szCs w:val="22"/>
        </w:rPr>
        <w:t>Zr</w:t>
      </w:r>
      <w:r w:rsidR="003613A4">
        <w:rPr>
          <w:noProof/>
          <w:szCs w:val="22"/>
        </w:rPr>
        <w:t>azeniny</w:t>
      </w:r>
      <w:r w:rsidRPr="00E16F73">
        <w:rPr>
          <w:noProof/>
          <w:szCs w:val="22"/>
        </w:rPr>
        <w:t xml:space="preserve"> ceftriax</w:t>
      </w:r>
      <w:r w:rsidR="0020326B">
        <w:rPr>
          <w:noProof/>
          <w:szCs w:val="22"/>
        </w:rPr>
        <w:t>ó</w:t>
      </w:r>
      <w:r w:rsidRPr="00E16F73">
        <w:rPr>
          <w:noProof/>
          <w:szCs w:val="22"/>
        </w:rPr>
        <w:t xml:space="preserve">n-vápenatej soli boli pozorované </w:t>
      </w:r>
      <w:r w:rsidR="003613A4">
        <w:rPr>
          <w:noProof/>
          <w:szCs w:val="22"/>
        </w:rPr>
        <w:t xml:space="preserve">po smrti </w:t>
      </w:r>
      <w:r w:rsidRPr="00F06247">
        <w:rPr>
          <w:noProof/>
          <w:szCs w:val="22"/>
        </w:rPr>
        <w:t>v pľúcach a</w:t>
      </w:r>
      <w:r w:rsidR="00846817">
        <w:rPr>
          <w:noProof/>
          <w:szCs w:val="22"/>
        </w:rPr>
        <w:t xml:space="preserve"> </w:t>
      </w:r>
      <w:r w:rsidRPr="00F06247">
        <w:rPr>
          <w:noProof/>
          <w:szCs w:val="22"/>
        </w:rPr>
        <w:t>obličkách</w:t>
      </w:r>
      <w:r w:rsidRPr="00846817">
        <w:rPr>
          <w:noProof/>
          <w:szCs w:val="22"/>
        </w:rPr>
        <w:t>.</w:t>
      </w:r>
      <w:r w:rsidRPr="00E16F73">
        <w:rPr>
          <w:noProof/>
          <w:szCs w:val="22"/>
        </w:rPr>
        <w:t xml:space="preserve"> Vysoké riziko </w:t>
      </w:r>
      <w:r w:rsidR="003613A4">
        <w:rPr>
          <w:noProof/>
          <w:szCs w:val="22"/>
        </w:rPr>
        <w:t xml:space="preserve">vzniku </w:t>
      </w:r>
      <w:r w:rsidRPr="00E16F73">
        <w:rPr>
          <w:noProof/>
          <w:szCs w:val="22"/>
        </w:rPr>
        <w:t>zr</w:t>
      </w:r>
      <w:r w:rsidR="003613A4">
        <w:rPr>
          <w:noProof/>
          <w:szCs w:val="22"/>
        </w:rPr>
        <w:t>azeniny</w:t>
      </w:r>
      <w:r w:rsidRPr="00E16F73">
        <w:rPr>
          <w:noProof/>
          <w:szCs w:val="22"/>
        </w:rPr>
        <w:t xml:space="preserve"> u novorodencov je spôsobené </w:t>
      </w:r>
      <w:r w:rsidR="002154CB">
        <w:rPr>
          <w:noProof/>
          <w:szCs w:val="22"/>
        </w:rPr>
        <w:t xml:space="preserve">nízkym </w:t>
      </w:r>
      <w:r w:rsidRPr="00E16F73">
        <w:rPr>
          <w:noProof/>
          <w:szCs w:val="22"/>
        </w:rPr>
        <w:t xml:space="preserve">objemom krvi a dlhším </w:t>
      </w:r>
      <w:r w:rsidR="0065597D">
        <w:rPr>
          <w:noProof/>
          <w:szCs w:val="22"/>
        </w:rPr>
        <w:t xml:space="preserve">biologickým </w:t>
      </w:r>
      <w:r w:rsidRPr="00E16F73">
        <w:rPr>
          <w:noProof/>
          <w:szCs w:val="22"/>
        </w:rPr>
        <w:t>polčasom ceftriax</w:t>
      </w:r>
      <w:r w:rsidR="0020326B">
        <w:rPr>
          <w:noProof/>
          <w:szCs w:val="22"/>
        </w:rPr>
        <w:t>ó</w:t>
      </w:r>
      <w:r w:rsidRPr="00E16F73">
        <w:rPr>
          <w:noProof/>
          <w:szCs w:val="22"/>
        </w:rPr>
        <w:t>nu v porovnaní s dospelými (pozri časti 4.3, 4.4 a 4.5).</w:t>
      </w:r>
    </w:p>
    <w:p w:rsidR="00E16F73" w:rsidRPr="00E16F73" w:rsidRDefault="00E16F73" w:rsidP="00E16F73">
      <w:pPr>
        <w:rPr>
          <w:noProof/>
          <w:szCs w:val="22"/>
        </w:rPr>
      </w:pPr>
    </w:p>
    <w:p w:rsidR="00E16F73" w:rsidRPr="00E16F73" w:rsidRDefault="00E16F73" w:rsidP="00E16F73">
      <w:pPr>
        <w:rPr>
          <w:noProof/>
          <w:szCs w:val="22"/>
          <w:u w:val="single"/>
        </w:rPr>
      </w:pPr>
      <w:r w:rsidRPr="00E16F73">
        <w:rPr>
          <w:noProof/>
          <w:szCs w:val="22"/>
          <w:u w:val="single"/>
        </w:rPr>
        <w:t>** Nežiaduce reakcie vyskytujú</w:t>
      </w:r>
      <w:r w:rsidR="003613A4">
        <w:rPr>
          <w:noProof/>
          <w:szCs w:val="22"/>
          <w:u w:val="single"/>
        </w:rPr>
        <w:t>ce sa</w:t>
      </w:r>
      <w:r w:rsidRPr="00E16F73">
        <w:rPr>
          <w:noProof/>
          <w:szCs w:val="22"/>
          <w:u w:val="single"/>
        </w:rPr>
        <w:t xml:space="preserve"> </w:t>
      </w:r>
      <w:r w:rsidR="008A0282">
        <w:rPr>
          <w:noProof/>
          <w:szCs w:val="22"/>
          <w:u w:val="single"/>
        </w:rPr>
        <w:t xml:space="preserve">iba </w:t>
      </w:r>
      <w:r w:rsidRPr="00E16F73">
        <w:rPr>
          <w:noProof/>
          <w:szCs w:val="22"/>
          <w:u w:val="single"/>
        </w:rPr>
        <w:t>pri nesprávnom spôsobe podávania</w:t>
      </w:r>
    </w:p>
    <w:p w:rsidR="00E16F73" w:rsidRPr="00E16F73" w:rsidRDefault="00D857C9" w:rsidP="00D857C9">
      <w:pPr>
        <w:ind w:left="0" w:firstLine="0"/>
        <w:rPr>
          <w:noProof/>
          <w:szCs w:val="22"/>
        </w:rPr>
      </w:pPr>
      <w:r>
        <w:rPr>
          <w:noProof/>
          <w:szCs w:val="22"/>
        </w:rPr>
        <w:t>V</w:t>
      </w:r>
      <w:r w:rsidRPr="00950607">
        <w:rPr>
          <w:noProof/>
          <w:szCs w:val="22"/>
        </w:rPr>
        <w:t xml:space="preserve"> dôsledku intravenózneho predávkovania alebo príliš rýchlej intravenóznej injekcie</w:t>
      </w:r>
      <w:r>
        <w:rPr>
          <w:noProof/>
          <w:szCs w:val="22"/>
        </w:rPr>
        <w:t xml:space="preserve"> sa </w:t>
      </w:r>
      <w:r w:rsidR="00846817">
        <w:rPr>
          <w:noProof/>
          <w:szCs w:val="22"/>
        </w:rPr>
        <w:t xml:space="preserve">môžu </w:t>
      </w:r>
      <w:r>
        <w:rPr>
          <w:noProof/>
          <w:szCs w:val="22"/>
        </w:rPr>
        <w:t>objavi</w:t>
      </w:r>
      <w:r w:rsidR="00846817">
        <w:rPr>
          <w:noProof/>
          <w:szCs w:val="22"/>
        </w:rPr>
        <w:t>ť</w:t>
      </w:r>
      <w:r>
        <w:rPr>
          <w:noProof/>
          <w:szCs w:val="22"/>
        </w:rPr>
        <w:t xml:space="preserve"> k</w:t>
      </w:r>
      <w:r w:rsidRPr="00950607">
        <w:rPr>
          <w:noProof/>
          <w:szCs w:val="22"/>
        </w:rPr>
        <w:t>ardiovaskulárne a</w:t>
      </w:r>
      <w:r w:rsidR="00846817">
        <w:rPr>
          <w:noProof/>
          <w:szCs w:val="22"/>
        </w:rPr>
        <w:t xml:space="preserve"> </w:t>
      </w:r>
      <w:r w:rsidRPr="00950607">
        <w:rPr>
          <w:noProof/>
          <w:szCs w:val="22"/>
        </w:rPr>
        <w:t>iné systémové nežiaduce účinky ako príznaky akútnej hyperkalc</w:t>
      </w:r>
      <w:r>
        <w:rPr>
          <w:noProof/>
          <w:szCs w:val="22"/>
        </w:rPr>
        <w:t>i</w:t>
      </w:r>
      <w:r w:rsidRPr="00950607">
        <w:rPr>
          <w:noProof/>
          <w:szCs w:val="22"/>
        </w:rPr>
        <w:t>émie</w:t>
      </w:r>
      <w:r>
        <w:rPr>
          <w:noProof/>
          <w:szCs w:val="22"/>
        </w:rPr>
        <w:t xml:space="preserve">. </w:t>
      </w:r>
      <w:r w:rsidR="00E16F73" w:rsidRPr="00E16F73">
        <w:rPr>
          <w:noProof/>
          <w:szCs w:val="22"/>
        </w:rPr>
        <w:t xml:space="preserve">Ich výskyt a frekvencia priamo súvisia s rýchlosťou </w:t>
      </w:r>
      <w:r w:rsidR="00E16F73" w:rsidRPr="007572F8">
        <w:rPr>
          <w:noProof/>
          <w:szCs w:val="22"/>
        </w:rPr>
        <w:t>pod</w:t>
      </w:r>
      <w:r w:rsidR="00CB2434" w:rsidRPr="007572F8">
        <w:rPr>
          <w:noProof/>
          <w:szCs w:val="22"/>
        </w:rPr>
        <w:t>áv</w:t>
      </w:r>
      <w:r w:rsidR="000D71B3" w:rsidRPr="00217C93">
        <w:rPr>
          <w:noProof/>
          <w:szCs w:val="22"/>
        </w:rPr>
        <w:t>a</w:t>
      </w:r>
      <w:r w:rsidR="00E16F73" w:rsidRPr="007572F8">
        <w:rPr>
          <w:noProof/>
          <w:szCs w:val="22"/>
        </w:rPr>
        <w:t>nia</w:t>
      </w:r>
      <w:r w:rsidR="00E16F73" w:rsidRPr="00E16F73">
        <w:rPr>
          <w:noProof/>
          <w:szCs w:val="22"/>
        </w:rPr>
        <w:t xml:space="preserve"> a pod</w:t>
      </w:r>
      <w:r w:rsidR="00CB2434">
        <w:rPr>
          <w:noProof/>
          <w:szCs w:val="22"/>
        </w:rPr>
        <w:t>áv</w:t>
      </w:r>
      <w:r w:rsidR="00E16F73" w:rsidRPr="00E16F73">
        <w:rPr>
          <w:noProof/>
          <w:szCs w:val="22"/>
        </w:rPr>
        <w:t>anou dávkou (pozri časť 4.4).</w:t>
      </w:r>
    </w:p>
    <w:p w:rsidR="00E16F73" w:rsidRPr="00E16F73" w:rsidRDefault="00E16F73" w:rsidP="00E16F73">
      <w:pPr>
        <w:rPr>
          <w:noProof/>
          <w:szCs w:val="22"/>
        </w:rPr>
      </w:pPr>
    </w:p>
    <w:p w:rsidR="00E16F73" w:rsidRPr="00E16F73" w:rsidRDefault="00E16F73" w:rsidP="00E16F73">
      <w:pPr>
        <w:ind w:left="0" w:firstLine="0"/>
        <w:rPr>
          <w:noProof/>
          <w:szCs w:val="22"/>
          <w:u w:val="single"/>
        </w:rPr>
      </w:pPr>
      <w:r w:rsidRPr="00E16F73">
        <w:rPr>
          <w:noProof/>
          <w:szCs w:val="22"/>
          <w:u w:val="single"/>
        </w:rPr>
        <w:t>*** Možné nežiaduce reakcie, ktoré sa vyskytli v dôsledku expozície hliník</w:t>
      </w:r>
      <w:r w:rsidR="00B26387">
        <w:rPr>
          <w:noProof/>
          <w:szCs w:val="22"/>
          <w:u w:val="single"/>
        </w:rPr>
        <w:t>u</w:t>
      </w:r>
      <w:r w:rsidRPr="00E16F73">
        <w:rPr>
          <w:noProof/>
          <w:szCs w:val="22"/>
          <w:u w:val="single"/>
        </w:rPr>
        <w:t xml:space="preserve"> v prípadoch dlhodobej liečby alebo podávania opakovaných dávok u pediatrickej populácie, starších pacientov a pacientov s po</w:t>
      </w:r>
      <w:r w:rsidR="00B26387">
        <w:rPr>
          <w:noProof/>
          <w:szCs w:val="22"/>
          <w:u w:val="single"/>
        </w:rPr>
        <w:t>ruchou</w:t>
      </w:r>
      <w:r w:rsidRPr="00E16F73">
        <w:rPr>
          <w:noProof/>
          <w:szCs w:val="22"/>
          <w:u w:val="single"/>
        </w:rPr>
        <w:t xml:space="preserve"> funkcie obličiek (údaje z literatúry).</w:t>
      </w:r>
    </w:p>
    <w:p w:rsidR="00780926" w:rsidRDefault="00E16F73" w:rsidP="00D857C9">
      <w:pPr>
        <w:ind w:left="0" w:firstLine="0"/>
        <w:rPr>
          <w:noProof/>
          <w:szCs w:val="22"/>
        </w:rPr>
      </w:pPr>
      <w:r w:rsidRPr="00E16F73">
        <w:rPr>
          <w:noProof/>
          <w:szCs w:val="22"/>
        </w:rPr>
        <w:t>V pediatrickej populácii sa toxicita hliníka často prejavuje vo forme osteopénie, fraktúr a krivice a zvyčajne sa vyskytuje po mesiacoch až rokoch liečby, ale u dojčiat sa môže objaviť po kratších časových úsekoch. Novorodenci sú vystavení zvýšenému riziku toxicity hliníka kvôli anatomickým, fyziologickým a výživovým faktorom, ktoré nie sú prítomné v iných populáciách. Hliník má potenciál hromadiť sa v prítomnosti pokročilej dysfunkcie obličiek (pozri časť 4.4).</w:t>
      </w:r>
    </w:p>
    <w:p w:rsidR="00D857C9" w:rsidRDefault="00D857C9" w:rsidP="00D857C9">
      <w:pPr>
        <w:ind w:left="0" w:firstLine="0"/>
        <w:rPr>
          <w:noProof/>
          <w:szCs w:val="22"/>
        </w:rPr>
      </w:pPr>
    </w:p>
    <w:p w:rsidR="007E5956" w:rsidRPr="003021DE" w:rsidRDefault="007E5956" w:rsidP="000D7872">
      <w:pPr>
        <w:keepNext/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7E5956" w:rsidRPr="003021DE" w:rsidRDefault="007E5956" w:rsidP="00B13F68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F66A28">
        <w:rPr>
          <w:noProof/>
          <w:szCs w:val="22"/>
        </w:rPr>
        <w:t>na</w:t>
      </w:r>
      <w:r w:rsidR="00F66A28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F66A28">
        <w:rPr>
          <w:noProof/>
          <w:szCs w:val="22"/>
          <w:highlight w:val="lightGray"/>
        </w:rPr>
        <w:t>centrum</w:t>
      </w:r>
      <w:r w:rsidR="00F66A28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3021DE">
        <w:rPr>
          <w:noProof/>
          <w:szCs w:val="22"/>
        </w:rPr>
        <w:t>.</w:t>
      </w:r>
    </w:p>
    <w:p w:rsidR="007E5956" w:rsidRPr="003021DE" w:rsidRDefault="007E595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4.9</w:t>
      </w:r>
      <w:r w:rsidRPr="003021DE">
        <w:rPr>
          <w:b/>
          <w:szCs w:val="22"/>
        </w:rPr>
        <w:tab/>
        <w:t>Predávkovanie</w:t>
      </w:r>
    </w:p>
    <w:p w:rsidR="00780926" w:rsidRPr="003021DE" w:rsidRDefault="00780926" w:rsidP="00384754">
      <w:pPr>
        <w:rPr>
          <w:szCs w:val="22"/>
        </w:rPr>
      </w:pPr>
    </w:p>
    <w:p w:rsidR="00950607" w:rsidRPr="0002785C" w:rsidRDefault="00237907" w:rsidP="00384754">
      <w:pPr>
        <w:ind w:left="0" w:firstLine="0"/>
        <w:rPr>
          <w:noProof/>
          <w:szCs w:val="22"/>
          <w:u w:val="single"/>
        </w:rPr>
      </w:pPr>
      <w:r w:rsidRPr="0002785C">
        <w:rPr>
          <w:noProof/>
          <w:szCs w:val="22"/>
          <w:u w:val="single"/>
        </w:rPr>
        <w:t>P</w:t>
      </w:r>
      <w:r w:rsidR="00950607" w:rsidRPr="0002785C">
        <w:rPr>
          <w:noProof/>
          <w:szCs w:val="22"/>
          <w:u w:val="single"/>
        </w:rPr>
        <w:t>ríznaky</w:t>
      </w:r>
    </w:p>
    <w:p w:rsidR="00237907" w:rsidRPr="00F06247" w:rsidRDefault="00846817" w:rsidP="00384754">
      <w:pPr>
        <w:ind w:left="0" w:firstLine="0"/>
        <w:rPr>
          <w:szCs w:val="22"/>
        </w:rPr>
      </w:pPr>
      <w:r w:rsidRPr="00AC2342">
        <w:rPr>
          <w:szCs w:val="22"/>
        </w:rPr>
        <w:t>Príznaky</w:t>
      </w:r>
      <w:r w:rsidR="00237907" w:rsidRPr="00AC2342">
        <w:rPr>
          <w:szCs w:val="22"/>
        </w:rPr>
        <w:t xml:space="preserve"> </w:t>
      </w:r>
      <w:proofErr w:type="spellStart"/>
      <w:r w:rsidR="00237907" w:rsidRPr="00AC2342">
        <w:rPr>
          <w:szCs w:val="22"/>
        </w:rPr>
        <w:t>hyperkalciémie</w:t>
      </w:r>
      <w:proofErr w:type="spellEnd"/>
      <w:r w:rsidR="00237907" w:rsidRPr="00AC2342">
        <w:rPr>
          <w:szCs w:val="22"/>
        </w:rPr>
        <w:t xml:space="preserve"> môžu zahŕňať: </w:t>
      </w:r>
      <w:proofErr w:type="spellStart"/>
      <w:r w:rsidR="00237907" w:rsidRPr="00AC2342">
        <w:rPr>
          <w:szCs w:val="22"/>
        </w:rPr>
        <w:t>anorexiu</w:t>
      </w:r>
      <w:proofErr w:type="spellEnd"/>
      <w:r w:rsidR="00237907" w:rsidRPr="00AC2342">
        <w:rPr>
          <w:szCs w:val="22"/>
        </w:rPr>
        <w:t>, n</w:t>
      </w:r>
      <w:r w:rsidRPr="006462E0">
        <w:rPr>
          <w:szCs w:val="22"/>
        </w:rPr>
        <w:t>evoľnosť</w:t>
      </w:r>
      <w:r w:rsidR="00237907" w:rsidRPr="00F06247">
        <w:rPr>
          <w:szCs w:val="22"/>
        </w:rPr>
        <w:t xml:space="preserve">, vracanie, zápchu, bolesti v </w:t>
      </w:r>
      <w:proofErr w:type="spellStart"/>
      <w:r w:rsidR="00237907" w:rsidRPr="00F06247">
        <w:rPr>
          <w:szCs w:val="22"/>
        </w:rPr>
        <w:t>abdominálnej</w:t>
      </w:r>
      <w:proofErr w:type="spellEnd"/>
      <w:r w:rsidR="00237907" w:rsidRPr="00F06247">
        <w:rPr>
          <w:szCs w:val="22"/>
        </w:rPr>
        <w:t xml:space="preserve"> oblasti, </w:t>
      </w:r>
      <w:proofErr w:type="spellStart"/>
      <w:r w:rsidR="00237907" w:rsidRPr="00F06247">
        <w:rPr>
          <w:szCs w:val="22"/>
        </w:rPr>
        <w:t>polyúriu</w:t>
      </w:r>
      <w:proofErr w:type="spellEnd"/>
      <w:r w:rsidR="00237907" w:rsidRPr="00F06247">
        <w:rPr>
          <w:szCs w:val="22"/>
        </w:rPr>
        <w:t xml:space="preserve">, </w:t>
      </w:r>
      <w:proofErr w:type="spellStart"/>
      <w:r w:rsidR="00237907" w:rsidRPr="00F06247">
        <w:rPr>
          <w:szCs w:val="22"/>
        </w:rPr>
        <w:t>polydipsiu</w:t>
      </w:r>
      <w:proofErr w:type="spellEnd"/>
      <w:r w:rsidR="00237907" w:rsidRPr="00F06247">
        <w:rPr>
          <w:szCs w:val="22"/>
        </w:rPr>
        <w:t>, dehydratáciu, svalovú slabosť, boles</w:t>
      </w:r>
      <w:r w:rsidR="00F82E0B" w:rsidRPr="00F06247">
        <w:rPr>
          <w:szCs w:val="22"/>
        </w:rPr>
        <w:t>ť</w:t>
      </w:r>
      <w:r w:rsidR="00237907" w:rsidRPr="00F06247">
        <w:rPr>
          <w:szCs w:val="22"/>
        </w:rPr>
        <w:t xml:space="preserve"> kostí, kalcifikáciu obličiek, ospalosť, zmätenosť, hypertenziu a v závažných prípadoch srdcovú </w:t>
      </w:r>
      <w:proofErr w:type="spellStart"/>
      <w:r w:rsidR="00237907" w:rsidRPr="00F06247">
        <w:rPr>
          <w:szCs w:val="22"/>
        </w:rPr>
        <w:t>arytmiu</w:t>
      </w:r>
      <w:proofErr w:type="spellEnd"/>
      <w:r w:rsidR="00237907" w:rsidRPr="00F06247">
        <w:rPr>
          <w:szCs w:val="22"/>
        </w:rPr>
        <w:t xml:space="preserve"> až po zástavu srdca a kómu.</w:t>
      </w:r>
    </w:p>
    <w:p w:rsidR="00384754" w:rsidRPr="00F06247" w:rsidRDefault="00384754" w:rsidP="00384754">
      <w:pPr>
        <w:ind w:left="0" w:firstLine="0"/>
        <w:rPr>
          <w:szCs w:val="22"/>
        </w:rPr>
      </w:pPr>
    </w:p>
    <w:p w:rsidR="00237907" w:rsidRPr="00F06247" w:rsidRDefault="00237907" w:rsidP="00384754">
      <w:pPr>
        <w:ind w:left="0" w:firstLine="0"/>
        <w:rPr>
          <w:szCs w:val="22"/>
        </w:rPr>
      </w:pPr>
      <w:r w:rsidRPr="00F06247">
        <w:rPr>
          <w:szCs w:val="22"/>
        </w:rPr>
        <w:t>Ak je intravenózna injekcia podaná príliš rýchlo, môže vyvolať</w:t>
      </w:r>
      <w:r w:rsidR="00384754" w:rsidRPr="00F06247">
        <w:rPr>
          <w:szCs w:val="22"/>
        </w:rPr>
        <w:t xml:space="preserve"> </w:t>
      </w:r>
      <w:r w:rsidRPr="00F06247">
        <w:rPr>
          <w:szCs w:val="22"/>
        </w:rPr>
        <w:t xml:space="preserve">príznaky </w:t>
      </w:r>
      <w:proofErr w:type="spellStart"/>
      <w:r w:rsidRPr="00F06247">
        <w:rPr>
          <w:szCs w:val="22"/>
        </w:rPr>
        <w:t>hyperkalciémie</w:t>
      </w:r>
      <w:proofErr w:type="spellEnd"/>
      <w:r w:rsidRPr="00F06247">
        <w:rPr>
          <w:szCs w:val="22"/>
        </w:rPr>
        <w:t xml:space="preserve"> ako aj pocit kriedovej chuti v ústach, návaly tepla a hypotenziu.</w:t>
      </w:r>
    </w:p>
    <w:p w:rsidR="00384754" w:rsidRPr="00F06247" w:rsidRDefault="00384754" w:rsidP="00384754">
      <w:pPr>
        <w:ind w:left="0" w:firstLine="0"/>
        <w:rPr>
          <w:szCs w:val="22"/>
          <w:u w:val="single"/>
        </w:rPr>
      </w:pPr>
    </w:p>
    <w:p w:rsidR="00237907" w:rsidRPr="00F06247" w:rsidRDefault="00237907" w:rsidP="00384754">
      <w:pPr>
        <w:ind w:left="0" w:firstLine="0"/>
        <w:rPr>
          <w:szCs w:val="22"/>
          <w:u w:val="single"/>
        </w:rPr>
      </w:pPr>
      <w:r w:rsidRPr="00F06247">
        <w:rPr>
          <w:szCs w:val="22"/>
          <w:u w:val="single"/>
        </w:rPr>
        <w:t xml:space="preserve">Prvá pomoc, </w:t>
      </w:r>
      <w:proofErr w:type="spellStart"/>
      <w:r w:rsidRPr="00F06247">
        <w:rPr>
          <w:szCs w:val="22"/>
          <w:u w:val="single"/>
        </w:rPr>
        <w:t>antidotá</w:t>
      </w:r>
      <w:proofErr w:type="spellEnd"/>
    </w:p>
    <w:p w:rsidR="00950607" w:rsidRPr="00F06247" w:rsidRDefault="00950607" w:rsidP="00384754">
      <w:pPr>
        <w:ind w:left="0" w:firstLine="0"/>
        <w:rPr>
          <w:noProof/>
          <w:szCs w:val="22"/>
        </w:rPr>
      </w:pPr>
      <w:r w:rsidRPr="00F06247">
        <w:rPr>
          <w:noProof/>
          <w:szCs w:val="22"/>
        </w:rPr>
        <w:t>Preruš</w:t>
      </w:r>
      <w:r w:rsidR="00237907" w:rsidRPr="00F06247">
        <w:rPr>
          <w:noProof/>
          <w:szCs w:val="22"/>
        </w:rPr>
        <w:t xml:space="preserve">enie </w:t>
      </w:r>
      <w:r w:rsidRPr="00F06247">
        <w:rPr>
          <w:noProof/>
          <w:szCs w:val="22"/>
        </w:rPr>
        <w:t>ďalšie</w:t>
      </w:r>
      <w:r w:rsidR="00237907" w:rsidRPr="00F06247">
        <w:rPr>
          <w:noProof/>
          <w:szCs w:val="22"/>
        </w:rPr>
        <w:t>ho</w:t>
      </w:r>
      <w:r w:rsidRPr="00F06247">
        <w:rPr>
          <w:noProof/>
          <w:szCs w:val="22"/>
        </w:rPr>
        <w:t xml:space="preserve"> podávani</w:t>
      </w:r>
      <w:r w:rsidR="00237907" w:rsidRPr="00F06247">
        <w:rPr>
          <w:noProof/>
          <w:szCs w:val="22"/>
        </w:rPr>
        <w:t>a</w:t>
      </w:r>
      <w:r w:rsidRPr="00F06247">
        <w:rPr>
          <w:noProof/>
          <w:szCs w:val="22"/>
        </w:rPr>
        <w:t xml:space="preserve"> vápnika.</w:t>
      </w:r>
    </w:p>
    <w:p w:rsidR="00950607" w:rsidRPr="00F06247" w:rsidRDefault="00950607" w:rsidP="00384754">
      <w:pPr>
        <w:ind w:left="0" w:firstLine="0"/>
        <w:rPr>
          <w:noProof/>
          <w:szCs w:val="22"/>
        </w:rPr>
      </w:pPr>
    </w:p>
    <w:p w:rsidR="00237907" w:rsidRPr="00F06247" w:rsidRDefault="00237907" w:rsidP="00384754">
      <w:pPr>
        <w:ind w:left="0" w:firstLine="0"/>
        <w:rPr>
          <w:szCs w:val="22"/>
        </w:rPr>
      </w:pPr>
      <w:r w:rsidRPr="00F06247">
        <w:rPr>
          <w:szCs w:val="22"/>
        </w:rPr>
        <w:t xml:space="preserve">Liečba </w:t>
      </w:r>
      <w:r w:rsidR="00384754" w:rsidRPr="00F06247">
        <w:rPr>
          <w:szCs w:val="22"/>
        </w:rPr>
        <w:t xml:space="preserve">sa </w:t>
      </w:r>
      <w:r w:rsidRPr="00F06247">
        <w:rPr>
          <w:szCs w:val="22"/>
        </w:rPr>
        <w:t xml:space="preserve">má </w:t>
      </w:r>
      <w:r w:rsidR="00384754" w:rsidRPr="00F06247">
        <w:rPr>
          <w:szCs w:val="22"/>
        </w:rPr>
        <w:t>zamerať</w:t>
      </w:r>
      <w:r w:rsidRPr="00F06247">
        <w:rPr>
          <w:szCs w:val="22"/>
        </w:rPr>
        <w:t xml:space="preserve"> na zníženie zvýšenej plazmatickej koncentrácie vápnika.</w:t>
      </w:r>
    </w:p>
    <w:p w:rsidR="00384754" w:rsidRPr="00F06247" w:rsidRDefault="00384754" w:rsidP="00384754">
      <w:pPr>
        <w:ind w:left="0" w:firstLine="0"/>
        <w:rPr>
          <w:szCs w:val="22"/>
        </w:rPr>
      </w:pPr>
    </w:p>
    <w:p w:rsidR="00237907" w:rsidRPr="00F06247" w:rsidRDefault="00971C74" w:rsidP="00384754">
      <w:pPr>
        <w:ind w:left="0" w:firstLine="0"/>
        <w:rPr>
          <w:szCs w:val="22"/>
        </w:rPr>
      </w:pPr>
      <w:r>
        <w:rPr>
          <w:szCs w:val="22"/>
        </w:rPr>
        <w:t>Za</w:t>
      </w:r>
      <w:r w:rsidR="00237907" w:rsidRPr="00F06247">
        <w:rPr>
          <w:szCs w:val="22"/>
        </w:rPr>
        <w:t xml:space="preserve">čiatočná liečba má zahŕňať rehydratáciu a v prípade závažnej </w:t>
      </w:r>
      <w:proofErr w:type="spellStart"/>
      <w:r w:rsidR="00237907" w:rsidRPr="00F06247">
        <w:rPr>
          <w:szCs w:val="22"/>
        </w:rPr>
        <w:t>hyperkalciémie</w:t>
      </w:r>
      <w:proofErr w:type="spellEnd"/>
      <w:r w:rsidR="00237907" w:rsidRPr="00F06247">
        <w:rPr>
          <w:szCs w:val="22"/>
        </w:rPr>
        <w:t xml:space="preserve"> môže byť nevyhnutné podať intravenóznu infúziu chloridu sodného na zväčšenie </w:t>
      </w:r>
      <w:proofErr w:type="spellStart"/>
      <w:r w:rsidR="00237907" w:rsidRPr="00F06247">
        <w:rPr>
          <w:szCs w:val="22"/>
        </w:rPr>
        <w:t>extracelulárnej</w:t>
      </w:r>
      <w:proofErr w:type="spellEnd"/>
      <w:r w:rsidR="00237907" w:rsidRPr="00F06247">
        <w:rPr>
          <w:szCs w:val="22"/>
        </w:rPr>
        <w:t xml:space="preserve"> tekutiny. Na zníženie zvýšenej sérovej koncentrácie vápnika </w:t>
      </w:r>
      <w:r w:rsidR="00384754" w:rsidRPr="00F06247">
        <w:rPr>
          <w:szCs w:val="22"/>
        </w:rPr>
        <w:t xml:space="preserve">sa môže </w:t>
      </w:r>
      <w:r w:rsidR="00237907" w:rsidRPr="00F06247">
        <w:rPr>
          <w:szCs w:val="22"/>
        </w:rPr>
        <w:t>poda</w:t>
      </w:r>
      <w:r w:rsidR="00384754" w:rsidRPr="00F06247">
        <w:rPr>
          <w:szCs w:val="22"/>
        </w:rPr>
        <w:t>ť</w:t>
      </w:r>
      <w:r w:rsidR="00237907" w:rsidRPr="00F06247">
        <w:rPr>
          <w:szCs w:val="22"/>
        </w:rPr>
        <w:t xml:space="preserve"> </w:t>
      </w:r>
      <w:proofErr w:type="spellStart"/>
      <w:r w:rsidR="00237907" w:rsidRPr="00F06247">
        <w:rPr>
          <w:szCs w:val="22"/>
        </w:rPr>
        <w:t>kalcitonín</w:t>
      </w:r>
      <w:proofErr w:type="spellEnd"/>
      <w:r w:rsidR="00237907" w:rsidRPr="00F06247">
        <w:rPr>
          <w:szCs w:val="22"/>
        </w:rPr>
        <w:t xml:space="preserve">. Na zvýšenie vylučovania vápnika </w:t>
      </w:r>
      <w:r w:rsidR="00384754" w:rsidRPr="00F06247">
        <w:rPr>
          <w:szCs w:val="22"/>
        </w:rPr>
        <w:t xml:space="preserve">sa </w:t>
      </w:r>
      <w:r w:rsidR="00237907" w:rsidRPr="00F06247">
        <w:rPr>
          <w:szCs w:val="22"/>
        </w:rPr>
        <w:t>môže poda</w:t>
      </w:r>
      <w:r w:rsidR="00384754" w:rsidRPr="00F06247">
        <w:rPr>
          <w:szCs w:val="22"/>
        </w:rPr>
        <w:t>ť</w:t>
      </w:r>
      <w:r w:rsidR="00237907" w:rsidRPr="00F06247">
        <w:rPr>
          <w:szCs w:val="22"/>
        </w:rPr>
        <w:t xml:space="preserve"> </w:t>
      </w:r>
      <w:proofErr w:type="spellStart"/>
      <w:r w:rsidR="00237907" w:rsidRPr="00F06247">
        <w:rPr>
          <w:szCs w:val="22"/>
        </w:rPr>
        <w:t>furosemid</w:t>
      </w:r>
      <w:proofErr w:type="spellEnd"/>
      <w:r w:rsidR="00237907" w:rsidRPr="00F06247">
        <w:rPr>
          <w:szCs w:val="22"/>
        </w:rPr>
        <w:t xml:space="preserve">, avšak </w:t>
      </w:r>
      <w:proofErr w:type="spellStart"/>
      <w:r w:rsidR="00237907" w:rsidRPr="00F06247">
        <w:rPr>
          <w:szCs w:val="22"/>
        </w:rPr>
        <w:t>tiazidové</w:t>
      </w:r>
      <w:proofErr w:type="spellEnd"/>
      <w:r w:rsidR="00237907" w:rsidRPr="00F06247">
        <w:rPr>
          <w:szCs w:val="22"/>
        </w:rPr>
        <w:t xml:space="preserve"> diuretiká sa neodporúčajú, pretože môžu zvýšiť </w:t>
      </w:r>
      <w:proofErr w:type="spellStart"/>
      <w:r w:rsidR="00237907" w:rsidRPr="00F06247">
        <w:rPr>
          <w:szCs w:val="22"/>
        </w:rPr>
        <w:t>renálnu</w:t>
      </w:r>
      <w:proofErr w:type="spellEnd"/>
      <w:r w:rsidR="00237907" w:rsidRPr="00F06247">
        <w:rPr>
          <w:szCs w:val="22"/>
        </w:rPr>
        <w:t xml:space="preserve"> absorpciu vápnika.</w:t>
      </w:r>
    </w:p>
    <w:p w:rsidR="00384754" w:rsidRPr="00F06247" w:rsidRDefault="00384754" w:rsidP="00384754">
      <w:pPr>
        <w:ind w:left="0" w:firstLine="0"/>
        <w:rPr>
          <w:szCs w:val="22"/>
        </w:rPr>
      </w:pPr>
    </w:p>
    <w:p w:rsidR="00237907" w:rsidRPr="0002785C" w:rsidRDefault="00237907" w:rsidP="00384754">
      <w:pPr>
        <w:ind w:left="0" w:firstLine="0"/>
        <w:rPr>
          <w:noProof/>
          <w:szCs w:val="22"/>
        </w:rPr>
      </w:pPr>
      <w:r w:rsidRPr="00F06247">
        <w:rPr>
          <w:szCs w:val="22"/>
        </w:rPr>
        <w:t xml:space="preserve">Ak ostatné </w:t>
      </w:r>
      <w:r w:rsidR="00971C74">
        <w:rPr>
          <w:szCs w:val="22"/>
        </w:rPr>
        <w:t>opatrenia</w:t>
      </w:r>
      <w:r w:rsidRPr="00F06247">
        <w:rPr>
          <w:szCs w:val="22"/>
        </w:rPr>
        <w:t xml:space="preserve"> zlyhali a u pacienta </w:t>
      </w:r>
      <w:r w:rsidR="00384754" w:rsidRPr="00F06247">
        <w:rPr>
          <w:szCs w:val="22"/>
        </w:rPr>
        <w:t xml:space="preserve">stále </w:t>
      </w:r>
      <w:r w:rsidRPr="00F06247">
        <w:rPr>
          <w:szCs w:val="22"/>
        </w:rPr>
        <w:t xml:space="preserve">pretrvávajú akútne </w:t>
      </w:r>
      <w:r w:rsidR="00F82E0B">
        <w:rPr>
          <w:szCs w:val="22"/>
        </w:rPr>
        <w:t>príznaky</w:t>
      </w:r>
      <w:r w:rsidRPr="00F06247">
        <w:rPr>
          <w:szCs w:val="22"/>
        </w:rPr>
        <w:t>, môže sa zvážiť</w:t>
      </w:r>
      <w:r w:rsidR="00DC1030">
        <w:rPr>
          <w:szCs w:val="22"/>
        </w:rPr>
        <w:t xml:space="preserve"> </w:t>
      </w:r>
      <w:r w:rsidRPr="00F06247">
        <w:rPr>
          <w:szCs w:val="22"/>
        </w:rPr>
        <w:t>hemodialýz</w:t>
      </w:r>
      <w:r w:rsidR="00DC1030">
        <w:rPr>
          <w:szCs w:val="22"/>
        </w:rPr>
        <w:t>a</w:t>
      </w:r>
      <w:r w:rsidRPr="00F06247">
        <w:rPr>
          <w:szCs w:val="22"/>
        </w:rPr>
        <w:t xml:space="preserve"> alebo </w:t>
      </w:r>
      <w:proofErr w:type="spellStart"/>
      <w:r w:rsidRPr="00F06247">
        <w:rPr>
          <w:szCs w:val="22"/>
        </w:rPr>
        <w:t>peritoneáln</w:t>
      </w:r>
      <w:r w:rsidR="00DC1030">
        <w:rPr>
          <w:szCs w:val="22"/>
        </w:rPr>
        <w:t>a</w:t>
      </w:r>
      <w:proofErr w:type="spellEnd"/>
      <w:r w:rsidRPr="00F06247">
        <w:rPr>
          <w:szCs w:val="22"/>
        </w:rPr>
        <w:t xml:space="preserve"> dialýz</w:t>
      </w:r>
      <w:r w:rsidR="00DC1030">
        <w:rPr>
          <w:szCs w:val="22"/>
        </w:rPr>
        <w:t>a</w:t>
      </w:r>
      <w:r w:rsidRPr="00F06247">
        <w:rPr>
          <w:szCs w:val="22"/>
        </w:rPr>
        <w:t xml:space="preserve">. Pri liečbe predávkovania je potrebné pozorne sledovať </w:t>
      </w:r>
      <w:r w:rsidR="00F82E0B">
        <w:rPr>
          <w:szCs w:val="22"/>
        </w:rPr>
        <w:t>koncentráciu</w:t>
      </w:r>
      <w:r w:rsidR="00F82E0B" w:rsidRPr="00F06247">
        <w:rPr>
          <w:szCs w:val="22"/>
        </w:rPr>
        <w:t xml:space="preserve"> </w:t>
      </w:r>
      <w:r w:rsidRPr="00F06247">
        <w:rPr>
          <w:szCs w:val="22"/>
        </w:rPr>
        <w:t>elektrolytov v</w:t>
      </w:r>
      <w:r w:rsidR="003A548B">
        <w:rPr>
          <w:szCs w:val="22"/>
        </w:rPr>
        <w:t> </w:t>
      </w:r>
      <w:r w:rsidRPr="00F06247">
        <w:rPr>
          <w:szCs w:val="22"/>
        </w:rPr>
        <w:t>sére</w:t>
      </w:r>
      <w:r w:rsidR="003A548B">
        <w:rPr>
          <w:szCs w:val="22"/>
        </w:rPr>
        <w:t>.</w:t>
      </w:r>
    </w:p>
    <w:p w:rsidR="00237907" w:rsidRDefault="00237907" w:rsidP="00384754">
      <w:pPr>
        <w:ind w:left="0" w:firstLine="0"/>
        <w:rPr>
          <w:noProof/>
          <w:szCs w:val="22"/>
        </w:rPr>
      </w:pPr>
    </w:p>
    <w:p w:rsidR="00780926" w:rsidRPr="003021DE" w:rsidRDefault="00780926" w:rsidP="00384754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</w:t>
      </w:r>
      <w:r w:rsidRPr="003021DE">
        <w:rPr>
          <w:b/>
          <w:szCs w:val="22"/>
        </w:rPr>
        <w:tab/>
        <w:t>FARMAKOLOGICKÉ VLASTNOSTI</w:t>
      </w:r>
    </w:p>
    <w:p w:rsidR="00780926" w:rsidRPr="003021DE" w:rsidRDefault="00780926" w:rsidP="00E41B3F">
      <w:pPr>
        <w:rPr>
          <w:bCs/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5.1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Farmakodynamické</w:t>
      </w:r>
      <w:proofErr w:type="spellEnd"/>
      <w:r w:rsidRPr="003021DE">
        <w:rPr>
          <w:b/>
          <w:szCs w:val="22"/>
        </w:rPr>
        <w:t xml:space="preserve"> vlastnosti</w:t>
      </w:r>
    </w:p>
    <w:p w:rsidR="00780926" w:rsidRPr="003021DE" w:rsidRDefault="00780926" w:rsidP="00E41B3F">
      <w:pPr>
        <w:rPr>
          <w:szCs w:val="22"/>
        </w:rPr>
      </w:pPr>
    </w:p>
    <w:p w:rsidR="00EC36DA" w:rsidRPr="009470A8" w:rsidRDefault="00780926" w:rsidP="00E41B3F">
      <w:pPr>
        <w:outlineLvl w:val="0"/>
        <w:rPr>
          <w:szCs w:val="22"/>
        </w:rPr>
      </w:pPr>
      <w:proofErr w:type="spellStart"/>
      <w:r w:rsidRPr="009470A8">
        <w:rPr>
          <w:szCs w:val="22"/>
        </w:rPr>
        <w:t>Farmakoterapeutická</w:t>
      </w:r>
      <w:proofErr w:type="spellEnd"/>
      <w:r w:rsidRPr="009470A8">
        <w:rPr>
          <w:szCs w:val="22"/>
        </w:rPr>
        <w:t xml:space="preserve"> skupina: </w:t>
      </w:r>
      <w:r w:rsidR="00EC36DA" w:rsidRPr="009470A8">
        <w:rPr>
          <w:szCs w:val="22"/>
        </w:rPr>
        <w:t>Roztoky ovplyvňujúce rovnováhu elektrolytov, elektrolyty.</w:t>
      </w:r>
    </w:p>
    <w:p w:rsidR="00780926" w:rsidRPr="009470A8" w:rsidRDefault="00780926" w:rsidP="00E41B3F">
      <w:pPr>
        <w:outlineLvl w:val="0"/>
        <w:rPr>
          <w:szCs w:val="22"/>
        </w:rPr>
      </w:pPr>
      <w:r w:rsidRPr="009470A8">
        <w:rPr>
          <w:szCs w:val="22"/>
        </w:rPr>
        <w:t xml:space="preserve">ATC kód: </w:t>
      </w:r>
      <w:r w:rsidR="00EC36DA" w:rsidRPr="009470A8">
        <w:rPr>
          <w:szCs w:val="22"/>
        </w:rPr>
        <w:t>B05BB01.</w:t>
      </w:r>
    </w:p>
    <w:p w:rsidR="00780926" w:rsidRPr="003021DE" w:rsidRDefault="00780926" w:rsidP="00E41B3F">
      <w:pPr>
        <w:ind w:left="0" w:firstLine="0"/>
        <w:outlineLvl w:val="0"/>
        <w:rPr>
          <w:szCs w:val="22"/>
        </w:rPr>
      </w:pPr>
    </w:p>
    <w:p w:rsidR="00EC36DA" w:rsidRPr="00EC36DA" w:rsidRDefault="00EC36DA" w:rsidP="00EC36DA">
      <w:pPr>
        <w:ind w:left="0" w:firstLine="0"/>
        <w:rPr>
          <w:szCs w:val="22"/>
          <w:u w:val="single"/>
        </w:rPr>
      </w:pPr>
      <w:r w:rsidRPr="00EC36DA">
        <w:rPr>
          <w:szCs w:val="22"/>
          <w:u w:val="single"/>
        </w:rPr>
        <w:t xml:space="preserve">Mechanizmus </w:t>
      </w:r>
      <w:r>
        <w:rPr>
          <w:szCs w:val="22"/>
          <w:u w:val="single"/>
        </w:rPr>
        <w:t>účinku</w:t>
      </w:r>
    </w:p>
    <w:p w:rsidR="00EC36DA" w:rsidRPr="00EC36DA" w:rsidRDefault="00EC36DA" w:rsidP="00EC36DA">
      <w:pPr>
        <w:ind w:left="0" w:firstLine="0"/>
        <w:rPr>
          <w:szCs w:val="22"/>
        </w:rPr>
      </w:pPr>
      <w:r w:rsidRPr="00F06247">
        <w:rPr>
          <w:szCs w:val="22"/>
        </w:rPr>
        <w:t xml:space="preserve">Vápnik </w:t>
      </w:r>
      <w:r w:rsidR="00B40C12">
        <w:rPr>
          <w:szCs w:val="22"/>
        </w:rPr>
        <w:t>je esenciálny elektrolyt</w:t>
      </w:r>
      <w:r w:rsidR="004C188A">
        <w:rPr>
          <w:szCs w:val="22"/>
        </w:rPr>
        <w:t xml:space="preserve"> v tele.</w:t>
      </w:r>
      <w:r w:rsidRPr="0002785C">
        <w:rPr>
          <w:szCs w:val="22"/>
        </w:rPr>
        <w:t xml:space="preserve"> Je nevyhnutn</w:t>
      </w:r>
      <w:r w:rsidRPr="00AC2342">
        <w:rPr>
          <w:szCs w:val="22"/>
        </w:rPr>
        <w:t>ý pre funkčnú integritu nervov a</w:t>
      </w:r>
      <w:r w:rsidRPr="00EC36DA">
        <w:rPr>
          <w:szCs w:val="22"/>
        </w:rPr>
        <w:t xml:space="preserve"> svalov a je </w:t>
      </w:r>
      <w:r w:rsidR="009E2680">
        <w:rPr>
          <w:szCs w:val="22"/>
        </w:rPr>
        <w:t>esenciálny</w:t>
      </w:r>
      <w:r w:rsidRPr="00EC36DA">
        <w:rPr>
          <w:szCs w:val="22"/>
        </w:rPr>
        <w:t xml:space="preserve"> pre svalovú kontrakciu, srdcovú funkciu a </w:t>
      </w:r>
      <w:r w:rsidR="009470A8">
        <w:rPr>
          <w:szCs w:val="22"/>
        </w:rPr>
        <w:t>zrážanie</w:t>
      </w:r>
      <w:r w:rsidRPr="00EC36DA">
        <w:rPr>
          <w:szCs w:val="22"/>
        </w:rPr>
        <w:t xml:space="preserve"> krvi.</w:t>
      </w:r>
    </w:p>
    <w:p w:rsidR="00EC36DA" w:rsidRPr="00EC36DA" w:rsidRDefault="00EC36DA" w:rsidP="00EC36DA">
      <w:pPr>
        <w:ind w:left="0" w:firstLine="0"/>
        <w:rPr>
          <w:szCs w:val="22"/>
        </w:rPr>
      </w:pPr>
    </w:p>
    <w:p w:rsidR="00EC36DA" w:rsidRPr="00EC36DA" w:rsidRDefault="0056448F" w:rsidP="00EC36DA">
      <w:pPr>
        <w:ind w:left="0" w:firstLine="0"/>
        <w:rPr>
          <w:szCs w:val="22"/>
        </w:rPr>
      </w:pPr>
      <w:proofErr w:type="spellStart"/>
      <w:r w:rsidRPr="00F06247">
        <w:rPr>
          <w:szCs w:val="22"/>
        </w:rPr>
        <w:t>H</w:t>
      </w:r>
      <w:r w:rsidR="00EC36DA" w:rsidRPr="00F06247">
        <w:rPr>
          <w:szCs w:val="22"/>
        </w:rPr>
        <w:t>omeostáza</w:t>
      </w:r>
      <w:proofErr w:type="spellEnd"/>
      <w:r w:rsidR="00EC36DA" w:rsidRPr="00F06247">
        <w:rPr>
          <w:szCs w:val="22"/>
        </w:rPr>
        <w:t xml:space="preserve"> </w:t>
      </w:r>
      <w:r w:rsidRPr="00F06247">
        <w:rPr>
          <w:szCs w:val="22"/>
        </w:rPr>
        <w:t xml:space="preserve">vápnika </w:t>
      </w:r>
      <w:r w:rsidR="00EC36DA" w:rsidRPr="00F06247">
        <w:rPr>
          <w:szCs w:val="22"/>
        </w:rPr>
        <w:t xml:space="preserve">je regulovaná hlavne tromi endokrinnými faktormi: </w:t>
      </w:r>
      <w:proofErr w:type="spellStart"/>
      <w:r w:rsidR="00217AF9" w:rsidRPr="0002785C">
        <w:rPr>
          <w:szCs w:val="22"/>
        </w:rPr>
        <w:t>p</w:t>
      </w:r>
      <w:r w:rsidR="00217AF9" w:rsidRPr="00F06247">
        <w:rPr>
          <w:bCs/>
        </w:rPr>
        <w:t>aratyroid</w:t>
      </w:r>
      <w:r w:rsidR="000A1AEA">
        <w:rPr>
          <w:bCs/>
        </w:rPr>
        <w:t>ný</w:t>
      </w:r>
      <w:proofErr w:type="spellEnd"/>
      <w:r w:rsidR="000A1AEA">
        <w:rPr>
          <w:bCs/>
        </w:rPr>
        <w:t xml:space="preserve"> hormón </w:t>
      </w:r>
      <w:r w:rsidR="00EC36DA" w:rsidRPr="00F06247">
        <w:rPr>
          <w:szCs w:val="22"/>
        </w:rPr>
        <w:t xml:space="preserve">je vylučovaný v reakcii na pokles plazmatickej koncentrácie vápnika a pôsobí urýchľovaním </w:t>
      </w:r>
      <w:r w:rsidR="00A86C28" w:rsidRPr="00F06247">
        <w:rPr>
          <w:szCs w:val="22"/>
        </w:rPr>
        <w:t>presun</w:t>
      </w:r>
      <w:r w:rsidR="00A879CD" w:rsidRPr="00F06247">
        <w:rPr>
          <w:szCs w:val="22"/>
        </w:rPr>
        <w:t>u</w:t>
      </w:r>
      <w:r w:rsidR="00A86C28" w:rsidRPr="00F06247">
        <w:rPr>
          <w:szCs w:val="22"/>
        </w:rPr>
        <w:t xml:space="preserve"> </w:t>
      </w:r>
      <w:r w:rsidR="00EC36DA" w:rsidRPr="00F06247">
        <w:rPr>
          <w:szCs w:val="22"/>
        </w:rPr>
        <w:t>vápnika z kost</w:t>
      </w:r>
      <w:r w:rsidR="004C188A" w:rsidRPr="00F06247">
        <w:rPr>
          <w:szCs w:val="22"/>
        </w:rPr>
        <w:t>í</w:t>
      </w:r>
      <w:r w:rsidR="00EC36DA" w:rsidRPr="00F06247">
        <w:rPr>
          <w:szCs w:val="22"/>
        </w:rPr>
        <w:t xml:space="preserve"> a</w:t>
      </w:r>
      <w:r w:rsidR="004C188A" w:rsidRPr="00F06247">
        <w:rPr>
          <w:szCs w:val="22"/>
        </w:rPr>
        <w:t> </w:t>
      </w:r>
      <w:r w:rsidR="00EC36DA" w:rsidRPr="00F06247">
        <w:rPr>
          <w:szCs w:val="22"/>
        </w:rPr>
        <w:t>zv</w:t>
      </w:r>
      <w:r w:rsidR="004C188A" w:rsidRPr="00F06247">
        <w:rPr>
          <w:szCs w:val="22"/>
        </w:rPr>
        <w:t xml:space="preserve">yšovaním </w:t>
      </w:r>
      <w:r w:rsidR="000A1AEA">
        <w:rPr>
          <w:szCs w:val="22"/>
        </w:rPr>
        <w:t xml:space="preserve">jeho </w:t>
      </w:r>
      <w:r w:rsidR="004C188A" w:rsidRPr="00F06247">
        <w:rPr>
          <w:szCs w:val="22"/>
        </w:rPr>
        <w:t xml:space="preserve">absorpcie </w:t>
      </w:r>
      <w:r w:rsidR="000A1AEA">
        <w:rPr>
          <w:szCs w:val="22"/>
        </w:rPr>
        <w:t xml:space="preserve">v </w:t>
      </w:r>
      <w:r w:rsidR="004C188A" w:rsidRPr="00F06247">
        <w:rPr>
          <w:szCs w:val="22"/>
        </w:rPr>
        <w:t>čr</w:t>
      </w:r>
      <w:r w:rsidR="000A1AEA">
        <w:rPr>
          <w:szCs w:val="22"/>
        </w:rPr>
        <w:t>evách</w:t>
      </w:r>
      <w:r w:rsidR="00EC36DA" w:rsidRPr="00F06247">
        <w:rPr>
          <w:szCs w:val="22"/>
        </w:rPr>
        <w:t xml:space="preserve"> a</w:t>
      </w:r>
      <w:r w:rsidR="004C188A" w:rsidRPr="00F06247">
        <w:rPr>
          <w:szCs w:val="22"/>
        </w:rPr>
        <w:t> </w:t>
      </w:r>
      <w:proofErr w:type="spellStart"/>
      <w:r w:rsidR="00EC36DA" w:rsidRPr="00F06247">
        <w:rPr>
          <w:szCs w:val="22"/>
        </w:rPr>
        <w:t>reabsorpcie</w:t>
      </w:r>
      <w:proofErr w:type="spellEnd"/>
      <w:r w:rsidR="004C188A" w:rsidRPr="00F06247">
        <w:rPr>
          <w:szCs w:val="22"/>
        </w:rPr>
        <w:t xml:space="preserve"> </w:t>
      </w:r>
      <w:r w:rsidR="000A1AEA">
        <w:rPr>
          <w:szCs w:val="22"/>
        </w:rPr>
        <w:t xml:space="preserve">v </w:t>
      </w:r>
      <w:r w:rsidR="004C188A" w:rsidRPr="00F06247">
        <w:rPr>
          <w:szCs w:val="22"/>
        </w:rPr>
        <w:t>oblič</w:t>
      </w:r>
      <w:r w:rsidR="000A1AEA">
        <w:rPr>
          <w:szCs w:val="22"/>
        </w:rPr>
        <w:t>kách</w:t>
      </w:r>
      <w:r w:rsidR="00EC36DA" w:rsidRPr="00F06247">
        <w:rPr>
          <w:szCs w:val="22"/>
        </w:rPr>
        <w:t xml:space="preserve">; </w:t>
      </w:r>
      <w:proofErr w:type="spellStart"/>
      <w:r w:rsidR="00EC36DA" w:rsidRPr="00F06247">
        <w:rPr>
          <w:szCs w:val="22"/>
        </w:rPr>
        <w:t>kalcitonín</w:t>
      </w:r>
      <w:proofErr w:type="spellEnd"/>
      <w:r w:rsidR="00EC36DA" w:rsidRPr="00F06247">
        <w:rPr>
          <w:szCs w:val="22"/>
        </w:rPr>
        <w:t xml:space="preserve"> znižuje plazmatick</w:t>
      </w:r>
      <w:r w:rsidR="004C188A" w:rsidRPr="00F06247">
        <w:rPr>
          <w:szCs w:val="22"/>
        </w:rPr>
        <w:t>ú koncentráciu</w:t>
      </w:r>
      <w:r w:rsidR="00EC36DA" w:rsidRPr="00F06247">
        <w:rPr>
          <w:szCs w:val="22"/>
        </w:rPr>
        <w:t xml:space="preserve"> vápnik</w:t>
      </w:r>
      <w:r w:rsidR="004C188A" w:rsidRPr="00F06247">
        <w:rPr>
          <w:szCs w:val="22"/>
        </w:rPr>
        <w:t>a</w:t>
      </w:r>
      <w:r w:rsidR="00EC36DA" w:rsidRPr="00F06247">
        <w:rPr>
          <w:szCs w:val="22"/>
        </w:rPr>
        <w:t xml:space="preserve"> znížením </w:t>
      </w:r>
      <w:proofErr w:type="spellStart"/>
      <w:r w:rsidR="00EC36DA" w:rsidRPr="00F06247">
        <w:rPr>
          <w:szCs w:val="22"/>
        </w:rPr>
        <w:t>resorpcie</w:t>
      </w:r>
      <w:proofErr w:type="spellEnd"/>
      <w:r w:rsidR="00EC36DA" w:rsidRPr="00F06247">
        <w:rPr>
          <w:szCs w:val="22"/>
        </w:rPr>
        <w:t xml:space="preserve"> kostí a zvýšením vylučovania iónov obličkami; </w:t>
      </w:r>
      <w:r w:rsidR="00511B9D" w:rsidRPr="00F06247">
        <w:rPr>
          <w:szCs w:val="22"/>
        </w:rPr>
        <w:t>v</w:t>
      </w:r>
      <w:r w:rsidR="00EC36DA" w:rsidRPr="00F06247">
        <w:rPr>
          <w:szCs w:val="22"/>
        </w:rPr>
        <w:t xml:space="preserve">itamín D stimuluje črevnú absorpciu vápnika a znižuje jeho </w:t>
      </w:r>
      <w:r w:rsidRPr="00F06247">
        <w:rPr>
          <w:szCs w:val="22"/>
        </w:rPr>
        <w:t>vylučovanie obličkami</w:t>
      </w:r>
      <w:r w:rsidR="00EC36DA" w:rsidRPr="00F06247">
        <w:rPr>
          <w:szCs w:val="22"/>
        </w:rPr>
        <w:t>.</w:t>
      </w:r>
    </w:p>
    <w:p w:rsidR="00EC36DA" w:rsidRPr="00EC36DA" w:rsidRDefault="00EC36DA" w:rsidP="00EC36DA">
      <w:pPr>
        <w:ind w:left="0" w:firstLine="0"/>
        <w:rPr>
          <w:szCs w:val="22"/>
        </w:rPr>
      </w:pPr>
    </w:p>
    <w:p w:rsidR="00EC36DA" w:rsidRDefault="00EC36DA" w:rsidP="00EC36DA">
      <w:pPr>
        <w:ind w:left="0" w:firstLine="0"/>
        <w:rPr>
          <w:szCs w:val="22"/>
        </w:rPr>
      </w:pPr>
      <w:r w:rsidRPr="00EC36DA">
        <w:rPr>
          <w:szCs w:val="22"/>
        </w:rPr>
        <w:t>Vápnik je naj</w:t>
      </w:r>
      <w:r w:rsidR="009470A8">
        <w:rPr>
          <w:szCs w:val="22"/>
        </w:rPr>
        <w:t xml:space="preserve">viac zastúpeným </w:t>
      </w:r>
      <w:r w:rsidRPr="00EC36DA">
        <w:rPr>
          <w:szCs w:val="22"/>
        </w:rPr>
        <w:t>minerálom v ľudskom organizme (</w:t>
      </w:r>
      <w:r w:rsidR="009470A8">
        <w:rPr>
          <w:szCs w:val="22"/>
        </w:rPr>
        <w:t xml:space="preserve">predstavuje </w:t>
      </w:r>
      <w:r w:rsidRPr="00EC36DA">
        <w:rPr>
          <w:szCs w:val="22"/>
        </w:rPr>
        <w:t>približne 1,5</w:t>
      </w:r>
      <w:r w:rsidR="009470A8">
        <w:rPr>
          <w:szCs w:val="22"/>
        </w:rPr>
        <w:t xml:space="preserve"> </w:t>
      </w:r>
      <w:r w:rsidRPr="00EC36DA">
        <w:rPr>
          <w:szCs w:val="22"/>
        </w:rPr>
        <w:t>% celkovej telesnej hmotnosti). Viac ako 99</w:t>
      </w:r>
      <w:r w:rsidR="009470A8">
        <w:rPr>
          <w:szCs w:val="22"/>
        </w:rPr>
        <w:t xml:space="preserve"> </w:t>
      </w:r>
      <w:r w:rsidRPr="00EC36DA">
        <w:rPr>
          <w:szCs w:val="22"/>
        </w:rPr>
        <w:t xml:space="preserve">% celkového vápnika v tele sa nachádza v kostiach a zuboch, </w:t>
      </w:r>
      <w:r w:rsidR="009470A8">
        <w:rPr>
          <w:szCs w:val="22"/>
        </w:rPr>
        <w:t>približne</w:t>
      </w:r>
      <w:r w:rsidRPr="00EC36DA">
        <w:rPr>
          <w:szCs w:val="22"/>
        </w:rPr>
        <w:t xml:space="preserve"> 1</w:t>
      </w:r>
      <w:r w:rsidR="009470A8">
        <w:rPr>
          <w:szCs w:val="22"/>
        </w:rPr>
        <w:t xml:space="preserve"> </w:t>
      </w:r>
      <w:r w:rsidRPr="00EC36DA">
        <w:rPr>
          <w:szCs w:val="22"/>
        </w:rPr>
        <w:t xml:space="preserve">% </w:t>
      </w:r>
      <w:r w:rsidR="009470A8">
        <w:rPr>
          <w:szCs w:val="22"/>
        </w:rPr>
        <w:t xml:space="preserve">je rozpustené </w:t>
      </w:r>
      <w:r w:rsidRPr="00EC36DA">
        <w:rPr>
          <w:szCs w:val="22"/>
        </w:rPr>
        <w:t xml:space="preserve">v </w:t>
      </w:r>
      <w:proofErr w:type="spellStart"/>
      <w:r w:rsidRPr="00EC36DA">
        <w:rPr>
          <w:szCs w:val="22"/>
        </w:rPr>
        <w:t>intra</w:t>
      </w:r>
      <w:proofErr w:type="spellEnd"/>
      <w:r w:rsidRPr="00EC36DA">
        <w:rPr>
          <w:szCs w:val="22"/>
        </w:rPr>
        <w:t xml:space="preserve">- a </w:t>
      </w:r>
      <w:proofErr w:type="spellStart"/>
      <w:r w:rsidRPr="00EC36DA">
        <w:rPr>
          <w:szCs w:val="22"/>
        </w:rPr>
        <w:t>extracelulárnej</w:t>
      </w:r>
      <w:proofErr w:type="spellEnd"/>
      <w:r w:rsidRPr="00EC36DA">
        <w:rPr>
          <w:szCs w:val="22"/>
        </w:rPr>
        <w:t xml:space="preserve"> tekutine.</w:t>
      </w:r>
    </w:p>
    <w:p w:rsidR="009470A8" w:rsidRDefault="009470A8" w:rsidP="009470A8">
      <w:pPr>
        <w:rPr>
          <w:szCs w:val="22"/>
        </w:rPr>
      </w:pPr>
    </w:p>
    <w:p w:rsidR="009470A8" w:rsidRPr="003A18E8" w:rsidRDefault="009470A8" w:rsidP="00666436">
      <w:pPr>
        <w:ind w:left="0" w:firstLine="0"/>
        <w:rPr>
          <w:szCs w:val="22"/>
          <w:u w:val="single"/>
        </w:rPr>
      </w:pPr>
      <w:proofErr w:type="spellStart"/>
      <w:r w:rsidRPr="003A18E8">
        <w:rPr>
          <w:szCs w:val="22"/>
          <w:u w:val="single"/>
        </w:rPr>
        <w:t>Farmakodynamické</w:t>
      </w:r>
      <w:proofErr w:type="spellEnd"/>
      <w:r w:rsidRPr="003A18E8">
        <w:rPr>
          <w:szCs w:val="22"/>
          <w:u w:val="single"/>
        </w:rPr>
        <w:t xml:space="preserve"> účinky</w:t>
      </w:r>
    </w:p>
    <w:p w:rsidR="00666436" w:rsidRPr="000D7872" w:rsidRDefault="00666436" w:rsidP="00666436">
      <w:pPr>
        <w:ind w:left="0" w:firstLine="0"/>
        <w:rPr>
          <w:szCs w:val="22"/>
        </w:rPr>
      </w:pPr>
      <w:r w:rsidRPr="000D7872">
        <w:rPr>
          <w:szCs w:val="22"/>
        </w:rPr>
        <w:t>Fyziologická koncentrácia vápnika</w:t>
      </w:r>
      <w:r w:rsidR="004C188A" w:rsidRPr="000D7872">
        <w:rPr>
          <w:szCs w:val="22"/>
        </w:rPr>
        <w:t xml:space="preserve"> v plazme</w:t>
      </w:r>
      <w:r w:rsidRPr="000D7872">
        <w:rPr>
          <w:szCs w:val="22"/>
        </w:rPr>
        <w:t xml:space="preserve"> je udržovaná na 2,25 – 2,75 </w:t>
      </w:r>
      <w:proofErr w:type="spellStart"/>
      <w:r w:rsidRPr="000D7872">
        <w:rPr>
          <w:szCs w:val="22"/>
        </w:rPr>
        <w:t>mmol</w:t>
      </w:r>
      <w:proofErr w:type="spellEnd"/>
      <w:r w:rsidRPr="000D7872">
        <w:rPr>
          <w:szCs w:val="22"/>
        </w:rPr>
        <w:t xml:space="preserve">/l. Keďže okolo 40-50 % vápnika v plazme je viazaných na albumín, celkové množstvo vápnika v plazme </w:t>
      </w:r>
      <w:r w:rsidR="00217AF9" w:rsidRPr="000D7872">
        <w:rPr>
          <w:szCs w:val="22"/>
        </w:rPr>
        <w:t>závisí od</w:t>
      </w:r>
      <w:r w:rsidRPr="000D7872">
        <w:rPr>
          <w:szCs w:val="22"/>
        </w:rPr>
        <w:t xml:space="preserve"> koncentráci</w:t>
      </w:r>
      <w:r w:rsidR="00217AF9" w:rsidRPr="000D7872">
        <w:rPr>
          <w:szCs w:val="22"/>
        </w:rPr>
        <w:t>e</w:t>
      </w:r>
      <w:r w:rsidRPr="000D7872">
        <w:rPr>
          <w:szCs w:val="22"/>
        </w:rPr>
        <w:t xml:space="preserve"> bielkovín</w:t>
      </w:r>
      <w:r w:rsidR="00217AF9" w:rsidRPr="000D7872">
        <w:rPr>
          <w:szCs w:val="22"/>
        </w:rPr>
        <w:t xml:space="preserve"> v plazme</w:t>
      </w:r>
      <w:r w:rsidRPr="000D7872">
        <w:rPr>
          <w:szCs w:val="22"/>
        </w:rPr>
        <w:t xml:space="preserve">. Koncentrácia ionizovaného vápnika sa nachádza v rozmedzí 1,23 – 1,43 </w:t>
      </w:r>
      <w:proofErr w:type="spellStart"/>
      <w:r w:rsidRPr="000D7872">
        <w:rPr>
          <w:szCs w:val="22"/>
        </w:rPr>
        <w:t>mmol</w:t>
      </w:r>
      <w:proofErr w:type="spellEnd"/>
      <w:r w:rsidRPr="000D7872">
        <w:rPr>
          <w:szCs w:val="22"/>
        </w:rPr>
        <w:t>/l</w:t>
      </w:r>
      <w:r w:rsidR="00217AF9" w:rsidRPr="000D7872">
        <w:rPr>
          <w:szCs w:val="22"/>
        </w:rPr>
        <w:t xml:space="preserve"> a je </w:t>
      </w:r>
      <w:r w:rsidRPr="000D7872">
        <w:rPr>
          <w:szCs w:val="22"/>
        </w:rPr>
        <w:t xml:space="preserve">regulovaná </w:t>
      </w:r>
      <w:proofErr w:type="spellStart"/>
      <w:r w:rsidRPr="000D7872">
        <w:rPr>
          <w:szCs w:val="22"/>
        </w:rPr>
        <w:t>kalcitonínom</w:t>
      </w:r>
      <w:proofErr w:type="spellEnd"/>
      <w:r w:rsidRPr="000D7872">
        <w:rPr>
          <w:szCs w:val="22"/>
        </w:rPr>
        <w:t xml:space="preserve"> a </w:t>
      </w:r>
      <w:proofErr w:type="spellStart"/>
      <w:r w:rsidRPr="000D7872">
        <w:rPr>
          <w:szCs w:val="22"/>
        </w:rPr>
        <w:t>parathormónom</w:t>
      </w:r>
      <w:proofErr w:type="spellEnd"/>
      <w:r w:rsidRPr="000D7872">
        <w:rPr>
          <w:szCs w:val="22"/>
        </w:rPr>
        <w:t>.</w:t>
      </w:r>
    </w:p>
    <w:p w:rsidR="003856CE" w:rsidRPr="000D7872" w:rsidRDefault="003856CE" w:rsidP="00666436">
      <w:pPr>
        <w:ind w:left="0" w:firstLine="0"/>
        <w:rPr>
          <w:szCs w:val="22"/>
        </w:rPr>
      </w:pPr>
    </w:p>
    <w:p w:rsidR="00666436" w:rsidRPr="000D7872" w:rsidRDefault="00666436" w:rsidP="00666436">
      <w:pPr>
        <w:ind w:left="0" w:firstLine="0"/>
        <w:rPr>
          <w:szCs w:val="22"/>
        </w:rPr>
      </w:pPr>
      <w:proofErr w:type="spellStart"/>
      <w:r w:rsidRPr="000D7872">
        <w:rPr>
          <w:szCs w:val="22"/>
        </w:rPr>
        <w:t>Hypokalciémia</w:t>
      </w:r>
      <w:proofErr w:type="spellEnd"/>
      <w:r w:rsidRPr="000D7872">
        <w:rPr>
          <w:szCs w:val="22"/>
        </w:rPr>
        <w:t xml:space="preserve"> (celkový vápnik pod 2,25 </w:t>
      </w:r>
      <w:proofErr w:type="spellStart"/>
      <w:r w:rsidRPr="000D7872">
        <w:rPr>
          <w:szCs w:val="22"/>
        </w:rPr>
        <w:t>mmol</w:t>
      </w:r>
      <w:proofErr w:type="spellEnd"/>
      <w:r w:rsidRPr="000D7872">
        <w:rPr>
          <w:szCs w:val="22"/>
        </w:rPr>
        <w:t xml:space="preserve">/l alebo ionizovaný vápnik pod 1,23 </w:t>
      </w:r>
      <w:proofErr w:type="spellStart"/>
      <w:r w:rsidRPr="000D7872">
        <w:rPr>
          <w:szCs w:val="22"/>
        </w:rPr>
        <w:t>mmol</w:t>
      </w:r>
      <w:proofErr w:type="spellEnd"/>
      <w:r w:rsidRPr="000D7872">
        <w:rPr>
          <w:szCs w:val="22"/>
        </w:rPr>
        <w:t xml:space="preserve">/l) môže byť spôsobená zlyhaním obličiek, nedostatkom vitamínu D, nedostatkom horčíka, masívnou transfúziou krvi, </w:t>
      </w:r>
      <w:proofErr w:type="spellStart"/>
      <w:r w:rsidRPr="000D7872">
        <w:rPr>
          <w:szCs w:val="22"/>
        </w:rPr>
        <w:t>osteoblastickými</w:t>
      </w:r>
      <w:proofErr w:type="spellEnd"/>
      <w:r w:rsidRPr="000D7872">
        <w:rPr>
          <w:szCs w:val="22"/>
        </w:rPr>
        <w:t xml:space="preserve"> zhubnými nádormi, </w:t>
      </w:r>
      <w:proofErr w:type="spellStart"/>
      <w:r w:rsidRPr="000D7872">
        <w:rPr>
          <w:szCs w:val="22"/>
        </w:rPr>
        <w:t>hypoparatyreoidizmom</w:t>
      </w:r>
      <w:proofErr w:type="spellEnd"/>
      <w:r w:rsidRPr="000D7872">
        <w:rPr>
          <w:szCs w:val="22"/>
        </w:rPr>
        <w:t xml:space="preserve"> alebo intoxikáciou fosforečnanmi, </w:t>
      </w:r>
      <w:proofErr w:type="spellStart"/>
      <w:r w:rsidRPr="000D7872">
        <w:rPr>
          <w:szCs w:val="22"/>
        </w:rPr>
        <w:t>šťaveľanmi</w:t>
      </w:r>
      <w:proofErr w:type="spellEnd"/>
      <w:r w:rsidRPr="000D7872">
        <w:rPr>
          <w:szCs w:val="22"/>
        </w:rPr>
        <w:t>, fluoridmi, stronciom alebo rádiom.</w:t>
      </w:r>
    </w:p>
    <w:p w:rsidR="00A833E5" w:rsidRPr="003A18E8" w:rsidRDefault="00A833E5" w:rsidP="0066643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666436" w:rsidRPr="000D7872" w:rsidRDefault="00666436" w:rsidP="00666436">
      <w:pPr>
        <w:ind w:left="0" w:firstLine="0"/>
        <w:rPr>
          <w:szCs w:val="22"/>
        </w:rPr>
      </w:pPr>
      <w:proofErr w:type="spellStart"/>
      <w:r w:rsidRPr="000D7872">
        <w:rPr>
          <w:szCs w:val="22"/>
        </w:rPr>
        <w:t>Hypokalciémiu</w:t>
      </w:r>
      <w:proofErr w:type="spellEnd"/>
      <w:r w:rsidRPr="000D7872">
        <w:rPr>
          <w:szCs w:val="22"/>
        </w:rPr>
        <w:t xml:space="preserve"> môžu sprevádzať nasledujúce príznaky: zvýšená </w:t>
      </w:r>
      <w:proofErr w:type="spellStart"/>
      <w:r w:rsidRPr="000D7872">
        <w:rPr>
          <w:szCs w:val="22"/>
        </w:rPr>
        <w:t>neuromuskulárna</w:t>
      </w:r>
      <w:proofErr w:type="spellEnd"/>
      <w:r w:rsidRPr="000D7872">
        <w:rPr>
          <w:szCs w:val="22"/>
        </w:rPr>
        <w:t xml:space="preserve"> dráždivosť až </w:t>
      </w:r>
      <w:proofErr w:type="spellStart"/>
      <w:r w:rsidRPr="000D7872">
        <w:rPr>
          <w:szCs w:val="22"/>
        </w:rPr>
        <w:t>tetania</w:t>
      </w:r>
      <w:proofErr w:type="spellEnd"/>
      <w:r w:rsidRPr="000D7872">
        <w:rPr>
          <w:szCs w:val="22"/>
        </w:rPr>
        <w:t xml:space="preserve">, </w:t>
      </w:r>
      <w:proofErr w:type="spellStart"/>
      <w:r w:rsidRPr="000D7872">
        <w:rPr>
          <w:szCs w:val="22"/>
        </w:rPr>
        <w:t>parestézia</w:t>
      </w:r>
      <w:proofErr w:type="spellEnd"/>
      <w:r w:rsidRPr="000D7872">
        <w:rPr>
          <w:szCs w:val="22"/>
        </w:rPr>
        <w:t xml:space="preserve">, </w:t>
      </w:r>
      <w:proofErr w:type="spellStart"/>
      <w:r w:rsidRPr="000D7872">
        <w:rPr>
          <w:szCs w:val="22"/>
        </w:rPr>
        <w:t>karpopedálne</w:t>
      </w:r>
      <w:proofErr w:type="spellEnd"/>
      <w:r w:rsidRPr="000D7872">
        <w:rPr>
          <w:szCs w:val="22"/>
        </w:rPr>
        <w:t xml:space="preserve"> kŕče, kŕče hladkých svalov napr. vo forme črevnej koliky, svalová slabosť, zmätenosť,</w:t>
      </w:r>
      <w:r w:rsidR="007818E4" w:rsidRPr="000D7872">
        <w:rPr>
          <w:szCs w:val="22"/>
        </w:rPr>
        <w:t xml:space="preserve"> </w:t>
      </w:r>
      <w:r w:rsidRPr="000D7872">
        <w:rPr>
          <w:szCs w:val="22"/>
        </w:rPr>
        <w:t>cerebrálne kŕčovité záchvaty a srdcové príznaky ako je predĺžený QT</w:t>
      </w:r>
      <w:r w:rsidR="007818E4" w:rsidRPr="000D7872">
        <w:rPr>
          <w:szCs w:val="22"/>
        </w:rPr>
        <w:t xml:space="preserve"> interval</w:t>
      </w:r>
      <w:r w:rsidRPr="000D7872">
        <w:rPr>
          <w:szCs w:val="22"/>
        </w:rPr>
        <w:t xml:space="preserve">, </w:t>
      </w:r>
      <w:proofErr w:type="spellStart"/>
      <w:r w:rsidRPr="000D7872">
        <w:rPr>
          <w:szCs w:val="22"/>
        </w:rPr>
        <w:t>arytmia</w:t>
      </w:r>
      <w:proofErr w:type="spellEnd"/>
      <w:r w:rsidRPr="000D7872">
        <w:rPr>
          <w:szCs w:val="22"/>
        </w:rPr>
        <w:t>, či dokonca aj akútny infarkt myokardu.</w:t>
      </w:r>
    </w:p>
    <w:p w:rsidR="00666436" w:rsidRPr="000D7872" w:rsidRDefault="00666436" w:rsidP="00666436">
      <w:pPr>
        <w:ind w:left="0" w:firstLine="0"/>
        <w:rPr>
          <w:szCs w:val="22"/>
        </w:rPr>
      </w:pPr>
    </w:p>
    <w:p w:rsidR="00666436" w:rsidRPr="000D7872" w:rsidRDefault="00666436" w:rsidP="00666436">
      <w:pPr>
        <w:ind w:left="0" w:firstLine="0"/>
        <w:rPr>
          <w:szCs w:val="22"/>
        </w:rPr>
      </w:pPr>
      <w:r w:rsidRPr="000D7872">
        <w:rPr>
          <w:szCs w:val="22"/>
        </w:rPr>
        <w:t xml:space="preserve">Liečebný účinok </w:t>
      </w:r>
      <w:proofErr w:type="spellStart"/>
      <w:r w:rsidRPr="000D7872">
        <w:rPr>
          <w:szCs w:val="22"/>
        </w:rPr>
        <w:t>parenterálnej</w:t>
      </w:r>
      <w:proofErr w:type="spellEnd"/>
      <w:r w:rsidRPr="000D7872">
        <w:rPr>
          <w:szCs w:val="22"/>
        </w:rPr>
        <w:t xml:space="preserve"> substitúcie vápnika spočíva v normalizácii patologicky nízkej hladiny vápnika v sére a tým aj zmier</w:t>
      </w:r>
      <w:r w:rsidR="001C5923" w:rsidRPr="000D7872">
        <w:rPr>
          <w:szCs w:val="22"/>
        </w:rPr>
        <w:t>ňuje</w:t>
      </w:r>
      <w:r w:rsidRPr="000D7872">
        <w:rPr>
          <w:szCs w:val="22"/>
        </w:rPr>
        <w:t xml:space="preserve"> </w:t>
      </w:r>
      <w:r w:rsidR="00F82E0B" w:rsidRPr="000D7872">
        <w:rPr>
          <w:szCs w:val="22"/>
        </w:rPr>
        <w:t>príznak</w:t>
      </w:r>
      <w:r w:rsidR="001C5923" w:rsidRPr="000D7872">
        <w:rPr>
          <w:szCs w:val="22"/>
        </w:rPr>
        <w:t>y</w:t>
      </w:r>
      <w:r w:rsidR="00F82E0B" w:rsidRPr="000D7872">
        <w:rPr>
          <w:szCs w:val="22"/>
        </w:rPr>
        <w:t xml:space="preserve"> </w:t>
      </w:r>
      <w:proofErr w:type="spellStart"/>
      <w:r w:rsidRPr="000D7872">
        <w:rPr>
          <w:szCs w:val="22"/>
        </w:rPr>
        <w:t>hypokalciémie</w:t>
      </w:r>
      <w:proofErr w:type="spellEnd"/>
      <w:r w:rsidRPr="000D7872">
        <w:rPr>
          <w:szCs w:val="22"/>
        </w:rPr>
        <w:t>.</w:t>
      </w:r>
    </w:p>
    <w:p w:rsidR="0000479A" w:rsidRPr="000D7872" w:rsidRDefault="0000479A" w:rsidP="00666436">
      <w:pPr>
        <w:ind w:left="0" w:firstLine="0"/>
        <w:rPr>
          <w:szCs w:val="22"/>
        </w:rPr>
      </w:pPr>
    </w:p>
    <w:p w:rsidR="0000479A" w:rsidRPr="000D7872" w:rsidRDefault="0000479A" w:rsidP="00666436">
      <w:pPr>
        <w:ind w:left="0" w:firstLine="0"/>
        <w:rPr>
          <w:szCs w:val="22"/>
          <w:u w:val="single"/>
        </w:rPr>
      </w:pPr>
      <w:r w:rsidRPr="000D7872">
        <w:rPr>
          <w:szCs w:val="22"/>
          <w:u w:val="single"/>
        </w:rPr>
        <w:t>Pediatrická populácia</w:t>
      </w:r>
    </w:p>
    <w:p w:rsidR="0000479A" w:rsidRPr="000D7872" w:rsidRDefault="0000479A" w:rsidP="00666436">
      <w:pPr>
        <w:ind w:left="0" w:firstLine="0"/>
        <w:rPr>
          <w:szCs w:val="22"/>
        </w:rPr>
      </w:pPr>
      <w:proofErr w:type="spellStart"/>
      <w:r w:rsidRPr="000D7872">
        <w:rPr>
          <w:szCs w:val="22"/>
        </w:rPr>
        <w:t>Bishop</w:t>
      </w:r>
      <w:proofErr w:type="spellEnd"/>
      <w:r w:rsidRPr="000D7872">
        <w:rPr>
          <w:szCs w:val="22"/>
        </w:rPr>
        <w:t xml:space="preserve"> a</w:t>
      </w:r>
      <w:r w:rsidR="0002785C" w:rsidRPr="000D7872">
        <w:rPr>
          <w:szCs w:val="22"/>
        </w:rPr>
        <w:t> </w:t>
      </w:r>
      <w:r w:rsidRPr="000D7872">
        <w:rPr>
          <w:szCs w:val="22"/>
        </w:rPr>
        <w:t>kol</w:t>
      </w:r>
      <w:r w:rsidR="0002785C" w:rsidRPr="000D7872">
        <w:rPr>
          <w:szCs w:val="22"/>
        </w:rPr>
        <w:t>.</w:t>
      </w:r>
      <w:r w:rsidR="00564DCE" w:rsidRPr="000D7872">
        <w:rPr>
          <w:szCs w:val="22"/>
        </w:rPr>
        <w:t xml:space="preserve"> </w:t>
      </w:r>
      <w:r w:rsidRPr="000D7872">
        <w:rPr>
          <w:szCs w:val="22"/>
        </w:rPr>
        <w:t xml:space="preserve">(1997) </w:t>
      </w:r>
      <w:r w:rsidR="001F5143" w:rsidRPr="000D7872">
        <w:rPr>
          <w:szCs w:val="22"/>
        </w:rPr>
        <w:t xml:space="preserve">uskutočnili </w:t>
      </w:r>
      <w:r w:rsidR="00AC2342" w:rsidRPr="000D7872">
        <w:rPr>
          <w:szCs w:val="22"/>
        </w:rPr>
        <w:t>štúdi</w:t>
      </w:r>
      <w:r w:rsidR="001F5143" w:rsidRPr="000D7872">
        <w:rPr>
          <w:szCs w:val="22"/>
        </w:rPr>
        <w:t>u</w:t>
      </w:r>
      <w:r w:rsidR="00564DCE" w:rsidRPr="000D7872">
        <w:rPr>
          <w:szCs w:val="22"/>
        </w:rPr>
        <w:t>,</w:t>
      </w:r>
      <w:r w:rsidR="001F5143" w:rsidRPr="000D7872">
        <w:rPr>
          <w:szCs w:val="22"/>
        </w:rPr>
        <w:t xml:space="preserve"> v ktorej</w:t>
      </w:r>
      <w:r w:rsidR="00AC2342" w:rsidRPr="000D7872">
        <w:rPr>
          <w:szCs w:val="22"/>
        </w:rPr>
        <w:t xml:space="preserve"> </w:t>
      </w:r>
      <w:r w:rsidR="0002785C" w:rsidRPr="000D7872">
        <w:rPr>
          <w:szCs w:val="22"/>
        </w:rPr>
        <w:t>hodnot</w:t>
      </w:r>
      <w:r w:rsidR="00AC2342" w:rsidRPr="000D7872">
        <w:rPr>
          <w:szCs w:val="22"/>
        </w:rPr>
        <w:t>ili</w:t>
      </w:r>
      <w:r w:rsidR="0002785C" w:rsidRPr="000D7872">
        <w:rPr>
          <w:szCs w:val="22"/>
        </w:rPr>
        <w:t xml:space="preserve"> </w:t>
      </w:r>
      <w:proofErr w:type="spellStart"/>
      <w:r w:rsidRPr="000D7872">
        <w:rPr>
          <w:szCs w:val="22"/>
        </w:rPr>
        <w:t>neurotoxicit</w:t>
      </w:r>
      <w:r w:rsidR="001F5143" w:rsidRPr="000D7872">
        <w:rPr>
          <w:szCs w:val="22"/>
        </w:rPr>
        <w:t>u</w:t>
      </w:r>
      <w:proofErr w:type="spellEnd"/>
      <w:r w:rsidR="0002785C" w:rsidRPr="000D7872">
        <w:rPr>
          <w:szCs w:val="22"/>
        </w:rPr>
        <w:t xml:space="preserve"> </w:t>
      </w:r>
      <w:r w:rsidR="00AC2342" w:rsidRPr="000D7872">
        <w:rPr>
          <w:szCs w:val="22"/>
        </w:rPr>
        <w:t>h</w:t>
      </w:r>
      <w:r w:rsidR="0002785C" w:rsidRPr="000D7872">
        <w:rPr>
          <w:szCs w:val="22"/>
        </w:rPr>
        <w:t>liníka</w:t>
      </w:r>
      <w:r w:rsidRPr="000D7872">
        <w:rPr>
          <w:szCs w:val="22"/>
        </w:rPr>
        <w:t xml:space="preserve"> u</w:t>
      </w:r>
      <w:r w:rsidR="00564DCE" w:rsidRPr="000D7872">
        <w:rPr>
          <w:szCs w:val="22"/>
        </w:rPr>
        <w:t> predčasne narodených</w:t>
      </w:r>
      <w:r w:rsidRPr="000D7872">
        <w:rPr>
          <w:szCs w:val="22"/>
        </w:rPr>
        <w:t xml:space="preserve"> detí, ktorým </w:t>
      </w:r>
      <w:r w:rsidR="001F5143" w:rsidRPr="000D7872">
        <w:rPr>
          <w:szCs w:val="22"/>
        </w:rPr>
        <w:t xml:space="preserve">boli </w:t>
      </w:r>
      <w:r w:rsidR="0002785C" w:rsidRPr="000D7872">
        <w:rPr>
          <w:szCs w:val="22"/>
        </w:rPr>
        <w:t>p</w:t>
      </w:r>
      <w:r w:rsidR="00930D8B" w:rsidRPr="000D7872">
        <w:rPr>
          <w:szCs w:val="22"/>
        </w:rPr>
        <w:t>odáva</w:t>
      </w:r>
      <w:r w:rsidR="001F5143" w:rsidRPr="000D7872">
        <w:rPr>
          <w:szCs w:val="22"/>
        </w:rPr>
        <w:t>né</w:t>
      </w:r>
      <w:r w:rsidR="00930D8B" w:rsidRPr="000D7872">
        <w:rPr>
          <w:szCs w:val="22"/>
        </w:rPr>
        <w:t xml:space="preserve"> </w:t>
      </w:r>
      <w:r w:rsidR="0002785C" w:rsidRPr="000D7872">
        <w:rPr>
          <w:szCs w:val="22"/>
        </w:rPr>
        <w:t xml:space="preserve">intravenózne </w:t>
      </w:r>
      <w:r w:rsidR="009A5605" w:rsidRPr="000D7872">
        <w:rPr>
          <w:szCs w:val="22"/>
        </w:rPr>
        <w:t>výživové</w:t>
      </w:r>
      <w:r w:rsidR="00930D8B" w:rsidRPr="000D7872">
        <w:rPr>
          <w:szCs w:val="22"/>
        </w:rPr>
        <w:t xml:space="preserve"> roztoky. </w:t>
      </w:r>
      <w:r w:rsidR="0002785C" w:rsidRPr="000D7872">
        <w:rPr>
          <w:szCs w:val="22"/>
        </w:rPr>
        <w:t>Dojčatám</w:t>
      </w:r>
      <w:r w:rsidR="00930D8B" w:rsidRPr="000D7872">
        <w:rPr>
          <w:szCs w:val="22"/>
        </w:rPr>
        <w:t xml:space="preserve"> </w:t>
      </w:r>
      <w:r w:rsidR="001F5143" w:rsidRPr="000D7872">
        <w:rPr>
          <w:szCs w:val="22"/>
        </w:rPr>
        <w:t xml:space="preserve">sa </w:t>
      </w:r>
      <w:r w:rsidR="00930D8B" w:rsidRPr="000D7872">
        <w:rPr>
          <w:szCs w:val="22"/>
        </w:rPr>
        <w:t>podáva</w:t>
      </w:r>
      <w:r w:rsidR="001F5143" w:rsidRPr="000D7872">
        <w:rPr>
          <w:szCs w:val="22"/>
        </w:rPr>
        <w:t>li buď</w:t>
      </w:r>
      <w:r w:rsidR="00930D8B" w:rsidRPr="000D7872">
        <w:rPr>
          <w:szCs w:val="22"/>
        </w:rPr>
        <w:t xml:space="preserve"> štandardné </w:t>
      </w:r>
      <w:proofErr w:type="spellStart"/>
      <w:r w:rsidR="00930D8B" w:rsidRPr="000D7872">
        <w:rPr>
          <w:szCs w:val="22"/>
        </w:rPr>
        <w:t>parenterálne</w:t>
      </w:r>
      <w:proofErr w:type="spellEnd"/>
      <w:r w:rsidR="00930D8B" w:rsidRPr="000D7872">
        <w:rPr>
          <w:szCs w:val="22"/>
        </w:rPr>
        <w:t xml:space="preserve"> </w:t>
      </w:r>
      <w:r w:rsidR="009A5605" w:rsidRPr="000D7872">
        <w:rPr>
          <w:szCs w:val="22"/>
        </w:rPr>
        <w:t>výživové</w:t>
      </w:r>
      <w:r w:rsidR="00930D8B" w:rsidRPr="000D7872">
        <w:rPr>
          <w:szCs w:val="22"/>
        </w:rPr>
        <w:t xml:space="preserve"> roztoky s obsahom hliníka v dávke 45 </w:t>
      </w:r>
      <w:proofErr w:type="spellStart"/>
      <w:r w:rsidR="00930D8B" w:rsidRPr="000D7872">
        <w:rPr>
          <w:szCs w:val="22"/>
        </w:rPr>
        <w:t>μg</w:t>
      </w:r>
      <w:proofErr w:type="spellEnd"/>
      <w:r w:rsidR="00930D8B" w:rsidRPr="000D7872">
        <w:rPr>
          <w:szCs w:val="22"/>
        </w:rPr>
        <w:t xml:space="preserve">/kg/deň alebo </w:t>
      </w:r>
      <w:r w:rsidR="006B00E8" w:rsidRPr="000D7872">
        <w:rPr>
          <w:szCs w:val="22"/>
        </w:rPr>
        <w:t xml:space="preserve">roztoky </w:t>
      </w:r>
      <w:r w:rsidR="00930D8B" w:rsidRPr="000D7872">
        <w:rPr>
          <w:szCs w:val="22"/>
        </w:rPr>
        <w:t>s</w:t>
      </w:r>
      <w:r w:rsidR="006B00E8" w:rsidRPr="000D7872">
        <w:rPr>
          <w:szCs w:val="22"/>
        </w:rPr>
        <w:t>o</w:t>
      </w:r>
      <w:r w:rsidR="00930D8B" w:rsidRPr="000D7872">
        <w:rPr>
          <w:szCs w:val="22"/>
        </w:rPr>
        <w:t> </w:t>
      </w:r>
      <w:r w:rsidR="006B00E8" w:rsidRPr="000D7872">
        <w:rPr>
          <w:szCs w:val="22"/>
        </w:rPr>
        <w:t>zníženým</w:t>
      </w:r>
      <w:r w:rsidR="00930D8B" w:rsidRPr="000D7872">
        <w:rPr>
          <w:szCs w:val="22"/>
        </w:rPr>
        <w:t xml:space="preserve"> obsahom hliníka v dávke 4,0 – 5,0 </w:t>
      </w:r>
      <w:proofErr w:type="spellStart"/>
      <w:r w:rsidR="00930D8B" w:rsidRPr="000D7872">
        <w:rPr>
          <w:szCs w:val="22"/>
        </w:rPr>
        <w:t>μg</w:t>
      </w:r>
      <w:proofErr w:type="spellEnd"/>
      <w:r w:rsidR="00930D8B" w:rsidRPr="000D7872">
        <w:rPr>
          <w:szCs w:val="22"/>
        </w:rPr>
        <w:t>/kg/deň.</w:t>
      </w:r>
    </w:p>
    <w:p w:rsidR="00930D8B" w:rsidRPr="000D7872" w:rsidRDefault="00BF6972" w:rsidP="00666436">
      <w:pPr>
        <w:ind w:left="0" w:firstLine="0"/>
        <w:rPr>
          <w:szCs w:val="22"/>
        </w:rPr>
      </w:pPr>
      <w:r w:rsidRPr="000D7872">
        <w:rPr>
          <w:szCs w:val="22"/>
        </w:rPr>
        <w:t xml:space="preserve">Na porovnanie neurologického vývoja medzi študovanými skupinami použili </w:t>
      </w:r>
      <w:proofErr w:type="spellStart"/>
      <w:r w:rsidR="00930D8B" w:rsidRPr="000D7872">
        <w:rPr>
          <w:szCs w:val="22"/>
        </w:rPr>
        <w:t>Bayleyovej</w:t>
      </w:r>
      <w:proofErr w:type="spellEnd"/>
      <w:r w:rsidR="00930D8B" w:rsidRPr="000D7872">
        <w:rPr>
          <w:szCs w:val="22"/>
        </w:rPr>
        <w:t xml:space="preserve"> </w:t>
      </w:r>
      <w:r w:rsidR="0002785C" w:rsidRPr="000D7872">
        <w:rPr>
          <w:szCs w:val="22"/>
        </w:rPr>
        <w:t>m</w:t>
      </w:r>
      <w:r w:rsidR="00930D8B" w:rsidRPr="000D7872">
        <w:rPr>
          <w:szCs w:val="22"/>
        </w:rPr>
        <w:t xml:space="preserve">entálny </w:t>
      </w:r>
      <w:r w:rsidR="0002785C" w:rsidRPr="000D7872">
        <w:rPr>
          <w:szCs w:val="22"/>
        </w:rPr>
        <w:t>v</w:t>
      </w:r>
      <w:r w:rsidR="00930D8B" w:rsidRPr="000D7872">
        <w:rPr>
          <w:szCs w:val="22"/>
        </w:rPr>
        <w:t xml:space="preserve">ývojový </w:t>
      </w:r>
      <w:r w:rsidR="0002785C" w:rsidRPr="000D7872">
        <w:rPr>
          <w:szCs w:val="22"/>
        </w:rPr>
        <w:t>i</w:t>
      </w:r>
      <w:r w:rsidR="00930D8B" w:rsidRPr="000D7872">
        <w:rPr>
          <w:szCs w:val="22"/>
        </w:rPr>
        <w:t xml:space="preserve">ndex </w:t>
      </w:r>
      <w:r w:rsidR="0002785C" w:rsidRPr="000D7872">
        <w:rPr>
          <w:szCs w:val="22"/>
        </w:rPr>
        <w:t>(</w:t>
      </w:r>
      <w:proofErr w:type="spellStart"/>
      <w:r w:rsidRPr="000D7872">
        <w:rPr>
          <w:szCs w:val="22"/>
        </w:rPr>
        <w:t>Mental</w:t>
      </w:r>
      <w:proofErr w:type="spellEnd"/>
      <w:r w:rsidRPr="000D7872">
        <w:rPr>
          <w:szCs w:val="22"/>
        </w:rPr>
        <w:t xml:space="preserve"> </w:t>
      </w:r>
      <w:proofErr w:type="spellStart"/>
      <w:r w:rsidRPr="000D7872">
        <w:rPr>
          <w:szCs w:val="22"/>
        </w:rPr>
        <w:t>Development</w:t>
      </w:r>
      <w:proofErr w:type="spellEnd"/>
      <w:r w:rsidRPr="000D7872">
        <w:rPr>
          <w:szCs w:val="22"/>
        </w:rPr>
        <w:t xml:space="preserve"> Index - </w:t>
      </w:r>
      <w:r w:rsidR="0002785C" w:rsidRPr="000D7872">
        <w:rPr>
          <w:szCs w:val="22"/>
        </w:rPr>
        <w:t>M</w:t>
      </w:r>
      <w:r w:rsidR="001F5143" w:rsidRPr="000D7872">
        <w:rPr>
          <w:szCs w:val="22"/>
        </w:rPr>
        <w:t>D</w:t>
      </w:r>
      <w:r w:rsidR="0002785C" w:rsidRPr="000D7872">
        <w:rPr>
          <w:szCs w:val="22"/>
        </w:rPr>
        <w:t>I)</w:t>
      </w:r>
      <w:r w:rsidR="00930D8B" w:rsidRPr="000D7872">
        <w:rPr>
          <w:szCs w:val="22"/>
        </w:rPr>
        <w:t>. M</w:t>
      </w:r>
      <w:r w:rsidR="007C3C27" w:rsidRPr="000D7872">
        <w:rPr>
          <w:szCs w:val="22"/>
        </w:rPr>
        <w:t>D</w:t>
      </w:r>
      <w:r w:rsidR="00930D8B" w:rsidRPr="000D7872">
        <w:rPr>
          <w:szCs w:val="22"/>
        </w:rPr>
        <w:t xml:space="preserve">I skóre </w:t>
      </w:r>
      <w:r w:rsidR="007C3C27" w:rsidRPr="000D7872">
        <w:rPr>
          <w:szCs w:val="22"/>
        </w:rPr>
        <w:t>bolo podobné u všetkých</w:t>
      </w:r>
      <w:r w:rsidR="00D3272B" w:rsidRPr="000D7872">
        <w:rPr>
          <w:szCs w:val="22"/>
        </w:rPr>
        <w:t xml:space="preserve"> skup</w:t>
      </w:r>
      <w:r w:rsidR="007C3C27" w:rsidRPr="000D7872">
        <w:rPr>
          <w:szCs w:val="22"/>
        </w:rPr>
        <w:t>ín</w:t>
      </w:r>
      <w:r w:rsidR="00D3272B" w:rsidRPr="000D7872">
        <w:rPr>
          <w:szCs w:val="22"/>
        </w:rPr>
        <w:t xml:space="preserve"> detí</w:t>
      </w:r>
      <w:r w:rsidR="00930D8B" w:rsidRPr="000D7872">
        <w:rPr>
          <w:szCs w:val="22"/>
        </w:rPr>
        <w:t xml:space="preserve">, ktorým </w:t>
      </w:r>
      <w:r w:rsidR="007C3C27" w:rsidRPr="000D7872">
        <w:rPr>
          <w:szCs w:val="22"/>
        </w:rPr>
        <w:t xml:space="preserve">sa </w:t>
      </w:r>
      <w:r w:rsidR="00D3272B" w:rsidRPr="000D7872">
        <w:rPr>
          <w:szCs w:val="22"/>
        </w:rPr>
        <w:t>podáva</w:t>
      </w:r>
      <w:r w:rsidR="007C3C27" w:rsidRPr="000D7872">
        <w:rPr>
          <w:szCs w:val="22"/>
        </w:rPr>
        <w:t>li</w:t>
      </w:r>
      <w:r w:rsidR="00D3272B" w:rsidRPr="000D7872">
        <w:rPr>
          <w:szCs w:val="22"/>
        </w:rPr>
        <w:t xml:space="preserve"> </w:t>
      </w:r>
      <w:r w:rsidR="007C3C27" w:rsidRPr="000D7872">
        <w:rPr>
          <w:szCs w:val="22"/>
        </w:rPr>
        <w:t>intravenózne</w:t>
      </w:r>
      <w:r w:rsidR="007C3C27" w:rsidRPr="000D7872" w:rsidDel="007C3C27">
        <w:rPr>
          <w:szCs w:val="22"/>
        </w:rPr>
        <w:t xml:space="preserve"> </w:t>
      </w:r>
      <w:r w:rsidR="007C3C27" w:rsidRPr="000D7872">
        <w:rPr>
          <w:szCs w:val="22"/>
        </w:rPr>
        <w:t>výživové</w:t>
      </w:r>
      <w:r w:rsidR="00D3272B" w:rsidRPr="000D7872">
        <w:rPr>
          <w:szCs w:val="22"/>
        </w:rPr>
        <w:t xml:space="preserve"> roztoky po dobu 10</w:t>
      </w:r>
      <w:r w:rsidR="007C3C27" w:rsidRPr="000D7872">
        <w:rPr>
          <w:szCs w:val="22"/>
        </w:rPr>
        <w:t xml:space="preserve"> dní</w:t>
      </w:r>
      <w:r w:rsidR="00D3272B" w:rsidRPr="000D7872">
        <w:rPr>
          <w:szCs w:val="22"/>
        </w:rPr>
        <w:t xml:space="preserve"> alebo menej</w:t>
      </w:r>
      <w:r w:rsidR="00930D8B" w:rsidRPr="000D7872">
        <w:rPr>
          <w:szCs w:val="22"/>
        </w:rPr>
        <w:t xml:space="preserve">. </w:t>
      </w:r>
      <w:r w:rsidR="00C2336C" w:rsidRPr="000D7872">
        <w:rPr>
          <w:szCs w:val="22"/>
        </w:rPr>
        <w:t>Avšak</w:t>
      </w:r>
      <w:r w:rsidR="00930D8B" w:rsidRPr="000D7872">
        <w:rPr>
          <w:szCs w:val="22"/>
        </w:rPr>
        <w:t xml:space="preserve"> u</w:t>
      </w:r>
      <w:r w:rsidRPr="000D7872">
        <w:rPr>
          <w:szCs w:val="22"/>
        </w:rPr>
        <w:t> </w:t>
      </w:r>
      <w:r w:rsidR="00930D8B" w:rsidRPr="000D7872">
        <w:rPr>
          <w:szCs w:val="22"/>
        </w:rPr>
        <w:t>detí</w:t>
      </w:r>
      <w:r w:rsidRPr="000D7872">
        <w:rPr>
          <w:szCs w:val="22"/>
        </w:rPr>
        <w:t>,</w:t>
      </w:r>
      <w:r w:rsidR="00930D8B" w:rsidRPr="000D7872">
        <w:rPr>
          <w:szCs w:val="22"/>
        </w:rPr>
        <w:t xml:space="preserve"> ktorým </w:t>
      </w:r>
      <w:r w:rsidR="007C3C27" w:rsidRPr="000D7872">
        <w:rPr>
          <w:szCs w:val="22"/>
        </w:rPr>
        <w:t>sa</w:t>
      </w:r>
      <w:r w:rsidR="00930D8B" w:rsidRPr="000D7872">
        <w:rPr>
          <w:szCs w:val="22"/>
        </w:rPr>
        <w:t xml:space="preserve"> podáva</w:t>
      </w:r>
      <w:r w:rsidR="007C3C27" w:rsidRPr="000D7872">
        <w:rPr>
          <w:szCs w:val="22"/>
        </w:rPr>
        <w:t>li</w:t>
      </w:r>
      <w:r w:rsidR="00930D8B" w:rsidRPr="000D7872">
        <w:rPr>
          <w:szCs w:val="22"/>
        </w:rPr>
        <w:t xml:space="preserve"> štandardné roztoky po dobu dlhšiu ako 10 dní</w:t>
      </w:r>
      <w:r w:rsidRPr="000D7872">
        <w:rPr>
          <w:szCs w:val="22"/>
        </w:rPr>
        <w:t>,</w:t>
      </w:r>
      <w:r w:rsidR="00930D8B" w:rsidRPr="000D7872">
        <w:rPr>
          <w:szCs w:val="22"/>
        </w:rPr>
        <w:t xml:space="preserve"> bol pozorovaný štatisticky </w:t>
      </w:r>
      <w:proofErr w:type="spellStart"/>
      <w:r w:rsidR="00930D8B" w:rsidRPr="000D7872">
        <w:rPr>
          <w:szCs w:val="22"/>
        </w:rPr>
        <w:t>signifikan</w:t>
      </w:r>
      <w:r w:rsidR="006B00E8" w:rsidRPr="000D7872">
        <w:rPr>
          <w:szCs w:val="22"/>
        </w:rPr>
        <w:t>t</w:t>
      </w:r>
      <w:r w:rsidR="00930D8B" w:rsidRPr="000D7872">
        <w:rPr>
          <w:szCs w:val="22"/>
        </w:rPr>
        <w:t>ný</w:t>
      </w:r>
      <w:proofErr w:type="spellEnd"/>
      <w:r w:rsidR="00930D8B" w:rsidRPr="000D7872">
        <w:rPr>
          <w:szCs w:val="22"/>
        </w:rPr>
        <w:t xml:space="preserve"> 10 bodový deficit v M</w:t>
      </w:r>
      <w:r w:rsidR="007C3C27" w:rsidRPr="000D7872">
        <w:rPr>
          <w:szCs w:val="22"/>
        </w:rPr>
        <w:t>D</w:t>
      </w:r>
      <w:r w:rsidR="00930D8B" w:rsidRPr="000D7872">
        <w:rPr>
          <w:szCs w:val="22"/>
        </w:rPr>
        <w:t xml:space="preserve">I skóre (P = 0,02) </w:t>
      </w:r>
      <w:r w:rsidR="006B00E8" w:rsidRPr="000D7872">
        <w:rPr>
          <w:szCs w:val="22"/>
        </w:rPr>
        <w:t>v porov</w:t>
      </w:r>
      <w:r w:rsidR="00C2336C" w:rsidRPr="000D7872">
        <w:rPr>
          <w:szCs w:val="22"/>
        </w:rPr>
        <w:t>na</w:t>
      </w:r>
      <w:r w:rsidR="006B00E8" w:rsidRPr="000D7872">
        <w:rPr>
          <w:szCs w:val="22"/>
        </w:rPr>
        <w:t>ní s tými</w:t>
      </w:r>
      <w:r w:rsidR="00136EB8" w:rsidRPr="000D7872">
        <w:rPr>
          <w:szCs w:val="22"/>
        </w:rPr>
        <w:t>,</w:t>
      </w:r>
      <w:r w:rsidR="006B00E8" w:rsidRPr="000D7872">
        <w:rPr>
          <w:szCs w:val="22"/>
        </w:rPr>
        <w:t xml:space="preserve"> ktorým </w:t>
      </w:r>
      <w:r w:rsidR="007C3C27" w:rsidRPr="000D7872">
        <w:rPr>
          <w:szCs w:val="22"/>
        </w:rPr>
        <w:t xml:space="preserve">sa </w:t>
      </w:r>
      <w:r w:rsidR="006B00E8" w:rsidRPr="000D7872">
        <w:rPr>
          <w:szCs w:val="22"/>
        </w:rPr>
        <w:t>podáva</w:t>
      </w:r>
      <w:r w:rsidR="007C3C27" w:rsidRPr="000D7872">
        <w:rPr>
          <w:szCs w:val="22"/>
        </w:rPr>
        <w:t>li</w:t>
      </w:r>
      <w:r w:rsidR="006B00E8" w:rsidRPr="000D7872">
        <w:rPr>
          <w:szCs w:val="22"/>
        </w:rPr>
        <w:t xml:space="preserve"> roztoky so zníženým obsahom hliníka. </w:t>
      </w:r>
    </w:p>
    <w:p w:rsidR="00666436" w:rsidRPr="003A18E8" w:rsidRDefault="00666436" w:rsidP="0066643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5.2</w:t>
      </w:r>
      <w:r w:rsidRPr="003021DE">
        <w:rPr>
          <w:b/>
          <w:szCs w:val="22"/>
        </w:rPr>
        <w:tab/>
      </w:r>
      <w:proofErr w:type="spellStart"/>
      <w:r w:rsidRPr="003021DE">
        <w:rPr>
          <w:b/>
          <w:szCs w:val="22"/>
        </w:rPr>
        <w:t>Farmakokinetické</w:t>
      </w:r>
      <w:proofErr w:type="spellEnd"/>
      <w:r w:rsidRPr="003021DE">
        <w:rPr>
          <w:b/>
          <w:szCs w:val="22"/>
        </w:rPr>
        <w:t xml:space="preserve"> vlastnosti</w:t>
      </w:r>
    </w:p>
    <w:p w:rsidR="00E1698A" w:rsidRPr="00E86DD8" w:rsidRDefault="00E1698A" w:rsidP="00E86DD8">
      <w:pPr>
        <w:ind w:left="0" w:firstLine="0"/>
        <w:rPr>
          <w:szCs w:val="22"/>
        </w:rPr>
      </w:pPr>
    </w:p>
    <w:p w:rsidR="007818E4" w:rsidRPr="00E86DD8" w:rsidRDefault="007818E4" w:rsidP="00E86DD8">
      <w:pPr>
        <w:ind w:left="0" w:firstLine="0"/>
        <w:rPr>
          <w:szCs w:val="22"/>
        </w:rPr>
      </w:pPr>
      <w:r w:rsidRPr="00E86DD8">
        <w:rPr>
          <w:noProof/>
          <w:szCs w:val="22"/>
          <w:u w:val="single"/>
        </w:rPr>
        <w:t>Absorpcia</w:t>
      </w:r>
    </w:p>
    <w:p w:rsidR="007818E4" w:rsidRPr="00E86DD8" w:rsidRDefault="007818E4" w:rsidP="00E86DD8">
      <w:pPr>
        <w:ind w:left="0" w:firstLine="0"/>
        <w:rPr>
          <w:szCs w:val="22"/>
        </w:rPr>
      </w:pPr>
      <w:r w:rsidRPr="00E86DD8">
        <w:rPr>
          <w:szCs w:val="22"/>
        </w:rPr>
        <w:t xml:space="preserve">Po intravenóznom podaní je biologická dostupnosť </w:t>
      </w:r>
      <w:proofErr w:type="spellStart"/>
      <w:r w:rsidRPr="00E86DD8">
        <w:rPr>
          <w:color w:val="222222"/>
          <w:szCs w:val="22"/>
        </w:rPr>
        <w:t>glukonátu</w:t>
      </w:r>
      <w:proofErr w:type="spellEnd"/>
      <w:r w:rsidRPr="00E86DD8">
        <w:rPr>
          <w:szCs w:val="22"/>
        </w:rPr>
        <w:t xml:space="preserve"> </w:t>
      </w:r>
      <w:r w:rsidR="00894FC8">
        <w:rPr>
          <w:szCs w:val="22"/>
        </w:rPr>
        <w:t xml:space="preserve">vápenatého </w:t>
      </w:r>
      <w:r w:rsidRPr="00E86DD8">
        <w:rPr>
          <w:szCs w:val="22"/>
        </w:rPr>
        <w:t>100 %.</w:t>
      </w:r>
    </w:p>
    <w:p w:rsidR="007818E4" w:rsidRPr="00E86DD8" w:rsidRDefault="007818E4" w:rsidP="00E86DD8">
      <w:pPr>
        <w:ind w:left="0" w:firstLine="0"/>
        <w:rPr>
          <w:szCs w:val="22"/>
        </w:rPr>
      </w:pPr>
    </w:p>
    <w:p w:rsidR="007818E4" w:rsidRPr="00E86DD8" w:rsidRDefault="007818E4" w:rsidP="00E86DD8">
      <w:pPr>
        <w:ind w:left="0" w:firstLine="0"/>
        <w:rPr>
          <w:szCs w:val="22"/>
        </w:rPr>
      </w:pPr>
      <w:r w:rsidRPr="00E86DD8">
        <w:rPr>
          <w:noProof/>
          <w:szCs w:val="22"/>
          <w:u w:val="single"/>
        </w:rPr>
        <w:t>Distribúcia</w:t>
      </w:r>
    </w:p>
    <w:p w:rsidR="00E86DD8" w:rsidRDefault="00BF6972" w:rsidP="00E86DD8">
      <w:pPr>
        <w:ind w:left="0" w:firstLine="0"/>
        <w:rPr>
          <w:szCs w:val="22"/>
        </w:rPr>
      </w:pPr>
      <w:r>
        <w:rPr>
          <w:szCs w:val="22"/>
        </w:rPr>
        <w:t>I</w:t>
      </w:r>
      <w:r w:rsidR="007818E4" w:rsidRPr="00E86DD8">
        <w:rPr>
          <w:szCs w:val="22"/>
        </w:rPr>
        <w:t>njekčn</w:t>
      </w:r>
      <w:r>
        <w:rPr>
          <w:szCs w:val="22"/>
        </w:rPr>
        <w:t>e</w:t>
      </w:r>
      <w:r w:rsidR="007818E4" w:rsidRPr="00E86DD8">
        <w:rPr>
          <w:szCs w:val="22"/>
        </w:rPr>
        <w:t xml:space="preserve"> podaný vápnik </w:t>
      </w:r>
      <w:r>
        <w:rPr>
          <w:szCs w:val="22"/>
        </w:rPr>
        <w:t xml:space="preserve">vykazuje </w:t>
      </w:r>
      <w:r w:rsidR="007818E4" w:rsidRPr="00E86DD8">
        <w:rPr>
          <w:szCs w:val="22"/>
        </w:rPr>
        <w:t xml:space="preserve">rovnaký </w:t>
      </w:r>
      <w:r>
        <w:rPr>
          <w:szCs w:val="22"/>
        </w:rPr>
        <w:t>priebeh</w:t>
      </w:r>
      <w:r w:rsidRPr="00E86DD8">
        <w:rPr>
          <w:szCs w:val="22"/>
        </w:rPr>
        <w:t xml:space="preserve"> </w:t>
      </w:r>
      <w:r w:rsidR="007818E4" w:rsidRPr="00E86DD8">
        <w:rPr>
          <w:szCs w:val="22"/>
        </w:rPr>
        <w:t xml:space="preserve">distribúcie ako endogénny vápnik. </w:t>
      </w:r>
    </w:p>
    <w:p w:rsidR="007818E4" w:rsidRPr="00E86DD8" w:rsidRDefault="00226640" w:rsidP="00E86DD8">
      <w:pPr>
        <w:ind w:left="0" w:firstLine="0"/>
        <w:rPr>
          <w:szCs w:val="22"/>
        </w:rPr>
      </w:pPr>
      <w:r w:rsidRPr="00E86DD8">
        <w:rPr>
          <w:szCs w:val="22"/>
        </w:rPr>
        <w:t>Z celkového vápnika v plazme je p</w:t>
      </w:r>
      <w:r w:rsidR="007818E4" w:rsidRPr="00E86DD8">
        <w:rPr>
          <w:szCs w:val="22"/>
        </w:rPr>
        <w:t xml:space="preserve">ribližne 45-50 % vo fyziologicky účinnej ionizovanej forme, asi </w:t>
      </w:r>
      <w:r w:rsidR="00F06247">
        <w:rPr>
          <w:szCs w:val="22"/>
        </w:rPr>
        <w:br/>
      </w:r>
      <w:r w:rsidR="007818E4" w:rsidRPr="00E86DD8">
        <w:rPr>
          <w:szCs w:val="22"/>
        </w:rPr>
        <w:t>40-50 % je viazaných na bielkoviny, hlavne albumín a 8-10 % je v komplexoch s aniónmi.</w:t>
      </w:r>
    </w:p>
    <w:p w:rsidR="007818E4" w:rsidRPr="00E86DD8" w:rsidRDefault="007818E4" w:rsidP="00E86DD8">
      <w:pPr>
        <w:ind w:left="0" w:firstLine="0"/>
        <w:rPr>
          <w:szCs w:val="22"/>
        </w:rPr>
      </w:pPr>
    </w:p>
    <w:p w:rsidR="00226640" w:rsidRPr="00E86DD8" w:rsidRDefault="00226640" w:rsidP="00E86DD8">
      <w:pPr>
        <w:ind w:left="0" w:firstLine="0"/>
        <w:rPr>
          <w:szCs w:val="22"/>
        </w:rPr>
      </w:pPr>
      <w:r w:rsidRPr="00E86DD8">
        <w:rPr>
          <w:noProof/>
          <w:szCs w:val="22"/>
          <w:u w:val="single"/>
        </w:rPr>
        <w:t>Biotransformácia</w:t>
      </w:r>
    </w:p>
    <w:p w:rsidR="007818E4" w:rsidRPr="00E86DD8" w:rsidRDefault="00156BC4" w:rsidP="00E86DD8">
      <w:pPr>
        <w:ind w:left="0" w:firstLine="0"/>
        <w:rPr>
          <w:color w:val="222222"/>
          <w:szCs w:val="22"/>
        </w:rPr>
      </w:pPr>
      <w:r>
        <w:rPr>
          <w:color w:val="222222"/>
          <w:szCs w:val="22"/>
        </w:rPr>
        <w:t>I</w:t>
      </w:r>
      <w:r w:rsidR="00226640" w:rsidRPr="00E86DD8">
        <w:rPr>
          <w:color w:val="222222"/>
          <w:szCs w:val="22"/>
        </w:rPr>
        <w:t>njekčn</w:t>
      </w:r>
      <w:r>
        <w:rPr>
          <w:color w:val="222222"/>
          <w:szCs w:val="22"/>
        </w:rPr>
        <w:t>e</w:t>
      </w:r>
      <w:r w:rsidR="00226640" w:rsidRPr="00E86DD8">
        <w:rPr>
          <w:color w:val="222222"/>
          <w:szCs w:val="22"/>
        </w:rPr>
        <w:t xml:space="preserve"> podan</w:t>
      </w:r>
      <w:r>
        <w:rPr>
          <w:color w:val="222222"/>
          <w:szCs w:val="22"/>
        </w:rPr>
        <w:t>ý</w:t>
      </w:r>
      <w:r w:rsidR="00226640" w:rsidRPr="00E86DD8">
        <w:rPr>
          <w:color w:val="222222"/>
          <w:szCs w:val="22"/>
        </w:rPr>
        <w:t xml:space="preserve"> vápnik</w:t>
      </w:r>
      <w:r>
        <w:rPr>
          <w:color w:val="222222"/>
          <w:szCs w:val="22"/>
        </w:rPr>
        <w:t xml:space="preserve"> sa</w:t>
      </w:r>
      <w:r w:rsidR="00226640" w:rsidRPr="00E86DD8">
        <w:rPr>
          <w:color w:val="222222"/>
          <w:szCs w:val="22"/>
        </w:rPr>
        <w:t xml:space="preserve"> pridáva k </w:t>
      </w:r>
      <w:proofErr w:type="spellStart"/>
      <w:r w:rsidR="00226640" w:rsidRPr="00E86DD8">
        <w:rPr>
          <w:color w:val="222222"/>
          <w:szCs w:val="22"/>
        </w:rPr>
        <w:t>intravaskulárnemu</w:t>
      </w:r>
      <w:proofErr w:type="spellEnd"/>
      <w:r w:rsidR="00226640" w:rsidRPr="00E86DD8">
        <w:rPr>
          <w:color w:val="222222"/>
          <w:szCs w:val="22"/>
        </w:rPr>
        <w:t xml:space="preserve"> vápniku a organizmus sa s ním </w:t>
      </w:r>
      <w:proofErr w:type="spellStart"/>
      <w:r w:rsidR="00226640" w:rsidRPr="00E86DD8">
        <w:rPr>
          <w:color w:val="222222"/>
          <w:szCs w:val="22"/>
        </w:rPr>
        <w:t>vysporiada</w:t>
      </w:r>
      <w:proofErr w:type="spellEnd"/>
      <w:r w:rsidR="00226640" w:rsidRPr="00E86DD8">
        <w:rPr>
          <w:color w:val="222222"/>
          <w:szCs w:val="22"/>
        </w:rPr>
        <w:t xml:space="preserve"> rovnako ako s endogénnym vápnikom</w:t>
      </w:r>
      <w:r w:rsidR="00F04B80">
        <w:rPr>
          <w:color w:val="222222"/>
          <w:szCs w:val="22"/>
        </w:rPr>
        <w:t>.</w:t>
      </w:r>
    </w:p>
    <w:p w:rsidR="00226640" w:rsidRPr="00E86DD8" w:rsidRDefault="00226640" w:rsidP="00E86DD8">
      <w:pPr>
        <w:ind w:left="0" w:firstLine="0"/>
        <w:rPr>
          <w:szCs w:val="22"/>
        </w:rPr>
      </w:pPr>
    </w:p>
    <w:p w:rsidR="00226640" w:rsidRPr="00E86DD8" w:rsidRDefault="00226640" w:rsidP="00E86DD8">
      <w:pPr>
        <w:ind w:left="0" w:firstLine="0"/>
        <w:rPr>
          <w:szCs w:val="22"/>
        </w:rPr>
      </w:pPr>
      <w:r w:rsidRPr="00E86DD8">
        <w:rPr>
          <w:noProof/>
          <w:szCs w:val="22"/>
          <w:u w:val="single"/>
        </w:rPr>
        <w:t>Eliminácia</w:t>
      </w:r>
    </w:p>
    <w:p w:rsidR="00E86DD8" w:rsidRPr="00E86DD8" w:rsidRDefault="00226640" w:rsidP="00E86DD8">
      <w:pPr>
        <w:ind w:left="0" w:firstLine="0"/>
        <w:rPr>
          <w:szCs w:val="22"/>
        </w:rPr>
      </w:pPr>
      <w:r w:rsidRPr="00E86DD8">
        <w:rPr>
          <w:color w:val="222222"/>
          <w:szCs w:val="22"/>
        </w:rPr>
        <w:t xml:space="preserve">Vápnik sa vylučuje močom, hoci </w:t>
      </w:r>
      <w:r w:rsidR="00E86DD8" w:rsidRPr="00E86DD8">
        <w:rPr>
          <w:szCs w:val="22"/>
        </w:rPr>
        <w:t>98-99</w:t>
      </w:r>
      <w:r w:rsidR="00E86DD8">
        <w:rPr>
          <w:szCs w:val="22"/>
        </w:rPr>
        <w:t xml:space="preserve"> </w:t>
      </w:r>
      <w:r w:rsidR="00E86DD8" w:rsidRPr="00E86DD8">
        <w:rPr>
          <w:szCs w:val="22"/>
        </w:rPr>
        <w:t xml:space="preserve">% </w:t>
      </w:r>
      <w:r w:rsidR="00B67931">
        <w:rPr>
          <w:szCs w:val="22"/>
        </w:rPr>
        <w:t xml:space="preserve">vápnika </w:t>
      </w:r>
      <w:r w:rsidRPr="00E86DD8">
        <w:rPr>
          <w:color w:val="222222"/>
          <w:szCs w:val="22"/>
        </w:rPr>
        <w:t xml:space="preserve">podlieha </w:t>
      </w:r>
      <w:proofErr w:type="spellStart"/>
      <w:r w:rsidRPr="00E86DD8">
        <w:rPr>
          <w:color w:val="222222"/>
          <w:szCs w:val="22"/>
        </w:rPr>
        <w:t>renálnej</w:t>
      </w:r>
      <w:proofErr w:type="spellEnd"/>
      <w:r w:rsidRPr="00E86DD8">
        <w:rPr>
          <w:color w:val="222222"/>
          <w:szCs w:val="22"/>
        </w:rPr>
        <w:t xml:space="preserve"> </w:t>
      </w:r>
      <w:proofErr w:type="spellStart"/>
      <w:r w:rsidRPr="00E86DD8">
        <w:rPr>
          <w:color w:val="222222"/>
          <w:szCs w:val="22"/>
        </w:rPr>
        <w:t>tubulárnej</w:t>
      </w:r>
      <w:proofErr w:type="spellEnd"/>
      <w:r w:rsidRPr="00E86DD8">
        <w:rPr>
          <w:color w:val="222222"/>
          <w:szCs w:val="22"/>
        </w:rPr>
        <w:t xml:space="preserve"> </w:t>
      </w:r>
      <w:proofErr w:type="spellStart"/>
      <w:r w:rsidRPr="00E86DD8">
        <w:rPr>
          <w:color w:val="222222"/>
          <w:szCs w:val="22"/>
        </w:rPr>
        <w:t>reabsorpcii</w:t>
      </w:r>
      <w:proofErr w:type="spellEnd"/>
      <w:r w:rsidRPr="00E86DD8">
        <w:rPr>
          <w:color w:val="222222"/>
          <w:szCs w:val="22"/>
        </w:rPr>
        <w:t>.</w:t>
      </w:r>
      <w:r w:rsidR="00E86DD8" w:rsidRPr="00E86DD8">
        <w:rPr>
          <w:szCs w:val="22"/>
        </w:rPr>
        <w:t xml:space="preserve"> Vápnik sa vylučuje aj stolicou.</w:t>
      </w:r>
    </w:p>
    <w:p w:rsidR="00226640" w:rsidRPr="00E86DD8" w:rsidRDefault="00226640" w:rsidP="00E86DD8">
      <w:pPr>
        <w:ind w:left="0" w:firstLine="0"/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5.3</w:t>
      </w:r>
      <w:r w:rsidRPr="003021DE">
        <w:rPr>
          <w:b/>
          <w:szCs w:val="22"/>
        </w:rPr>
        <w:tab/>
        <w:t>Predklinické údaje o</w:t>
      </w:r>
      <w:r w:rsidR="00FA099B">
        <w:rPr>
          <w:b/>
          <w:szCs w:val="22"/>
        </w:rPr>
        <w:t> </w:t>
      </w:r>
      <w:r w:rsidRPr="003021DE">
        <w:rPr>
          <w:b/>
          <w:szCs w:val="22"/>
        </w:rPr>
        <w:t>bezpečnosti</w:t>
      </w:r>
    </w:p>
    <w:p w:rsidR="00780926" w:rsidRDefault="00780926" w:rsidP="00E41B3F">
      <w:pPr>
        <w:rPr>
          <w:szCs w:val="22"/>
        </w:rPr>
      </w:pPr>
    </w:p>
    <w:p w:rsidR="00EC36DA" w:rsidRDefault="00EC36DA" w:rsidP="00E41B3F">
      <w:pPr>
        <w:rPr>
          <w:szCs w:val="22"/>
        </w:rPr>
      </w:pPr>
      <w:r w:rsidRPr="00EC36DA">
        <w:rPr>
          <w:szCs w:val="22"/>
        </w:rPr>
        <w:t xml:space="preserve">Žiadne ďalšie informácie okrem tých, ktoré sú uvedené v </w:t>
      </w:r>
      <w:r>
        <w:rPr>
          <w:szCs w:val="22"/>
        </w:rPr>
        <w:t>S</w:t>
      </w:r>
      <w:r w:rsidRPr="00EC36DA">
        <w:rPr>
          <w:szCs w:val="22"/>
        </w:rPr>
        <w:t>úhrne charakteristických vlastností lieku.</w:t>
      </w:r>
    </w:p>
    <w:p w:rsidR="00EC36DA" w:rsidRPr="003021DE" w:rsidRDefault="00EC36DA" w:rsidP="00E41B3F">
      <w:pPr>
        <w:rPr>
          <w:szCs w:val="22"/>
        </w:rPr>
      </w:pPr>
    </w:p>
    <w:p w:rsidR="00E1698A" w:rsidRPr="003021DE" w:rsidRDefault="00E1698A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6.</w:t>
      </w:r>
      <w:r w:rsidRPr="003021DE">
        <w:rPr>
          <w:b/>
          <w:szCs w:val="22"/>
        </w:rPr>
        <w:tab/>
        <w:t>FARMACEUTICKÉ INFORMÁCIE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b/>
          <w:szCs w:val="22"/>
        </w:rPr>
        <w:t>6.1</w:t>
      </w:r>
      <w:r w:rsidRPr="003021DE">
        <w:rPr>
          <w:b/>
          <w:szCs w:val="22"/>
        </w:rPr>
        <w:tab/>
        <w:t>Zoznam pomocných látok</w:t>
      </w:r>
    </w:p>
    <w:p w:rsidR="00780926" w:rsidRPr="003021DE" w:rsidRDefault="00780926" w:rsidP="00E41B3F"/>
    <w:p w:rsidR="00997CA9" w:rsidRDefault="009B608E" w:rsidP="00E41B3F">
      <w:pPr>
        <w:rPr>
          <w:noProof/>
        </w:rPr>
      </w:pPr>
      <w:r w:rsidRPr="00F06247">
        <w:rPr>
          <w:noProof/>
        </w:rPr>
        <w:t>sacharát</w:t>
      </w:r>
      <w:r w:rsidR="008C7BBC">
        <w:rPr>
          <w:noProof/>
        </w:rPr>
        <w:t xml:space="preserve"> vápenatý</w:t>
      </w:r>
    </w:p>
    <w:p w:rsidR="00780926" w:rsidRDefault="008C7BBC" w:rsidP="00E41B3F">
      <w:pPr>
        <w:rPr>
          <w:noProof/>
        </w:rPr>
      </w:pPr>
      <w:r>
        <w:rPr>
          <w:noProof/>
        </w:rPr>
        <w:t>v</w:t>
      </w:r>
      <w:r w:rsidR="00997CA9">
        <w:rPr>
          <w:noProof/>
        </w:rPr>
        <w:t>oda na injekcie</w:t>
      </w:r>
    </w:p>
    <w:p w:rsidR="00DD0A3B" w:rsidRDefault="00DD0A3B" w:rsidP="00E41B3F">
      <w:pPr>
        <w:rPr>
          <w:noProof/>
        </w:rPr>
      </w:pPr>
    </w:p>
    <w:p w:rsidR="00780926" w:rsidRPr="003021DE" w:rsidRDefault="00780926" w:rsidP="000D7872">
      <w:pPr>
        <w:keepNext/>
        <w:rPr>
          <w:szCs w:val="22"/>
        </w:rPr>
      </w:pPr>
      <w:r w:rsidRPr="00E416EC">
        <w:rPr>
          <w:b/>
          <w:szCs w:val="22"/>
        </w:rPr>
        <w:t>6.2</w:t>
      </w:r>
      <w:r w:rsidRPr="00E416EC">
        <w:rPr>
          <w:b/>
          <w:szCs w:val="22"/>
        </w:rPr>
        <w:tab/>
        <w:t>Inkompatibility</w:t>
      </w:r>
    </w:p>
    <w:p w:rsidR="00780926" w:rsidRPr="003021DE" w:rsidRDefault="00780926" w:rsidP="000D7872">
      <w:pPr>
        <w:keepNext/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  <w:r w:rsidRPr="003021DE">
        <w:rPr>
          <w:szCs w:val="22"/>
        </w:rPr>
        <w:t>Tento liek sa nesmie miešať s</w:t>
      </w:r>
      <w:r w:rsidR="007262FE" w:rsidRPr="00B13F68">
        <w:rPr>
          <w:rFonts w:eastAsia="SimSun"/>
          <w:szCs w:val="22"/>
          <w:lang w:eastAsia="zh-CN"/>
        </w:rPr>
        <w:t> </w:t>
      </w:r>
      <w:r w:rsidRPr="003021DE">
        <w:rPr>
          <w:szCs w:val="22"/>
        </w:rPr>
        <w:t xml:space="preserve">inými liekmi okrem tých, ktoré sú uvedené v časti </w:t>
      </w:r>
      <w:r w:rsidR="00096CAA" w:rsidRPr="00B13F68">
        <w:t>6.6</w:t>
      </w:r>
      <w:r w:rsidR="00096CAA" w:rsidRPr="00B13F68">
        <w:rPr>
          <w:noProof/>
        </w:rPr>
        <w:t>.</w:t>
      </w:r>
    </w:p>
    <w:p w:rsidR="00780926" w:rsidRPr="003021DE" w:rsidRDefault="00780926" w:rsidP="00E41B3F">
      <w:pPr>
        <w:rPr>
          <w:szCs w:val="22"/>
        </w:rPr>
      </w:pPr>
    </w:p>
    <w:p w:rsidR="00780926" w:rsidRPr="004A179B" w:rsidRDefault="004A179B" w:rsidP="004A179B">
      <w:pPr>
        <w:ind w:left="0" w:firstLine="0"/>
      </w:pPr>
      <w:r>
        <w:t>Soli v</w:t>
      </w:r>
      <w:r w:rsidR="009B608E" w:rsidRPr="004A179B">
        <w:t>áp</w:t>
      </w:r>
      <w:r>
        <w:t>nika</w:t>
      </w:r>
      <w:r w:rsidR="009B608E" w:rsidRPr="004A179B">
        <w:t xml:space="preserve"> môžu </w:t>
      </w:r>
      <w:r>
        <w:t>vy</w:t>
      </w:r>
      <w:r w:rsidR="009B608E" w:rsidRPr="004A179B">
        <w:t>tv</w:t>
      </w:r>
      <w:r>
        <w:t>árať</w:t>
      </w:r>
      <w:r w:rsidR="009B608E" w:rsidRPr="004A179B">
        <w:t xml:space="preserve"> komplexy s mnohými liekmi, čo môže </w:t>
      </w:r>
      <w:r w:rsidR="00152339">
        <w:t xml:space="preserve">vyvolať </w:t>
      </w:r>
      <w:r w:rsidR="009B608E" w:rsidRPr="004A179B">
        <w:t xml:space="preserve">vznik zrazeniny (pozri časť 4.4). Soli vápnika sú nekompatibilné s oxidačnými činidlami, </w:t>
      </w:r>
      <w:proofErr w:type="spellStart"/>
      <w:r w:rsidR="009B608E" w:rsidRPr="004A179B">
        <w:t>citrátmi</w:t>
      </w:r>
      <w:proofErr w:type="spellEnd"/>
      <w:r w:rsidR="009B608E" w:rsidRPr="004A179B">
        <w:t xml:space="preserve">, rozpustnými uhličitanmi, </w:t>
      </w:r>
      <w:proofErr w:type="spellStart"/>
      <w:r w:rsidR="009B608E" w:rsidRPr="004A179B">
        <w:t>hydrog</w:t>
      </w:r>
      <w:r w:rsidR="00D96FD6">
        <w:t>e</w:t>
      </w:r>
      <w:r w:rsidR="009B608E" w:rsidRPr="004A179B">
        <w:t>nuhličitanmi</w:t>
      </w:r>
      <w:proofErr w:type="spellEnd"/>
      <w:r w:rsidR="009B608E" w:rsidRPr="004A179B">
        <w:t xml:space="preserve">, </w:t>
      </w:r>
      <w:proofErr w:type="spellStart"/>
      <w:r w:rsidR="00152339">
        <w:t>šťaveľanm</w:t>
      </w:r>
      <w:r w:rsidR="009B608E" w:rsidRPr="004A179B">
        <w:t>i</w:t>
      </w:r>
      <w:proofErr w:type="spellEnd"/>
      <w:r w:rsidR="009B608E" w:rsidRPr="004A179B">
        <w:t xml:space="preserve">, </w:t>
      </w:r>
      <w:r w:rsidR="009B608E" w:rsidRPr="00F06247">
        <w:t>fosf</w:t>
      </w:r>
      <w:r w:rsidR="00156BC4" w:rsidRPr="00F06247">
        <w:t>orečnan</w:t>
      </w:r>
      <w:r w:rsidR="009B608E" w:rsidRPr="00F06247">
        <w:t>mi</w:t>
      </w:r>
      <w:r w:rsidR="009B608E" w:rsidRPr="006462E0">
        <w:t>,</w:t>
      </w:r>
      <w:r w:rsidR="009B608E" w:rsidRPr="004A179B">
        <w:t xml:space="preserve"> </w:t>
      </w:r>
      <w:proofErr w:type="spellStart"/>
      <w:r w:rsidR="00D96FD6">
        <w:t>tartarátmi</w:t>
      </w:r>
      <w:proofErr w:type="spellEnd"/>
      <w:r w:rsidR="0046606F" w:rsidRPr="004A179B">
        <w:t xml:space="preserve"> </w:t>
      </w:r>
      <w:r w:rsidR="009B608E" w:rsidRPr="006462E0">
        <w:t>a</w:t>
      </w:r>
      <w:r w:rsidR="00152339" w:rsidRPr="006462E0">
        <w:t> </w:t>
      </w:r>
      <w:r w:rsidR="0046606F" w:rsidRPr="00F06247">
        <w:t>síranmi</w:t>
      </w:r>
      <w:r w:rsidR="009B608E" w:rsidRPr="006462E0">
        <w:t>.</w:t>
      </w:r>
      <w:r w:rsidR="009B608E" w:rsidRPr="004A179B">
        <w:t xml:space="preserve"> Fyzikálna inkompatibilita bola </w:t>
      </w:r>
      <w:r w:rsidR="00152339">
        <w:t xml:space="preserve">zaznamenaná </w:t>
      </w:r>
      <w:r w:rsidR="009B608E" w:rsidRPr="004A179B">
        <w:t xml:space="preserve">aj </w:t>
      </w:r>
      <w:r w:rsidR="00152339">
        <w:t>s</w:t>
      </w:r>
      <w:r w:rsidR="009B608E" w:rsidRPr="004A179B">
        <w:t xml:space="preserve"> </w:t>
      </w:r>
      <w:proofErr w:type="spellStart"/>
      <w:r w:rsidR="009B608E" w:rsidRPr="004A179B">
        <w:t>amfoteric</w:t>
      </w:r>
      <w:r w:rsidR="00152339">
        <w:t>ínom</w:t>
      </w:r>
      <w:proofErr w:type="spellEnd"/>
      <w:r w:rsidR="009B608E" w:rsidRPr="004A179B">
        <w:t>, sodn</w:t>
      </w:r>
      <w:r w:rsidR="00152339">
        <w:t>ou</w:t>
      </w:r>
      <w:r w:rsidR="009B608E" w:rsidRPr="004A179B">
        <w:t xml:space="preserve"> so</w:t>
      </w:r>
      <w:r w:rsidR="00152339">
        <w:t>ľou</w:t>
      </w:r>
      <w:r w:rsidR="009B608E" w:rsidRPr="004A179B">
        <w:t xml:space="preserve"> </w:t>
      </w:r>
      <w:proofErr w:type="spellStart"/>
      <w:r w:rsidR="009B608E" w:rsidRPr="004A179B">
        <w:t>cefalotínu</w:t>
      </w:r>
      <w:proofErr w:type="spellEnd"/>
      <w:r w:rsidR="00152339">
        <w:t>, sodnou</w:t>
      </w:r>
      <w:r w:rsidR="009B608E" w:rsidRPr="004A179B">
        <w:t xml:space="preserve"> so</w:t>
      </w:r>
      <w:r w:rsidR="00152339">
        <w:t>ľou</w:t>
      </w:r>
      <w:r w:rsidR="009B608E" w:rsidRPr="004A179B">
        <w:t xml:space="preserve"> </w:t>
      </w:r>
      <w:proofErr w:type="spellStart"/>
      <w:r w:rsidR="009B608E" w:rsidRPr="004A179B">
        <w:t>cefazolínu</w:t>
      </w:r>
      <w:proofErr w:type="spellEnd"/>
      <w:r w:rsidR="009B608E" w:rsidRPr="004A179B">
        <w:t xml:space="preserve">, </w:t>
      </w:r>
      <w:proofErr w:type="spellStart"/>
      <w:r w:rsidR="009B608E" w:rsidRPr="004A179B">
        <w:t>cefamandol</w:t>
      </w:r>
      <w:r w:rsidR="00E370C4">
        <w:t>nafátom</w:t>
      </w:r>
      <w:proofErr w:type="spellEnd"/>
      <w:r w:rsidR="009B608E" w:rsidRPr="004A179B">
        <w:t xml:space="preserve">, </w:t>
      </w:r>
      <w:proofErr w:type="spellStart"/>
      <w:r w:rsidR="009B608E" w:rsidRPr="004A179B">
        <w:t>ceftriax</w:t>
      </w:r>
      <w:r w:rsidR="00CA41FC">
        <w:t>ó</w:t>
      </w:r>
      <w:r w:rsidR="00152339">
        <w:t>nom</w:t>
      </w:r>
      <w:proofErr w:type="spellEnd"/>
      <w:r w:rsidR="009B608E" w:rsidRPr="004A179B">
        <w:t>, sodn</w:t>
      </w:r>
      <w:r w:rsidR="00E370C4">
        <w:t>ou</w:t>
      </w:r>
      <w:r w:rsidR="009B608E" w:rsidRPr="004A179B">
        <w:t xml:space="preserve"> so</w:t>
      </w:r>
      <w:r w:rsidR="00E370C4">
        <w:t>ľou</w:t>
      </w:r>
      <w:r w:rsidR="009B608E" w:rsidRPr="004A179B">
        <w:t xml:space="preserve"> </w:t>
      </w:r>
      <w:proofErr w:type="spellStart"/>
      <w:r w:rsidR="009B608E" w:rsidRPr="004A179B">
        <w:t>novobiocínu</w:t>
      </w:r>
      <w:proofErr w:type="spellEnd"/>
      <w:r w:rsidR="009B608E" w:rsidRPr="004A179B">
        <w:t xml:space="preserve">, </w:t>
      </w:r>
      <w:proofErr w:type="spellStart"/>
      <w:r w:rsidR="009B608E" w:rsidRPr="004A179B">
        <w:t>dobutamín</w:t>
      </w:r>
      <w:r w:rsidR="00D41D18">
        <w:t>ium</w:t>
      </w:r>
      <w:r w:rsidR="00E370C4" w:rsidRPr="004A179B">
        <w:t>chlorid</w:t>
      </w:r>
      <w:r w:rsidR="00E370C4">
        <w:t>om</w:t>
      </w:r>
      <w:proofErr w:type="spellEnd"/>
      <w:r w:rsidR="009B608E" w:rsidRPr="004A179B">
        <w:t xml:space="preserve">, </w:t>
      </w:r>
      <w:proofErr w:type="spellStart"/>
      <w:r w:rsidR="009B608E" w:rsidRPr="004A179B">
        <w:t>prochlorperazín</w:t>
      </w:r>
      <w:r w:rsidR="00E370C4">
        <w:t>om</w:t>
      </w:r>
      <w:proofErr w:type="spellEnd"/>
      <w:r w:rsidR="009B608E" w:rsidRPr="004A179B">
        <w:t xml:space="preserve"> a tetracyklín</w:t>
      </w:r>
      <w:r w:rsidR="00E370C4">
        <w:t>mi</w:t>
      </w:r>
      <w:r w:rsidR="009B608E" w:rsidRPr="004A179B">
        <w:t>.</w:t>
      </w:r>
    </w:p>
    <w:p w:rsidR="009B608E" w:rsidRPr="003021DE" w:rsidRDefault="009B608E" w:rsidP="00D513D2">
      <w:pPr>
        <w:rPr>
          <w:szCs w:val="22"/>
        </w:rPr>
      </w:pPr>
    </w:p>
    <w:p w:rsidR="00780926" w:rsidRPr="003021DE" w:rsidRDefault="00780926" w:rsidP="00D513D2">
      <w:pPr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:rsidR="00780926" w:rsidRPr="003021DE" w:rsidRDefault="00780926" w:rsidP="00B72789">
      <w:pPr>
        <w:ind w:left="0" w:firstLine="0"/>
        <w:rPr>
          <w:szCs w:val="22"/>
        </w:rPr>
      </w:pPr>
    </w:p>
    <w:p w:rsidR="00B72789" w:rsidRPr="000D7872" w:rsidRDefault="00B72789" w:rsidP="00B72789">
      <w:pPr>
        <w:pStyle w:val="Zkladntext"/>
        <w:rPr>
          <w:szCs w:val="22"/>
        </w:rPr>
      </w:pPr>
      <w:r>
        <w:rPr>
          <w:szCs w:val="22"/>
        </w:rPr>
        <w:t>Neotvorené ampulky: 3 roky.</w:t>
      </w:r>
    </w:p>
    <w:p w:rsidR="00B72789" w:rsidRPr="000D7872" w:rsidRDefault="00B72789" w:rsidP="00B72789">
      <w:pPr>
        <w:pStyle w:val="Zkladntext"/>
        <w:rPr>
          <w:szCs w:val="22"/>
        </w:rPr>
      </w:pPr>
    </w:p>
    <w:p w:rsidR="00B72789" w:rsidRPr="00CB3EA7" w:rsidRDefault="00B72789" w:rsidP="00B72789">
      <w:pPr>
        <w:pStyle w:val="Zarkazkladnhotextu"/>
        <w:spacing w:after="0"/>
        <w:ind w:left="0" w:firstLine="0"/>
        <w:rPr>
          <w:szCs w:val="22"/>
        </w:rPr>
      </w:pPr>
      <w:r w:rsidRPr="000D7872">
        <w:rPr>
          <w:b/>
          <w:szCs w:val="22"/>
        </w:rPr>
        <w:t>Otvorené</w:t>
      </w:r>
      <w:r>
        <w:rPr>
          <w:szCs w:val="22"/>
        </w:rPr>
        <w:t xml:space="preserve"> ampulky: Liek </w:t>
      </w:r>
      <w:r w:rsidR="002027BF">
        <w:rPr>
          <w:szCs w:val="22"/>
        </w:rPr>
        <w:t>sa má použiť ihneď</w:t>
      </w:r>
      <w:r>
        <w:rPr>
          <w:szCs w:val="22"/>
        </w:rPr>
        <w:t xml:space="preserve"> po otvorení.</w:t>
      </w:r>
    </w:p>
    <w:p w:rsidR="00B72789" w:rsidRPr="000D7872" w:rsidRDefault="00B72789" w:rsidP="00B72789">
      <w:pPr>
        <w:pStyle w:val="Zkladntext"/>
        <w:rPr>
          <w:szCs w:val="22"/>
        </w:rPr>
      </w:pPr>
    </w:p>
    <w:p w:rsidR="00B72789" w:rsidRPr="001A722B" w:rsidRDefault="00B72789" w:rsidP="00B72789">
      <w:pPr>
        <w:pStyle w:val="Zarkazkladnhotextu"/>
        <w:spacing w:after="0"/>
        <w:ind w:left="0" w:firstLine="0"/>
        <w:rPr>
          <w:szCs w:val="22"/>
        </w:rPr>
      </w:pPr>
      <w:r>
        <w:rPr>
          <w:szCs w:val="22"/>
        </w:rPr>
        <w:t xml:space="preserve">Pripravené </w:t>
      </w:r>
      <w:proofErr w:type="spellStart"/>
      <w:r>
        <w:rPr>
          <w:szCs w:val="22"/>
        </w:rPr>
        <w:t>infúzne</w:t>
      </w:r>
      <w:proofErr w:type="spellEnd"/>
      <w:r>
        <w:rPr>
          <w:szCs w:val="22"/>
        </w:rPr>
        <w:t xml:space="preserve"> roztoky:</w:t>
      </w:r>
    </w:p>
    <w:p w:rsidR="00B72789" w:rsidRPr="00754DEF" w:rsidRDefault="00B72789" w:rsidP="00B72789">
      <w:pPr>
        <w:ind w:left="0" w:firstLine="0"/>
        <w:rPr>
          <w:szCs w:val="22"/>
        </w:rPr>
      </w:pPr>
      <w:r>
        <w:rPr>
          <w:szCs w:val="22"/>
        </w:rPr>
        <w:t>Chemická a fyzikálna stabilita v priebehu použitia bola preukázaná v</w:t>
      </w:r>
      <w:r w:rsidR="00C938CD">
        <w:rPr>
          <w:szCs w:val="22"/>
        </w:rPr>
        <w:t xml:space="preserve"> 5 % </w:t>
      </w:r>
      <w:r>
        <w:rPr>
          <w:szCs w:val="22"/>
        </w:rPr>
        <w:t>roztoku glukózy</w:t>
      </w:r>
      <w:r w:rsidR="00C938CD">
        <w:rPr>
          <w:szCs w:val="22"/>
        </w:rPr>
        <w:t xml:space="preserve"> </w:t>
      </w:r>
      <w:r>
        <w:rPr>
          <w:szCs w:val="22"/>
        </w:rPr>
        <w:t>a</w:t>
      </w:r>
      <w:r w:rsidR="00C938CD">
        <w:rPr>
          <w:szCs w:val="22"/>
        </w:rPr>
        <w:t xml:space="preserve"> 0,9 % </w:t>
      </w:r>
      <w:r>
        <w:rPr>
          <w:szCs w:val="22"/>
        </w:rPr>
        <w:t>roztoku chloridu sodného po dobu 24 hodín pri teplote 25 °C.</w:t>
      </w:r>
    </w:p>
    <w:p w:rsidR="00780926" w:rsidRDefault="00B72789" w:rsidP="00B72789">
      <w:pPr>
        <w:ind w:left="0" w:firstLine="0"/>
        <w:rPr>
          <w:szCs w:val="22"/>
        </w:rPr>
      </w:pPr>
      <w:r>
        <w:rPr>
          <w:szCs w:val="22"/>
        </w:rPr>
        <w:t xml:space="preserve">Z mikrobiologického hľadiska </w:t>
      </w:r>
      <w:r w:rsidR="00C938CD">
        <w:rPr>
          <w:szCs w:val="22"/>
        </w:rPr>
        <w:t>sa má</w:t>
      </w:r>
      <w:r>
        <w:rPr>
          <w:szCs w:val="22"/>
        </w:rPr>
        <w:t xml:space="preserve"> liek použiť okamžite. Ak</w:t>
      </w:r>
      <w:r w:rsidR="009137BC">
        <w:rPr>
          <w:szCs w:val="22"/>
        </w:rPr>
        <w:t xml:space="preserve"> sa nepoužije </w:t>
      </w:r>
      <w:r>
        <w:rPr>
          <w:szCs w:val="22"/>
        </w:rPr>
        <w:t xml:space="preserve">okamžite, za </w:t>
      </w:r>
      <w:r w:rsidR="00913A37">
        <w:rPr>
          <w:szCs w:val="22"/>
        </w:rPr>
        <w:t xml:space="preserve">čas </w:t>
      </w:r>
      <w:r>
        <w:rPr>
          <w:szCs w:val="22"/>
        </w:rPr>
        <w:t>a</w:t>
      </w:r>
      <w:r w:rsidR="009137BC">
        <w:rPr>
          <w:szCs w:val="22"/>
        </w:rPr>
        <w:t> </w:t>
      </w:r>
      <w:r>
        <w:rPr>
          <w:szCs w:val="22"/>
        </w:rPr>
        <w:t>podmienky</w:t>
      </w:r>
      <w:r w:rsidR="009137BC">
        <w:rPr>
          <w:szCs w:val="22"/>
        </w:rPr>
        <w:t xml:space="preserve"> uchovávania pred</w:t>
      </w:r>
      <w:r>
        <w:rPr>
          <w:szCs w:val="22"/>
        </w:rPr>
        <w:t xml:space="preserve"> použit</w:t>
      </w:r>
      <w:r w:rsidR="009137BC">
        <w:rPr>
          <w:szCs w:val="22"/>
        </w:rPr>
        <w:t>ím</w:t>
      </w:r>
      <w:r>
        <w:rPr>
          <w:szCs w:val="22"/>
        </w:rPr>
        <w:t xml:space="preserve"> zodpoved</w:t>
      </w:r>
      <w:r w:rsidR="009137BC">
        <w:rPr>
          <w:szCs w:val="22"/>
        </w:rPr>
        <w:t>á</w:t>
      </w:r>
      <w:r>
        <w:rPr>
          <w:szCs w:val="22"/>
        </w:rPr>
        <w:t xml:space="preserve"> používateľ.</w:t>
      </w:r>
    </w:p>
    <w:p w:rsidR="00B72789" w:rsidRPr="003021DE" w:rsidRDefault="00B72789" w:rsidP="00B72789">
      <w:pPr>
        <w:ind w:left="0" w:firstLine="0"/>
      </w:pPr>
    </w:p>
    <w:p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:rsidR="00780926" w:rsidRPr="00B13F68" w:rsidRDefault="00780926" w:rsidP="00B13F68"/>
    <w:p w:rsidR="00600771" w:rsidRDefault="00600771" w:rsidP="00B13F68">
      <w:pPr>
        <w:rPr>
          <w:noProof/>
        </w:rPr>
      </w:pPr>
      <w:r>
        <w:rPr>
          <w:noProof/>
        </w:rPr>
        <w:t>Tento liek nevyžaduje žiadne zvláštne podmienky na uchovávanie.</w:t>
      </w:r>
    </w:p>
    <w:p w:rsidR="00600771" w:rsidRDefault="00600771" w:rsidP="00B13F68">
      <w:pPr>
        <w:rPr>
          <w:noProof/>
        </w:rPr>
      </w:pPr>
    </w:p>
    <w:p w:rsidR="00780926" w:rsidRPr="00B13F68" w:rsidRDefault="00780926" w:rsidP="00B13F68">
      <w:pPr>
        <w:rPr>
          <w:i/>
        </w:rPr>
      </w:pPr>
      <w:r w:rsidRPr="003021DE">
        <w:rPr>
          <w:noProof/>
        </w:rPr>
        <w:t xml:space="preserve">Podmienky na uchovávanie </w:t>
      </w:r>
      <w:r w:rsidR="00096CAA" w:rsidRPr="00B13F68">
        <w:rPr>
          <w:noProof/>
        </w:rPr>
        <w:t xml:space="preserve">po </w:t>
      </w:r>
      <w:r w:rsidR="00B72789" w:rsidRPr="00B13F68">
        <w:rPr>
          <w:noProof/>
        </w:rPr>
        <w:t xml:space="preserve">prvom otvorení </w:t>
      </w:r>
      <w:r w:rsidR="00B72789">
        <w:rPr>
          <w:noProof/>
        </w:rPr>
        <w:t xml:space="preserve">alebo </w:t>
      </w:r>
      <w:r w:rsidR="00096CAA" w:rsidRPr="00B13F68">
        <w:rPr>
          <w:noProof/>
        </w:rPr>
        <w:t>riedení</w:t>
      </w:r>
      <w:r w:rsidRPr="003021DE">
        <w:rPr>
          <w:noProof/>
        </w:rPr>
        <w:t xml:space="preserve"> lieku, pozri časť 6.3.</w:t>
      </w:r>
    </w:p>
    <w:p w:rsidR="00780926" w:rsidRPr="00B13F68" w:rsidRDefault="00780926" w:rsidP="00B13F68">
      <w:pPr>
        <w:rPr>
          <w:iCs/>
        </w:rPr>
      </w:pPr>
    </w:p>
    <w:p w:rsidR="00780926" w:rsidRPr="003021DE" w:rsidRDefault="00780926" w:rsidP="00B13F68">
      <w:pPr>
        <w:rPr>
          <w:szCs w:val="22"/>
        </w:rPr>
      </w:pPr>
      <w:r w:rsidRPr="003021DE">
        <w:rPr>
          <w:b/>
          <w:szCs w:val="22"/>
        </w:rPr>
        <w:t>6.5</w:t>
      </w:r>
      <w:r w:rsidRPr="003021DE">
        <w:rPr>
          <w:b/>
          <w:szCs w:val="22"/>
        </w:rPr>
        <w:tab/>
        <w:t>Druh obalu a obsah balenia</w:t>
      </w:r>
    </w:p>
    <w:p w:rsidR="00780926" w:rsidRPr="003021DE" w:rsidRDefault="00780926" w:rsidP="00B13F68">
      <w:pPr>
        <w:rPr>
          <w:szCs w:val="22"/>
        </w:rPr>
      </w:pPr>
    </w:p>
    <w:p w:rsidR="004A179B" w:rsidRDefault="0033021A" w:rsidP="00343F5E">
      <w:pPr>
        <w:ind w:left="0" w:firstLine="0"/>
      </w:pPr>
      <w:r>
        <w:t>A</w:t>
      </w:r>
      <w:r w:rsidR="004A179B">
        <w:t xml:space="preserve">mpulka </w:t>
      </w:r>
      <w:r>
        <w:t xml:space="preserve">z bezfarebného skla </w:t>
      </w:r>
      <w:r w:rsidR="004A179B">
        <w:t xml:space="preserve">typu I </w:t>
      </w:r>
      <w:r w:rsidR="004A179B">
        <w:rPr>
          <w:color w:val="000000"/>
          <w:szCs w:val="22"/>
        </w:rPr>
        <w:t>s jednobodovým miestom zlomu</w:t>
      </w:r>
      <w:r w:rsidR="004A179B">
        <w:t xml:space="preserve"> (OPC), 10 ml.</w:t>
      </w:r>
    </w:p>
    <w:p w:rsidR="004A179B" w:rsidRDefault="004A179B" w:rsidP="004A179B">
      <w:r>
        <w:t>Balené v</w:t>
      </w:r>
      <w:r w:rsidR="00343F5E">
        <w:t> papierových</w:t>
      </w:r>
      <w:r>
        <w:t xml:space="preserve"> škatu</w:t>
      </w:r>
      <w:r w:rsidR="006462E0">
        <w:t>ľkách</w:t>
      </w:r>
      <w:r>
        <w:t xml:space="preserve"> obsahujúcich 5 alebo 10 amp</w:t>
      </w:r>
      <w:r w:rsidR="006462E0">
        <w:t>uliek</w:t>
      </w:r>
      <w:r>
        <w:t xml:space="preserve"> x 10 ml.</w:t>
      </w:r>
    </w:p>
    <w:p w:rsidR="00780926" w:rsidRPr="003021DE" w:rsidRDefault="00D71CEA" w:rsidP="00B13F68">
      <w:pPr>
        <w:rPr>
          <w:szCs w:val="22"/>
        </w:rPr>
      </w:pPr>
      <w:r w:rsidRPr="003021DE">
        <w:t>Na trh nemusia byť uvedené</w:t>
      </w:r>
      <w:r w:rsidRPr="003021DE">
        <w:rPr>
          <w:noProof/>
          <w:szCs w:val="22"/>
        </w:rPr>
        <w:t xml:space="preserve"> </w:t>
      </w:r>
      <w:r w:rsidR="004A179B">
        <w:rPr>
          <w:szCs w:val="22"/>
        </w:rPr>
        <w:t>všetky veľkosti balenia.</w:t>
      </w:r>
    </w:p>
    <w:p w:rsidR="00780926" w:rsidRPr="003021DE" w:rsidRDefault="00780926" w:rsidP="00B13F68">
      <w:pPr>
        <w:rPr>
          <w:szCs w:val="22"/>
        </w:rPr>
      </w:pPr>
    </w:p>
    <w:p w:rsidR="00780926" w:rsidRPr="00B13F68" w:rsidRDefault="00780926" w:rsidP="00B13F68">
      <w:pPr>
        <w:rPr>
          <w:b/>
          <w:bCs/>
          <w:noProof/>
        </w:rPr>
      </w:pPr>
      <w:r w:rsidRPr="00D513D2">
        <w:rPr>
          <w:b/>
          <w:szCs w:val="22"/>
        </w:rPr>
        <w:t>6.6</w:t>
      </w:r>
      <w:r w:rsidRPr="00D513D2">
        <w:rPr>
          <w:b/>
          <w:szCs w:val="22"/>
        </w:rPr>
        <w:tab/>
      </w:r>
      <w:r w:rsidRPr="00B13F68">
        <w:rPr>
          <w:b/>
          <w:bCs/>
          <w:noProof/>
        </w:rPr>
        <w:t>Špeciálne opatrenia na likvidáciu</w:t>
      </w:r>
      <w:r w:rsidRPr="003021DE">
        <w:rPr>
          <w:b/>
          <w:szCs w:val="22"/>
        </w:rPr>
        <w:t xml:space="preserve"> </w:t>
      </w:r>
      <w:r w:rsidRPr="00B13F68">
        <w:rPr>
          <w:b/>
          <w:bCs/>
          <w:noProof/>
        </w:rPr>
        <w:t>a iné zaobchádzanie s</w:t>
      </w:r>
      <w:r w:rsidR="00FA099B">
        <w:rPr>
          <w:b/>
          <w:bCs/>
          <w:noProof/>
        </w:rPr>
        <w:t> </w:t>
      </w:r>
      <w:r w:rsidRPr="00B13F68">
        <w:rPr>
          <w:b/>
          <w:bCs/>
          <w:noProof/>
        </w:rPr>
        <w:t>liekom</w:t>
      </w:r>
    </w:p>
    <w:p w:rsidR="00780926" w:rsidRPr="00B13F68" w:rsidRDefault="00780926" w:rsidP="00B13F68">
      <w:pPr>
        <w:rPr>
          <w:bCs/>
          <w:noProof/>
        </w:rPr>
      </w:pPr>
    </w:p>
    <w:p w:rsidR="00600771" w:rsidRPr="00CC1144" w:rsidRDefault="00600771" w:rsidP="00600771">
      <w:pPr>
        <w:ind w:left="0" w:firstLine="0"/>
        <w:rPr>
          <w:noProof/>
        </w:rPr>
      </w:pPr>
      <w:r w:rsidRPr="00CC1144">
        <w:rPr>
          <w:noProof/>
        </w:rPr>
        <w:t xml:space="preserve">Pred použitím </w:t>
      </w:r>
      <w:r w:rsidR="00E370C4" w:rsidRPr="00CC1144">
        <w:rPr>
          <w:noProof/>
        </w:rPr>
        <w:t xml:space="preserve">je potrebné </w:t>
      </w:r>
      <w:r w:rsidRPr="00CC1144">
        <w:rPr>
          <w:noProof/>
        </w:rPr>
        <w:t xml:space="preserve">liek vizuálne skontrolovať </w:t>
      </w:r>
      <w:r w:rsidR="00913A37">
        <w:rPr>
          <w:noProof/>
        </w:rPr>
        <w:t xml:space="preserve">na </w:t>
      </w:r>
      <w:r w:rsidR="00E370C4" w:rsidRPr="00CC1144">
        <w:rPr>
          <w:noProof/>
        </w:rPr>
        <w:t>prítomnos</w:t>
      </w:r>
      <w:r w:rsidR="00913A37">
        <w:rPr>
          <w:noProof/>
        </w:rPr>
        <w:t>ť</w:t>
      </w:r>
      <w:r w:rsidRPr="00CC1144">
        <w:rPr>
          <w:noProof/>
        </w:rPr>
        <w:t xml:space="preserve"> </w:t>
      </w:r>
      <w:r w:rsidR="00E370C4" w:rsidRPr="00CC1144">
        <w:rPr>
          <w:noProof/>
        </w:rPr>
        <w:t>vidi</w:t>
      </w:r>
      <w:r w:rsidR="009227E1">
        <w:rPr>
          <w:noProof/>
        </w:rPr>
        <w:t>t</w:t>
      </w:r>
      <w:r w:rsidR="00E370C4" w:rsidRPr="00CC1144">
        <w:rPr>
          <w:noProof/>
        </w:rPr>
        <w:t xml:space="preserve">eľných </w:t>
      </w:r>
      <w:r w:rsidRPr="00CC1144">
        <w:rPr>
          <w:noProof/>
        </w:rPr>
        <w:t>čast</w:t>
      </w:r>
      <w:r w:rsidR="00E370C4" w:rsidRPr="00CC1144">
        <w:rPr>
          <w:noProof/>
        </w:rPr>
        <w:t>íc</w:t>
      </w:r>
      <w:r w:rsidRPr="00CC1144">
        <w:rPr>
          <w:noProof/>
        </w:rPr>
        <w:t xml:space="preserve">, </w:t>
      </w:r>
      <w:r w:rsidR="00E370C4" w:rsidRPr="00CC1144">
        <w:rPr>
          <w:noProof/>
        </w:rPr>
        <w:t>zmen</w:t>
      </w:r>
      <w:r w:rsidR="00913A37">
        <w:rPr>
          <w:noProof/>
        </w:rPr>
        <w:t>u</w:t>
      </w:r>
      <w:r w:rsidR="00E370C4" w:rsidRPr="00CC1144">
        <w:rPr>
          <w:noProof/>
        </w:rPr>
        <w:t xml:space="preserve"> </w:t>
      </w:r>
      <w:r w:rsidRPr="00CC1144">
        <w:rPr>
          <w:noProof/>
        </w:rPr>
        <w:t>farb</w:t>
      </w:r>
      <w:r w:rsidR="00E370C4" w:rsidRPr="00CC1144">
        <w:rPr>
          <w:noProof/>
        </w:rPr>
        <w:t>y</w:t>
      </w:r>
      <w:r w:rsidRPr="00CC1144">
        <w:rPr>
          <w:noProof/>
        </w:rPr>
        <w:t xml:space="preserve"> a </w:t>
      </w:r>
      <w:r w:rsidR="00CC1144" w:rsidRPr="00CC1144">
        <w:rPr>
          <w:noProof/>
        </w:rPr>
        <w:t>nepo</w:t>
      </w:r>
      <w:r w:rsidR="00913A37">
        <w:rPr>
          <w:noProof/>
        </w:rPr>
        <w:t>škodenosť</w:t>
      </w:r>
      <w:r w:rsidRPr="00CC1144">
        <w:rPr>
          <w:noProof/>
        </w:rPr>
        <w:t xml:space="preserve"> obalu. Roztok</w:t>
      </w:r>
      <w:r w:rsidR="00CC1144" w:rsidRPr="00CC1144">
        <w:rPr>
          <w:noProof/>
        </w:rPr>
        <w:t xml:space="preserve"> použi</w:t>
      </w:r>
      <w:r w:rsidR="00DA24E6">
        <w:rPr>
          <w:noProof/>
        </w:rPr>
        <w:t>te</w:t>
      </w:r>
      <w:r w:rsidRPr="00CC1144">
        <w:rPr>
          <w:noProof/>
        </w:rPr>
        <w:t xml:space="preserve"> </w:t>
      </w:r>
      <w:r w:rsidR="00CC1144" w:rsidRPr="00CC1144">
        <w:rPr>
          <w:noProof/>
        </w:rPr>
        <w:t>len</w:t>
      </w:r>
      <w:r w:rsidRPr="00CC1144">
        <w:rPr>
          <w:noProof/>
        </w:rPr>
        <w:t xml:space="preserve"> vtedy, ak je číry, bezfarebný a bez </w:t>
      </w:r>
      <w:r w:rsidR="00CC1144" w:rsidRPr="00CC1144">
        <w:rPr>
          <w:noProof/>
        </w:rPr>
        <w:t>vidi</w:t>
      </w:r>
      <w:r w:rsidR="009227E1">
        <w:rPr>
          <w:noProof/>
        </w:rPr>
        <w:t>t</w:t>
      </w:r>
      <w:r w:rsidR="00CC1144" w:rsidRPr="00CC1144">
        <w:rPr>
          <w:noProof/>
        </w:rPr>
        <w:t xml:space="preserve">eľných </w:t>
      </w:r>
      <w:r w:rsidRPr="00CC1144">
        <w:rPr>
          <w:noProof/>
        </w:rPr>
        <w:t>častíc a</w:t>
      </w:r>
      <w:r w:rsidR="0028774A">
        <w:rPr>
          <w:noProof/>
        </w:rPr>
        <w:t xml:space="preserve"> obal je </w:t>
      </w:r>
      <w:r w:rsidRPr="00CC1144">
        <w:rPr>
          <w:noProof/>
        </w:rPr>
        <w:t>nepo</w:t>
      </w:r>
      <w:r w:rsidR="00913A37">
        <w:rPr>
          <w:noProof/>
        </w:rPr>
        <w:t>rušený</w:t>
      </w:r>
      <w:r w:rsidRPr="00CC1144">
        <w:rPr>
          <w:noProof/>
        </w:rPr>
        <w:t>.</w:t>
      </w:r>
    </w:p>
    <w:p w:rsidR="00600771" w:rsidRPr="0028774A" w:rsidRDefault="00600771" w:rsidP="00600771">
      <w:pPr>
        <w:ind w:left="0" w:firstLine="0"/>
        <w:rPr>
          <w:noProof/>
        </w:rPr>
      </w:pPr>
    </w:p>
    <w:p w:rsidR="00600771" w:rsidRPr="0028774A" w:rsidRDefault="0028774A" w:rsidP="00600771">
      <w:pPr>
        <w:ind w:left="0" w:firstLine="0"/>
        <w:rPr>
          <w:noProof/>
        </w:rPr>
      </w:pPr>
      <w:proofErr w:type="spellStart"/>
      <w:r w:rsidRPr="0028774A">
        <w:t>Calcium</w:t>
      </w:r>
      <w:proofErr w:type="spellEnd"/>
      <w:r w:rsidRPr="0028774A">
        <w:t xml:space="preserve"> </w:t>
      </w:r>
      <w:proofErr w:type="spellStart"/>
      <w:r w:rsidRPr="0028774A">
        <w:t>Gluconate</w:t>
      </w:r>
      <w:proofErr w:type="spellEnd"/>
      <w:r w:rsidRPr="0028774A">
        <w:t xml:space="preserve"> </w:t>
      </w:r>
      <w:proofErr w:type="spellStart"/>
      <w:r w:rsidR="00FF034B">
        <w:t>Hameln</w:t>
      </w:r>
      <w:proofErr w:type="spellEnd"/>
      <w:r w:rsidRPr="0028774A">
        <w:rPr>
          <w:noProof/>
        </w:rPr>
        <w:t xml:space="preserve"> </w:t>
      </w:r>
      <w:r w:rsidR="00324128">
        <w:rPr>
          <w:noProof/>
        </w:rPr>
        <w:t>sa môže</w:t>
      </w:r>
      <w:r w:rsidR="00600771" w:rsidRPr="0028774A">
        <w:rPr>
          <w:noProof/>
        </w:rPr>
        <w:t xml:space="preserve"> riediť 5</w:t>
      </w:r>
      <w:r>
        <w:rPr>
          <w:noProof/>
        </w:rPr>
        <w:t xml:space="preserve"> </w:t>
      </w:r>
      <w:r w:rsidR="00600771" w:rsidRPr="0028774A">
        <w:rPr>
          <w:noProof/>
        </w:rPr>
        <w:t>% glukózou alebo 0,9</w:t>
      </w:r>
      <w:r>
        <w:rPr>
          <w:noProof/>
        </w:rPr>
        <w:t xml:space="preserve"> </w:t>
      </w:r>
      <w:r w:rsidR="00600771" w:rsidRPr="0028774A">
        <w:rPr>
          <w:noProof/>
        </w:rPr>
        <w:t>% chloridom sodným</w:t>
      </w:r>
      <w:r w:rsidR="00324128">
        <w:rPr>
          <w:noProof/>
        </w:rPr>
        <w:t xml:space="preserve"> na podanie kontinuálnou intravenóznou infúziou</w:t>
      </w:r>
      <w:r w:rsidR="00600771" w:rsidRPr="0028774A">
        <w:rPr>
          <w:noProof/>
        </w:rPr>
        <w:t>.</w:t>
      </w:r>
    </w:p>
    <w:p w:rsidR="00600771" w:rsidRPr="004A179B" w:rsidRDefault="00600771" w:rsidP="00600771">
      <w:pPr>
        <w:ind w:left="0" w:firstLine="0"/>
        <w:rPr>
          <w:noProof/>
          <w:highlight w:val="yellow"/>
        </w:rPr>
      </w:pPr>
    </w:p>
    <w:p w:rsidR="00600771" w:rsidRDefault="00600771" w:rsidP="00600771">
      <w:pPr>
        <w:ind w:left="0" w:firstLine="0"/>
        <w:rPr>
          <w:noProof/>
        </w:rPr>
      </w:pPr>
      <w:r w:rsidRPr="00782F5B">
        <w:rPr>
          <w:noProof/>
        </w:rPr>
        <w:t xml:space="preserve">Je potrebné vyhnúť </w:t>
      </w:r>
      <w:r w:rsidR="00252A23">
        <w:rPr>
          <w:noProof/>
        </w:rPr>
        <w:t xml:space="preserve">sa </w:t>
      </w:r>
      <w:r w:rsidRPr="00782F5B">
        <w:rPr>
          <w:noProof/>
        </w:rPr>
        <w:t xml:space="preserve">riedeniu </w:t>
      </w:r>
      <w:r w:rsidR="00782F5B" w:rsidRPr="00782F5B">
        <w:rPr>
          <w:noProof/>
        </w:rPr>
        <w:t>v</w:t>
      </w:r>
      <w:r w:rsidRPr="00782F5B">
        <w:rPr>
          <w:noProof/>
        </w:rPr>
        <w:t xml:space="preserve"> roztok</w:t>
      </w:r>
      <w:r w:rsidR="00782F5B" w:rsidRPr="00782F5B">
        <w:rPr>
          <w:noProof/>
        </w:rPr>
        <w:t>u</w:t>
      </w:r>
      <w:r w:rsidRPr="00782F5B">
        <w:rPr>
          <w:noProof/>
        </w:rPr>
        <w:t xml:space="preserve"> </w:t>
      </w:r>
      <w:r w:rsidR="00782F5B" w:rsidRPr="00782F5B">
        <w:rPr>
          <w:noProof/>
        </w:rPr>
        <w:t xml:space="preserve">s </w:t>
      </w:r>
      <w:r w:rsidRPr="00782F5B">
        <w:rPr>
          <w:noProof/>
        </w:rPr>
        <w:t>obsah</w:t>
      </w:r>
      <w:r w:rsidR="00782F5B" w:rsidRPr="00782F5B">
        <w:rPr>
          <w:noProof/>
        </w:rPr>
        <w:t>om</w:t>
      </w:r>
      <w:r w:rsidRPr="00782F5B">
        <w:rPr>
          <w:noProof/>
        </w:rPr>
        <w:t xml:space="preserve"> hydrog</w:t>
      </w:r>
      <w:r w:rsidR="00252A23">
        <w:rPr>
          <w:noProof/>
        </w:rPr>
        <w:t>e</w:t>
      </w:r>
      <w:r w:rsidRPr="00782F5B">
        <w:rPr>
          <w:noProof/>
        </w:rPr>
        <w:t>nuhličitan</w:t>
      </w:r>
      <w:r w:rsidR="00782F5B" w:rsidRPr="00782F5B">
        <w:rPr>
          <w:noProof/>
        </w:rPr>
        <w:t>u</w:t>
      </w:r>
      <w:r w:rsidRPr="00782F5B">
        <w:rPr>
          <w:noProof/>
        </w:rPr>
        <w:t xml:space="preserve">, </w:t>
      </w:r>
      <w:r w:rsidR="00913A37" w:rsidRPr="00F44BA1">
        <w:t>fosforečnan</w:t>
      </w:r>
      <w:r w:rsidR="00913A37">
        <w:t>u</w:t>
      </w:r>
      <w:r w:rsidR="00913A37" w:rsidRPr="004A179B">
        <w:t xml:space="preserve"> </w:t>
      </w:r>
      <w:r w:rsidR="00913A37" w:rsidRPr="006462E0">
        <w:t>a</w:t>
      </w:r>
      <w:r w:rsidR="00913A37">
        <w:t>lebo</w:t>
      </w:r>
      <w:r w:rsidR="00913A37" w:rsidRPr="006462E0">
        <w:t> </w:t>
      </w:r>
      <w:r w:rsidR="00913A37" w:rsidRPr="00F44BA1">
        <w:t>síran</w:t>
      </w:r>
      <w:r w:rsidR="00913A37">
        <w:t>u</w:t>
      </w:r>
      <w:r w:rsidRPr="00F06247">
        <w:rPr>
          <w:noProof/>
        </w:rPr>
        <w:t>.</w:t>
      </w:r>
    </w:p>
    <w:p w:rsidR="00600771" w:rsidRDefault="00600771" w:rsidP="00600771">
      <w:pPr>
        <w:ind w:left="0" w:firstLine="0"/>
        <w:rPr>
          <w:noProof/>
        </w:rPr>
      </w:pPr>
    </w:p>
    <w:p w:rsidR="00600771" w:rsidRDefault="00600771" w:rsidP="00600771">
      <w:pPr>
        <w:ind w:left="0" w:firstLine="0"/>
        <w:rPr>
          <w:noProof/>
        </w:rPr>
      </w:pPr>
      <w:r>
        <w:rPr>
          <w:noProof/>
        </w:rPr>
        <w:t>Len na jednorazové použitie.</w:t>
      </w:r>
    </w:p>
    <w:p w:rsidR="00BC798A" w:rsidRPr="003021DE" w:rsidRDefault="00600771" w:rsidP="00600771">
      <w:pPr>
        <w:ind w:left="0" w:firstLine="0"/>
        <w:rPr>
          <w:szCs w:val="22"/>
        </w:rPr>
      </w:pPr>
      <w:r>
        <w:rPr>
          <w:noProof/>
        </w:rPr>
        <w:t>Žiadne zvláštne požiadavky na likvidáciu.</w:t>
      </w: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szCs w:val="22"/>
        </w:rPr>
      </w:pPr>
    </w:p>
    <w:p w:rsidR="00780926" w:rsidRPr="003021DE" w:rsidRDefault="00780926" w:rsidP="00E41B3F">
      <w:pPr>
        <w:rPr>
          <w:b/>
          <w:szCs w:val="22"/>
        </w:rPr>
      </w:pPr>
      <w:r w:rsidRPr="003021DE">
        <w:rPr>
          <w:b/>
          <w:szCs w:val="22"/>
        </w:rPr>
        <w:t>7.</w:t>
      </w:r>
      <w:r w:rsidRPr="003021DE">
        <w:rPr>
          <w:b/>
          <w:szCs w:val="22"/>
        </w:rPr>
        <w:tab/>
        <w:t>DRŽITEĽ ROZHODNUTIA O REGISTRÁCII</w:t>
      </w:r>
    </w:p>
    <w:p w:rsidR="00780926" w:rsidRPr="003021DE" w:rsidRDefault="00780926" w:rsidP="00E41B3F">
      <w:pPr>
        <w:rPr>
          <w:szCs w:val="22"/>
        </w:rPr>
      </w:pPr>
    </w:p>
    <w:p w:rsidR="003A18E8" w:rsidRDefault="00FF034B" w:rsidP="00FF034B">
      <w:pPr>
        <w:ind w:left="0" w:firstLine="0"/>
        <w:rPr>
          <w:szCs w:val="22"/>
        </w:rPr>
      </w:pPr>
      <w:proofErr w:type="spellStart"/>
      <w:r>
        <w:rPr>
          <w:szCs w:val="22"/>
        </w:rPr>
        <w:t>hameln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pharma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gmbh</w:t>
      </w:r>
      <w:proofErr w:type="spellEnd"/>
    </w:p>
    <w:p w:rsidR="003A18E8" w:rsidRPr="006F6FFF" w:rsidRDefault="006F6FFF" w:rsidP="006F6FFF">
      <w:bookmarkStart w:id="0" w:name="_Hlk35417699"/>
      <w:proofErr w:type="spellStart"/>
      <w:r w:rsidRPr="002E7E94">
        <w:rPr>
          <w:szCs w:val="22"/>
        </w:rPr>
        <w:t>Inselstraße</w:t>
      </w:r>
      <w:bookmarkEnd w:id="0"/>
      <w:proofErr w:type="spellEnd"/>
      <w:r w:rsidR="00FF034B">
        <w:rPr>
          <w:szCs w:val="22"/>
        </w:rPr>
        <w:t xml:space="preserve"> 1</w:t>
      </w:r>
    </w:p>
    <w:p w:rsidR="003A18E8" w:rsidRDefault="00FF034B" w:rsidP="00FF034B">
      <w:pPr>
        <w:ind w:left="0" w:firstLine="0"/>
        <w:rPr>
          <w:szCs w:val="22"/>
        </w:rPr>
      </w:pPr>
      <w:r>
        <w:rPr>
          <w:szCs w:val="22"/>
        </w:rPr>
        <w:t>3178</w:t>
      </w:r>
      <w:r w:rsidR="006F6FFF">
        <w:rPr>
          <w:szCs w:val="22"/>
        </w:rPr>
        <w:t>7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Hameln</w:t>
      </w:r>
      <w:proofErr w:type="spellEnd"/>
    </w:p>
    <w:p w:rsidR="00780926" w:rsidRPr="00B13F68" w:rsidRDefault="00C42CC9" w:rsidP="00FF034B">
      <w:pPr>
        <w:ind w:left="0" w:firstLine="0"/>
        <w:rPr>
          <w:szCs w:val="22"/>
        </w:rPr>
      </w:pPr>
      <w:r w:rsidRPr="00927D00">
        <w:rPr>
          <w:szCs w:val="22"/>
        </w:rPr>
        <w:t>N</w:t>
      </w:r>
      <w:r>
        <w:rPr>
          <w:szCs w:val="22"/>
        </w:rPr>
        <w:t>e</w:t>
      </w:r>
      <w:r w:rsidRPr="00927D00">
        <w:rPr>
          <w:szCs w:val="22"/>
        </w:rPr>
        <w:t>mecko</w:t>
      </w:r>
    </w:p>
    <w:p w:rsidR="00780926" w:rsidRDefault="00780926" w:rsidP="00E41B3F">
      <w:pPr>
        <w:rPr>
          <w:szCs w:val="22"/>
        </w:rPr>
      </w:pPr>
    </w:p>
    <w:p w:rsidR="0037197F" w:rsidRPr="00B13F68" w:rsidRDefault="0037197F" w:rsidP="00E41B3F">
      <w:pPr>
        <w:rPr>
          <w:szCs w:val="22"/>
        </w:rPr>
      </w:pPr>
    </w:p>
    <w:p w:rsidR="00780926" w:rsidRPr="003021DE" w:rsidRDefault="00780926" w:rsidP="005C1A77">
      <w:pPr>
        <w:keepNext/>
        <w:rPr>
          <w:b/>
          <w:szCs w:val="22"/>
        </w:rPr>
      </w:pPr>
      <w:r w:rsidRPr="00B13F68">
        <w:rPr>
          <w:b/>
          <w:szCs w:val="22"/>
        </w:rPr>
        <w:t>8.</w:t>
      </w:r>
      <w:r w:rsidRPr="00B13F68">
        <w:rPr>
          <w:b/>
          <w:szCs w:val="22"/>
        </w:rPr>
        <w:tab/>
        <w:t xml:space="preserve">REGISTRAČNÉ </w:t>
      </w:r>
      <w:r w:rsidRPr="003021DE">
        <w:rPr>
          <w:b/>
          <w:szCs w:val="22"/>
        </w:rPr>
        <w:t>ČÍSLO</w:t>
      </w:r>
    </w:p>
    <w:p w:rsidR="00780926" w:rsidRDefault="00780926" w:rsidP="005C1A77">
      <w:pPr>
        <w:keepNext/>
      </w:pPr>
      <w:bookmarkStart w:id="1" w:name="_GoBack"/>
      <w:bookmarkEnd w:id="1"/>
    </w:p>
    <w:p w:rsidR="002F471F" w:rsidRDefault="002F471F" w:rsidP="00E41B3F">
      <w:r w:rsidRPr="002F471F">
        <w:t>39/0373/19-S</w:t>
      </w:r>
    </w:p>
    <w:p w:rsidR="002F471F" w:rsidRPr="00B13F68" w:rsidRDefault="002F471F" w:rsidP="00E41B3F"/>
    <w:p w:rsidR="00780926" w:rsidRPr="003021DE" w:rsidRDefault="00780926" w:rsidP="00D513D2">
      <w:pPr>
        <w:rPr>
          <w:szCs w:val="22"/>
        </w:rPr>
      </w:pPr>
    </w:p>
    <w:p w:rsidR="00780926" w:rsidRPr="003021DE" w:rsidRDefault="00780926" w:rsidP="00D513D2">
      <w:pPr>
        <w:rPr>
          <w:b/>
          <w:szCs w:val="22"/>
        </w:rPr>
      </w:pPr>
      <w:r w:rsidRPr="003021DE">
        <w:rPr>
          <w:b/>
          <w:szCs w:val="22"/>
        </w:rPr>
        <w:t>9.</w:t>
      </w:r>
      <w:r w:rsidRPr="003021DE">
        <w:rPr>
          <w:b/>
          <w:szCs w:val="22"/>
        </w:rPr>
        <w:tab/>
        <w:t>DÁTUM PRVEJ REGISTRÁCIE/PREDĹŽENIA REGISTRÁCIE</w:t>
      </w:r>
    </w:p>
    <w:p w:rsidR="00780926" w:rsidRPr="003021DE" w:rsidRDefault="00780926" w:rsidP="00B13F68">
      <w:pPr>
        <w:rPr>
          <w:szCs w:val="22"/>
        </w:rPr>
      </w:pPr>
    </w:p>
    <w:p w:rsidR="001D1B4B" w:rsidRPr="00B13F68" w:rsidRDefault="001D1B4B" w:rsidP="00B13F68">
      <w:pPr>
        <w:rPr>
          <w:noProof/>
        </w:rPr>
      </w:pPr>
      <w:r w:rsidRPr="00B13F68">
        <w:rPr>
          <w:noProof/>
        </w:rPr>
        <w:t xml:space="preserve">Dátum prvej registrácie: </w:t>
      </w:r>
      <w:r w:rsidR="00E477CC">
        <w:rPr>
          <w:noProof/>
        </w:rPr>
        <w:t>0</w:t>
      </w:r>
      <w:r w:rsidR="00493438">
        <w:rPr>
          <w:noProof/>
        </w:rPr>
        <w:t>4</w:t>
      </w:r>
      <w:r w:rsidR="00E477CC">
        <w:rPr>
          <w:noProof/>
        </w:rPr>
        <w:t>.</w:t>
      </w:r>
      <w:r w:rsidR="003A18E8">
        <w:rPr>
          <w:noProof/>
        </w:rPr>
        <w:t xml:space="preserve"> december </w:t>
      </w:r>
      <w:r w:rsidR="00E477CC">
        <w:rPr>
          <w:noProof/>
        </w:rPr>
        <w:t>2019</w:t>
      </w:r>
    </w:p>
    <w:p w:rsidR="00780926" w:rsidRPr="003021DE" w:rsidRDefault="00780926" w:rsidP="00B13F68">
      <w:pPr>
        <w:rPr>
          <w:szCs w:val="22"/>
        </w:rPr>
      </w:pPr>
    </w:p>
    <w:p w:rsidR="00780926" w:rsidRPr="003021DE" w:rsidRDefault="00780926" w:rsidP="00B13F68">
      <w:pPr>
        <w:rPr>
          <w:szCs w:val="22"/>
        </w:rPr>
      </w:pPr>
    </w:p>
    <w:p w:rsidR="00780926" w:rsidRPr="003021DE" w:rsidRDefault="00780926" w:rsidP="00B13F68">
      <w:pPr>
        <w:rPr>
          <w:b/>
          <w:szCs w:val="22"/>
        </w:rPr>
      </w:pPr>
      <w:r w:rsidRPr="003021DE">
        <w:rPr>
          <w:b/>
          <w:szCs w:val="22"/>
        </w:rPr>
        <w:t>10.</w:t>
      </w:r>
      <w:r w:rsidRPr="003021DE">
        <w:rPr>
          <w:b/>
          <w:szCs w:val="22"/>
        </w:rPr>
        <w:tab/>
        <w:t>DÁTUM REVÍZIE TEXTU</w:t>
      </w:r>
    </w:p>
    <w:p w:rsidR="00780926" w:rsidRPr="00B13F68" w:rsidRDefault="00780926" w:rsidP="00B13F68">
      <w:pPr>
        <w:rPr>
          <w:szCs w:val="22"/>
        </w:rPr>
      </w:pPr>
    </w:p>
    <w:p w:rsidR="00780926" w:rsidRPr="000D7872" w:rsidRDefault="00FF034B" w:rsidP="00B13F68">
      <w:r>
        <w:rPr>
          <w:noProof/>
        </w:rPr>
        <w:t>0</w:t>
      </w:r>
      <w:r w:rsidR="00DE357C">
        <w:rPr>
          <w:noProof/>
        </w:rPr>
        <w:t>6</w:t>
      </w:r>
      <w:r>
        <w:rPr>
          <w:noProof/>
        </w:rPr>
        <w:t>/2020</w:t>
      </w:r>
    </w:p>
    <w:sectPr w:rsidR="00780926" w:rsidRPr="000D7872" w:rsidSect="005C1A77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387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73" w:rsidRDefault="00C53473">
      <w:r>
        <w:separator/>
      </w:r>
    </w:p>
  </w:endnote>
  <w:endnote w:type="continuationSeparator" w:id="0">
    <w:p w:rsidR="00C53473" w:rsidRDefault="00C5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0D7872" w:rsidRDefault="00A75EC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864B5E">
      <w:rPr>
        <w:rStyle w:val="slostrany"/>
        <w:rFonts w:ascii="Times New Roman" w:hAnsi="Times New Roman"/>
        <w:sz w:val="18"/>
        <w:szCs w:val="18"/>
      </w:rPr>
      <w:fldChar w:fldCharType="begin"/>
    </w:r>
    <w:r w:rsidRPr="00864B5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64B5E">
      <w:rPr>
        <w:rStyle w:val="slostrany"/>
        <w:rFonts w:ascii="Times New Roman" w:hAnsi="Times New Roman"/>
        <w:sz w:val="18"/>
        <w:szCs w:val="18"/>
      </w:rPr>
      <w:fldChar w:fldCharType="separate"/>
    </w:r>
    <w:r w:rsidR="005C1A77">
      <w:rPr>
        <w:rStyle w:val="slostrany"/>
        <w:rFonts w:ascii="Times New Roman" w:hAnsi="Times New Roman"/>
        <w:noProof/>
        <w:sz w:val="18"/>
        <w:szCs w:val="18"/>
      </w:rPr>
      <w:t>9</w:t>
    </w:r>
    <w:r w:rsidRPr="00864B5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Default="00A75ECC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EF598C">
      <w:rPr>
        <w:rStyle w:val="slostrany"/>
        <w:rFonts w:ascii="Times New Roman" w:hAnsi="Times New Roman"/>
        <w:sz w:val="18"/>
        <w:szCs w:val="18"/>
      </w:rPr>
      <w:fldChar w:fldCharType="begin"/>
    </w:r>
    <w:r w:rsidRPr="00EF598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F598C">
      <w:rPr>
        <w:rStyle w:val="slostrany"/>
        <w:rFonts w:ascii="Times New Roman" w:hAnsi="Times New Roman"/>
        <w:sz w:val="18"/>
        <w:szCs w:val="18"/>
      </w:rPr>
      <w:fldChar w:fldCharType="separate"/>
    </w:r>
    <w:r w:rsidR="00864B5E">
      <w:rPr>
        <w:rStyle w:val="slostrany"/>
        <w:rFonts w:ascii="Times New Roman" w:hAnsi="Times New Roman"/>
        <w:noProof/>
        <w:sz w:val="18"/>
        <w:szCs w:val="18"/>
      </w:rPr>
      <w:t>1</w:t>
    </w:r>
    <w:r w:rsidRPr="00EF598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73" w:rsidRDefault="00C53473">
      <w:r>
        <w:separator/>
      </w:r>
    </w:p>
  </w:footnote>
  <w:footnote w:type="continuationSeparator" w:id="0">
    <w:p w:rsidR="00C53473" w:rsidRDefault="00C5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8B" w:rsidRPr="000D7872" w:rsidRDefault="00FF034B" w:rsidP="006F6FFF">
    <w:pPr>
      <w:pStyle w:val="Hlavika"/>
      <w:ind w:right="-143"/>
      <w:rPr>
        <w:rFonts w:ascii="Times New Roman" w:hAnsi="Times New Roman"/>
        <w:sz w:val="18"/>
        <w:szCs w:val="18"/>
        <w:lang w:val="sk-SK"/>
      </w:rPr>
    </w:pPr>
    <w:r w:rsidRPr="000D7872">
      <w:rPr>
        <w:rFonts w:ascii="Times New Roman" w:hAnsi="Times New Roman"/>
        <w:sz w:val="18"/>
        <w:szCs w:val="18"/>
        <w:lang w:val="sk-SK"/>
      </w:rPr>
      <w:t xml:space="preserve">Príloha č. 2 k notifikácii o zmene, ev. č.: </w:t>
    </w:r>
    <w:r w:rsidR="003763A4">
      <w:rPr>
        <w:rFonts w:ascii="Times New Roman" w:hAnsi="Times New Roman"/>
        <w:sz w:val="18"/>
        <w:szCs w:val="18"/>
        <w:lang w:val="sk-SK"/>
      </w:rPr>
      <w:t>2020/01855-Z1A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856" w:rsidRDefault="00674856" w:rsidP="00674856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1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prevode</w:t>
    </w:r>
    <w:proofErr w:type="spellEnd"/>
    <w:r>
      <w:rPr>
        <w:rFonts w:ascii="Times New Roman" w:hAnsi="Times New Roman"/>
        <w:sz w:val="18"/>
        <w:szCs w:val="18"/>
      </w:rPr>
      <w:t xml:space="preserve">, ev. č.: </w:t>
    </w:r>
    <w:bookmarkStart w:id="2" w:name="_Hlk29802914"/>
    <w:r>
      <w:rPr>
        <w:rFonts w:ascii="Times New Roman" w:hAnsi="Times New Roman"/>
        <w:sz w:val="18"/>
        <w:szCs w:val="18"/>
      </w:rPr>
      <w:t>2019/06462-TR</w:t>
    </w:r>
    <w:bookmarkEnd w:id="2"/>
  </w:p>
  <w:p w:rsidR="00674856" w:rsidRDefault="00674856" w:rsidP="00674856">
    <w:pPr>
      <w:pStyle w:val="Hlavika"/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 2 k 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>, ev. č.: 2019/06460-Z1B</w:t>
    </w:r>
  </w:p>
  <w:p w:rsidR="00EF598C" w:rsidRDefault="00EF598C" w:rsidP="00EF59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2684B"/>
    <w:multiLevelType w:val="hybridMultilevel"/>
    <w:tmpl w:val="F6A8186E"/>
    <w:lvl w:ilvl="0" w:tplc="3C920C68">
      <w:start w:val="4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E85DB4"/>
    <w:multiLevelType w:val="hybridMultilevel"/>
    <w:tmpl w:val="F282267C"/>
    <w:lvl w:ilvl="0" w:tplc="B98CAFB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DBA4B3DE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88701DB"/>
    <w:multiLevelType w:val="multilevel"/>
    <w:tmpl w:val="CBBE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807340"/>
    <w:multiLevelType w:val="hybridMultilevel"/>
    <w:tmpl w:val="F266B700"/>
    <w:lvl w:ilvl="0" w:tplc="C32ADC6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16657"/>
    <w:multiLevelType w:val="hybridMultilevel"/>
    <w:tmpl w:val="B1189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7"/>
  </w:num>
  <w:num w:numId="16">
    <w:abstractNumId w:val="2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a Zamborska">
    <w15:presenceInfo w15:providerId="None" w15:userId="Daniela Zamborska"/>
  </w15:person>
  <w15:person w15:author="Zamborska,Daniela">
    <w15:presenceInfo w15:providerId="AD" w15:userId="S-1-5-21-2313873015-251887059-1286414815-3350"/>
  </w15:person>
  <w15:person w15:author="Vandakova Nikoleta">
    <w15:presenceInfo w15:providerId="AD" w15:userId="S::N.Vandakova@hameln-rds.sk::c40cbab9-edb6-462c-9445-860a72ec72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004D"/>
    <w:rsid w:val="0000479A"/>
    <w:rsid w:val="000122F7"/>
    <w:rsid w:val="00014749"/>
    <w:rsid w:val="00022FFB"/>
    <w:rsid w:val="000259F3"/>
    <w:rsid w:val="0002601D"/>
    <w:rsid w:val="0002785C"/>
    <w:rsid w:val="00031998"/>
    <w:rsid w:val="00033B38"/>
    <w:rsid w:val="00033C1C"/>
    <w:rsid w:val="00035EB2"/>
    <w:rsid w:val="00040726"/>
    <w:rsid w:val="00047ADD"/>
    <w:rsid w:val="00050264"/>
    <w:rsid w:val="00052EE2"/>
    <w:rsid w:val="00056045"/>
    <w:rsid w:val="00061445"/>
    <w:rsid w:val="00061FB1"/>
    <w:rsid w:val="000669DC"/>
    <w:rsid w:val="0007290D"/>
    <w:rsid w:val="00075BE1"/>
    <w:rsid w:val="0007744D"/>
    <w:rsid w:val="00077CF6"/>
    <w:rsid w:val="0008042F"/>
    <w:rsid w:val="00087464"/>
    <w:rsid w:val="00090230"/>
    <w:rsid w:val="00093F48"/>
    <w:rsid w:val="00096CAA"/>
    <w:rsid w:val="000A1AEA"/>
    <w:rsid w:val="000A234D"/>
    <w:rsid w:val="000A6FDA"/>
    <w:rsid w:val="000B1117"/>
    <w:rsid w:val="000B13AD"/>
    <w:rsid w:val="000B6759"/>
    <w:rsid w:val="000C0E29"/>
    <w:rsid w:val="000C10E1"/>
    <w:rsid w:val="000C534D"/>
    <w:rsid w:val="000C6369"/>
    <w:rsid w:val="000C7915"/>
    <w:rsid w:val="000D3B1B"/>
    <w:rsid w:val="000D71B3"/>
    <w:rsid w:val="000D7872"/>
    <w:rsid w:val="000E1FD9"/>
    <w:rsid w:val="000E2174"/>
    <w:rsid w:val="000E3D7D"/>
    <w:rsid w:val="000E4756"/>
    <w:rsid w:val="000E7685"/>
    <w:rsid w:val="000F04F6"/>
    <w:rsid w:val="000F215A"/>
    <w:rsid w:val="001001CE"/>
    <w:rsid w:val="001026C2"/>
    <w:rsid w:val="001114AF"/>
    <w:rsid w:val="001117BC"/>
    <w:rsid w:val="00111E1A"/>
    <w:rsid w:val="001150F2"/>
    <w:rsid w:val="00115643"/>
    <w:rsid w:val="0012069D"/>
    <w:rsid w:val="001334A2"/>
    <w:rsid w:val="00134B55"/>
    <w:rsid w:val="00135894"/>
    <w:rsid w:val="00136EB8"/>
    <w:rsid w:val="001406FE"/>
    <w:rsid w:val="00141412"/>
    <w:rsid w:val="00141BD1"/>
    <w:rsid w:val="00146B21"/>
    <w:rsid w:val="00146BAB"/>
    <w:rsid w:val="00152339"/>
    <w:rsid w:val="0015367B"/>
    <w:rsid w:val="00156BC4"/>
    <w:rsid w:val="00160DCE"/>
    <w:rsid w:val="001619CF"/>
    <w:rsid w:val="001671AF"/>
    <w:rsid w:val="00177A4A"/>
    <w:rsid w:val="00182A4A"/>
    <w:rsid w:val="001834FA"/>
    <w:rsid w:val="001842E6"/>
    <w:rsid w:val="00185CB1"/>
    <w:rsid w:val="0018742D"/>
    <w:rsid w:val="00187ECC"/>
    <w:rsid w:val="00190DB6"/>
    <w:rsid w:val="00192AD2"/>
    <w:rsid w:val="00192DFA"/>
    <w:rsid w:val="001967D9"/>
    <w:rsid w:val="00197673"/>
    <w:rsid w:val="001A3218"/>
    <w:rsid w:val="001A7BC8"/>
    <w:rsid w:val="001A7F53"/>
    <w:rsid w:val="001B08B2"/>
    <w:rsid w:val="001B73FD"/>
    <w:rsid w:val="001C33BA"/>
    <w:rsid w:val="001C383C"/>
    <w:rsid w:val="001C3BC0"/>
    <w:rsid w:val="001C41AC"/>
    <w:rsid w:val="001C463D"/>
    <w:rsid w:val="001C4F42"/>
    <w:rsid w:val="001C5923"/>
    <w:rsid w:val="001D1B4B"/>
    <w:rsid w:val="001D3CBB"/>
    <w:rsid w:val="001D4230"/>
    <w:rsid w:val="001E3272"/>
    <w:rsid w:val="001E7F14"/>
    <w:rsid w:val="001F5143"/>
    <w:rsid w:val="001F5744"/>
    <w:rsid w:val="001F7CF0"/>
    <w:rsid w:val="002003FB"/>
    <w:rsid w:val="002027BF"/>
    <w:rsid w:val="002030D7"/>
    <w:rsid w:val="0020326B"/>
    <w:rsid w:val="00205FC2"/>
    <w:rsid w:val="002106F9"/>
    <w:rsid w:val="002154CB"/>
    <w:rsid w:val="002156AD"/>
    <w:rsid w:val="00217AF9"/>
    <w:rsid w:val="00220A3F"/>
    <w:rsid w:val="002227EB"/>
    <w:rsid w:val="0022527A"/>
    <w:rsid w:val="00226640"/>
    <w:rsid w:val="00231B74"/>
    <w:rsid w:val="0023488C"/>
    <w:rsid w:val="00234973"/>
    <w:rsid w:val="00234FDE"/>
    <w:rsid w:val="00237907"/>
    <w:rsid w:val="00241C00"/>
    <w:rsid w:val="002474A8"/>
    <w:rsid w:val="00250D30"/>
    <w:rsid w:val="00252758"/>
    <w:rsid w:val="00252A23"/>
    <w:rsid w:val="0025422C"/>
    <w:rsid w:val="00254E9D"/>
    <w:rsid w:val="00256443"/>
    <w:rsid w:val="0025696C"/>
    <w:rsid w:val="00261732"/>
    <w:rsid w:val="002678E0"/>
    <w:rsid w:val="00270B82"/>
    <w:rsid w:val="00276303"/>
    <w:rsid w:val="002776F1"/>
    <w:rsid w:val="00277AD1"/>
    <w:rsid w:val="002815E9"/>
    <w:rsid w:val="0028161E"/>
    <w:rsid w:val="00281C02"/>
    <w:rsid w:val="00282559"/>
    <w:rsid w:val="00284EEF"/>
    <w:rsid w:val="0028774A"/>
    <w:rsid w:val="00290D49"/>
    <w:rsid w:val="0029267B"/>
    <w:rsid w:val="00296160"/>
    <w:rsid w:val="002A0EF1"/>
    <w:rsid w:val="002A1D7C"/>
    <w:rsid w:val="002A24BE"/>
    <w:rsid w:val="002A3C68"/>
    <w:rsid w:val="002A46DA"/>
    <w:rsid w:val="002B4FA3"/>
    <w:rsid w:val="002B7838"/>
    <w:rsid w:val="002C16D8"/>
    <w:rsid w:val="002C428B"/>
    <w:rsid w:val="002C4A52"/>
    <w:rsid w:val="002C5553"/>
    <w:rsid w:val="002C64A9"/>
    <w:rsid w:val="002D4FE8"/>
    <w:rsid w:val="002D5C3E"/>
    <w:rsid w:val="002D6730"/>
    <w:rsid w:val="002D6D36"/>
    <w:rsid w:val="002D6D51"/>
    <w:rsid w:val="002F19A9"/>
    <w:rsid w:val="002F471F"/>
    <w:rsid w:val="002F4D11"/>
    <w:rsid w:val="002F6F9F"/>
    <w:rsid w:val="002F7694"/>
    <w:rsid w:val="003015F6"/>
    <w:rsid w:val="003021DE"/>
    <w:rsid w:val="00302F2A"/>
    <w:rsid w:val="00306120"/>
    <w:rsid w:val="0031186C"/>
    <w:rsid w:val="00314AD5"/>
    <w:rsid w:val="00320DBA"/>
    <w:rsid w:val="00324128"/>
    <w:rsid w:val="00325A24"/>
    <w:rsid w:val="00326C65"/>
    <w:rsid w:val="00327BBE"/>
    <w:rsid w:val="0033021A"/>
    <w:rsid w:val="00332DC3"/>
    <w:rsid w:val="00335D8A"/>
    <w:rsid w:val="0033646E"/>
    <w:rsid w:val="00336CD1"/>
    <w:rsid w:val="0033774F"/>
    <w:rsid w:val="00341CC6"/>
    <w:rsid w:val="00342D66"/>
    <w:rsid w:val="003434D4"/>
    <w:rsid w:val="00343CF0"/>
    <w:rsid w:val="00343F5E"/>
    <w:rsid w:val="003461A9"/>
    <w:rsid w:val="00346633"/>
    <w:rsid w:val="00350F0A"/>
    <w:rsid w:val="00351D8E"/>
    <w:rsid w:val="00355CF3"/>
    <w:rsid w:val="00355F02"/>
    <w:rsid w:val="00360565"/>
    <w:rsid w:val="003613A4"/>
    <w:rsid w:val="00366E96"/>
    <w:rsid w:val="0037197F"/>
    <w:rsid w:val="003724D2"/>
    <w:rsid w:val="00374BCE"/>
    <w:rsid w:val="00374CAD"/>
    <w:rsid w:val="003763A4"/>
    <w:rsid w:val="00382713"/>
    <w:rsid w:val="00384754"/>
    <w:rsid w:val="003856CE"/>
    <w:rsid w:val="003866CB"/>
    <w:rsid w:val="003909FC"/>
    <w:rsid w:val="003918B7"/>
    <w:rsid w:val="00397DDB"/>
    <w:rsid w:val="003A18E8"/>
    <w:rsid w:val="003A548B"/>
    <w:rsid w:val="003A706F"/>
    <w:rsid w:val="003B2681"/>
    <w:rsid w:val="003B7444"/>
    <w:rsid w:val="003C383B"/>
    <w:rsid w:val="003D6050"/>
    <w:rsid w:val="003E3553"/>
    <w:rsid w:val="003E3C0D"/>
    <w:rsid w:val="003E6C36"/>
    <w:rsid w:val="003F2753"/>
    <w:rsid w:val="0040270A"/>
    <w:rsid w:val="00402F9D"/>
    <w:rsid w:val="004104FE"/>
    <w:rsid w:val="0041172C"/>
    <w:rsid w:val="00411A8F"/>
    <w:rsid w:val="00414CDE"/>
    <w:rsid w:val="00415B62"/>
    <w:rsid w:val="004210D4"/>
    <w:rsid w:val="00421DAD"/>
    <w:rsid w:val="00422446"/>
    <w:rsid w:val="0042356B"/>
    <w:rsid w:val="00431085"/>
    <w:rsid w:val="004335C2"/>
    <w:rsid w:val="00440BDF"/>
    <w:rsid w:val="004431CC"/>
    <w:rsid w:val="00445716"/>
    <w:rsid w:val="00446A61"/>
    <w:rsid w:val="0044736A"/>
    <w:rsid w:val="00457BB5"/>
    <w:rsid w:val="004605F8"/>
    <w:rsid w:val="0046069B"/>
    <w:rsid w:val="00462F5F"/>
    <w:rsid w:val="00463BD4"/>
    <w:rsid w:val="0046606F"/>
    <w:rsid w:val="00467E9D"/>
    <w:rsid w:val="00486C3D"/>
    <w:rsid w:val="0048718C"/>
    <w:rsid w:val="00493438"/>
    <w:rsid w:val="004935C0"/>
    <w:rsid w:val="004A179B"/>
    <w:rsid w:val="004A4DF1"/>
    <w:rsid w:val="004A5603"/>
    <w:rsid w:val="004B667D"/>
    <w:rsid w:val="004C0111"/>
    <w:rsid w:val="004C0CC4"/>
    <w:rsid w:val="004C0E1F"/>
    <w:rsid w:val="004C188A"/>
    <w:rsid w:val="004C6A7E"/>
    <w:rsid w:val="004C6B1A"/>
    <w:rsid w:val="004D2741"/>
    <w:rsid w:val="004D457B"/>
    <w:rsid w:val="004D71F7"/>
    <w:rsid w:val="004E06AA"/>
    <w:rsid w:val="004E4293"/>
    <w:rsid w:val="004E6067"/>
    <w:rsid w:val="004E641F"/>
    <w:rsid w:val="004E6E09"/>
    <w:rsid w:val="004E741A"/>
    <w:rsid w:val="004E770D"/>
    <w:rsid w:val="004F1DC7"/>
    <w:rsid w:val="004F3648"/>
    <w:rsid w:val="004F3B6D"/>
    <w:rsid w:val="004F4681"/>
    <w:rsid w:val="004F507C"/>
    <w:rsid w:val="0050427F"/>
    <w:rsid w:val="00504A92"/>
    <w:rsid w:val="00504C89"/>
    <w:rsid w:val="00506F2E"/>
    <w:rsid w:val="005078AB"/>
    <w:rsid w:val="00510CCB"/>
    <w:rsid w:val="00511B9D"/>
    <w:rsid w:val="005279ED"/>
    <w:rsid w:val="00527E57"/>
    <w:rsid w:val="00530C95"/>
    <w:rsid w:val="00531A1C"/>
    <w:rsid w:val="00531A22"/>
    <w:rsid w:val="00533B60"/>
    <w:rsid w:val="0053480B"/>
    <w:rsid w:val="00536B25"/>
    <w:rsid w:val="00537894"/>
    <w:rsid w:val="00545759"/>
    <w:rsid w:val="005529E6"/>
    <w:rsid w:val="00552DCC"/>
    <w:rsid w:val="00554E75"/>
    <w:rsid w:val="00560A29"/>
    <w:rsid w:val="00560D93"/>
    <w:rsid w:val="00561314"/>
    <w:rsid w:val="0056448F"/>
    <w:rsid w:val="00564DCE"/>
    <w:rsid w:val="00565009"/>
    <w:rsid w:val="00571355"/>
    <w:rsid w:val="0058262C"/>
    <w:rsid w:val="00584562"/>
    <w:rsid w:val="00585451"/>
    <w:rsid w:val="005928CA"/>
    <w:rsid w:val="00593B7E"/>
    <w:rsid w:val="005949BD"/>
    <w:rsid w:val="005A5530"/>
    <w:rsid w:val="005B18F1"/>
    <w:rsid w:val="005B2700"/>
    <w:rsid w:val="005B413A"/>
    <w:rsid w:val="005B622F"/>
    <w:rsid w:val="005B666D"/>
    <w:rsid w:val="005C01F5"/>
    <w:rsid w:val="005C1A77"/>
    <w:rsid w:val="005C1DA8"/>
    <w:rsid w:val="005C234E"/>
    <w:rsid w:val="005C774A"/>
    <w:rsid w:val="005D4081"/>
    <w:rsid w:val="005E3ACC"/>
    <w:rsid w:val="005E4F97"/>
    <w:rsid w:val="005F163E"/>
    <w:rsid w:val="005F3E71"/>
    <w:rsid w:val="005F5F6E"/>
    <w:rsid w:val="005F6DC7"/>
    <w:rsid w:val="00600771"/>
    <w:rsid w:val="006023CB"/>
    <w:rsid w:val="006028FD"/>
    <w:rsid w:val="00607357"/>
    <w:rsid w:val="00610BC7"/>
    <w:rsid w:val="006114F0"/>
    <w:rsid w:val="00611ADD"/>
    <w:rsid w:val="0061476E"/>
    <w:rsid w:val="00623556"/>
    <w:rsid w:val="00626759"/>
    <w:rsid w:val="00635C39"/>
    <w:rsid w:val="00637F60"/>
    <w:rsid w:val="006462E0"/>
    <w:rsid w:val="0064667F"/>
    <w:rsid w:val="00647D32"/>
    <w:rsid w:val="00650EBD"/>
    <w:rsid w:val="006531C4"/>
    <w:rsid w:val="00655039"/>
    <w:rsid w:val="0065597D"/>
    <w:rsid w:val="006604DA"/>
    <w:rsid w:val="00661936"/>
    <w:rsid w:val="00664192"/>
    <w:rsid w:val="00664E67"/>
    <w:rsid w:val="00666436"/>
    <w:rsid w:val="00667320"/>
    <w:rsid w:val="00671E24"/>
    <w:rsid w:val="00673321"/>
    <w:rsid w:val="0067386E"/>
    <w:rsid w:val="00673C83"/>
    <w:rsid w:val="00674856"/>
    <w:rsid w:val="00675C16"/>
    <w:rsid w:val="00676FD0"/>
    <w:rsid w:val="00677126"/>
    <w:rsid w:val="00681670"/>
    <w:rsid w:val="006819CD"/>
    <w:rsid w:val="006864DC"/>
    <w:rsid w:val="00690BA7"/>
    <w:rsid w:val="00693217"/>
    <w:rsid w:val="00695463"/>
    <w:rsid w:val="006A0574"/>
    <w:rsid w:val="006A201A"/>
    <w:rsid w:val="006A2F36"/>
    <w:rsid w:val="006A40F7"/>
    <w:rsid w:val="006A44C5"/>
    <w:rsid w:val="006A4970"/>
    <w:rsid w:val="006A513D"/>
    <w:rsid w:val="006A68C6"/>
    <w:rsid w:val="006A73AD"/>
    <w:rsid w:val="006B00E8"/>
    <w:rsid w:val="006B1053"/>
    <w:rsid w:val="006B26D7"/>
    <w:rsid w:val="006C09F5"/>
    <w:rsid w:val="006C320B"/>
    <w:rsid w:val="006C3768"/>
    <w:rsid w:val="006D1848"/>
    <w:rsid w:val="006D7D4F"/>
    <w:rsid w:val="006E41C1"/>
    <w:rsid w:val="006E502F"/>
    <w:rsid w:val="006E6F5F"/>
    <w:rsid w:val="006E7956"/>
    <w:rsid w:val="006F15C5"/>
    <w:rsid w:val="006F3CD9"/>
    <w:rsid w:val="006F6FFF"/>
    <w:rsid w:val="00701C6A"/>
    <w:rsid w:val="00712688"/>
    <w:rsid w:val="00716048"/>
    <w:rsid w:val="00716A10"/>
    <w:rsid w:val="0072495D"/>
    <w:rsid w:val="00724E11"/>
    <w:rsid w:val="007262FE"/>
    <w:rsid w:val="0073167B"/>
    <w:rsid w:val="007339ED"/>
    <w:rsid w:val="00734C0D"/>
    <w:rsid w:val="00735581"/>
    <w:rsid w:val="00735FB1"/>
    <w:rsid w:val="00736D3B"/>
    <w:rsid w:val="00740C03"/>
    <w:rsid w:val="00751BAC"/>
    <w:rsid w:val="00752FD9"/>
    <w:rsid w:val="00753E3A"/>
    <w:rsid w:val="0075430E"/>
    <w:rsid w:val="007557FF"/>
    <w:rsid w:val="007572F8"/>
    <w:rsid w:val="00764082"/>
    <w:rsid w:val="00774D95"/>
    <w:rsid w:val="00780926"/>
    <w:rsid w:val="007818E4"/>
    <w:rsid w:val="007824C5"/>
    <w:rsid w:val="00782F5B"/>
    <w:rsid w:val="00783152"/>
    <w:rsid w:val="00783238"/>
    <w:rsid w:val="00784CE7"/>
    <w:rsid w:val="0078730F"/>
    <w:rsid w:val="00791189"/>
    <w:rsid w:val="007924C7"/>
    <w:rsid w:val="007942D8"/>
    <w:rsid w:val="00796080"/>
    <w:rsid w:val="007A4C2E"/>
    <w:rsid w:val="007B1DE0"/>
    <w:rsid w:val="007B1F2D"/>
    <w:rsid w:val="007C3776"/>
    <w:rsid w:val="007C3C27"/>
    <w:rsid w:val="007C64B6"/>
    <w:rsid w:val="007C71C8"/>
    <w:rsid w:val="007D65A0"/>
    <w:rsid w:val="007E1F8F"/>
    <w:rsid w:val="007E571F"/>
    <w:rsid w:val="007E5956"/>
    <w:rsid w:val="007F20DA"/>
    <w:rsid w:val="007F570D"/>
    <w:rsid w:val="007F79AF"/>
    <w:rsid w:val="00803622"/>
    <w:rsid w:val="00803841"/>
    <w:rsid w:val="00806F1C"/>
    <w:rsid w:val="00807419"/>
    <w:rsid w:val="0081597E"/>
    <w:rsid w:val="0082743C"/>
    <w:rsid w:val="00827B4F"/>
    <w:rsid w:val="00837096"/>
    <w:rsid w:val="008400FC"/>
    <w:rsid w:val="00842035"/>
    <w:rsid w:val="008432FE"/>
    <w:rsid w:val="00846817"/>
    <w:rsid w:val="00852371"/>
    <w:rsid w:val="0085357F"/>
    <w:rsid w:val="008571C3"/>
    <w:rsid w:val="00860A16"/>
    <w:rsid w:val="00864B5E"/>
    <w:rsid w:val="0086719F"/>
    <w:rsid w:val="00873520"/>
    <w:rsid w:val="00875B90"/>
    <w:rsid w:val="00884AB9"/>
    <w:rsid w:val="0088505D"/>
    <w:rsid w:val="00886A5A"/>
    <w:rsid w:val="008873CC"/>
    <w:rsid w:val="00887F66"/>
    <w:rsid w:val="00894FC8"/>
    <w:rsid w:val="00895E9B"/>
    <w:rsid w:val="00897C36"/>
    <w:rsid w:val="00897CAE"/>
    <w:rsid w:val="008A0282"/>
    <w:rsid w:val="008A07D0"/>
    <w:rsid w:val="008A21E6"/>
    <w:rsid w:val="008A6A2D"/>
    <w:rsid w:val="008B12C5"/>
    <w:rsid w:val="008B3713"/>
    <w:rsid w:val="008B3CB7"/>
    <w:rsid w:val="008C097B"/>
    <w:rsid w:val="008C1B51"/>
    <w:rsid w:val="008C3852"/>
    <w:rsid w:val="008C501B"/>
    <w:rsid w:val="008C7BBC"/>
    <w:rsid w:val="008D16D8"/>
    <w:rsid w:val="008D34B2"/>
    <w:rsid w:val="008D5211"/>
    <w:rsid w:val="008E04DE"/>
    <w:rsid w:val="008E0812"/>
    <w:rsid w:val="008E1393"/>
    <w:rsid w:val="008E4CFA"/>
    <w:rsid w:val="008E7D64"/>
    <w:rsid w:val="008E7D7E"/>
    <w:rsid w:val="008F0FB1"/>
    <w:rsid w:val="008F3115"/>
    <w:rsid w:val="008F3410"/>
    <w:rsid w:val="008F488D"/>
    <w:rsid w:val="008F6BC1"/>
    <w:rsid w:val="0090404B"/>
    <w:rsid w:val="009058FE"/>
    <w:rsid w:val="009115DD"/>
    <w:rsid w:val="0091185E"/>
    <w:rsid w:val="009137BC"/>
    <w:rsid w:val="00913A37"/>
    <w:rsid w:val="00916BF6"/>
    <w:rsid w:val="0092091F"/>
    <w:rsid w:val="009227E1"/>
    <w:rsid w:val="00930D8B"/>
    <w:rsid w:val="00933DC3"/>
    <w:rsid w:val="009340CB"/>
    <w:rsid w:val="0093424C"/>
    <w:rsid w:val="009352C5"/>
    <w:rsid w:val="0093668F"/>
    <w:rsid w:val="009379D6"/>
    <w:rsid w:val="00943C90"/>
    <w:rsid w:val="00943D9A"/>
    <w:rsid w:val="009459BC"/>
    <w:rsid w:val="00946672"/>
    <w:rsid w:val="009470A8"/>
    <w:rsid w:val="0095010B"/>
    <w:rsid w:val="00950607"/>
    <w:rsid w:val="0095258D"/>
    <w:rsid w:val="00952FA0"/>
    <w:rsid w:val="009612A3"/>
    <w:rsid w:val="0096257A"/>
    <w:rsid w:val="00970E86"/>
    <w:rsid w:val="00971C74"/>
    <w:rsid w:val="00981533"/>
    <w:rsid w:val="00985BB1"/>
    <w:rsid w:val="00990742"/>
    <w:rsid w:val="00990B66"/>
    <w:rsid w:val="00997466"/>
    <w:rsid w:val="009976B6"/>
    <w:rsid w:val="00997CA9"/>
    <w:rsid w:val="009A5605"/>
    <w:rsid w:val="009A5EFC"/>
    <w:rsid w:val="009B0722"/>
    <w:rsid w:val="009B423F"/>
    <w:rsid w:val="009B608E"/>
    <w:rsid w:val="009C221B"/>
    <w:rsid w:val="009C4AA9"/>
    <w:rsid w:val="009C55BA"/>
    <w:rsid w:val="009C5E1E"/>
    <w:rsid w:val="009D3DAD"/>
    <w:rsid w:val="009D773C"/>
    <w:rsid w:val="009D7FE9"/>
    <w:rsid w:val="009E0E67"/>
    <w:rsid w:val="009E2680"/>
    <w:rsid w:val="009E6D88"/>
    <w:rsid w:val="00A0053E"/>
    <w:rsid w:val="00A02686"/>
    <w:rsid w:val="00A03C28"/>
    <w:rsid w:val="00A049D5"/>
    <w:rsid w:val="00A10438"/>
    <w:rsid w:val="00A10770"/>
    <w:rsid w:val="00A11292"/>
    <w:rsid w:val="00A1209E"/>
    <w:rsid w:val="00A13528"/>
    <w:rsid w:val="00A1727E"/>
    <w:rsid w:val="00A17B83"/>
    <w:rsid w:val="00A2064D"/>
    <w:rsid w:val="00A229BC"/>
    <w:rsid w:val="00A236CF"/>
    <w:rsid w:val="00A2444C"/>
    <w:rsid w:val="00A244BE"/>
    <w:rsid w:val="00A2783E"/>
    <w:rsid w:val="00A31000"/>
    <w:rsid w:val="00A31A9C"/>
    <w:rsid w:val="00A32871"/>
    <w:rsid w:val="00A37C43"/>
    <w:rsid w:val="00A416B8"/>
    <w:rsid w:val="00A43F3E"/>
    <w:rsid w:val="00A50A65"/>
    <w:rsid w:val="00A5125F"/>
    <w:rsid w:val="00A51332"/>
    <w:rsid w:val="00A53343"/>
    <w:rsid w:val="00A54625"/>
    <w:rsid w:val="00A5471C"/>
    <w:rsid w:val="00A553FE"/>
    <w:rsid w:val="00A55A55"/>
    <w:rsid w:val="00A5677F"/>
    <w:rsid w:val="00A579D0"/>
    <w:rsid w:val="00A57D0B"/>
    <w:rsid w:val="00A60597"/>
    <w:rsid w:val="00A63C0B"/>
    <w:rsid w:val="00A7203A"/>
    <w:rsid w:val="00A737B8"/>
    <w:rsid w:val="00A75ECC"/>
    <w:rsid w:val="00A80F9E"/>
    <w:rsid w:val="00A824EB"/>
    <w:rsid w:val="00A8277B"/>
    <w:rsid w:val="00A830DC"/>
    <w:rsid w:val="00A833E5"/>
    <w:rsid w:val="00A83C9F"/>
    <w:rsid w:val="00A85CCE"/>
    <w:rsid w:val="00A86C28"/>
    <w:rsid w:val="00A879CD"/>
    <w:rsid w:val="00AA1D90"/>
    <w:rsid w:val="00AA7365"/>
    <w:rsid w:val="00AA7E43"/>
    <w:rsid w:val="00AB08B9"/>
    <w:rsid w:val="00AC016C"/>
    <w:rsid w:val="00AC2342"/>
    <w:rsid w:val="00AC3EA5"/>
    <w:rsid w:val="00AC581C"/>
    <w:rsid w:val="00AC5B45"/>
    <w:rsid w:val="00AD0419"/>
    <w:rsid w:val="00AE3971"/>
    <w:rsid w:val="00AE4D65"/>
    <w:rsid w:val="00AE73EA"/>
    <w:rsid w:val="00AE7EE4"/>
    <w:rsid w:val="00B04CE0"/>
    <w:rsid w:val="00B066B7"/>
    <w:rsid w:val="00B06E24"/>
    <w:rsid w:val="00B07509"/>
    <w:rsid w:val="00B07EB7"/>
    <w:rsid w:val="00B11050"/>
    <w:rsid w:val="00B127D4"/>
    <w:rsid w:val="00B1281C"/>
    <w:rsid w:val="00B13F68"/>
    <w:rsid w:val="00B21DF0"/>
    <w:rsid w:val="00B2365A"/>
    <w:rsid w:val="00B23BFB"/>
    <w:rsid w:val="00B26387"/>
    <w:rsid w:val="00B30082"/>
    <w:rsid w:val="00B30B08"/>
    <w:rsid w:val="00B323B9"/>
    <w:rsid w:val="00B36EA3"/>
    <w:rsid w:val="00B40C12"/>
    <w:rsid w:val="00B45108"/>
    <w:rsid w:val="00B464C1"/>
    <w:rsid w:val="00B47C43"/>
    <w:rsid w:val="00B57C34"/>
    <w:rsid w:val="00B61FBB"/>
    <w:rsid w:val="00B63481"/>
    <w:rsid w:val="00B6598C"/>
    <w:rsid w:val="00B67931"/>
    <w:rsid w:val="00B72789"/>
    <w:rsid w:val="00B77873"/>
    <w:rsid w:val="00B80769"/>
    <w:rsid w:val="00B92F30"/>
    <w:rsid w:val="00B95A19"/>
    <w:rsid w:val="00B96425"/>
    <w:rsid w:val="00B9687C"/>
    <w:rsid w:val="00B97D2E"/>
    <w:rsid w:val="00BA4002"/>
    <w:rsid w:val="00BB232D"/>
    <w:rsid w:val="00BB3329"/>
    <w:rsid w:val="00BB63BC"/>
    <w:rsid w:val="00BB6D67"/>
    <w:rsid w:val="00BC3226"/>
    <w:rsid w:val="00BC5594"/>
    <w:rsid w:val="00BC798A"/>
    <w:rsid w:val="00BD1AC2"/>
    <w:rsid w:val="00BD7004"/>
    <w:rsid w:val="00BE24F8"/>
    <w:rsid w:val="00BE3E86"/>
    <w:rsid w:val="00BE4280"/>
    <w:rsid w:val="00BF0071"/>
    <w:rsid w:val="00BF1D46"/>
    <w:rsid w:val="00BF6308"/>
    <w:rsid w:val="00BF6972"/>
    <w:rsid w:val="00C004A9"/>
    <w:rsid w:val="00C02663"/>
    <w:rsid w:val="00C039EB"/>
    <w:rsid w:val="00C0627A"/>
    <w:rsid w:val="00C15062"/>
    <w:rsid w:val="00C213A6"/>
    <w:rsid w:val="00C2249C"/>
    <w:rsid w:val="00C2336C"/>
    <w:rsid w:val="00C26F80"/>
    <w:rsid w:val="00C36768"/>
    <w:rsid w:val="00C3762E"/>
    <w:rsid w:val="00C426FC"/>
    <w:rsid w:val="00C42CC9"/>
    <w:rsid w:val="00C52FB8"/>
    <w:rsid w:val="00C53473"/>
    <w:rsid w:val="00C55831"/>
    <w:rsid w:val="00C55DBB"/>
    <w:rsid w:val="00C57C78"/>
    <w:rsid w:val="00C66372"/>
    <w:rsid w:val="00C82AA0"/>
    <w:rsid w:val="00C8311A"/>
    <w:rsid w:val="00C85B40"/>
    <w:rsid w:val="00C871AC"/>
    <w:rsid w:val="00C938CD"/>
    <w:rsid w:val="00C9627C"/>
    <w:rsid w:val="00CA34F6"/>
    <w:rsid w:val="00CA41FC"/>
    <w:rsid w:val="00CA68F2"/>
    <w:rsid w:val="00CB0242"/>
    <w:rsid w:val="00CB2434"/>
    <w:rsid w:val="00CB25B2"/>
    <w:rsid w:val="00CB2733"/>
    <w:rsid w:val="00CC1144"/>
    <w:rsid w:val="00CC3C57"/>
    <w:rsid w:val="00CC644C"/>
    <w:rsid w:val="00CC6624"/>
    <w:rsid w:val="00CD175A"/>
    <w:rsid w:val="00CD2C0A"/>
    <w:rsid w:val="00CD4C24"/>
    <w:rsid w:val="00CD5640"/>
    <w:rsid w:val="00CE110B"/>
    <w:rsid w:val="00CE3965"/>
    <w:rsid w:val="00CF0244"/>
    <w:rsid w:val="00CF0342"/>
    <w:rsid w:val="00CF28BB"/>
    <w:rsid w:val="00CF4AF7"/>
    <w:rsid w:val="00CF5C98"/>
    <w:rsid w:val="00CF76C2"/>
    <w:rsid w:val="00D03E45"/>
    <w:rsid w:val="00D0425C"/>
    <w:rsid w:val="00D06B2B"/>
    <w:rsid w:val="00D075B1"/>
    <w:rsid w:val="00D10860"/>
    <w:rsid w:val="00D10BEF"/>
    <w:rsid w:val="00D15C7A"/>
    <w:rsid w:val="00D25C05"/>
    <w:rsid w:val="00D308D6"/>
    <w:rsid w:val="00D30A5E"/>
    <w:rsid w:val="00D30D21"/>
    <w:rsid w:val="00D326E1"/>
    <w:rsid w:val="00D3272B"/>
    <w:rsid w:val="00D33F2E"/>
    <w:rsid w:val="00D4002D"/>
    <w:rsid w:val="00D41D18"/>
    <w:rsid w:val="00D513D2"/>
    <w:rsid w:val="00D52196"/>
    <w:rsid w:val="00D53A2F"/>
    <w:rsid w:val="00D57BB9"/>
    <w:rsid w:val="00D650E2"/>
    <w:rsid w:val="00D66F22"/>
    <w:rsid w:val="00D67CF2"/>
    <w:rsid w:val="00D71CEA"/>
    <w:rsid w:val="00D82ECA"/>
    <w:rsid w:val="00D84539"/>
    <w:rsid w:val="00D857C9"/>
    <w:rsid w:val="00D8680B"/>
    <w:rsid w:val="00D87BC4"/>
    <w:rsid w:val="00D92F55"/>
    <w:rsid w:val="00D93268"/>
    <w:rsid w:val="00D96D7D"/>
    <w:rsid w:val="00D96F2E"/>
    <w:rsid w:val="00D96FD6"/>
    <w:rsid w:val="00DA02A1"/>
    <w:rsid w:val="00DA24E6"/>
    <w:rsid w:val="00DA3DCB"/>
    <w:rsid w:val="00DA4090"/>
    <w:rsid w:val="00DA63C9"/>
    <w:rsid w:val="00DB2C78"/>
    <w:rsid w:val="00DB3CAC"/>
    <w:rsid w:val="00DB436A"/>
    <w:rsid w:val="00DC02F3"/>
    <w:rsid w:val="00DC1030"/>
    <w:rsid w:val="00DD0A3B"/>
    <w:rsid w:val="00DD1EEB"/>
    <w:rsid w:val="00DD2C59"/>
    <w:rsid w:val="00DD452B"/>
    <w:rsid w:val="00DD6BCE"/>
    <w:rsid w:val="00DE1132"/>
    <w:rsid w:val="00DE357C"/>
    <w:rsid w:val="00DE3D8C"/>
    <w:rsid w:val="00DE6EC6"/>
    <w:rsid w:val="00DF4FA1"/>
    <w:rsid w:val="00E13A3E"/>
    <w:rsid w:val="00E14769"/>
    <w:rsid w:val="00E16339"/>
    <w:rsid w:val="00E1698A"/>
    <w:rsid w:val="00E16F73"/>
    <w:rsid w:val="00E21E19"/>
    <w:rsid w:val="00E23A3A"/>
    <w:rsid w:val="00E25998"/>
    <w:rsid w:val="00E26B6E"/>
    <w:rsid w:val="00E370C4"/>
    <w:rsid w:val="00E416EC"/>
    <w:rsid w:val="00E41B3F"/>
    <w:rsid w:val="00E4563B"/>
    <w:rsid w:val="00E477CC"/>
    <w:rsid w:val="00E5053B"/>
    <w:rsid w:val="00E53107"/>
    <w:rsid w:val="00E53CD7"/>
    <w:rsid w:val="00E620CF"/>
    <w:rsid w:val="00E70E4F"/>
    <w:rsid w:val="00E711B7"/>
    <w:rsid w:val="00E7356E"/>
    <w:rsid w:val="00E73C04"/>
    <w:rsid w:val="00E82DE4"/>
    <w:rsid w:val="00E86DD8"/>
    <w:rsid w:val="00E87292"/>
    <w:rsid w:val="00E877C8"/>
    <w:rsid w:val="00EA1DB4"/>
    <w:rsid w:val="00EA405A"/>
    <w:rsid w:val="00EC1CF9"/>
    <w:rsid w:val="00EC2CE9"/>
    <w:rsid w:val="00EC36DA"/>
    <w:rsid w:val="00ED1406"/>
    <w:rsid w:val="00ED1F09"/>
    <w:rsid w:val="00ED5A45"/>
    <w:rsid w:val="00ED7723"/>
    <w:rsid w:val="00EE1F4B"/>
    <w:rsid w:val="00EE298B"/>
    <w:rsid w:val="00EE38F8"/>
    <w:rsid w:val="00EE62D2"/>
    <w:rsid w:val="00EE77F4"/>
    <w:rsid w:val="00EF598C"/>
    <w:rsid w:val="00EF5ABD"/>
    <w:rsid w:val="00F00D87"/>
    <w:rsid w:val="00F02F60"/>
    <w:rsid w:val="00F04B80"/>
    <w:rsid w:val="00F05B3A"/>
    <w:rsid w:val="00F06247"/>
    <w:rsid w:val="00F06F4D"/>
    <w:rsid w:val="00F07529"/>
    <w:rsid w:val="00F1179C"/>
    <w:rsid w:val="00F11AE3"/>
    <w:rsid w:val="00F145AE"/>
    <w:rsid w:val="00F16033"/>
    <w:rsid w:val="00F222AA"/>
    <w:rsid w:val="00F23286"/>
    <w:rsid w:val="00F23BD8"/>
    <w:rsid w:val="00F24906"/>
    <w:rsid w:val="00F30177"/>
    <w:rsid w:val="00F32CEA"/>
    <w:rsid w:val="00F36019"/>
    <w:rsid w:val="00F43F43"/>
    <w:rsid w:val="00F44613"/>
    <w:rsid w:val="00F500E3"/>
    <w:rsid w:val="00F51F6E"/>
    <w:rsid w:val="00F54EF0"/>
    <w:rsid w:val="00F55076"/>
    <w:rsid w:val="00F55544"/>
    <w:rsid w:val="00F56849"/>
    <w:rsid w:val="00F6288E"/>
    <w:rsid w:val="00F63DAD"/>
    <w:rsid w:val="00F6595D"/>
    <w:rsid w:val="00F66A28"/>
    <w:rsid w:val="00F70A6B"/>
    <w:rsid w:val="00F71C76"/>
    <w:rsid w:val="00F745EA"/>
    <w:rsid w:val="00F81142"/>
    <w:rsid w:val="00F81AEF"/>
    <w:rsid w:val="00F82E0B"/>
    <w:rsid w:val="00F8384D"/>
    <w:rsid w:val="00F844F1"/>
    <w:rsid w:val="00F84D34"/>
    <w:rsid w:val="00F85EAC"/>
    <w:rsid w:val="00F87114"/>
    <w:rsid w:val="00F909C0"/>
    <w:rsid w:val="00F91C5E"/>
    <w:rsid w:val="00F93F10"/>
    <w:rsid w:val="00F9666C"/>
    <w:rsid w:val="00FA099B"/>
    <w:rsid w:val="00FB4665"/>
    <w:rsid w:val="00FB533E"/>
    <w:rsid w:val="00FC27A7"/>
    <w:rsid w:val="00FC6165"/>
    <w:rsid w:val="00FC6918"/>
    <w:rsid w:val="00FD021D"/>
    <w:rsid w:val="00FD15B6"/>
    <w:rsid w:val="00FD2E09"/>
    <w:rsid w:val="00FE4BA9"/>
    <w:rsid w:val="00FF034B"/>
    <w:rsid w:val="00FF25FE"/>
    <w:rsid w:val="00FF26D3"/>
    <w:rsid w:val="00FF41B4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Zarkazkladnhotextu">
    <w:name w:val="Body Text Indent"/>
    <w:basedOn w:val="Normlny"/>
    <w:link w:val="ZarkazkladnhotextuChar"/>
    <w:rsid w:val="00B7278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72789"/>
    <w:rPr>
      <w:sz w:val="22"/>
      <w:szCs w:val="24"/>
    </w:rPr>
  </w:style>
  <w:style w:type="table" w:styleId="Mriekatabuky">
    <w:name w:val="Table Grid"/>
    <w:basedOn w:val="Normlnatabuka"/>
    <w:rsid w:val="0069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2D6D36"/>
    <w:rPr>
      <w:rFonts w:ascii="Helvetica" w:hAnsi="Helvetica"/>
      <w:lang w:val="cs-CZ" w:eastAsia="en-US"/>
    </w:rPr>
  </w:style>
  <w:style w:type="character" w:customStyle="1" w:styleId="tlid-translation">
    <w:name w:val="tlid-translation"/>
    <w:rsid w:val="005F3E71"/>
  </w:style>
  <w:style w:type="paragraph" w:styleId="Revzia">
    <w:name w:val="Revision"/>
    <w:hidden/>
    <w:uiPriority w:val="99"/>
    <w:semiHidden/>
    <w:rsid w:val="007572F8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Zarkazkladnhotextu">
    <w:name w:val="Body Text Indent"/>
    <w:basedOn w:val="Normlny"/>
    <w:link w:val="ZarkazkladnhotextuChar"/>
    <w:rsid w:val="00B7278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B72789"/>
    <w:rPr>
      <w:sz w:val="22"/>
      <w:szCs w:val="24"/>
    </w:rPr>
  </w:style>
  <w:style w:type="table" w:styleId="Mriekatabuky">
    <w:name w:val="Table Grid"/>
    <w:basedOn w:val="Normlnatabuka"/>
    <w:rsid w:val="0069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2D6D36"/>
    <w:rPr>
      <w:rFonts w:ascii="Helvetica" w:hAnsi="Helvetica"/>
      <w:lang w:val="cs-CZ" w:eastAsia="en-US"/>
    </w:rPr>
  </w:style>
  <w:style w:type="character" w:customStyle="1" w:styleId="tlid-translation">
    <w:name w:val="tlid-translation"/>
    <w:rsid w:val="005F3E71"/>
  </w:style>
  <w:style w:type="paragraph" w:styleId="Revzia">
    <w:name w:val="Revision"/>
    <w:hidden/>
    <w:uiPriority w:val="99"/>
    <w:semiHidden/>
    <w:rsid w:val="007572F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56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082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0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3576</Words>
  <Characters>20387</Characters>
  <Application>Microsoft Office Word</Application>
  <DocSecurity>0</DocSecurity>
  <Lines>169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23916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marianna forgacova</cp:lastModifiedBy>
  <cp:revision>2</cp:revision>
  <cp:lastPrinted>2019-11-29T12:30:00Z</cp:lastPrinted>
  <dcterms:created xsi:type="dcterms:W3CDTF">2020-06-22T11:26:00Z</dcterms:created>
  <dcterms:modified xsi:type="dcterms:W3CDTF">2020-06-22T11:26:00Z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