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B0" w:rsidRPr="00BD7491" w:rsidRDefault="003722B0" w:rsidP="00BD7491">
      <w:pPr>
        <w:pStyle w:val="Nzov"/>
        <w:rPr>
          <w:b w:val="0"/>
          <w:sz w:val="22"/>
          <w:szCs w:val="22"/>
          <w:lang w:val="sk-SK"/>
        </w:rPr>
      </w:pPr>
    </w:p>
    <w:p w:rsidR="003722B0" w:rsidRPr="00716FA2" w:rsidRDefault="00075EBE">
      <w:pPr>
        <w:pStyle w:val="Nzov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sÚhrn CHARAKTERISTICKÝCH VLASTNOSTÍ LIEKU</w:t>
      </w:r>
    </w:p>
    <w:p w:rsidR="003722B0" w:rsidRPr="00BD7491" w:rsidRDefault="003722B0">
      <w:pPr>
        <w:pStyle w:val="Nzov"/>
        <w:rPr>
          <w:b w:val="0"/>
          <w:sz w:val="22"/>
          <w:szCs w:val="22"/>
          <w:lang w:val="sk-SK"/>
        </w:rPr>
      </w:pPr>
    </w:p>
    <w:p w:rsidR="003722B0" w:rsidRPr="00BD7491" w:rsidRDefault="003722B0">
      <w:pPr>
        <w:pStyle w:val="Nzov"/>
        <w:rPr>
          <w:b w:val="0"/>
          <w:sz w:val="22"/>
          <w:szCs w:val="22"/>
          <w:lang w:val="sk-SK"/>
        </w:rPr>
      </w:pPr>
    </w:p>
    <w:p w:rsidR="003722B0" w:rsidRPr="00716FA2" w:rsidRDefault="00075EBE" w:rsidP="00CE46AC">
      <w:pPr>
        <w:numPr>
          <w:ilvl w:val="0"/>
          <w:numId w:val="2"/>
        </w:numPr>
        <w:ind w:hanging="720"/>
        <w:jc w:val="both"/>
        <w:rPr>
          <w:b/>
          <w:caps/>
          <w:sz w:val="22"/>
          <w:szCs w:val="22"/>
          <w:lang w:val="sk-SK"/>
        </w:rPr>
      </w:pPr>
      <w:r w:rsidRPr="00716FA2">
        <w:rPr>
          <w:b/>
          <w:caps/>
          <w:sz w:val="22"/>
          <w:szCs w:val="22"/>
          <w:lang w:val="sk-SK"/>
        </w:rPr>
        <w:t>NázOv LIEku</w:t>
      </w:r>
    </w:p>
    <w:p w:rsidR="00B276F2" w:rsidRPr="00BD7491" w:rsidRDefault="00B276F2">
      <w:pPr>
        <w:jc w:val="both"/>
        <w:rPr>
          <w:sz w:val="22"/>
          <w:szCs w:val="22"/>
          <w:lang w:val="sk-SK"/>
        </w:rPr>
      </w:pPr>
    </w:p>
    <w:p w:rsidR="003722B0" w:rsidRPr="00BD7491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ANACID</w:t>
      </w:r>
    </w:p>
    <w:p w:rsidR="003722B0" w:rsidRDefault="00CE1F3C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388 mg/</w:t>
      </w:r>
      <w:r w:rsidRPr="00716FA2">
        <w:rPr>
          <w:sz w:val="22"/>
          <w:szCs w:val="22"/>
          <w:lang w:val="sk-SK"/>
        </w:rPr>
        <w:t>258 mg</w:t>
      </w:r>
      <w:r>
        <w:rPr>
          <w:sz w:val="22"/>
          <w:szCs w:val="22"/>
          <w:lang w:val="sk-SK"/>
        </w:rPr>
        <w:t xml:space="preserve"> </w:t>
      </w:r>
      <w:r w:rsidR="00C56B7D" w:rsidRPr="00C56B7D">
        <w:rPr>
          <w:sz w:val="22"/>
          <w:szCs w:val="22"/>
          <w:lang w:val="sk-SK"/>
        </w:rPr>
        <w:t>perorálna suspenzia</w:t>
      </w:r>
    </w:p>
    <w:p w:rsidR="00C56B7D" w:rsidRPr="00BD7491" w:rsidRDefault="00C56B7D">
      <w:pPr>
        <w:jc w:val="both"/>
        <w:rPr>
          <w:sz w:val="22"/>
          <w:szCs w:val="22"/>
          <w:lang w:val="sk-SK"/>
        </w:rPr>
      </w:pPr>
    </w:p>
    <w:p w:rsidR="006B0CC5" w:rsidRPr="00BD7491" w:rsidRDefault="006B0CC5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2.</w:t>
      </w:r>
      <w:r w:rsidRPr="00716FA2">
        <w:rPr>
          <w:b/>
          <w:caps/>
          <w:sz w:val="22"/>
          <w:szCs w:val="22"/>
          <w:lang w:val="sk-SK"/>
        </w:rPr>
        <w:tab/>
        <w:t>kvalitatÍvnE a kvantitatÍvnE ZLOŽENIE</w:t>
      </w:r>
    </w:p>
    <w:p w:rsidR="00B276F2" w:rsidRPr="00716FA2" w:rsidRDefault="00B276F2">
      <w:pPr>
        <w:jc w:val="both"/>
        <w:rPr>
          <w:sz w:val="22"/>
          <w:szCs w:val="22"/>
          <w:lang w:val="sk-SK"/>
        </w:rPr>
      </w:pPr>
    </w:p>
    <w:p w:rsidR="003722B0" w:rsidRPr="00716FA2" w:rsidRDefault="00110140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5 ml </w:t>
      </w:r>
      <w:r w:rsidR="00CE1F3C" w:rsidRPr="00C56B7D">
        <w:rPr>
          <w:sz w:val="22"/>
          <w:szCs w:val="22"/>
          <w:lang w:val="sk-SK"/>
        </w:rPr>
        <w:t>peroráln</w:t>
      </w:r>
      <w:r w:rsidR="00CE1F3C">
        <w:rPr>
          <w:sz w:val="22"/>
          <w:szCs w:val="22"/>
          <w:lang w:val="sk-SK"/>
        </w:rPr>
        <w:t xml:space="preserve">ej </w:t>
      </w:r>
      <w:r w:rsidRPr="00716FA2">
        <w:rPr>
          <w:sz w:val="22"/>
          <w:szCs w:val="22"/>
          <w:lang w:val="sk-SK"/>
        </w:rPr>
        <w:t>suspenzie (1 vrecko)</w:t>
      </w:r>
      <w:r>
        <w:rPr>
          <w:sz w:val="22"/>
          <w:szCs w:val="22"/>
          <w:lang w:val="sk-SK"/>
        </w:rPr>
        <w:t xml:space="preserve"> obsahuje </w:t>
      </w:r>
      <w:r w:rsidRPr="00110140">
        <w:rPr>
          <w:sz w:val="22"/>
          <w:szCs w:val="22"/>
          <w:lang w:val="sk-SK"/>
        </w:rPr>
        <w:t>suspenzi</w:t>
      </w:r>
      <w:r w:rsidR="00345CA4">
        <w:rPr>
          <w:sz w:val="22"/>
          <w:szCs w:val="22"/>
          <w:lang w:val="sk-SK"/>
        </w:rPr>
        <w:t>u</w:t>
      </w:r>
      <w:r w:rsidRPr="00110140">
        <w:rPr>
          <w:sz w:val="22"/>
          <w:szCs w:val="22"/>
          <w:lang w:val="sk-SK"/>
        </w:rPr>
        <w:t xml:space="preserve"> </w:t>
      </w:r>
      <w:proofErr w:type="spellStart"/>
      <w:r w:rsidRPr="00110140">
        <w:rPr>
          <w:sz w:val="22"/>
          <w:szCs w:val="22"/>
          <w:lang w:val="sk-SK"/>
        </w:rPr>
        <w:t>algeldrátu</w:t>
      </w:r>
      <w:proofErr w:type="spellEnd"/>
      <w:r w:rsidRPr="00110140">
        <w:rPr>
          <w:sz w:val="22"/>
          <w:szCs w:val="22"/>
          <w:lang w:val="sk-SK"/>
        </w:rPr>
        <w:t xml:space="preserve"> zodpovedajú</w:t>
      </w:r>
      <w:r w:rsidR="001B7BED">
        <w:rPr>
          <w:sz w:val="22"/>
          <w:szCs w:val="22"/>
          <w:lang w:val="sk-SK"/>
        </w:rPr>
        <w:t>cu</w:t>
      </w:r>
      <w:r w:rsidRPr="00110140">
        <w:rPr>
          <w:sz w:val="22"/>
          <w:szCs w:val="22"/>
          <w:lang w:val="sk-SK"/>
        </w:rPr>
        <w:t xml:space="preserve"> </w:t>
      </w:r>
      <w:r w:rsidR="00345CA4">
        <w:rPr>
          <w:sz w:val="22"/>
          <w:szCs w:val="22"/>
          <w:lang w:val="sk-SK"/>
        </w:rPr>
        <w:t>388</w:t>
      </w:r>
      <w:r w:rsidR="00750D5E">
        <w:rPr>
          <w:sz w:val="22"/>
          <w:szCs w:val="22"/>
          <w:lang w:val="sk-SK"/>
        </w:rPr>
        <w:t> </w:t>
      </w:r>
      <w:r w:rsidR="00345CA4">
        <w:rPr>
          <w:sz w:val="22"/>
          <w:szCs w:val="22"/>
          <w:lang w:val="sk-SK"/>
        </w:rPr>
        <w:t>mg hydr</w:t>
      </w:r>
      <w:r w:rsidRPr="00110140">
        <w:rPr>
          <w:sz w:val="22"/>
          <w:szCs w:val="22"/>
          <w:lang w:val="sk-SK"/>
        </w:rPr>
        <w:t>oxidu hlinité</w:t>
      </w:r>
      <w:r w:rsidR="00FA3CC1">
        <w:rPr>
          <w:sz w:val="22"/>
          <w:szCs w:val="22"/>
          <w:lang w:val="sk-SK"/>
        </w:rPr>
        <w:t>ho</w:t>
      </w:r>
      <w:r w:rsidR="00CE1F3C">
        <w:rPr>
          <w:sz w:val="22"/>
          <w:szCs w:val="22"/>
          <w:lang w:val="sk-SK"/>
        </w:rPr>
        <w:t xml:space="preserve"> a </w:t>
      </w:r>
      <w:r w:rsidR="00CE1F3C" w:rsidRPr="00716FA2">
        <w:rPr>
          <w:sz w:val="22"/>
          <w:szCs w:val="22"/>
          <w:lang w:val="sk-SK"/>
        </w:rPr>
        <w:t>258 mg</w:t>
      </w:r>
      <w:r w:rsidR="00CE1F3C">
        <w:rPr>
          <w:sz w:val="22"/>
          <w:szCs w:val="22"/>
          <w:lang w:val="sk-SK"/>
        </w:rPr>
        <w:t xml:space="preserve"> </w:t>
      </w:r>
      <w:r w:rsidR="00CE1F3C" w:rsidRPr="00100C21">
        <w:rPr>
          <w:sz w:val="22"/>
          <w:szCs w:val="22"/>
          <w:lang w:val="sk-SK"/>
        </w:rPr>
        <w:t>hydroxid</w:t>
      </w:r>
      <w:r w:rsidR="00CE1F3C">
        <w:rPr>
          <w:sz w:val="22"/>
          <w:szCs w:val="22"/>
          <w:lang w:val="sk-SK"/>
        </w:rPr>
        <w:t>u</w:t>
      </w:r>
      <w:r w:rsidR="00CE1F3C" w:rsidRPr="00100C21">
        <w:rPr>
          <w:sz w:val="22"/>
          <w:szCs w:val="22"/>
          <w:lang w:val="sk-SK"/>
        </w:rPr>
        <w:t xml:space="preserve"> </w:t>
      </w:r>
      <w:proofErr w:type="spellStart"/>
      <w:r w:rsidR="00CE1F3C" w:rsidRPr="00100C21">
        <w:rPr>
          <w:sz w:val="22"/>
          <w:szCs w:val="22"/>
          <w:lang w:val="sk-SK"/>
        </w:rPr>
        <w:t>horečnat</w:t>
      </w:r>
      <w:r w:rsidR="00CE1F3C">
        <w:rPr>
          <w:sz w:val="22"/>
          <w:szCs w:val="22"/>
          <w:lang w:val="sk-SK"/>
        </w:rPr>
        <w:t>ého</w:t>
      </w:r>
      <w:proofErr w:type="spellEnd"/>
      <w:r w:rsidR="00075EBE" w:rsidRPr="00716FA2">
        <w:rPr>
          <w:sz w:val="22"/>
          <w:szCs w:val="22"/>
          <w:lang w:val="sk-SK"/>
        </w:rPr>
        <w:t>.</w:t>
      </w:r>
    </w:p>
    <w:p w:rsidR="008C24FD" w:rsidRPr="00716FA2" w:rsidRDefault="008C24FD">
      <w:pPr>
        <w:jc w:val="both"/>
        <w:rPr>
          <w:sz w:val="22"/>
          <w:szCs w:val="22"/>
          <w:lang w:val="sk-SK"/>
        </w:rPr>
      </w:pPr>
    </w:p>
    <w:p w:rsidR="008C24FD" w:rsidRPr="00716FA2" w:rsidRDefault="00075EBE" w:rsidP="008C24FD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u w:val="single"/>
          <w:lang w:val="sk-SK"/>
        </w:rPr>
        <w:t>Pomocné látky so známym účinkom</w:t>
      </w:r>
      <w:r w:rsidRPr="00BD7491">
        <w:rPr>
          <w:sz w:val="22"/>
          <w:szCs w:val="22"/>
          <w:lang w:val="sk-SK"/>
        </w:rPr>
        <w:t>:</w:t>
      </w:r>
      <w:r w:rsidR="00C56B7D">
        <w:rPr>
          <w:sz w:val="22"/>
          <w:szCs w:val="22"/>
          <w:lang w:val="sk-SK"/>
        </w:rPr>
        <w:t xml:space="preserve"> </w:t>
      </w:r>
      <w:r w:rsidR="00006900">
        <w:rPr>
          <w:sz w:val="22"/>
          <w:szCs w:val="22"/>
          <w:lang w:val="sk-SK"/>
        </w:rPr>
        <w:t>5</w:t>
      </w:r>
      <w:r w:rsidR="00C56B7D">
        <w:rPr>
          <w:sz w:val="22"/>
          <w:szCs w:val="22"/>
          <w:lang w:val="sk-SK"/>
        </w:rPr>
        <w:t> </w:t>
      </w:r>
      <w:r w:rsidR="00006900">
        <w:rPr>
          <w:sz w:val="22"/>
          <w:szCs w:val="22"/>
          <w:lang w:val="sk-SK"/>
        </w:rPr>
        <w:t xml:space="preserve">ml </w:t>
      </w:r>
      <w:r w:rsidR="00CE1F3C" w:rsidRPr="00C56B7D">
        <w:rPr>
          <w:sz w:val="22"/>
          <w:szCs w:val="22"/>
          <w:lang w:val="sk-SK"/>
        </w:rPr>
        <w:t>peroráln</w:t>
      </w:r>
      <w:r w:rsidR="00CE1F3C">
        <w:rPr>
          <w:sz w:val="22"/>
          <w:szCs w:val="22"/>
          <w:lang w:val="sk-SK"/>
        </w:rPr>
        <w:t xml:space="preserve">ej </w:t>
      </w:r>
      <w:r w:rsidR="00006900">
        <w:rPr>
          <w:sz w:val="22"/>
          <w:szCs w:val="22"/>
          <w:lang w:val="sk-SK"/>
        </w:rPr>
        <w:t xml:space="preserve">suspenzie </w:t>
      </w:r>
      <w:r w:rsidR="00110140">
        <w:rPr>
          <w:sz w:val="22"/>
          <w:szCs w:val="22"/>
          <w:lang w:val="sk-SK"/>
        </w:rPr>
        <w:t xml:space="preserve">(1 vrecko) </w:t>
      </w:r>
      <w:r w:rsidR="00006900">
        <w:rPr>
          <w:sz w:val="22"/>
          <w:szCs w:val="22"/>
          <w:lang w:val="sk-SK"/>
        </w:rPr>
        <w:t>obsahuje 38,4</w:t>
      </w:r>
      <w:r w:rsidR="00C56B7D">
        <w:rPr>
          <w:sz w:val="22"/>
          <w:szCs w:val="22"/>
          <w:lang w:val="sk-SK"/>
        </w:rPr>
        <w:t> </w:t>
      </w:r>
      <w:r w:rsidR="00006900">
        <w:rPr>
          <w:sz w:val="22"/>
          <w:szCs w:val="22"/>
          <w:lang w:val="sk-SK"/>
        </w:rPr>
        <w:t>mg etanolu 96</w:t>
      </w:r>
      <w:r w:rsidR="00C56B7D">
        <w:rPr>
          <w:sz w:val="22"/>
          <w:szCs w:val="22"/>
          <w:lang w:val="sk-SK"/>
        </w:rPr>
        <w:t> </w:t>
      </w:r>
      <w:r w:rsidR="00006900">
        <w:rPr>
          <w:sz w:val="22"/>
          <w:szCs w:val="22"/>
          <w:lang w:val="sk-SK"/>
        </w:rPr>
        <w:t>%</w:t>
      </w:r>
      <w:r w:rsidR="00C56B7D">
        <w:rPr>
          <w:sz w:val="22"/>
          <w:szCs w:val="22"/>
          <w:lang w:val="sk-SK"/>
        </w:rPr>
        <w:t>;</w:t>
      </w:r>
      <w:r w:rsidR="00006900">
        <w:rPr>
          <w:sz w:val="22"/>
          <w:szCs w:val="22"/>
          <w:lang w:val="sk-SK"/>
        </w:rPr>
        <w:t xml:space="preserve"> </w:t>
      </w:r>
      <w:r w:rsidR="00A302BA">
        <w:rPr>
          <w:sz w:val="22"/>
          <w:szCs w:val="22"/>
          <w:lang w:val="sk-SK"/>
        </w:rPr>
        <w:t>500</w:t>
      </w:r>
      <w:r w:rsidR="00C56B7D">
        <w:rPr>
          <w:sz w:val="22"/>
          <w:szCs w:val="22"/>
          <w:lang w:val="sk-SK"/>
        </w:rPr>
        <w:t> </w:t>
      </w:r>
      <w:r w:rsidR="00A302BA">
        <w:rPr>
          <w:sz w:val="22"/>
          <w:szCs w:val="22"/>
          <w:lang w:val="sk-SK"/>
        </w:rPr>
        <w:t xml:space="preserve">mg </w:t>
      </w:r>
      <w:r w:rsidR="00A302BA" w:rsidRPr="00716FA2">
        <w:rPr>
          <w:sz w:val="22"/>
          <w:szCs w:val="22"/>
          <w:lang w:val="sk-SK"/>
        </w:rPr>
        <w:t>nekryštalizujúc</w:t>
      </w:r>
      <w:r w:rsidR="00A302BA">
        <w:rPr>
          <w:sz w:val="22"/>
          <w:szCs w:val="22"/>
          <w:lang w:val="sk-SK"/>
        </w:rPr>
        <w:t>eho</w:t>
      </w:r>
      <w:r w:rsidR="00A302BA" w:rsidRPr="00716FA2">
        <w:rPr>
          <w:sz w:val="22"/>
          <w:szCs w:val="22"/>
          <w:lang w:val="sk-SK"/>
        </w:rPr>
        <w:t xml:space="preserve"> </w:t>
      </w:r>
      <w:proofErr w:type="spellStart"/>
      <w:r w:rsidR="00A302BA" w:rsidRPr="00716FA2">
        <w:rPr>
          <w:sz w:val="22"/>
          <w:szCs w:val="22"/>
          <w:lang w:val="sk-SK"/>
        </w:rPr>
        <w:t>sorbitol</w:t>
      </w:r>
      <w:r w:rsidR="00A302BA">
        <w:rPr>
          <w:sz w:val="22"/>
          <w:szCs w:val="22"/>
          <w:lang w:val="sk-SK"/>
        </w:rPr>
        <w:t>u</w:t>
      </w:r>
      <w:proofErr w:type="spellEnd"/>
      <w:r w:rsidR="00A302BA" w:rsidRPr="00716FA2">
        <w:rPr>
          <w:sz w:val="22"/>
          <w:szCs w:val="22"/>
          <w:lang w:val="sk-SK"/>
        </w:rPr>
        <w:t xml:space="preserve"> 70 %</w:t>
      </w:r>
      <w:r w:rsidR="00C56B7D">
        <w:rPr>
          <w:sz w:val="22"/>
          <w:szCs w:val="22"/>
          <w:lang w:val="sk-SK"/>
        </w:rPr>
        <w:t>;</w:t>
      </w:r>
      <w:r w:rsidR="00A302BA">
        <w:rPr>
          <w:sz w:val="22"/>
          <w:szCs w:val="22"/>
          <w:lang w:val="sk-SK"/>
        </w:rPr>
        <w:t xml:space="preserve"> </w:t>
      </w:r>
      <w:r w:rsidR="00110140">
        <w:rPr>
          <w:sz w:val="22"/>
          <w:szCs w:val="22"/>
          <w:lang w:val="sk-SK"/>
        </w:rPr>
        <w:t>2,5</w:t>
      </w:r>
      <w:r w:rsidR="00C56B7D">
        <w:rPr>
          <w:sz w:val="22"/>
          <w:szCs w:val="22"/>
          <w:lang w:val="sk-SK"/>
        </w:rPr>
        <w:t> </w:t>
      </w:r>
      <w:r w:rsidR="00110140">
        <w:rPr>
          <w:sz w:val="22"/>
          <w:szCs w:val="22"/>
          <w:lang w:val="sk-SK"/>
        </w:rPr>
        <w:t xml:space="preserve">mg </w:t>
      </w:r>
      <w:r w:rsidRPr="00716FA2">
        <w:rPr>
          <w:sz w:val="22"/>
          <w:szCs w:val="22"/>
          <w:lang w:val="sk-SK"/>
        </w:rPr>
        <w:t>kyselin</w:t>
      </w:r>
      <w:r w:rsidR="00110140">
        <w:rPr>
          <w:sz w:val="22"/>
          <w:szCs w:val="22"/>
          <w:lang w:val="sk-SK"/>
        </w:rPr>
        <w:t>y</w:t>
      </w:r>
      <w:r w:rsidRPr="00716FA2">
        <w:rPr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benzoov</w:t>
      </w:r>
      <w:r w:rsidR="00110140">
        <w:rPr>
          <w:sz w:val="22"/>
          <w:szCs w:val="22"/>
          <w:lang w:val="sk-SK"/>
        </w:rPr>
        <w:t>ej</w:t>
      </w:r>
      <w:proofErr w:type="spellEnd"/>
      <w:r w:rsidR="00D15C6D">
        <w:rPr>
          <w:sz w:val="22"/>
          <w:szCs w:val="22"/>
          <w:lang w:val="sk-SK"/>
        </w:rPr>
        <w:t>;</w:t>
      </w:r>
      <w:r w:rsidR="00110140">
        <w:rPr>
          <w:sz w:val="22"/>
          <w:szCs w:val="22"/>
          <w:lang w:val="sk-SK"/>
        </w:rPr>
        <w:t xml:space="preserve"> 22,5</w:t>
      </w:r>
      <w:r w:rsidR="00C56B7D">
        <w:rPr>
          <w:sz w:val="22"/>
          <w:szCs w:val="22"/>
          <w:lang w:val="sk-SK"/>
        </w:rPr>
        <w:t> </w:t>
      </w:r>
      <w:r w:rsidR="00110140">
        <w:rPr>
          <w:sz w:val="22"/>
          <w:szCs w:val="22"/>
          <w:lang w:val="sk-SK"/>
        </w:rPr>
        <w:t xml:space="preserve">mg </w:t>
      </w:r>
      <w:proofErr w:type="spellStart"/>
      <w:r w:rsidR="00110140">
        <w:rPr>
          <w:sz w:val="22"/>
          <w:szCs w:val="22"/>
          <w:lang w:val="sk-SK"/>
        </w:rPr>
        <w:t>benzo</w:t>
      </w:r>
      <w:r w:rsidR="002A5B5B">
        <w:rPr>
          <w:sz w:val="22"/>
          <w:szCs w:val="22"/>
          <w:lang w:val="sk-SK"/>
        </w:rPr>
        <w:t>átu</w:t>
      </w:r>
      <w:proofErr w:type="spellEnd"/>
      <w:r w:rsidR="00110140">
        <w:rPr>
          <w:sz w:val="22"/>
          <w:szCs w:val="22"/>
          <w:lang w:val="sk-SK"/>
        </w:rPr>
        <w:t xml:space="preserve"> sodného</w:t>
      </w:r>
      <w:r w:rsidRPr="00716FA2">
        <w:rPr>
          <w:sz w:val="22"/>
          <w:szCs w:val="22"/>
          <w:lang w:val="sk-SK"/>
        </w:rPr>
        <w:t>.</w:t>
      </w:r>
    </w:p>
    <w:p w:rsidR="008C24FD" w:rsidRPr="00716FA2" w:rsidRDefault="008C24FD">
      <w:pPr>
        <w:jc w:val="both"/>
        <w:rPr>
          <w:sz w:val="22"/>
          <w:szCs w:val="22"/>
          <w:lang w:val="sk-SK"/>
        </w:rPr>
      </w:pPr>
    </w:p>
    <w:p w:rsidR="00B276F2" w:rsidRPr="00716FA2" w:rsidRDefault="00075EBE" w:rsidP="00B276F2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Úplný zoznam pomocných látok pozri časť 6.1.</w:t>
      </w:r>
    </w:p>
    <w:p w:rsidR="003722B0" w:rsidRPr="00716FA2" w:rsidRDefault="003722B0">
      <w:pPr>
        <w:jc w:val="both"/>
        <w:rPr>
          <w:sz w:val="22"/>
          <w:szCs w:val="22"/>
          <w:lang w:val="sk-SK"/>
        </w:rPr>
      </w:pPr>
    </w:p>
    <w:p w:rsidR="00B276F2" w:rsidRPr="00716FA2" w:rsidRDefault="00B276F2">
      <w:pPr>
        <w:jc w:val="both"/>
        <w:rPr>
          <w:sz w:val="22"/>
          <w:szCs w:val="22"/>
          <w:lang w:val="sk-SK"/>
        </w:rPr>
      </w:pPr>
    </w:p>
    <w:p w:rsidR="003722B0" w:rsidRPr="00BD7491" w:rsidRDefault="00075EBE" w:rsidP="00BD7491">
      <w:pPr>
        <w:pStyle w:val="Odsekzoznamu"/>
        <w:numPr>
          <w:ilvl w:val="0"/>
          <w:numId w:val="3"/>
        </w:numPr>
        <w:ind w:left="709" w:hanging="709"/>
        <w:jc w:val="both"/>
        <w:rPr>
          <w:b/>
          <w:caps/>
          <w:sz w:val="22"/>
          <w:szCs w:val="22"/>
          <w:lang w:val="sk-SK"/>
        </w:rPr>
      </w:pPr>
      <w:r w:rsidRPr="00BD7491">
        <w:rPr>
          <w:b/>
          <w:caps/>
          <w:sz w:val="22"/>
          <w:szCs w:val="22"/>
          <w:lang w:val="sk-SK"/>
        </w:rPr>
        <w:t>LIEKOVÁ forma</w:t>
      </w:r>
    </w:p>
    <w:p w:rsidR="00B276F2" w:rsidRPr="00716FA2" w:rsidRDefault="00B276F2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Perorálna suspenzia.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Biela časom sedimentujúca suspenzia, škoricovej vône.</w:t>
      </w:r>
    </w:p>
    <w:p w:rsidR="003722B0" w:rsidRPr="00716FA2" w:rsidRDefault="003722B0">
      <w:pPr>
        <w:jc w:val="both"/>
        <w:rPr>
          <w:sz w:val="22"/>
          <w:szCs w:val="22"/>
          <w:lang w:val="sk-SK"/>
        </w:rPr>
      </w:pPr>
    </w:p>
    <w:p w:rsidR="00B276F2" w:rsidRPr="00716FA2" w:rsidRDefault="00B276F2">
      <w:pPr>
        <w:jc w:val="both"/>
        <w:rPr>
          <w:sz w:val="22"/>
          <w:szCs w:val="22"/>
          <w:lang w:val="sk-SK"/>
        </w:rPr>
      </w:pPr>
    </w:p>
    <w:p w:rsidR="003722B0" w:rsidRPr="00716FA2" w:rsidRDefault="00075EBE" w:rsidP="00BD7491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  <w:caps/>
          <w:sz w:val="22"/>
          <w:szCs w:val="22"/>
          <w:lang w:val="sk-SK"/>
        </w:rPr>
      </w:pPr>
      <w:r w:rsidRPr="00716FA2">
        <w:rPr>
          <w:b/>
          <w:caps/>
          <w:sz w:val="22"/>
          <w:szCs w:val="22"/>
          <w:lang w:val="sk-SK"/>
        </w:rPr>
        <w:t>klinické údaje</w:t>
      </w:r>
    </w:p>
    <w:p w:rsidR="00B276F2" w:rsidRPr="00BD7491" w:rsidRDefault="00B276F2">
      <w:pPr>
        <w:pStyle w:val="Zkladntext"/>
        <w:rPr>
          <w:bCs/>
          <w:caps/>
          <w:szCs w:val="22"/>
        </w:rPr>
      </w:pPr>
    </w:p>
    <w:p w:rsidR="003722B0" w:rsidRPr="00716FA2" w:rsidRDefault="00075EBE">
      <w:pPr>
        <w:pStyle w:val="Zkladntext"/>
        <w:rPr>
          <w:b/>
          <w:caps/>
          <w:szCs w:val="22"/>
        </w:rPr>
      </w:pPr>
      <w:r w:rsidRPr="00716FA2">
        <w:rPr>
          <w:b/>
          <w:bCs/>
          <w:caps/>
          <w:szCs w:val="22"/>
        </w:rPr>
        <w:t>4.1</w:t>
      </w:r>
      <w:r w:rsidRPr="00716FA2">
        <w:rPr>
          <w:b/>
          <w:szCs w:val="22"/>
        </w:rPr>
        <w:tab/>
        <w:t>Terapeutické indikácie</w:t>
      </w:r>
    </w:p>
    <w:p w:rsidR="00B276F2" w:rsidRPr="00716FA2" w:rsidRDefault="00B276F2">
      <w:pPr>
        <w:pStyle w:val="Zkladntext"/>
        <w:rPr>
          <w:szCs w:val="22"/>
        </w:rPr>
      </w:pPr>
    </w:p>
    <w:p w:rsidR="003722B0" w:rsidRPr="00716FA2" w:rsidRDefault="00075EBE">
      <w:pPr>
        <w:pStyle w:val="Zkladntext"/>
        <w:rPr>
          <w:szCs w:val="22"/>
        </w:rPr>
      </w:pPr>
      <w:r w:rsidRPr="00716FA2">
        <w:rPr>
          <w:szCs w:val="22"/>
        </w:rPr>
        <w:t>Symptomatická liečba ťažkostí spojených s </w:t>
      </w:r>
      <w:proofErr w:type="spellStart"/>
      <w:r w:rsidRPr="00716FA2">
        <w:rPr>
          <w:szCs w:val="22"/>
        </w:rPr>
        <w:t>hyperaciditou</w:t>
      </w:r>
      <w:proofErr w:type="spellEnd"/>
      <w:r w:rsidRPr="00716FA2">
        <w:rPr>
          <w:szCs w:val="22"/>
        </w:rPr>
        <w:t xml:space="preserve"> pri </w:t>
      </w:r>
      <w:r w:rsidR="00C56B7D">
        <w:rPr>
          <w:szCs w:val="22"/>
        </w:rPr>
        <w:t>nasledovných</w:t>
      </w:r>
      <w:r w:rsidRPr="00716FA2">
        <w:rPr>
          <w:szCs w:val="22"/>
        </w:rPr>
        <w:t xml:space="preserve"> ochoreniach alebo stavoch: </w:t>
      </w:r>
      <w:proofErr w:type="spellStart"/>
      <w:r w:rsidRPr="00716FA2">
        <w:rPr>
          <w:szCs w:val="22"/>
        </w:rPr>
        <w:t>refluxná</w:t>
      </w:r>
      <w:proofErr w:type="spellEnd"/>
      <w:r w:rsidRPr="00716FA2">
        <w:rPr>
          <w:szCs w:val="22"/>
        </w:rPr>
        <w:t xml:space="preserve"> </w:t>
      </w:r>
      <w:proofErr w:type="spellStart"/>
      <w:r w:rsidRPr="00716FA2">
        <w:rPr>
          <w:szCs w:val="22"/>
        </w:rPr>
        <w:t>ezofagitída</w:t>
      </w:r>
      <w:proofErr w:type="spellEnd"/>
      <w:r w:rsidRPr="00716FA2">
        <w:rPr>
          <w:szCs w:val="22"/>
        </w:rPr>
        <w:t xml:space="preserve">, pálenie záhy, akútna alebo chronická gastritída, hiátová </w:t>
      </w:r>
      <w:proofErr w:type="spellStart"/>
      <w:r w:rsidRPr="00716FA2">
        <w:rPr>
          <w:szCs w:val="22"/>
        </w:rPr>
        <w:t>hernia</w:t>
      </w:r>
      <w:proofErr w:type="spellEnd"/>
      <w:r w:rsidRPr="00716FA2">
        <w:rPr>
          <w:szCs w:val="22"/>
        </w:rPr>
        <w:t xml:space="preserve">, </w:t>
      </w:r>
      <w:proofErr w:type="spellStart"/>
      <w:r w:rsidRPr="00716FA2">
        <w:rPr>
          <w:szCs w:val="22"/>
        </w:rPr>
        <w:t>peptický</w:t>
      </w:r>
      <w:proofErr w:type="spellEnd"/>
      <w:r w:rsidRPr="00716FA2">
        <w:rPr>
          <w:szCs w:val="22"/>
        </w:rPr>
        <w:t xml:space="preserve"> vred žalúdka a </w:t>
      </w:r>
      <w:proofErr w:type="spellStart"/>
      <w:r w:rsidRPr="00716FA2">
        <w:rPr>
          <w:szCs w:val="22"/>
        </w:rPr>
        <w:t>duodena</w:t>
      </w:r>
      <w:proofErr w:type="spellEnd"/>
      <w:r w:rsidRPr="00716FA2">
        <w:rPr>
          <w:szCs w:val="22"/>
        </w:rPr>
        <w:t xml:space="preserve">, podráždenie žalúdočnej sliznice spôsobené diétnou chybou, alkoholom, kávou, fajčením alebo liekmi, niektoré funkčné </w:t>
      </w:r>
      <w:proofErr w:type="spellStart"/>
      <w:r w:rsidRPr="00716FA2">
        <w:rPr>
          <w:szCs w:val="22"/>
        </w:rPr>
        <w:t>gastropatie</w:t>
      </w:r>
      <w:proofErr w:type="spellEnd"/>
      <w:r w:rsidRPr="00716FA2">
        <w:rPr>
          <w:szCs w:val="22"/>
        </w:rPr>
        <w:t xml:space="preserve"> (dráždivý žalúdok).</w:t>
      </w:r>
    </w:p>
    <w:p w:rsidR="003722B0" w:rsidRPr="00BD7491" w:rsidRDefault="003722B0">
      <w:pPr>
        <w:pStyle w:val="Zkladntext"/>
        <w:rPr>
          <w:szCs w:val="22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4.2</w:t>
      </w:r>
      <w:r w:rsidRPr="00716FA2">
        <w:rPr>
          <w:b/>
          <w:sz w:val="22"/>
          <w:szCs w:val="22"/>
          <w:lang w:val="sk-SK"/>
        </w:rPr>
        <w:tab/>
        <w:t>Dávkovanie a spôsob podávania</w:t>
      </w:r>
    </w:p>
    <w:p w:rsidR="00B276F2" w:rsidRPr="00E27300" w:rsidRDefault="00B276F2">
      <w:pPr>
        <w:jc w:val="both"/>
        <w:rPr>
          <w:sz w:val="22"/>
          <w:szCs w:val="22"/>
          <w:lang w:val="sk-SK"/>
        </w:rPr>
      </w:pPr>
    </w:p>
    <w:p w:rsidR="00B276F2" w:rsidRPr="00716FA2" w:rsidRDefault="00075EBE">
      <w:pPr>
        <w:jc w:val="both"/>
        <w:rPr>
          <w:i/>
          <w:sz w:val="22"/>
          <w:szCs w:val="22"/>
          <w:lang w:val="sk-SK"/>
        </w:rPr>
      </w:pPr>
      <w:r w:rsidRPr="00716FA2">
        <w:rPr>
          <w:sz w:val="22"/>
          <w:szCs w:val="22"/>
          <w:u w:val="single"/>
          <w:lang w:val="sk-SK"/>
        </w:rPr>
        <w:t>Dávkovanie</w:t>
      </w:r>
    </w:p>
    <w:p w:rsidR="00636327" w:rsidRPr="00716FA2" w:rsidRDefault="00636327">
      <w:pPr>
        <w:jc w:val="both"/>
        <w:rPr>
          <w:i/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i/>
          <w:sz w:val="22"/>
          <w:szCs w:val="22"/>
          <w:lang w:val="sk-SK"/>
        </w:rPr>
      </w:pPr>
      <w:r w:rsidRPr="00716FA2">
        <w:rPr>
          <w:i/>
          <w:sz w:val="22"/>
          <w:szCs w:val="22"/>
          <w:lang w:val="sk-SK"/>
        </w:rPr>
        <w:t>Dospelí a d</w:t>
      </w:r>
      <w:r w:rsidR="00D7520B">
        <w:rPr>
          <w:i/>
          <w:sz w:val="22"/>
          <w:szCs w:val="22"/>
          <w:lang w:val="sk-SK"/>
        </w:rPr>
        <w:t>ospievajúci</w:t>
      </w:r>
      <w:r w:rsidRPr="00716FA2">
        <w:rPr>
          <w:i/>
          <w:sz w:val="22"/>
          <w:szCs w:val="22"/>
          <w:lang w:val="sk-SK"/>
        </w:rPr>
        <w:t xml:space="preserve"> </w:t>
      </w:r>
      <w:r w:rsidR="00E3441A">
        <w:rPr>
          <w:i/>
          <w:sz w:val="22"/>
          <w:szCs w:val="22"/>
          <w:lang w:val="sk-SK"/>
        </w:rPr>
        <w:t>vo veku o</w:t>
      </w:r>
      <w:r w:rsidRPr="00716FA2">
        <w:rPr>
          <w:i/>
          <w:sz w:val="22"/>
          <w:szCs w:val="22"/>
          <w:lang w:val="sk-SK"/>
        </w:rPr>
        <w:t>d 14 rokov: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Pri dlhodobej liečbe (</w:t>
      </w:r>
      <w:proofErr w:type="spellStart"/>
      <w:r w:rsidRPr="00716FA2">
        <w:rPr>
          <w:sz w:val="22"/>
          <w:szCs w:val="22"/>
          <w:lang w:val="sk-SK"/>
        </w:rPr>
        <w:t>peptický</w:t>
      </w:r>
      <w:proofErr w:type="spellEnd"/>
      <w:r w:rsidRPr="00716FA2">
        <w:rPr>
          <w:sz w:val="22"/>
          <w:szCs w:val="22"/>
          <w:lang w:val="sk-SK"/>
        </w:rPr>
        <w:t xml:space="preserve"> vred, dráždivý žalúdok a iné stavy) sa podáva 1 vrecko 4</w:t>
      </w:r>
      <w:r w:rsidR="00E3441A">
        <w:rPr>
          <w:sz w:val="22"/>
          <w:szCs w:val="22"/>
          <w:lang w:val="sk-SK"/>
        </w:rPr>
        <w:t> – </w:t>
      </w:r>
      <w:r w:rsidRPr="00716FA2">
        <w:rPr>
          <w:sz w:val="22"/>
          <w:szCs w:val="22"/>
          <w:lang w:val="sk-SK"/>
        </w:rPr>
        <w:t>6-krát denne a to 1</w:t>
      </w:r>
      <w:r w:rsidR="00E3441A">
        <w:rPr>
          <w:sz w:val="22"/>
          <w:szCs w:val="22"/>
          <w:lang w:val="sk-SK"/>
        </w:rPr>
        <w:t> – </w:t>
      </w:r>
      <w:r w:rsidRPr="00716FA2">
        <w:rPr>
          <w:sz w:val="22"/>
          <w:szCs w:val="22"/>
          <w:lang w:val="sk-SK"/>
        </w:rPr>
        <w:t>2</w:t>
      </w:r>
      <w:r w:rsidR="00E3441A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hodiny po jedle.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Pri menej závažných stavoch možno podať jednorazovo 1 vrecko pri ťažkostiach.</w:t>
      </w:r>
    </w:p>
    <w:p w:rsidR="002C2943" w:rsidRPr="00716FA2" w:rsidRDefault="002C2943">
      <w:pPr>
        <w:jc w:val="both"/>
        <w:rPr>
          <w:i/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i/>
          <w:sz w:val="22"/>
          <w:szCs w:val="22"/>
          <w:lang w:val="sk-SK"/>
        </w:rPr>
      </w:pPr>
      <w:r w:rsidRPr="00716FA2">
        <w:rPr>
          <w:i/>
          <w:sz w:val="22"/>
          <w:szCs w:val="22"/>
          <w:lang w:val="sk-SK"/>
        </w:rPr>
        <w:t xml:space="preserve">Deti </w:t>
      </w:r>
      <w:r w:rsidR="00D7520B">
        <w:rPr>
          <w:i/>
          <w:sz w:val="22"/>
          <w:szCs w:val="22"/>
          <w:lang w:val="sk-SK"/>
        </w:rPr>
        <w:t xml:space="preserve">a dospievajúci </w:t>
      </w:r>
      <w:r w:rsidRPr="00716FA2">
        <w:rPr>
          <w:i/>
          <w:sz w:val="22"/>
          <w:szCs w:val="22"/>
          <w:lang w:val="sk-SK"/>
        </w:rPr>
        <w:t>vo veku 6</w:t>
      </w:r>
      <w:r w:rsidR="00E3441A">
        <w:rPr>
          <w:i/>
          <w:sz w:val="22"/>
          <w:szCs w:val="22"/>
          <w:lang w:val="sk-SK"/>
        </w:rPr>
        <w:t> </w:t>
      </w:r>
      <w:r w:rsidR="00E3441A" w:rsidRPr="00E27300">
        <w:rPr>
          <w:i/>
          <w:sz w:val="22"/>
          <w:szCs w:val="22"/>
          <w:lang w:val="sk-SK"/>
        </w:rPr>
        <w:t>–</w:t>
      </w:r>
      <w:r w:rsidR="00E3441A">
        <w:rPr>
          <w:i/>
          <w:sz w:val="22"/>
          <w:szCs w:val="22"/>
          <w:lang w:val="sk-SK"/>
        </w:rPr>
        <w:t> </w:t>
      </w:r>
      <w:r w:rsidRPr="00716FA2">
        <w:rPr>
          <w:i/>
          <w:sz w:val="22"/>
          <w:szCs w:val="22"/>
          <w:lang w:val="sk-SK"/>
        </w:rPr>
        <w:t>14 rokov: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Zvyčajne sa podáva 1</w:t>
      </w:r>
      <w:r w:rsidR="00E3441A">
        <w:rPr>
          <w:sz w:val="22"/>
          <w:szCs w:val="22"/>
          <w:lang w:val="sk-SK"/>
        </w:rPr>
        <w:t xml:space="preserve"> </w:t>
      </w:r>
      <w:r w:rsidRPr="00716FA2">
        <w:rPr>
          <w:sz w:val="22"/>
          <w:szCs w:val="22"/>
          <w:lang w:val="sk-SK"/>
        </w:rPr>
        <w:t>vrecko 2</w:t>
      </w:r>
      <w:r w:rsidR="00E3441A">
        <w:rPr>
          <w:sz w:val="22"/>
          <w:szCs w:val="22"/>
          <w:lang w:val="sk-SK"/>
        </w:rPr>
        <w:t> – </w:t>
      </w:r>
      <w:r w:rsidRPr="00716FA2">
        <w:rPr>
          <w:sz w:val="22"/>
          <w:szCs w:val="22"/>
          <w:lang w:val="sk-SK"/>
        </w:rPr>
        <w:t>4-krát denne a to 1</w:t>
      </w:r>
      <w:r w:rsidR="00E3441A">
        <w:rPr>
          <w:sz w:val="22"/>
          <w:szCs w:val="22"/>
          <w:lang w:val="sk-SK"/>
        </w:rPr>
        <w:t> – </w:t>
      </w:r>
      <w:r w:rsidRPr="00716FA2">
        <w:rPr>
          <w:sz w:val="22"/>
          <w:szCs w:val="22"/>
          <w:lang w:val="sk-SK"/>
        </w:rPr>
        <w:t>2 hodiny po jedle, alebo jednor</w:t>
      </w:r>
      <w:r w:rsidR="00E3441A">
        <w:rPr>
          <w:sz w:val="22"/>
          <w:szCs w:val="22"/>
          <w:lang w:val="sk-SK"/>
        </w:rPr>
        <w:t>a</w:t>
      </w:r>
      <w:r w:rsidRPr="00716FA2">
        <w:rPr>
          <w:sz w:val="22"/>
          <w:szCs w:val="22"/>
          <w:lang w:val="sk-SK"/>
        </w:rPr>
        <w:t>zovo 1 vrecko pri ťažkostiach.</w:t>
      </w:r>
    </w:p>
    <w:p w:rsidR="002C2943" w:rsidRPr="00716FA2" w:rsidRDefault="002C2943">
      <w:pPr>
        <w:jc w:val="both"/>
        <w:rPr>
          <w:sz w:val="22"/>
          <w:szCs w:val="22"/>
          <w:lang w:val="sk-SK"/>
        </w:rPr>
      </w:pPr>
    </w:p>
    <w:p w:rsidR="00E3441A" w:rsidRDefault="00E3441A">
      <w:pPr>
        <w:jc w:val="both"/>
        <w:rPr>
          <w:sz w:val="22"/>
          <w:szCs w:val="22"/>
          <w:u w:val="single"/>
          <w:lang w:val="sk-SK"/>
        </w:rPr>
      </w:pPr>
      <w:r w:rsidRPr="00E27300">
        <w:rPr>
          <w:sz w:val="22"/>
          <w:szCs w:val="22"/>
          <w:u w:val="single"/>
          <w:lang w:val="sk-SK"/>
        </w:rPr>
        <w:t>Spôsob podávania</w:t>
      </w:r>
    </w:p>
    <w:p w:rsidR="00E3441A" w:rsidRDefault="00E3441A">
      <w:pPr>
        <w:jc w:val="both"/>
        <w:rPr>
          <w:sz w:val="22"/>
          <w:szCs w:val="22"/>
          <w:u w:val="single"/>
          <w:lang w:val="sk-SK"/>
        </w:rPr>
      </w:pPr>
    </w:p>
    <w:p w:rsidR="00E3441A" w:rsidRPr="00A753DB" w:rsidRDefault="00E3441A">
      <w:pPr>
        <w:jc w:val="both"/>
        <w:rPr>
          <w:sz w:val="22"/>
          <w:szCs w:val="22"/>
          <w:lang w:val="sk-SK"/>
        </w:rPr>
      </w:pPr>
      <w:r w:rsidRPr="00E27300">
        <w:rPr>
          <w:sz w:val="22"/>
          <w:szCs w:val="22"/>
          <w:lang w:val="sk-SK"/>
        </w:rPr>
        <w:t>Na perorálne použitie.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lastRenderedPageBreak/>
        <w:t xml:space="preserve">Pred použitím </w:t>
      </w:r>
      <w:r w:rsidR="00E3441A">
        <w:rPr>
          <w:sz w:val="22"/>
          <w:szCs w:val="22"/>
          <w:lang w:val="sk-SK"/>
        </w:rPr>
        <w:t>je po</w:t>
      </w:r>
      <w:r w:rsidRPr="00716FA2">
        <w:rPr>
          <w:sz w:val="22"/>
          <w:szCs w:val="22"/>
          <w:lang w:val="sk-SK"/>
        </w:rPr>
        <w:t>treb</w:t>
      </w:r>
      <w:r w:rsidR="00E3441A">
        <w:rPr>
          <w:sz w:val="22"/>
          <w:szCs w:val="22"/>
          <w:lang w:val="sk-SK"/>
        </w:rPr>
        <w:t>né</w:t>
      </w:r>
      <w:r w:rsidRPr="00716FA2">
        <w:rPr>
          <w:sz w:val="22"/>
          <w:szCs w:val="22"/>
          <w:lang w:val="sk-SK"/>
        </w:rPr>
        <w:t xml:space="preserve"> obsah vrecka pretrieť medzi prstami.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 w:rsidP="00E27300">
      <w:pPr>
        <w:keepNext/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4.3</w:t>
      </w:r>
      <w:r w:rsidRPr="00716FA2">
        <w:rPr>
          <w:b/>
          <w:sz w:val="22"/>
          <w:szCs w:val="22"/>
          <w:lang w:val="sk-SK"/>
        </w:rPr>
        <w:tab/>
        <w:t>Kontraindikácie</w:t>
      </w:r>
    </w:p>
    <w:p w:rsidR="00F6786C" w:rsidRPr="00716FA2" w:rsidRDefault="00F6786C" w:rsidP="00E27300">
      <w:pPr>
        <w:keepNext/>
        <w:rPr>
          <w:sz w:val="22"/>
          <w:szCs w:val="22"/>
          <w:lang w:val="sk-SK"/>
        </w:rPr>
      </w:pPr>
    </w:p>
    <w:p w:rsidR="004D0762" w:rsidRPr="00716FA2" w:rsidRDefault="00E3441A" w:rsidP="00E27300">
      <w:pPr>
        <w:tabs>
          <w:tab w:val="left" w:pos="284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075EBE" w:rsidRPr="00716FA2">
        <w:rPr>
          <w:sz w:val="22"/>
          <w:szCs w:val="22"/>
          <w:lang w:val="sk-SK"/>
        </w:rPr>
        <w:t>Precitlivenosť na liečivá alebo na ktorúkoľvek z pomocných látok uvedených v časti 6.1.</w:t>
      </w:r>
    </w:p>
    <w:p w:rsidR="004D0762" w:rsidRPr="00716FA2" w:rsidRDefault="00E3441A" w:rsidP="00E3441A">
      <w:pPr>
        <w:tabs>
          <w:tab w:val="left" w:pos="284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075EBE" w:rsidRPr="00716FA2">
        <w:rPr>
          <w:sz w:val="22"/>
          <w:szCs w:val="22"/>
          <w:lang w:val="sk-SK"/>
        </w:rPr>
        <w:t xml:space="preserve">Ťažká </w:t>
      </w:r>
      <w:proofErr w:type="spellStart"/>
      <w:r w:rsidR="00075EBE" w:rsidRPr="00716FA2">
        <w:rPr>
          <w:sz w:val="22"/>
          <w:szCs w:val="22"/>
          <w:lang w:val="sk-SK"/>
        </w:rPr>
        <w:t>renálna</w:t>
      </w:r>
      <w:proofErr w:type="spellEnd"/>
      <w:r w:rsidR="00075EBE" w:rsidRPr="00716FA2">
        <w:rPr>
          <w:sz w:val="22"/>
          <w:szCs w:val="22"/>
          <w:lang w:val="sk-SK"/>
        </w:rPr>
        <w:t xml:space="preserve"> </w:t>
      </w:r>
      <w:proofErr w:type="spellStart"/>
      <w:r w:rsidR="00075EBE" w:rsidRPr="00716FA2">
        <w:rPr>
          <w:sz w:val="22"/>
          <w:szCs w:val="22"/>
          <w:lang w:val="sk-SK"/>
        </w:rPr>
        <w:t>insuficiencia</w:t>
      </w:r>
      <w:proofErr w:type="spellEnd"/>
      <w:r w:rsidR="00075EBE" w:rsidRPr="00716FA2">
        <w:rPr>
          <w:sz w:val="22"/>
          <w:szCs w:val="22"/>
          <w:lang w:val="sk-SK"/>
        </w:rPr>
        <w:t>.</w:t>
      </w:r>
    </w:p>
    <w:p w:rsidR="004D0762" w:rsidRPr="00716FA2" w:rsidRDefault="00E3441A" w:rsidP="00E3441A">
      <w:pPr>
        <w:tabs>
          <w:tab w:val="left" w:pos="284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075EBE" w:rsidRPr="00716FA2">
        <w:rPr>
          <w:sz w:val="22"/>
          <w:szCs w:val="22"/>
          <w:lang w:val="sk-SK"/>
        </w:rPr>
        <w:t xml:space="preserve">Črevná obštrukcia, symptómy </w:t>
      </w:r>
      <w:proofErr w:type="spellStart"/>
      <w:r w:rsidR="00075EBE" w:rsidRPr="00716FA2">
        <w:rPr>
          <w:sz w:val="22"/>
          <w:szCs w:val="22"/>
          <w:lang w:val="sk-SK"/>
        </w:rPr>
        <w:t>apendicitídy</w:t>
      </w:r>
      <w:proofErr w:type="spellEnd"/>
      <w:r w:rsidR="00075EBE" w:rsidRPr="00716FA2">
        <w:rPr>
          <w:sz w:val="22"/>
          <w:szCs w:val="22"/>
          <w:lang w:val="sk-SK"/>
        </w:rPr>
        <w:t xml:space="preserve"> (riziko perforácie alebo ruptúry).</w:t>
      </w:r>
    </w:p>
    <w:p w:rsidR="003722B0" w:rsidRPr="00716FA2" w:rsidRDefault="00E3441A" w:rsidP="00E3441A">
      <w:pPr>
        <w:tabs>
          <w:tab w:val="left" w:pos="284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075EBE" w:rsidRPr="00716FA2">
        <w:rPr>
          <w:sz w:val="22"/>
          <w:szCs w:val="22"/>
          <w:lang w:val="sk-SK"/>
        </w:rPr>
        <w:t xml:space="preserve">Deti </w:t>
      </w:r>
      <w:r>
        <w:rPr>
          <w:sz w:val="22"/>
          <w:szCs w:val="22"/>
          <w:lang w:val="sk-SK"/>
        </w:rPr>
        <w:t xml:space="preserve">vo veku </w:t>
      </w:r>
      <w:r w:rsidR="00075EBE" w:rsidRPr="00716FA2">
        <w:rPr>
          <w:sz w:val="22"/>
          <w:szCs w:val="22"/>
          <w:lang w:val="sk-SK"/>
        </w:rPr>
        <w:t>do 6 rokov.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4.4</w:t>
      </w:r>
      <w:r w:rsidRPr="00716FA2">
        <w:rPr>
          <w:b/>
          <w:sz w:val="22"/>
          <w:szCs w:val="22"/>
          <w:lang w:val="sk-SK"/>
        </w:rPr>
        <w:tab/>
      </w:r>
      <w:r w:rsidRPr="00BD7491">
        <w:rPr>
          <w:b/>
          <w:sz w:val="22"/>
          <w:szCs w:val="22"/>
          <w:lang w:val="sk-SK"/>
        </w:rPr>
        <w:t>Osobitné upozornenia a opatrenia pri používaní</w:t>
      </w:r>
    </w:p>
    <w:p w:rsidR="00330373" w:rsidRPr="00716FA2" w:rsidRDefault="00330373">
      <w:pPr>
        <w:jc w:val="both"/>
        <w:rPr>
          <w:sz w:val="22"/>
          <w:szCs w:val="22"/>
          <w:lang w:val="sk-SK"/>
        </w:rPr>
      </w:pPr>
    </w:p>
    <w:p w:rsidR="003722B0" w:rsidRPr="00AF044B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Pri dlhodobom podávaní </w:t>
      </w:r>
      <w:r w:rsidR="00CE1F3C" w:rsidRPr="00716FA2">
        <w:rPr>
          <w:sz w:val="22"/>
          <w:szCs w:val="22"/>
          <w:lang w:val="sk-SK"/>
        </w:rPr>
        <w:t>ANACIDU</w:t>
      </w:r>
      <w:r w:rsidRPr="00716FA2">
        <w:rPr>
          <w:sz w:val="22"/>
          <w:szCs w:val="22"/>
          <w:lang w:val="sk-SK"/>
        </w:rPr>
        <w:t xml:space="preserve"> pacientom s </w:t>
      </w:r>
      <w:r w:rsidRPr="00AF044B">
        <w:rPr>
          <w:sz w:val="22"/>
          <w:szCs w:val="22"/>
          <w:lang w:val="sk-SK"/>
        </w:rPr>
        <w:t xml:space="preserve">poruchami </w:t>
      </w:r>
      <w:proofErr w:type="spellStart"/>
      <w:r w:rsidRPr="00AF044B">
        <w:rPr>
          <w:sz w:val="22"/>
          <w:szCs w:val="22"/>
          <w:lang w:val="sk-SK"/>
        </w:rPr>
        <w:t>renálnych</w:t>
      </w:r>
      <w:proofErr w:type="spellEnd"/>
      <w:r w:rsidRPr="00AF044B">
        <w:rPr>
          <w:sz w:val="22"/>
          <w:szCs w:val="22"/>
          <w:lang w:val="sk-SK"/>
        </w:rPr>
        <w:t xml:space="preserve"> funkcií e</w:t>
      </w:r>
      <w:r w:rsidR="00325C15" w:rsidRPr="00AF044B">
        <w:rPr>
          <w:sz w:val="22"/>
          <w:szCs w:val="22"/>
          <w:lang w:val="sk-SK"/>
        </w:rPr>
        <w:t>xistuje</w:t>
      </w:r>
      <w:r w:rsidRPr="00AF044B">
        <w:rPr>
          <w:sz w:val="22"/>
          <w:szCs w:val="22"/>
          <w:lang w:val="sk-SK"/>
        </w:rPr>
        <w:t xml:space="preserve"> zvýšené riziko prejavov toxicity hliníka v mozgovom tkanive (možnosť vzniku </w:t>
      </w:r>
      <w:proofErr w:type="spellStart"/>
      <w:r w:rsidRPr="00AF044B">
        <w:rPr>
          <w:sz w:val="22"/>
          <w:szCs w:val="22"/>
          <w:lang w:val="sk-SK"/>
        </w:rPr>
        <w:t>encefalopatie</w:t>
      </w:r>
      <w:proofErr w:type="spellEnd"/>
      <w:r w:rsidRPr="00AF044B">
        <w:rPr>
          <w:sz w:val="22"/>
          <w:szCs w:val="22"/>
          <w:lang w:val="sk-SK"/>
        </w:rPr>
        <w:t>), kostiach a </w:t>
      </w:r>
      <w:proofErr w:type="spellStart"/>
      <w:r w:rsidRPr="00AF044B">
        <w:rPr>
          <w:sz w:val="22"/>
          <w:szCs w:val="22"/>
          <w:lang w:val="sk-SK"/>
        </w:rPr>
        <w:t>prištítnych</w:t>
      </w:r>
      <w:proofErr w:type="spellEnd"/>
      <w:r w:rsidRPr="00AF044B">
        <w:rPr>
          <w:sz w:val="22"/>
          <w:szCs w:val="22"/>
          <w:lang w:val="sk-SK"/>
        </w:rPr>
        <w:t xml:space="preserve"> telieskach a riziko </w:t>
      </w:r>
      <w:proofErr w:type="spellStart"/>
      <w:r w:rsidRPr="00AF044B">
        <w:rPr>
          <w:sz w:val="22"/>
          <w:szCs w:val="22"/>
          <w:lang w:val="sk-SK"/>
        </w:rPr>
        <w:t>hypermagneziémie</w:t>
      </w:r>
      <w:proofErr w:type="spellEnd"/>
      <w:r w:rsidRPr="00AF044B">
        <w:rPr>
          <w:sz w:val="22"/>
          <w:szCs w:val="22"/>
          <w:lang w:val="sk-SK"/>
        </w:rPr>
        <w:t xml:space="preserve"> (smäd, hypotenzia, </w:t>
      </w:r>
      <w:proofErr w:type="spellStart"/>
      <w:r w:rsidRPr="00AF044B">
        <w:rPr>
          <w:sz w:val="22"/>
          <w:szCs w:val="22"/>
          <w:lang w:val="sk-SK"/>
        </w:rPr>
        <w:t>hyporeflexia</w:t>
      </w:r>
      <w:proofErr w:type="spellEnd"/>
      <w:r w:rsidRPr="00AF044B">
        <w:rPr>
          <w:sz w:val="22"/>
          <w:szCs w:val="22"/>
          <w:lang w:val="sk-SK"/>
        </w:rPr>
        <w:t xml:space="preserve">). Preto </w:t>
      </w:r>
      <w:r w:rsidR="00325C15" w:rsidRPr="00AF044B">
        <w:rPr>
          <w:sz w:val="22"/>
          <w:szCs w:val="22"/>
          <w:lang w:val="sk-SK"/>
        </w:rPr>
        <w:t>je po</w:t>
      </w:r>
      <w:r w:rsidRPr="00AF044B">
        <w:rPr>
          <w:sz w:val="22"/>
          <w:szCs w:val="22"/>
          <w:lang w:val="sk-SK"/>
        </w:rPr>
        <w:t>treb</w:t>
      </w:r>
      <w:r w:rsidR="00325C15" w:rsidRPr="00AF044B">
        <w:rPr>
          <w:sz w:val="22"/>
          <w:szCs w:val="22"/>
          <w:lang w:val="sk-SK"/>
        </w:rPr>
        <w:t>né</w:t>
      </w:r>
      <w:r w:rsidRPr="00AF044B">
        <w:rPr>
          <w:sz w:val="22"/>
          <w:szCs w:val="22"/>
          <w:lang w:val="sk-SK"/>
        </w:rPr>
        <w:t xml:space="preserve"> byť zvlášť opatrný pri týchto pacientoch a monitorovať </w:t>
      </w:r>
      <w:proofErr w:type="spellStart"/>
      <w:r w:rsidRPr="00AF044B">
        <w:rPr>
          <w:sz w:val="22"/>
          <w:szCs w:val="22"/>
          <w:lang w:val="sk-SK"/>
        </w:rPr>
        <w:t>renálne</w:t>
      </w:r>
      <w:proofErr w:type="spellEnd"/>
      <w:r w:rsidRPr="00AF044B">
        <w:rPr>
          <w:sz w:val="22"/>
          <w:szCs w:val="22"/>
          <w:lang w:val="sk-SK"/>
        </w:rPr>
        <w:t xml:space="preserve"> funkcie v periodických intervaloch. Tiež sa odporúča meranie hladín hliníka, vápnika, fosfátov a horčíka, pokiaľ </w:t>
      </w:r>
      <w:r w:rsidR="00325C15" w:rsidRPr="00AF044B">
        <w:rPr>
          <w:sz w:val="22"/>
          <w:szCs w:val="22"/>
          <w:lang w:val="sk-SK"/>
        </w:rPr>
        <w:t>ANACID</w:t>
      </w:r>
      <w:r w:rsidRPr="00AF044B">
        <w:rPr>
          <w:sz w:val="22"/>
          <w:szCs w:val="22"/>
          <w:lang w:val="sk-SK"/>
        </w:rPr>
        <w:t xml:space="preserve"> dlhodobo užívajú pacienti s poruchami </w:t>
      </w:r>
      <w:proofErr w:type="spellStart"/>
      <w:r w:rsidRPr="00AF044B">
        <w:rPr>
          <w:sz w:val="22"/>
          <w:szCs w:val="22"/>
          <w:lang w:val="sk-SK"/>
        </w:rPr>
        <w:t>renálnych</w:t>
      </w:r>
      <w:proofErr w:type="spellEnd"/>
      <w:r w:rsidRPr="00AF044B">
        <w:rPr>
          <w:sz w:val="22"/>
          <w:szCs w:val="22"/>
          <w:lang w:val="sk-SK"/>
        </w:rPr>
        <w:t xml:space="preserve"> funkcií.</w:t>
      </w:r>
    </w:p>
    <w:p w:rsidR="00325C15" w:rsidRPr="00AF044B" w:rsidRDefault="00325C15">
      <w:pPr>
        <w:jc w:val="both"/>
        <w:rPr>
          <w:sz w:val="22"/>
          <w:szCs w:val="22"/>
          <w:lang w:val="sk-SK"/>
        </w:rPr>
      </w:pPr>
    </w:p>
    <w:p w:rsidR="003722B0" w:rsidRPr="00AF044B" w:rsidRDefault="00075EBE">
      <w:pPr>
        <w:jc w:val="both"/>
        <w:rPr>
          <w:sz w:val="22"/>
          <w:szCs w:val="22"/>
          <w:lang w:val="sk-SK"/>
        </w:rPr>
      </w:pPr>
      <w:r w:rsidRPr="00AF044B">
        <w:rPr>
          <w:sz w:val="22"/>
          <w:szCs w:val="22"/>
          <w:lang w:val="sk-SK"/>
        </w:rPr>
        <w:t>U pacientov s </w:t>
      </w:r>
      <w:proofErr w:type="spellStart"/>
      <w:r w:rsidRPr="00AF044B">
        <w:rPr>
          <w:sz w:val="22"/>
          <w:szCs w:val="22"/>
          <w:lang w:val="sk-SK"/>
        </w:rPr>
        <w:t>Alzheimerovou</w:t>
      </w:r>
      <w:proofErr w:type="spellEnd"/>
      <w:r w:rsidRPr="00AF044B">
        <w:rPr>
          <w:sz w:val="22"/>
          <w:szCs w:val="22"/>
          <w:lang w:val="sk-SK"/>
        </w:rPr>
        <w:t xml:space="preserve"> chorobou (riziko </w:t>
      </w:r>
      <w:proofErr w:type="spellStart"/>
      <w:r w:rsidRPr="00AF044B">
        <w:rPr>
          <w:sz w:val="22"/>
          <w:szCs w:val="22"/>
          <w:lang w:val="sk-SK"/>
        </w:rPr>
        <w:t>exacerbácie</w:t>
      </w:r>
      <w:proofErr w:type="spellEnd"/>
      <w:r w:rsidRPr="00AF044B">
        <w:rPr>
          <w:sz w:val="22"/>
          <w:szCs w:val="22"/>
          <w:lang w:val="sk-SK"/>
        </w:rPr>
        <w:t xml:space="preserve"> ochorenia), s poruchami vyprázdňovania čriev (zápcha, hnačka), s poruchou metabolizmu fosforu a horčíka, alebo s hemoroidmi </w:t>
      </w:r>
      <w:r w:rsidR="00325C15" w:rsidRPr="00AF044B">
        <w:rPr>
          <w:sz w:val="22"/>
          <w:szCs w:val="22"/>
          <w:lang w:val="sk-SK"/>
        </w:rPr>
        <w:t>je po</w:t>
      </w:r>
      <w:r w:rsidRPr="00AF044B">
        <w:rPr>
          <w:sz w:val="22"/>
          <w:szCs w:val="22"/>
          <w:lang w:val="sk-SK"/>
        </w:rPr>
        <w:t>treb</w:t>
      </w:r>
      <w:r w:rsidR="00325C15" w:rsidRPr="00AF044B">
        <w:rPr>
          <w:sz w:val="22"/>
          <w:szCs w:val="22"/>
          <w:lang w:val="sk-SK"/>
        </w:rPr>
        <w:t>né</w:t>
      </w:r>
      <w:r w:rsidRPr="00AF044B">
        <w:rPr>
          <w:sz w:val="22"/>
          <w:szCs w:val="22"/>
          <w:lang w:val="sk-SK"/>
        </w:rPr>
        <w:t xml:space="preserve"> zvážiť prínos a riziká liečby </w:t>
      </w:r>
      <w:r w:rsidR="00325C15" w:rsidRPr="00AF044B">
        <w:rPr>
          <w:sz w:val="22"/>
          <w:szCs w:val="22"/>
          <w:lang w:val="sk-SK"/>
        </w:rPr>
        <w:t>ANACIDOM</w:t>
      </w:r>
      <w:r w:rsidRPr="00AF044B">
        <w:rPr>
          <w:sz w:val="22"/>
          <w:szCs w:val="22"/>
          <w:lang w:val="sk-SK"/>
        </w:rPr>
        <w:t xml:space="preserve"> a indikovať liek len v nevyhnutne </w:t>
      </w:r>
      <w:r w:rsidR="00325C15" w:rsidRPr="00AF044B">
        <w:rPr>
          <w:sz w:val="22"/>
          <w:szCs w:val="22"/>
          <w:lang w:val="sk-SK"/>
        </w:rPr>
        <w:t xml:space="preserve">potrebných </w:t>
      </w:r>
      <w:r w:rsidRPr="00AF044B">
        <w:rPr>
          <w:sz w:val="22"/>
          <w:szCs w:val="22"/>
          <w:lang w:val="sk-SK"/>
        </w:rPr>
        <w:t>prípadoch.</w:t>
      </w:r>
    </w:p>
    <w:p w:rsidR="00635A36" w:rsidRPr="00AF044B" w:rsidRDefault="00635A36">
      <w:pPr>
        <w:jc w:val="both"/>
        <w:rPr>
          <w:sz w:val="22"/>
          <w:szCs w:val="22"/>
          <w:lang w:val="sk-SK"/>
        </w:rPr>
      </w:pPr>
    </w:p>
    <w:p w:rsidR="003722B0" w:rsidRPr="00AF044B" w:rsidRDefault="00075EBE">
      <w:pPr>
        <w:jc w:val="both"/>
        <w:rPr>
          <w:sz w:val="22"/>
          <w:szCs w:val="22"/>
          <w:lang w:val="sk-SK"/>
        </w:rPr>
      </w:pPr>
      <w:r w:rsidRPr="00AF044B">
        <w:rPr>
          <w:sz w:val="22"/>
          <w:szCs w:val="22"/>
          <w:lang w:val="sk-SK"/>
        </w:rPr>
        <w:t>Hydroxid hlinitý obsiahnutý v </w:t>
      </w:r>
      <w:r w:rsidR="00635A36" w:rsidRPr="00AF044B">
        <w:rPr>
          <w:sz w:val="22"/>
          <w:szCs w:val="22"/>
          <w:lang w:val="sk-SK"/>
        </w:rPr>
        <w:t>ANACIDE</w:t>
      </w:r>
      <w:r w:rsidRPr="00AF044B">
        <w:rPr>
          <w:sz w:val="22"/>
          <w:szCs w:val="22"/>
          <w:lang w:val="sk-SK"/>
        </w:rPr>
        <w:t xml:space="preserve"> môže tvoriť nerozpustné soli s fosfátmi z potravy, ktoré sa vylučujú stolicou. Dlhodobé užívanie </w:t>
      </w:r>
      <w:r w:rsidR="00635A36" w:rsidRPr="00AF044B">
        <w:rPr>
          <w:sz w:val="22"/>
          <w:szCs w:val="22"/>
          <w:lang w:val="sk-SK"/>
        </w:rPr>
        <w:t>ANACIDU</w:t>
      </w:r>
      <w:r w:rsidRPr="00AF044B">
        <w:rPr>
          <w:sz w:val="22"/>
          <w:szCs w:val="22"/>
          <w:lang w:val="sk-SK"/>
        </w:rPr>
        <w:t xml:space="preserve"> preto môže vyvolať </w:t>
      </w:r>
      <w:proofErr w:type="spellStart"/>
      <w:r w:rsidRPr="00AF044B">
        <w:rPr>
          <w:sz w:val="22"/>
          <w:szCs w:val="22"/>
          <w:lang w:val="sk-SK"/>
        </w:rPr>
        <w:t>hypofosfatémiu</w:t>
      </w:r>
      <w:proofErr w:type="spellEnd"/>
      <w:r w:rsidRPr="00AF044B">
        <w:rPr>
          <w:sz w:val="22"/>
          <w:szCs w:val="22"/>
          <w:lang w:val="sk-SK"/>
        </w:rPr>
        <w:t xml:space="preserve"> a poruchu metabolizmu vápnika a fosforu. V prípade obmedzeného vstrebávania fosfátov z </w:t>
      </w:r>
      <w:proofErr w:type="spellStart"/>
      <w:r w:rsidRPr="00AF044B">
        <w:rPr>
          <w:sz w:val="22"/>
          <w:szCs w:val="22"/>
          <w:lang w:val="sk-SK"/>
        </w:rPr>
        <w:t>gastrointestinálneho</w:t>
      </w:r>
      <w:proofErr w:type="spellEnd"/>
      <w:r w:rsidRPr="00AF044B">
        <w:rPr>
          <w:sz w:val="22"/>
          <w:szCs w:val="22"/>
          <w:lang w:val="sk-SK"/>
        </w:rPr>
        <w:t xml:space="preserve"> traktu (napr. pri </w:t>
      </w:r>
      <w:proofErr w:type="spellStart"/>
      <w:r w:rsidRPr="00AF044B">
        <w:rPr>
          <w:sz w:val="22"/>
          <w:szCs w:val="22"/>
          <w:lang w:val="sk-SK"/>
        </w:rPr>
        <w:t>malabsorpčnom</w:t>
      </w:r>
      <w:proofErr w:type="spellEnd"/>
      <w:r w:rsidRPr="00AF044B">
        <w:rPr>
          <w:sz w:val="22"/>
          <w:szCs w:val="22"/>
          <w:lang w:val="sk-SK"/>
        </w:rPr>
        <w:t xml:space="preserve"> syndróme) sa počas dlhodobej liečby </w:t>
      </w:r>
      <w:r w:rsidR="00D15C6D" w:rsidRPr="00AF044B">
        <w:rPr>
          <w:sz w:val="22"/>
          <w:szCs w:val="22"/>
          <w:lang w:val="sk-SK"/>
        </w:rPr>
        <w:t>ANACIDOM</w:t>
      </w:r>
      <w:r w:rsidRPr="00AF044B">
        <w:rPr>
          <w:sz w:val="22"/>
          <w:szCs w:val="22"/>
          <w:lang w:val="sk-SK"/>
        </w:rPr>
        <w:t xml:space="preserve"> zvyšuje riziko vzniku </w:t>
      </w:r>
      <w:proofErr w:type="spellStart"/>
      <w:r w:rsidRPr="00AF044B">
        <w:rPr>
          <w:sz w:val="22"/>
          <w:szCs w:val="22"/>
          <w:lang w:val="sk-SK"/>
        </w:rPr>
        <w:t>osteomalácie</w:t>
      </w:r>
      <w:proofErr w:type="spellEnd"/>
      <w:r w:rsidRPr="00AF044B">
        <w:rPr>
          <w:sz w:val="22"/>
          <w:szCs w:val="22"/>
          <w:lang w:val="sk-SK"/>
        </w:rPr>
        <w:t xml:space="preserve">, </w:t>
      </w:r>
      <w:proofErr w:type="spellStart"/>
      <w:r w:rsidRPr="00AF044B">
        <w:rPr>
          <w:sz w:val="22"/>
          <w:szCs w:val="22"/>
          <w:lang w:val="sk-SK"/>
        </w:rPr>
        <w:t>osteoporózy</w:t>
      </w:r>
      <w:proofErr w:type="spellEnd"/>
      <w:r w:rsidRPr="00AF044B">
        <w:rPr>
          <w:sz w:val="22"/>
          <w:szCs w:val="22"/>
          <w:lang w:val="sk-SK"/>
        </w:rPr>
        <w:t xml:space="preserve"> a fraktúry.</w:t>
      </w:r>
    </w:p>
    <w:p w:rsidR="004D0762" w:rsidRPr="00AF044B" w:rsidRDefault="004D0762">
      <w:pPr>
        <w:jc w:val="both"/>
        <w:rPr>
          <w:sz w:val="22"/>
          <w:szCs w:val="22"/>
          <w:lang w:val="sk-SK"/>
        </w:rPr>
      </w:pPr>
    </w:p>
    <w:p w:rsidR="00B1588E" w:rsidRPr="00AF044B" w:rsidRDefault="00B1588E" w:rsidP="00B1588E">
      <w:pPr>
        <w:pStyle w:val="Default"/>
        <w:rPr>
          <w:color w:val="auto"/>
          <w:sz w:val="22"/>
          <w:szCs w:val="22"/>
          <w:u w:val="single"/>
        </w:rPr>
      </w:pPr>
      <w:r w:rsidRPr="00AF044B">
        <w:rPr>
          <w:color w:val="auto"/>
          <w:sz w:val="22"/>
          <w:szCs w:val="22"/>
          <w:u w:val="single"/>
        </w:rPr>
        <w:t>Pediatrická populácia</w:t>
      </w:r>
    </w:p>
    <w:p w:rsidR="00B1588E" w:rsidRPr="00716FA2" w:rsidRDefault="00B1588E" w:rsidP="00B1588E">
      <w:pPr>
        <w:pStyle w:val="Default"/>
        <w:rPr>
          <w:color w:val="auto"/>
          <w:sz w:val="22"/>
          <w:szCs w:val="22"/>
        </w:rPr>
      </w:pPr>
      <w:r w:rsidRPr="00AF044B">
        <w:rPr>
          <w:color w:val="auto"/>
          <w:sz w:val="22"/>
          <w:szCs w:val="22"/>
        </w:rPr>
        <w:t xml:space="preserve">U malých detí môže použitie hydroxidu </w:t>
      </w:r>
      <w:proofErr w:type="spellStart"/>
      <w:r w:rsidRPr="00AF044B">
        <w:rPr>
          <w:color w:val="auto"/>
          <w:sz w:val="22"/>
          <w:szCs w:val="22"/>
        </w:rPr>
        <w:t>horečnatého</w:t>
      </w:r>
      <w:proofErr w:type="spellEnd"/>
      <w:r w:rsidRPr="00AF044B">
        <w:rPr>
          <w:color w:val="auto"/>
          <w:sz w:val="22"/>
          <w:szCs w:val="22"/>
        </w:rPr>
        <w:t xml:space="preserve"> vyvolať </w:t>
      </w:r>
      <w:proofErr w:type="spellStart"/>
      <w:r w:rsidRPr="00AF044B">
        <w:rPr>
          <w:color w:val="auto"/>
          <w:sz w:val="22"/>
          <w:szCs w:val="22"/>
        </w:rPr>
        <w:t>hypermagneziémiu</w:t>
      </w:r>
      <w:proofErr w:type="spellEnd"/>
      <w:r w:rsidRPr="00716FA2">
        <w:rPr>
          <w:color w:val="auto"/>
          <w:sz w:val="22"/>
          <w:szCs w:val="22"/>
        </w:rPr>
        <w:t>, najmä ak majú poruchu funkcie obličiek alebo sú dehydratované.</w:t>
      </w:r>
    </w:p>
    <w:p w:rsidR="00B1588E" w:rsidRPr="00716FA2" w:rsidRDefault="00B1588E">
      <w:pPr>
        <w:jc w:val="both"/>
        <w:rPr>
          <w:sz w:val="22"/>
          <w:szCs w:val="22"/>
          <w:lang w:val="sk-SK"/>
        </w:rPr>
      </w:pPr>
    </w:p>
    <w:p w:rsidR="00006900" w:rsidRPr="00E27300" w:rsidRDefault="00D15C6D" w:rsidP="00E27300">
      <w:pPr>
        <w:rPr>
          <w:sz w:val="22"/>
          <w:szCs w:val="22"/>
        </w:rPr>
      </w:pPr>
      <w:r w:rsidRPr="00E27300">
        <w:rPr>
          <w:sz w:val="22"/>
          <w:szCs w:val="22"/>
          <w:lang w:val="sk-SK"/>
        </w:rPr>
        <w:t xml:space="preserve">Tento </w:t>
      </w:r>
      <w:bookmarkStart w:id="0" w:name="_Hlk41565689"/>
      <w:r w:rsidRPr="00E27300">
        <w:rPr>
          <w:sz w:val="22"/>
          <w:szCs w:val="22"/>
          <w:lang w:val="sk-SK"/>
        </w:rPr>
        <w:t>l</w:t>
      </w:r>
      <w:r w:rsidR="00006900" w:rsidRPr="00E27300">
        <w:rPr>
          <w:sz w:val="22"/>
          <w:szCs w:val="22"/>
          <w:lang w:val="sk-SK"/>
        </w:rPr>
        <w:t>iek obsahuje 38,4</w:t>
      </w:r>
      <w:r w:rsidRPr="00E27300">
        <w:rPr>
          <w:sz w:val="22"/>
          <w:szCs w:val="22"/>
          <w:lang w:val="sk-SK"/>
        </w:rPr>
        <w:t> </w:t>
      </w:r>
      <w:r w:rsidR="00006900" w:rsidRPr="00E27300">
        <w:rPr>
          <w:sz w:val="22"/>
          <w:szCs w:val="22"/>
          <w:lang w:val="sk-SK"/>
        </w:rPr>
        <w:t>mg etanolu v</w:t>
      </w:r>
      <w:r w:rsidR="005A7C8B" w:rsidRPr="00E27300">
        <w:rPr>
          <w:sz w:val="22"/>
          <w:szCs w:val="22"/>
          <w:lang w:val="sk-SK"/>
        </w:rPr>
        <w:t xml:space="preserve"> každej </w:t>
      </w:r>
      <w:r w:rsidRPr="00E27300">
        <w:rPr>
          <w:sz w:val="22"/>
          <w:szCs w:val="22"/>
          <w:lang w:val="sk-SK"/>
        </w:rPr>
        <w:t xml:space="preserve">5 ml </w:t>
      </w:r>
      <w:r w:rsidR="005A7C8B" w:rsidRPr="00E27300">
        <w:rPr>
          <w:sz w:val="22"/>
          <w:szCs w:val="22"/>
          <w:lang w:val="sk-SK"/>
        </w:rPr>
        <w:t>dávke (1</w:t>
      </w:r>
      <w:r w:rsidRPr="00E27300">
        <w:rPr>
          <w:sz w:val="22"/>
          <w:szCs w:val="22"/>
          <w:lang w:val="sk-SK"/>
        </w:rPr>
        <w:t> </w:t>
      </w:r>
      <w:r w:rsidR="005A7C8B" w:rsidRPr="00E27300">
        <w:rPr>
          <w:sz w:val="22"/>
          <w:szCs w:val="22"/>
          <w:lang w:val="sk-SK"/>
        </w:rPr>
        <w:t xml:space="preserve">vrecko), čo </w:t>
      </w:r>
      <w:r w:rsidR="00006900" w:rsidRPr="00E27300">
        <w:rPr>
          <w:sz w:val="22"/>
          <w:szCs w:val="22"/>
          <w:lang w:val="sk-SK"/>
        </w:rPr>
        <w:t xml:space="preserve">zodpovedá </w:t>
      </w:r>
      <w:r w:rsidR="005A7C8B" w:rsidRPr="00E27300">
        <w:rPr>
          <w:sz w:val="22"/>
          <w:szCs w:val="22"/>
          <w:lang w:val="sk-SK"/>
        </w:rPr>
        <w:t>0,98</w:t>
      </w:r>
      <w:r w:rsidRPr="00E27300">
        <w:rPr>
          <w:sz w:val="22"/>
          <w:szCs w:val="22"/>
          <w:lang w:val="sk-SK"/>
        </w:rPr>
        <w:t> </w:t>
      </w:r>
      <w:r w:rsidR="005A7C8B" w:rsidRPr="00E27300">
        <w:rPr>
          <w:sz w:val="22"/>
          <w:szCs w:val="22"/>
          <w:lang w:val="sk-SK"/>
        </w:rPr>
        <w:t xml:space="preserve">% (v/v). </w:t>
      </w:r>
      <w:r w:rsidR="00006900" w:rsidRPr="00E27300">
        <w:rPr>
          <w:sz w:val="22"/>
          <w:szCs w:val="22"/>
          <w:lang w:val="sk-SK"/>
        </w:rPr>
        <w:t>Množstvo v</w:t>
      </w:r>
      <w:r w:rsidR="005A7C8B" w:rsidRPr="00E27300">
        <w:rPr>
          <w:sz w:val="22"/>
          <w:szCs w:val="22"/>
          <w:lang w:val="sk-SK"/>
        </w:rPr>
        <w:t xml:space="preserve"> každej </w:t>
      </w:r>
      <w:r w:rsidRPr="00E27300">
        <w:rPr>
          <w:sz w:val="22"/>
          <w:szCs w:val="22"/>
          <w:lang w:val="sk-SK"/>
        </w:rPr>
        <w:t xml:space="preserve">5 ml </w:t>
      </w:r>
      <w:r w:rsidR="005A7C8B" w:rsidRPr="00E27300">
        <w:rPr>
          <w:sz w:val="22"/>
          <w:szCs w:val="22"/>
          <w:lang w:val="sk-SK"/>
        </w:rPr>
        <w:t xml:space="preserve">dávke </w:t>
      </w:r>
      <w:r w:rsidR="00006900" w:rsidRPr="00E27300">
        <w:rPr>
          <w:sz w:val="22"/>
          <w:szCs w:val="22"/>
          <w:lang w:val="sk-SK"/>
        </w:rPr>
        <w:t xml:space="preserve">tohto lieku zodpovedá menej ako </w:t>
      </w:r>
      <w:r w:rsidR="005A7C8B" w:rsidRPr="00E27300">
        <w:rPr>
          <w:sz w:val="22"/>
          <w:szCs w:val="22"/>
          <w:lang w:val="sk-SK"/>
        </w:rPr>
        <w:t>0,96</w:t>
      </w:r>
      <w:r w:rsidRPr="00E27300">
        <w:rPr>
          <w:sz w:val="22"/>
          <w:szCs w:val="22"/>
          <w:lang w:val="sk-SK"/>
        </w:rPr>
        <w:t> </w:t>
      </w:r>
      <w:r w:rsidR="00006900" w:rsidRPr="00E27300">
        <w:rPr>
          <w:sz w:val="22"/>
          <w:szCs w:val="22"/>
          <w:lang w:val="sk-SK"/>
        </w:rPr>
        <w:t xml:space="preserve">ml piva alebo </w:t>
      </w:r>
      <w:r w:rsidR="005A7C8B" w:rsidRPr="00E27300">
        <w:rPr>
          <w:sz w:val="22"/>
          <w:szCs w:val="22"/>
          <w:lang w:val="sk-SK"/>
        </w:rPr>
        <w:t>0,38</w:t>
      </w:r>
      <w:r w:rsidRPr="00E27300">
        <w:rPr>
          <w:sz w:val="22"/>
          <w:szCs w:val="22"/>
          <w:lang w:val="sk-SK"/>
        </w:rPr>
        <w:t> </w:t>
      </w:r>
      <w:r w:rsidR="00006900" w:rsidRPr="00E27300">
        <w:rPr>
          <w:sz w:val="22"/>
          <w:szCs w:val="22"/>
          <w:lang w:val="sk-SK"/>
        </w:rPr>
        <w:t>ml vína.</w:t>
      </w:r>
      <w:r w:rsidR="005A7C8B" w:rsidRPr="00E27300">
        <w:rPr>
          <w:sz w:val="22"/>
          <w:szCs w:val="22"/>
          <w:lang w:val="sk-SK"/>
        </w:rPr>
        <w:t xml:space="preserve"> </w:t>
      </w:r>
      <w:r w:rsidR="00006900" w:rsidRPr="00E27300">
        <w:rPr>
          <w:sz w:val="22"/>
          <w:szCs w:val="22"/>
          <w:lang w:val="sk-SK"/>
        </w:rPr>
        <w:t>Malé množstvo alkoholu v tomto lieku nemá žiadny pozorovateľný vplyv</w:t>
      </w:r>
      <w:bookmarkEnd w:id="0"/>
      <w:r w:rsidR="00006900" w:rsidRPr="00E27300">
        <w:rPr>
          <w:sz w:val="22"/>
          <w:szCs w:val="22"/>
          <w:lang w:val="sk-SK"/>
        </w:rPr>
        <w:t>.</w:t>
      </w:r>
    </w:p>
    <w:p w:rsidR="005A7C8B" w:rsidRDefault="005A7C8B" w:rsidP="00A56F3B">
      <w:pPr>
        <w:rPr>
          <w:bCs/>
          <w:sz w:val="22"/>
          <w:szCs w:val="22"/>
          <w:lang w:val="sk-SK"/>
        </w:rPr>
      </w:pPr>
    </w:p>
    <w:p w:rsidR="00A302BA" w:rsidRPr="00A302BA" w:rsidRDefault="00D15C6D" w:rsidP="00A302BA">
      <w:pPr>
        <w:rPr>
          <w:sz w:val="22"/>
          <w:szCs w:val="22"/>
          <w:lang w:val="sk-SK" w:eastAsia="fr-FR"/>
        </w:rPr>
      </w:pPr>
      <w:bookmarkStart w:id="1" w:name="_Hlk41566407"/>
      <w:r>
        <w:rPr>
          <w:bCs/>
          <w:sz w:val="22"/>
          <w:szCs w:val="22"/>
          <w:lang w:val="sk-SK"/>
        </w:rPr>
        <w:t>Tento l</w:t>
      </w:r>
      <w:r w:rsidR="00075EBE" w:rsidRPr="00BD7491">
        <w:rPr>
          <w:bCs/>
          <w:sz w:val="22"/>
          <w:szCs w:val="22"/>
          <w:lang w:val="sk-SK"/>
        </w:rPr>
        <w:t xml:space="preserve">iek obsahuje </w:t>
      </w:r>
      <w:r w:rsidR="00A302BA">
        <w:rPr>
          <w:bCs/>
          <w:sz w:val="22"/>
          <w:szCs w:val="22"/>
          <w:lang w:val="sk-SK"/>
        </w:rPr>
        <w:t>500</w:t>
      </w:r>
      <w:r>
        <w:rPr>
          <w:bCs/>
          <w:sz w:val="22"/>
          <w:szCs w:val="22"/>
          <w:lang w:val="sk-SK"/>
        </w:rPr>
        <w:t> </w:t>
      </w:r>
      <w:r w:rsidR="00A302BA">
        <w:rPr>
          <w:bCs/>
          <w:sz w:val="22"/>
          <w:szCs w:val="22"/>
          <w:lang w:val="sk-SK"/>
        </w:rPr>
        <w:t xml:space="preserve">mg </w:t>
      </w:r>
      <w:proofErr w:type="spellStart"/>
      <w:r w:rsidR="00075EBE" w:rsidRPr="00BD7491">
        <w:rPr>
          <w:bCs/>
          <w:sz w:val="22"/>
          <w:szCs w:val="22"/>
          <w:lang w:val="sk-SK"/>
        </w:rPr>
        <w:t>sorbitol</w:t>
      </w:r>
      <w:r w:rsidR="00A302BA">
        <w:rPr>
          <w:bCs/>
          <w:sz w:val="22"/>
          <w:szCs w:val="22"/>
          <w:lang w:val="sk-SK"/>
        </w:rPr>
        <w:t>u</w:t>
      </w:r>
      <w:proofErr w:type="spellEnd"/>
      <w:r w:rsidR="00A302BA">
        <w:rPr>
          <w:bCs/>
          <w:sz w:val="22"/>
          <w:szCs w:val="22"/>
          <w:lang w:val="sk-SK"/>
        </w:rPr>
        <w:t xml:space="preserve"> v každej </w:t>
      </w:r>
      <w:r>
        <w:rPr>
          <w:bCs/>
          <w:sz w:val="22"/>
          <w:szCs w:val="22"/>
          <w:lang w:val="sk-SK"/>
        </w:rPr>
        <w:t xml:space="preserve">5 ml </w:t>
      </w:r>
      <w:r w:rsidR="00A302BA">
        <w:rPr>
          <w:bCs/>
          <w:sz w:val="22"/>
          <w:szCs w:val="22"/>
          <w:lang w:val="sk-SK"/>
        </w:rPr>
        <w:t>dávke (1 vrecko)</w:t>
      </w:r>
      <w:r w:rsidR="00075EBE" w:rsidRPr="00BD7491">
        <w:rPr>
          <w:bCs/>
          <w:sz w:val="22"/>
          <w:szCs w:val="22"/>
          <w:lang w:val="sk-SK"/>
        </w:rPr>
        <w:t xml:space="preserve">. </w:t>
      </w:r>
      <w:bookmarkEnd w:id="1"/>
      <w:r w:rsidR="00A302BA" w:rsidRPr="00A302BA">
        <w:rPr>
          <w:sz w:val="22"/>
          <w:szCs w:val="22"/>
          <w:lang w:val="sk-SK" w:eastAsia="fr-FR"/>
        </w:rPr>
        <w:t xml:space="preserve">Musí sa vziať do úvahy aditívny účinok súbežne podávaných liekov obsahujúcich </w:t>
      </w:r>
      <w:proofErr w:type="spellStart"/>
      <w:r w:rsidR="00A302BA" w:rsidRPr="00A302BA">
        <w:rPr>
          <w:sz w:val="22"/>
          <w:szCs w:val="22"/>
          <w:lang w:val="sk-SK" w:eastAsia="fr-FR"/>
        </w:rPr>
        <w:t>sorbitol</w:t>
      </w:r>
      <w:proofErr w:type="spellEnd"/>
      <w:r w:rsidR="00A302BA" w:rsidRPr="00A302BA">
        <w:rPr>
          <w:sz w:val="22"/>
          <w:szCs w:val="22"/>
          <w:lang w:val="sk-SK" w:eastAsia="fr-FR"/>
        </w:rPr>
        <w:t xml:space="preserve"> (alebo fruktózu) a príjem </w:t>
      </w:r>
      <w:proofErr w:type="spellStart"/>
      <w:r w:rsidR="00A302BA" w:rsidRPr="00A302BA">
        <w:rPr>
          <w:sz w:val="22"/>
          <w:szCs w:val="22"/>
          <w:lang w:val="sk-SK" w:eastAsia="fr-FR"/>
        </w:rPr>
        <w:t>sorbitolu</w:t>
      </w:r>
      <w:proofErr w:type="spellEnd"/>
      <w:r w:rsidR="00A302BA" w:rsidRPr="00A302BA">
        <w:rPr>
          <w:sz w:val="22"/>
          <w:szCs w:val="22"/>
          <w:lang w:val="sk-SK" w:eastAsia="fr-FR"/>
        </w:rPr>
        <w:t xml:space="preserve"> (alebo fruktózy) v strave.</w:t>
      </w:r>
    </w:p>
    <w:p w:rsidR="00A302BA" w:rsidRPr="00A302BA" w:rsidRDefault="00A302BA" w:rsidP="00A302BA">
      <w:pPr>
        <w:rPr>
          <w:sz w:val="22"/>
          <w:szCs w:val="22"/>
          <w:lang w:val="sk-SK" w:eastAsia="fr-FR"/>
        </w:rPr>
      </w:pPr>
      <w:r w:rsidRPr="00A302BA">
        <w:rPr>
          <w:sz w:val="22"/>
          <w:szCs w:val="22"/>
          <w:lang w:val="sk-SK" w:eastAsia="fr-FR"/>
        </w:rPr>
        <w:t xml:space="preserve">Obsah </w:t>
      </w:r>
      <w:proofErr w:type="spellStart"/>
      <w:r w:rsidRPr="00A302BA">
        <w:rPr>
          <w:sz w:val="22"/>
          <w:szCs w:val="22"/>
          <w:lang w:val="sk-SK" w:eastAsia="fr-FR"/>
        </w:rPr>
        <w:t>sorbitolu</w:t>
      </w:r>
      <w:proofErr w:type="spellEnd"/>
      <w:r w:rsidRPr="00A302BA">
        <w:rPr>
          <w:sz w:val="22"/>
          <w:szCs w:val="22"/>
          <w:lang w:val="sk-SK" w:eastAsia="fr-FR"/>
        </w:rPr>
        <w:t xml:space="preserve"> v liekoch na perorálne použitie môže ovplyvniť biologickú dostupnosť iných liekov na perorálne použitie podávaných súbežne.</w:t>
      </w:r>
    </w:p>
    <w:p w:rsidR="00A302BA" w:rsidRPr="00A302BA" w:rsidRDefault="00A302BA" w:rsidP="00A302BA">
      <w:pPr>
        <w:rPr>
          <w:sz w:val="22"/>
          <w:szCs w:val="22"/>
          <w:lang w:val="sk-SK" w:eastAsia="fr-FR"/>
        </w:rPr>
      </w:pPr>
      <w:r w:rsidRPr="00A302BA">
        <w:rPr>
          <w:sz w:val="22"/>
          <w:szCs w:val="22"/>
          <w:lang w:val="sk-SK" w:eastAsia="fr-FR"/>
        </w:rPr>
        <w:t>Pacienti s hereditárnou intoleranciou fruktózy (HFI) nesmú užiť tento liek.</w:t>
      </w:r>
    </w:p>
    <w:p w:rsidR="00A302BA" w:rsidRPr="00AF044B" w:rsidRDefault="00A302BA" w:rsidP="00A302BA">
      <w:pPr>
        <w:rPr>
          <w:sz w:val="22"/>
          <w:szCs w:val="22"/>
          <w:lang w:val="sk-SK" w:eastAsia="fr-FR"/>
        </w:rPr>
      </w:pPr>
    </w:p>
    <w:p w:rsidR="009B5121" w:rsidRPr="00E27300" w:rsidRDefault="001471E4" w:rsidP="00E27300">
      <w:pPr>
        <w:rPr>
          <w:sz w:val="22"/>
          <w:szCs w:val="22"/>
        </w:rPr>
      </w:pPr>
      <w:bookmarkStart w:id="2" w:name="_Hlk41566651"/>
      <w:r w:rsidRPr="00E27300">
        <w:rPr>
          <w:sz w:val="22"/>
          <w:szCs w:val="22"/>
          <w:lang w:val="sk-SK"/>
        </w:rPr>
        <w:t>Tento l</w:t>
      </w:r>
      <w:r w:rsidR="00A302BA" w:rsidRPr="00E27300">
        <w:rPr>
          <w:sz w:val="22"/>
          <w:szCs w:val="22"/>
          <w:lang w:val="sk-SK"/>
        </w:rPr>
        <w:t>iek obsahuje menej ako 1</w:t>
      </w:r>
      <w:r w:rsidRPr="00E27300">
        <w:rPr>
          <w:sz w:val="22"/>
          <w:szCs w:val="22"/>
          <w:lang w:val="sk-SK"/>
        </w:rPr>
        <w:t> </w:t>
      </w:r>
      <w:proofErr w:type="spellStart"/>
      <w:r w:rsidR="00A302BA" w:rsidRPr="00E27300">
        <w:rPr>
          <w:sz w:val="22"/>
          <w:szCs w:val="22"/>
          <w:lang w:val="sk-SK"/>
        </w:rPr>
        <w:t>mmol</w:t>
      </w:r>
      <w:proofErr w:type="spellEnd"/>
      <w:r w:rsidR="00A302BA" w:rsidRPr="00E27300">
        <w:rPr>
          <w:sz w:val="22"/>
          <w:szCs w:val="22"/>
          <w:lang w:val="sk-SK"/>
        </w:rPr>
        <w:t xml:space="preserve"> sodíka (23</w:t>
      </w:r>
      <w:r w:rsidRPr="00E27300">
        <w:rPr>
          <w:sz w:val="22"/>
          <w:szCs w:val="22"/>
          <w:lang w:val="sk-SK"/>
        </w:rPr>
        <w:t> </w:t>
      </w:r>
      <w:r w:rsidR="00A302BA" w:rsidRPr="00E27300">
        <w:rPr>
          <w:sz w:val="22"/>
          <w:szCs w:val="22"/>
          <w:lang w:val="sk-SK"/>
        </w:rPr>
        <w:t>mg) v</w:t>
      </w:r>
      <w:r w:rsidR="009B5121" w:rsidRPr="00E27300">
        <w:rPr>
          <w:sz w:val="22"/>
          <w:szCs w:val="22"/>
          <w:lang w:val="sk-SK"/>
        </w:rPr>
        <w:t xml:space="preserve"> každej </w:t>
      </w:r>
      <w:r w:rsidRPr="00E27300">
        <w:rPr>
          <w:sz w:val="22"/>
          <w:szCs w:val="22"/>
          <w:lang w:val="sk-SK"/>
        </w:rPr>
        <w:t xml:space="preserve">5 ml </w:t>
      </w:r>
      <w:r w:rsidR="009B5121" w:rsidRPr="00E27300">
        <w:rPr>
          <w:sz w:val="22"/>
          <w:szCs w:val="22"/>
          <w:lang w:val="sk-SK"/>
        </w:rPr>
        <w:t>dávke (1</w:t>
      </w:r>
      <w:r w:rsidRPr="00E27300">
        <w:rPr>
          <w:sz w:val="22"/>
          <w:szCs w:val="22"/>
          <w:lang w:val="sk-SK"/>
        </w:rPr>
        <w:t> </w:t>
      </w:r>
      <w:r w:rsidR="009B5121" w:rsidRPr="00E27300">
        <w:rPr>
          <w:sz w:val="22"/>
          <w:szCs w:val="22"/>
          <w:lang w:val="sk-SK"/>
        </w:rPr>
        <w:t xml:space="preserve">vrecko), </w:t>
      </w:r>
      <w:r w:rsidR="00A302BA" w:rsidRPr="00E27300">
        <w:rPr>
          <w:sz w:val="22"/>
          <w:szCs w:val="22"/>
          <w:lang w:val="sk-SK"/>
        </w:rPr>
        <w:t>t.</w:t>
      </w:r>
      <w:r w:rsidRPr="00E27300">
        <w:rPr>
          <w:sz w:val="22"/>
          <w:szCs w:val="22"/>
          <w:lang w:val="sk-SK"/>
        </w:rPr>
        <w:t xml:space="preserve"> </w:t>
      </w:r>
      <w:r w:rsidR="00A302BA" w:rsidRPr="00E27300">
        <w:rPr>
          <w:sz w:val="22"/>
          <w:szCs w:val="22"/>
          <w:lang w:val="sk-SK"/>
        </w:rPr>
        <w:t>j. v</w:t>
      </w:r>
      <w:r w:rsidRPr="00E27300">
        <w:rPr>
          <w:sz w:val="22"/>
          <w:szCs w:val="22"/>
          <w:lang w:val="sk-SK"/>
        </w:rPr>
        <w:t> </w:t>
      </w:r>
      <w:r w:rsidR="00A302BA" w:rsidRPr="00E27300">
        <w:rPr>
          <w:sz w:val="22"/>
          <w:szCs w:val="22"/>
          <w:lang w:val="sk-SK"/>
        </w:rPr>
        <w:t>podstate zanedbateľné množstvo sodíka.</w:t>
      </w:r>
      <w:bookmarkStart w:id="3" w:name="_GoBack"/>
      <w:bookmarkEnd w:id="3"/>
    </w:p>
    <w:bookmarkEnd w:id="2"/>
    <w:p w:rsidR="003722B0" w:rsidRPr="00AF044B" w:rsidRDefault="003722B0" w:rsidP="00A56F3B">
      <w:pPr>
        <w:pStyle w:val="Zkladntext3"/>
        <w:rPr>
          <w:rFonts w:ascii="Times New Roman" w:hAnsi="Times New Roman"/>
          <w:sz w:val="22"/>
          <w:szCs w:val="22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4.5</w:t>
      </w:r>
      <w:r w:rsidRPr="00716FA2">
        <w:rPr>
          <w:b/>
          <w:sz w:val="22"/>
          <w:szCs w:val="22"/>
          <w:lang w:val="sk-SK"/>
        </w:rPr>
        <w:tab/>
        <w:t>Liekové a iné interakcie</w:t>
      </w:r>
    </w:p>
    <w:p w:rsidR="00CE46AC" w:rsidRPr="00716FA2" w:rsidRDefault="00CE46AC">
      <w:pPr>
        <w:jc w:val="both"/>
        <w:rPr>
          <w:sz w:val="22"/>
          <w:szCs w:val="22"/>
          <w:lang w:val="sk-SK"/>
        </w:rPr>
      </w:pPr>
    </w:p>
    <w:p w:rsidR="001C5BDC" w:rsidRPr="00AF044B" w:rsidRDefault="001C5BDC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ANACID</w:t>
      </w:r>
      <w:r>
        <w:rPr>
          <w:sz w:val="22"/>
          <w:szCs w:val="22"/>
          <w:lang w:val="sk-SK"/>
        </w:rPr>
        <w:t>,</w:t>
      </w:r>
      <w:r w:rsidR="00075EBE" w:rsidRPr="00716FA2">
        <w:rPr>
          <w:sz w:val="22"/>
          <w:szCs w:val="22"/>
          <w:lang w:val="sk-SK"/>
        </w:rPr>
        <w:t xml:space="preserve"> tak ako všetky </w:t>
      </w:r>
      <w:proofErr w:type="spellStart"/>
      <w:r w:rsidR="00075EBE" w:rsidRPr="00716FA2">
        <w:rPr>
          <w:sz w:val="22"/>
          <w:szCs w:val="22"/>
          <w:lang w:val="sk-SK"/>
        </w:rPr>
        <w:t>antacidá</w:t>
      </w:r>
      <w:proofErr w:type="spellEnd"/>
      <w:r>
        <w:rPr>
          <w:sz w:val="22"/>
          <w:szCs w:val="22"/>
          <w:lang w:val="sk-SK"/>
        </w:rPr>
        <w:t>,</w:t>
      </w:r>
      <w:r w:rsidR="00075EBE" w:rsidRPr="00716FA2">
        <w:rPr>
          <w:sz w:val="22"/>
          <w:szCs w:val="22"/>
          <w:lang w:val="sk-SK"/>
        </w:rPr>
        <w:t xml:space="preserve"> zmenou pH a svojou adsorpčnou kapacitou ovplyvňuje vstrebávanie rôznych liekov. </w:t>
      </w:r>
      <w:r w:rsidRPr="00716FA2">
        <w:rPr>
          <w:sz w:val="22"/>
          <w:szCs w:val="22"/>
          <w:lang w:val="sk-SK"/>
        </w:rPr>
        <w:t xml:space="preserve">ANACID </w:t>
      </w:r>
      <w:r w:rsidR="00075EBE" w:rsidRPr="00716FA2">
        <w:rPr>
          <w:sz w:val="22"/>
          <w:szCs w:val="22"/>
          <w:lang w:val="sk-SK"/>
        </w:rPr>
        <w:t xml:space="preserve">spomaľuje </w:t>
      </w:r>
      <w:r w:rsidR="00075EBE" w:rsidRPr="00AF044B">
        <w:rPr>
          <w:sz w:val="22"/>
          <w:szCs w:val="22"/>
          <w:lang w:val="sk-SK"/>
        </w:rPr>
        <w:t xml:space="preserve">vstrebávanie </w:t>
      </w:r>
      <w:proofErr w:type="spellStart"/>
      <w:r w:rsidR="00075EBE" w:rsidRPr="00AF044B">
        <w:rPr>
          <w:sz w:val="22"/>
          <w:szCs w:val="22"/>
          <w:lang w:val="sk-SK"/>
        </w:rPr>
        <w:t>nesteroidných</w:t>
      </w:r>
      <w:proofErr w:type="spellEnd"/>
      <w:r w:rsidR="00075EBE" w:rsidRPr="00AF044B">
        <w:rPr>
          <w:sz w:val="22"/>
          <w:szCs w:val="22"/>
          <w:lang w:val="sk-SK"/>
        </w:rPr>
        <w:t xml:space="preserve"> </w:t>
      </w:r>
      <w:proofErr w:type="spellStart"/>
      <w:r w:rsidR="00075EBE" w:rsidRPr="00AF044B">
        <w:rPr>
          <w:sz w:val="22"/>
          <w:szCs w:val="22"/>
          <w:lang w:val="sk-SK"/>
        </w:rPr>
        <w:t>antiflogistík</w:t>
      </w:r>
      <w:proofErr w:type="spellEnd"/>
      <w:r w:rsidR="00075EBE" w:rsidRPr="00AF044B">
        <w:rPr>
          <w:sz w:val="22"/>
          <w:szCs w:val="22"/>
          <w:lang w:val="sk-SK"/>
        </w:rPr>
        <w:t xml:space="preserve"> (</w:t>
      </w:r>
      <w:proofErr w:type="spellStart"/>
      <w:r w:rsidR="00075EBE" w:rsidRPr="00AF044B">
        <w:rPr>
          <w:sz w:val="22"/>
          <w:szCs w:val="22"/>
          <w:lang w:val="sk-SK"/>
        </w:rPr>
        <w:t>salicyláty</w:t>
      </w:r>
      <w:proofErr w:type="spellEnd"/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indometacín</w:t>
      </w:r>
      <w:proofErr w:type="spellEnd"/>
      <w:r w:rsidR="00075EBE" w:rsidRPr="00AF044B">
        <w:rPr>
          <w:sz w:val="22"/>
          <w:szCs w:val="22"/>
          <w:lang w:val="sk-SK"/>
        </w:rPr>
        <w:t>), antibakteriálnych látok (</w:t>
      </w:r>
      <w:proofErr w:type="spellStart"/>
      <w:r w:rsidR="00075EBE" w:rsidRPr="00AF044B">
        <w:rPr>
          <w:sz w:val="22"/>
          <w:szCs w:val="22"/>
          <w:lang w:val="sk-SK"/>
        </w:rPr>
        <w:t>etambutol</w:t>
      </w:r>
      <w:proofErr w:type="spellEnd"/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izoniazid</w:t>
      </w:r>
      <w:proofErr w:type="spellEnd"/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nitrofurantoín</w:t>
      </w:r>
      <w:proofErr w:type="spellEnd"/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flu</w:t>
      </w:r>
      <w:r w:rsidRPr="00AF044B">
        <w:rPr>
          <w:sz w:val="22"/>
          <w:szCs w:val="22"/>
          <w:lang w:val="sk-SK"/>
        </w:rPr>
        <w:t>ó</w:t>
      </w:r>
      <w:r w:rsidR="00075EBE" w:rsidRPr="00AF044B">
        <w:rPr>
          <w:sz w:val="22"/>
          <w:szCs w:val="22"/>
          <w:lang w:val="sk-SK"/>
        </w:rPr>
        <w:t>rchinolóny</w:t>
      </w:r>
      <w:proofErr w:type="spellEnd"/>
      <w:r w:rsidR="00075EBE" w:rsidRPr="00AF044B">
        <w:rPr>
          <w:sz w:val="22"/>
          <w:szCs w:val="22"/>
          <w:lang w:val="sk-SK"/>
        </w:rPr>
        <w:t xml:space="preserve">, sulfónamidy, tetracyklíny), </w:t>
      </w:r>
      <w:proofErr w:type="spellStart"/>
      <w:r w:rsidR="00075EBE" w:rsidRPr="00AF044B">
        <w:rPr>
          <w:sz w:val="22"/>
          <w:szCs w:val="22"/>
          <w:lang w:val="sk-SK"/>
        </w:rPr>
        <w:t>kortikoidov</w:t>
      </w:r>
      <w:proofErr w:type="spellEnd"/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fenotiazínu</w:t>
      </w:r>
      <w:proofErr w:type="spellEnd"/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benzodiazepínov</w:t>
      </w:r>
      <w:proofErr w:type="spellEnd"/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fenytoínu</w:t>
      </w:r>
      <w:proofErr w:type="spellEnd"/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valproátu</w:t>
      </w:r>
      <w:proofErr w:type="spellEnd"/>
      <w:r w:rsidRPr="00AF044B">
        <w:rPr>
          <w:sz w:val="22"/>
          <w:szCs w:val="22"/>
          <w:lang w:val="sk-SK"/>
        </w:rPr>
        <w:t xml:space="preserve"> sodného</w:t>
      </w:r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teofylínu</w:t>
      </w:r>
      <w:proofErr w:type="spellEnd"/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ketokonazolu</w:t>
      </w:r>
      <w:proofErr w:type="spellEnd"/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tyroxínu</w:t>
      </w:r>
      <w:proofErr w:type="spellEnd"/>
      <w:r w:rsidR="00075EBE" w:rsidRPr="00AF044B">
        <w:rPr>
          <w:sz w:val="22"/>
          <w:szCs w:val="22"/>
          <w:lang w:val="sk-SK"/>
        </w:rPr>
        <w:t>, H</w:t>
      </w:r>
      <w:r w:rsidR="00075EBE" w:rsidRPr="00AF044B">
        <w:rPr>
          <w:sz w:val="22"/>
          <w:szCs w:val="22"/>
          <w:vertAlign w:val="subscript"/>
          <w:lang w:val="sk-SK"/>
        </w:rPr>
        <w:t>2</w:t>
      </w:r>
      <w:r w:rsidR="00075EBE" w:rsidRPr="00AF044B">
        <w:rPr>
          <w:sz w:val="22"/>
          <w:szCs w:val="22"/>
          <w:lang w:val="sk-SK"/>
        </w:rPr>
        <w:t xml:space="preserve"> </w:t>
      </w:r>
      <w:proofErr w:type="spellStart"/>
      <w:r w:rsidR="00075EBE" w:rsidRPr="00AF044B">
        <w:rPr>
          <w:sz w:val="22"/>
          <w:szCs w:val="22"/>
          <w:lang w:val="sk-SK"/>
        </w:rPr>
        <w:t>antihistaminík</w:t>
      </w:r>
      <w:proofErr w:type="spellEnd"/>
      <w:r w:rsidR="00075EBE" w:rsidRPr="00AF044B">
        <w:rPr>
          <w:sz w:val="22"/>
          <w:szCs w:val="22"/>
          <w:lang w:val="sk-SK"/>
        </w:rPr>
        <w:t xml:space="preserve"> (</w:t>
      </w:r>
      <w:proofErr w:type="spellStart"/>
      <w:r w:rsidR="00075EBE" w:rsidRPr="00AF044B">
        <w:rPr>
          <w:sz w:val="22"/>
          <w:szCs w:val="22"/>
          <w:lang w:val="sk-SK"/>
        </w:rPr>
        <w:t>cimetidín</w:t>
      </w:r>
      <w:proofErr w:type="spellEnd"/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ranitidín</w:t>
      </w:r>
      <w:proofErr w:type="spellEnd"/>
      <w:r w:rsidR="00075EBE" w:rsidRPr="00AF044B">
        <w:rPr>
          <w:sz w:val="22"/>
          <w:szCs w:val="22"/>
          <w:lang w:val="sk-SK"/>
        </w:rPr>
        <w:t xml:space="preserve">), liekov s obsahom železa, fosfátov, fluoridov, vitamínu A, vitamínu C alebo </w:t>
      </w:r>
      <w:proofErr w:type="spellStart"/>
      <w:r w:rsidR="00075EBE" w:rsidRPr="00AF044B">
        <w:rPr>
          <w:sz w:val="22"/>
          <w:szCs w:val="22"/>
          <w:lang w:val="sk-SK"/>
        </w:rPr>
        <w:t>citrátov</w:t>
      </w:r>
      <w:proofErr w:type="spellEnd"/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antikoagulancií</w:t>
      </w:r>
      <w:proofErr w:type="spellEnd"/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beta-blokátorov</w:t>
      </w:r>
      <w:proofErr w:type="spellEnd"/>
      <w:r w:rsidR="00075EBE" w:rsidRPr="00AF044B">
        <w:rPr>
          <w:sz w:val="22"/>
          <w:szCs w:val="22"/>
          <w:lang w:val="sk-SK"/>
        </w:rPr>
        <w:t xml:space="preserve">, ACE inhibítorov, </w:t>
      </w:r>
      <w:proofErr w:type="spellStart"/>
      <w:r w:rsidR="00075EBE" w:rsidRPr="00AF044B">
        <w:rPr>
          <w:sz w:val="22"/>
          <w:szCs w:val="22"/>
          <w:lang w:val="sk-SK"/>
        </w:rPr>
        <w:t>alopurinolu</w:t>
      </w:r>
      <w:proofErr w:type="spellEnd"/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gemfibrozilu</w:t>
      </w:r>
      <w:proofErr w:type="spellEnd"/>
      <w:r w:rsidR="00075EBE" w:rsidRPr="00AF044B">
        <w:rPr>
          <w:sz w:val="22"/>
          <w:szCs w:val="22"/>
          <w:lang w:val="sk-SK"/>
        </w:rPr>
        <w:t xml:space="preserve">, </w:t>
      </w:r>
      <w:proofErr w:type="spellStart"/>
      <w:r w:rsidR="00075EBE" w:rsidRPr="00AF044B">
        <w:rPr>
          <w:sz w:val="22"/>
          <w:szCs w:val="22"/>
          <w:lang w:val="sk-SK"/>
        </w:rPr>
        <w:t>takrol</w:t>
      </w:r>
      <w:r w:rsidR="0085325E" w:rsidRPr="00AF044B">
        <w:rPr>
          <w:sz w:val="22"/>
          <w:szCs w:val="22"/>
          <w:lang w:val="sk-SK"/>
        </w:rPr>
        <w:t>i</w:t>
      </w:r>
      <w:r w:rsidR="00075EBE" w:rsidRPr="00AF044B">
        <w:rPr>
          <w:sz w:val="22"/>
          <w:szCs w:val="22"/>
          <w:lang w:val="sk-SK"/>
        </w:rPr>
        <w:t>mu</w:t>
      </w:r>
      <w:proofErr w:type="spellEnd"/>
      <w:r w:rsidR="00075EBE" w:rsidRPr="00AF044B">
        <w:rPr>
          <w:sz w:val="22"/>
          <w:szCs w:val="22"/>
          <w:lang w:val="sk-SK"/>
        </w:rPr>
        <w:t xml:space="preserve"> a iných.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proofErr w:type="spellStart"/>
      <w:r w:rsidRPr="00AF044B">
        <w:rPr>
          <w:sz w:val="22"/>
          <w:szCs w:val="22"/>
          <w:lang w:val="sk-SK"/>
        </w:rPr>
        <w:t>Antichol</w:t>
      </w:r>
      <w:r w:rsidR="001C5BDC" w:rsidRPr="00AF044B">
        <w:rPr>
          <w:sz w:val="22"/>
          <w:szCs w:val="22"/>
          <w:lang w:val="sk-SK"/>
        </w:rPr>
        <w:t>í</w:t>
      </w:r>
      <w:r w:rsidRPr="00AF044B">
        <w:rPr>
          <w:sz w:val="22"/>
          <w:szCs w:val="22"/>
          <w:lang w:val="sk-SK"/>
        </w:rPr>
        <w:t>nergiká</w:t>
      </w:r>
      <w:proofErr w:type="spellEnd"/>
      <w:r w:rsidRPr="00AF044B">
        <w:rPr>
          <w:sz w:val="22"/>
          <w:szCs w:val="22"/>
          <w:lang w:val="sk-SK"/>
        </w:rPr>
        <w:t xml:space="preserve"> zvyšujú a prolongujú účinok </w:t>
      </w:r>
      <w:r w:rsidR="001C5BDC" w:rsidRPr="00AF044B">
        <w:rPr>
          <w:sz w:val="22"/>
          <w:szCs w:val="22"/>
          <w:lang w:val="sk-SK"/>
        </w:rPr>
        <w:t>ANACIDU</w:t>
      </w:r>
      <w:r w:rsidRPr="00AF044B">
        <w:rPr>
          <w:sz w:val="22"/>
          <w:szCs w:val="22"/>
          <w:lang w:val="sk-SK"/>
        </w:rPr>
        <w:t xml:space="preserve"> tým, že</w:t>
      </w:r>
      <w:r w:rsidRPr="00716FA2">
        <w:rPr>
          <w:sz w:val="22"/>
          <w:szCs w:val="22"/>
          <w:lang w:val="sk-SK"/>
        </w:rPr>
        <w:t xml:space="preserve"> spomaľujú vyprázdňovanie žalúdka.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Preto sa odporúča podávanie iných liekov najmenej 2 hodiny pred podaním alebo po podaní </w:t>
      </w:r>
      <w:r w:rsidR="001C5BDC" w:rsidRPr="00716FA2">
        <w:rPr>
          <w:sz w:val="22"/>
          <w:szCs w:val="22"/>
          <w:lang w:val="sk-SK"/>
        </w:rPr>
        <w:t>ANACIDU</w:t>
      </w:r>
      <w:r w:rsidRPr="00716FA2">
        <w:rPr>
          <w:sz w:val="22"/>
          <w:szCs w:val="22"/>
          <w:lang w:val="sk-SK"/>
        </w:rPr>
        <w:t>.</w:t>
      </w:r>
    </w:p>
    <w:p w:rsidR="00B1588E" w:rsidRPr="00716FA2" w:rsidRDefault="00B1588E">
      <w:pPr>
        <w:jc w:val="both"/>
        <w:rPr>
          <w:sz w:val="22"/>
          <w:szCs w:val="22"/>
          <w:lang w:val="sk-SK"/>
        </w:rPr>
      </w:pPr>
    </w:p>
    <w:p w:rsidR="00B1588E" w:rsidRPr="00BD7491" w:rsidRDefault="00B1588E">
      <w:pPr>
        <w:jc w:val="both"/>
        <w:rPr>
          <w:sz w:val="22"/>
          <w:szCs w:val="22"/>
          <w:lang w:val="sk-SK"/>
        </w:rPr>
      </w:pPr>
      <w:proofErr w:type="spellStart"/>
      <w:r w:rsidRPr="00716FA2">
        <w:rPr>
          <w:sz w:val="22"/>
          <w:szCs w:val="22"/>
          <w:lang w:val="sk-SK"/>
        </w:rPr>
        <w:t>Alkalizácia</w:t>
      </w:r>
      <w:proofErr w:type="spellEnd"/>
      <w:r w:rsidRPr="00716FA2">
        <w:rPr>
          <w:sz w:val="22"/>
          <w:szCs w:val="22"/>
          <w:lang w:val="sk-SK"/>
        </w:rPr>
        <w:t xml:space="preserve"> moču po podaní hydroxidu </w:t>
      </w:r>
      <w:proofErr w:type="spellStart"/>
      <w:r w:rsidRPr="00716FA2">
        <w:rPr>
          <w:sz w:val="22"/>
          <w:szCs w:val="22"/>
          <w:lang w:val="sk-SK"/>
        </w:rPr>
        <w:t>horečnatého</w:t>
      </w:r>
      <w:proofErr w:type="spellEnd"/>
      <w:r w:rsidRPr="00716FA2">
        <w:rPr>
          <w:sz w:val="22"/>
          <w:szCs w:val="22"/>
          <w:lang w:val="sk-SK"/>
        </w:rPr>
        <w:t xml:space="preserve"> môže zmeniť vylučovanie niektorých liekov</w:t>
      </w:r>
      <w:r w:rsidR="00716FA2">
        <w:rPr>
          <w:sz w:val="22"/>
          <w:szCs w:val="22"/>
          <w:lang w:val="sk-SK"/>
        </w:rPr>
        <w:t>,</w:t>
      </w:r>
      <w:r w:rsidRPr="00716FA2">
        <w:rPr>
          <w:sz w:val="22"/>
          <w:szCs w:val="22"/>
          <w:lang w:val="sk-SK"/>
        </w:rPr>
        <w:t xml:space="preserve"> preto sa pozorovalo zvýšené vylučovanie </w:t>
      </w:r>
      <w:proofErr w:type="spellStart"/>
      <w:r w:rsidRPr="00716FA2">
        <w:rPr>
          <w:sz w:val="22"/>
          <w:szCs w:val="22"/>
          <w:lang w:val="sk-SK"/>
        </w:rPr>
        <w:t>salicylátov</w:t>
      </w:r>
      <w:proofErr w:type="spellEnd"/>
      <w:r w:rsidRPr="00716FA2">
        <w:rPr>
          <w:sz w:val="22"/>
          <w:szCs w:val="22"/>
          <w:lang w:val="sk-SK"/>
        </w:rPr>
        <w:t>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B75E4C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4.6</w:t>
      </w:r>
      <w:r w:rsidRPr="00716FA2">
        <w:rPr>
          <w:b/>
          <w:sz w:val="22"/>
          <w:szCs w:val="22"/>
          <w:lang w:val="sk-SK"/>
        </w:rPr>
        <w:tab/>
      </w:r>
      <w:proofErr w:type="spellStart"/>
      <w:r w:rsidRPr="00716FA2">
        <w:rPr>
          <w:b/>
          <w:sz w:val="22"/>
          <w:szCs w:val="22"/>
          <w:lang w:val="sk-SK"/>
        </w:rPr>
        <w:t>Fertilita</w:t>
      </w:r>
      <w:proofErr w:type="spellEnd"/>
      <w:r w:rsidRPr="00716FA2">
        <w:rPr>
          <w:b/>
          <w:sz w:val="22"/>
          <w:szCs w:val="22"/>
          <w:lang w:val="sk-SK"/>
        </w:rPr>
        <w:t>, gravidita a laktácia</w:t>
      </w:r>
    </w:p>
    <w:p w:rsidR="00B75E4C" w:rsidRPr="00BD7491" w:rsidRDefault="00B75E4C">
      <w:pPr>
        <w:jc w:val="both"/>
        <w:rPr>
          <w:sz w:val="22"/>
          <w:szCs w:val="22"/>
          <w:lang w:val="sk-SK"/>
        </w:rPr>
      </w:pPr>
    </w:p>
    <w:p w:rsidR="003722B0" w:rsidRPr="00BD7491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u w:val="single"/>
          <w:lang w:val="sk-SK"/>
        </w:rPr>
        <w:t>Gravidita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Štúdie na zvieratách ani klinické štúdie neboli vykonané. Podávanie </w:t>
      </w:r>
      <w:proofErr w:type="spellStart"/>
      <w:r w:rsidRPr="00716FA2">
        <w:rPr>
          <w:sz w:val="22"/>
          <w:szCs w:val="22"/>
          <w:lang w:val="sk-SK"/>
        </w:rPr>
        <w:t>antacíd</w:t>
      </w:r>
      <w:proofErr w:type="spellEnd"/>
      <w:r w:rsidRPr="00716FA2">
        <w:rPr>
          <w:sz w:val="22"/>
          <w:szCs w:val="22"/>
          <w:lang w:val="sk-SK"/>
        </w:rPr>
        <w:t xml:space="preserve"> (s obsahom hliníka, vápnika alebo horčíka) gravidným ženám však môže viesť k výskytu nežiaducich účinkov, ako je </w:t>
      </w:r>
      <w:proofErr w:type="spellStart"/>
      <w:r w:rsidRPr="00716FA2">
        <w:rPr>
          <w:sz w:val="22"/>
          <w:szCs w:val="22"/>
          <w:lang w:val="sk-SK"/>
        </w:rPr>
        <w:t>hyperkalciémia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hypomagneziémia</w:t>
      </w:r>
      <w:proofErr w:type="spellEnd"/>
      <w:r w:rsidRPr="00716FA2">
        <w:rPr>
          <w:sz w:val="22"/>
          <w:szCs w:val="22"/>
          <w:lang w:val="sk-SK"/>
        </w:rPr>
        <w:t xml:space="preserve">, </w:t>
      </w:r>
      <w:proofErr w:type="spellStart"/>
      <w:r w:rsidRPr="00716FA2">
        <w:rPr>
          <w:sz w:val="22"/>
          <w:szCs w:val="22"/>
          <w:lang w:val="sk-SK"/>
        </w:rPr>
        <w:t>hypermagneziémia</w:t>
      </w:r>
      <w:proofErr w:type="spellEnd"/>
      <w:r w:rsidRPr="00716FA2">
        <w:rPr>
          <w:sz w:val="22"/>
          <w:szCs w:val="22"/>
          <w:lang w:val="sk-SK"/>
        </w:rPr>
        <w:t xml:space="preserve"> a </w:t>
      </w:r>
      <w:proofErr w:type="spellStart"/>
      <w:r w:rsidRPr="00716FA2">
        <w:rPr>
          <w:sz w:val="22"/>
          <w:szCs w:val="22"/>
          <w:lang w:val="sk-SK"/>
        </w:rPr>
        <w:t>hyperreflexia</w:t>
      </w:r>
      <w:proofErr w:type="spellEnd"/>
      <w:r w:rsidRPr="00716FA2">
        <w:rPr>
          <w:sz w:val="22"/>
          <w:szCs w:val="22"/>
          <w:lang w:val="sk-SK"/>
        </w:rPr>
        <w:t xml:space="preserve"> u plodov alebo novorodencov, ktorých matky v gravidite dlhodobo užívali </w:t>
      </w:r>
      <w:proofErr w:type="spellStart"/>
      <w:r w:rsidRPr="00716FA2">
        <w:rPr>
          <w:sz w:val="22"/>
          <w:szCs w:val="22"/>
          <w:lang w:val="sk-SK"/>
        </w:rPr>
        <w:t>antacidá</w:t>
      </w:r>
      <w:proofErr w:type="spellEnd"/>
      <w:r w:rsidRPr="00716FA2">
        <w:rPr>
          <w:sz w:val="22"/>
          <w:szCs w:val="22"/>
          <w:lang w:val="sk-SK"/>
        </w:rPr>
        <w:t>, najmä vyššie dávky.</w:t>
      </w:r>
    </w:p>
    <w:p w:rsidR="008B20B7" w:rsidRDefault="008B20B7">
      <w:pPr>
        <w:pStyle w:val="Zkladntext3"/>
        <w:rPr>
          <w:rFonts w:ascii="Times New Roman" w:hAnsi="Times New Roman"/>
          <w:sz w:val="22"/>
          <w:szCs w:val="22"/>
        </w:rPr>
      </w:pPr>
    </w:p>
    <w:p w:rsidR="003722B0" w:rsidRPr="00716FA2" w:rsidRDefault="00075EBE">
      <w:pPr>
        <w:pStyle w:val="Zkladntext3"/>
        <w:rPr>
          <w:rFonts w:ascii="Times New Roman" w:hAnsi="Times New Roman"/>
          <w:sz w:val="22"/>
          <w:szCs w:val="22"/>
        </w:rPr>
      </w:pPr>
      <w:r w:rsidRPr="00716FA2">
        <w:rPr>
          <w:rFonts w:ascii="Times New Roman" w:hAnsi="Times New Roman"/>
          <w:sz w:val="22"/>
          <w:szCs w:val="22"/>
        </w:rPr>
        <w:t xml:space="preserve">Podávanie </w:t>
      </w:r>
      <w:proofErr w:type="spellStart"/>
      <w:r w:rsidRPr="00716FA2">
        <w:rPr>
          <w:rFonts w:ascii="Times New Roman" w:hAnsi="Times New Roman"/>
          <w:sz w:val="22"/>
          <w:szCs w:val="22"/>
        </w:rPr>
        <w:t>antacíd</w:t>
      </w:r>
      <w:proofErr w:type="spellEnd"/>
      <w:r w:rsidRPr="00716FA2">
        <w:rPr>
          <w:rFonts w:ascii="Times New Roman" w:hAnsi="Times New Roman"/>
          <w:sz w:val="22"/>
          <w:szCs w:val="22"/>
        </w:rPr>
        <w:t xml:space="preserve"> počas gravidity sa všeobecne považuje za bezpečné, avšak neodporúča sa ich dlhodobé užívanie vo vysokých dávkach.</w:t>
      </w:r>
    </w:p>
    <w:p w:rsidR="0093098E" w:rsidRPr="00716FA2" w:rsidRDefault="0093098E">
      <w:pPr>
        <w:pStyle w:val="Zkladntext3"/>
        <w:rPr>
          <w:rFonts w:ascii="Times New Roman" w:hAnsi="Times New Roman"/>
          <w:sz w:val="22"/>
          <w:szCs w:val="22"/>
          <w:u w:val="single"/>
        </w:rPr>
      </w:pPr>
    </w:p>
    <w:p w:rsidR="0093098E" w:rsidRPr="00716FA2" w:rsidRDefault="00392825" w:rsidP="00BD7491">
      <w:pPr>
        <w:pStyle w:val="Zkladntext3"/>
        <w:keepNext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Dojčenie</w:t>
      </w:r>
    </w:p>
    <w:p w:rsidR="003722B0" w:rsidRPr="00716FA2" w:rsidRDefault="00075EBE">
      <w:pPr>
        <w:pStyle w:val="Zkladntext3"/>
        <w:rPr>
          <w:rFonts w:ascii="Times New Roman" w:hAnsi="Times New Roman"/>
          <w:sz w:val="22"/>
          <w:szCs w:val="22"/>
        </w:rPr>
      </w:pPr>
      <w:proofErr w:type="spellStart"/>
      <w:r w:rsidRPr="00716FA2">
        <w:rPr>
          <w:rFonts w:ascii="Times New Roman" w:hAnsi="Times New Roman"/>
          <w:sz w:val="22"/>
          <w:szCs w:val="22"/>
        </w:rPr>
        <w:t>Antacidá</w:t>
      </w:r>
      <w:proofErr w:type="spellEnd"/>
      <w:r w:rsidRPr="00716FA2">
        <w:rPr>
          <w:rFonts w:ascii="Times New Roman" w:hAnsi="Times New Roman"/>
          <w:sz w:val="22"/>
          <w:szCs w:val="22"/>
        </w:rPr>
        <w:t xml:space="preserve"> sa vylučujú do materského mlieka, ich koncentrácie však nie sú také významné, aby mohlo dôjsť k ovplyvneniu novorodenca. Napriek tomu pred podaním </w:t>
      </w:r>
      <w:proofErr w:type="spellStart"/>
      <w:r w:rsidRPr="00716FA2">
        <w:rPr>
          <w:rFonts w:ascii="Times New Roman" w:hAnsi="Times New Roman"/>
          <w:sz w:val="22"/>
          <w:szCs w:val="22"/>
        </w:rPr>
        <w:t>antacíd</w:t>
      </w:r>
      <w:proofErr w:type="spellEnd"/>
      <w:r w:rsidRPr="00716FA2">
        <w:rPr>
          <w:rFonts w:ascii="Times New Roman" w:hAnsi="Times New Roman"/>
          <w:sz w:val="22"/>
          <w:szCs w:val="22"/>
        </w:rPr>
        <w:t xml:space="preserve"> (predovšetkým v prvom </w:t>
      </w:r>
      <w:proofErr w:type="spellStart"/>
      <w:r w:rsidRPr="00716FA2">
        <w:rPr>
          <w:rFonts w:ascii="Times New Roman" w:hAnsi="Times New Roman"/>
          <w:sz w:val="22"/>
          <w:szCs w:val="22"/>
        </w:rPr>
        <w:t>trimestri</w:t>
      </w:r>
      <w:proofErr w:type="spellEnd"/>
      <w:r w:rsidRPr="00716FA2">
        <w:rPr>
          <w:rFonts w:ascii="Times New Roman" w:hAnsi="Times New Roman"/>
          <w:sz w:val="22"/>
          <w:szCs w:val="22"/>
        </w:rPr>
        <w:t xml:space="preserve">) je nevyhnutné posúdiť riziko pre plod oproti očakávanému prínosu liečby a podávať </w:t>
      </w:r>
      <w:r w:rsidR="008B20B7">
        <w:rPr>
          <w:rFonts w:ascii="Times New Roman" w:hAnsi="Times New Roman"/>
          <w:sz w:val="22"/>
          <w:szCs w:val="22"/>
        </w:rPr>
        <w:t>ich</w:t>
      </w:r>
      <w:r w:rsidRPr="00716FA2">
        <w:rPr>
          <w:rFonts w:ascii="Times New Roman" w:hAnsi="Times New Roman"/>
          <w:sz w:val="22"/>
          <w:szCs w:val="22"/>
        </w:rPr>
        <w:t xml:space="preserve"> len v nevyhnutných prípadoch.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4.7</w:t>
      </w:r>
      <w:r w:rsidRPr="00716FA2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176F59" w:rsidRPr="00BD7491" w:rsidRDefault="00176F59">
      <w:pPr>
        <w:jc w:val="both"/>
        <w:rPr>
          <w:sz w:val="22"/>
          <w:szCs w:val="22"/>
          <w:lang w:val="sk-SK"/>
        </w:rPr>
      </w:pPr>
    </w:p>
    <w:p w:rsidR="003722B0" w:rsidRPr="00716FA2" w:rsidRDefault="008B20B7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ANACID</w:t>
      </w:r>
      <w:r w:rsidR="00075EBE" w:rsidRPr="00716FA2">
        <w:rPr>
          <w:sz w:val="22"/>
          <w:szCs w:val="22"/>
          <w:lang w:val="sk-SK"/>
        </w:rPr>
        <w:t xml:space="preserve"> nemá žiadny alebo má zanedbateľný vplyv na schopnosť viesť vozidlá a obsluhovať stroje.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4.8</w:t>
      </w:r>
      <w:r w:rsidRPr="00716FA2">
        <w:rPr>
          <w:b/>
          <w:sz w:val="22"/>
          <w:szCs w:val="22"/>
          <w:lang w:val="sk-SK"/>
        </w:rPr>
        <w:tab/>
        <w:t>Nežiaduce účinky</w:t>
      </w:r>
    </w:p>
    <w:p w:rsidR="00D96B4A" w:rsidRPr="00160A67" w:rsidRDefault="00D96B4A" w:rsidP="008D1864">
      <w:pPr>
        <w:rPr>
          <w:sz w:val="22"/>
          <w:szCs w:val="22"/>
          <w:lang w:val="sk-SK"/>
        </w:rPr>
      </w:pPr>
    </w:p>
    <w:p w:rsidR="00160A67" w:rsidRPr="00BD7491" w:rsidRDefault="00160A67" w:rsidP="00160A67">
      <w:pPr>
        <w:pStyle w:val="Hlavika"/>
        <w:tabs>
          <w:tab w:val="num" w:pos="1080"/>
        </w:tabs>
        <w:rPr>
          <w:rFonts w:ascii="Times New Roman" w:hAnsi="Times New Roman"/>
          <w:sz w:val="22"/>
          <w:szCs w:val="22"/>
          <w:lang w:val="sk-SK"/>
        </w:rPr>
      </w:pPr>
      <w:r w:rsidRPr="00BD7491">
        <w:rPr>
          <w:rFonts w:ascii="Times New Roman" w:hAnsi="Times New Roman"/>
          <w:sz w:val="22"/>
          <w:szCs w:val="22"/>
          <w:lang w:val="sk-SK"/>
        </w:rPr>
        <w:t>Nežiaduce účinky sú klasifikované podľa frekvencie výskytu a podľa tried orgánových systémov (</w:t>
      </w:r>
      <w:proofErr w:type="spellStart"/>
      <w:r w:rsidRPr="00BD7491">
        <w:rPr>
          <w:rFonts w:ascii="Times New Roman" w:hAnsi="Times New Roman"/>
          <w:sz w:val="22"/>
          <w:szCs w:val="22"/>
          <w:lang w:val="sk-SK"/>
        </w:rPr>
        <w:t>system</w:t>
      </w:r>
      <w:proofErr w:type="spellEnd"/>
      <w:r w:rsidRPr="00BD7491">
        <w:rPr>
          <w:rFonts w:ascii="Times New Roman" w:hAnsi="Times New Roman"/>
          <w:sz w:val="22"/>
          <w:szCs w:val="22"/>
          <w:lang w:val="sk-SK"/>
        </w:rPr>
        <w:t xml:space="preserve"> organ </w:t>
      </w:r>
      <w:proofErr w:type="spellStart"/>
      <w:r w:rsidRPr="00BD7491">
        <w:rPr>
          <w:rFonts w:ascii="Times New Roman" w:hAnsi="Times New Roman"/>
          <w:sz w:val="22"/>
          <w:szCs w:val="22"/>
          <w:lang w:val="sk-SK"/>
        </w:rPr>
        <w:t>class</w:t>
      </w:r>
      <w:proofErr w:type="spellEnd"/>
      <w:r w:rsidRPr="00BD7491">
        <w:rPr>
          <w:rFonts w:ascii="Times New Roman" w:hAnsi="Times New Roman"/>
          <w:sz w:val="22"/>
          <w:szCs w:val="22"/>
          <w:lang w:val="sk-SK"/>
        </w:rPr>
        <w:t>, SOC). Kategórie frekvencie sú definované podľa nasledujúcej konvencie: veľmi časté (≥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1/10), časté (≥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1/100 až &lt;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1/10), menej časté (≥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1/1000 až &lt;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1/100), zriedkavé (≥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1/10 000 až &lt;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1/1000), veľmi zriedkavé (&lt;</w:t>
      </w:r>
      <w:r w:rsidR="00E112A6">
        <w:rPr>
          <w:rFonts w:ascii="Times New Roman" w:hAnsi="Times New Roman"/>
          <w:sz w:val="22"/>
          <w:szCs w:val="22"/>
          <w:lang w:val="sk-SK"/>
        </w:rPr>
        <w:t> </w:t>
      </w:r>
      <w:r w:rsidRPr="00BD7491">
        <w:rPr>
          <w:rFonts w:ascii="Times New Roman" w:hAnsi="Times New Roman"/>
          <w:sz w:val="22"/>
          <w:szCs w:val="22"/>
          <w:lang w:val="sk-SK"/>
        </w:rPr>
        <w:t>1/10 000), neznáme (z dostupných údajov).</w:t>
      </w:r>
    </w:p>
    <w:p w:rsidR="00160A67" w:rsidRPr="00716FA2" w:rsidRDefault="00160A67" w:rsidP="008D1864">
      <w:pPr>
        <w:rPr>
          <w:sz w:val="22"/>
          <w:szCs w:val="22"/>
          <w:lang w:val="sk-SK"/>
        </w:rPr>
      </w:pPr>
    </w:p>
    <w:p w:rsidR="00160A67" w:rsidRPr="00716FA2" w:rsidRDefault="00160A67" w:rsidP="00160A67">
      <w:pPr>
        <w:rPr>
          <w:sz w:val="22"/>
          <w:szCs w:val="22"/>
          <w:u w:val="single"/>
          <w:lang w:val="sk-SK"/>
        </w:rPr>
      </w:pPr>
      <w:r w:rsidRPr="00C8019B">
        <w:rPr>
          <w:sz w:val="22"/>
          <w:szCs w:val="22"/>
          <w:u w:val="single"/>
          <w:lang w:val="sk-SK"/>
        </w:rPr>
        <w:t xml:space="preserve">Poruchy </w:t>
      </w:r>
      <w:proofErr w:type="spellStart"/>
      <w:r w:rsidRPr="00C8019B">
        <w:rPr>
          <w:sz w:val="22"/>
          <w:szCs w:val="22"/>
          <w:u w:val="single"/>
          <w:lang w:val="sk-SK"/>
        </w:rPr>
        <w:t>gastrointestinálneho</w:t>
      </w:r>
      <w:proofErr w:type="spellEnd"/>
      <w:r w:rsidRPr="00C8019B">
        <w:rPr>
          <w:sz w:val="22"/>
          <w:szCs w:val="22"/>
          <w:u w:val="single"/>
          <w:lang w:val="sk-SK"/>
        </w:rPr>
        <w:t xml:space="preserve"> traktu</w:t>
      </w:r>
    </w:p>
    <w:p w:rsidR="00160A67" w:rsidRPr="00C8019B" w:rsidRDefault="00E112A6" w:rsidP="00BD7491">
      <w:pPr>
        <w:tabs>
          <w:tab w:val="left" w:pos="1134"/>
        </w:tabs>
        <w:rPr>
          <w:sz w:val="22"/>
          <w:szCs w:val="22"/>
          <w:lang w:val="sk-SK"/>
        </w:rPr>
      </w:pPr>
      <w:r w:rsidRPr="00BD7491">
        <w:rPr>
          <w:i/>
          <w:sz w:val="22"/>
          <w:szCs w:val="22"/>
          <w:lang w:val="sk-SK"/>
        </w:rPr>
        <w:t>N</w:t>
      </w:r>
      <w:r w:rsidR="00160A67" w:rsidRPr="00BD7491">
        <w:rPr>
          <w:i/>
          <w:sz w:val="22"/>
          <w:szCs w:val="22"/>
          <w:lang w:val="sk-SK"/>
        </w:rPr>
        <w:t>eznám</w:t>
      </w:r>
      <w:r w:rsidRPr="00BD7491">
        <w:rPr>
          <w:i/>
          <w:sz w:val="22"/>
          <w:szCs w:val="22"/>
          <w:lang w:val="sk-SK"/>
        </w:rPr>
        <w:t>e</w:t>
      </w:r>
      <w:r w:rsidR="00160A67" w:rsidRPr="00BD7491">
        <w:rPr>
          <w:i/>
          <w:sz w:val="22"/>
          <w:szCs w:val="22"/>
          <w:lang w:val="sk-SK"/>
        </w:rPr>
        <w:t>:</w:t>
      </w:r>
      <w:r>
        <w:rPr>
          <w:sz w:val="22"/>
          <w:szCs w:val="22"/>
          <w:lang w:val="sk-SK"/>
        </w:rPr>
        <w:tab/>
      </w:r>
      <w:proofErr w:type="spellStart"/>
      <w:r w:rsidR="00160A67" w:rsidRPr="00C8019B">
        <w:rPr>
          <w:sz w:val="22"/>
          <w:szCs w:val="22"/>
          <w:lang w:val="sk-SK"/>
        </w:rPr>
        <w:t>abdominálna</w:t>
      </w:r>
      <w:proofErr w:type="spellEnd"/>
      <w:r w:rsidR="00160A67" w:rsidRPr="00C8019B">
        <w:rPr>
          <w:sz w:val="22"/>
          <w:szCs w:val="22"/>
          <w:lang w:val="sk-SK"/>
        </w:rPr>
        <w:t xml:space="preserve"> bolesť</w:t>
      </w:r>
    </w:p>
    <w:p w:rsidR="00160A67" w:rsidRPr="00716FA2" w:rsidRDefault="00160A67" w:rsidP="00160A67">
      <w:pPr>
        <w:rPr>
          <w:sz w:val="22"/>
          <w:szCs w:val="22"/>
          <w:u w:val="single"/>
          <w:lang w:val="sk-SK"/>
        </w:rPr>
      </w:pPr>
    </w:p>
    <w:p w:rsidR="00160A67" w:rsidRPr="00C8019B" w:rsidRDefault="00160A67" w:rsidP="00160A67">
      <w:pPr>
        <w:rPr>
          <w:sz w:val="22"/>
          <w:szCs w:val="22"/>
          <w:u w:val="single"/>
          <w:lang w:val="sk-SK"/>
        </w:rPr>
      </w:pPr>
      <w:r w:rsidRPr="00C8019B">
        <w:rPr>
          <w:sz w:val="22"/>
          <w:szCs w:val="22"/>
          <w:u w:val="single"/>
          <w:lang w:val="sk-SK"/>
        </w:rPr>
        <w:t>Poruchy metabolizmu a výživy</w:t>
      </w:r>
    </w:p>
    <w:p w:rsidR="00E112A6" w:rsidRDefault="00160A67" w:rsidP="00BD7491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BD7491">
        <w:rPr>
          <w:i/>
          <w:sz w:val="22"/>
          <w:szCs w:val="22"/>
          <w:lang w:val="sk-SK"/>
        </w:rPr>
        <w:t>Veľmi zriedkav</w:t>
      </w:r>
      <w:r w:rsidR="00E112A6" w:rsidRPr="00BD7491">
        <w:rPr>
          <w:i/>
          <w:sz w:val="22"/>
          <w:szCs w:val="22"/>
          <w:lang w:val="sk-SK"/>
        </w:rPr>
        <w:t>é</w:t>
      </w:r>
      <w:r w:rsidRPr="00BD7491">
        <w:rPr>
          <w:i/>
          <w:sz w:val="22"/>
          <w:szCs w:val="22"/>
          <w:lang w:val="sk-SK"/>
        </w:rPr>
        <w:t>:</w:t>
      </w:r>
      <w:r w:rsidR="00E112A6">
        <w:rPr>
          <w:i/>
          <w:sz w:val="22"/>
          <w:szCs w:val="22"/>
          <w:lang w:val="sk-SK"/>
        </w:rPr>
        <w:tab/>
      </w:r>
      <w:proofErr w:type="spellStart"/>
      <w:r w:rsidR="00E112A6">
        <w:rPr>
          <w:sz w:val="22"/>
          <w:szCs w:val="22"/>
          <w:lang w:val="sk-SK"/>
        </w:rPr>
        <w:t>hypermagneziémia</w:t>
      </w:r>
      <w:proofErr w:type="spellEnd"/>
      <w:r w:rsidR="00E112A6">
        <w:rPr>
          <w:sz w:val="22"/>
          <w:szCs w:val="22"/>
          <w:lang w:val="sk-SK"/>
        </w:rPr>
        <w:t>.</w:t>
      </w:r>
    </w:p>
    <w:p w:rsidR="00E112A6" w:rsidRPr="0097144E" w:rsidRDefault="00E112A6">
      <w:pPr>
        <w:rPr>
          <w:sz w:val="22"/>
          <w:szCs w:val="22"/>
          <w:lang w:val="sk-SK"/>
        </w:rPr>
      </w:pPr>
      <w:proofErr w:type="spellStart"/>
      <w:r w:rsidRPr="0097144E">
        <w:rPr>
          <w:sz w:val="22"/>
          <w:szCs w:val="22"/>
          <w:lang w:val="sk-SK"/>
        </w:rPr>
        <w:t>Hypermagneziémi</w:t>
      </w:r>
      <w:r>
        <w:rPr>
          <w:sz w:val="22"/>
          <w:szCs w:val="22"/>
          <w:lang w:val="sk-SK"/>
        </w:rPr>
        <w:t>a</w:t>
      </w:r>
      <w:proofErr w:type="spellEnd"/>
      <w:r>
        <w:rPr>
          <w:sz w:val="22"/>
          <w:szCs w:val="22"/>
          <w:lang w:val="sk-SK"/>
        </w:rPr>
        <w:t xml:space="preserve"> sa </w:t>
      </w:r>
      <w:r w:rsidRPr="00C8019B">
        <w:rPr>
          <w:sz w:val="22"/>
          <w:szCs w:val="22"/>
          <w:lang w:val="sk-SK"/>
        </w:rPr>
        <w:t xml:space="preserve">pozoruje </w:t>
      </w:r>
      <w:r w:rsidR="00160A67" w:rsidRPr="00C8019B">
        <w:rPr>
          <w:sz w:val="22"/>
          <w:szCs w:val="22"/>
          <w:lang w:val="sk-SK"/>
        </w:rPr>
        <w:t xml:space="preserve">po </w:t>
      </w:r>
      <w:r w:rsidR="00160A67">
        <w:rPr>
          <w:sz w:val="22"/>
          <w:szCs w:val="22"/>
          <w:lang w:val="sk-SK"/>
        </w:rPr>
        <w:t>dlhodob</w:t>
      </w:r>
      <w:r>
        <w:rPr>
          <w:sz w:val="22"/>
          <w:szCs w:val="22"/>
          <w:lang w:val="sk-SK"/>
        </w:rPr>
        <w:t>om</w:t>
      </w:r>
      <w:r w:rsidR="00160A67" w:rsidRPr="00C8019B">
        <w:rPr>
          <w:sz w:val="22"/>
          <w:szCs w:val="22"/>
          <w:lang w:val="sk-SK"/>
        </w:rPr>
        <w:t xml:space="preserve"> podávaní hydroxidu </w:t>
      </w:r>
      <w:proofErr w:type="spellStart"/>
      <w:r w:rsidR="00160A67" w:rsidRPr="00C8019B">
        <w:rPr>
          <w:sz w:val="22"/>
          <w:szCs w:val="22"/>
          <w:lang w:val="sk-SK"/>
        </w:rPr>
        <w:t>horečnatého</w:t>
      </w:r>
      <w:proofErr w:type="spellEnd"/>
      <w:r w:rsidR="00160A67" w:rsidRPr="00C8019B">
        <w:rPr>
          <w:sz w:val="22"/>
          <w:szCs w:val="22"/>
          <w:lang w:val="sk-SK"/>
        </w:rPr>
        <w:t xml:space="preserve"> pacientom s poruchou funkcie obličiek.</w:t>
      </w:r>
      <w:r>
        <w:rPr>
          <w:sz w:val="22"/>
          <w:szCs w:val="22"/>
          <w:lang w:val="sk-SK"/>
        </w:rPr>
        <w:t xml:space="preserve"> Prejavuje</w:t>
      </w:r>
      <w:r w:rsidRPr="0097144E">
        <w:rPr>
          <w:sz w:val="22"/>
          <w:szCs w:val="22"/>
          <w:lang w:val="sk-SK"/>
        </w:rPr>
        <w:t xml:space="preserve"> sa smädom, hypotenziou a </w:t>
      </w:r>
      <w:proofErr w:type="spellStart"/>
      <w:r w:rsidRPr="0097144E">
        <w:rPr>
          <w:sz w:val="22"/>
          <w:szCs w:val="22"/>
          <w:lang w:val="sk-SK"/>
        </w:rPr>
        <w:t>hyporeflexiou</w:t>
      </w:r>
      <w:proofErr w:type="spellEnd"/>
      <w:r w:rsidRPr="0097144E">
        <w:rPr>
          <w:sz w:val="22"/>
          <w:szCs w:val="22"/>
          <w:lang w:val="sk-SK"/>
        </w:rPr>
        <w:t xml:space="preserve"> a prejavom toxicity hliníka v mozgu (riziko </w:t>
      </w:r>
      <w:proofErr w:type="spellStart"/>
      <w:r w:rsidRPr="0097144E">
        <w:rPr>
          <w:sz w:val="22"/>
          <w:szCs w:val="22"/>
          <w:lang w:val="sk-SK"/>
        </w:rPr>
        <w:t>encefalopatie</w:t>
      </w:r>
      <w:proofErr w:type="spellEnd"/>
      <w:r w:rsidRPr="0097144E">
        <w:rPr>
          <w:sz w:val="22"/>
          <w:szCs w:val="22"/>
          <w:lang w:val="sk-SK"/>
        </w:rPr>
        <w:t>), kostiach a </w:t>
      </w:r>
      <w:proofErr w:type="spellStart"/>
      <w:r w:rsidRPr="0097144E">
        <w:rPr>
          <w:sz w:val="22"/>
          <w:szCs w:val="22"/>
          <w:lang w:val="sk-SK"/>
        </w:rPr>
        <w:t>prištítnych</w:t>
      </w:r>
      <w:proofErr w:type="spellEnd"/>
      <w:r w:rsidRPr="0097144E">
        <w:rPr>
          <w:sz w:val="22"/>
          <w:szCs w:val="22"/>
          <w:lang w:val="sk-SK"/>
        </w:rPr>
        <w:t xml:space="preserve"> telieskach.</w:t>
      </w:r>
    </w:p>
    <w:p w:rsidR="00160A67" w:rsidRDefault="00160A67" w:rsidP="008D1864">
      <w:pPr>
        <w:rPr>
          <w:sz w:val="22"/>
          <w:szCs w:val="22"/>
          <w:lang w:val="sk-SK"/>
        </w:rPr>
      </w:pPr>
    </w:p>
    <w:p w:rsidR="00B1588E" w:rsidRDefault="00075EBE" w:rsidP="008D1864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Pri vysokých dávkach (viac ako 200</w:t>
      </w:r>
      <w:r w:rsidR="00716FA2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 xml:space="preserve">ml denne) a pri dlhodobej liečbe môže dôjsť k obmedzeniu črevnej </w:t>
      </w:r>
      <w:proofErr w:type="spellStart"/>
      <w:r w:rsidRPr="00716FA2">
        <w:rPr>
          <w:sz w:val="22"/>
          <w:szCs w:val="22"/>
          <w:lang w:val="sk-SK"/>
        </w:rPr>
        <w:t>resorpcie</w:t>
      </w:r>
      <w:proofErr w:type="spellEnd"/>
      <w:r w:rsidRPr="00716FA2">
        <w:rPr>
          <w:sz w:val="22"/>
          <w:szCs w:val="22"/>
          <w:lang w:val="sk-SK"/>
        </w:rPr>
        <w:t xml:space="preserve"> s následnou </w:t>
      </w:r>
      <w:proofErr w:type="spellStart"/>
      <w:r w:rsidRPr="00716FA2">
        <w:rPr>
          <w:sz w:val="22"/>
          <w:szCs w:val="22"/>
          <w:lang w:val="sk-SK"/>
        </w:rPr>
        <w:t>hypofosfatémiou</w:t>
      </w:r>
      <w:proofErr w:type="spellEnd"/>
      <w:r w:rsidRPr="00716FA2">
        <w:rPr>
          <w:sz w:val="22"/>
          <w:szCs w:val="22"/>
          <w:lang w:val="sk-SK"/>
        </w:rPr>
        <w:t xml:space="preserve"> a </w:t>
      </w:r>
      <w:proofErr w:type="spellStart"/>
      <w:r w:rsidRPr="00716FA2">
        <w:rPr>
          <w:sz w:val="22"/>
          <w:szCs w:val="22"/>
          <w:lang w:val="sk-SK"/>
        </w:rPr>
        <w:t>hyperkalciúriou</w:t>
      </w:r>
      <w:proofErr w:type="spellEnd"/>
      <w:r w:rsidRPr="00716FA2">
        <w:rPr>
          <w:sz w:val="22"/>
          <w:szCs w:val="22"/>
          <w:lang w:val="sk-SK"/>
        </w:rPr>
        <w:t xml:space="preserve">. Užívanie </w:t>
      </w:r>
      <w:r w:rsidR="008B20B7" w:rsidRPr="00716FA2">
        <w:rPr>
          <w:sz w:val="22"/>
          <w:szCs w:val="22"/>
          <w:lang w:val="sk-SK"/>
        </w:rPr>
        <w:t>ANACIDU</w:t>
      </w:r>
      <w:r w:rsidRPr="00716FA2">
        <w:rPr>
          <w:sz w:val="22"/>
          <w:szCs w:val="22"/>
          <w:lang w:val="sk-SK"/>
        </w:rPr>
        <w:t xml:space="preserve"> môže viesť ku vzniku </w:t>
      </w:r>
      <w:proofErr w:type="spellStart"/>
      <w:r w:rsidRPr="00716FA2">
        <w:rPr>
          <w:sz w:val="22"/>
          <w:szCs w:val="22"/>
          <w:lang w:val="sk-SK"/>
        </w:rPr>
        <w:t>osteomalácie</w:t>
      </w:r>
      <w:proofErr w:type="spellEnd"/>
      <w:r w:rsidRPr="00716FA2">
        <w:rPr>
          <w:sz w:val="22"/>
          <w:szCs w:val="22"/>
          <w:lang w:val="sk-SK"/>
        </w:rPr>
        <w:t xml:space="preserve"> s bolesťami kostí u starších osôb, </w:t>
      </w:r>
      <w:proofErr w:type="spellStart"/>
      <w:r w:rsidRPr="00716FA2">
        <w:rPr>
          <w:sz w:val="22"/>
          <w:szCs w:val="22"/>
          <w:lang w:val="sk-SK"/>
        </w:rPr>
        <w:t>nefrokalcinózy</w:t>
      </w:r>
      <w:proofErr w:type="spellEnd"/>
      <w:r w:rsidRPr="00716FA2">
        <w:rPr>
          <w:sz w:val="22"/>
          <w:szCs w:val="22"/>
          <w:lang w:val="sk-SK"/>
        </w:rPr>
        <w:t xml:space="preserve"> a poruchám </w:t>
      </w:r>
      <w:proofErr w:type="spellStart"/>
      <w:r w:rsidRPr="00716FA2">
        <w:rPr>
          <w:sz w:val="22"/>
          <w:szCs w:val="22"/>
          <w:lang w:val="sk-SK"/>
        </w:rPr>
        <w:t>renálnych</w:t>
      </w:r>
      <w:proofErr w:type="spellEnd"/>
      <w:r w:rsidRPr="00716FA2">
        <w:rPr>
          <w:sz w:val="22"/>
          <w:szCs w:val="22"/>
          <w:lang w:val="sk-SK"/>
        </w:rPr>
        <w:t xml:space="preserve"> funkcií u</w:t>
      </w:r>
      <w:r w:rsidR="00716FA2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mladších osôb.</w:t>
      </w:r>
    </w:p>
    <w:p w:rsidR="002A5B5B" w:rsidRDefault="002A5B5B" w:rsidP="005F02B1">
      <w:pPr>
        <w:rPr>
          <w:sz w:val="22"/>
          <w:szCs w:val="22"/>
          <w:lang w:val="sk-SK"/>
        </w:rPr>
      </w:pPr>
    </w:p>
    <w:p w:rsidR="005F02B1" w:rsidRPr="00716FA2" w:rsidRDefault="00075EBE" w:rsidP="005F02B1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u w:val="single"/>
          <w:lang w:val="sk-SK"/>
        </w:rPr>
        <w:t>Hlásenie podozrení na nežiaduce reakcie</w:t>
      </w:r>
    </w:p>
    <w:p w:rsidR="005F02B1" w:rsidRPr="00716FA2" w:rsidRDefault="00075EBE" w:rsidP="005F02B1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B1588E" w:rsidRPr="00716FA2">
        <w:rPr>
          <w:sz w:val="22"/>
          <w:szCs w:val="22"/>
          <w:lang w:val="sk-SK"/>
        </w:rPr>
        <w:t>na</w:t>
      </w:r>
      <w:r w:rsidRPr="00716FA2">
        <w:rPr>
          <w:sz w:val="22"/>
          <w:szCs w:val="22"/>
          <w:lang w:val="sk-SK"/>
        </w:rPr>
        <w:t xml:space="preserve"> </w:t>
      </w:r>
      <w:r w:rsidRPr="003D5673">
        <w:rPr>
          <w:sz w:val="22"/>
          <w:szCs w:val="22"/>
          <w:highlight w:val="lightGray"/>
          <w:lang w:val="sk-SK"/>
        </w:rPr>
        <w:t xml:space="preserve">národné </w:t>
      </w:r>
      <w:r w:rsidR="00B1588E" w:rsidRPr="003D5673">
        <w:rPr>
          <w:sz w:val="22"/>
          <w:szCs w:val="22"/>
          <w:highlight w:val="lightGray"/>
          <w:lang w:val="sk-SK"/>
        </w:rPr>
        <w:t>centrum</w:t>
      </w:r>
      <w:r w:rsidRPr="003D5673">
        <w:rPr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proofErr w:type="spellStart"/>
        <w:r w:rsidR="00160A67" w:rsidRPr="003D5673">
          <w:rPr>
            <w:color w:val="0000FF"/>
            <w:sz w:val="22"/>
            <w:szCs w:val="22"/>
            <w:highlight w:val="lightGray"/>
            <w:u w:val="single"/>
          </w:rPr>
          <w:t>P</w:t>
        </w:r>
        <w:r w:rsidR="00160A67" w:rsidRPr="003D5673">
          <w:rPr>
            <w:color w:val="0000FF"/>
            <w:sz w:val="22"/>
            <w:highlight w:val="lightGray"/>
            <w:u w:val="single"/>
          </w:rPr>
          <w:t>rílohe</w:t>
        </w:r>
        <w:proofErr w:type="spellEnd"/>
        <w:r w:rsidR="00160A67" w:rsidRPr="003D5673">
          <w:rPr>
            <w:color w:val="0000FF"/>
            <w:sz w:val="22"/>
            <w:szCs w:val="22"/>
            <w:highlight w:val="lightGray"/>
            <w:u w:val="single"/>
          </w:rPr>
          <w:t xml:space="preserve"> V</w:t>
        </w:r>
      </w:hyperlink>
      <w:r w:rsidRPr="00716FA2">
        <w:rPr>
          <w:sz w:val="22"/>
          <w:szCs w:val="22"/>
          <w:lang w:val="sk-SK"/>
        </w:rPr>
        <w:t>.</w:t>
      </w:r>
    </w:p>
    <w:p w:rsidR="003722B0" w:rsidRPr="00BD7491" w:rsidRDefault="003722B0">
      <w:pPr>
        <w:jc w:val="both"/>
        <w:rPr>
          <w:caps/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caps/>
          <w:sz w:val="22"/>
          <w:szCs w:val="22"/>
          <w:lang w:val="sk-SK"/>
        </w:rPr>
        <w:t>4.9</w:t>
      </w:r>
      <w:r w:rsidRPr="00716FA2">
        <w:rPr>
          <w:b/>
          <w:sz w:val="22"/>
          <w:szCs w:val="22"/>
          <w:lang w:val="sk-SK"/>
        </w:rPr>
        <w:tab/>
        <w:t>Predávkovanie</w:t>
      </w:r>
    </w:p>
    <w:p w:rsidR="00B9043F" w:rsidRPr="00716FA2" w:rsidRDefault="00B9043F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Prípady predávkovania neboli doteraz zaznamenané.</w:t>
      </w:r>
    </w:p>
    <w:p w:rsidR="003722B0" w:rsidRPr="008B20B7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Pri prípadnom predávkovaní je liečba symptomatická, špecifické </w:t>
      </w:r>
      <w:proofErr w:type="spellStart"/>
      <w:r w:rsidRPr="00716FA2">
        <w:rPr>
          <w:sz w:val="22"/>
          <w:szCs w:val="22"/>
          <w:lang w:val="sk-SK"/>
        </w:rPr>
        <w:t>antidotum</w:t>
      </w:r>
      <w:proofErr w:type="spellEnd"/>
      <w:r w:rsidRPr="00716FA2">
        <w:rPr>
          <w:sz w:val="22"/>
          <w:szCs w:val="22"/>
          <w:lang w:val="sk-SK"/>
        </w:rPr>
        <w:t xml:space="preserve"> neexistuje.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E56A9E" w:rsidRPr="00BD7491" w:rsidRDefault="00E56A9E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5.</w:t>
      </w:r>
      <w:r w:rsidRPr="00716FA2">
        <w:rPr>
          <w:b/>
          <w:sz w:val="22"/>
          <w:szCs w:val="22"/>
          <w:lang w:val="sk-SK"/>
        </w:rPr>
        <w:tab/>
        <w:t>FARMAKOLOGICKÉ VLASTNOSTI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5.1</w:t>
      </w:r>
      <w:r w:rsidRPr="00716FA2">
        <w:rPr>
          <w:b/>
          <w:sz w:val="22"/>
          <w:szCs w:val="22"/>
          <w:lang w:val="sk-SK"/>
        </w:rPr>
        <w:tab/>
      </w:r>
      <w:proofErr w:type="spellStart"/>
      <w:r w:rsidRPr="00716FA2">
        <w:rPr>
          <w:b/>
          <w:sz w:val="22"/>
          <w:szCs w:val="22"/>
          <w:lang w:val="sk-SK"/>
        </w:rPr>
        <w:t>Farmakodynamické</w:t>
      </w:r>
      <w:proofErr w:type="spellEnd"/>
      <w:r w:rsidRPr="00716FA2">
        <w:rPr>
          <w:b/>
          <w:sz w:val="22"/>
          <w:szCs w:val="22"/>
          <w:lang w:val="sk-SK"/>
        </w:rPr>
        <w:t xml:space="preserve"> vlastnosti</w:t>
      </w:r>
    </w:p>
    <w:p w:rsidR="006A427B" w:rsidRPr="00716FA2" w:rsidRDefault="006A427B" w:rsidP="006A427B">
      <w:pPr>
        <w:rPr>
          <w:sz w:val="22"/>
          <w:szCs w:val="22"/>
          <w:lang w:val="sk-SK"/>
        </w:rPr>
      </w:pPr>
    </w:p>
    <w:p w:rsidR="002A5B5B" w:rsidRDefault="00075EBE" w:rsidP="006A427B">
      <w:pPr>
        <w:rPr>
          <w:sz w:val="22"/>
          <w:szCs w:val="22"/>
          <w:lang w:val="sk-SK"/>
        </w:rPr>
      </w:pPr>
      <w:proofErr w:type="spellStart"/>
      <w:r w:rsidRPr="00716FA2">
        <w:rPr>
          <w:sz w:val="22"/>
          <w:szCs w:val="22"/>
          <w:lang w:val="sk-SK"/>
        </w:rPr>
        <w:t>Farmakoterapeutická</w:t>
      </w:r>
      <w:proofErr w:type="spellEnd"/>
      <w:r w:rsidRPr="00716FA2">
        <w:rPr>
          <w:sz w:val="22"/>
          <w:szCs w:val="22"/>
          <w:lang w:val="sk-SK"/>
        </w:rPr>
        <w:t xml:space="preserve"> skupina</w:t>
      </w:r>
      <w:r w:rsidRPr="008B20B7">
        <w:rPr>
          <w:sz w:val="22"/>
          <w:szCs w:val="22"/>
          <w:lang w:val="sk-SK"/>
        </w:rPr>
        <w:t xml:space="preserve">: </w:t>
      </w:r>
      <w:r w:rsidR="002A5B5B" w:rsidRPr="008B20B7">
        <w:rPr>
          <w:sz w:val="22"/>
          <w:szCs w:val="22"/>
          <w:lang w:val="sk-SK"/>
        </w:rPr>
        <w:t xml:space="preserve">Liečivá pri poruchách </w:t>
      </w:r>
      <w:proofErr w:type="spellStart"/>
      <w:r w:rsidR="002A5B5B" w:rsidRPr="008B20B7">
        <w:rPr>
          <w:sz w:val="22"/>
          <w:szCs w:val="22"/>
          <w:lang w:val="sk-SK"/>
        </w:rPr>
        <w:t>acidity</w:t>
      </w:r>
      <w:proofErr w:type="spellEnd"/>
      <w:r w:rsidR="002A5B5B">
        <w:rPr>
          <w:sz w:val="22"/>
          <w:szCs w:val="22"/>
          <w:lang w:val="sk-SK"/>
        </w:rPr>
        <w:t>,</w:t>
      </w:r>
      <w:r w:rsidR="002A5B5B" w:rsidRPr="008B20B7">
        <w:rPr>
          <w:sz w:val="22"/>
          <w:szCs w:val="22"/>
          <w:lang w:val="sk-SK"/>
        </w:rPr>
        <w:t xml:space="preserve"> </w:t>
      </w:r>
      <w:proofErr w:type="spellStart"/>
      <w:r w:rsidRPr="008B20B7">
        <w:rPr>
          <w:sz w:val="22"/>
          <w:szCs w:val="22"/>
          <w:lang w:val="sk-SK"/>
        </w:rPr>
        <w:t>antacidá</w:t>
      </w:r>
      <w:proofErr w:type="spellEnd"/>
    </w:p>
    <w:p w:rsidR="006A427B" w:rsidRPr="00716FA2" w:rsidRDefault="00075EBE" w:rsidP="006A427B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ATC kód: A02AD</w:t>
      </w:r>
    </w:p>
    <w:p w:rsidR="006A427B" w:rsidRPr="00716FA2" w:rsidRDefault="006A427B">
      <w:pPr>
        <w:jc w:val="both"/>
        <w:rPr>
          <w:i/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u w:val="single"/>
          <w:lang w:val="sk-SK"/>
        </w:rPr>
        <w:t>Mechanizmus účinku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V lieku sú kombinované slabo bázické látky, ktoré v žalúdku viažu kyselinu chlorovodíkovú a</w:t>
      </w:r>
      <w:r w:rsidR="00A753DB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vytvorením ochranného filmu aj mechanicky chránia žalúdočnú sliznicu.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Znižujú žalúdočnú </w:t>
      </w:r>
      <w:proofErr w:type="spellStart"/>
      <w:r w:rsidRPr="00716FA2">
        <w:rPr>
          <w:sz w:val="22"/>
          <w:szCs w:val="22"/>
          <w:lang w:val="sk-SK"/>
        </w:rPr>
        <w:t>aciditu</w:t>
      </w:r>
      <w:proofErr w:type="spellEnd"/>
      <w:r w:rsidRPr="00716FA2">
        <w:rPr>
          <w:sz w:val="22"/>
          <w:szCs w:val="22"/>
          <w:lang w:val="sk-SK"/>
        </w:rPr>
        <w:t xml:space="preserve"> a zvýšením pH v žalúdku vedú k </w:t>
      </w:r>
      <w:proofErr w:type="spellStart"/>
      <w:r w:rsidRPr="00716FA2">
        <w:rPr>
          <w:sz w:val="22"/>
          <w:szCs w:val="22"/>
          <w:lang w:val="sk-SK"/>
        </w:rPr>
        <w:t>inaktivácii</w:t>
      </w:r>
      <w:proofErr w:type="spellEnd"/>
      <w:r w:rsidRPr="00716FA2">
        <w:rPr>
          <w:sz w:val="22"/>
          <w:szCs w:val="22"/>
          <w:lang w:val="sk-SK"/>
        </w:rPr>
        <w:t xml:space="preserve"> pepsínu a k poklesu pepsínovej aktivity. </w:t>
      </w:r>
      <w:proofErr w:type="spellStart"/>
      <w:r w:rsidRPr="00716FA2">
        <w:rPr>
          <w:sz w:val="22"/>
          <w:szCs w:val="22"/>
          <w:lang w:val="sk-SK"/>
        </w:rPr>
        <w:t>Antacidá</w:t>
      </w:r>
      <w:proofErr w:type="spellEnd"/>
      <w:r w:rsidRPr="00716FA2">
        <w:rPr>
          <w:sz w:val="22"/>
          <w:szCs w:val="22"/>
          <w:lang w:val="sk-SK"/>
        </w:rPr>
        <w:t xml:space="preserve"> s obsahom hliníka majú tiež </w:t>
      </w:r>
      <w:proofErr w:type="spellStart"/>
      <w:r w:rsidRPr="00716FA2">
        <w:rPr>
          <w:sz w:val="22"/>
          <w:szCs w:val="22"/>
          <w:lang w:val="sk-SK"/>
        </w:rPr>
        <w:t>cytoprotektívny</w:t>
      </w:r>
      <w:proofErr w:type="spellEnd"/>
      <w:r w:rsidRPr="00716FA2">
        <w:rPr>
          <w:sz w:val="22"/>
          <w:szCs w:val="22"/>
          <w:lang w:val="sk-SK"/>
        </w:rPr>
        <w:t xml:space="preserve"> účinok na žalúdočnú sliznicu súvisiacu so stimuláciou sekrécie </w:t>
      </w:r>
      <w:proofErr w:type="spellStart"/>
      <w:r w:rsidRPr="00716FA2">
        <w:rPr>
          <w:sz w:val="22"/>
          <w:szCs w:val="22"/>
          <w:lang w:val="sk-SK"/>
        </w:rPr>
        <w:t>prostaglandínov</w:t>
      </w:r>
      <w:proofErr w:type="spellEnd"/>
      <w:r w:rsidRPr="00716FA2">
        <w:rPr>
          <w:sz w:val="22"/>
          <w:szCs w:val="22"/>
          <w:lang w:val="sk-SK"/>
        </w:rPr>
        <w:t xml:space="preserve">; chránia sliznicu pred vznikom </w:t>
      </w:r>
      <w:proofErr w:type="spellStart"/>
      <w:r w:rsidRPr="00716FA2">
        <w:rPr>
          <w:sz w:val="22"/>
          <w:szCs w:val="22"/>
          <w:lang w:val="sk-SK"/>
        </w:rPr>
        <w:t>nekrózy</w:t>
      </w:r>
      <w:proofErr w:type="spellEnd"/>
      <w:r w:rsidRPr="00716FA2">
        <w:rPr>
          <w:sz w:val="22"/>
          <w:szCs w:val="22"/>
          <w:lang w:val="sk-SK"/>
        </w:rPr>
        <w:t xml:space="preserve"> a </w:t>
      </w:r>
      <w:proofErr w:type="spellStart"/>
      <w:r w:rsidRPr="00716FA2">
        <w:rPr>
          <w:sz w:val="22"/>
          <w:szCs w:val="22"/>
          <w:lang w:val="sk-SK"/>
        </w:rPr>
        <w:t>hemorágie</w:t>
      </w:r>
      <w:proofErr w:type="spellEnd"/>
      <w:r w:rsidRPr="00716FA2">
        <w:rPr>
          <w:sz w:val="22"/>
          <w:szCs w:val="22"/>
          <w:lang w:val="sk-SK"/>
        </w:rPr>
        <w:t xml:space="preserve">, ktoré môžu byť spôsobené korozívnymi látkami, napr. etanolom alebo kyselinou </w:t>
      </w:r>
      <w:proofErr w:type="spellStart"/>
      <w:r w:rsidRPr="00716FA2">
        <w:rPr>
          <w:sz w:val="22"/>
          <w:szCs w:val="22"/>
          <w:lang w:val="sk-SK"/>
        </w:rPr>
        <w:t>acetylsalicylovou</w:t>
      </w:r>
      <w:proofErr w:type="spellEnd"/>
      <w:r w:rsidRPr="00716FA2">
        <w:rPr>
          <w:sz w:val="22"/>
          <w:szCs w:val="22"/>
          <w:lang w:val="sk-SK"/>
        </w:rPr>
        <w:t>.</w:t>
      </w:r>
    </w:p>
    <w:p w:rsidR="003722B0" w:rsidRPr="00716FA2" w:rsidRDefault="003722B0">
      <w:pPr>
        <w:jc w:val="both"/>
        <w:rPr>
          <w:sz w:val="22"/>
          <w:szCs w:val="22"/>
          <w:lang w:val="sk-SK"/>
        </w:rPr>
      </w:pPr>
    </w:p>
    <w:p w:rsidR="006A427B" w:rsidRPr="00716FA2" w:rsidRDefault="00075EBE">
      <w:pPr>
        <w:pStyle w:val="Zkladntext2"/>
        <w:rPr>
          <w:rFonts w:ascii="Times New Roman" w:hAnsi="Times New Roman"/>
          <w:color w:val="auto"/>
          <w:sz w:val="22"/>
          <w:szCs w:val="22"/>
        </w:rPr>
      </w:pPr>
      <w:r w:rsidRPr="00716FA2">
        <w:rPr>
          <w:rFonts w:ascii="Times New Roman" w:hAnsi="Times New Roman"/>
          <w:color w:val="auto"/>
          <w:sz w:val="22"/>
          <w:szCs w:val="22"/>
        </w:rPr>
        <w:t xml:space="preserve">Vhodnou kombináciou </w:t>
      </w:r>
      <w:proofErr w:type="spellStart"/>
      <w:r w:rsidRPr="00716FA2">
        <w:rPr>
          <w:rFonts w:ascii="Times New Roman" w:hAnsi="Times New Roman"/>
          <w:color w:val="auto"/>
          <w:sz w:val="22"/>
          <w:szCs w:val="22"/>
        </w:rPr>
        <w:t>antacidných</w:t>
      </w:r>
      <w:proofErr w:type="spellEnd"/>
      <w:r w:rsidRPr="00716FA2">
        <w:rPr>
          <w:rFonts w:ascii="Times New Roman" w:hAnsi="Times New Roman"/>
          <w:color w:val="auto"/>
          <w:sz w:val="22"/>
          <w:szCs w:val="22"/>
        </w:rPr>
        <w:t xml:space="preserve"> látok v lieku sa znižuje riziko niektorých nežiaducich účinkov (napr. mierne </w:t>
      </w:r>
      <w:proofErr w:type="spellStart"/>
      <w:r w:rsidRPr="00716FA2">
        <w:rPr>
          <w:rFonts w:ascii="Times New Roman" w:hAnsi="Times New Roman"/>
          <w:color w:val="auto"/>
          <w:sz w:val="22"/>
          <w:szCs w:val="22"/>
        </w:rPr>
        <w:t>obstipačné</w:t>
      </w:r>
      <w:proofErr w:type="spellEnd"/>
      <w:r w:rsidRPr="00716FA2">
        <w:rPr>
          <w:rFonts w:ascii="Times New Roman" w:hAnsi="Times New Roman"/>
          <w:color w:val="auto"/>
          <w:sz w:val="22"/>
          <w:szCs w:val="22"/>
        </w:rPr>
        <w:t xml:space="preserve"> účinky hydroxidu hlinitého a </w:t>
      </w:r>
      <w:proofErr w:type="spellStart"/>
      <w:r w:rsidRPr="00716FA2">
        <w:rPr>
          <w:rFonts w:ascii="Times New Roman" w:hAnsi="Times New Roman"/>
          <w:color w:val="auto"/>
          <w:sz w:val="22"/>
          <w:szCs w:val="22"/>
        </w:rPr>
        <w:t>laxatívne</w:t>
      </w:r>
      <w:proofErr w:type="spellEnd"/>
      <w:r w:rsidRPr="00716FA2">
        <w:rPr>
          <w:rFonts w:ascii="Times New Roman" w:hAnsi="Times New Roman"/>
          <w:color w:val="auto"/>
          <w:sz w:val="22"/>
          <w:szCs w:val="22"/>
        </w:rPr>
        <w:t xml:space="preserve"> účinky hydroxidu </w:t>
      </w:r>
      <w:proofErr w:type="spellStart"/>
      <w:r w:rsidRPr="00716FA2">
        <w:rPr>
          <w:rFonts w:ascii="Times New Roman" w:hAnsi="Times New Roman"/>
          <w:color w:val="auto"/>
          <w:sz w:val="22"/>
          <w:szCs w:val="22"/>
        </w:rPr>
        <w:t>horečnatého</w:t>
      </w:r>
      <w:proofErr w:type="spellEnd"/>
      <w:r w:rsidRPr="00716FA2">
        <w:rPr>
          <w:rFonts w:ascii="Times New Roman" w:hAnsi="Times New Roman"/>
          <w:color w:val="auto"/>
          <w:sz w:val="22"/>
          <w:szCs w:val="22"/>
        </w:rPr>
        <w:t>).</w:t>
      </w:r>
    </w:p>
    <w:p w:rsidR="00713620" w:rsidRPr="00BD7491" w:rsidRDefault="00713620" w:rsidP="006A427B">
      <w:pPr>
        <w:pStyle w:val="Zkladntext2"/>
        <w:rPr>
          <w:rFonts w:ascii="Times New Roman" w:hAnsi="Times New Roman"/>
          <w:color w:val="auto"/>
          <w:sz w:val="22"/>
          <w:szCs w:val="22"/>
        </w:rPr>
      </w:pPr>
    </w:p>
    <w:p w:rsidR="003722B0" w:rsidRPr="00716FA2" w:rsidRDefault="00075EBE" w:rsidP="00BD7491">
      <w:pPr>
        <w:keepNext/>
        <w:jc w:val="both"/>
        <w:rPr>
          <w:b/>
          <w:sz w:val="22"/>
          <w:szCs w:val="22"/>
          <w:lang w:val="sk-SK"/>
        </w:rPr>
      </w:pPr>
      <w:r w:rsidRPr="00716FA2">
        <w:rPr>
          <w:b/>
          <w:caps/>
          <w:sz w:val="22"/>
          <w:szCs w:val="22"/>
          <w:lang w:val="sk-SK"/>
        </w:rPr>
        <w:t>5.2</w:t>
      </w:r>
      <w:r w:rsidRPr="00716FA2">
        <w:rPr>
          <w:b/>
          <w:sz w:val="22"/>
          <w:szCs w:val="22"/>
          <w:lang w:val="sk-SK"/>
        </w:rPr>
        <w:tab/>
      </w:r>
      <w:proofErr w:type="spellStart"/>
      <w:r w:rsidRPr="00716FA2">
        <w:rPr>
          <w:b/>
          <w:sz w:val="22"/>
          <w:szCs w:val="22"/>
          <w:lang w:val="sk-SK"/>
        </w:rPr>
        <w:t>Farmakokinetické</w:t>
      </w:r>
      <w:proofErr w:type="spellEnd"/>
      <w:r w:rsidRPr="00716FA2">
        <w:rPr>
          <w:b/>
          <w:sz w:val="22"/>
          <w:szCs w:val="22"/>
          <w:lang w:val="sk-SK"/>
        </w:rPr>
        <w:t xml:space="preserve"> vlastnosti</w:t>
      </w:r>
    </w:p>
    <w:p w:rsidR="00E14203" w:rsidRPr="00BD7491" w:rsidRDefault="00E14203" w:rsidP="00BD7491">
      <w:pPr>
        <w:keepNext/>
        <w:jc w:val="both"/>
        <w:rPr>
          <w:sz w:val="22"/>
          <w:szCs w:val="22"/>
          <w:lang w:val="sk-SK"/>
        </w:rPr>
      </w:pPr>
    </w:p>
    <w:p w:rsidR="003722B0" w:rsidRPr="00716FA2" w:rsidRDefault="00A753DB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ANACID</w:t>
      </w:r>
      <w:r w:rsidR="00075EBE" w:rsidRPr="00716FA2">
        <w:rPr>
          <w:sz w:val="22"/>
          <w:szCs w:val="22"/>
          <w:lang w:val="sk-SK"/>
        </w:rPr>
        <w:t xml:space="preserve"> ako väčšina </w:t>
      </w:r>
      <w:proofErr w:type="spellStart"/>
      <w:r w:rsidR="00075EBE" w:rsidRPr="00716FA2">
        <w:rPr>
          <w:sz w:val="22"/>
          <w:szCs w:val="22"/>
          <w:lang w:val="sk-SK"/>
        </w:rPr>
        <w:t>antacidných</w:t>
      </w:r>
      <w:proofErr w:type="spellEnd"/>
      <w:r w:rsidR="00075EBE" w:rsidRPr="00716FA2">
        <w:rPr>
          <w:sz w:val="22"/>
          <w:szCs w:val="22"/>
          <w:lang w:val="sk-SK"/>
        </w:rPr>
        <w:t xml:space="preserve"> liekov opúšťa žalúdok do 1 hodiny po podaní. Nástup účinku je pomalý. Účinok trvá 20</w:t>
      </w:r>
      <w:r>
        <w:rPr>
          <w:sz w:val="22"/>
          <w:szCs w:val="22"/>
          <w:lang w:val="sk-SK"/>
        </w:rPr>
        <w:t> – </w:t>
      </w:r>
      <w:r w:rsidR="00075EBE" w:rsidRPr="00716FA2">
        <w:rPr>
          <w:sz w:val="22"/>
          <w:szCs w:val="22"/>
          <w:lang w:val="sk-SK"/>
        </w:rPr>
        <w:t>60</w:t>
      </w:r>
      <w:r>
        <w:rPr>
          <w:sz w:val="22"/>
          <w:szCs w:val="22"/>
          <w:lang w:val="sk-SK"/>
        </w:rPr>
        <w:t> </w:t>
      </w:r>
      <w:r w:rsidR="00075EBE" w:rsidRPr="00716FA2">
        <w:rPr>
          <w:sz w:val="22"/>
          <w:szCs w:val="22"/>
          <w:lang w:val="sk-SK"/>
        </w:rPr>
        <w:t xml:space="preserve">minút, tento čas je však individuálny. Ak sa </w:t>
      </w:r>
      <w:proofErr w:type="spellStart"/>
      <w:r w:rsidR="00075EBE" w:rsidRPr="00716FA2">
        <w:rPr>
          <w:sz w:val="22"/>
          <w:szCs w:val="22"/>
          <w:lang w:val="sk-SK"/>
        </w:rPr>
        <w:t>antacidum</w:t>
      </w:r>
      <w:proofErr w:type="spellEnd"/>
      <w:r w:rsidR="00075EBE" w:rsidRPr="00716FA2">
        <w:rPr>
          <w:sz w:val="22"/>
          <w:szCs w:val="22"/>
          <w:lang w:val="sk-SK"/>
        </w:rPr>
        <w:t xml:space="preserve"> podá 1 hodinu po jedle, neutralizačný účinok trvá až 3 hodiny. </w:t>
      </w:r>
      <w:proofErr w:type="spellStart"/>
      <w:r w:rsidR="00075EBE" w:rsidRPr="00716FA2">
        <w:rPr>
          <w:sz w:val="22"/>
          <w:szCs w:val="22"/>
          <w:lang w:val="sk-SK"/>
        </w:rPr>
        <w:t>Antacidá</w:t>
      </w:r>
      <w:proofErr w:type="spellEnd"/>
      <w:r w:rsidR="00075EBE" w:rsidRPr="00716FA2">
        <w:rPr>
          <w:sz w:val="22"/>
          <w:szCs w:val="22"/>
          <w:lang w:val="sk-SK"/>
        </w:rPr>
        <w:t xml:space="preserve"> sa vylučujú </w:t>
      </w:r>
      <w:proofErr w:type="spellStart"/>
      <w:r w:rsidR="00075EBE" w:rsidRPr="00716FA2">
        <w:rPr>
          <w:sz w:val="22"/>
          <w:szCs w:val="22"/>
          <w:lang w:val="sk-SK"/>
        </w:rPr>
        <w:t>renálnou</w:t>
      </w:r>
      <w:proofErr w:type="spellEnd"/>
      <w:r w:rsidR="00075EBE" w:rsidRPr="00716FA2">
        <w:rPr>
          <w:sz w:val="22"/>
          <w:szCs w:val="22"/>
          <w:lang w:val="sk-SK"/>
        </w:rPr>
        <w:t xml:space="preserve"> cestou a stolicou.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pStyle w:val="Zkladntext3"/>
        <w:rPr>
          <w:rFonts w:ascii="Times New Roman" w:hAnsi="Times New Roman"/>
          <w:bCs/>
          <w:sz w:val="22"/>
          <w:szCs w:val="22"/>
        </w:rPr>
      </w:pPr>
      <w:r w:rsidRPr="00716FA2">
        <w:rPr>
          <w:rFonts w:ascii="Times New Roman" w:hAnsi="Times New Roman"/>
          <w:bCs/>
          <w:sz w:val="22"/>
          <w:szCs w:val="22"/>
        </w:rPr>
        <w:t xml:space="preserve">Hydroxid hlinitý podaný perorálne, pomaly viaže kyselinu chlorovodíkovú v žalúdku, pričom vytvára rozpustný chlorid hlinitý, ktorý sa čiastočne absorbuje. </w:t>
      </w:r>
      <w:proofErr w:type="spellStart"/>
      <w:r w:rsidRPr="00716FA2">
        <w:rPr>
          <w:rFonts w:ascii="Times New Roman" w:hAnsi="Times New Roman"/>
          <w:bCs/>
          <w:sz w:val="22"/>
          <w:szCs w:val="22"/>
        </w:rPr>
        <w:t>Pufrovacie</w:t>
      </w:r>
      <w:proofErr w:type="spellEnd"/>
      <w:r w:rsidRPr="00716FA2">
        <w:rPr>
          <w:rFonts w:ascii="Times New Roman" w:hAnsi="Times New Roman"/>
          <w:bCs/>
          <w:sz w:val="22"/>
          <w:szCs w:val="22"/>
        </w:rPr>
        <w:t xml:space="preserve"> schopnosti sú veľmi dobré, nástup účinku je pomalý, ale prolongovaný. Prítomnosť potravy alebo ostatné faktory, ktoré môžu spomaliť vyprázdňovanie žalúdka, vedú ku zvýšenej tvorbe chloridu hlinitého. Približne 0,1 až 0,5</w:t>
      </w:r>
      <w:r w:rsidR="00CC13B6">
        <w:rPr>
          <w:rFonts w:ascii="Times New Roman" w:hAnsi="Times New Roman"/>
          <w:bCs/>
          <w:sz w:val="22"/>
          <w:szCs w:val="22"/>
        </w:rPr>
        <w:t> </w:t>
      </w:r>
      <w:r w:rsidRPr="00716FA2">
        <w:rPr>
          <w:rFonts w:ascii="Times New Roman" w:hAnsi="Times New Roman"/>
          <w:bCs/>
          <w:sz w:val="22"/>
          <w:szCs w:val="22"/>
        </w:rPr>
        <w:t xml:space="preserve">mg hliníka sa vstrebáva pri užívaní štandardnej dennej dávky </w:t>
      </w:r>
      <w:proofErr w:type="spellStart"/>
      <w:r w:rsidRPr="00716FA2">
        <w:rPr>
          <w:rFonts w:ascii="Times New Roman" w:hAnsi="Times New Roman"/>
          <w:bCs/>
          <w:sz w:val="22"/>
          <w:szCs w:val="22"/>
        </w:rPr>
        <w:t>antacida</w:t>
      </w:r>
      <w:proofErr w:type="spellEnd"/>
      <w:r w:rsidRPr="00716FA2">
        <w:rPr>
          <w:rFonts w:ascii="Times New Roman" w:hAnsi="Times New Roman"/>
          <w:bCs/>
          <w:sz w:val="22"/>
          <w:szCs w:val="22"/>
        </w:rPr>
        <w:t xml:space="preserve">, čím dochádza ku zdvojnásobeniu bežných plazmatických koncentrácií hliníka u pacientov s normálnou funkciou obličiek. Absorbovaný hliník sa vylučuje močom, a preto u pacientov s poruchami </w:t>
      </w:r>
      <w:proofErr w:type="spellStart"/>
      <w:r w:rsidRPr="00716FA2">
        <w:rPr>
          <w:rFonts w:ascii="Times New Roman" w:hAnsi="Times New Roman"/>
          <w:bCs/>
          <w:sz w:val="22"/>
          <w:szCs w:val="22"/>
        </w:rPr>
        <w:t>renálnych</w:t>
      </w:r>
      <w:proofErr w:type="spellEnd"/>
      <w:r w:rsidRPr="00716FA2">
        <w:rPr>
          <w:rFonts w:ascii="Times New Roman" w:hAnsi="Times New Roman"/>
          <w:bCs/>
          <w:sz w:val="22"/>
          <w:szCs w:val="22"/>
        </w:rPr>
        <w:t xml:space="preserve"> funkcií </w:t>
      </w:r>
      <w:r w:rsidR="002A5B5B">
        <w:rPr>
          <w:rFonts w:ascii="Times New Roman" w:hAnsi="Times New Roman"/>
          <w:bCs/>
          <w:sz w:val="22"/>
          <w:szCs w:val="22"/>
        </w:rPr>
        <w:t>existu</w:t>
      </w:r>
      <w:r w:rsidR="00A753DB">
        <w:rPr>
          <w:rFonts w:ascii="Times New Roman" w:hAnsi="Times New Roman"/>
          <w:bCs/>
          <w:sz w:val="22"/>
          <w:szCs w:val="22"/>
        </w:rPr>
        <w:t>je</w:t>
      </w:r>
      <w:r w:rsidRPr="00716FA2">
        <w:rPr>
          <w:rFonts w:ascii="Times New Roman" w:hAnsi="Times New Roman"/>
          <w:bCs/>
          <w:sz w:val="22"/>
          <w:szCs w:val="22"/>
        </w:rPr>
        <w:t xml:space="preserve"> riziko kumulácie hliníka (najmä v kostiach a mozgu) a prejavov hliníkovej toxicity. Zlúčeniny hliníka, ktoré sa nevstrebávajú (väčšina podanej dávky) tvorí v črevách nerozpustné, zle absorbovateľné soli hliníka (hydroxidy, uhličitany, fosfáty, deriváty mastných kyselín). Tieto soli sa vylučujú stolicou.</w:t>
      </w:r>
    </w:p>
    <w:p w:rsidR="003722B0" w:rsidRPr="00716FA2" w:rsidRDefault="003722B0">
      <w:pPr>
        <w:jc w:val="both"/>
        <w:rPr>
          <w:bCs/>
          <w:sz w:val="22"/>
          <w:szCs w:val="22"/>
          <w:lang w:val="sk-SK"/>
        </w:rPr>
      </w:pPr>
    </w:p>
    <w:p w:rsidR="003722B0" w:rsidRPr="00716FA2" w:rsidRDefault="00075EBE">
      <w:pPr>
        <w:pStyle w:val="Zkladntext3"/>
        <w:rPr>
          <w:rFonts w:ascii="Times New Roman" w:hAnsi="Times New Roman"/>
          <w:bCs/>
          <w:sz w:val="22"/>
          <w:szCs w:val="22"/>
        </w:rPr>
      </w:pPr>
      <w:r w:rsidRPr="00716FA2">
        <w:rPr>
          <w:rFonts w:ascii="Times New Roman" w:hAnsi="Times New Roman"/>
          <w:bCs/>
          <w:sz w:val="22"/>
          <w:szCs w:val="22"/>
        </w:rPr>
        <w:t xml:space="preserve">Hydroxid </w:t>
      </w:r>
      <w:proofErr w:type="spellStart"/>
      <w:r w:rsidRPr="00716FA2">
        <w:rPr>
          <w:rFonts w:ascii="Times New Roman" w:hAnsi="Times New Roman"/>
          <w:bCs/>
          <w:sz w:val="22"/>
          <w:szCs w:val="22"/>
        </w:rPr>
        <w:t>horečnatý</w:t>
      </w:r>
      <w:proofErr w:type="spellEnd"/>
      <w:r w:rsidRPr="00716FA2">
        <w:rPr>
          <w:rFonts w:ascii="Times New Roman" w:hAnsi="Times New Roman"/>
          <w:bCs/>
          <w:sz w:val="22"/>
          <w:szCs w:val="22"/>
        </w:rPr>
        <w:t xml:space="preserve"> neutralizuje kyselinu chlorovodíkovú v žalúdku. Neutralizačný účinok nastupuje veľmi rýchlo (počas niekoľkých minút), ale trvá krátko. Hydroxid hlinitý pri reakcii s kyselinou chlorovodíkovou tvorí chlorid, ktorý je charakteristický nízkou absorpciou v čreve (len 15</w:t>
      </w:r>
      <w:r w:rsidR="00A753DB">
        <w:rPr>
          <w:rFonts w:ascii="Times New Roman" w:hAnsi="Times New Roman"/>
          <w:bCs/>
          <w:sz w:val="22"/>
          <w:szCs w:val="22"/>
        </w:rPr>
        <w:t> – </w:t>
      </w:r>
      <w:r w:rsidRPr="00716FA2">
        <w:rPr>
          <w:rFonts w:ascii="Times New Roman" w:hAnsi="Times New Roman"/>
          <w:bCs/>
          <w:sz w:val="22"/>
          <w:szCs w:val="22"/>
        </w:rPr>
        <w:t>30</w:t>
      </w:r>
      <w:r w:rsidR="00CC13B6">
        <w:rPr>
          <w:rFonts w:ascii="Times New Roman" w:hAnsi="Times New Roman"/>
          <w:bCs/>
          <w:sz w:val="22"/>
          <w:szCs w:val="22"/>
        </w:rPr>
        <w:t> </w:t>
      </w:r>
      <w:r w:rsidRPr="00716FA2">
        <w:rPr>
          <w:rFonts w:ascii="Times New Roman" w:hAnsi="Times New Roman"/>
          <w:bCs/>
          <w:sz w:val="22"/>
          <w:szCs w:val="22"/>
        </w:rPr>
        <w:t>%) a tiež rýchlou exkréciou obličkami za predpokladu normálnych obličkových funkcií.</w:t>
      </w:r>
    </w:p>
    <w:p w:rsidR="003722B0" w:rsidRPr="00716FA2" w:rsidRDefault="003722B0">
      <w:pPr>
        <w:jc w:val="both"/>
        <w:rPr>
          <w:bCs/>
          <w:sz w:val="22"/>
          <w:szCs w:val="22"/>
          <w:lang w:val="sk-SK"/>
        </w:rPr>
      </w:pPr>
    </w:p>
    <w:p w:rsidR="003722B0" w:rsidRPr="00716FA2" w:rsidRDefault="00075EBE">
      <w:pPr>
        <w:pStyle w:val="Zkladntext3"/>
        <w:rPr>
          <w:rFonts w:ascii="Times New Roman" w:hAnsi="Times New Roman"/>
          <w:bCs/>
          <w:sz w:val="22"/>
          <w:szCs w:val="22"/>
        </w:rPr>
      </w:pPr>
      <w:r w:rsidRPr="00716FA2">
        <w:rPr>
          <w:rFonts w:ascii="Times New Roman" w:hAnsi="Times New Roman"/>
          <w:bCs/>
          <w:sz w:val="22"/>
          <w:szCs w:val="22"/>
        </w:rPr>
        <w:t xml:space="preserve">Kombinácia hydroxidu hlinitého a hydroxidu </w:t>
      </w:r>
      <w:proofErr w:type="spellStart"/>
      <w:r w:rsidRPr="00716FA2">
        <w:rPr>
          <w:rFonts w:ascii="Times New Roman" w:hAnsi="Times New Roman"/>
          <w:bCs/>
          <w:sz w:val="22"/>
          <w:szCs w:val="22"/>
        </w:rPr>
        <w:t>horečnatého</w:t>
      </w:r>
      <w:proofErr w:type="spellEnd"/>
      <w:r w:rsidRPr="00716FA2">
        <w:rPr>
          <w:rFonts w:ascii="Times New Roman" w:hAnsi="Times New Roman"/>
          <w:bCs/>
          <w:sz w:val="22"/>
          <w:szCs w:val="22"/>
        </w:rPr>
        <w:t xml:space="preserve"> dokáže udržať pH v žalúdku i niekoľko hodín na úrovni 3</w:t>
      </w:r>
      <w:r w:rsidR="00A753DB">
        <w:rPr>
          <w:rFonts w:ascii="Times New Roman" w:hAnsi="Times New Roman"/>
          <w:bCs/>
          <w:sz w:val="22"/>
          <w:szCs w:val="22"/>
        </w:rPr>
        <w:t> – </w:t>
      </w:r>
      <w:r w:rsidRPr="00716FA2">
        <w:rPr>
          <w:rFonts w:ascii="Times New Roman" w:hAnsi="Times New Roman"/>
          <w:bCs/>
          <w:sz w:val="22"/>
          <w:szCs w:val="22"/>
        </w:rPr>
        <w:t xml:space="preserve">4,5. Čas trvania účinku je individuálny. Ak je táto kombinácia </w:t>
      </w:r>
      <w:proofErr w:type="spellStart"/>
      <w:r w:rsidRPr="00716FA2">
        <w:rPr>
          <w:rFonts w:ascii="Times New Roman" w:hAnsi="Times New Roman"/>
          <w:bCs/>
          <w:sz w:val="22"/>
          <w:szCs w:val="22"/>
        </w:rPr>
        <w:t>antacíd</w:t>
      </w:r>
      <w:proofErr w:type="spellEnd"/>
      <w:r w:rsidRPr="00716FA2">
        <w:rPr>
          <w:rFonts w:ascii="Times New Roman" w:hAnsi="Times New Roman"/>
          <w:bCs/>
          <w:sz w:val="22"/>
          <w:szCs w:val="22"/>
        </w:rPr>
        <w:t xml:space="preserve"> podávaná 1</w:t>
      </w:r>
      <w:r w:rsidR="00CC13B6">
        <w:rPr>
          <w:rFonts w:ascii="Times New Roman" w:hAnsi="Times New Roman"/>
          <w:bCs/>
          <w:sz w:val="22"/>
          <w:szCs w:val="22"/>
        </w:rPr>
        <w:t> </w:t>
      </w:r>
      <w:r w:rsidRPr="00716FA2">
        <w:rPr>
          <w:rFonts w:ascii="Times New Roman" w:hAnsi="Times New Roman"/>
          <w:bCs/>
          <w:sz w:val="22"/>
          <w:szCs w:val="22"/>
        </w:rPr>
        <w:t>hodinu po jedle, neutralizačný účinok trvá až 3 hodiny.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5.3</w:t>
      </w:r>
      <w:r w:rsidRPr="00716FA2">
        <w:rPr>
          <w:b/>
          <w:sz w:val="22"/>
          <w:szCs w:val="22"/>
          <w:lang w:val="sk-SK"/>
        </w:rPr>
        <w:tab/>
        <w:t>Predklinické údaje o bezpečnosti</w:t>
      </w:r>
    </w:p>
    <w:p w:rsidR="00E3567E" w:rsidRPr="00716FA2" w:rsidRDefault="00E3567E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Údaje relevantné k tomuto odseku nie sú k dispozícii.</w:t>
      </w:r>
    </w:p>
    <w:p w:rsidR="003722B0" w:rsidRPr="00716FA2" w:rsidRDefault="003722B0">
      <w:pPr>
        <w:jc w:val="both"/>
        <w:rPr>
          <w:sz w:val="22"/>
          <w:szCs w:val="22"/>
          <w:lang w:val="sk-SK"/>
        </w:rPr>
      </w:pP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 w:rsidP="00A753DB">
      <w:pPr>
        <w:keepNext/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6.</w:t>
      </w:r>
      <w:r w:rsidRPr="00716FA2">
        <w:rPr>
          <w:b/>
          <w:sz w:val="22"/>
          <w:szCs w:val="22"/>
          <w:lang w:val="sk-SK"/>
        </w:rPr>
        <w:tab/>
        <w:t>FARMACEUTICKÉ ÚDAJE</w:t>
      </w:r>
    </w:p>
    <w:p w:rsidR="003722B0" w:rsidRPr="00BD7491" w:rsidRDefault="003722B0" w:rsidP="00A753DB">
      <w:pPr>
        <w:keepNext/>
        <w:jc w:val="both"/>
        <w:rPr>
          <w:sz w:val="22"/>
          <w:szCs w:val="22"/>
          <w:lang w:val="sk-SK"/>
        </w:rPr>
      </w:pPr>
    </w:p>
    <w:p w:rsidR="003722B0" w:rsidRPr="00716FA2" w:rsidRDefault="00A753DB" w:rsidP="00A753DB">
      <w:pPr>
        <w:keepNext/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6.1</w:t>
      </w:r>
      <w:r>
        <w:rPr>
          <w:b/>
          <w:sz w:val="22"/>
          <w:szCs w:val="22"/>
          <w:lang w:val="sk-SK"/>
        </w:rPr>
        <w:tab/>
        <w:t>Zoznam pomocných látok</w:t>
      </w:r>
    </w:p>
    <w:p w:rsidR="00E30DE4" w:rsidRPr="00716FA2" w:rsidRDefault="00E30DE4" w:rsidP="00A753DB">
      <w:pPr>
        <w:keepNext/>
        <w:jc w:val="both"/>
        <w:rPr>
          <w:sz w:val="22"/>
          <w:szCs w:val="22"/>
          <w:lang w:val="sk-SK"/>
        </w:rPr>
      </w:pPr>
    </w:p>
    <w:p w:rsidR="0033717A" w:rsidRPr="00716FA2" w:rsidRDefault="00075EBE" w:rsidP="00A753DB">
      <w:pPr>
        <w:keepNext/>
        <w:rPr>
          <w:sz w:val="22"/>
          <w:szCs w:val="22"/>
          <w:lang w:val="sk-SK"/>
        </w:rPr>
      </w:pPr>
      <w:proofErr w:type="spellStart"/>
      <w:r w:rsidRPr="00716FA2">
        <w:rPr>
          <w:sz w:val="22"/>
          <w:szCs w:val="22"/>
          <w:lang w:val="sk-SK"/>
        </w:rPr>
        <w:t>glycerol</w:t>
      </w:r>
      <w:proofErr w:type="spellEnd"/>
      <w:r w:rsidRPr="00716FA2">
        <w:rPr>
          <w:sz w:val="22"/>
          <w:szCs w:val="22"/>
          <w:lang w:val="sk-SK"/>
        </w:rPr>
        <w:t xml:space="preserve"> 85</w:t>
      </w:r>
      <w:r w:rsidR="00CC13B6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%</w:t>
      </w:r>
      <w:r w:rsidR="00A753DB">
        <w:rPr>
          <w:sz w:val="22"/>
          <w:szCs w:val="22"/>
          <w:lang w:val="sk-SK"/>
        </w:rPr>
        <w:t xml:space="preserve"> </w:t>
      </w:r>
      <w:r w:rsidR="002A5B5B">
        <w:rPr>
          <w:sz w:val="22"/>
          <w:szCs w:val="22"/>
          <w:lang w:val="sk-SK"/>
        </w:rPr>
        <w:t>(E 422)</w:t>
      </w:r>
    </w:p>
    <w:p w:rsidR="0033717A" w:rsidRPr="00716FA2" w:rsidRDefault="00075EBE" w:rsidP="0033717A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nekryštalizujúci </w:t>
      </w:r>
      <w:proofErr w:type="spellStart"/>
      <w:r w:rsidRPr="00716FA2">
        <w:rPr>
          <w:sz w:val="22"/>
          <w:szCs w:val="22"/>
          <w:lang w:val="sk-SK"/>
        </w:rPr>
        <w:t>sorbitol</w:t>
      </w:r>
      <w:proofErr w:type="spellEnd"/>
      <w:r w:rsidRPr="00716FA2">
        <w:rPr>
          <w:sz w:val="22"/>
          <w:szCs w:val="22"/>
          <w:lang w:val="sk-SK"/>
        </w:rPr>
        <w:t xml:space="preserve"> 70</w:t>
      </w:r>
      <w:r w:rsidR="00CC13B6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%</w:t>
      </w:r>
    </w:p>
    <w:p w:rsidR="0033717A" w:rsidRPr="00716FA2" w:rsidRDefault="00075EBE" w:rsidP="0033717A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kyselina </w:t>
      </w:r>
      <w:proofErr w:type="spellStart"/>
      <w:r w:rsidRPr="00716FA2">
        <w:rPr>
          <w:sz w:val="22"/>
          <w:szCs w:val="22"/>
          <w:lang w:val="sk-SK"/>
        </w:rPr>
        <w:t>benzoová</w:t>
      </w:r>
      <w:proofErr w:type="spellEnd"/>
      <w:r w:rsidR="00A753DB">
        <w:rPr>
          <w:sz w:val="22"/>
          <w:szCs w:val="22"/>
          <w:lang w:val="sk-SK"/>
        </w:rPr>
        <w:t xml:space="preserve"> </w:t>
      </w:r>
      <w:r w:rsidR="002A5B5B">
        <w:rPr>
          <w:sz w:val="22"/>
          <w:szCs w:val="22"/>
          <w:lang w:val="sk-SK"/>
        </w:rPr>
        <w:t>(E 210)</w:t>
      </w:r>
    </w:p>
    <w:p w:rsidR="0033717A" w:rsidRPr="00716FA2" w:rsidRDefault="00075EBE" w:rsidP="0033717A">
      <w:pPr>
        <w:rPr>
          <w:sz w:val="22"/>
          <w:szCs w:val="22"/>
          <w:lang w:val="sk-SK"/>
        </w:rPr>
      </w:pPr>
      <w:proofErr w:type="spellStart"/>
      <w:r w:rsidRPr="00716FA2">
        <w:rPr>
          <w:sz w:val="22"/>
          <w:szCs w:val="22"/>
          <w:lang w:val="sk-SK"/>
        </w:rPr>
        <w:t>benzo</w:t>
      </w:r>
      <w:r w:rsidR="002A5B5B">
        <w:rPr>
          <w:sz w:val="22"/>
          <w:szCs w:val="22"/>
          <w:lang w:val="sk-SK"/>
        </w:rPr>
        <w:t>át</w:t>
      </w:r>
      <w:proofErr w:type="spellEnd"/>
      <w:r w:rsidR="00006900">
        <w:rPr>
          <w:sz w:val="22"/>
          <w:szCs w:val="22"/>
          <w:lang w:val="sk-SK"/>
        </w:rPr>
        <w:t xml:space="preserve"> sodný</w:t>
      </w:r>
      <w:r w:rsidR="00A753DB">
        <w:rPr>
          <w:sz w:val="22"/>
          <w:szCs w:val="22"/>
          <w:lang w:val="sk-SK"/>
        </w:rPr>
        <w:t xml:space="preserve"> </w:t>
      </w:r>
      <w:r w:rsidR="002A5B5B">
        <w:rPr>
          <w:sz w:val="22"/>
          <w:szCs w:val="22"/>
          <w:lang w:val="sk-SK"/>
        </w:rPr>
        <w:t>(E 211)</w:t>
      </w:r>
    </w:p>
    <w:p w:rsidR="0033717A" w:rsidRPr="00716FA2" w:rsidRDefault="00075EBE" w:rsidP="0033717A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silica kôry škoricovníka cejlónskeho</w:t>
      </w:r>
    </w:p>
    <w:p w:rsidR="0033717A" w:rsidRPr="00716FA2" w:rsidRDefault="00075EBE" w:rsidP="0033717A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etanol 96</w:t>
      </w:r>
      <w:r w:rsidR="00CC13B6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>%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čistená voda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6.2</w:t>
      </w:r>
      <w:r w:rsidRPr="00716FA2">
        <w:rPr>
          <w:b/>
          <w:sz w:val="22"/>
          <w:szCs w:val="22"/>
          <w:lang w:val="sk-SK"/>
        </w:rPr>
        <w:tab/>
        <w:t>Inkompatibility</w:t>
      </w:r>
    </w:p>
    <w:p w:rsidR="004E162D" w:rsidRPr="00716FA2" w:rsidRDefault="004E162D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Doteraz nie sú známe.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6.3</w:t>
      </w:r>
      <w:r w:rsidRPr="00716FA2">
        <w:rPr>
          <w:b/>
          <w:sz w:val="22"/>
          <w:szCs w:val="22"/>
          <w:lang w:val="sk-SK"/>
        </w:rPr>
        <w:tab/>
        <w:t>Čas použiteľnosti</w:t>
      </w:r>
    </w:p>
    <w:p w:rsidR="004E162D" w:rsidRPr="00716FA2" w:rsidRDefault="004E162D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3 roky</w:t>
      </w:r>
    </w:p>
    <w:p w:rsidR="003722B0" w:rsidRPr="00716FA2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 w:rsidP="00BD7491">
      <w:pPr>
        <w:keepNext/>
        <w:jc w:val="both"/>
        <w:rPr>
          <w:b/>
          <w:sz w:val="22"/>
          <w:szCs w:val="22"/>
          <w:lang w:val="sk-SK"/>
        </w:rPr>
      </w:pPr>
      <w:r w:rsidRPr="00716FA2">
        <w:rPr>
          <w:b/>
          <w:caps/>
          <w:sz w:val="22"/>
          <w:szCs w:val="22"/>
          <w:lang w:val="sk-SK"/>
        </w:rPr>
        <w:t>6.4</w:t>
      </w:r>
      <w:r w:rsidRPr="00716FA2">
        <w:rPr>
          <w:b/>
          <w:sz w:val="22"/>
          <w:szCs w:val="22"/>
          <w:lang w:val="sk-SK"/>
        </w:rPr>
        <w:tab/>
        <w:t>Špeciálne upozornenia na uchovávanie</w:t>
      </w:r>
    </w:p>
    <w:p w:rsidR="00317AB9" w:rsidRPr="00716FA2" w:rsidRDefault="00317AB9" w:rsidP="00BD7491">
      <w:pPr>
        <w:keepNext/>
        <w:jc w:val="both"/>
        <w:rPr>
          <w:sz w:val="22"/>
          <w:szCs w:val="22"/>
          <w:lang w:val="sk-SK"/>
        </w:rPr>
      </w:pPr>
    </w:p>
    <w:p w:rsidR="003722B0" w:rsidRPr="00E27300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Uchovávajte pri teplote do 25 </w:t>
      </w:r>
      <w:r w:rsidR="00953C87" w:rsidRPr="00716FA2">
        <w:rPr>
          <w:sz w:val="22"/>
          <w:szCs w:val="22"/>
          <w:lang w:val="sk-SK"/>
        </w:rPr>
        <w:sym w:font="Arial" w:char="00B0"/>
      </w:r>
      <w:r w:rsidR="00953C87" w:rsidRPr="00716FA2">
        <w:rPr>
          <w:sz w:val="22"/>
          <w:szCs w:val="22"/>
          <w:lang w:val="sk-SK"/>
        </w:rPr>
        <w:t>C</w:t>
      </w:r>
      <w:r w:rsidRPr="00716FA2">
        <w:rPr>
          <w:sz w:val="22"/>
          <w:szCs w:val="22"/>
          <w:lang w:val="sk-SK"/>
        </w:rPr>
        <w:t xml:space="preserve">. </w:t>
      </w:r>
      <w:bookmarkStart w:id="4" w:name="_Hlk41567818"/>
      <w:r w:rsidR="00110140" w:rsidRPr="00110140">
        <w:rPr>
          <w:sz w:val="22"/>
          <w:szCs w:val="22"/>
          <w:lang w:val="sk-SK"/>
        </w:rPr>
        <w:t>Neuchovávajte v</w:t>
      </w:r>
      <w:r w:rsidR="00110140">
        <w:rPr>
          <w:sz w:val="22"/>
          <w:szCs w:val="22"/>
          <w:lang w:val="sk-SK"/>
        </w:rPr>
        <w:t> </w:t>
      </w:r>
      <w:r w:rsidR="00110140" w:rsidRPr="00110140">
        <w:rPr>
          <w:sz w:val="22"/>
          <w:szCs w:val="22"/>
          <w:lang w:val="sk-SK"/>
        </w:rPr>
        <w:t>mrazničke</w:t>
      </w:r>
      <w:r w:rsidR="00110140">
        <w:rPr>
          <w:sz w:val="22"/>
          <w:szCs w:val="22"/>
          <w:lang w:val="sk-SK"/>
        </w:rPr>
        <w:t>.</w:t>
      </w:r>
      <w:bookmarkEnd w:id="4"/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 w:rsidP="00BD7491">
      <w:pPr>
        <w:keepNext/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6.5</w:t>
      </w:r>
      <w:r w:rsidRPr="00716FA2">
        <w:rPr>
          <w:b/>
          <w:sz w:val="22"/>
          <w:szCs w:val="22"/>
          <w:lang w:val="sk-SK"/>
        </w:rPr>
        <w:tab/>
        <w:t>Druh obalu a obsah balenia</w:t>
      </w:r>
    </w:p>
    <w:p w:rsidR="004B6BCC" w:rsidRPr="00716FA2" w:rsidRDefault="004B6BCC" w:rsidP="00BD7491">
      <w:pPr>
        <w:keepNext/>
        <w:rPr>
          <w:sz w:val="22"/>
          <w:szCs w:val="22"/>
          <w:lang w:val="sk-SK"/>
        </w:rPr>
      </w:pPr>
    </w:p>
    <w:p w:rsidR="003722B0" w:rsidRPr="00716FA2" w:rsidRDefault="00075EBE" w:rsidP="00C67D05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 xml:space="preserve">Kombinovaná fólia (polyetylén </w:t>
      </w:r>
      <w:r w:rsidR="002A5B5B">
        <w:rPr>
          <w:sz w:val="22"/>
          <w:szCs w:val="22"/>
          <w:lang w:val="sk-SK"/>
        </w:rPr>
        <w:t>–</w:t>
      </w:r>
      <w:r w:rsidRPr="00716FA2">
        <w:rPr>
          <w:sz w:val="22"/>
          <w:szCs w:val="22"/>
          <w:lang w:val="sk-SK"/>
        </w:rPr>
        <w:t xml:space="preserve"> hliník – papier), písomná informácia pre používateľa, škatuľka.</w:t>
      </w:r>
    </w:p>
    <w:p w:rsidR="003722B0" w:rsidRDefault="00075EBE" w:rsidP="00C67D05">
      <w:pPr>
        <w:rPr>
          <w:lang w:val="sk-SK"/>
        </w:rPr>
      </w:pPr>
      <w:r w:rsidRPr="00716FA2">
        <w:rPr>
          <w:sz w:val="22"/>
          <w:szCs w:val="22"/>
          <w:lang w:val="sk-SK"/>
        </w:rPr>
        <w:t>Veľkosť balenia: 12 alebo 30 vreciek, každé obsahuje 5</w:t>
      </w:r>
      <w:r w:rsidR="00CC13B6">
        <w:rPr>
          <w:sz w:val="22"/>
          <w:szCs w:val="22"/>
          <w:lang w:val="sk-SK"/>
        </w:rPr>
        <w:t> </w:t>
      </w:r>
      <w:r w:rsidRPr="00716FA2">
        <w:rPr>
          <w:sz w:val="22"/>
          <w:szCs w:val="22"/>
          <w:lang w:val="sk-SK"/>
        </w:rPr>
        <w:t xml:space="preserve">ml </w:t>
      </w:r>
      <w:r w:rsidR="00AF044B">
        <w:rPr>
          <w:sz w:val="22"/>
          <w:szCs w:val="22"/>
          <w:lang w:val="sk-SK"/>
        </w:rPr>
        <w:t>suspenzie</w:t>
      </w:r>
      <w:r w:rsidRPr="00E27300">
        <w:rPr>
          <w:sz w:val="22"/>
          <w:szCs w:val="22"/>
          <w:lang w:val="sk-SK"/>
        </w:rPr>
        <w:t>.</w:t>
      </w:r>
    </w:p>
    <w:p w:rsidR="002A5B5B" w:rsidRPr="00E27300" w:rsidRDefault="002A5B5B" w:rsidP="00C67D05">
      <w:pPr>
        <w:rPr>
          <w:sz w:val="22"/>
          <w:szCs w:val="22"/>
          <w:lang w:val="sk-SK"/>
        </w:rPr>
      </w:pPr>
    </w:p>
    <w:p w:rsidR="002A5B5B" w:rsidRPr="00E27300" w:rsidRDefault="002A5B5B" w:rsidP="00C67D05">
      <w:pPr>
        <w:rPr>
          <w:sz w:val="22"/>
          <w:szCs w:val="22"/>
          <w:lang w:val="sk-SK"/>
        </w:rPr>
      </w:pPr>
      <w:r w:rsidRPr="00E27300">
        <w:rPr>
          <w:sz w:val="22"/>
          <w:szCs w:val="22"/>
          <w:lang w:val="sk-SK"/>
        </w:rPr>
        <w:t>Na trh nemusia byť uvedené všetky veľkosti balenia.</w:t>
      </w:r>
    </w:p>
    <w:p w:rsidR="003722B0" w:rsidRPr="002A5B5B" w:rsidRDefault="003722B0">
      <w:pPr>
        <w:jc w:val="both"/>
        <w:rPr>
          <w:sz w:val="22"/>
          <w:szCs w:val="22"/>
          <w:lang w:val="sk-SK"/>
        </w:rPr>
      </w:pPr>
    </w:p>
    <w:p w:rsidR="00AA6A41" w:rsidRPr="00BD7491" w:rsidRDefault="00075EBE" w:rsidP="00AA6A41">
      <w:pPr>
        <w:rPr>
          <w:b/>
          <w:bCs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6.6</w:t>
      </w:r>
      <w:r w:rsidRPr="00716FA2">
        <w:rPr>
          <w:b/>
          <w:sz w:val="22"/>
          <w:szCs w:val="22"/>
          <w:lang w:val="sk-SK"/>
        </w:rPr>
        <w:tab/>
      </w:r>
      <w:r w:rsidRPr="00BD7491">
        <w:rPr>
          <w:b/>
          <w:bCs/>
          <w:sz w:val="22"/>
          <w:szCs w:val="22"/>
          <w:lang w:val="sk-SK"/>
        </w:rPr>
        <w:t>Špeciálne opatrenia na likvidáciu</w:t>
      </w:r>
      <w:r w:rsidRPr="00BD7491">
        <w:rPr>
          <w:b/>
          <w:sz w:val="22"/>
          <w:szCs w:val="22"/>
          <w:lang w:val="sk-SK"/>
        </w:rPr>
        <w:t xml:space="preserve"> </w:t>
      </w:r>
      <w:r w:rsidRPr="00BD7491">
        <w:rPr>
          <w:b/>
          <w:bCs/>
          <w:sz w:val="22"/>
          <w:szCs w:val="22"/>
          <w:lang w:val="sk-SK"/>
        </w:rPr>
        <w:t>a iné zaobchádzanie s liekom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4D716C" w:rsidRPr="00E27300" w:rsidRDefault="002A5B5B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</w:t>
      </w:r>
      <w:r w:rsidR="00075EBE" w:rsidRPr="00BD7491">
        <w:rPr>
          <w:sz w:val="22"/>
          <w:szCs w:val="22"/>
          <w:lang w:val="sk-SK"/>
        </w:rPr>
        <w:t xml:space="preserve">epoužitý liek alebo odpad vzniknutý z lieku </w:t>
      </w:r>
      <w:r>
        <w:rPr>
          <w:sz w:val="22"/>
          <w:szCs w:val="22"/>
          <w:lang w:val="sk-SK"/>
        </w:rPr>
        <w:t>sa má zlikvidovať v súlade s národnými požiadavkami</w:t>
      </w:r>
      <w:r w:rsidR="00075EBE" w:rsidRPr="00BD7491">
        <w:rPr>
          <w:sz w:val="22"/>
          <w:szCs w:val="22"/>
          <w:lang w:val="sk-SK"/>
        </w:rPr>
        <w:t>.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E353A7" w:rsidRPr="00BD7491" w:rsidRDefault="00E353A7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716FA2">
        <w:rPr>
          <w:b/>
          <w:sz w:val="22"/>
          <w:szCs w:val="22"/>
          <w:lang w:val="sk-SK"/>
        </w:rPr>
        <w:t>7</w:t>
      </w:r>
      <w:r w:rsidR="00CC13B6">
        <w:rPr>
          <w:b/>
          <w:sz w:val="22"/>
          <w:szCs w:val="22"/>
          <w:lang w:val="sk-SK"/>
        </w:rPr>
        <w:t>.</w:t>
      </w:r>
      <w:r w:rsidRPr="00716FA2">
        <w:rPr>
          <w:b/>
          <w:sz w:val="22"/>
          <w:szCs w:val="22"/>
          <w:lang w:val="sk-SK"/>
        </w:rPr>
        <w:tab/>
        <w:t>DRŽITEĽ ROZHODNUTIA O REGISTRÁCII</w:t>
      </w:r>
    </w:p>
    <w:p w:rsidR="00F54443" w:rsidRPr="00716FA2" w:rsidRDefault="00F54443">
      <w:pPr>
        <w:jc w:val="both"/>
        <w:rPr>
          <w:sz w:val="22"/>
          <w:szCs w:val="22"/>
          <w:lang w:val="sk-SK"/>
        </w:rPr>
      </w:pPr>
    </w:p>
    <w:p w:rsidR="00CC13B6" w:rsidRDefault="00075EBE">
      <w:pPr>
        <w:jc w:val="both"/>
        <w:rPr>
          <w:sz w:val="22"/>
          <w:szCs w:val="22"/>
          <w:lang w:val="sk-SK"/>
        </w:rPr>
      </w:pPr>
      <w:proofErr w:type="spellStart"/>
      <w:r w:rsidRPr="00716FA2">
        <w:rPr>
          <w:sz w:val="22"/>
          <w:szCs w:val="22"/>
          <w:lang w:val="sk-SK"/>
        </w:rPr>
        <w:t>Teva</w:t>
      </w:r>
      <w:proofErr w:type="spellEnd"/>
      <w:r w:rsidRPr="00716FA2">
        <w:rPr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Czech</w:t>
      </w:r>
      <w:proofErr w:type="spellEnd"/>
      <w:r w:rsidRPr="00716FA2">
        <w:rPr>
          <w:sz w:val="22"/>
          <w:szCs w:val="22"/>
          <w:lang w:val="sk-SK"/>
        </w:rPr>
        <w:t xml:space="preserve"> </w:t>
      </w:r>
      <w:proofErr w:type="spellStart"/>
      <w:r w:rsidRPr="00716FA2">
        <w:rPr>
          <w:sz w:val="22"/>
          <w:szCs w:val="22"/>
          <w:lang w:val="sk-SK"/>
        </w:rPr>
        <w:t>Industries</w:t>
      </w:r>
      <w:proofErr w:type="spellEnd"/>
      <w:r w:rsidRPr="00716FA2">
        <w:rPr>
          <w:sz w:val="22"/>
          <w:szCs w:val="22"/>
          <w:lang w:val="sk-SK"/>
        </w:rPr>
        <w:t xml:space="preserve"> s.r.o.</w:t>
      </w:r>
    </w:p>
    <w:p w:rsidR="00CC13B6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Ostravská 29</w:t>
      </w:r>
    </w:p>
    <w:p w:rsidR="00CC13B6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747 70 Opava, Komárov</w:t>
      </w: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Česká republika</w:t>
      </w: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BD7491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sz w:val="22"/>
          <w:szCs w:val="22"/>
          <w:lang w:val="sk-SK"/>
        </w:rPr>
      </w:pPr>
      <w:r w:rsidRPr="00260B20">
        <w:rPr>
          <w:b/>
          <w:sz w:val="22"/>
          <w:szCs w:val="22"/>
          <w:lang w:val="sk-SK"/>
        </w:rPr>
        <w:t>8</w:t>
      </w:r>
      <w:r w:rsidR="00CC13B6" w:rsidRPr="00260B20">
        <w:rPr>
          <w:b/>
          <w:sz w:val="22"/>
          <w:szCs w:val="22"/>
          <w:lang w:val="sk-SK"/>
        </w:rPr>
        <w:t>.</w:t>
      </w:r>
      <w:r w:rsidRPr="00716FA2">
        <w:rPr>
          <w:b/>
          <w:sz w:val="22"/>
          <w:szCs w:val="22"/>
          <w:lang w:val="sk-SK"/>
        </w:rPr>
        <w:tab/>
        <w:t>REGISTRAČNÉ ČÍSLO</w:t>
      </w:r>
    </w:p>
    <w:p w:rsidR="00F54443" w:rsidRPr="00716FA2" w:rsidRDefault="00F54443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09/0225/89-C/S</w:t>
      </w:r>
    </w:p>
    <w:p w:rsidR="003722B0" w:rsidRPr="00BD7491" w:rsidRDefault="003722B0">
      <w:pPr>
        <w:jc w:val="both"/>
        <w:rPr>
          <w:caps/>
          <w:sz w:val="22"/>
          <w:szCs w:val="22"/>
          <w:lang w:val="sk-SK"/>
        </w:rPr>
      </w:pPr>
    </w:p>
    <w:p w:rsidR="005D756C" w:rsidRPr="00BD7491" w:rsidRDefault="005D756C">
      <w:pPr>
        <w:jc w:val="both"/>
        <w:rPr>
          <w:caps/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caps/>
          <w:sz w:val="22"/>
          <w:szCs w:val="22"/>
          <w:lang w:val="sk-SK"/>
        </w:rPr>
      </w:pPr>
      <w:r w:rsidRPr="00716FA2">
        <w:rPr>
          <w:b/>
          <w:caps/>
          <w:sz w:val="22"/>
          <w:szCs w:val="22"/>
          <w:lang w:val="sk-SK"/>
        </w:rPr>
        <w:t>9.</w:t>
      </w:r>
      <w:r w:rsidRPr="00716FA2">
        <w:rPr>
          <w:b/>
          <w:caps/>
          <w:sz w:val="22"/>
          <w:szCs w:val="22"/>
          <w:lang w:val="sk-SK"/>
        </w:rPr>
        <w:tab/>
        <w:t>DÁTUM PRVEJ REGISTRÁCIE/PREDĹŽENIA REGISTRÁCIE</w:t>
      </w:r>
    </w:p>
    <w:p w:rsidR="00C15950" w:rsidRPr="00716FA2" w:rsidRDefault="00C15950">
      <w:pPr>
        <w:jc w:val="both"/>
        <w:rPr>
          <w:caps/>
          <w:sz w:val="22"/>
          <w:szCs w:val="22"/>
          <w:lang w:val="sk-SK"/>
        </w:rPr>
      </w:pPr>
    </w:p>
    <w:p w:rsidR="00C15950" w:rsidRPr="00716FA2" w:rsidRDefault="00075EBE" w:rsidP="00C15950">
      <w:pPr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Dátum prvej registrácie: 06. október 1989</w:t>
      </w:r>
    </w:p>
    <w:p w:rsidR="003722B0" w:rsidRPr="00716FA2" w:rsidRDefault="00075EBE" w:rsidP="00C15950">
      <w:pPr>
        <w:jc w:val="both"/>
        <w:rPr>
          <w:sz w:val="22"/>
          <w:szCs w:val="22"/>
          <w:lang w:val="sk-SK"/>
        </w:rPr>
      </w:pPr>
      <w:r w:rsidRPr="00716FA2">
        <w:rPr>
          <w:sz w:val="22"/>
          <w:szCs w:val="22"/>
          <w:lang w:val="sk-SK"/>
        </w:rPr>
        <w:t>Dátum posledného predĺženia registrácie:</w:t>
      </w:r>
      <w:r w:rsidRPr="00716FA2">
        <w:rPr>
          <w:caps/>
          <w:sz w:val="22"/>
          <w:szCs w:val="22"/>
          <w:lang w:val="sk-SK"/>
        </w:rPr>
        <w:t xml:space="preserve"> </w:t>
      </w:r>
      <w:r w:rsidRPr="00716FA2">
        <w:rPr>
          <w:sz w:val="22"/>
          <w:szCs w:val="22"/>
          <w:lang w:val="sk-SK"/>
        </w:rPr>
        <w:t>01. apríl 2005</w:t>
      </w:r>
    </w:p>
    <w:p w:rsidR="003722B0" w:rsidRPr="00716FA2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3722B0">
      <w:pPr>
        <w:jc w:val="both"/>
        <w:rPr>
          <w:sz w:val="22"/>
          <w:szCs w:val="22"/>
          <w:lang w:val="sk-SK"/>
        </w:rPr>
      </w:pPr>
    </w:p>
    <w:p w:rsidR="003722B0" w:rsidRPr="00716FA2" w:rsidRDefault="00075EBE">
      <w:pPr>
        <w:jc w:val="both"/>
        <w:rPr>
          <w:b/>
          <w:caps/>
          <w:sz w:val="22"/>
          <w:szCs w:val="22"/>
          <w:lang w:val="sk-SK"/>
        </w:rPr>
      </w:pPr>
      <w:r w:rsidRPr="00716FA2">
        <w:rPr>
          <w:b/>
          <w:caps/>
          <w:sz w:val="22"/>
          <w:szCs w:val="22"/>
          <w:lang w:val="sk-SK"/>
        </w:rPr>
        <w:t>10.</w:t>
      </w:r>
      <w:r w:rsidR="00764CC2" w:rsidRPr="00716FA2">
        <w:rPr>
          <w:b/>
          <w:caps/>
          <w:sz w:val="22"/>
          <w:szCs w:val="22"/>
          <w:lang w:val="sk-SK"/>
        </w:rPr>
        <w:tab/>
      </w:r>
      <w:r w:rsidRPr="00716FA2">
        <w:rPr>
          <w:b/>
          <w:caps/>
          <w:sz w:val="22"/>
          <w:szCs w:val="22"/>
          <w:lang w:val="sk-SK"/>
        </w:rPr>
        <w:t>DÁTUM REVÍZIE TEXTU</w:t>
      </w:r>
    </w:p>
    <w:p w:rsidR="00AA6A41" w:rsidRPr="00716FA2" w:rsidRDefault="00AA6A41">
      <w:pPr>
        <w:jc w:val="both"/>
        <w:rPr>
          <w:sz w:val="22"/>
          <w:szCs w:val="22"/>
          <w:lang w:val="sk-SK"/>
        </w:rPr>
      </w:pPr>
    </w:p>
    <w:p w:rsidR="003722B0" w:rsidRPr="00E27300" w:rsidRDefault="002A5B5B" w:rsidP="00CC3DAB">
      <w:pPr>
        <w:pStyle w:val="Nzov"/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06/2020</w:t>
      </w:r>
    </w:p>
    <w:sectPr w:rsidR="003722B0" w:rsidRPr="00E27300" w:rsidSect="00BD7491">
      <w:headerReference w:type="default" r:id="rId10"/>
      <w:footerReference w:type="default" r:id="rId11"/>
      <w:pgSz w:w="11907" w:h="16840" w:code="9"/>
      <w:pgMar w:top="1383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CE" w:rsidRDefault="00276ACE">
      <w:r>
        <w:separator/>
      </w:r>
    </w:p>
  </w:endnote>
  <w:endnote w:type="continuationSeparator" w:id="0">
    <w:p w:rsidR="00276ACE" w:rsidRDefault="0027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F1" w:rsidRPr="00BD7491" w:rsidRDefault="00075EBE" w:rsidP="00BD7491">
    <w:pPr>
      <w:pStyle w:val="Pta"/>
      <w:jc w:val="center"/>
      <w:rPr>
        <w:iCs/>
        <w:sz w:val="18"/>
        <w:szCs w:val="18"/>
      </w:rPr>
    </w:pPr>
    <w:r w:rsidRPr="00BD7491">
      <w:rPr>
        <w:iCs/>
        <w:sz w:val="18"/>
        <w:szCs w:val="18"/>
      </w:rPr>
      <w:fldChar w:fldCharType="begin"/>
    </w:r>
    <w:r w:rsidRPr="00BD7491">
      <w:rPr>
        <w:iCs/>
        <w:sz w:val="18"/>
        <w:szCs w:val="18"/>
      </w:rPr>
      <w:instrText xml:space="preserve"> PAGE </w:instrText>
    </w:r>
    <w:r w:rsidRPr="00BD7491">
      <w:rPr>
        <w:iCs/>
        <w:sz w:val="18"/>
        <w:szCs w:val="18"/>
      </w:rPr>
      <w:fldChar w:fldCharType="separate"/>
    </w:r>
    <w:r w:rsidR="00E27300">
      <w:rPr>
        <w:iCs/>
        <w:noProof/>
        <w:sz w:val="18"/>
        <w:szCs w:val="18"/>
      </w:rPr>
      <w:t>6</w:t>
    </w:r>
    <w:r w:rsidRPr="00BD7491">
      <w:rPr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CE" w:rsidRDefault="00276ACE">
      <w:r>
        <w:separator/>
      </w:r>
    </w:p>
  </w:footnote>
  <w:footnote w:type="continuationSeparator" w:id="0">
    <w:p w:rsidR="00276ACE" w:rsidRDefault="00276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88E" w:rsidRPr="00BD7491" w:rsidRDefault="00B1588E">
    <w:pPr>
      <w:pStyle w:val="Hlavika"/>
      <w:rPr>
        <w:rFonts w:ascii="Times New Roman" w:hAnsi="Times New Roman"/>
        <w:sz w:val="18"/>
        <w:szCs w:val="18"/>
        <w:lang w:val="sk-SK"/>
      </w:rPr>
    </w:pPr>
    <w:r w:rsidRPr="00BD7491">
      <w:rPr>
        <w:rFonts w:ascii="Times New Roman" w:hAnsi="Times New Roman"/>
        <w:sz w:val="18"/>
        <w:szCs w:val="18"/>
        <w:lang w:val="sk-SK"/>
      </w:rPr>
      <w:t xml:space="preserve">Príloha č. 1 k notifikácii o zmene, ev. č.: </w:t>
    </w:r>
    <w:r w:rsidR="00C56B7D" w:rsidRPr="00C56B7D">
      <w:rPr>
        <w:rFonts w:ascii="Times New Roman" w:hAnsi="Times New Roman"/>
        <w:sz w:val="18"/>
        <w:szCs w:val="18"/>
        <w:lang w:val="sk-SK"/>
      </w:rPr>
      <w:t>2020/02957-Z1B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3760"/>
    <w:multiLevelType w:val="hybridMultilevel"/>
    <w:tmpl w:val="A930057E"/>
    <w:lvl w:ilvl="0" w:tplc="3488B8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8A4895"/>
    <w:multiLevelType w:val="hybridMultilevel"/>
    <w:tmpl w:val="9C42FD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503DF"/>
    <w:multiLevelType w:val="singleLevel"/>
    <w:tmpl w:val="5DD8979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ol">
    <w15:presenceInfo w15:providerId="None" w15:userId="bero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A1"/>
    <w:rsid w:val="000010BE"/>
    <w:rsid w:val="000045A0"/>
    <w:rsid w:val="00006900"/>
    <w:rsid w:val="00032BB6"/>
    <w:rsid w:val="00055178"/>
    <w:rsid w:val="000656B8"/>
    <w:rsid w:val="00075EBE"/>
    <w:rsid w:val="00077FAB"/>
    <w:rsid w:val="00093382"/>
    <w:rsid w:val="00110140"/>
    <w:rsid w:val="00133C41"/>
    <w:rsid w:val="001345E7"/>
    <w:rsid w:val="001471E4"/>
    <w:rsid w:val="00160A67"/>
    <w:rsid w:val="00165D67"/>
    <w:rsid w:val="00176F59"/>
    <w:rsid w:val="001B0A23"/>
    <w:rsid w:val="001B6BC8"/>
    <w:rsid w:val="001B7BED"/>
    <w:rsid w:val="001C39E4"/>
    <w:rsid w:val="001C5BDC"/>
    <w:rsid w:val="001F0F0A"/>
    <w:rsid w:val="00201740"/>
    <w:rsid w:val="00260B20"/>
    <w:rsid w:val="00276ACE"/>
    <w:rsid w:val="002951EE"/>
    <w:rsid w:val="002A5B5B"/>
    <w:rsid w:val="002C2943"/>
    <w:rsid w:val="00307D9C"/>
    <w:rsid w:val="00314500"/>
    <w:rsid w:val="00317AB9"/>
    <w:rsid w:val="00325C15"/>
    <w:rsid w:val="00330373"/>
    <w:rsid w:val="00334AF1"/>
    <w:rsid w:val="0033717A"/>
    <w:rsid w:val="00345CA4"/>
    <w:rsid w:val="0036758C"/>
    <w:rsid w:val="003722B0"/>
    <w:rsid w:val="00392825"/>
    <w:rsid w:val="003A540A"/>
    <w:rsid w:val="003A67B5"/>
    <w:rsid w:val="003D3099"/>
    <w:rsid w:val="003D5673"/>
    <w:rsid w:val="003F0FDB"/>
    <w:rsid w:val="0045660A"/>
    <w:rsid w:val="00485C79"/>
    <w:rsid w:val="004B6BCC"/>
    <w:rsid w:val="004D0762"/>
    <w:rsid w:val="004D716C"/>
    <w:rsid w:val="004E162D"/>
    <w:rsid w:val="004F3EF1"/>
    <w:rsid w:val="005428D7"/>
    <w:rsid w:val="005A72B8"/>
    <w:rsid w:val="005A7C8B"/>
    <w:rsid w:val="005B4B19"/>
    <w:rsid w:val="005B55A1"/>
    <w:rsid w:val="005D756C"/>
    <w:rsid w:val="005F02B1"/>
    <w:rsid w:val="00610123"/>
    <w:rsid w:val="006308AA"/>
    <w:rsid w:val="0063429B"/>
    <w:rsid w:val="00634468"/>
    <w:rsid w:val="00635A36"/>
    <w:rsid w:val="00636327"/>
    <w:rsid w:val="0068693F"/>
    <w:rsid w:val="0069774C"/>
    <w:rsid w:val="006A427B"/>
    <w:rsid w:val="006B0CC5"/>
    <w:rsid w:val="006C3842"/>
    <w:rsid w:val="006E078C"/>
    <w:rsid w:val="006F414B"/>
    <w:rsid w:val="00713620"/>
    <w:rsid w:val="00716FA2"/>
    <w:rsid w:val="00726AF2"/>
    <w:rsid w:val="00750D5E"/>
    <w:rsid w:val="0076448C"/>
    <w:rsid w:val="00764CC2"/>
    <w:rsid w:val="0077757B"/>
    <w:rsid w:val="007B00BF"/>
    <w:rsid w:val="007C09EF"/>
    <w:rsid w:val="007E29C1"/>
    <w:rsid w:val="007F7ADC"/>
    <w:rsid w:val="0083113C"/>
    <w:rsid w:val="00835689"/>
    <w:rsid w:val="00852477"/>
    <w:rsid w:val="0085325E"/>
    <w:rsid w:val="0085447A"/>
    <w:rsid w:val="00874356"/>
    <w:rsid w:val="00887458"/>
    <w:rsid w:val="00892A83"/>
    <w:rsid w:val="008B20B7"/>
    <w:rsid w:val="008C24FD"/>
    <w:rsid w:val="008D1864"/>
    <w:rsid w:val="008E16DA"/>
    <w:rsid w:val="0093098E"/>
    <w:rsid w:val="00941508"/>
    <w:rsid w:val="00941E63"/>
    <w:rsid w:val="0094398A"/>
    <w:rsid w:val="0095102D"/>
    <w:rsid w:val="00953C87"/>
    <w:rsid w:val="00990C87"/>
    <w:rsid w:val="009B5121"/>
    <w:rsid w:val="009B7B47"/>
    <w:rsid w:val="009E36B0"/>
    <w:rsid w:val="00A15390"/>
    <w:rsid w:val="00A302BA"/>
    <w:rsid w:val="00A56C27"/>
    <w:rsid w:val="00A56F3B"/>
    <w:rsid w:val="00A753DB"/>
    <w:rsid w:val="00A859CB"/>
    <w:rsid w:val="00AA6A41"/>
    <w:rsid w:val="00AB4601"/>
    <w:rsid w:val="00AF044B"/>
    <w:rsid w:val="00B01BB1"/>
    <w:rsid w:val="00B14A40"/>
    <w:rsid w:val="00B1588E"/>
    <w:rsid w:val="00B276F2"/>
    <w:rsid w:val="00B30EC9"/>
    <w:rsid w:val="00B75E4C"/>
    <w:rsid w:val="00B9043F"/>
    <w:rsid w:val="00BD7491"/>
    <w:rsid w:val="00BD7C36"/>
    <w:rsid w:val="00BF5509"/>
    <w:rsid w:val="00BF6FB2"/>
    <w:rsid w:val="00C15950"/>
    <w:rsid w:val="00C4622E"/>
    <w:rsid w:val="00C5283E"/>
    <w:rsid w:val="00C56B7D"/>
    <w:rsid w:val="00C67D05"/>
    <w:rsid w:val="00C77E7E"/>
    <w:rsid w:val="00C820D4"/>
    <w:rsid w:val="00CC13B6"/>
    <w:rsid w:val="00CC3DAB"/>
    <w:rsid w:val="00CD7C08"/>
    <w:rsid w:val="00CE1F3C"/>
    <w:rsid w:val="00CE46AC"/>
    <w:rsid w:val="00CF12C8"/>
    <w:rsid w:val="00CF5908"/>
    <w:rsid w:val="00D15C6D"/>
    <w:rsid w:val="00D52A13"/>
    <w:rsid w:val="00D67A53"/>
    <w:rsid w:val="00D73F42"/>
    <w:rsid w:val="00D7520B"/>
    <w:rsid w:val="00D96B4A"/>
    <w:rsid w:val="00DA1130"/>
    <w:rsid w:val="00DB40B9"/>
    <w:rsid w:val="00DE41A8"/>
    <w:rsid w:val="00DE7E38"/>
    <w:rsid w:val="00E112A6"/>
    <w:rsid w:val="00E14203"/>
    <w:rsid w:val="00E27300"/>
    <w:rsid w:val="00E30DE4"/>
    <w:rsid w:val="00E3441A"/>
    <w:rsid w:val="00E353A7"/>
    <w:rsid w:val="00E3567E"/>
    <w:rsid w:val="00E379AF"/>
    <w:rsid w:val="00E56A9E"/>
    <w:rsid w:val="00EB5A50"/>
    <w:rsid w:val="00F50F01"/>
    <w:rsid w:val="00F54443"/>
    <w:rsid w:val="00F6060D"/>
    <w:rsid w:val="00F6786C"/>
    <w:rsid w:val="00F73618"/>
    <w:rsid w:val="00F82C64"/>
    <w:rsid w:val="00FA30E3"/>
    <w:rsid w:val="00FA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20D4"/>
    <w:rPr>
      <w:lang w:val="cs-CZ" w:eastAsia="en-US"/>
    </w:rPr>
  </w:style>
  <w:style w:type="paragraph" w:styleId="Nadpis1">
    <w:name w:val="heading 1"/>
    <w:basedOn w:val="Normlny"/>
    <w:next w:val="Normlny"/>
    <w:qFormat/>
    <w:rsid w:val="00C820D4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C820D4"/>
    <w:pPr>
      <w:keepNext/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C820D4"/>
    <w:pPr>
      <w:keepNext/>
      <w:shd w:val="pct12" w:color="auto" w:fill="FFFFFF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rsid w:val="00C820D4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y"/>
    <w:next w:val="Normlny"/>
    <w:qFormat/>
    <w:rsid w:val="00C820D4"/>
    <w:pPr>
      <w:keepNext/>
      <w:jc w:val="both"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820D4"/>
    <w:pPr>
      <w:tabs>
        <w:tab w:val="center" w:pos="4536"/>
        <w:tab w:val="right" w:pos="9072"/>
      </w:tabs>
    </w:pPr>
    <w:rPr>
      <w:rFonts w:ascii="Arial" w:hAnsi="Arial"/>
      <w:sz w:val="24"/>
      <w:lang w:val="en-GB"/>
    </w:rPr>
  </w:style>
  <w:style w:type="paragraph" w:styleId="Pta">
    <w:name w:val="footer"/>
    <w:basedOn w:val="Normlny"/>
    <w:rsid w:val="00C820D4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C820D4"/>
    <w:pPr>
      <w:jc w:val="center"/>
    </w:pPr>
    <w:rPr>
      <w:b/>
      <w:caps/>
      <w:sz w:val="36"/>
    </w:rPr>
  </w:style>
  <w:style w:type="character" w:styleId="slostrany">
    <w:name w:val="page number"/>
    <w:basedOn w:val="Predvolenpsmoodseku"/>
    <w:rsid w:val="00C820D4"/>
  </w:style>
  <w:style w:type="paragraph" w:styleId="Zkladntext">
    <w:name w:val="Body Text"/>
    <w:basedOn w:val="Normlny"/>
    <w:rsid w:val="00C820D4"/>
    <w:pPr>
      <w:jc w:val="both"/>
    </w:pPr>
    <w:rPr>
      <w:sz w:val="22"/>
      <w:lang w:val="sk-SK"/>
    </w:rPr>
  </w:style>
  <w:style w:type="paragraph" w:styleId="Zkladntext2">
    <w:name w:val="Body Text 2"/>
    <w:basedOn w:val="Normlny"/>
    <w:rsid w:val="00C820D4"/>
    <w:pPr>
      <w:jc w:val="both"/>
    </w:pPr>
    <w:rPr>
      <w:rFonts w:ascii="Arial" w:hAnsi="Arial"/>
      <w:color w:val="FF0000"/>
      <w:lang w:val="sk-SK"/>
    </w:rPr>
  </w:style>
  <w:style w:type="paragraph" w:styleId="Zkladntext3">
    <w:name w:val="Body Text 3"/>
    <w:basedOn w:val="Normlny"/>
    <w:rsid w:val="00C820D4"/>
    <w:pPr>
      <w:jc w:val="both"/>
    </w:pPr>
    <w:rPr>
      <w:rFonts w:ascii="Arial" w:hAnsi="Arial"/>
      <w:lang w:val="sk-SK"/>
    </w:rPr>
  </w:style>
  <w:style w:type="paragraph" w:styleId="Textbubliny">
    <w:name w:val="Balloon Text"/>
    <w:basedOn w:val="Normlny"/>
    <w:semiHidden/>
    <w:rsid w:val="0036758C"/>
    <w:rPr>
      <w:rFonts w:ascii="Tahoma" w:hAnsi="Tahoma"/>
      <w:sz w:val="16"/>
      <w:szCs w:val="16"/>
    </w:rPr>
  </w:style>
  <w:style w:type="character" w:styleId="Hypertextovprepojenie">
    <w:name w:val="Hyperlink"/>
    <w:rsid w:val="005F02B1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CF12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12C8"/>
  </w:style>
  <w:style w:type="character" w:customStyle="1" w:styleId="TextkomentraChar">
    <w:name w:val="Text komentára Char"/>
    <w:link w:val="Textkomentra"/>
    <w:uiPriority w:val="99"/>
    <w:semiHidden/>
    <w:rsid w:val="00CF12C8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12C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F12C8"/>
    <w:rPr>
      <w:b/>
      <w:bCs/>
      <w:lang w:val="cs-CZ" w:eastAsia="en-US"/>
    </w:rPr>
  </w:style>
  <w:style w:type="paragraph" w:customStyle="1" w:styleId="Default">
    <w:name w:val="Default"/>
    <w:rsid w:val="00DA11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avikaChar">
    <w:name w:val="Hlavička Char"/>
    <w:link w:val="Hlavika"/>
    <w:uiPriority w:val="99"/>
    <w:rsid w:val="00B1588E"/>
    <w:rPr>
      <w:rFonts w:ascii="Arial" w:hAnsi="Arial"/>
      <w:sz w:val="24"/>
      <w:lang w:val="en-GB" w:eastAsia="en-US"/>
    </w:rPr>
  </w:style>
  <w:style w:type="paragraph" w:styleId="Odsekzoznamu">
    <w:name w:val="List Paragraph"/>
    <w:basedOn w:val="Normlny"/>
    <w:uiPriority w:val="34"/>
    <w:qFormat/>
    <w:rsid w:val="005A72B8"/>
    <w:pPr>
      <w:ind w:left="720"/>
      <w:contextualSpacing/>
    </w:pPr>
  </w:style>
  <w:style w:type="paragraph" w:styleId="Revzia">
    <w:name w:val="Revision"/>
    <w:hidden/>
    <w:uiPriority w:val="99"/>
    <w:semiHidden/>
    <w:rsid w:val="00133C41"/>
    <w:rPr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20D4"/>
    <w:rPr>
      <w:lang w:val="cs-CZ" w:eastAsia="en-US"/>
    </w:rPr>
  </w:style>
  <w:style w:type="paragraph" w:styleId="Nadpis1">
    <w:name w:val="heading 1"/>
    <w:basedOn w:val="Normlny"/>
    <w:next w:val="Normlny"/>
    <w:qFormat/>
    <w:rsid w:val="00C820D4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C820D4"/>
    <w:pPr>
      <w:keepNext/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C820D4"/>
    <w:pPr>
      <w:keepNext/>
      <w:shd w:val="pct12" w:color="auto" w:fill="FFFFFF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rsid w:val="00C820D4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y"/>
    <w:next w:val="Normlny"/>
    <w:qFormat/>
    <w:rsid w:val="00C820D4"/>
    <w:pPr>
      <w:keepNext/>
      <w:jc w:val="both"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820D4"/>
    <w:pPr>
      <w:tabs>
        <w:tab w:val="center" w:pos="4536"/>
        <w:tab w:val="right" w:pos="9072"/>
      </w:tabs>
    </w:pPr>
    <w:rPr>
      <w:rFonts w:ascii="Arial" w:hAnsi="Arial"/>
      <w:sz w:val="24"/>
      <w:lang w:val="en-GB"/>
    </w:rPr>
  </w:style>
  <w:style w:type="paragraph" w:styleId="Pta">
    <w:name w:val="footer"/>
    <w:basedOn w:val="Normlny"/>
    <w:rsid w:val="00C820D4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C820D4"/>
    <w:pPr>
      <w:jc w:val="center"/>
    </w:pPr>
    <w:rPr>
      <w:b/>
      <w:caps/>
      <w:sz w:val="36"/>
    </w:rPr>
  </w:style>
  <w:style w:type="character" w:styleId="slostrany">
    <w:name w:val="page number"/>
    <w:basedOn w:val="Predvolenpsmoodseku"/>
    <w:rsid w:val="00C820D4"/>
  </w:style>
  <w:style w:type="paragraph" w:styleId="Zkladntext">
    <w:name w:val="Body Text"/>
    <w:basedOn w:val="Normlny"/>
    <w:rsid w:val="00C820D4"/>
    <w:pPr>
      <w:jc w:val="both"/>
    </w:pPr>
    <w:rPr>
      <w:sz w:val="22"/>
      <w:lang w:val="sk-SK"/>
    </w:rPr>
  </w:style>
  <w:style w:type="paragraph" w:styleId="Zkladntext2">
    <w:name w:val="Body Text 2"/>
    <w:basedOn w:val="Normlny"/>
    <w:rsid w:val="00C820D4"/>
    <w:pPr>
      <w:jc w:val="both"/>
    </w:pPr>
    <w:rPr>
      <w:rFonts w:ascii="Arial" w:hAnsi="Arial"/>
      <w:color w:val="FF0000"/>
      <w:lang w:val="sk-SK"/>
    </w:rPr>
  </w:style>
  <w:style w:type="paragraph" w:styleId="Zkladntext3">
    <w:name w:val="Body Text 3"/>
    <w:basedOn w:val="Normlny"/>
    <w:rsid w:val="00C820D4"/>
    <w:pPr>
      <w:jc w:val="both"/>
    </w:pPr>
    <w:rPr>
      <w:rFonts w:ascii="Arial" w:hAnsi="Arial"/>
      <w:lang w:val="sk-SK"/>
    </w:rPr>
  </w:style>
  <w:style w:type="paragraph" w:styleId="Textbubliny">
    <w:name w:val="Balloon Text"/>
    <w:basedOn w:val="Normlny"/>
    <w:semiHidden/>
    <w:rsid w:val="0036758C"/>
    <w:rPr>
      <w:rFonts w:ascii="Tahoma" w:hAnsi="Tahoma"/>
      <w:sz w:val="16"/>
      <w:szCs w:val="16"/>
    </w:rPr>
  </w:style>
  <w:style w:type="character" w:styleId="Hypertextovprepojenie">
    <w:name w:val="Hyperlink"/>
    <w:rsid w:val="005F02B1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CF12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12C8"/>
  </w:style>
  <w:style w:type="character" w:customStyle="1" w:styleId="TextkomentraChar">
    <w:name w:val="Text komentára Char"/>
    <w:link w:val="Textkomentra"/>
    <w:uiPriority w:val="99"/>
    <w:semiHidden/>
    <w:rsid w:val="00CF12C8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12C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F12C8"/>
    <w:rPr>
      <w:b/>
      <w:bCs/>
      <w:lang w:val="cs-CZ" w:eastAsia="en-US"/>
    </w:rPr>
  </w:style>
  <w:style w:type="paragraph" w:customStyle="1" w:styleId="Default">
    <w:name w:val="Default"/>
    <w:rsid w:val="00DA11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avikaChar">
    <w:name w:val="Hlavička Char"/>
    <w:link w:val="Hlavika"/>
    <w:uiPriority w:val="99"/>
    <w:rsid w:val="00B1588E"/>
    <w:rPr>
      <w:rFonts w:ascii="Arial" w:hAnsi="Arial"/>
      <w:sz w:val="24"/>
      <w:lang w:val="en-GB" w:eastAsia="en-US"/>
    </w:rPr>
  </w:style>
  <w:style w:type="paragraph" w:styleId="Odsekzoznamu">
    <w:name w:val="List Paragraph"/>
    <w:basedOn w:val="Normlny"/>
    <w:uiPriority w:val="34"/>
    <w:qFormat/>
    <w:rsid w:val="005A72B8"/>
    <w:pPr>
      <w:ind w:left="720"/>
      <w:contextualSpacing/>
    </w:pPr>
  </w:style>
  <w:style w:type="paragraph" w:styleId="Revzia">
    <w:name w:val="Revision"/>
    <w:hidden/>
    <w:uiPriority w:val="99"/>
    <w:semiHidden/>
    <w:rsid w:val="00133C41"/>
    <w:rPr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7A62-C229-44F9-9F5D-C4E67CC9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1591</Words>
  <Characters>10329</Characters>
  <Application>Microsoft Office Word</Application>
  <DocSecurity>0</DocSecurity>
  <Lines>86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SOUHRN ÚDAJŮ O PŘÍPRAVKU</vt:lpstr>
      <vt:lpstr>SOUHRN ÚDAJŮ O PŘÍPRAVKU</vt:lpstr>
    </vt:vector>
  </TitlesOfParts>
  <Company>Galena a. s.</Company>
  <LinksUpToDate>false</LinksUpToDate>
  <CharactersWithSpaces>11897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creator>Galena</dc:creator>
  <cp:lastModifiedBy>marianna forgacova</cp:lastModifiedBy>
  <cp:revision>2</cp:revision>
  <cp:lastPrinted>2014-04-10T09:42:00Z</cp:lastPrinted>
  <dcterms:created xsi:type="dcterms:W3CDTF">2020-06-22T13:42:00Z</dcterms:created>
  <dcterms:modified xsi:type="dcterms:W3CDTF">2020-06-22T13:42:00Z</dcterms:modified>
</cp:coreProperties>
</file>