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CF9E1" w14:textId="77777777" w:rsidR="00185881" w:rsidRPr="00AC56FD" w:rsidRDefault="00185881">
      <w:pPr>
        <w:pStyle w:val="Nzov"/>
        <w:rPr>
          <w:sz w:val="22"/>
          <w:szCs w:val="22"/>
        </w:rPr>
      </w:pPr>
      <w:bookmarkStart w:id="0" w:name="_GoBack"/>
      <w:bookmarkEnd w:id="0"/>
    </w:p>
    <w:p w14:paraId="609B1BDB" w14:textId="77777777" w:rsidR="00185881" w:rsidRDefault="00185881">
      <w:pPr>
        <w:pStyle w:val="Nzov"/>
        <w:rPr>
          <w:sz w:val="22"/>
          <w:szCs w:val="22"/>
        </w:rPr>
      </w:pPr>
    </w:p>
    <w:p w14:paraId="398888B6" w14:textId="77777777" w:rsidR="002F1A96" w:rsidRPr="002B16EB" w:rsidRDefault="002F1A96">
      <w:pPr>
        <w:pStyle w:val="Nzov"/>
        <w:rPr>
          <w:sz w:val="22"/>
          <w:szCs w:val="22"/>
        </w:rPr>
      </w:pPr>
      <w:r w:rsidRPr="002B16EB">
        <w:rPr>
          <w:sz w:val="22"/>
          <w:szCs w:val="22"/>
        </w:rPr>
        <w:t>SÚHRN CHARAKTERISTICKÝCH VLASTNOSTÍ LIEKU</w:t>
      </w:r>
    </w:p>
    <w:p w14:paraId="45F1740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AFCF613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35792652" w14:textId="77777777" w:rsidR="00D70280" w:rsidRPr="002B16EB" w:rsidRDefault="002F1A96" w:rsidP="00D70280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1. </w:t>
      </w:r>
      <w:r w:rsidR="00D70280" w:rsidRPr="002B16EB">
        <w:rPr>
          <w:b/>
          <w:caps/>
          <w:sz w:val="22"/>
          <w:szCs w:val="22"/>
        </w:rPr>
        <w:t>Názov lieku</w:t>
      </w:r>
    </w:p>
    <w:p w14:paraId="03BFF574" w14:textId="77777777" w:rsidR="002F1A96" w:rsidRPr="006C1744" w:rsidRDefault="002F1A96">
      <w:pPr>
        <w:ind w:right="-1"/>
        <w:jc w:val="both"/>
        <w:rPr>
          <w:sz w:val="22"/>
          <w:szCs w:val="22"/>
        </w:rPr>
      </w:pPr>
    </w:p>
    <w:p w14:paraId="76381890" w14:textId="77777777" w:rsidR="002F1A96" w:rsidRPr="00FB6D19" w:rsidRDefault="00D70280">
      <w:pPr>
        <w:ind w:right="-1"/>
        <w:jc w:val="both"/>
        <w:rPr>
          <w:sz w:val="22"/>
          <w:szCs w:val="22"/>
        </w:rPr>
      </w:pPr>
      <w:proofErr w:type="spellStart"/>
      <w:r w:rsidRPr="00FB6D19">
        <w:rPr>
          <w:sz w:val="22"/>
          <w:szCs w:val="22"/>
        </w:rPr>
        <w:t>Salofalk</w:t>
      </w:r>
      <w:proofErr w:type="spellEnd"/>
      <w:r w:rsidR="002F1A96" w:rsidRPr="00FB6D19">
        <w:rPr>
          <w:sz w:val="22"/>
          <w:szCs w:val="22"/>
        </w:rPr>
        <w:t xml:space="preserve"> 250 čapíky</w:t>
      </w:r>
    </w:p>
    <w:p w14:paraId="611339B5" w14:textId="77777777" w:rsidR="002F1A96" w:rsidRPr="002B16EB" w:rsidRDefault="002F1A96">
      <w:pPr>
        <w:ind w:right="-1"/>
        <w:jc w:val="both"/>
        <w:rPr>
          <w:b/>
          <w:sz w:val="22"/>
          <w:szCs w:val="22"/>
          <w:u w:val="single"/>
        </w:rPr>
      </w:pPr>
    </w:p>
    <w:p w14:paraId="3999B616" w14:textId="77777777" w:rsidR="007B5F1D" w:rsidRPr="002B16EB" w:rsidRDefault="007B5F1D">
      <w:pPr>
        <w:ind w:right="-1"/>
        <w:jc w:val="both"/>
        <w:rPr>
          <w:b/>
          <w:sz w:val="22"/>
          <w:szCs w:val="22"/>
          <w:u w:val="single"/>
        </w:rPr>
      </w:pPr>
    </w:p>
    <w:p w14:paraId="58EB41F5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2. </w:t>
      </w:r>
      <w:r w:rsidR="00FF211A" w:rsidRPr="002B16EB">
        <w:rPr>
          <w:b/>
          <w:caps/>
          <w:sz w:val="22"/>
          <w:szCs w:val="22"/>
        </w:rPr>
        <w:t>Kvalitatívne a kvantitatívne zloženie</w:t>
      </w:r>
    </w:p>
    <w:p w14:paraId="544E3748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7ABB8D8" w14:textId="77777777" w:rsidR="002F1A96" w:rsidRPr="002B16EB" w:rsidRDefault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Liečivo: </w:t>
      </w:r>
      <w:proofErr w:type="spellStart"/>
      <w:r w:rsidRPr="002B16EB">
        <w:rPr>
          <w:sz w:val="22"/>
          <w:szCs w:val="22"/>
        </w:rPr>
        <w:t>m</w:t>
      </w:r>
      <w:r w:rsidR="002F1A96" w:rsidRPr="002B16EB">
        <w:rPr>
          <w:sz w:val="22"/>
          <w:szCs w:val="22"/>
        </w:rPr>
        <w:t>esalaz</w:t>
      </w:r>
      <w:r w:rsidR="00FE28AB" w:rsidRPr="002B16EB">
        <w:rPr>
          <w:sz w:val="22"/>
          <w:szCs w:val="22"/>
        </w:rPr>
        <w:t>ín</w:t>
      </w:r>
      <w:proofErr w:type="spellEnd"/>
      <w:r w:rsidR="002F1A96" w:rsidRPr="002B16EB">
        <w:rPr>
          <w:sz w:val="22"/>
          <w:szCs w:val="22"/>
        </w:rPr>
        <w:t xml:space="preserve"> 250 mg v jednom čapíku</w:t>
      </w:r>
    </w:p>
    <w:p w14:paraId="71DF21B0" w14:textId="77777777" w:rsidR="001B1A65" w:rsidRPr="002B16EB" w:rsidRDefault="001B1A65">
      <w:pPr>
        <w:ind w:right="-1"/>
        <w:jc w:val="both"/>
        <w:rPr>
          <w:sz w:val="22"/>
          <w:szCs w:val="22"/>
        </w:rPr>
      </w:pPr>
    </w:p>
    <w:p w14:paraId="181C5A5F" w14:textId="77777777" w:rsidR="00FF211A" w:rsidRPr="002B16EB" w:rsidRDefault="00FF211A" w:rsidP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Úplný zoznam pomocných látok, pozri časť 6.1.</w:t>
      </w:r>
    </w:p>
    <w:p w14:paraId="12C3A4B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691B3EC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4EB06995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3. </w:t>
      </w:r>
      <w:r w:rsidR="007B5F1D" w:rsidRPr="002B16EB">
        <w:rPr>
          <w:b/>
          <w:caps/>
          <w:sz w:val="22"/>
          <w:szCs w:val="22"/>
        </w:rPr>
        <w:t>Lieková forma</w:t>
      </w:r>
      <w:r w:rsidR="007B5F1D" w:rsidRPr="002B16EB" w:rsidDel="007B5F1D">
        <w:rPr>
          <w:b/>
          <w:sz w:val="22"/>
          <w:szCs w:val="22"/>
        </w:rPr>
        <w:t xml:space="preserve"> </w:t>
      </w:r>
    </w:p>
    <w:p w14:paraId="60CF54EA" w14:textId="77777777" w:rsidR="00D47D00" w:rsidRPr="002B16EB" w:rsidRDefault="00D47D00">
      <w:pPr>
        <w:ind w:right="-1"/>
        <w:jc w:val="both"/>
        <w:rPr>
          <w:sz w:val="22"/>
          <w:szCs w:val="22"/>
        </w:rPr>
      </w:pPr>
    </w:p>
    <w:p w14:paraId="0CF98268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Čapík</w:t>
      </w:r>
    </w:p>
    <w:p w14:paraId="5B0C8AC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B33BFB8" w14:textId="68D284B0" w:rsidR="002F1A96" w:rsidRPr="002B16EB" w:rsidRDefault="00D47D00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</w:t>
      </w:r>
      <w:r w:rsidR="002F1A96" w:rsidRPr="002B16EB">
        <w:rPr>
          <w:sz w:val="22"/>
          <w:szCs w:val="22"/>
        </w:rPr>
        <w:t>apíky bielej až krémovej farby</w:t>
      </w:r>
      <w:r w:rsidR="007B5F1D" w:rsidRPr="002B16EB">
        <w:rPr>
          <w:sz w:val="22"/>
          <w:szCs w:val="22"/>
        </w:rPr>
        <w:t>.</w:t>
      </w:r>
      <w:r w:rsidR="00335833">
        <w:rPr>
          <w:sz w:val="22"/>
          <w:szCs w:val="22"/>
        </w:rPr>
        <w:t xml:space="preserve"> </w:t>
      </w:r>
      <w:r w:rsidR="001147B1">
        <w:rPr>
          <w:sz w:val="22"/>
          <w:szCs w:val="22"/>
        </w:rPr>
        <w:t xml:space="preserve">V niektorých prípadoch sa na povrchu môže objaviť biely povlak pochádzajúci z procesu </w:t>
      </w:r>
      <w:proofErr w:type="spellStart"/>
      <w:r w:rsidR="001147B1">
        <w:rPr>
          <w:sz w:val="22"/>
          <w:szCs w:val="22"/>
        </w:rPr>
        <w:t>rekryštalizácie</w:t>
      </w:r>
      <w:proofErr w:type="spellEnd"/>
      <w:r w:rsidR="001147B1">
        <w:rPr>
          <w:sz w:val="22"/>
          <w:szCs w:val="22"/>
        </w:rPr>
        <w:t xml:space="preserve"> tuhého tuku.</w:t>
      </w:r>
    </w:p>
    <w:p w14:paraId="5B4EB2C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52CB02A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4E6F267B" w14:textId="77777777" w:rsidR="007B5F1D" w:rsidRPr="002B16EB" w:rsidRDefault="002F1A96" w:rsidP="007B5F1D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4. </w:t>
      </w:r>
      <w:r w:rsidR="007B5F1D" w:rsidRPr="002B16EB">
        <w:rPr>
          <w:b/>
          <w:caps/>
          <w:sz w:val="22"/>
          <w:szCs w:val="22"/>
        </w:rPr>
        <w:t>Klinické údaje</w:t>
      </w:r>
    </w:p>
    <w:p w14:paraId="192413D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8196903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4.1 Terapeutické indikácie</w:t>
      </w:r>
    </w:p>
    <w:p w14:paraId="21DE460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73114EA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Akútna liečba zápalových ochorení hrubého čreva s </w:t>
      </w:r>
      <w:proofErr w:type="spellStart"/>
      <w:r w:rsidRPr="002B16EB">
        <w:rPr>
          <w:sz w:val="22"/>
          <w:szCs w:val="22"/>
        </w:rPr>
        <w:t>rektálnou</w:t>
      </w:r>
      <w:proofErr w:type="spellEnd"/>
      <w:r w:rsidRPr="002B16EB">
        <w:rPr>
          <w:sz w:val="22"/>
          <w:szCs w:val="22"/>
        </w:rPr>
        <w:t xml:space="preserve"> lokalizáciou (</w:t>
      </w:r>
      <w:proofErr w:type="spellStart"/>
      <w:r w:rsidRPr="002B16EB">
        <w:rPr>
          <w:sz w:val="22"/>
          <w:szCs w:val="22"/>
        </w:rPr>
        <w:t>ulcerózna</w:t>
      </w:r>
      <w:proofErr w:type="spellEnd"/>
      <w:r w:rsidRPr="002B16EB">
        <w:rPr>
          <w:sz w:val="22"/>
          <w:szCs w:val="22"/>
        </w:rPr>
        <w:t xml:space="preserve"> </w:t>
      </w:r>
      <w:proofErr w:type="spellStart"/>
      <w:r w:rsidRPr="002B16EB">
        <w:rPr>
          <w:sz w:val="22"/>
          <w:szCs w:val="22"/>
        </w:rPr>
        <w:t>kolitída</w:t>
      </w:r>
      <w:proofErr w:type="spellEnd"/>
      <w:r w:rsidRPr="002B16EB">
        <w:rPr>
          <w:sz w:val="22"/>
          <w:szCs w:val="22"/>
        </w:rPr>
        <w:t xml:space="preserve">, </w:t>
      </w:r>
      <w:proofErr w:type="spellStart"/>
      <w:r w:rsidRPr="002B16EB">
        <w:rPr>
          <w:sz w:val="22"/>
          <w:szCs w:val="22"/>
        </w:rPr>
        <w:t>proktitída</w:t>
      </w:r>
      <w:proofErr w:type="spellEnd"/>
      <w:r w:rsidRPr="002B16EB">
        <w:rPr>
          <w:sz w:val="22"/>
          <w:szCs w:val="22"/>
        </w:rPr>
        <w:t>, zápal análneho kanála) a profylaxia recidívy.</w:t>
      </w:r>
    </w:p>
    <w:p w14:paraId="60FC52D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B01CE6D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4.2 Dávkovanie a spôsob podávania</w:t>
      </w:r>
    </w:p>
    <w:p w14:paraId="1F5915C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7A50F2B" w14:textId="77777777" w:rsidR="002F1A96" w:rsidRPr="002B16EB" w:rsidRDefault="002F1A9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 w:rsidRPr="002B16EB">
        <w:rPr>
          <w:rFonts w:ascii="Times New Roman" w:hAnsi="Times New Roman" w:cs="Times New Roman"/>
          <w:i/>
          <w:iCs/>
          <w:sz w:val="22"/>
          <w:szCs w:val="22"/>
        </w:rPr>
        <w:t xml:space="preserve">Liečba akútnych epizód </w:t>
      </w:r>
      <w:proofErr w:type="spellStart"/>
      <w:r w:rsidRPr="002B16EB">
        <w:rPr>
          <w:rFonts w:ascii="Times New Roman" w:hAnsi="Times New Roman" w:cs="Times New Roman"/>
          <w:i/>
          <w:iCs/>
          <w:sz w:val="22"/>
          <w:szCs w:val="22"/>
        </w:rPr>
        <w:t>ulceróznej</w:t>
      </w:r>
      <w:proofErr w:type="spellEnd"/>
      <w:r w:rsidRPr="002B16E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2B16EB">
        <w:rPr>
          <w:rFonts w:ascii="Times New Roman" w:hAnsi="Times New Roman" w:cs="Times New Roman"/>
          <w:i/>
          <w:iCs/>
          <w:sz w:val="22"/>
          <w:szCs w:val="22"/>
        </w:rPr>
        <w:t>kolitídy</w:t>
      </w:r>
      <w:proofErr w:type="spellEnd"/>
      <w:r w:rsidRPr="002B16EB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5243ADFA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V závislosti od klinického stavu sa 3x denne zavedú 2 čapíky </w:t>
      </w:r>
      <w:r w:rsidR="007C702B" w:rsidRPr="002B16EB">
        <w:rPr>
          <w:position w:val="4"/>
          <w:sz w:val="22"/>
          <w:szCs w:val="22"/>
        </w:rPr>
        <w:t xml:space="preserve"> </w:t>
      </w:r>
      <w:r w:rsidR="007C702B" w:rsidRPr="002B16EB">
        <w:rPr>
          <w:sz w:val="22"/>
          <w:szCs w:val="22"/>
        </w:rPr>
        <w:t xml:space="preserve">lieku </w:t>
      </w:r>
      <w:proofErr w:type="spellStart"/>
      <w:r w:rsidR="007C702B" w:rsidRPr="002B16EB">
        <w:rPr>
          <w:sz w:val="22"/>
          <w:szCs w:val="22"/>
        </w:rPr>
        <w:t>S</w:t>
      </w:r>
      <w:r w:rsidR="00D70280" w:rsidRPr="002B16EB">
        <w:rPr>
          <w:sz w:val="22"/>
          <w:szCs w:val="22"/>
        </w:rPr>
        <w:t>alofalk</w:t>
      </w:r>
      <w:proofErr w:type="spellEnd"/>
      <w:r w:rsidRPr="002B16EB">
        <w:rPr>
          <w:sz w:val="22"/>
          <w:szCs w:val="22"/>
        </w:rPr>
        <w:t xml:space="preserve"> 250 </w:t>
      </w:r>
      <w:r w:rsidR="008D0E71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 xml:space="preserve">do konečníka (ekvivalentné 1500 mg </w:t>
      </w:r>
      <w:proofErr w:type="spellStart"/>
      <w:r w:rsidRPr="002B16EB">
        <w:rPr>
          <w:sz w:val="22"/>
          <w:szCs w:val="22"/>
        </w:rPr>
        <w:t>mesalazínu</w:t>
      </w:r>
      <w:proofErr w:type="spellEnd"/>
      <w:r w:rsidRPr="002B16EB">
        <w:rPr>
          <w:sz w:val="22"/>
          <w:szCs w:val="22"/>
        </w:rPr>
        <w:t xml:space="preserve"> denne).</w:t>
      </w:r>
    </w:p>
    <w:p w14:paraId="097622F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4293594" w14:textId="77777777" w:rsidR="002F1A96" w:rsidRPr="002B16EB" w:rsidRDefault="002F1A96">
      <w:pPr>
        <w:ind w:right="-1"/>
        <w:jc w:val="both"/>
        <w:rPr>
          <w:i/>
          <w:iCs/>
          <w:sz w:val="22"/>
          <w:szCs w:val="22"/>
        </w:rPr>
      </w:pPr>
      <w:r w:rsidRPr="002B16EB">
        <w:rPr>
          <w:i/>
          <w:iCs/>
          <w:sz w:val="22"/>
          <w:szCs w:val="22"/>
        </w:rPr>
        <w:t xml:space="preserve">Prevencia recidívy </w:t>
      </w:r>
      <w:proofErr w:type="spellStart"/>
      <w:r w:rsidRPr="002B16EB">
        <w:rPr>
          <w:i/>
          <w:iCs/>
          <w:sz w:val="22"/>
          <w:szCs w:val="22"/>
        </w:rPr>
        <w:t>ulceróznej</w:t>
      </w:r>
      <w:proofErr w:type="spellEnd"/>
      <w:r w:rsidRPr="002B16EB">
        <w:rPr>
          <w:i/>
          <w:iCs/>
          <w:sz w:val="22"/>
          <w:szCs w:val="22"/>
        </w:rPr>
        <w:t xml:space="preserve"> </w:t>
      </w:r>
      <w:proofErr w:type="spellStart"/>
      <w:r w:rsidRPr="002B16EB">
        <w:rPr>
          <w:i/>
          <w:iCs/>
          <w:sz w:val="22"/>
          <w:szCs w:val="22"/>
        </w:rPr>
        <w:t>kolitídy</w:t>
      </w:r>
      <w:proofErr w:type="spellEnd"/>
      <w:r w:rsidRPr="002B16EB">
        <w:rPr>
          <w:i/>
          <w:iCs/>
          <w:sz w:val="22"/>
          <w:szCs w:val="22"/>
        </w:rPr>
        <w:t>:</w:t>
      </w:r>
    </w:p>
    <w:p w14:paraId="0BF9374D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Keď sa dosiahne </w:t>
      </w:r>
      <w:proofErr w:type="spellStart"/>
      <w:r w:rsidRPr="002B16EB">
        <w:rPr>
          <w:sz w:val="22"/>
          <w:szCs w:val="22"/>
        </w:rPr>
        <w:t>remisia</w:t>
      </w:r>
      <w:proofErr w:type="spellEnd"/>
      <w:r w:rsidRPr="002B16EB">
        <w:rPr>
          <w:sz w:val="22"/>
          <w:szCs w:val="22"/>
        </w:rPr>
        <w:t xml:space="preserve">, dávka sa zredukuje na 3x denne 1 čapík </w:t>
      </w:r>
      <w:r w:rsidR="003046B4" w:rsidRPr="002B16EB">
        <w:rPr>
          <w:sz w:val="22"/>
          <w:szCs w:val="22"/>
        </w:rPr>
        <w:t xml:space="preserve">lieku </w:t>
      </w:r>
      <w:proofErr w:type="spellStart"/>
      <w:r w:rsidR="003046B4" w:rsidRPr="002B16EB">
        <w:rPr>
          <w:sz w:val="22"/>
          <w:szCs w:val="22"/>
        </w:rPr>
        <w:t>S</w:t>
      </w:r>
      <w:r w:rsidR="00D70280" w:rsidRPr="002B16EB">
        <w:rPr>
          <w:sz w:val="22"/>
          <w:szCs w:val="22"/>
        </w:rPr>
        <w:t>alofalk</w:t>
      </w:r>
      <w:proofErr w:type="spellEnd"/>
      <w:r w:rsidRPr="002B16EB">
        <w:rPr>
          <w:sz w:val="22"/>
          <w:szCs w:val="22"/>
        </w:rPr>
        <w:t xml:space="preserve"> 250 </w:t>
      </w:r>
      <w:r w:rsidR="00110CEC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 xml:space="preserve">(ekvivalentné 750 mg </w:t>
      </w:r>
      <w:proofErr w:type="spellStart"/>
      <w:r w:rsidRPr="002B16EB">
        <w:rPr>
          <w:sz w:val="22"/>
          <w:szCs w:val="22"/>
        </w:rPr>
        <w:t>mesalazínu</w:t>
      </w:r>
      <w:proofErr w:type="spellEnd"/>
      <w:r w:rsidRPr="002B16EB">
        <w:rPr>
          <w:sz w:val="22"/>
          <w:szCs w:val="22"/>
        </w:rPr>
        <w:t xml:space="preserve"> denne).</w:t>
      </w:r>
    </w:p>
    <w:p w14:paraId="72CB31D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84470D4" w14:textId="77777777" w:rsidR="002F1A96" w:rsidRPr="002B16EB" w:rsidRDefault="00D97093">
      <w:pPr>
        <w:ind w:right="-1"/>
        <w:jc w:val="both"/>
        <w:rPr>
          <w:sz w:val="22"/>
          <w:szCs w:val="22"/>
          <w:u w:val="single"/>
        </w:rPr>
      </w:pPr>
      <w:r w:rsidRPr="002B16EB">
        <w:rPr>
          <w:sz w:val="22"/>
          <w:szCs w:val="22"/>
          <w:u w:val="single"/>
        </w:rPr>
        <w:t>Deti</w:t>
      </w:r>
      <w:r w:rsidR="002F1A96" w:rsidRPr="002B16EB">
        <w:rPr>
          <w:sz w:val="22"/>
          <w:szCs w:val="22"/>
          <w:u w:val="single"/>
        </w:rPr>
        <w:t>:</w:t>
      </w:r>
    </w:p>
    <w:p w14:paraId="74A95FEF" w14:textId="77777777" w:rsidR="002F1A96" w:rsidRPr="002B16EB" w:rsidRDefault="00997B2E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S podávaním </w:t>
      </w:r>
      <w:r w:rsidR="007F6730" w:rsidRPr="002B16EB">
        <w:rPr>
          <w:sz w:val="22"/>
          <w:szCs w:val="22"/>
        </w:rPr>
        <w:t>lieku</w:t>
      </w:r>
      <w:r w:rsidR="002F1A96" w:rsidRPr="002B16EB">
        <w:rPr>
          <w:sz w:val="22"/>
          <w:szCs w:val="22"/>
        </w:rPr>
        <w:t xml:space="preserve"> </w:t>
      </w:r>
      <w:proofErr w:type="spellStart"/>
      <w:r w:rsidR="00D70280" w:rsidRPr="002B16EB">
        <w:rPr>
          <w:sz w:val="22"/>
          <w:szCs w:val="22"/>
        </w:rPr>
        <w:t>Salofalk</w:t>
      </w:r>
      <w:proofErr w:type="spellEnd"/>
      <w:r w:rsidR="002F1A96" w:rsidRPr="002B16EB">
        <w:rPr>
          <w:sz w:val="22"/>
          <w:szCs w:val="22"/>
        </w:rPr>
        <w:t xml:space="preserve"> </w:t>
      </w:r>
      <w:r w:rsidR="007F6730" w:rsidRPr="002B16EB">
        <w:rPr>
          <w:sz w:val="22"/>
          <w:szCs w:val="22"/>
        </w:rPr>
        <w:t>250 čapíky</w:t>
      </w:r>
      <w:r w:rsidR="002F1A96" w:rsidRPr="002B16EB">
        <w:rPr>
          <w:sz w:val="22"/>
          <w:szCs w:val="22"/>
        </w:rPr>
        <w:t xml:space="preserve"> deťom </w:t>
      </w:r>
      <w:r w:rsidRPr="002B16EB">
        <w:rPr>
          <w:sz w:val="22"/>
          <w:szCs w:val="22"/>
        </w:rPr>
        <w:t>sú malé skúsenosti a nie je dostatočne zdokumentovaný účinok na deti</w:t>
      </w:r>
      <w:r w:rsidR="0033083E" w:rsidRPr="002B16EB">
        <w:rPr>
          <w:sz w:val="22"/>
          <w:szCs w:val="22"/>
        </w:rPr>
        <w:t>.</w:t>
      </w:r>
    </w:p>
    <w:p w14:paraId="20D25BD2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411954D7" w14:textId="77777777" w:rsidR="003B0FF0" w:rsidRPr="002B16EB" w:rsidRDefault="003B0FF0" w:rsidP="003B0FF0">
      <w:pPr>
        <w:ind w:right="-1"/>
        <w:jc w:val="both"/>
        <w:rPr>
          <w:bCs/>
          <w:iCs/>
          <w:sz w:val="22"/>
          <w:szCs w:val="22"/>
          <w:u w:val="single"/>
        </w:rPr>
      </w:pPr>
      <w:r w:rsidRPr="002B16EB">
        <w:rPr>
          <w:bCs/>
          <w:iCs/>
          <w:sz w:val="22"/>
          <w:szCs w:val="22"/>
          <w:u w:val="single"/>
        </w:rPr>
        <w:t>Všeobecné podmienky podávania:</w:t>
      </w:r>
    </w:p>
    <w:p w14:paraId="03D895E0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Ak sa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>liek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70280" w:rsidRPr="002B16EB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250 čapíky má </w:t>
      </w:r>
      <w:r w:rsidR="00CF4502">
        <w:rPr>
          <w:rFonts w:ascii="Times New Roman" w:hAnsi="Times New Roman" w:cs="Times New Roman"/>
          <w:color w:val="auto"/>
          <w:sz w:val="22"/>
          <w:szCs w:val="22"/>
        </w:rPr>
        <w:t>podávať trikrát denne, aplikuje sa do konečníka ráno, napoludnie a večer.</w:t>
      </w:r>
    </w:p>
    <w:p w14:paraId="26FA56B8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6CDD87FD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liekom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môže byť úspešná, iba ak sa podáva pravidelne a dôsledne.</w:t>
      </w:r>
    </w:p>
    <w:p w14:paraId="09B6E921" w14:textId="77777777" w:rsidR="002F1A96" w:rsidRPr="002B16EB" w:rsidRDefault="00CF4502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  <w:sectPr w:rsidR="002F1A96" w:rsidRPr="002B16EB" w:rsidSect="007C7311">
          <w:headerReference w:type="default" r:id="rId7"/>
          <w:footerReference w:type="even" r:id="rId8"/>
          <w:footerReference w:type="default" r:id="rId9"/>
          <w:pgSz w:w="11907" w:h="16840"/>
          <w:pgMar w:top="1418" w:right="851" w:bottom="1701" w:left="1134" w:header="708" w:footer="708" w:gutter="0"/>
          <w:pgNumType w:start="1"/>
          <w:cols w:space="708"/>
          <w:docGrid w:linePitch="326"/>
        </w:sectPr>
      </w:pPr>
      <w:r>
        <w:rPr>
          <w:rFonts w:ascii="Times New Roman" w:hAnsi="Times New Roman" w:cs="Times New Roman"/>
          <w:sz w:val="22"/>
          <w:szCs w:val="22"/>
        </w:rPr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14:paraId="491A3FF9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4.3 Kontraindikácie</w:t>
      </w:r>
    </w:p>
    <w:p w14:paraId="0F151B0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7B9F69E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sa nesmie podávať pri:</w:t>
      </w:r>
    </w:p>
    <w:p w14:paraId="7436CB89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lieku;</w:t>
      </w:r>
    </w:p>
    <w:p w14:paraId="752B3330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 obličiek;</w:t>
      </w:r>
    </w:p>
    <w:p w14:paraId="1557B25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061C830" w14:textId="77777777" w:rsidR="00BF4F27" w:rsidRPr="002B16EB" w:rsidRDefault="00CF4502" w:rsidP="00BF4F2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14:paraId="2249BAB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18C0FAA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zváženia ošetrujúceho lekára  sa majú urobiť pred a počas liečby vyšetrenia krvi (diferenciálny krvný obraz; pečeňové funkcie ako ALT alebo AST; sérový </w:t>
      </w:r>
      <w:proofErr w:type="spellStart"/>
      <w:r>
        <w:rPr>
          <w:sz w:val="22"/>
          <w:szCs w:val="22"/>
        </w:rPr>
        <w:t>kreatinín</w:t>
      </w:r>
      <w:proofErr w:type="spellEnd"/>
      <w:r>
        <w:rPr>
          <w:sz w:val="22"/>
          <w:szCs w:val="22"/>
        </w:rPr>
        <w:t>) a moču (testovacie prúžky / sediment). Kontrolné vyšetrenia sa odporúčajú urobiť 14 dní po začatí liečby, potom ešte 2x až 3x v intervaloch 4 týždne. Pri normálnych  nálezoch sú potrebné ďalšie kontrolné vyšetrenia raz za štvrť roka, pri výskyte ďalších chorobných príznakov okamžite.</w:t>
      </w:r>
    </w:p>
    <w:p w14:paraId="7541ADC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3B5380F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14:paraId="0A3491D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DCA7D81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čapíky sa nemá podávať pacientom s 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7C3D8664" w14:textId="77777777" w:rsidR="002F1A96" w:rsidRPr="002B16EB" w:rsidRDefault="002F1A96">
      <w:pPr>
        <w:ind w:right="-1"/>
        <w:jc w:val="both"/>
        <w:rPr>
          <w:position w:val="4"/>
          <w:sz w:val="22"/>
          <w:szCs w:val="22"/>
        </w:rPr>
      </w:pPr>
    </w:p>
    <w:p w14:paraId="5F59A3EF" w14:textId="77777777" w:rsidR="001863CC" w:rsidRPr="001741CD" w:rsidRDefault="001863CC" w:rsidP="001863CC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3D2CF8">
        <w:rPr>
          <w:sz w:val="22"/>
          <w:szCs w:val="22"/>
        </w:rPr>
        <w:t xml:space="preserve">Pri užití </w:t>
      </w:r>
      <w:proofErr w:type="spellStart"/>
      <w:r w:rsidRPr="003D2CF8">
        <w:rPr>
          <w:sz w:val="22"/>
          <w:szCs w:val="22"/>
        </w:rPr>
        <w:t>mesalazínu</w:t>
      </w:r>
      <w:proofErr w:type="spellEnd"/>
      <w:r w:rsidRPr="003D2CF8">
        <w:rPr>
          <w:sz w:val="22"/>
          <w:szCs w:val="22"/>
        </w:rPr>
        <w:t xml:space="preserve"> boli hlásené prípady </w:t>
      </w:r>
      <w:proofErr w:type="spellStart"/>
      <w:r w:rsidRPr="003D2CF8">
        <w:rPr>
          <w:sz w:val="22"/>
          <w:szCs w:val="22"/>
        </w:rPr>
        <w:t>nefrolitiázy</w:t>
      </w:r>
      <w:proofErr w:type="spellEnd"/>
      <w:r w:rsidRPr="003D2CF8">
        <w:rPr>
          <w:sz w:val="22"/>
          <w:szCs w:val="22"/>
        </w:rPr>
        <w:t xml:space="preserve"> vrátane obličkových kameňov so 100 % obsahom </w:t>
      </w:r>
      <w:proofErr w:type="spellStart"/>
      <w:r w:rsidRPr="003D2CF8">
        <w:rPr>
          <w:sz w:val="22"/>
          <w:szCs w:val="22"/>
        </w:rPr>
        <w:t>mesalazínu</w:t>
      </w:r>
      <w:proofErr w:type="spellEnd"/>
      <w:r w:rsidRPr="003D2CF8">
        <w:rPr>
          <w:sz w:val="22"/>
          <w:szCs w:val="22"/>
        </w:rPr>
        <w:t>. Počas liečby sa odporúča zabezpečiť dostatočný príjem tekutín.</w:t>
      </w:r>
    </w:p>
    <w:p w14:paraId="0CF3008A" w14:textId="77777777" w:rsidR="001863CC" w:rsidRDefault="001863CC">
      <w:pPr>
        <w:ind w:right="-1"/>
        <w:jc w:val="both"/>
        <w:rPr>
          <w:sz w:val="22"/>
          <w:szCs w:val="22"/>
        </w:rPr>
      </w:pPr>
    </w:p>
    <w:p w14:paraId="61685325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podávania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potrebné dôsledné sledovanie.</w:t>
      </w:r>
    </w:p>
    <w:p w14:paraId="7A4AA84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D27877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so známou precitlivenosťou na lieky s obsahom </w:t>
      </w:r>
      <w:proofErr w:type="spellStart"/>
      <w:r>
        <w:rPr>
          <w:sz w:val="22"/>
          <w:szCs w:val="22"/>
        </w:rPr>
        <w:t>sulfasalazínu</w:t>
      </w:r>
      <w:proofErr w:type="spellEnd"/>
      <w:r>
        <w:rPr>
          <w:sz w:val="22"/>
          <w:szCs w:val="22"/>
        </w:rPr>
        <w:t xml:space="preserve"> sa má liečba liekom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14:paraId="10848C8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80F64D7" w14:textId="77777777" w:rsidR="002F1A96" w:rsidRPr="002B16EB" w:rsidRDefault="00CF4502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14:paraId="119C717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9BA72AC" w14:textId="77777777" w:rsidR="00593969" w:rsidRPr="002B16EB" w:rsidRDefault="00CF4502" w:rsidP="00593969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14:paraId="40CDF50B" w14:textId="77777777" w:rsidR="00593969" w:rsidRPr="002B16EB" w:rsidRDefault="0059396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383E888E" w14:textId="77777777"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pacientov, ktorí sú súbežne liečení </w:t>
      </w:r>
      <w:proofErr w:type="spellStart"/>
      <w:r>
        <w:rPr>
          <w:rFonts w:ascii="Times New Roman" w:hAnsi="Times New Roman" w:cs="Times New Roman"/>
          <w:sz w:val="22"/>
          <w:szCs w:val="22"/>
        </w:rPr>
        <w:t>azatioprinom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6-merkaptopurínom alebo </w:t>
      </w:r>
      <w:proofErr w:type="spellStart"/>
      <w:r>
        <w:rPr>
          <w:rFonts w:ascii="Times New Roman" w:hAnsi="Times New Roman" w:cs="Times New Roman"/>
          <w:sz w:val="22"/>
          <w:szCs w:val="22"/>
        </w:rPr>
        <w:t>tioguanínom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je potrebné počítať s možným zvýšením </w:t>
      </w:r>
      <w:proofErr w:type="spellStart"/>
      <w:r>
        <w:rPr>
          <w:rFonts w:ascii="Times New Roman" w:hAnsi="Times New Roman" w:cs="Times New Roman"/>
          <w:sz w:val="22"/>
          <w:szCs w:val="22"/>
        </w:rPr>
        <w:t>myelosupresívneho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účinku </w:t>
      </w:r>
      <w:proofErr w:type="spellStart"/>
      <w:r>
        <w:rPr>
          <w:rFonts w:ascii="Times New Roman" w:hAnsi="Times New Roman" w:cs="Times New Roman"/>
          <w:sz w:val="22"/>
          <w:szCs w:val="22"/>
        </w:rPr>
        <w:t>azatioprinu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6-merkaptopurínu alebo </w:t>
      </w:r>
      <w:proofErr w:type="spellStart"/>
      <w:r>
        <w:rPr>
          <w:rFonts w:ascii="Times New Roman" w:hAnsi="Times New Roman" w:cs="Times New Roman"/>
          <w:sz w:val="22"/>
          <w:szCs w:val="22"/>
        </w:rPr>
        <w:t>tioguanínu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52097618" w14:textId="77777777" w:rsidR="00163BB3" w:rsidRPr="002B16EB" w:rsidRDefault="00163BB3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0044DA3" w14:textId="77777777"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antikoagulačný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účinok </w:t>
      </w:r>
      <w:proofErr w:type="spellStart"/>
      <w:r>
        <w:rPr>
          <w:rFonts w:ascii="Times New Roman" w:hAnsi="Times New Roman" w:cs="Times New Roman"/>
          <w:sz w:val="22"/>
          <w:szCs w:val="22"/>
        </w:rPr>
        <w:t>warfarínu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502334AA" w14:textId="77777777" w:rsidR="002F1A96" w:rsidRPr="002B16EB" w:rsidRDefault="002F1A96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71A83E6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proofErr w:type="spellStart"/>
      <w:r>
        <w:rPr>
          <w:b/>
          <w:sz w:val="22"/>
          <w:szCs w:val="22"/>
        </w:rPr>
        <w:t>Fertilita</w:t>
      </w:r>
      <w:proofErr w:type="spellEnd"/>
      <w:r>
        <w:rPr>
          <w:b/>
          <w:sz w:val="22"/>
          <w:szCs w:val="22"/>
        </w:rPr>
        <w:t>, gravidita a laktácia</w:t>
      </w:r>
    </w:p>
    <w:p w14:paraId="5E6F4E7C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F22CD20" w14:textId="77777777"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14:paraId="25243BEA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podávaní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u tehotných žien nie sú dostatočné údaje. U limitovaného počtu tehotných žien, ktoré boli liečené </w:t>
      </w:r>
      <w:proofErr w:type="spellStart"/>
      <w:r>
        <w:rPr>
          <w:sz w:val="22"/>
          <w:szCs w:val="22"/>
        </w:rPr>
        <w:t>mesalazínom</w:t>
      </w:r>
      <w:proofErr w:type="spellEnd"/>
      <w:r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>
        <w:rPr>
          <w:sz w:val="22"/>
          <w:szCs w:val="22"/>
        </w:rPr>
        <w:t>renálneho</w:t>
      </w:r>
      <w:proofErr w:type="spellEnd"/>
      <w:r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(2-4 g/deň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.).</w:t>
      </w:r>
    </w:p>
    <w:p w14:paraId="7A1B3A1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18FE25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Štúdie na zvieratách po perorálnom podaní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vývoj novorodenca.</w:t>
      </w:r>
    </w:p>
    <w:p w14:paraId="07EAEBC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A636E9B" w14:textId="77777777" w:rsidR="00F703AB" w:rsidRPr="002B16EB" w:rsidRDefault="00CF4502" w:rsidP="00F703A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Napriek tomu sa má v tehotenstve podávať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iba v prípade, ak prínos významne preváži možné riziko.</w:t>
      </w:r>
    </w:p>
    <w:p w14:paraId="339722B0" w14:textId="77777777" w:rsidR="00A81326" w:rsidRPr="002B16EB" w:rsidRDefault="00A81326">
      <w:pPr>
        <w:ind w:right="-1"/>
        <w:jc w:val="both"/>
        <w:rPr>
          <w:sz w:val="22"/>
          <w:szCs w:val="22"/>
        </w:rPr>
      </w:pPr>
    </w:p>
    <w:p w14:paraId="481A8B29" w14:textId="77777777"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Laktácia</w:t>
      </w:r>
    </w:p>
    <w:p w14:paraId="3D5979D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mlieka. Zatiaľ chýbajú dostatočné skúsenosti s podávaním lieku počas dojčenia. Nemožno vylúčiť prejavy </w:t>
      </w:r>
      <w:proofErr w:type="spellStart"/>
      <w:r>
        <w:rPr>
          <w:sz w:val="22"/>
          <w:szCs w:val="22"/>
        </w:rPr>
        <w:t>hypersenzitivity</w:t>
      </w:r>
      <w:proofErr w:type="spellEnd"/>
      <w:r>
        <w:rPr>
          <w:sz w:val="22"/>
          <w:szCs w:val="22"/>
        </w:rPr>
        <w:t xml:space="preserve"> u dieťaťa, ako je napríklad hnačka.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čapíky sa má podávať počas dojčenia iba v prípade, ak prínos významne preváži možné riziko. Ak sa u dojčeného dieťaťa objaví hnačka, má sa dojčenie ukončiť.</w:t>
      </w:r>
    </w:p>
    <w:p w14:paraId="2CA3EDB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7E28F2C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motorové vozidlá a obsluhovať stroje</w:t>
      </w:r>
    </w:p>
    <w:p w14:paraId="399B45B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4CED9FF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14:paraId="5E8DD4E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22E0794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14:paraId="3AE561D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CE6CA2D" w14:textId="77777777" w:rsidR="00586B99" w:rsidRPr="002B16EB" w:rsidRDefault="00CF4502" w:rsidP="00586B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Počas užívania </w:t>
      </w:r>
      <w:proofErr w:type="spellStart"/>
      <w:r>
        <w:rPr>
          <w:b/>
          <w:bCs/>
          <w:sz w:val="22"/>
          <w:szCs w:val="22"/>
        </w:rPr>
        <w:t>mesalazínu</w:t>
      </w:r>
      <w:proofErr w:type="spellEnd"/>
      <w:r>
        <w:rPr>
          <w:b/>
          <w:bCs/>
          <w:sz w:val="22"/>
          <w:szCs w:val="22"/>
        </w:rPr>
        <w:t xml:space="preserve"> boli zaznamenané nasledovné nežiaduce účinky:</w:t>
      </w:r>
    </w:p>
    <w:p w14:paraId="0CE6E7C2" w14:textId="77777777" w:rsidR="00586B99" w:rsidRPr="002B16EB" w:rsidRDefault="00586B99">
      <w:pPr>
        <w:ind w:right="-1"/>
        <w:jc w:val="both"/>
        <w:rPr>
          <w:sz w:val="22"/>
          <w:szCs w:val="22"/>
        </w:rPr>
      </w:pPr>
    </w:p>
    <w:tbl>
      <w:tblPr>
        <w:tblW w:w="10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1987"/>
        <w:gridCol w:w="1987"/>
      </w:tblGrid>
      <w:tr w:rsidR="002B3F43" w:rsidRPr="002B16EB" w14:paraId="54608CA8" w14:textId="77777777" w:rsidTr="009C303D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5B4ED" w14:textId="77777777" w:rsidR="002B3F43" w:rsidRPr="002B16EB" w:rsidRDefault="002B3F43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8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AAB76" w14:textId="77777777" w:rsidR="002B3F43" w:rsidRDefault="002B3F43" w:rsidP="009069AF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MedDRA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1863CC" w:rsidRPr="002B16EB" w14:paraId="1803F104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00EB1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488876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14:paraId="0EA7D0F1" w14:textId="77777777" w:rsidR="001863CC" w:rsidRPr="002B16EB" w:rsidRDefault="001863CC" w:rsidP="001863CC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75842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14:paraId="4FD1CA58" w14:textId="77777777" w:rsidR="001863CC" w:rsidRPr="002B16EB" w:rsidRDefault="001863CC" w:rsidP="001863CC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812A" w14:textId="77777777" w:rsidR="001863CC" w:rsidRDefault="001863CC" w:rsidP="00E36FB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neznáme (z</w:t>
            </w:r>
            <w:r w:rsidR="00E36FB6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 </w:t>
            </w: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1863CC" w:rsidRPr="002B16EB" w14:paraId="5586AB7B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1E83D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7586E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85FDB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243FB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38629CD7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D6979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740DF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9843D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167E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4FBA5D23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7BF5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55C22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14:paraId="770C35C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8F52E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2BB5A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1D051918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93E1DB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334C55B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222EF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2D430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 pľúcna reakcia (vrátane dýchavičnosti, kašľu,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2F31B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3681FC1B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06FBA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Poruchy a ochorenia </w:t>
            </w:r>
            <w:proofErr w:type="spellStart"/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EB33C0" w14:textId="77777777" w:rsidR="001863CC" w:rsidRPr="002B16EB" w:rsidRDefault="001863CC" w:rsidP="001863CC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D05EC" w14:textId="77777777" w:rsidR="001863CC" w:rsidRPr="002B16EB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Akútny zápal </w:t>
            </w:r>
            <w:proofErr w:type="spellStart"/>
            <w:r>
              <w:rPr>
                <w:iCs/>
                <w:sz w:val="22"/>
                <w:szCs w:val="22"/>
              </w:rPr>
              <w:t>slinivky</w:t>
            </w:r>
            <w:proofErr w:type="spellEnd"/>
            <w:r>
              <w:rPr>
                <w:iCs/>
                <w:sz w:val="22"/>
                <w:szCs w:val="22"/>
              </w:rPr>
              <w:t xml:space="preserve"> brušnej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8F8EA" w14:textId="77777777" w:rsidR="001863CC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1863CC" w:rsidRPr="002B16EB" w14:paraId="625A6E51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B15C25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8C418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79F97" w14:textId="77777777" w:rsidR="001863CC" w:rsidRPr="002B16EB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Porucha činnosti obličiek vrátane akútnej a chronickej </w:t>
            </w:r>
            <w:proofErr w:type="spellStart"/>
            <w:r>
              <w:rPr>
                <w:rFonts w:cs="Times New Roman"/>
                <w:lang w:val="sk-SK"/>
              </w:rPr>
              <w:t>intersticiálnej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nefritídy</w:t>
            </w:r>
            <w:proofErr w:type="spellEnd"/>
            <w:r>
              <w:rPr>
                <w:rFonts w:cs="Times New Roman"/>
                <w:lang w:val="sk-SK"/>
              </w:rPr>
              <w:t xml:space="preserve"> a </w:t>
            </w:r>
            <w:proofErr w:type="spellStart"/>
            <w:r>
              <w:rPr>
                <w:rFonts w:cs="Times New Roman"/>
                <w:lang w:val="sk-SK"/>
              </w:rPr>
              <w:t>renálnej</w:t>
            </w:r>
            <w:proofErr w:type="spellEnd"/>
            <w:r>
              <w:rPr>
                <w:rFonts w:cs="Times New Roman"/>
                <w:lang w:val="sk-SK"/>
              </w:rPr>
              <w:t xml:space="preserve"> nedostatočnosti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239A6" w14:textId="77777777" w:rsidR="001863CC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3D2CF8">
              <w:t>nefrolitiáza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61F05">
              <w:rPr>
                <w:rFonts w:cs="Times New Roman"/>
              </w:rPr>
              <w:t>*</w:t>
            </w:r>
          </w:p>
        </w:tc>
      </w:tr>
      <w:tr w:rsidR="001863CC" w:rsidRPr="002B16EB" w14:paraId="2875264A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471189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89521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DDD18" w14:textId="77777777" w:rsidR="001863CC" w:rsidRPr="002B16EB" w:rsidRDefault="001863C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</w:t>
            </w:r>
            <w:proofErr w:type="spellStart"/>
            <w:r>
              <w:rPr>
                <w:sz w:val="22"/>
                <w:szCs w:val="22"/>
              </w:rPr>
              <w:t>alopécia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7ADD8" w14:textId="77777777" w:rsidR="001863CC" w:rsidRDefault="001863C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1863CC" w:rsidRPr="002B16EB" w14:paraId="539F0450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4AB13C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E2829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6CD0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18B7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065C61FC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5571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2E9BDC83" w14:textId="77777777"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2C67536D" w14:textId="77777777"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F83B2A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2876F" w14:textId="77777777" w:rsidR="001863CC" w:rsidRPr="002B16EB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    </w:t>
            </w:r>
            <w:proofErr w:type="spellStart"/>
            <w:r>
              <w:rPr>
                <w:rFonts w:cs="Times New Roman"/>
                <w:lang w:val="sk-SK"/>
              </w:rPr>
              <w:t>Hypersenzitívne</w:t>
            </w:r>
            <w:proofErr w:type="spellEnd"/>
            <w:r>
              <w:rPr>
                <w:rFonts w:cs="Times New Roman"/>
                <w:lang w:val="sk-SK"/>
              </w:rPr>
              <w:t xml:space="preserve"> reakcie  ako sú  alergické vyrážky, lieková horúčka,   systémový </w:t>
            </w:r>
            <w:proofErr w:type="spellStart"/>
            <w:r>
              <w:rPr>
                <w:rFonts w:cs="Times New Roman"/>
                <w:lang w:val="sk-SK"/>
              </w:rPr>
              <w:t>lupus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erytematosus</w:t>
            </w:r>
            <w:proofErr w:type="spellEnd"/>
            <w:r>
              <w:rPr>
                <w:rFonts w:cs="Times New Roman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lang w:val="sk-SK"/>
              </w:rPr>
              <w:t>pankolitída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28A9B" w14:textId="77777777" w:rsidR="001863CC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1863CC" w:rsidRPr="002B16EB" w14:paraId="5E00E273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27B5D3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7718C0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D40F5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hepatitída,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1F495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48946E5A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FC4C63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0B606A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6BF1" w14:textId="77777777" w:rsidR="001863CC" w:rsidRPr="002B16EB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14:paraId="63FFE78C" w14:textId="77777777" w:rsidR="001863CC" w:rsidRPr="002B16EB" w:rsidRDefault="001863CC" w:rsidP="001863CC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2CE62" w14:textId="77777777" w:rsidR="001863CC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015A4A24" w14:textId="77777777" w:rsidR="00586B99" w:rsidRPr="002B16EB" w:rsidRDefault="00586B99">
      <w:pPr>
        <w:ind w:right="-1"/>
        <w:jc w:val="both"/>
        <w:rPr>
          <w:sz w:val="22"/>
          <w:szCs w:val="22"/>
        </w:rPr>
      </w:pPr>
    </w:p>
    <w:p w14:paraId="7FDAF994" w14:textId="77777777" w:rsidR="001863CC" w:rsidRPr="001741CD" w:rsidRDefault="001863CC" w:rsidP="00E84AF5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3D2CF8">
        <w:rPr>
          <w:sz w:val="22"/>
          <w:szCs w:val="22"/>
        </w:rPr>
        <w:t>Pre ďalšie informácie pozri časť 4.4</w:t>
      </w:r>
    </w:p>
    <w:p w14:paraId="0EA58CF2" w14:textId="77777777" w:rsidR="001863CC" w:rsidRDefault="001863CC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001CC768" w14:textId="77777777"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14:paraId="6B1A89B1" w14:textId="77777777" w:rsidR="00912E64" w:rsidRPr="00FB6D19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FB6D19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14:paraId="74212BE2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</w:p>
    <w:p w14:paraId="379D6A93" w14:textId="77777777"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14:paraId="2D0E4B6A" w14:textId="77777777" w:rsidR="00713993" w:rsidRPr="00FB6D19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FB6D19">
        <w:rPr>
          <w:rFonts w:eastAsia="Calibri"/>
          <w:noProof/>
          <w:sz w:val="22"/>
          <w:szCs w:val="22"/>
          <w:lang w:eastAsia="zh-CN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FB6D19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9069AF" w:rsidRPr="00FB6D19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10" w:history="1">
        <w:r w:rsidR="009069AF" w:rsidRPr="00FB6D19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="009069AF" w:rsidRPr="00D21A8D">
        <w:t>.</w:t>
      </w:r>
    </w:p>
    <w:p w14:paraId="186FFC53" w14:textId="77777777"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14:paraId="1B2FB553" w14:textId="77777777"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14:paraId="104BFB56" w14:textId="5E02AC54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4.9 Predávkovanie </w:t>
      </w:r>
    </w:p>
    <w:p w14:paraId="4DF5BEF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7AC4127" w14:textId="77777777" w:rsidR="00D835CB" w:rsidRPr="002B16EB" w:rsidRDefault="00CF4502" w:rsidP="00D835CB">
      <w:pPr>
        <w:pStyle w:val="Normlnysozarkami1"/>
        <w:ind w:left="0"/>
        <w:rPr>
          <w:lang w:val="sk-SK"/>
        </w:rPr>
      </w:pPr>
      <w:r>
        <w:rPr>
          <w:lang w:val="sk-SK"/>
        </w:rPr>
        <w:t xml:space="preserve">Údaje o predávkovaní sú zriedkavé (napríklad možné </w:t>
      </w:r>
      <w:proofErr w:type="spellStart"/>
      <w:r>
        <w:rPr>
          <w:lang w:val="sk-SK"/>
        </w:rPr>
        <w:t>sebevražedné</w:t>
      </w:r>
      <w:proofErr w:type="spellEnd"/>
      <w:r>
        <w:rPr>
          <w:lang w:val="sk-SK"/>
        </w:rPr>
        <w:t xml:space="preserve"> správanie pri vysokých perorálnych dávkach </w:t>
      </w:r>
      <w:proofErr w:type="spellStart"/>
      <w:r>
        <w:rPr>
          <w:lang w:val="sk-SK"/>
        </w:rPr>
        <w:t>mesalazínu</w:t>
      </w:r>
      <w:proofErr w:type="spellEnd"/>
      <w:r>
        <w:rPr>
          <w:lang w:val="sk-SK"/>
        </w:rPr>
        <w:t xml:space="preserve">), a z nich nie je možné naznačovať </w:t>
      </w:r>
      <w:proofErr w:type="spellStart"/>
      <w:r>
        <w:rPr>
          <w:lang w:val="sk-SK"/>
        </w:rPr>
        <w:t>renálnu</w:t>
      </w:r>
      <w:proofErr w:type="spellEnd"/>
      <w:r>
        <w:rPr>
          <w:lang w:val="sk-SK"/>
        </w:rPr>
        <w:t xml:space="preserve"> a </w:t>
      </w:r>
      <w:proofErr w:type="spellStart"/>
      <w:r>
        <w:rPr>
          <w:lang w:val="sk-SK"/>
        </w:rPr>
        <w:t>hepat</w:t>
      </w:r>
      <w:r w:rsidR="002B16EB">
        <w:rPr>
          <w:lang w:val="sk-SK"/>
        </w:rPr>
        <w:t>álnu</w:t>
      </w:r>
      <w:proofErr w:type="spellEnd"/>
      <w:r w:rsidR="00D835CB" w:rsidRPr="002B16EB">
        <w:rPr>
          <w:lang w:val="sk-SK"/>
        </w:rPr>
        <w:t xml:space="preserve"> toxicitu. Neexistuje špecifické </w:t>
      </w:r>
      <w:proofErr w:type="spellStart"/>
      <w:r w:rsidR="00D835CB" w:rsidRPr="002B16EB">
        <w:rPr>
          <w:lang w:val="sk-SK"/>
        </w:rPr>
        <w:t>antidotum</w:t>
      </w:r>
      <w:proofErr w:type="spellEnd"/>
      <w:r w:rsidR="00D835CB" w:rsidRPr="002B16EB">
        <w:rPr>
          <w:lang w:val="sk-SK"/>
        </w:rPr>
        <w:t xml:space="preserve"> a liečba je symptomatická a podporná.</w:t>
      </w:r>
    </w:p>
    <w:p w14:paraId="564C682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C45A5F2" w14:textId="77777777" w:rsidR="003A2E86" w:rsidRPr="002B16EB" w:rsidRDefault="003A2E86">
      <w:pPr>
        <w:ind w:right="-1"/>
        <w:jc w:val="both"/>
        <w:rPr>
          <w:sz w:val="22"/>
          <w:szCs w:val="22"/>
        </w:rPr>
      </w:pPr>
    </w:p>
    <w:p w14:paraId="26FC0AB5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aps/>
          <w:sz w:val="22"/>
          <w:szCs w:val="22"/>
        </w:rPr>
        <w:t>Farmakologické vlastnosti</w:t>
      </w:r>
      <w:r>
        <w:rPr>
          <w:b/>
          <w:sz w:val="22"/>
          <w:szCs w:val="22"/>
        </w:rPr>
        <w:t xml:space="preserve"> </w:t>
      </w:r>
    </w:p>
    <w:p w14:paraId="2E339AC5" w14:textId="77777777" w:rsidR="007225C4" w:rsidRPr="002B16EB" w:rsidRDefault="007225C4">
      <w:pPr>
        <w:ind w:right="-1"/>
        <w:jc w:val="both"/>
        <w:rPr>
          <w:b/>
          <w:sz w:val="22"/>
          <w:szCs w:val="22"/>
        </w:rPr>
      </w:pPr>
    </w:p>
    <w:p w14:paraId="0CC54951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5.1 </w:t>
      </w:r>
      <w:proofErr w:type="spellStart"/>
      <w:r>
        <w:rPr>
          <w:b/>
          <w:sz w:val="22"/>
          <w:szCs w:val="22"/>
        </w:rPr>
        <w:t>Farmakodynamické</w:t>
      </w:r>
      <w:proofErr w:type="spellEnd"/>
      <w:r>
        <w:rPr>
          <w:b/>
          <w:sz w:val="22"/>
          <w:szCs w:val="22"/>
        </w:rPr>
        <w:t xml:space="preserve"> vlastnosti</w:t>
      </w:r>
    </w:p>
    <w:p w14:paraId="079A626D" w14:textId="77777777" w:rsidR="00737632" w:rsidRPr="002B16EB" w:rsidRDefault="00737632" w:rsidP="00737632">
      <w:pPr>
        <w:pStyle w:val="Nadpis2"/>
        <w:jc w:val="both"/>
        <w:rPr>
          <w:sz w:val="22"/>
          <w:szCs w:val="22"/>
          <w:lang w:val="sk-SK"/>
        </w:rPr>
      </w:pPr>
    </w:p>
    <w:p w14:paraId="48BE9357" w14:textId="77777777" w:rsidR="00737632" w:rsidRPr="002B16EB" w:rsidRDefault="00CF4502" w:rsidP="0073763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Farmakoterapeutická</w:t>
      </w:r>
      <w:proofErr w:type="spellEnd"/>
      <w:r>
        <w:rPr>
          <w:sz w:val="22"/>
          <w:szCs w:val="22"/>
          <w:lang w:val="sk-SK"/>
        </w:rPr>
        <w:t xml:space="preserve"> skupina: </w:t>
      </w:r>
      <w:r>
        <w:rPr>
          <w:b w:val="0"/>
          <w:bCs/>
          <w:sz w:val="22"/>
          <w:szCs w:val="22"/>
          <w:lang w:val="sk-SK"/>
        </w:rPr>
        <w:t>Črevné protizápalové liečivá</w:t>
      </w:r>
    </w:p>
    <w:p w14:paraId="52273CBB" w14:textId="77777777" w:rsidR="00737632" w:rsidRPr="002B16EB" w:rsidRDefault="00CF4502" w:rsidP="0073763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>
        <w:rPr>
          <w:b/>
          <w:bCs/>
          <w:sz w:val="22"/>
          <w:szCs w:val="22"/>
        </w:rPr>
        <w:t xml:space="preserve">ATC klasifikácia: </w:t>
      </w:r>
      <w:r>
        <w:rPr>
          <w:snapToGrid w:val="0"/>
          <w:sz w:val="22"/>
          <w:szCs w:val="22"/>
          <w:lang w:eastAsia="cs-CZ"/>
        </w:rPr>
        <w:t>A07EC02</w:t>
      </w:r>
    </w:p>
    <w:p w14:paraId="4651C0C1" w14:textId="77777777" w:rsidR="00737632" w:rsidRPr="002B16EB" w:rsidRDefault="00737632" w:rsidP="00737632">
      <w:pPr>
        <w:ind w:right="-1"/>
        <w:jc w:val="both"/>
        <w:rPr>
          <w:sz w:val="22"/>
          <w:szCs w:val="22"/>
        </w:rPr>
      </w:pPr>
    </w:p>
    <w:p w14:paraId="495C7864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in-vitro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14:paraId="7B836AB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 preukázaný tiež vplyv na obsah </w:t>
      </w:r>
      <w:proofErr w:type="spellStart"/>
      <w:r>
        <w:rPr>
          <w:sz w:val="22"/>
          <w:szCs w:val="22"/>
        </w:rPr>
        <w:t>prostaglandínov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intestinálnej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mukóze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(5-aminosalicylová kyselina / 5-ASA) tiež pôsobí ako </w:t>
      </w:r>
      <w:proofErr w:type="spellStart"/>
      <w:r>
        <w:rPr>
          <w:sz w:val="22"/>
          <w:szCs w:val="22"/>
        </w:rPr>
        <w:t>vychytávač</w:t>
      </w:r>
      <w:proofErr w:type="spellEnd"/>
      <w:r>
        <w:rPr>
          <w:sz w:val="22"/>
          <w:szCs w:val="22"/>
        </w:rPr>
        <w:t xml:space="preserve"> voľných kyslíkových radikálov.</w:t>
      </w:r>
    </w:p>
    <w:p w14:paraId="7BA1FF3D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tkanive.</w:t>
      </w:r>
    </w:p>
    <w:p w14:paraId="10C9C4A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78A9131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5.2 </w:t>
      </w:r>
      <w:proofErr w:type="spellStart"/>
      <w:r>
        <w:rPr>
          <w:b/>
          <w:sz w:val="22"/>
          <w:szCs w:val="22"/>
        </w:rPr>
        <w:t>Farmakokinetické</w:t>
      </w:r>
      <w:proofErr w:type="spellEnd"/>
      <w:r>
        <w:rPr>
          <w:b/>
          <w:sz w:val="22"/>
          <w:szCs w:val="22"/>
        </w:rPr>
        <w:t xml:space="preserve"> vlastnosti</w:t>
      </w:r>
    </w:p>
    <w:p w14:paraId="09F0B9B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310EB01" w14:textId="77777777" w:rsidR="002F1A96" w:rsidRPr="002B16EB" w:rsidRDefault="00CF4502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Všeobecné vlastnosti </w:t>
      </w:r>
      <w:proofErr w:type="spellStart"/>
      <w:r>
        <w:rPr>
          <w:sz w:val="22"/>
          <w:szCs w:val="22"/>
          <w:u w:val="single"/>
        </w:rPr>
        <w:t>mesalazínu</w:t>
      </w:r>
      <w:proofErr w:type="spellEnd"/>
      <w:r>
        <w:rPr>
          <w:sz w:val="22"/>
          <w:szCs w:val="22"/>
          <w:u w:val="single"/>
        </w:rPr>
        <w:t>:</w:t>
      </w:r>
    </w:p>
    <w:p w14:paraId="6B14838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D0740D8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</w:t>
      </w:r>
    </w:p>
    <w:p w14:paraId="6A4F4DBF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častiach a najnižšia v </w:t>
      </w:r>
      <w:proofErr w:type="spellStart"/>
      <w:r>
        <w:rPr>
          <w:rFonts w:ascii="Times New Roman" w:hAnsi="Times New Roman" w:cs="Times New Roman"/>
          <w:sz w:val="22"/>
          <w:szCs w:val="22"/>
        </w:rPr>
        <w:t>distálnych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častiach čreva.</w:t>
      </w:r>
    </w:p>
    <w:p w14:paraId="7F6689D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BC26402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14:paraId="0B835A0D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sa metabolizuje pred vstupom do krvného obehu v </w:t>
      </w:r>
      <w:proofErr w:type="spellStart"/>
      <w:r>
        <w:rPr>
          <w:sz w:val="22"/>
          <w:szCs w:val="22"/>
        </w:rPr>
        <w:t>intestinálnej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mukóze</w:t>
      </w:r>
      <w:proofErr w:type="spellEnd"/>
      <w:r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>
        <w:rPr>
          <w:sz w:val="22"/>
          <w:szCs w:val="22"/>
        </w:rPr>
        <w:t>Acetylácia</w:t>
      </w:r>
      <w:proofErr w:type="spellEnd"/>
      <w:r>
        <w:rPr>
          <w:sz w:val="22"/>
          <w:szCs w:val="22"/>
        </w:rPr>
        <w:t xml:space="preserve"> je pravdepodobne nezávislá od </w:t>
      </w:r>
      <w:proofErr w:type="spellStart"/>
      <w:r>
        <w:rPr>
          <w:sz w:val="22"/>
          <w:szCs w:val="22"/>
        </w:rPr>
        <w:t>acetylátorového</w:t>
      </w:r>
      <w:proofErr w:type="spellEnd"/>
      <w:r>
        <w:rPr>
          <w:sz w:val="22"/>
          <w:szCs w:val="22"/>
        </w:rPr>
        <w:t xml:space="preserve"> fenotypu pacienta. Časť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acetyluje</w:t>
      </w:r>
      <w:proofErr w:type="spellEnd"/>
      <w:r>
        <w:rPr>
          <w:sz w:val="22"/>
          <w:szCs w:val="22"/>
        </w:rPr>
        <w:t xml:space="preserve"> baktériami v hrubom čreve. 43 %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a 78 % N-Ac-5-ASA sa viaže na sérové bielkoviny.</w:t>
      </w:r>
    </w:p>
    <w:p w14:paraId="4922567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55C512C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Eliminácia/exkrécia</w:t>
      </w:r>
    </w:p>
    <w:p w14:paraId="01A2F070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a jeho </w:t>
      </w:r>
      <w:proofErr w:type="spellStart"/>
      <w:r>
        <w:rPr>
          <w:sz w:val="22"/>
          <w:szCs w:val="22"/>
        </w:rPr>
        <w:t>metabolit</w:t>
      </w:r>
      <w:proofErr w:type="spellEnd"/>
      <w:r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mlieka, prevažne ako N-Ac-5-ASA.</w:t>
      </w:r>
    </w:p>
    <w:p w14:paraId="62EE97EE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76477BD9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 Predklinické údaje o bezpečnosti</w:t>
      </w:r>
    </w:p>
    <w:p w14:paraId="2F6718D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1309DE4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>
        <w:rPr>
          <w:sz w:val="22"/>
          <w:szCs w:val="22"/>
        </w:rPr>
        <w:t>genotoxicitu</w:t>
      </w:r>
      <w:proofErr w:type="spellEnd"/>
      <w:r>
        <w:rPr>
          <w:sz w:val="22"/>
          <w:szCs w:val="22"/>
        </w:rPr>
        <w:t>, karcinogenitu (potkan) alebo reprodukčnú toxicitu nepreukázali žiadne osobitné riziko pre ľudí.</w:t>
      </w:r>
    </w:p>
    <w:p w14:paraId="6125E6A1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60D8E2D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toxicita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nekróza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a poškodenie epitelu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proximálnych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tubulov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celých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nefrónov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bola pozorovaná v štúdiách na toxicitu po opakovanom podaní vysokých dávok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p.o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Klinická významnosť týchto zistení nie je jasná.</w:t>
      </w:r>
    </w:p>
    <w:p w14:paraId="5114061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83ADE4D" w14:textId="77777777" w:rsidR="00547A4B" w:rsidRPr="002B16EB" w:rsidRDefault="00547A4B">
      <w:pPr>
        <w:ind w:right="-1"/>
        <w:jc w:val="both"/>
        <w:rPr>
          <w:sz w:val="22"/>
          <w:szCs w:val="22"/>
        </w:rPr>
      </w:pPr>
    </w:p>
    <w:p w14:paraId="556EF50E" w14:textId="77777777" w:rsidR="00547A4B" w:rsidRPr="002B16EB" w:rsidRDefault="00CF4502" w:rsidP="00547A4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aps/>
          <w:sz w:val="22"/>
          <w:szCs w:val="22"/>
        </w:rPr>
        <w:t>Farmaceutické informácie</w:t>
      </w:r>
    </w:p>
    <w:p w14:paraId="1CBC060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4413D78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Zoznam pomocných látok</w:t>
      </w:r>
    </w:p>
    <w:p w14:paraId="05E0248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2E4F861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Tuhý tuk </w:t>
      </w:r>
    </w:p>
    <w:p w14:paraId="2519455B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55867CA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 Inkompatibility</w:t>
      </w:r>
    </w:p>
    <w:p w14:paraId="236976F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00619E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Žiadne.</w:t>
      </w:r>
    </w:p>
    <w:p w14:paraId="251C9EE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60860D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Čas použiteľnosti</w:t>
      </w:r>
    </w:p>
    <w:p w14:paraId="1A7864B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7BD5C76" w14:textId="77777777" w:rsidR="002F1A96" w:rsidRPr="002B16EB" w:rsidRDefault="00CF4502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 roky</w:t>
      </w:r>
    </w:p>
    <w:p w14:paraId="5690DE6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EAFFBF8" w14:textId="77777777" w:rsidR="00B72572" w:rsidRPr="002B16EB" w:rsidRDefault="00CF4502" w:rsidP="00B7257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6.4 Špeciálne upozornenia na uchovávanie</w:t>
      </w:r>
    </w:p>
    <w:p w14:paraId="10620C9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C890EB7" w14:textId="78D96D3C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Chrániť pred svetlom a </w:t>
      </w:r>
      <w:r w:rsidRPr="00510E80">
        <w:rPr>
          <w:sz w:val="22"/>
          <w:szCs w:val="22"/>
        </w:rPr>
        <w:t>uchovávať pri teplote do 25</w:t>
      </w:r>
      <w:r w:rsidR="00510E80">
        <w:rPr>
          <w:sz w:val="22"/>
          <w:szCs w:val="22"/>
        </w:rPr>
        <w:t xml:space="preserve"> °</w:t>
      </w:r>
      <w:r w:rsidRPr="00510E80">
        <w:rPr>
          <w:sz w:val="22"/>
          <w:szCs w:val="22"/>
        </w:rPr>
        <w:t>C.</w:t>
      </w:r>
    </w:p>
    <w:p w14:paraId="5106358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63F8A73" w14:textId="77777777" w:rsidR="00106837" w:rsidRPr="002B16EB" w:rsidRDefault="00CF4502" w:rsidP="0010683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6.5 Druh obalu a obsah balenia</w:t>
      </w:r>
    </w:p>
    <w:p w14:paraId="7EAF4FE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698D03F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PVC-fólia</w:t>
      </w:r>
      <w:proofErr w:type="spellEnd"/>
      <w:r>
        <w:rPr>
          <w:sz w:val="22"/>
          <w:szCs w:val="22"/>
        </w:rPr>
        <w:t>, papierová škatuľka</w:t>
      </w:r>
      <w:r w:rsidR="002F1A96" w:rsidRPr="002B16EB">
        <w:rPr>
          <w:sz w:val="22"/>
          <w:szCs w:val="22"/>
        </w:rPr>
        <w:t xml:space="preserve">, písomná informácia pre </w:t>
      </w:r>
      <w:r w:rsidR="006E648C" w:rsidRPr="002B16EB">
        <w:rPr>
          <w:sz w:val="22"/>
          <w:szCs w:val="22"/>
        </w:rPr>
        <w:t>používateľ</w:t>
      </w:r>
      <w:r w:rsidR="00106837" w:rsidRPr="002B16EB">
        <w:rPr>
          <w:sz w:val="22"/>
          <w:szCs w:val="22"/>
        </w:rPr>
        <w:t>a.</w:t>
      </w:r>
    </w:p>
    <w:p w14:paraId="4F79C273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0D258D2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Veľkosť balenia</w:t>
      </w:r>
      <w:r>
        <w:rPr>
          <w:sz w:val="22"/>
          <w:szCs w:val="22"/>
        </w:rPr>
        <w:t>: 10 alebo 30 čapíkov</w:t>
      </w:r>
    </w:p>
    <w:p w14:paraId="74A4965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9284F89" w14:textId="77777777" w:rsidR="00D572F5" w:rsidRPr="002B16EB" w:rsidRDefault="00CF4502" w:rsidP="00D572F5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6.6 Špeciálne opatrenia na likvidáciu a iné zaobchádzania s liekom</w:t>
      </w:r>
    </w:p>
    <w:p w14:paraId="4A8022F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0CB5D84" w14:textId="77777777" w:rsidR="002F1A96" w:rsidRPr="002B16EB" w:rsidRDefault="00CF4502">
      <w:pPr>
        <w:ind w:right="-1"/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Nepoužitý liek alebo odpad vzniknutý z lieku treba vrátiť do lekárne </w:t>
      </w:r>
    </w:p>
    <w:p w14:paraId="04CF525F" w14:textId="77777777" w:rsidR="00782D72" w:rsidRPr="002B16EB" w:rsidRDefault="00782D72">
      <w:pPr>
        <w:ind w:right="-1"/>
        <w:jc w:val="both"/>
        <w:rPr>
          <w:bCs/>
          <w:sz w:val="22"/>
          <w:szCs w:val="22"/>
          <w:u w:val="single"/>
        </w:rPr>
      </w:pPr>
    </w:p>
    <w:p w14:paraId="2097A995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aps/>
          <w:sz w:val="22"/>
          <w:szCs w:val="22"/>
        </w:rPr>
        <w:t>Držiteľ rozhodnutia o registrácii</w:t>
      </w:r>
    </w:p>
    <w:p w14:paraId="75516CE7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FCBC77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Falk</w:t>
      </w:r>
      <w:proofErr w:type="spellEnd"/>
      <w:r>
        <w:rPr>
          <w:sz w:val="22"/>
          <w:szCs w:val="22"/>
        </w:rPr>
        <w:t xml:space="preserve"> Pharma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>.</w:t>
      </w:r>
    </w:p>
    <w:p w14:paraId="57AFE949" w14:textId="77777777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Leinenweberstrasse</w:t>
      </w:r>
      <w:proofErr w:type="spellEnd"/>
      <w:r>
        <w:rPr>
          <w:sz w:val="22"/>
          <w:szCs w:val="22"/>
        </w:rPr>
        <w:t xml:space="preserve"> 5</w:t>
      </w:r>
    </w:p>
    <w:p w14:paraId="1295732F" w14:textId="2799EE61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79108 </w:t>
      </w:r>
      <w:proofErr w:type="spellStart"/>
      <w:r>
        <w:rPr>
          <w:sz w:val="22"/>
          <w:szCs w:val="22"/>
        </w:rPr>
        <w:t>Freiburg</w:t>
      </w:r>
      <w:proofErr w:type="spellEnd"/>
    </w:p>
    <w:p w14:paraId="0A708780" w14:textId="77777777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1A0B008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32042BD" w14:textId="77777777" w:rsidR="00782D72" w:rsidRPr="002B16EB" w:rsidRDefault="00782D72">
      <w:pPr>
        <w:ind w:right="-1"/>
        <w:jc w:val="both"/>
        <w:rPr>
          <w:sz w:val="22"/>
          <w:szCs w:val="22"/>
        </w:rPr>
      </w:pPr>
    </w:p>
    <w:p w14:paraId="77AD249F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b/>
          <w:caps/>
          <w:sz w:val="22"/>
          <w:szCs w:val="22"/>
        </w:rPr>
        <w:t>Registračné číslo</w:t>
      </w:r>
    </w:p>
    <w:p w14:paraId="4862F168" w14:textId="77777777" w:rsidR="002F1A96" w:rsidRPr="002B16EB" w:rsidRDefault="002F1A9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16D3F02F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29/0027/87-S</w:t>
      </w:r>
    </w:p>
    <w:p w14:paraId="5BB206E6" w14:textId="77777777" w:rsidR="00782D72" w:rsidRPr="002B16EB" w:rsidRDefault="00782D72">
      <w:pPr>
        <w:ind w:right="-1"/>
        <w:jc w:val="both"/>
        <w:rPr>
          <w:b/>
          <w:sz w:val="22"/>
          <w:szCs w:val="22"/>
          <w:u w:val="single"/>
        </w:rPr>
      </w:pPr>
    </w:p>
    <w:p w14:paraId="57BF9EDD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b/>
          <w:caps/>
          <w:sz w:val="22"/>
          <w:szCs w:val="22"/>
        </w:rPr>
        <w:t>Dátum prvej registrácie / predĺženia registrácie</w:t>
      </w:r>
    </w:p>
    <w:p w14:paraId="6D3E610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D1DDE42" w14:textId="77777777" w:rsidR="00F04730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15. júna</w:t>
      </w:r>
      <w:r w:rsidR="002B16EB">
        <w:rPr>
          <w:sz w:val="22"/>
          <w:szCs w:val="22"/>
        </w:rPr>
        <w:t xml:space="preserve"> </w:t>
      </w:r>
      <w:r w:rsidR="00332BE4" w:rsidRPr="002B16EB">
        <w:rPr>
          <w:sz w:val="22"/>
          <w:szCs w:val="22"/>
        </w:rPr>
        <w:t>1987</w:t>
      </w:r>
    </w:p>
    <w:p w14:paraId="4DE435CF" w14:textId="77777777" w:rsidR="00332BE4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predĺženia: 26. januára 2007</w:t>
      </w:r>
    </w:p>
    <w:p w14:paraId="46F12A01" w14:textId="77777777"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14:paraId="2CE5401B" w14:textId="77777777"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14:paraId="71D91A2E" w14:textId="77777777" w:rsidR="00D653A9" w:rsidRPr="002B16EB" w:rsidRDefault="00CF4502" w:rsidP="00D653A9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caps/>
          <w:sz w:val="22"/>
          <w:szCs w:val="22"/>
        </w:rPr>
        <w:t>Dátum revízie textu</w:t>
      </w:r>
      <w:r>
        <w:rPr>
          <w:b/>
          <w:caps/>
          <w:sz w:val="22"/>
          <w:szCs w:val="22"/>
          <w:u w:val="single"/>
        </w:rPr>
        <w:t xml:space="preserve"> </w:t>
      </w:r>
    </w:p>
    <w:p w14:paraId="30CE56C4" w14:textId="77777777" w:rsidR="002F1A96" w:rsidRPr="002B16EB" w:rsidRDefault="002F1A96" w:rsidP="00D653A9">
      <w:pPr>
        <w:ind w:right="-1"/>
        <w:jc w:val="both"/>
        <w:rPr>
          <w:sz w:val="22"/>
          <w:szCs w:val="22"/>
        </w:rPr>
      </w:pPr>
    </w:p>
    <w:p w14:paraId="76E36103" w14:textId="4F8987FA" w:rsidR="00E947EA" w:rsidRPr="002B16EB" w:rsidRDefault="00D21A8D" w:rsidP="00D653A9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6C1744">
        <w:rPr>
          <w:sz w:val="22"/>
          <w:szCs w:val="22"/>
        </w:rPr>
        <w:t>6</w:t>
      </w:r>
      <w:r>
        <w:rPr>
          <w:sz w:val="22"/>
          <w:szCs w:val="22"/>
        </w:rPr>
        <w:t>/2020</w:t>
      </w:r>
    </w:p>
    <w:sectPr w:rsidR="00E947EA" w:rsidRPr="002B16EB" w:rsidSect="00E84AF5">
      <w:headerReference w:type="default" r:id="rId11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D25CE" w14:textId="77777777" w:rsidR="00D0583D" w:rsidRDefault="00D0583D">
      <w:r>
        <w:separator/>
      </w:r>
    </w:p>
  </w:endnote>
  <w:endnote w:type="continuationSeparator" w:id="0">
    <w:p w14:paraId="7F94EB04" w14:textId="77777777" w:rsidR="00D0583D" w:rsidRDefault="00D0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A4C0" w14:textId="77777777" w:rsidR="007225C4" w:rsidRDefault="00CF450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225C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7311">
      <w:rPr>
        <w:rStyle w:val="slostrany"/>
        <w:noProof/>
      </w:rPr>
      <w:t>6</w:t>
    </w:r>
    <w:r>
      <w:rPr>
        <w:rStyle w:val="slostrany"/>
      </w:rPr>
      <w:fldChar w:fldCharType="end"/>
    </w:r>
  </w:p>
  <w:p w14:paraId="45F22654" w14:textId="77777777" w:rsidR="007225C4" w:rsidRDefault="007225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70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0F52C9" w14:textId="77630F1C" w:rsidR="007225C4" w:rsidRPr="00FB6D19" w:rsidRDefault="006C1744" w:rsidP="00FB6D19">
        <w:pPr>
          <w:pStyle w:val="Pta"/>
          <w:jc w:val="center"/>
          <w:rPr>
            <w:sz w:val="18"/>
            <w:szCs w:val="18"/>
          </w:rPr>
        </w:pPr>
        <w:r w:rsidRPr="00FB6D19">
          <w:rPr>
            <w:sz w:val="18"/>
            <w:szCs w:val="18"/>
          </w:rPr>
          <w:fldChar w:fldCharType="begin"/>
        </w:r>
        <w:r w:rsidRPr="00FB6D19">
          <w:rPr>
            <w:sz w:val="18"/>
            <w:szCs w:val="18"/>
          </w:rPr>
          <w:instrText>PAGE   \* MERGEFORMAT</w:instrText>
        </w:r>
        <w:r w:rsidRPr="00FB6D19">
          <w:rPr>
            <w:sz w:val="18"/>
            <w:szCs w:val="18"/>
          </w:rPr>
          <w:fldChar w:fldCharType="separate"/>
        </w:r>
        <w:r w:rsidR="00720DC2">
          <w:rPr>
            <w:noProof/>
            <w:sz w:val="18"/>
            <w:szCs w:val="18"/>
          </w:rPr>
          <w:t>2</w:t>
        </w:r>
        <w:r w:rsidRPr="00FB6D1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18825" w14:textId="77777777" w:rsidR="00D0583D" w:rsidRDefault="00D0583D">
      <w:r>
        <w:separator/>
      </w:r>
    </w:p>
  </w:footnote>
  <w:footnote w:type="continuationSeparator" w:id="0">
    <w:p w14:paraId="1C7CBCD5" w14:textId="77777777" w:rsidR="00D0583D" w:rsidRDefault="00D0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2B528" w14:textId="42BB3701" w:rsidR="00C44A98" w:rsidRDefault="00C44A98" w:rsidP="00C44A98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 w:rsidR="006C1744">
      <w:rPr>
        <w:sz w:val="18"/>
        <w:szCs w:val="18"/>
      </w:rPr>
      <w:t>:2020/</w:t>
    </w:r>
    <w:r w:rsidR="00EA72A6">
      <w:rPr>
        <w:sz w:val="18"/>
        <w:szCs w:val="18"/>
      </w:rPr>
      <w:t>01106</w:t>
    </w:r>
    <w:r w:rsidR="00FB6D19">
      <w:rPr>
        <w:sz w:val="18"/>
        <w:szCs w:val="18"/>
      </w:rPr>
      <w:t>-</w:t>
    </w:r>
    <w:r w:rsidR="006C1744">
      <w:rPr>
        <w:sz w:val="18"/>
        <w:szCs w:val="18"/>
      </w:rPr>
      <w:t>Z1A</w:t>
    </w:r>
  </w:p>
  <w:p w14:paraId="317CA0B7" w14:textId="77777777" w:rsidR="007225C4" w:rsidRDefault="007225C4">
    <w:pPr>
      <w:pStyle w:val="Hlavika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C542" w14:textId="7A5CF067" w:rsidR="007C7311" w:rsidRDefault="007C7311" w:rsidP="007C7311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>
      <w:rPr>
        <w:sz w:val="18"/>
        <w:szCs w:val="18"/>
      </w:rPr>
      <w:t>:</w:t>
    </w:r>
    <w:r w:rsidR="00720DC2" w:rsidRPr="00720DC2">
      <w:rPr>
        <w:sz w:val="18"/>
        <w:szCs w:val="18"/>
      </w:rPr>
      <w:t xml:space="preserve"> </w:t>
    </w:r>
    <w:r w:rsidR="00720DC2">
      <w:rPr>
        <w:sz w:val="18"/>
        <w:szCs w:val="18"/>
      </w:rPr>
      <w:t>2020/01106-Z1A</w:t>
    </w:r>
  </w:p>
  <w:p w14:paraId="64141D76" w14:textId="77777777" w:rsidR="007225C4" w:rsidRDefault="007225C4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ranslator">
    <w15:presenceInfo w15:providerId="None" w15:userId="translator"/>
  </w15:person>
  <w15:person w15:author="Alla Benčová">
    <w15:presenceInfo w15:providerId="AD" w15:userId="S::a.bencova@ewopharmask.onmicrosoft.com::cb798e11-04ff-403f-a0ee-38d3fbb4c8d6"/>
  </w15:person>
  <w15:person w15:author="FALK">
    <w15:presenceInfo w15:providerId="None" w15:userId="FAL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83"/>
    <w:rsid w:val="00007E2D"/>
    <w:rsid w:val="000400FE"/>
    <w:rsid w:val="00040CCD"/>
    <w:rsid w:val="0004126F"/>
    <w:rsid w:val="000420DD"/>
    <w:rsid w:val="00050FC4"/>
    <w:rsid w:val="0005235A"/>
    <w:rsid w:val="00056988"/>
    <w:rsid w:val="000653B2"/>
    <w:rsid w:val="00073184"/>
    <w:rsid w:val="00083D67"/>
    <w:rsid w:val="00106837"/>
    <w:rsid w:val="00110CEC"/>
    <w:rsid w:val="001147B1"/>
    <w:rsid w:val="00114E9E"/>
    <w:rsid w:val="0012185B"/>
    <w:rsid w:val="00124310"/>
    <w:rsid w:val="00163BB3"/>
    <w:rsid w:val="00185881"/>
    <w:rsid w:val="001863CC"/>
    <w:rsid w:val="00195154"/>
    <w:rsid w:val="001957A4"/>
    <w:rsid w:val="00195EC0"/>
    <w:rsid w:val="00196688"/>
    <w:rsid w:val="001A4D56"/>
    <w:rsid w:val="001A6B51"/>
    <w:rsid w:val="001B1A65"/>
    <w:rsid w:val="001D45B4"/>
    <w:rsid w:val="00215A7E"/>
    <w:rsid w:val="002559B1"/>
    <w:rsid w:val="00271F69"/>
    <w:rsid w:val="00293CBD"/>
    <w:rsid w:val="002B16EB"/>
    <w:rsid w:val="002B3F43"/>
    <w:rsid w:val="002D01A5"/>
    <w:rsid w:val="002F1A96"/>
    <w:rsid w:val="003046B4"/>
    <w:rsid w:val="00307C79"/>
    <w:rsid w:val="00320E09"/>
    <w:rsid w:val="0033083E"/>
    <w:rsid w:val="00332BE4"/>
    <w:rsid w:val="00335833"/>
    <w:rsid w:val="00337A51"/>
    <w:rsid w:val="003570EC"/>
    <w:rsid w:val="00361635"/>
    <w:rsid w:val="00375EE2"/>
    <w:rsid w:val="00390415"/>
    <w:rsid w:val="003927AD"/>
    <w:rsid w:val="003A2E86"/>
    <w:rsid w:val="003B0FF0"/>
    <w:rsid w:val="003B73D7"/>
    <w:rsid w:val="003F3C10"/>
    <w:rsid w:val="00426169"/>
    <w:rsid w:val="00432EA8"/>
    <w:rsid w:val="0045264E"/>
    <w:rsid w:val="004A67C5"/>
    <w:rsid w:val="004D3166"/>
    <w:rsid w:val="004F2D87"/>
    <w:rsid w:val="00510E80"/>
    <w:rsid w:val="00545CA3"/>
    <w:rsid w:val="00546F1B"/>
    <w:rsid w:val="00547A4B"/>
    <w:rsid w:val="00551192"/>
    <w:rsid w:val="005557F0"/>
    <w:rsid w:val="00557DED"/>
    <w:rsid w:val="00561004"/>
    <w:rsid w:val="00571AB4"/>
    <w:rsid w:val="00586B99"/>
    <w:rsid w:val="00593969"/>
    <w:rsid w:val="005A3C83"/>
    <w:rsid w:val="005C7543"/>
    <w:rsid w:val="005D3073"/>
    <w:rsid w:val="005E3F48"/>
    <w:rsid w:val="005F3D18"/>
    <w:rsid w:val="005F710C"/>
    <w:rsid w:val="006008A1"/>
    <w:rsid w:val="00603CD0"/>
    <w:rsid w:val="0060478B"/>
    <w:rsid w:val="00644D5F"/>
    <w:rsid w:val="006720BE"/>
    <w:rsid w:val="006C1744"/>
    <w:rsid w:val="006E648C"/>
    <w:rsid w:val="00713993"/>
    <w:rsid w:val="00720DC2"/>
    <w:rsid w:val="007225C4"/>
    <w:rsid w:val="00737632"/>
    <w:rsid w:val="00743A0B"/>
    <w:rsid w:val="00756C3C"/>
    <w:rsid w:val="00767FC7"/>
    <w:rsid w:val="00782D72"/>
    <w:rsid w:val="007B5F1D"/>
    <w:rsid w:val="007C702B"/>
    <w:rsid w:val="007C7311"/>
    <w:rsid w:val="007D4E50"/>
    <w:rsid w:val="007E2D74"/>
    <w:rsid w:val="007F6730"/>
    <w:rsid w:val="0081400F"/>
    <w:rsid w:val="008340FD"/>
    <w:rsid w:val="0087474D"/>
    <w:rsid w:val="00890D99"/>
    <w:rsid w:val="00896351"/>
    <w:rsid w:val="008D0E71"/>
    <w:rsid w:val="008D7199"/>
    <w:rsid w:val="009069AF"/>
    <w:rsid w:val="00912E64"/>
    <w:rsid w:val="00934C32"/>
    <w:rsid w:val="00973A85"/>
    <w:rsid w:val="00982CEE"/>
    <w:rsid w:val="009866E1"/>
    <w:rsid w:val="00997B2E"/>
    <w:rsid w:val="009A2769"/>
    <w:rsid w:val="009A7083"/>
    <w:rsid w:val="009B7988"/>
    <w:rsid w:val="009C1A11"/>
    <w:rsid w:val="009C619D"/>
    <w:rsid w:val="009D5508"/>
    <w:rsid w:val="00A269FE"/>
    <w:rsid w:val="00A41532"/>
    <w:rsid w:val="00A81326"/>
    <w:rsid w:val="00A83678"/>
    <w:rsid w:val="00A86959"/>
    <w:rsid w:val="00A950D0"/>
    <w:rsid w:val="00AA71D1"/>
    <w:rsid w:val="00AC1800"/>
    <w:rsid w:val="00AC430F"/>
    <w:rsid w:val="00AC56FD"/>
    <w:rsid w:val="00AD2235"/>
    <w:rsid w:val="00AE3F77"/>
    <w:rsid w:val="00AE7A75"/>
    <w:rsid w:val="00B24253"/>
    <w:rsid w:val="00B45858"/>
    <w:rsid w:val="00B72572"/>
    <w:rsid w:val="00B729E3"/>
    <w:rsid w:val="00B739DF"/>
    <w:rsid w:val="00BA5829"/>
    <w:rsid w:val="00BC3C80"/>
    <w:rsid w:val="00BD73A1"/>
    <w:rsid w:val="00BE1126"/>
    <w:rsid w:val="00BE16C8"/>
    <w:rsid w:val="00BF4F27"/>
    <w:rsid w:val="00C10250"/>
    <w:rsid w:val="00C120C1"/>
    <w:rsid w:val="00C44A98"/>
    <w:rsid w:val="00C5600B"/>
    <w:rsid w:val="00C74E39"/>
    <w:rsid w:val="00C8666E"/>
    <w:rsid w:val="00CB38F4"/>
    <w:rsid w:val="00CD7B4E"/>
    <w:rsid w:val="00CE3ABD"/>
    <w:rsid w:val="00CE4BD5"/>
    <w:rsid w:val="00CF4502"/>
    <w:rsid w:val="00D0168A"/>
    <w:rsid w:val="00D05441"/>
    <w:rsid w:val="00D0583D"/>
    <w:rsid w:val="00D21A8D"/>
    <w:rsid w:val="00D24398"/>
    <w:rsid w:val="00D35334"/>
    <w:rsid w:val="00D364AD"/>
    <w:rsid w:val="00D47D00"/>
    <w:rsid w:val="00D572F5"/>
    <w:rsid w:val="00D630D9"/>
    <w:rsid w:val="00D6534C"/>
    <w:rsid w:val="00D653A9"/>
    <w:rsid w:val="00D70280"/>
    <w:rsid w:val="00D835CB"/>
    <w:rsid w:val="00D9498F"/>
    <w:rsid w:val="00D97093"/>
    <w:rsid w:val="00DC7359"/>
    <w:rsid w:val="00DD1FC4"/>
    <w:rsid w:val="00DE03F8"/>
    <w:rsid w:val="00DF29FC"/>
    <w:rsid w:val="00E24E7E"/>
    <w:rsid w:val="00E36FB6"/>
    <w:rsid w:val="00E501F0"/>
    <w:rsid w:val="00E55D39"/>
    <w:rsid w:val="00E5637E"/>
    <w:rsid w:val="00E84AF5"/>
    <w:rsid w:val="00E86B6F"/>
    <w:rsid w:val="00E947EA"/>
    <w:rsid w:val="00EA72A6"/>
    <w:rsid w:val="00EF778B"/>
    <w:rsid w:val="00F04730"/>
    <w:rsid w:val="00F211BB"/>
    <w:rsid w:val="00F62B31"/>
    <w:rsid w:val="00F703AB"/>
    <w:rsid w:val="00F8504C"/>
    <w:rsid w:val="00FB6D19"/>
    <w:rsid w:val="00FE28AB"/>
    <w:rsid w:val="00FF208D"/>
    <w:rsid w:val="00FF211A"/>
    <w:rsid w:val="00FF3E64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D232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link w:val="HlavikaChar"/>
    <w:uiPriority w:val="99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  <w:lang w:val="en-US"/>
    </w:rPr>
  </w:style>
  <w:style w:type="character" w:styleId="Hypertextovprepojenie">
    <w:name w:val="Hyperlink"/>
    <w:unhideWhenUsed/>
    <w:rsid w:val="009069AF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C44A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link w:val="HlavikaChar"/>
    <w:uiPriority w:val="99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  <w:lang w:val="en-US"/>
    </w:rPr>
  </w:style>
  <w:style w:type="character" w:styleId="Hypertextovprepojenie">
    <w:name w:val="Hyperlink"/>
    <w:unhideWhenUsed/>
    <w:rsid w:val="009069AF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C44A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1336</Words>
  <Characters>8958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mt-g</Company>
  <LinksUpToDate>false</LinksUpToDate>
  <CharactersWithSpaces>10274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mt-g</dc:creator>
  <cp:lastModifiedBy>Uhnáková Milota</cp:lastModifiedBy>
  <cp:revision>4</cp:revision>
  <cp:lastPrinted>2017-11-20T13:22:00Z</cp:lastPrinted>
  <dcterms:created xsi:type="dcterms:W3CDTF">2020-06-23T06:38:00Z</dcterms:created>
  <dcterms:modified xsi:type="dcterms:W3CDTF">2020-06-23T06:49:00Z</dcterms:modified>
</cp:coreProperties>
</file>