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1" w:rsidRPr="00C84381" w:rsidRDefault="00C84381" w:rsidP="0081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1. </w:t>
      </w:r>
      <w:r w:rsidRPr="00843064">
        <w:rPr>
          <w:rFonts w:ascii="Times New Roman" w:hAnsi="Times New Roman"/>
          <w:b/>
          <w:bCs/>
          <w:color w:val="000000"/>
        </w:rPr>
        <w:tab/>
        <w:t>NÁZOV LIEKU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Duloxetin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 w:rsidRPr="00843064">
        <w:rPr>
          <w:rFonts w:ascii="Times New Roman" w:hAnsi="Times New Roman"/>
          <w:color w:val="000000"/>
        </w:rPr>
        <w:t>Stada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 w:rsidRPr="00843064">
        <w:rPr>
          <w:rFonts w:ascii="Times New Roman" w:hAnsi="Times New Roman"/>
          <w:color w:val="000000"/>
        </w:rPr>
        <w:t>6</w:t>
      </w:r>
      <w:r w:rsidR="00810B0A" w:rsidRPr="00843064">
        <w:rPr>
          <w:rFonts w:ascii="Times New Roman" w:hAnsi="Times New Roman"/>
          <w:color w:val="000000"/>
        </w:rPr>
        <w:t>0 mg tvrdé gastrorezistentné kapsuly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2. </w:t>
      </w:r>
      <w:r w:rsidRPr="00843064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:rsidR="00843064" w:rsidRPr="00A826D7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 xml:space="preserve">Každá </w:t>
      </w:r>
      <w:r w:rsidR="00B95F39" w:rsidRPr="00C84381">
        <w:rPr>
          <w:rFonts w:ascii="Times New Roman" w:hAnsi="Times New Roman"/>
          <w:color w:val="000000"/>
        </w:rPr>
        <w:t xml:space="preserve">tvrdá </w:t>
      </w:r>
      <w:r w:rsidRPr="00C84381">
        <w:rPr>
          <w:rFonts w:ascii="Times New Roman" w:hAnsi="Times New Roman"/>
          <w:color w:val="000000"/>
        </w:rPr>
        <w:t>gastrorezistentná</w:t>
      </w:r>
      <w:r w:rsidR="00810B0A" w:rsidRPr="00C84381">
        <w:rPr>
          <w:rFonts w:ascii="Times New Roman" w:hAnsi="Times New Roman"/>
          <w:color w:val="000000"/>
        </w:rPr>
        <w:t xml:space="preserve"> kapsula obsahuje </w:t>
      </w:r>
      <w:r w:rsidRPr="00C84381">
        <w:rPr>
          <w:rFonts w:ascii="Times New Roman" w:hAnsi="Times New Roman"/>
          <w:color w:val="000000"/>
        </w:rPr>
        <w:t>6</w:t>
      </w:r>
      <w:r w:rsidR="00810B0A" w:rsidRPr="00C84381">
        <w:rPr>
          <w:rFonts w:ascii="Times New Roman" w:hAnsi="Times New Roman"/>
          <w:color w:val="000000"/>
        </w:rPr>
        <w:t>0 mg duloxetínu (vo forme chloridu).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C84381">
        <w:rPr>
          <w:rFonts w:ascii="Times New Roman" w:hAnsi="Times New Roman"/>
          <w:color w:val="000000"/>
          <w:u w:val="single"/>
        </w:rPr>
        <w:t>Pomocná látka so známym účinkom</w:t>
      </w: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 xml:space="preserve">Každá </w:t>
      </w:r>
      <w:r w:rsidR="00B95F39" w:rsidRPr="00C84381">
        <w:rPr>
          <w:rFonts w:ascii="Times New Roman" w:hAnsi="Times New Roman"/>
          <w:color w:val="000000"/>
        </w:rPr>
        <w:t xml:space="preserve">tvrdá </w:t>
      </w:r>
      <w:r w:rsidRPr="00C84381">
        <w:rPr>
          <w:rFonts w:ascii="Times New Roman" w:hAnsi="Times New Roman"/>
          <w:color w:val="000000"/>
        </w:rPr>
        <w:t>gastrorezistentná</w:t>
      </w:r>
      <w:r w:rsidR="00810B0A" w:rsidRPr="00C84381">
        <w:rPr>
          <w:rFonts w:ascii="Times New Roman" w:hAnsi="Times New Roman"/>
          <w:color w:val="000000"/>
        </w:rPr>
        <w:t xml:space="preserve"> kapsula obsahuje </w:t>
      </w:r>
      <w:r w:rsidRPr="00C84381">
        <w:rPr>
          <w:rFonts w:ascii="Times New Roman" w:hAnsi="Times New Roman"/>
          <w:color w:val="000000"/>
        </w:rPr>
        <w:t>132</w:t>
      </w:r>
      <w:r w:rsidR="00810B0A" w:rsidRPr="00C84381">
        <w:rPr>
          <w:rFonts w:ascii="Times New Roman" w:hAnsi="Times New Roman"/>
          <w:color w:val="000000"/>
        </w:rPr>
        <w:t xml:space="preserve"> mg sacharózy.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Úplný zoznam pomocných látok, pozri časť 6.1.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3. </w:t>
      </w:r>
      <w:r w:rsidRPr="00843064">
        <w:rPr>
          <w:rFonts w:ascii="Times New Roman" w:hAnsi="Times New Roman"/>
          <w:b/>
          <w:bCs/>
          <w:color w:val="000000"/>
        </w:rPr>
        <w:tab/>
        <w:t>LIEKOVÁ FORMA</w:t>
      </w:r>
    </w:p>
    <w:p w:rsidR="00843064" w:rsidRPr="00A826D7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Tvrdá gastrorezistentná kapsula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43064" w:rsidRPr="00C84381" w:rsidRDefault="00A4449E" w:rsidP="008430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Duloxetin</w:t>
      </w:r>
      <w:r w:rsidR="00843064" w:rsidRPr="00C84381">
        <w:rPr>
          <w:rFonts w:ascii="Times New Roman" w:hAnsi="Times New Roman"/>
          <w:color w:val="000000"/>
        </w:rPr>
        <w:t xml:space="preserve"> Stada 60 mg tvrdé gastrorezistentné kapsuly majú zelené telo, tmavomodré viečko a sú naplnené gastrorezistentnými peletami s dĺžkou </w:t>
      </w:r>
      <w:r w:rsidR="00843064" w:rsidRPr="00C84381">
        <w:rPr>
          <w:rFonts w:ascii="Times New Roman" w:hAnsi="Times New Roman"/>
        </w:rPr>
        <w:t>19.4 ±1 mm a šírkou 6.91 ±1 mm.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 </w:t>
      </w:r>
      <w:r w:rsidRPr="00843064">
        <w:rPr>
          <w:rFonts w:ascii="Times New Roman" w:hAnsi="Times New Roman"/>
          <w:b/>
          <w:bCs/>
          <w:color w:val="000000"/>
        </w:rPr>
        <w:tab/>
        <w:t>KLINICKÉ ÚDAJE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4.1 </w:t>
      </w:r>
      <w:r w:rsidRPr="00843064">
        <w:rPr>
          <w:rFonts w:ascii="Times New Roman" w:hAnsi="Times New Roman"/>
          <w:b/>
          <w:bCs/>
          <w:color w:val="000000"/>
        </w:rPr>
        <w:tab/>
        <w:t>Terapeutické indikácie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veľkej depresívnej poruchy.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diabetickej periférnej neuropatickej bolesti.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generalizovanej úzkostnej poruchy.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Duloxetin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>
        <w:rPr>
          <w:rFonts w:ascii="Times New Roman" w:hAnsi="Times New Roman"/>
          <w:color w:val="000000"/>
        </w:rPr>
        <w:t>Stada</w:t>
      </w:r>
      <w:r w:rsidR="00810B0A" w:rsidRPr="00843064">
        <w:rPr>
          <w:rFonts w:ascii="Times New Roman" w:hAnsi="Times New Roman"/>
          <w:color w:val="000000"/>
        </w:rPr>
        <w:t xml:space="preserve"> je indikovaný dospelým.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Ďalšie informácie </w:t>
      </w:r>
      <w:r w:rsidR="00843064">
        <w:rPr>
          <w:rFonts w:ascii="Times New Roman" w:hAnsi="Times New Roman"/>
          <w:color w:val="000000"/>
        </w:rPr>
        <w:t>pozri</w:t>
      </w:r>
      <w:r w:rsidRPr="00843064">
        <w:rPr>
          <w:rFonts w:ascii="Times New Roman" w:hAnsi="Times New Roman"/>
          <w:color w:val="000000"/>
        </w:rPr>
        <w:t xml:space="preserve"> v časti 5.1.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4.2 </w:t>
      </w:r>
      <w:r w:rsidRPr="00843064">
        <w:rPr>
          <w:rFonts w:ascii="Times New Roman" w:hAnsi="Times New Roman"/>
          <w:b/>
          <w:bCs/>
          <w:color w:val="000000"/>
        </w:rPr>
        <w:tab/>
        <w:t>Dávkovanie a spôsob podávania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43064">
        <w:rPr>
          <w:rFonts w:ascii="Times New Roman" w:hAnsi="Times New Roman"/>
          <w:color w:val="000000"/>
          <w:u w:val="single"/>
        </w:rPr>
        <w:t>Dávkovanie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Veľká depresívna porucha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Začiatočná a odporúčaná udržiavacia dávka je 60 mg jedenkrát denne s jedlom alebo bez jedla.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boli z hľadiska bezpečnosti hodnotené podané dávky vyššie ako 60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 až po maximálnu dávku 120 mg denne. Klinický dôkaz o tom, že by pacienti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nereagujúci na </w:t>
      </w:r>
      <w:r w:rsidR="00843064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čiatočnú odporúčanú dávku mohli profitovať zo vzostupnej titrácie dávky však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neexistuje.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Odpoveď na liečbu sa spravidla objaví po 2-4 týždňoch liečby.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 konsolidácii antidepresívnej odpovede na liečbu sa odporúča v liečbe pokračovať ešte niekoľko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mesiacov, aby sa zabránilo relapsu. U pacientov odpovedajúcich na liečbu duloxetínom a s históriou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opakujúcich sa epizód </w:t>
      </w:r>
      <w:r w:rsidR="00BA5CA8">
        <w:rPr>
          <w:rFonts w:ascii="Times New Roman" w:hAnsi="Times New Roman"/>
          <w:color w:val="000000"/>
        </w:rPr>
        <w:t>veľkej depresie je možné</w:t>
      </w:r>
      <w:r w:rsidR="00BA5CA8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zvážiť ďalšiu dlhodobú liečbu s dávkou 60 až 120 mg/deň.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lastRenderedPageBreak/>
        <w:t>Generalizovaná úzkostná porucha</w:t>
      </w: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4449E">
        <w:rPr>
          <w:rFonts w:ascii="Times New Roman" w:hAnsi="Times New Roman"/>
          <w:color w:val="000000"/>
        </w:rPr>
        <w:t>Odp</w:t>
      </w:r>
      <w:r w:rsidRPr="00843064">
        <w:rPr>
          <w:rFonts w:ascii="Times New Roman" w:hAnsi="Times New Roman"/>
          <w:color w:val="000000"/>
        </w:rPr>
        <w:t xml:space="preserve">orúčaná </w:t>
      </w:r>
      <w:r w:rsidR="00843064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čiatočná dávka u pacientov s generalizovanou úzkostnou poruchou je 30 mg jedenkrát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denne s jedlom alebo bez jedla. U pacientov bez dostatočnej odpovede sa má dávka zvýšiť na 60 mg,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čo je zvyčajná udržiavacia dávka u väčšiny pacientov.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 pacientov, ktorí trpia tiež veľkou depresívnou poruchou, </w:t>
      </w:r>
      <w:r w:rsidR="00A4449E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čiatočná a udržiavacia dávka je 60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 (pozri tiež vyššie odporúčanie dávkovania).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Preukázalo sa, že dávky až do 120 mg denne sú účinné a v klinických </w:t>
      </w:r>
      <w:r w:rsidR="0064407E">
        <w:rPr>
          <w:rFonts w:ascii="Times New Roman" w:hAnsi="Times New Roman"/>
          <w:color w:val="000000"/>
        </w:rPr>
        <w:t xml:space="preserve">skúšaniach </w:t>
      </w:r>
      <w:r w:rsidRPr="00843064">
        <w:rPr>
          <w:rFonts w:ascii="Times New Roman" w:hAnsi="Times New Roman"/>
          <w:color w:val="000000"/>
        </w:rPr>
        <w:t>boli hodnotené aj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 hľadiska bezpečnosti. U pacientov s nedostatočnou odpoveďou na 60 mg sa môže zvážiť zvýšenie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 až na 90 mg alebo 120 mg. Dávka sa má zvyšovať podľa klinickej odpovede a znášanlivosti.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 konsolidácii odpovede na liečbu sa odporúča v liečbe pokračovať ešte niekoľko mesiacov, aby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zabránilo relapsu.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Diabetická periférna neuropatická bolesť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</w:t>
      </w:r>
      <w:r w:rsidR="00810B0A" w:rsidRPr="00843064">
        <w:rPr>
          <w:rFonts w:ascii="Times New Roman" w:hAnsi="Times New Roman"/>
          <w:color w:val="000000"/>
        </w:rPr>
        <w:t>čiatočná a odporúčaná udržiavacia dávka je 60 mg jedenkrát denne s jedlom alebo bez jedla.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boli z hľadiska bezpečnosti hodnotené dávky vyššie ako 60 mg jedenkrát denne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až po maximálnu dávku 120 mg denne podané v rovnomerne rozdelených dávkach. Plazmatická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koncentrácia duloxetínu preukazuje veľkú interindividuálnu variabilitu (pozri časť 5.2). V dôsledku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toho môže niektorým pacientom, ktorí nedostatočne reagujú na dávku 60 mg, vyššia dávka prospieť.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Odpoveď na liečbu sa má vyhodnocovať po dvoch mesiacoch liečby. U pacientov s nedostatočnou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počiatočnou odpoveďou je dodatočná odpoveď po uplynutí tejto doby nepravdepodobná.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Prínos liečby je potrebné pravidelne prehodnocovať (minimálne každé tri mesiace) (pozri časť 5.1).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  <w:r w:rsidRPr="00C84381">
        <w:rPr>
          <w:rFonts w:ascii="Times New Roman" w:hAnsi="Times New Roman"/>
          <w:b/>
          <w:i/>
          <w:iCs/>
          <w:color w:val="000000"/>
        </w:rPr>
        <w:t>Osobitné skupiny pacientov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Starší pacienti</w:t>
      </w:r>
    </w:p>
    <w:p w:rsidR="00810B0A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Iba na základe veku sa u starších pacientov neodporúča žiadna úprava dávky</w:t>
      </w:r>
      <w:r w:rsidR="00810B0A" w:rsidRPr="00843064">
        <w:rPr>
          <w:rFonts w:ascii="Times New Roman" w:hAnsi="Times New Roman"/>
          <w:color w:val="000000"/>
        </w:rPr>
        <w:t>. K liečbe starších pacientov je však potrebné</w:t>
      </w:r>
      <w:r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 xml:space="preserve">pristupovať opatrne, </w:t>
      </w:r>
      <w:r w:rsidR="0081184A">
        <w:rPr>
          <w:rFonts w:ascii="Times New Roman" w:hAnsi="Times New Roman"/>
          <w:color w:val="000000"/>
        </w:rPr>
        <w:t xml:space="preserve">tak ako pri akomkoľvek inom lieku, </w:t>
      </w:r>
      <w:r w:rsidR="00810B0A" w:rsidRPr="00843064">
        <w:rPr>
          <w:rFonts w:ascii="Times New Roman" w:hAnsi="Times New Roman"/>
          <w:color w:val="000000"/>
        </w:rPr>
        <w:t xml:space="preserve">najmä pri dávke </w:t>
      </w:r>
      <w:r>
        <w:rPr>
          <w:rFonts w:ascii="Times New Roman" w:hAnsi="Times New Roman"/>
          <w:color w:val="000000"/>
        </w:rPr>
        <w:t>d</w:t>
      </w:r>
      <w:r w:rsidR="00810B0A" w:rsidRPr="00843064">
        <w:rPr>
          <w:rFonts w:ascii="Times New Roman" w:hAnsi="Times New Roman"/>
          <w:color w:val="000000"/>
        </w:rPr>
        <w:t>uloxet</w:t>
      </w:r>
      <w:r>
        <w:rPr>
          <w:rFonts w:ascii="Times New Roman" w:hAnsi="Times New Roman"/>
          <w:color w:val="000000"/>
        </w:rPr>
        <w:t>í</w:t>
      </w:r>
      <w:r w:rsidR="00810B0A" w:rsidRPr="00843064">
        <w:rPr>
          <w:rFonts w:ascii="Times New Roman" w:hAnsi="Times New Roman"/>
          <w:color w:val="000000"/>
        </w:rPr>
        <w:t>nu 120 mg denne pri liečbe veľkej depresívnej</w:t>
      </w:r>
      <w:r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poruchy alebo generalizovanej úzkostnej poruchy, kde sú údaje obmedzené (pozri časti 4.4 a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Poškodenie pečene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nesmie používať u pacientov, ktorí trpia ochorením pečene poškodzujúcim jej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funkciu (pozri časti 4.3 a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Poškodenie obličiek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 miernym alebo stredne závažným poškodením obličiek (klírens kreatinínu 30 až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80 ml/min) nie je nutné upravovať dávku. 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nesmú užívať pacienti so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(klírens kreatinínu &lt; 30 ml/min, pozri časť 4.3).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E2805">
        <w:rPr>
          <w:rFonts w:ascii="Times New Roman" w:hAnsi="Times New Roman"/>
          <w:i/>
          <w:iCs/>
          <w:color w:val="000000"/>
        </w:rPr>
        <w:t>Pediatrická populácia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nemá používať u detí a dospievajúcich vo veku do 18 rokov na liečbu veľkej depresívnej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poruchy z dôvodu obáv o bezpečnosť a účinnosť (pozri časti 4.4, 4.8 a 5.1).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Bezpečnosť a účinnosť duloxetínu na liečbu generalizovanej úzkostnej poruchy u pediatrických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vo veku 7-17 rokov neboli stanovené. V súčasnosti dostupné údaje sú opísané v častiach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4.8, 5.1 a 5.2.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Bezpečnosť a účinnosť duloxetínu na liečbu diabetickej periférnej neuropatickej bolesti sa neskúmali.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 dispozícii nie sú žiadne údaje.</w:t>
      </w:r>
    </w:p>
    <w:p w:rsidR="0081184A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184A" w:rsidRPr="00843064" w:rsidRDefault="0081184A" w:rsidP="0011148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0" w:name="_GoBack"/>
      <w:r w:rsidRPr="00843064">
        <w:rPr>
          <w:rFonts w:ascii="Times New Roman" w:hAnsi="Times New Roman"/>
          <w:i/>
          <w:iCs/>
          <w:color w:val="000000"/>
        </w:rPr>
        <w:lastRenderedPageBreak/>
        <w:t>Ukončenie liečby</w:t>
      </w:r>
    </w:p>
    <w:p w:rsidR="0081184A" w:rsidRPr="00843064" w:rsidRDefault="0081184A" w:rsidP="0011148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Je potrebné </w:t>
      </w:r>
      <w:bookmarkEnd w:id="0"/>
      <w:r w:rsidRPr="00843064">
        <w:rPr>
          <w:rFonts w:ascii="Times New Roman" w:hAnsi="Times New Roman"/>
          <w:color w:val="000000"/>
        </w:rPr>
        <w:t xml:space="preserve">vyhnúť sa náhlemu vysadeniu. Pri ukončovaní liečby </w:t>
      </w:r>
      <w:r>
        <w:rPr>
          <w:rFonts w:ascii="Times New Roman" w:hAnsi="Times New Roman"/>
          <w:color w:val="000000"/>
        </w:rPr>
        <w:t>d</w:t>
      </w:r>
      <w:r w:rsidRPr="00843064">
        <w:rPr>
          <w:rFonts w:ascii="Times New Roman" w:hAnsi="Times New Roman"/>
          <w:color w:val="000000"/>
        </w:rPr>
        <w:t>uloxet</w:t>
      </w:r>
      <w:r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nom sa má dávka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znižovať postupne aspoň počas jedného až dvoch týždňov, aby sa znížilo riziko </w:t>
      </w:r>
      <w:r>
        <w:rPr>
          <w:rFonts w:ascii="Times New Roman" w:hAnsi="Times New Roman"/>
          <w:color w:val="000000"/>
        </w:rPr>
        <w:t>reakcií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</w:t>
      </w:r>
      <w:r w:rsidRPr="00843064">
        <w:rPr>
          <w:rFonts w:ascii="Times New Roman" w:hAnsi="Times New Roman"/>
          <w:color w:val="000000"/>
        </w:rPr>
        <w:t xml:space="preserve"> vysadeni</w:t>
      </w:r>
      <w:r>
        <w:rPr>
          <w:rFonts w:ascii="Times New Roman" w:hAnsi="Times New Roman"/>
          <w:color w:val="000000"/>
        </w:rPr>
        <w:t>e lieku</w:t>
      </w:r>
      <w:r w:rsidRPr="00843064">
        <w:rPr>
          <w:rFonts w:ascii="Times New Roman" w:hAnsi="Times New Roman"/>
          <w:color w:val="000000"/>
        </w:rPr>
        <w:t xml:space="preserve"> (pozri časti 4.4 a 4.8). Ak sa po znížení dávky alebo po vysadení liečby objavia</w:t>
      </w:r>
    </w:p>
    <w:p w:rsidR="0081184A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neznesiteľné príznaky z vysadenia, je </w:t>
      </w:r>
      <w:r>
        <w:rPr>
          <w:rFonts w:ascii="Times New Roman" w:hAnsi="Times New Roman"/>
          <w:color w:val="000000"/>
        </w:rPr>
        <w:t>mož</w:t>
      </w:r>
      <w:r w:rsidRPr="00843064">
        <w:rPr>
          <w:rFonts w:ascii="Times New Roman" w:hAnsi="Times New Roman"/>
          <w:color w:val="000000"/>
        </w:rPr>
        <w:t xml:space="preserve">né zvážiť podávanie predtým predpísanej dávky. 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Neskôr</w:t>
      </w:r>
      <w:r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môže lekár pokračovať v znižovaní dávky, ale oveľa postupnejšie.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A4449E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A4449E">
        <w:rPr>
          <w:rFonts w:ascii="Times New Roman" w:hAnsi="Times New Roman"/>
          <w:color w:val="000000"/>
          <w:u w:val="single"/>
        </w:rPr>
        <w:t>Spôsob podávania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perorálne použitie.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4.3 </w:t>
      </w:r>
      <w:r w:rsidRPr="00843064">
        <w:rPr>
          <w:rFonts w:ascii="Times New Roman" w:hAnsi="Times New Roman"/>
          <w:b/>
          <w:bCs/>
          <w:color w:val="000000"/>
        </w:rPr>
        <w:tab/>
        <w:t>Kontraindikácie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Kontraindikované je súbežné podávanie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>u s neselektívnymi ireverzibilnými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inhibítormi monoaminooxidázy (IMAO) (pozri časť 4.5).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Ochorenie pečene s následkom poruchy funkcie pečene (pozri časť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nemá používať v kombinácii s fluvoxamínom, ciprofloxacínom či enoxacínom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(t.j. silnými inhibítormi CYP1A2), pretože táto kombinácia vedie k zvýšenej plazmatickej koncentrácii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(pozri časť 4.5).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Závažné poškodenie obličiek (klírens kreatinínu &lt; 30 ml/min) (pozri časť 4.4).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Začatie liečby </w:t>
      </w:r>
      <w:r w:rsidR="00A4449E">
        <w:rPr>
          <w:rFonts w:ascii="Times New Roman" w:hAnsi="Times New Roman"/>
          <w:color w:val="000000"/>
        </w:rPr>
        <w:t>duloxetínom</w:t>
      </w:r>
      <w:r w:rsidRPr="00843064">
        <w:rPr>
          <w:rFonts w:ascii="Times New Roman" w:hAnsi="Times New Roman"/>
          <w:color w:val="000000"/>
        </w:rPr>
        <w:t xml:space="preserve"> je kontraindikované u pacientov s</w:t>
      </w:r>
      <w:r w:rsidR="00A4449E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nekontrolovanou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hypertenziou, pretože by mohlo vystaviť pacientov potenciálnemu riziku vzniku hypertenznej krízy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(pozri časti 4.4 a 4.8).</w:t>
      </w:r>
    </w:p>
    <w:p w:rsidR="00A4449E" w:rsidRPr="00C84381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4.4 </w:t>
      </w:r>
      <w:r w:rsidR="00A4449E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Mánia a záchvaty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má s opatrnosťou používať u pacientov, ktorí majú v anamnéze mániu alebo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diagnózu bipolárnej poruchy a/alebo záchvaty.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Mydriáza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Mydriáza sa udáva v spojitosti s duloxetínom, preto je potrebné postupovať opatrne pri predpisovaní</w:t>
      </w:r>
    </w:p>
    <w:p w:rsidR="00810B0A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="00810B0A" w:rsidRPr="00843064">
        <w:rPr>
          <w:rFonts w:ascii="Times New Roman" w:hAnsi="Times New Roman"/>
          <w:color w:val="000000"/>
        </w:rPr>
        <w:t>u pacientom so zvýšeným vnútroočným tlakom alebo pacientom, u ktorých je riziko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vzniku akútneho glaukómu s úzkym uhlom.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Tlak krvi a srdcová frekvencia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niektorých pacientov bolo užívanie duloxetínu spojené so zvýšeným krvným tlakom a klinicky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významnou hypertenziou. Môže to súvisieť s </w:t>
      </w:r>
      <w:r w:rsidR="003B2B90" w:rsidRPr="00843064">
        <w:rPr>
          <w:rFonts w:ascii="Times New Roman" w:hAnsi="Times New Roman"/>
          <w:color w:val="000000"/>
        </w:rPr>
        <w:t>noradrenerg</w:t>
      </w:r>
      <w:r w:rsidR="003B2B90">
        <w:rPr>
          <w:rFonts w:ascii="Times New Roman" w:hAnsi="Times New Roman"/>
          <w:color w:val="000000"/>
        </w:rPr>
        <w:t>n</w:t>
      </w:r>
      <w:r w:rsidR="003B2B90" w:rsidRPr="00843064">
        <w:rPr>
          <w:rFonts w:ascii="Times New Roman" w:hAnsi="Times New Roman"/>
          <w:color w:val="000000"/>
        </w:rPr>
        <w:t xml:space="preserve">ým </w:t>
      </w:r>
      <w:r w:rsidRPr="00843064">
        <w:rPr>
          <w:rFonts w:ascii="Times New Roman" w:hAnsi="Times New Roman"/>
          <w:color w:val="000000"/>
        </w:rPr>
        <w:t>pôsobením duloxetínu. V súvislosti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duloxetínom boli zaznamenané prípady hypertenznej krízy, hlavne u pacientov s preexistujúcou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hypertenziou. Preto sa u pacientov so známou hypertenziou a/alebo iným ochorením srdca odporúča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monitorovanie krvného tlaku, najmä počas prvého mesiaca liečby. Pacientom, ktorých zdravotný stav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by sa mohol zhoršiť zvýšením srdcovej frekvencie alebo zvýšením krvného tlaku, sa má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podávať opatrne. Opatrnosť je tiež potrebná, keď sa duloxetín podáva s liekmi, ktoré môžu narušiť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jeho metabolizmus (pozri časť 4.5). U pacientov, u ktorých sa vyskytlo trvalé zvýšenie krvného tlaku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užívania duloxetínu, je potrebné zvážiť buď zníženie dávky alebo postupné vysadenie</w:t>
      </w:r>
    </w:p>
    <w:p w:rsidR="00810B0A" w:rsidRDefault="00810B0A" w:rsidP="00D9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(pozri časť 4.8</w:t>
      </w:r>
      <w:r w:rsidRPr="00602B49">
        <w:rPr>
          <w:rFonts w:ascii="Times New Roman" w:hAnsi="Times New Roman"/>
          <w:color w:val="000000"/>
        </w:rPr>
        <w:t xml:space="preserve">). </w:t>
      </w:r>
      <w:r w:rsidR="0081184A" w:rsidRPr="00C84381">
        <w:rPr>
          <w:rFonts w:ascii="Times New Roman" w:hAnsi="Times New Roman"/>
        </w:rPr>
        <w:t>U pacientov s nekontrolovanou hypertenziou sa nemá začať liečba duloxetínom (pozri časť 4.3).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Poškodenie obličiek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so závažným poškodením obličiek na hemodialýze (klírens kreatinínu &lt;30 ml/min)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dochádza k zvýšenej plazmatickej koncentrácii duloxetínu. Informácie o pacientoch so závažným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pozri v časti 4.3. Informácie o pacientoch s miernym alebo stredne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pozri v časti 4.2.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Sérotonínový syndróm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Tak ako pri ostatných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látkach, môže sa pri liečbe duloxetínom vyskytnúť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sérotonínový syndróm</w:t>
      </w:r>
      <w:r w:rsidR="00F12973">
        <w:rPr>
          <w:rFonts w:ascii="Times New Roman" w:hAnsi="Times New Roman"/>
          <w:color w:val="000000"/>
        </w:rPr>
        <w:t>,</w:t>
      </w:r>
      <w:r w:rsidRPr="00843064">
        <w:rPr>
          <w:rFonts w:ascii="Times New Roman" w:hAnsi="Times New Roman"/>
          <w:color w:val="000000"/>
        </w:rPr>
        <w:t xml:space="preserve"> ktorý je potenciálne život ohrozujúcim stavom, najmä pri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nom podávaní</w:t>
      </w:r>
      <w:r w:rsidR="00A826D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iných </w:t>
      </w:r>
      <w:r w:rsidR="0048340A" w:rsidRPr="00843064">
        <w:rPr>
          <w:rFonts w:ascii="Times New Roman" w:hAnsi="Times New Roman"/>
          <w:color w:val="000000"/>
        </w:rPr>
        <w:t>séroton</w:t>
      </w:r>
      <w:r w:rsidR="0048340A">
        <w:rPr>
          <w:rFonts w:ascii="Times New Roman" w:hAnsi="Times New Roman"/>
          <w:color w:val="000000"/>
        </w:rPr>
        <w:t>ergn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látok (vrátane SSRI, SNRI, tricyklických antidepresív alebo triptánov), látok,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ktoré upravujú metabolizmus sérotonínu ako napr. IMAO alebo antipsychotiká či ďalšie dopamínové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antagonisty, ktoré môžu mať vplyv na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 </w:t>
      </w:r>
      <w:r w:rsidRPr="00843064">
        <w:rPr>
          <w:rFonts w:ascii="Times New Roman" w:hAnsi="Times New Roman"/>
          <w:color w:val="000000"/>
        </w:rPr>
        <w:t>neurotransmiterový systém (pozri časti 4.3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4.5).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Symptómy sérotonínového syndrómu môžu zahŕňať zmeny psychického stavu (napr. agitáciu,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halucinácie, kómu), autonómnu nestabilitu (napr. tachykardiu, labilný krvný tlak, hypertermiu),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neuromuskulárne aberácie (napr. hyperreflexiu, nekoordináciu) a/alebo gastrointestinálne symptómy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(napr. nauzea, vracanie, hnačka).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 je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 xml:space="preserve">né podávanie duloxetínu a iných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látok, ktoré môžu ovplyvniť</w:t>
      </w:r>
    </w:p>
    <w:p w:rsidR="00810B0A" w:rsidRPr="00843064" w:rsidRDefault="002A338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sérotonerg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é </w:t>
      </w:r>
      <w:r w:rsidR="00810B0A" w:rsidRPr="00843064">
        <w:rPr>
          <w:rFonts w:ascii="Times New Roman" w:hAnsi="Times New Roman"/>
          <w:color w:val="000000"/>
        </w:rPr>
        <w:t xml:space="preserve">a/alebo </w:t>
      </w:r>
      <w:r w:rsidRPr="00843064">
        <w:rPr>
          <w:rFonts w:ascii="Times New Roman" w:hAnsi="Times New Roman"/>
          <w:color w:val="000000"/>
        </w:rPr>
        <w:t>dopaminerg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é </w:t>
      </w:r>
      <w:r w:rsidR="00810B0A" w:rsidRPr="00843064">
        <w:rPr>
          <w:rFonts w:ascii="Times New Roman" w:hAnsi="Times New Roman"/>
          <w:color w:val="000000"/>
        </w:rPr>
        <w:t>neurotransmiterové systémy, klinicky opodstatnené, odporúča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sa dôkladné sledovanie pacienta, najmä na začiatku liečby a pri zvyšovaní dávok.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Ľubovník bodkovaný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Nežiaduce reakcie sa môžu častejšie vyskytovať v priebehu súbežného užívania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u a </w:t>
      </w:r>
      <w:r w:rsidR="00C60569">
        <w:rPr>
          <w:rFonts w:ascii="Times New Roman" w:hAnsi="Times New Roman"/>
          <w:color w:val="000000"/>
        </w:rPr>
        <w:t>rastlinných</w:t>
      </w:r>
      <w:r w:rsidRPr="00843064">
        <w:rPr>
          <w:rFonts w:ascii="Times New Roman" w:hAnsi="Times New Roman"/>
          <w:color w:val="000000"/>
        </w:rPr>
        <w:t xml:space="preserve"> prípravkov obsahujúcich ľubovník bodkovaný </w:t>
      </w:r>
      <w:r w:rsidRPr="00C60569">
        <w:rPr>
          <w:rFonts w:ascii="Times New Roman" w:hAnsi="Times New Roman"/>
          <w:i/>
          <w:color w:val="000000"/>
        </w:rPr>
        <w:t>(Hypericum perforatum)</w:t>
      </w:r>
      <w:r w:rsidRPr="00C60569">
        <w:rPr>
          <w:rFonts w:ascii="Times New Roman" w:hAnsi="Times New Roman"/>
          <w:color w:val="000000"/>
        </w:rPr>
        <w:t>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Samovražda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Veľká depresívna porucha a generalizovaná úzkostná porucha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Depresiu sprevádza vyššie riziko suicidálnych myšlienok, sebapoškodzovania a samovraždy (udalosti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spojené so samovraždou). Toto riziko pretrváva, až kým sa nedostaví signifikantná remisia. Keďže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zlepšenie nemusí nastať v priebehu prvých niekoľkých alebo viacerých týždňov liečby, pacient má byť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starostlivo sledovaný, až kým sa toto zlepšenie nedostaví. Je všeobecná klinická skúsenosť, že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skorých fázach zotavovania môže riziko samovraždy vzrásť.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Aj ostatné psychické poruchy, na liečbu ktorých sa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predpisuje, môžu byť spojené so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zvýšeným rizikom udalostí spojených so samovraždou. Navyše tieto poruchy môžu byť komorbidné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veľkou depresívnou poruchou. Pri liečbe pacientov s ostatnými psychickými poruchami sa majú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preto sledovať rovnaké opatrenia ako pri liečbe pacientov s veľkou depresívnou poruchou.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Pacienti s anamnézou udalostí spojených so samovraždou alebo tí, ktorí vykazovali významnú mieru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suicidálnych myšlienok pred začatím liečby majú vyššie riziko výskytu suicidálnych myšlienok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suicidálneho správania a majú byť počas liečby starostlivo sledovaní. Metaanalýza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klinických štúdií s antidepresívami u psychiatrických ochorení ukázala zvýšené riziko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suicidálneho správania u antidepresív v porovnaní s placebom u pacientov mladších ako 25 rokov.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priebehu liečby duloxetínom alebo krátko po ukončení tejto liečby boli zaznamenané prípady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výskytu suicidálnych myšlienok a suicidálneho správania (pozri časť 4.8).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 pacientov a najmä u tých s vysokým rizikom, </w:t>
      </w:r>
      <w:r w:rsidR="0048340A">
        <w:rPr>
          <w:rFonts w:ascii="Times New Roman" w:hAnsi="Times New Roman"/>
          <w:color w:val="000000"/>
        </w:rPr>
        <w:t>má</w:t>
      </w:r>
      <w:r w:rsidRPr="00843064">
        <w:rPr>
          <w:rFonts w:ascii="Times New Roman" w:hAnsi="Times New Roman"/>
          <w:color w:val="000000"/>
        </w:rPr>
        <w:t xml:space="preserve"> liekovú terapiu sprevádzať starostlivý dohľad,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hlavne počas počiatočnej liečby a po zmenách dávky. Pacienti (a opatrovníci pacientov) majú byť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upozornení na potrebu sledovať akékoľvek klinické zhoršenie, suicidálne správanie alebo myšlienky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nezvyčajné zmeny správania a na potrebu okamžitého vyhľadania lekárskej pomoci, ak sú tieto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príznaky prítomné.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Diabetická periférna neuropatická bolesť</w:t>
      </w:r>
    </w:p>
    <w:p w:rsidR="00810B0A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 xml:space="preserve">Rovnako ako u iných liekov s podobným farmakologickým účinkom (antidepresíva) boli </w:t>
      </w:r>
      <w:r w:rsidRPr="00602B49">
        <w:rPr>
          <w:rFonts w:ascii="Times New Roman" w:hAnsi="Times New Roman"/>
          <w:color w:val="000000"/>
        </w:rPr>
        <w:t>v</w:t>
      </w:r>
      <w:r w:rsidR="00C60569" w:rsidRPr="00602B49">
        <w:rPr>
          <w:rFonts w:ascii="Times New Roman" w:hAnsi="Times New Roman"/>
          <w:color w:val="000000"/>
        </w:rPr>
        <w:t> </w:t>
      </w:r>
      <w:r w:rsidR="00810B0A" w:rsidRPr="00602B49">
        <w:rPr>
          <w:rFonts w:ascii="Times New Roman" w:hAnsi="Times New Roman"/>
          <w:color w:val="000000"/>
        </w:rPr>
        <w:t>priebehu</w:t>
      </w:r>
      <w:r w:rsidR="00C60569" w:rsidRPr="00602B49">
        <w:rPr>
          <w:rFonts w:ascii="Times New Roman" w:hAnsi="Times New Roman"/>
          <w:color w:val="000000"/>
        </w:rPr>
        <w:t xml:space="preserve"> </w:t>
      </w:r>
      <w:r w:rsidR="00810B0A" w:rsidRPr="00602B49">
        <w:rPr>
          <w:rFonts w:ascii="Times New Roman" w:hAnsi="Times New Roman"/>
          <w:color w:val="000000"/>
        </w:rPr>
        <w:t xml:space="preserve">liečby duloxetínom alebo krátko po ukončení tejto liečby </w:t>
      </w:r>
      <w:r w:rsidR="00C60569" w:rsidRPr="00602B49">
        <w:rPr>
          <w:rFonts w:ascii="Times New Roman" w:hAnsi="Times New Roman"/>
          <w:color w:val="000000"/>
        </w:rPr>
        <w:t xml:space="preserve">boli </w:t>
      </w:r>
      <w:r w:rsidR="00810B0A" w:rsidRPr="00602B49">
        <w:rPr>
          <w:rFonts w:ascii="Times New Roman" w:hAnsi="Times New Roman"/>
          <w:color w:val="000000"/>
        </w:rPr>
        <w:t xml:space="preserve">zaznamenané </w:t>
      </w:r>
      <w:r w:rsidR="00C60569" w:rsidRPr="00602B49">
        <w:rPr>
          <w:rFonts w:ascii="Times New Roman" w:hAnsi="Times New Roman"/>
          <w:color w:val="000000"/>
        </w:rPr>
        <w:t>ojedinelé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prípady výskytu suicidálnych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predstáv a suicidálneho správania. Čo sa týka rizikových faktorov pre suicidalitu pri depresii, pozri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vyššie. Lekári majú povzbudiť svojich pacientov, aby kedykoľvek uviedli akékoľvek rušivé myšlienky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alebo pocity, ktoré sa u nich vyskytnú.</w:t>
      </w:r>
    </w:p>
    <w:p w:rsidR="0081184A" w:rsidRPr="00602B49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184A" w:rsidRPr="00C84381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C84381">
        <w:rPr>
          <w:rFonts w:ascii="Times New Roman" w:hAnsi="Times New Roman"/>
          <w:i/>
        </w:rPr>
        <w:lastRenderedPageBreak/>
        <w:t xml:space="preserve">Podávanie deťom a dospievajúcim mladším ako 18 rokov </w:t>
      </w:r>
    </w:p>
    <w:p w:rsidR="0081184A" w:rsidRPr="00602B49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>Duloxetín sa nemá užívať na liečbu detí a dospievajúcich mladších ako 18 rokov. V klinických štúdiách bolo u detí a dospievajúcich liečených antidepresívami častejšie pozorované suicidálne správanie (suicidálne pokusy a suicidálne myšlienky) a hostilita (prevažne agresia, protichodné správanie a zlosť) v porovnaní s tými, ktorým bolo podávané placebo. Ak sa rozhodnutie o liečbe založené na objektívnej potrebe predsa len urobí, musí byť pacient starostlivo sledovaný kvôli výskytu samovražedných príznakov (pozri časť 5.1). Navyše chýbajú údaje o bezpečnosti dlhodobého podávania u detí a dospievajúcich týkajúce sa rastu, dospievania a kognitívneho a behaviorálneho vývoja (pozri časť 4.8).</w:t>
      </w:r>
    </w:p>
    <w:p w:rsidR="00C60569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Krvácanie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súvislosti s inhibítormi spätného vychytávania sérotonínu (SSRI) a selektívnymi inhibítormi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spätného vychytávania sérotonínu/noradrenalínu (SNRI), vrátane duloxetínu, boli zaznamenané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82153">
        <w:rPr>
          <w:rFonts w:ascii="Times New Roman" w:hAnsi="Times New Roman"/>
          <w:color w:val="000000"/>
        </w:rPr>
        <w:t>prípady abnormalít spojených s krvácaním, ako sú ekchymóza, purpura a gastrointestinálne krvácanie.</w:t>
      </w:r>
      <w:r w:rsidR="00B82153" w:rsidRPr="00B82153">
        <w:rPr>
          <w:rFonts w:ascii="Times New Roman" w:hAnsi="Times New Roman"/>
          <w:color w:val="000000"/>
        </w:rPr>
        <w:t xml:space="preserve"> </w:t>
      </w:r>
      <w:r w:rsidR="00B82153" w:rsidRPr="00B82153">
        <w:rPr>
          <w:rFonts w:ascii="Times New Roman" w:hAnsi="Times New Roman"/>
        </w:rPr>
        <w:t xml:space="preserve">Duloxetín môže zvýšiť riziko popôrodného krvácania (pozri časť 4.6). </w:t>
      </w:r>
      <w:r w:rsidRPr="00B82153">
        <w:rPr>
          <w:rFonts w:ascii="Times New Roman" w:hAnsi="Times New Roman"/>
          <w:color w:val="000000"/>
        </w:rPr>
        <w:t>U</w:t>
      </w:r>
      <w:r w:rsidRPr="00843064">
        <w:rPr>
          <w:rFonts w:ascii="Times New Roman" w:hAnsi="Times New Roman"/>
          <w:color w:val="000000"/>
        </w:rPr>
        <w:t xml:space="preserve"> pacientov užívajúcich antikoagulanciá a/alebo lieky, o ktorých je známe, že ovplyvňujú funkciu</w:t>
      </w:r>
      <w:r w:rsidR="00B82153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krvných doštičiek (napr.: nesteroidné protizápalové lieky (NSAID) alebo kyselina acetylsalicylová</w:t>
      </w:r>
      <w:r w:rsidR="00B82153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(ASA)) a u pacientov náchylných na krvácanie sa odporúča postupovať s opatrnosťou.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Hyponatriémia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Pri podávaní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bola hlásená hyponatriémia, vrátane prípadov, ke</w:t>
      </w:r>
      <w:r w:rsidR="00C60569">
        <w:rPr>
          <w:rFonts w:ascii="Times New Roman" w:hAnsi="Times New Roman"/>
          <w:color w:val="000000"/>
        </w:rPr>
        <w:t>ď</w:t>
      </w:r>
      <w:r w:rsidRPr="00843064">
        <w:rPr>
          <w:rFonts w:ascii="Times New Roman" w:hAnsi="Times New Roman"/>
          <w:color w:val="000000"/>
        </w:rPr>
        <w:t xml:space="preserve"> sérová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koncentrácia sodíka bola nižšia ako 110 mmol/l. Hyponatriémia môže byť spôsobená syndrómom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neadekvátnej sekrécie antidiuretického hormónu (syndrome of inappropriate anti-diuretic hormone,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SIADH). Najviac prípadov hyponatriémie bolo hlásených u starších pacientov,  boli spojené </w:t>
      </w:r>
      <w:r w:rsidR="002C4A10" w:rsidRPr="00843064">
        <w:rPr>
          <w:rFonts w:ascii="Times New Roman" w:hAnsi="Times New Roman"/>
          <w:color w:val="000000"/>
        </w:rPr>
        <w:t xml:space="preserve">najmä </w:t>
      </w:r>
      <w:r w:rsidRPr="00843064">
        <w:rPr>
          <w:rFonts w:ascii="Times New Roman" w:hAnsi="Times New Roman"/>
          <w:color w:val="000000"/>
        </w:rPr>
        <w:t>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nedávnou anamnézou alebo s predispozičnými podmienkami k poruche rovnováhy tekutín.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so zvýšeným rizikom vzniku hyponatriémie ako sú starší pacienti, pacienti s cirhózou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alebo dehydratovaní pacienti alebo pacienti liečení diuretikami je potrebná opatrnosť.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Ukončenie liečby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prerušení liečby je výskyt príznakov z vysadenia častý, hlavne ak je vysadenie náhle (pozri časť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4.8). V klinických štúdiách sa nežiaduce účinky pri náhlom vysadení liečby vyskytovali približne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45 % pacientov liečených duloxetínom a u 23 % pacientov užívajúcich placebo.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Riziko príznakov z vysadenia pozorovaných u SSRI a SRNI môže závisieť od niekoľkých faktorov,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vrátane dĺžky liečby, dávky a rýchlosti znižovania dávky. Najčastejšie hlásené reakcie sú uvedené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časti 4.8. Zvyčajne sú symptómy slabé alebo mierne, avšak u niektorých pacientov môžu mať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závažnejší charakter. Obyčajne sa objavia v priebehu prvých </w:t>
      </w:r>
      <w:r w:rsidR="001D4E6B">
        <w:rPr>
          <w:rFonts w:ascii="Times New Roman" w:hAnsi="Times New Roman"/>
          <w:color w:val="000000"/>
        </w:rPr>
        <w:t>pár</w:t>
      </w:r>
      <w:r w:rsidR="001D4E6B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dní vysadzovania liečby, ale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vzácne boli hlásené takéto príznaky u pacientov, ktorí nedopatrením vynechali dávku. Zvyčajne tieto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príznaky vymiznú bez liečby, obyčajne v priebehu 2 týždňov, hoci u niektorých osôb </w:t>
      </w:r>
      <w:r w:rsidR="002C4A10" w:rsidRPr="00843064">
        <w:rPr>
          <w:rFonts w:ascii="Times New Roman" w:hAnsi="Times New Roman"/>
          <w:color w:val="000000"/>
        </w:rPr>
        <w:t>môž</w:t>
      </w:r>
      <w:r w:rsidR="002C4A10">
        <w:rPr>
          <w:rFonts w:ascii="Times New Roman" w:hAnsi="Times New Roman"/>
          <w:color w:val="000000"/>
        </w:rPr>
        <w:t>u</w:t>
      </w:r>
      <w:r w:rsidR="002C4A10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trvať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dlhšie (2 – 3 mesiace alebo viac). Preto sa pri vysadzovaní liečby odporúča postupné znižovanie dávky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počas minimálne 2 týždňov, podľa potreby pacienta (pozri časť 4.2).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Starší pacienti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Údaje o použití 120 mg duloxetínu u starších pacientov s veľkou depresívnou poruchou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generalizovanou úzkostnou poruchou sú obmedzené. Preto je pri liečbe starších pacientov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maximálnou dávkou potrebná zvýšená opatrnosť (pozri časti 4.2 a 5.2).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Akatízia/psychomotorický nepokoj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Užívanie duloxetínu je spájané so vznikom akatízie, ktorá sa prejavuje subjektívne nepríjemným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trýznivým nepokojom a potrebou pohybovať sa, často sprevádzané neschopnosťou pokojne sedieť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alebo stáť. Najväčšia pravdepodobnosť jej výskytu je v priebehu prvých týždňov liečby. Na pacientov,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ktorých sa vyskytnú tieto príznaky, by mohlo mať zvýšenie dávky negatívny dopad.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obsahujúce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používa pod rôznymi obchodnými názvami vo viacerých indikáciách (liečba diabetickej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neuropatickej bolesti, veľkej depresívnej poruchy, generalizovanej úzkostnej poruchy a stresovej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inkontinencie moču). Je nutné vyvarovať sa používania viac ako jedného z týchto </w:t>
      </w:r>
      <w:r w:rsidR="00C60569">
        <w:rPr>
          <w:rFonts w:ascii="Times New Roman" w:hAnsi="Times New Roman"/>
          <w:color w:val="000000"/>
        </w:rPr>
        <w:t>liekov</w:t>
      </w:r>
      <w:r w:rsidRPr="00843064">
        <w:rPr>
          <w:rFonts w:ascii="Times New Roman" w:hAnsi="Times New Roman"/>
          <w:color w:val="000000"/>
        </w:rPr>
        <w:t xml:space="preserve">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lastRenderedPageBreak/>
        <w:t>Hepatitída/zvýšené hepatálne enzýmy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podávaní duloxetínu boli hlásené prípady poškodenia pečene, vrátane závažných nárastov hladín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hepatálnych enzýmov (&gt;10 násobok hornej hranice normy), hepatitídy a žltačky (pozri časť 4.8).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Väčšina z nich sa objavila počas prvých mesiacov liečby. Charakter poškodenia pečene bol prevažne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hepatocelulárny. Duloxetín sa má užívať s opatrnosťou u pacientov liečených inými liekmi, ktoré sú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spájané s poškodením pečene.</w:t>
      </w:r>
    </w:p>
    <w:p w:rsidR="00810B0A" w:rsidRPr="008C055A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C055A" w:rsidRPr="007A44A4" w:rsidRDefault="008C055A" w:rsidP="007A44A4">
      <w:pPr>
        <w:spacing w:after="0" w:line="240" w:lineRule="auto"/>
        <w:rPr>
          <w:rFonts w:ascii="Times New Roman" w:hAnsi="Times New Roman"/>
        </w:rPr>
      </w:pPr>
      <w:r w:rsidRPr="007A44A4">
        <w:rPr>
          <w:rFonts w:ascii="Times New Roman" w:hAnsi="Times New Roman"/>
          <w:i/>
        </w:rPr>
        <w:t>Sexuálna dysfunkcia</w:t>
      </w:r>
    </w:p>
    <w:p w:rsidR="008C055A" w:rsidRPr="007A44A4" w:rsidRDefault="008C055A" w:rsidP="007A44A4">
      <w:pPr>
        <w:spacing w:after="0" w:line="240" w:lineRule="auto"/>
        <w:rPr>
          <w:rFonts w:ascii="Times New Roman" w:hAnsi="Times New Roman"/>
        </w:rPr>
      </w:pPr>
      <w:r w:rsidRPr="007A44A4">
        <w:rPr>
          <w:rFonts w:ascii="Times New Roman" w:hAnsi="Times New Roman"/>
        </w:rPr>
        <w:t xml:space="preserve">Selektívne inhibítory spätného vychytávania sérotonínu (selective serotonin reuptake inhibitors, </w:t>
      </w:r>
    </w:p>
    <w:p w:rsidR="008C055A" w:rsidRPr="007A44A4" w:rsidRDefault="008C055A" w:rsidP="007A44A4">
      <w:pPr>
        <w:spacing w:after="0" w:line="240" w:lineRule="auto"/>
        <w:rPr>
          <w:rFonts w:ascii="Times New Roman" w:hAnsi="Times New Roman"/>
        </w:rPr>
      </w:pPr>
      <w:r w:rsidRPr="007A44A4">
        <w:rPr>
          <w:rFonts w:ascii="Times New Roman" w:hAnsi="Times New Roman"/>
        </w:rPr>
        <w:t>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:rsidR="008C055A" w:rsidRPr="008C055A" w:rsidRDefault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C055A" w:rsidRDefault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C055A">
        <w:rPr>
          <w:rFonts w:ascii="Times New Roman" w:hAnsi="Times New Roman"/>
          <w:i/>
          <w:iCs/>
          <w:color w:val="000000"/>
        </w:rPr>
        <w:t>Sacharóza</w:t>
      </w:r>
    </w:p>
    <w:p w:rsidR="00202AD3" w:rsidRPr="00EE2805" w:rsidRDefault="00810B0A" w:rsidP="00E0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PT"/>
        </w:rPr>
      </w:pPr>
      <w:r w:rsidRPr="00843064">
        <w:rPr>
          <w:rFonts w:ascii="Times New Roman" w:hAnsi="Times New Roman"/>
          <w:color w:val="000000"/>
        </w:rPr>
        <w:t xml:space="preserve">Tvrdé gastrorezistentné kapsuly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 xml:space="preserve">u </w:t>
      </w:r>
      <w:r w:rsidR="002C5B29">
        <w:rPr>
          <w:rFonts w:ascii="Times New Roman" w:hAnsi="Times New Roman"/>
          <w:color w:val="000000"/>
        </w:rPr>
        <w:t>Stada</w:t>
      </w:r>
      <w:r w:rsidRPr="00843064">
        <w:rPr>
          <w:rFonts w:ascii="Times New Roman" w:hAnsi="Times New Roman"/>
          <w:color w:val="000000"/>
        </w:rPr>
        <w:t xml:space="preserve"> obsahujú </w:t>
      </w:r>
      <w:r w:rsidRPr="00E026EE">
        <w:rPr>
          <w:rFonts w:ascii="Times New Roman" w:hAnsi="Times New Roman"/>
          <w:color w:val="000000"/>
        </w:rPr>
        <w:t xml:space="preserve">sacharózu. </w:t>
      </w:r>
      <w:r w:rsidR="00E026EE" w:rsidRPr="00E026EE">
        <w:rPr>
          <w:rFonts w:ascii="Times New Roman" w:hAnsi="Times New Roman"/>
          <w:lang w:val="pt-PT"/>
        </w:rPr>
        <w:t>Pacienti so zriedkavými dedičnými problémami intolerancie fruktózy, glukózo-galaktózovej malabsorpcie alebo deficitu sacharázy a izomaltázy nesmú užívať tento liek.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4.5 </w:t>
      </w:r>
      <w:r w:rsidR="002C5B29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Liekové a iné interakcie</w:t>
      </w:r>
    </w:p>
    <w:p w:rsidR="002C5B29" w:rsidRDefault="002C5B2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Inhibítory monoaminooxidázy (IMAO)</w:t>
      </w:r>
      <w:r w:rsidRPr="00843064">
        <w:rPr>
          <w:rFonts w:ascii="Times New Roman" w:hAnsi="Times New Roman"/>
          <w:color w:val="000000"/>
        </w:rPr>
        <w:t>: z dôvodu rizika vzniku sérotonínového syndrómu sa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nemá používať v kombinácii s neselektívnymi ireverzibilnými inhibítormi monoaminooxidázy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(IMAO) alebo minimálne 14 dní od ukončenia liečby IMAO. Vychádzajúc z biologického polčasu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duloxetínu, liečbu s IMAO je možné začať najskôr 5 dní po vysadení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(pozri časť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4.3).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Súbežné užívanie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so selektívnymi reverzibilnými IMAO, ako je moklobemid, sa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neodporúča (pozri časť 4.4). Antibiotikum linezolid je reverzibilným neselektívnym IMAO a nemá sa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podávať pacientom užívajúcim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(pozri časť 4.4).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Inhibítory CYP1A2</w:t>
      </w:r>
      <w:r w:rsidRPr="00843064">
        <w:rPr>
          <w:rFonts w:ascii="Times New Roman" w:hAnsi="Times New Roman"/>
          <w:color w:val="000000"/>
        </w:rPr>
        <w:t>: keďže CYP1A2 sa zúčastňuje na metabolizme duloxetínu,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užívanie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spolu so silnými inhibítormi CYP1A2 pravdepodobne vedie k zvýšenej koncentrácii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duloxetínu. Fluvoxamín (100 mg raz denne) ako silný inhibítor CYP1A2, znížil zdanlivý plazmatický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klírens duloxetínu o približne 77 %, pričom 6-násobne vzrástla AUCo-t .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 xml:space="preserve"> </w:t>
      </w:r>
      <w:r w:rsidR="00DB404D">
        <w:rPr>
          <w:rFonts w:ascii="Times New Roman" w:hAnsi="Times New Roman"/>
          <w:color w:val="000000"/>
        </w:rPr>
        <w:t>Stada</w:t>
      </w:r>
      <w:r w:rsidRPr="00843064">
        <w:rPr>
          <w:rFonts w:ascii="Times New Roman" w:hAnsi="Times New Roman"/>
          <w:color w:val="000000"/>
        </w:rPr>
        <w:t xml:space="preserve"> sa preto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nemá podávať v kombinácii so silnými inhibítormi CYP1A2 typu fluvoxamínu (pozri časť 4.3).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s vplyvom na CNS</w:t>
      </w:r>
      <w:r w:rsidRPr="00843064">
        <w:rPr>
          <w:rFonts w:ascii="Times New Roman" w:hAnsi="Times New Roman"/>
          <w:color w:val="000000"/>
        </w:rPr>
        <w:t>: riziko užívania duloxetínu v kombinácii s inými liekmi s vplyvom na CNS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nebolo systematicky hodnotené, okrem prípadov opísaných v tejto časti. V dôsledku toho sa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užívaní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v kombinácii s inými centrálne pôsobiacimi liekmi alebo látkami, vrátane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alkoholu a liekov so sedatívnym účinkom (napr. benzodiazepíny, morfínomimetiká, antipsychotiká,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fenobarbital, sedatívne antihistaminiká) odporúča postupovať s opatrnosťou.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Séroton</w:t>
      </w:r>
      <w:r w:rsidR="008A2E2F">
        <w:rPr>
          <w:rFonts w:ascii="Times New Roman" w:hAnsi="Times New Roman"/>
          <w:i/>
          <w:iCs/>
          <w:color w:val="000000"/>
        </w:rPr>
        <w:t>ergné</w:t>
      </w:r>
      <w:r w:rsidR="00602B49">
        <w:rPr>
          <w:rFonts w:ascii="Times New Roman" w:hAnsi="Times New Roman"/>
          <w:i/>
          <w:iCs/>
          <w:color w:val="000000"/>
        </w:rPr>
        <w:t xml:space="preserve"> </w:t>
      </w:r>
      <w:r w:rsidR="0081184A">
        <w:rPr>
          <w:rFonts w:ascii="Times New Roman" w:hAnsi="Times New Roman"/>
          <w:i/>
          <w:iCs/>
          <w:color w:val="000000"/>
        </w:rPr>
        <w:t>látky</w:t>
      </w:r>
      <w:r w:rsidRPr="00843064">
        <w:rPr>
          <w:rFonts w:ascii="Times New Roman" w:hAnsi="Times New Roman"/>
          <w:color w:val="000000"/>
        </w:rPr>
        <w:t>: sérotonínový syndróm bol v zriedkavých prípadoch zaznamenaný u pacientov,</w:t>
      </w:r>
      <w:r w:rsidR="0081184A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ktorí užívali selektívne inhibítory spätného vychytávania sérotonínu (SSRI/SNRI) spolu s látkami,</w:t>
      </w:r>
      <w:r w:rsidR="0081184A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ktoré majú </w:t>
      </w:r>
      <w:r w:rsidR="002A338F" w:rsidRPr="00843064">
        <w:rPr>
          <w:rFonts w:ascii="Times New Roman" w:hAnsi="Times New Roman"/>
          <w:color w:val="000000"/>
        </w:rPr>
        <w:t>sérotonerg</w:t>
      </w:r>
      <w:r w:rsidR="002A338F">
        <w:rPr>
          <w:rFonts w:ascii="Times New Roman" w:hAnsi="Times New Roman"/>
          <w:color w:val="000000"/>
        </w:rPr>
        <w:t>n</w:t>
      </w:r>
      <w:r w:rsidR="002A338F" w:rsidRPr="00843064">
        <w:rPr>
          <w:rFonts w:ascii="Times New Roman" w:hAnsi="Times New Roman"/>
          <w:color w:val="000000"/>
        </w:rPr>
        <w:t xml:space="preserve">é </w:t>
      </w:r>
      <w:r w:rsidRPr="00843064">
        <w:rPr>
          <w:rFonts w:ascii="Times New Roman" w:hAnsi="Times New Roman"/>
          <w:color w:val="000000"/>
        </w:rPr>
        <w:t xml:space="preserve">účinky. Opatrnosť sa odporúča v prípade, ak sa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užíva</w:t>
      </w:r>
      <w:r w:rsidR="008A2E2F">
        <w:rPr>
          <w:rFonts w:ascii="Times New Roman" w:hAnsi="Times New Roman"/>
          <w:color w:val="000000"/>
        </w:rPr>
        <w:t xml:space="preserve"> súbežne so sérotonergnými</w:t>
      </w:r>
      <w:r w:rsidR="006103EB">
        <w:rPr>
          <w:rFonts w:ascii="Times New Roman" w:hAnsi="Times New Roman"/>
          <w:color w:val="000000"/>
        </w:rPr>
        <w:t xml:space="preserve"> látkami</w:t>
      </w:r>
      <w:r w:rsidR="008A2E2F">
        <w:rPr>
          <w:rFonts w:ascii="Times New Roman" w:hAnsi="Times New Roman"/>
          <w:color w:val="000000"/>
        </w:rPr>
        <w:t xml:space="preserve">, </w:t>
      </w:r>
      <w:r w:rsidRPr="00843064">
        <w:rPr>
          <w:rFonts w:ascii="Times New Roman" w:hAnsi="Times New Roman"/>
          <w:color w:val="000000"/>
        </w:rPr>
        <w:t>ak</w:t>
      </w:r>
      <w:r w:rsidR="008A2E2F"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 xml:space="preserve"> sú SSRI, SNRI a tricyklické antidepresíva ako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klomipramín alebo amitriptylín, IMAO, ak</w:t>
      </w:r>
      <w:r w:rsidR="008A2E2F"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 xml:space="preserve"> sú moklobemid alebo linezolid, s</w:t>
      </w:r>
      <w:r w:rsidR="008A2E2F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ľubovníkom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bodkovaným </w:t>
      </w:r>
      <w:r w:rsidRPr="008A2E2F">
        <w:rPr>
          <w:rFonts w:ascii="Times New Roman" w:hAnsi="Times New Roman"/>
          <w:i/>
          <w:color w:val="000000"/>
        </w:rPr>
        <w:t>(Hypericum perforatum)</w:t>
      </w:r>
      <w:r w:rsidRPr="00843064">
        <w:rPr>
          <w:rFonts w:ascii="Times New Roman" w:hAnsi="Times New Roman"/>
          <w:color w:val="000000"/>
        </w:rPr>
        <w:t xml:space="preserve"> či triptánmi, tramadolom, petidínom a tryptofánom (pozri časť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4.4).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Účinok duloxetínu na iné lieky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metabolizované CYP1A2</w:t>
      </w:r>
      <w:r w:rsidRPr="00843064">
        <w:rPr>
          <w:rFonts w:ascii="Times New Roman" w:hAnsi="Times New Roman"/>
          <w:color w:val="000000"/>
        </w:rPr>
        <w:t>: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 duloxetínu (60 mg dvakrát denne) nemalo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významný vplyv na farmakokinetiku teofylínu, ktorý je substrátom CYP1A2.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metabolizované CYP2D6</w:t>
      </w:r>
      <w:r w:rsidRPr="00843064">
        <w:rPr>
          <w:rFonts w:ascii="Times New Roman" w:hAnsi="Times New Roman"/>
          <w:color w:val="000000"/>
        </w:rPr>
        <w:t>: duloxetín je mierny inhibítor CYP2D6. Keď sa duloxetín v dávke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60 mg dvakrát denne podal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 s jednorazovou dávkou dezipramínu (substrát CYP2D6), AUC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dezipramínu sa trojnásobne zvýšila.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 duloxetínu (40 mg dvakrát denne) zvyšuje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AUC tolterodínu (2 mg dvakrát denne) v rovnovážnom stave o 71 %, nijako však neovplyvnilo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 xml:space="preserve">farmakokinetiku jeho aktívneho 5-hydroxy metabolitu; úprava dávkovania </w:t>
      </w:r>
      <w:r w:rsidR="00D25E8C">
        <w:rPr>
          <w:rFonts w:ascii="Times New Roman" w:hAnsi="Times New Roman"/>
          <w:color w:val="000000"/>
        </w:rPr>
        <w:t>nie je nutná</w:t>
      </w:r>
      <w:r w:rsidRPr="00843064">
        <w:rPr>
          <w:rFonts w:ascii="Times New Roman" w:hAnsi="Times New Roman"/>
          <w:color w:val="000000"/>
        </w:rPr>
        <w:t>. Opatrnosť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sa však odporúča v prípade, že sa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podáva súbežne s liekmi, ktoré sú metabolizované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prevažne izoenzýmom CYP2D6 (risperidón, tricyklické antidepresíva [TCAs] ako sú nortriptylín,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amitriptylín a imipramín), najmä ak tieto majú úzky terapeutický index (ako je flekainid, propafenón 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metoprolol).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Perorálne kontraceptíva a iné steroid</w:t>
      </w:r>
      <w:r w:rsidR="008A2E2F">
        <w:rPr>
          <w:rFonts w:ascii="Times New Roman" w:hAnsi="Times New Roman"/>
          <w:i/>
          <w:iCs/>
          <w:color w:val="000000"/>
        </w:rPr>
        <w:t>n</w:t>
      </w:r>
      <w:r w:rsidRPr="00843064">
        <w:rPr>
          <w:rFonts w:ascii="Times New Roman" w:hAnsi="Times New Roman"/>
          <w:i/>
          <w:iCs/>
          <w:color w:val="000000"/>
        </w:rPr>
        <w:t>é</w:t>
      </w:r>
      <w:r w:rsidR="006103EB">
        <w:rPr>
          <w:rFonts w:ascii="Times New Roman" w:hAnsi="Times New Roman"/>
          <w:i/>
          <w:iCs/>
          <w:color w:val="000000"/>
        </w:rPr>
        <w:t xml:space="preserve"> látky</w:t>
      </w:r>
      <w:r w:rsidRPr="00843064">
        <w:rPr>
          <w:rFonts w:ascii="Times New Roman" w:hAnsi="Times New Roman"/>
          <w:color w:val="000000"/>
        </w:rPr>
        <w:t xml:space="preserve">: výsledky štúdií </w:t>
      </w:r>
      <w:r w:rsidRPr="00843064">
        <w:rPr>
          <w:rFonts w:ascii="Times New Roman" w:hAnsi="Times New Roman"/>
          <w:i/>
          <w:iCs/>
          <w:color w:val="000000"/>
        </w:rPr>
        <w:t xml:space="preserve">in vitro </w:t>
      </w:r>
      <w:r w:rsidRPr="00843064">
        <w:rPr>
          <w:rFonts w:ascii="Times New Roman" w:hAnsi="Times New Roman"/>
          <w:color w:val="000000"/>
        </w:rPr>
        <w:t>preukázali, že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neindukuje katalytickú aktivitu izoenzýmov CYP3A. Špecifické </w:t>
      </w:r>
      <w:r w:rsidRPr="00843064">
        <w:rPr>
          <w:rFonts w:ascii="Times New Roman" w:hAnsi="Times New Roman"/>
          <w:i/>
          <w:iCs/>
          <w:color w:val="000000"/>
        </w:rPr>
        <w:t xml:space="preserve">in vivo </w:t>
      </w:r>
      <w:r w:rsidRPr="00843064">
        <w:rPr>
          <w:rFonts w:ascii="Times New Roman" w:hAnsi="Times New Roman"/>
          <w:color w:val="000000"/>
        </w:rPr>
        <w:t>liekové interakčné štúdie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zrealizované neboli.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Antikoagulanciá a antiagreganciá: </w:t>
      </w:r>
      <w:r w:rsidRPr="00843064">
        <w:rPr>
          <w:rFonts w:ascii="Times New Roman" w:hAnsi="Times New Roman"/>
          <w:color w:val="000000"/>
        </w:rPr>
        <w:t>Opatrnosť je potrebná, keď sa duloxetín kombinuje s perorálnymi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antikoagulanciami alebo antiagreganciami kvôli možnému zvýšeniu rizika krvácania, ktoré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pripisuje farmakodynamickej interakcii. Okrem toho sa zaznamenali zvýšené hodnoty INR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u pacientov liečených warfarínom, ktorým sa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 podával duloxetín. Avšak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duloxetínu s warfarínom zdravým dobrovoľníkom </w:t>
      </w:r>
      <w:r w:rsidR="00267350">
        <w:rPr>
          <w:rFonts w:ascii="Times New Roman" w:hAnsi="Times New Roman"/>
          <w:color w:val="000000"/>
        </w:rPr>
        <w:t>(za ustálených podmienok)</w:t>
      </w:r>
      <w:r w:rsidRPr="00843064">
        <w:rPr>
          <w:rFonts w:ascii="Times New Roman" w:hAnsi="Times New Roman"/>
          <w:color w:val="000000"/>
        </w:rPr>
        <w:t xml:space="preserve"> v rámci farmakologického</w:t>
      </w:r>
      <w:r w:rsidR="00267350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klinického skúšania nemalo za následok klinicky významné zmeny INR oproti počiatočným hodnotám</w:t>
      </w:r>
      <w:r w:rsidR="00267350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ani zmeny farmakokinetiky R- alebo S- warfarínu.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Účinok iných liekov na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Antacidá a antagonisty H2 receptorov</w:t>
      </w:r>
      <w:r w:rsidRPr="00843064">
        <w:rPr>
          <w:rFonts w:ascii="Times New Roman" w:hAnsi="Times New Roman"/>
          <w:color w:val="000000"/>
        </w:rPr>
        <w:t>: súbežné podávanie duloxetínu a antacíd obsahujúcich hliník 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horčík alebo duloxetínu s famotidínom nijako významne neovplyvnilo rýchlosť či rozsah absorpcie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po podaní dávky 40 mg perorálne.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Induktory CYP1A2: </w:t>
      </w:r>
      <w:r w:rsidRPr="00843064">
        <w:rPr>
          <w:rFonts w:ascii="Times New Roman" w:hAnsi="Times New Roman"/>
          <w:color w:val="000000"/>
        </w:rPr>
        <w:t>populačné farmakokinetické analýzy preukázali, že fajčiari majú takmer o 50 %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nižšie plazmatické koncentrácie duloxetínu než nefajčiari.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4.6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Fertilita, gravidita a laktácia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E2805">
        <w:rPr>
          <w:rFonts w:ascii="Times New Roman" w:hAnsi="Times New Roman"/>
          <w:color w:val="000000"/>
          <w:u w:val="single"/>
        </w:rPr>
        <w:t>Gravidita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Nie sú k dispozícii dostatočné údaje o použití duloxetínu u gravidných žien. Štúdie na zvieratách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preukázali reprodukčnú toxicitu pri hladinách systémovej expozície (AUC) duloxetínu nižších než 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maximálna klinická expozícia (pozri časť 5.3).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Nie je známe potenciálne riziko u ľudí.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Epidemiologické údaje naznačujú, že používanie SSRI počas tehotenstva, zvlášť v pokročilom štádiu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tehotenstva, môže zvýšiť riziko perzistentnej pľúcnej hypertenzie u novorodencov (PPHN). Hoci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žiadna štúdia nesledovala súvislosť medzi PPHN a liečbou SNRI, toto potenciálne riziko sa nedá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vylúčiť pri duloxetíne, berúc do úvahy podobný mechanizmus účinku (inhibícia spätného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vychytávania sérotonínu).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B82153" w:rsidRDefault="006103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>Ako aj u iných sérotonergických liekov,</w:t>
      </w:r>
      <w:r>
        <w:t xml:space="preserve"> </w:t>
      </w:r>
      <w:r>
        <w:rPr>
          <w:rFonts w:ascii="Times New Roman" w:hAnsi="Times New Roman"/>
          <w:color w:val="000000"/>
        </w:rPr>
        <w:t>a</w:t>
      </w:r>
      <w:r w:rsidR="00810B0A" w:rsidRPr="00843064">
        <w:rPr>
          <w:rFonts w:ascii="Times New Roman" w:hAnsi="Times New Roman"/>
          <w:color w:val="000000"/>
        </w:rPr>
        <w:t>k matka užívala krátko pred pôrodom duloxetín,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u novorodenca sa môžu vyskytnúť príznaky z vysadenia. Symptómy z vysadenia pozorované pri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duloxetíne môžu zahŕňať hypotóniu, tras, nepokoj, problémy s príjmom potravy, ťažkosti s</w:t>
      </w:r>
      <w:r w:rsidR="00391962">
        <w:rPr>
          <w:rFonts w:ascii="Times New Roman" w:hAnsi="Times New Roman"/>
          <w:color w:val="000000"/>
        </w:rPr>
        <w:t> </w:t>
      </w:r>
      <w:r w:rsidR="00810B0A" w:rsidRPr="00843064">
        <w:rPr>
          <w:rFonts w:ascii="Times New Roman" w:hAnsi="Times New Roman"/>
          <w:color w:val="000000"/>
        </w:rPr>
        <w:t>dýchaním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B82153">
        <w:rPr>
          <w:rFonts w:ascii="Times New Roman" w:hAnsi="Times New Roman"/>
          <w:color w:val="000000"/>
        </w:rPr>
        <w:t>a kŕče. Väčšina prípadov sa vyskytla buď pri pôrode alebo niekoľko dní po pôrode.</w:t>
      </w:r>
    </w:p>
    <w:p w:rsidR="00B82153" w:rsidRPr="00111480" w:rsidRDefault="00B821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A2E2F" w:rsidRPr="00111480" w:rsidRDefault="00B821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11480">
        <w:rPr>
          <w:rFonts w:ascii="Times New Roman" w:hAnsi="Times New Roman"/>
        </w:rPr>
        <w:t>Údaje z observačných štúdií poskytli dôkazy o zvýšenom riziku (menej ako 2-násobné) popôrodného krvácania po expozícii duloxetínu počas posledného mesiaca pred pôrodom.</w:t>
      </w:r>
    </w:p>
    <w:p w:rsidR="00B82153" w:rsidRPr="00843064" w:rsidRDefault="00B8215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Duloxetín</w:t>
      </w:r>
      <w:r w:rsidR="00810B0A" w:rsidRPr="00843064">
        <w:rPr>
          <w:rFonts w:ascii="Times New Roman" w:hAnsi="Times New Roman"/>
          <w:color w:val="000000"/>
        </w:rPr>
        <w:t xml:space="preserve"> sa má užívať v priebehu gravidity len vtedy, ak jeho potenciálny prínos prevýši</w:t>
      </w:r>
      <w:r w:rsidR="008A2E2F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možné riziko pre plod. Ženy, ktoré otehotnejú alebo zamýšľajú otehotnieť v priebehu liečby, je</w:t>
      </w:r>
      <w:r w:rsidR="008A2E2F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potrebné informovať, aby na to upozornili svojho lekára.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E2805">
        <w:rPr>
          <w:rFonts w:ascii="Times New Roman" w:hAnsi="Times New Roman"/>
          <w:color w:val="000000"/>
          <w:u w:val="single"/>
        </w:rPr>
        <w:t>Dojčenie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 je veľmi málo vylučovaný do materského mlieka vychádzajúc zo štúdie so 6 </w:t>
      </w:r>
      <w:r w:rsidR="00DB404D">
        <w:rPr>
          <w:rFonts w:ascii="Times New Roman" w:hAnsi="Times New Roman"/>
          <w:color w:val="000000"/>
        </w:rPr>
        <w:t>laktujúcimi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ženami, ktoré nedojčili svoje deti. Odhadovaná denná dávka u dojčaťa v mg/kg je približne 0,14 %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 podanej matke (pozri časť 5.2). Keďže nie je známa bezpečnosť podávania duloxetínu u dojčiat,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 xml:space="preserve">užívanie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sa počas dojčenia neodporúča.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A2E2F" w:rsidRPr="00EE2805" w:rsidRDefault="008A2E2F" w:rsidP="008A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E2805">
        <w:rPr>
          <w:rFonts w:ascii="Times New Roman" w:hAnsi="Times New Roman"/>
          <w:color w:val="000000"/>
          <w:u w:val="single"/>
        </w:rPr>
        <w:t>Fertilita</w:t>
      </w:r>
    </w:p>
    <w:p w:rsidR="008A2E2F" w:rsidRPr="00843064" w:rsidRDefault="008A2E2F" w:rsidP="00935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 </w:t>
      </w:r>
      <w:r w:rsidR="00B82153">
        <w:rPr>
          <w:rFonts w:ascii="Times New Roman" w:hAnsi="Times New Roman"/>
          <w:color w:val="000000"/>
        </w:rPr>
        <w:t xml:space="preserve">v štúdiách na zvieratách </w:t>
      </w:r>
      <w:r w:rsidRPr="00843064">
        <w:rPr>
          <w:rFonts w:ascii="Times New Roman" w:hAnsi="Times New Roman"/>
          <w:color w:val="000000"/>
        </w:rPr>
        <w:t xml:space="preserve">nemal vplyv na mužskú fertilitu a u žien bol vplyv evidentný iba pri dávkach </w:t>
      </w:r>
      <w:r w:rsidR="009358A8">
        <w:rPr>
          <w:rFonts w:ascii="Times New Roman" w:hAnsi="Times New Roman"/>
          <w:color w:val="000000"/>
        </w:rPr>
        <w:t>toxických pre matku</w:t>
      </w:r>
      <w:r w:rsidRPr="00843064">
        <w:rPr>
          <w:rFonts w:ascii="Times New Roman" w:hAnsi="Times New Roman"/>
          <w:color w:val="000000"/>
        </w:rPr>
        <w:t>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4.7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Neuskutočnili sa žiadne štúdie o účinkoch na schopnosť viesť vozidlá a obsluhovať stroje. </w:t>
      </w:r>
      <w:r w:rsidR="00A4449E">
        <w:rPr>
          <w:rFonts w:ascii="Times New Roman" w:hAnsi="Times New Roman"/>
          <w:color w:val="000000"/>
        </w:rPr>
        <w:t>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môže súvisieť s útlmom a závratom. Pacienti sa majú poučiť, že v prípade, ak sa u nich objaví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útlm alebo závrat, majú sa vyvarovať potenciálne nebezpečných úloh, akými sú vedenie vozidiel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obsluha strojov.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4.8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Nežiaduce účinky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a. Zhrnutie bezpečnostného profilu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Najčastejšie uvádzané nežiaduce reakcie u pacientov liečených duloxetínom boli nauzea, bolesť hlavy,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sucho v ústach, somnolencia a závrat. Väčšinou však boli tieto časté nežiaduce reakcie len mierne či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stredne závažné, objavili sa krátko po začiatku terapie a väčšinou mali tendenciu odznieť aj keď liečba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pokračovala.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b. Tabuľkové zhrnutie nežiaducich reakcií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Tabuľka 1 uvádza výskyt nežiaducich reakcií zaznamenaný zo spontánnych hlásení a v placebom</w:t>
      </w:r>
    </w:p>
    <w:p w:rsidR="00810B0A" w:rsidRPr="00843064" w:rsidRDefault="00810B0A" w:rsidP="0060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klinických štúdiách.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Tabuľka 1: Nežiaduce reakcie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Frekvencia je definovaná nasledovne: veľmi časté 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1/10), časté 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 xml:space="preserve">1/100 až </w:t>
      </w:r>
      <w:r w:rsidR="008A2E2F">
        <w:rPr>
          <w:rFonts w:ascii="Times New Roman" w:eastAsia="SymbolMT" w:hAnsi="Times New Roman"/>
          <w:color w:val="000000"/>
        </w:rPr>
        <w:t xml:space="preserve">&lt; </w:t>
      </w:r>
      <w:r w:rsidRPr="00843064">
        <w:rPr>
          <w:rFonts w:ascii="Times New Roman" w:hAnsi="Times New Roman"/>
          <w:color w:val="000000"/>
        </w:rPr>
        <w:t>1/10), menej časté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 xml:space="preserve">1/1 000 až </w:t>
      </w:r>
      <w:r w:rsidR="008A2E2F">
        <w:rPr>
          <w:rFonts w:ascii="Times New Roman" w:eastAsia="SymbolMT" w:hAnsi="Times New Roman"/>
          <w:color w:val="000000"/>
        </w:rPr>
        <w:t xml:space="preserve">&lt; </w:t>
      </w:r>
      <w:r w:rsidRPr="00843064">
        <w:rPr>
          <w:rFonts w:ascii="Times New Roman" w:hAnsi="Times New Roman"/>
          <w:color w:val="000000"/>
        </w:rPr>
        <w:t>1/100), zriedkavé (</w:t>
      </w:r>
      <w:r w:rsidR="008A2E2F">
        <w:rPr>
          <w:rFonts w:ascii="Times New Roman" w:eastAsia="SymbolMT" w:hAnsi="Times New Roman"/>
          <w:color w:val="000000"/>
        </w:rPr>
        <w:t>≥</w:t>
      </w:r>
      <w:r w:rsidRPr="00843064">
        <w:rPr>
          <w:rFonts w:ascii="Times New Roman" w:eastAsia="SymbolMT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1/10 000 až &lt; 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1/1 000), veľmi zriedkavé (&lt;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1/10 000).</w:t>
      </w:r>
    </w:p>
    <w:p w:rsidR="006103EB" w:rsidRPr="00843064" w:rsidRDefault="006103E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rámci jednotlivých skupín frekvencií sú nežiaduce účinky usporiadané v poradí klesajúcej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závažnosti.</w:t>
      </w:r>
    </w:p>
    <w:p w:rsidR="00936EE2" w:rsidRDefault="00936EE2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720"/>
        <w:gridCol w:w="2037"/>
        <w:gridCol w:w="1988"/>
        <w:gridCol w:w="1685"/>
      </w:tblGrid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Veľmi časté</w:t>
            </w: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Časté</w:t>
            </w: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Menej časté</w:t>
            </w: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Zriedkavé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Veľmi zriedkavé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Infekcie a nákazy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Laryngitída</w:t>
            </w: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imunitného systému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Anafylaktická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reakcia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Hypersenzitivita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endokrinného systému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Hypotyreóza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6E87" w:rsidRPr="00475FD4" w:rsidTr="00475FD4">
        <w:tc>
          <w:tcPr>
            <w:tcW w:w="9288" w:type="dxa"/>
            <w:gridSpan w:val="5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metabolizmu a výživy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chuti do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jedla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Hyperglykémia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(hlásená hlavne u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pacientov s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diabetom)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Dehydratácia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Hyponatriémia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SIADH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6E87" w:rsidRPr="00475FD4" w:rsidTr="00475FD4">
        <w:tc>
          <w:tcPr>
            <w:tcW w:w="9288" w:type="dxa"/>
            <w:gridSpan w:val="5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Psychické poruchy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Nespavosť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Agitácia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libida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Úzkosť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Abnormálny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orgazmus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Abnormálne sny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Suicidálne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myšlienky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="005126D7" w:rsidRPr="00475FD4">
              <w:rPr>
                <w:rFonts w:ascii="Times New Roman" w:hAnsi="Times New Roman"/>
                <w:color w:val="000000"/>
                <w:vertAlign w:val="superscript"/>
              </w:rPr>
              <w:t>, 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spánku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Škrípanie zubami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Dezorientácia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Apatia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Suicidálne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475FD4">
              <w:rPr>
                <w:rFonts w:ascii="Times New Roman" w:hAnsi="Times New Roman"/>
                <w:color w:val="000000"/>
              </w:rPr>
              <w:t>správanie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5, 7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Mánia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Halucinácie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Agresia a hnev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nervového systému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Bolesť hlavy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Spavosť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Závrat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Letargia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Tras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Parestézia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Myoklónia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Akatízia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Nervozita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pozornosti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chuti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Dyskinéza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Syndróm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nepokojných nôh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Znížená kvalita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spánku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Sérotonínový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syndróm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Kŕč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Psychomotorický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nepokoj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Extrapyramídové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symptómy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oka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Neostré videnie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Mydriáza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Zhoršenie zraku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Glaukóm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ucha a labyrintu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Tinitus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Vertigo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ucha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srdca a srdcovej činnosti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Palpitácie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Tachykardia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Supraventrikulárna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arytmia,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hlavne atriálna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fibrilácia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ciev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Zvýšenie krvného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tlaku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Sčervenenie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Synkopa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C84381">
              <w:rPr>
                <w:rFonts w:ascii="Times New Roman" w:hAnsi="Times New Roman"/>
                <w:color w:val="000000"/>
              </w:rPr>
              <w:t>Hypertenzia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3, 7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Ortostatická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hypotenzia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Chlad periférnej</w:t>
            </w:r>
          </w:p>
          <w:p w:rsidR="00AE6E87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časti končatín</w:t>
            </w:r>
          </w:p>
        </w:tc>
        <w:tc>
          <w:tcPr>
            <w:tcW w:w="1988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Hypertenzná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C84381">
              <w:rPr>
                <w:rFonts w:ascii="Times New Roman" w:hAnsi="Times New Roman"/>
                <w:color w:val="000000"/>
              </w:rPr>
              <w:t>kríza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3, 6</w:t>
            </w:r>
          </w:p>
          <w:p w:rsidR="00AE6E87" w:rsidRPr="00C84381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C84381">
              <w:rPr>
                <w:rFonts w:ascii="Times New Roman" w:hAnsi="Times New Roman"/>
                <w:i/>
                <w:iCs/>
                <w:color w:val="000000"/>
              </w:rPr>
              <w:t>Poruchy dýchacej sústavy, hrudníka a mediastína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Zívanie</w:t>
            </w:r>
          </w:p>
        </w:tc>
        <w:tc>
          <w:tcPr>
            <w:tcW w:w="2037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Zvieranie hrdla</w:t>
            </w:r>
          </w:p>
          <w:p w:rsidR="00AE6E87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Epistaxa</w:t>
            </w:r>
          </w:p>
        </w:tc>
        <w:tc>
          <w:tcPr>
            <w:tcW w:w="1988" w:type="dxa"/>
            <w:shd w:val="clear" w:color="auto" w:fill="auto"/>
          </w:tcPr>
          <w:p w:rsidR="00AE6E87" w:rsidRPr="00C84381" w:rsidRDefault="00602B4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Intersticiálna choroba pľúc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10</w:t>
            </w:r>
          </w:p>
          <w:p w:rsidR="00602B49" w:rsidRPr="00C84381" w:rsidRDefault="00602B4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Eozinofilná pneumónia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 xml:space="preserve">11   </w:t>
            </w: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gastrointestinálneho traktu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Nauzea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Sucho v ústach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Hnačka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brucha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Vracanie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Dyspepsia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Plynatosť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Gastrointestinálne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krvácanie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Gastroenteritída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Grganie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Dysfágia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Stomatitída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Hematochézia</w:t>
            </w:r>
          </w:p>
          <w:p w:rsidR="00E947C9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Zápach z</w:t>
            </w:r>
            <w:r w:rsidR="006103EB">
              <w:rPr>
                <w:rFonts w:ascii="Times New Roman" w:hAnsi="Times New Roman"/>
                <w:color w:val="000000"/>
              </w:rPr>
              <w:t> </w:t>
            </w:r>
            <w:r w:rsidRPr="00475FD4">
              <w:rPr>
                <w:rFonts w:ascii="Times New Roman" w:hAnsi="Times New Roman"/>
                <w:color w:val="000000"/>
              </w:rPr>
              <w:t>úst</w:t>
            </w:r>
          </w:p>
          <w:p w:rsidR="006103EB" w:rsidRPr="00602B49" w:rsidRDefault="006103EB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</w:rPr>
              <w:t>Mikroskopická kolitída</w:t>
            </w:r>
            <w:r w:rsidRPr="00C84381">
              <w:rPr>
                <w:rFonts w:ascii="Times New Roman" w:hAnsi="Times New Roman"/>
                <w:vertAlign w:val="superscript"/>
              </w:rPr>
              <w:t>9</w:t>
            </w: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pečene a žlčových ciest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Hepatitída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Zvýšené hladiny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pečeňových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enzýmov (ALT,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AST, alkalická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fosfatáza)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Akútne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poškodenie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pečene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Zlyhanie pečene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Žltačka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kože a podkožného tkaniva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Zvýšené potenie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Vyrážka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Nočné potenie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Urtikária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Kontaktná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dermatitída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Studený pot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Fotosenzitívne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reakcie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Zvýšený sklon k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tvorbe modrín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Stevensov-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Johnsonov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syndróm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Angioneurotický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edém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lastRenderedPageBreak/>
              <w:t>Kožná vaskulitída</w:t>
            </w: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kostrovej a svalovej sústavy a spojivového tkaniva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svalov 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kostí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Svalový kŕč</w:t>
            </w: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Napätie svalov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Zášklby svalov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Trizmus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obličiek a močových ciest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Dyzúria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Polakizúria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Zadržiavanie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moču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Močenie s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oneskoreným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štartom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Noktúria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Polyúria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Slabý prúd moču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zápach moču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reprodukčného systému a prsníkov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Erektilná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dysfunkcia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ejakulácie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Oneskorená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ejakulácia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Gynekologické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krvácanie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menštruácie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Sexuálna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dysfunkcia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Testikulárna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Menopauzálne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symptómy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Galaktorea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Hyperprolaktinémia</w:t>
            </w:r>
          </w:p>
          <w:p w:rsidR="00E947C9" w:rsidRPr="00475FD4" w:rsidRDefault="00B82153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Popôrodné krvácanie</w:t>
            </w:r>
            <w:r w:rsidRPr="00111480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Celkové poruchy a reakcie v mieste podania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Pády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8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Únava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v hrudi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Neobvyklé pocity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Pocit chladu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Smäd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Zimnica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Malátnosť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Pocit tepla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chôdze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Laboratórne a funkčné vyšetrenia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hmotnosti</w:t>
            </w: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Nárast hmotnosti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kreatinínfosfokinázy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 krvi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draslíka v krvi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cholesterolu v krvi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36EE2" w:rsidRPr="00C84381" w:rsidRDefault="00936EE2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tiež prípady kŕčov a tinitu po skončení liečby.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Hlavne na začiatku liečby boli hlásené prípady ortostatickej hypotenzie a synkopy.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Pozri časť 4.4.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prípady agresie a hnevu hlavne na začiatku liečby alebo po skončení liečby.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prípady samovražedných myšlienok a samovražedného správania počas liečby</w:t>
      </w:r>
    </w:p>
    <w:p w:rsidR="00810B0A" w:rsidRPr="00C84381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810B0A" w:rsidRPr="00C84381">
        <w:rPr>
          <w:rFonts w:ascii="Times New Roman" w:hAnsi="Times New Roman"/>
          <w:color w:val="000000"/>
          <w:sz w:val="20"/>
          <w:szCs w:val="20"/>
        </w:rPr>
        <w:t>duloxetínom alebo v krátkom čase po skončení liečby (pozri časť 4.4).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6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Odhado</w:t>
      </w:r>
      <w:r w:rsidR="00A2522F" w:rsidRPr="00C84381">
        <w:rPr>
          <w:rFonts w:ascii="Times New Roman" w:hAnsi="Times New Roman"/>
          <w:color w:val="000000"/>
          <w:sz w:val="20"/>
          <w:szCs w:val="20"/>
        </w:rPr>
        <w:t>vaná frekvencia na základe post</w:t>
      </w:r>
      <w:r w:rsidRPr="00C84381">
        <w:rPr>
          <w:rFonts w:ascii="Times New Roman" w:hAnsi="Times New Roman"/>
          <w:color w:val="000000"/>
          <w:sz w:val="20"/>
          <w:szCs w:val="20"/>
        </w:rPr>
        <w:t>marketingového sledovania nežiaducich reakcií:</w:t>
      </w:r>
    </w:p>
    <w:p w:rsidR="00810B0A" w:rsidRPr="00C84381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810B0A" w:rsidRPr="00C84381">
        <w:rPr>
          <w:rFonts w:ascii="Times New Roman" w:hAnsi="Times New Roman"/>
          <w:color w:val="000000"/>
          <w:sz w:val="20"/>
          <w:szCs w:val="20"/>
        </w:rPr>
        <w:t>nepozorované v placebom kontrolovaných klinických skúšaniach.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7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Nie je štatisticky významný rozdiel oproti placebu.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8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Pády boli častejšie u starších pacientov (</w:t>
      </w:r>
      <w:r w:rsidR="00A2522F" w:rsidRPr="00C84381">
        <w:rPr>
          <w:rFonts w:ascii="Times New Roman" w:hAnsi="Times New Roman"/>
          <w:color w:val="000000"/>
          <w:sz w:val="20"/>
          <w:szCs w:val="20"/>
        </w:rPr>
        <w:t xml:space="preserve">≥ </w:t>
      </w:r>
      <w:r w:rsidRPr="00C84381">
        <w:rPr>
          <w:rFonts w:ascii="Times New Roman" w:hAnsi="Times New Roman"/>
          <w:color w:val="000000"/>
          <w:sz w:val="20"/>
          <w:szCs w:val="20"/>
        </w:rPr>
        <w:t>65 rokov).</w:t>
      </w:r>
    </w:p>
    <w:p w:rsidR="006103EB" w:rsidRPr="00C84381" w:rsidRDefault="006103E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  <w:vertAlign w:val="superscript"/>
        </w:rPr>
        <w:t>9</w:t>
      </w:r>
      <w:r w:rsidRPr="00C84381">
        <w:rPr>
          <w:rFonts w:ascii="Times New Roman" w:hAnsi="Times New Roman"/>
          <w:sz w:val="20"/>
          <w:szCs w:val="20"/>
        </w:rPr>
        <w:t xml:space="preserve"> Odhadovaná frekvencia na základe údajov zo všetkých klinických skúšaní.</w:t>
      </w:r>
    </w:p>
    <w:p w:rsidR="00A2522F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iCs/>
          <w:color w:val="000000"/>
          <w:sz w:val="20"/>
          <w:szCs w:val="20"/>
          <w:vertAlign w:val="superscript"/>
        </w:rPr>
        <w:t>10</w:t>
      </w:r>
      <w:r w:rsidRPr="00C84381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C84381">
        <w:rPr>
          <w:rFonts w:ascii="Times New Roman" w:hAnsi="Times New Roman"/>
          <w:sz w:val="20"/>
          <w:szCs w:val="20"/>
        </w:rPr>
        <w:t>Odhadovaná frekvencia na základe klinických skúšaní kontrolovaných placebom.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  <w:vertAlign w:val="superscript"/>
        </w:rPr>
        <w:lastRenderedPageBreak/>
        <w:t>11</w:t>
      </w:r>
      <w:r w:rsidRPr="00C84381">
        <w:rPr>
          <w:rFonts w:ascii="Times New Roman" w:hAnsi="Times New Roman"/>
          <w:sz w:val="20"/>
          <w:szCs w:val="20"/>
        </w:rPr>
        <w:t xml:space="preserve"> Odhadovaná frekvencia nežiaducich reakcií zo sledovaní po uvedení lieku na trh, ktoré neboli 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</w:rPr>
        <w:t xml:space="preserve">   pozorované v klinických skúšaniach kontrolovaných placebom.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c. Opis vybraných nežiaducich reakcií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Vysadenie duloxetínu (hlavne náhle) vedie často k vzniku príznakov z vysadenia. Najčastejšie sú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hlásené tieto príznaky: závrat, senzorické poruchy (vrátane parestézie alebo vnemov ako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elektrickom šoku, najmä v hlave), poruchy spánku (vrátane insomnie a intenzívnych snov), únava,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ospalosť, agitovanosť alebo úzkosť, nauzea a/alebo vracanie, tras, bolesť hlavy, myalgia,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podráždenosť, hnačka a zvýšené potenie</w:t>
      </w:r>
      <w:r w:rsidR="009358A8">
        <w:rPr>
          <w:rFonts w:ascii="Times New Roman" w:hAnsi="Times New Roman"/>
          <w:color w:val="000000"/>
        </w:rPr>
        <w:t xml:space="preserve"> a vertigo</w:t>
      </w:r>
      <w:r w:rsidRPr="00843064">
        <w:rPr>
          <w:rFonts w:ascii="Times New Roman" w:hAnsi="Times New Roman"/>
          <w:color w:val="000000"/>
        </w:rPr>
        <w:t>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Zvyčajne sú tieto reakcie, v prípade SSRI a SNRI, slabé až mierne a samé odznejú, avšak u niektorých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môžu byť vážne a/alebo dlhšieho trvania. Preto sa odporúča, ak nie je liečba duloxetínom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ďalej potrebná, postupné vysadenie liečby znižovaním dávky (pozri časti 4.2 a 4.4).</w:t>
      </w:r>
    </w:p>
    <w:p w:rsidR="00A2522F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12-týždňovej akútnej fáze troch klinických štúdií s duloxetínom u pacientov trpiacich diabetickou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neuropatickou bolesťou došlo u pacientov liečených duloxetínom k miernemu, avšak štatisticky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významnému zvýšeniu hladiny glukózy v krvi nalačno. Hodnoty HbA1c boli stabilné aj u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liečených duloxetínom aj u pacientov s placebom. V následnej fáze týchto štúdií, ktorá trvala až 52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týždňov, sa objavilo v oboch skupinách pacientov zvýšenie hodnoty HbA1c, pričom priemerné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zvýšenie bolo o 0,3 % vyššie v skupine pacientov liečených duloxetínom. Zaznamenalo sa tiež mierne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zvýšenie glukózy v krvi nalačno a celkového cholesterolu u pacientov liečených duloxetínom, pričom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tieto laboratórne testy v kontrolnej skupine ukázali mierny pokles.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QT interval korigovaný podľa srdcovej frekvencie sa u pacientov liečených duloxetínom nelíšil od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toho zisteného u placebom liečených pacientov. V rámci porovnania pacientov liečených duloxetínom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pacientov liečených placebom pri meraniach QT, PR, QRS, a QTcB žiadne klinicky významné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rozdiely zistené neboli.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d. Pediatrická populácia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bolo duloxetínom liečených celkovo 509 pediatrických pacientov s veľkou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depresívnou poruchou vo veku 7 až 17 rokov a 241 pediatrických pacientov s generalizovanou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úzkostnou poruchou vo veku 7 až 17 rokov. Vo všeobecnosti bol profil nežiaducich reakcií duloxetínu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detí a dospievajúcich podobný tomu u dospelých.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6E3D5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Celko</w:t>
      </w:r>
      <w:r>
        <w:rPr>
          <w:rFonts w:ascii="Times New Roman" w:hAnsi="Times New Roman"/>
          <w:color w:val="000000"/>
        </w:rPr>
        <w:t>vo</w:t>
      </w:r>
      <w:r w:rsidRPr="0084306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u </w:t>
      </w:r>
      <w:r w:rsidR="00810B0A" w:rsidRPr="00843064">
        <w:rPr>
          <w:rFonts w:ascii="Times New Roman" w:hAnsi="Times New Roman"/>
          <w:color w:val="000000"/>
        </w:rPr>
        <w:t>467 pediatrických pacientov pôvodne randomizovaných na duloxetín v klinických štúdiách</w:t>
      </w:r>
    </w:p>
    <w:p w:rsidR="00810B0A" w:rsidRPr="001035AD" w:rsidRDefault="006E3D54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sa </w:t>
      </w:r>
      <w:r w:rsidRPr="001035AD">
        <w:rPr>
          <w:rFonts w:ascii="Times New Roman" w:hAnsi="Times New Roman"/>
          <w:color w:val="000000"/>
        </w:rPr>
        <w:t xml:space="preserve">zistilo </w:t>
      </w:r>
      <w:r w:rsidR="00810B0A" w:rsidRPr="001035AD">
        <w:rPr>
          <w:rFonts w:ascii="Times New Roman" w:hAnsi="Times New Roman"/>
          <w:color w:val="000000"/>
        </w:rPr>
        <w:t>zníženie hmotnosti v priemere o 0,1 kg počas 10 týždňov v porovnaní s nárastom v priemere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o 0,9 kg u 353 pacientov užívajúcich placebo. Následne počas 4- až 6-mesačnej predĺženej fázy mali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pacienti v priemere tendenciu k návratu k svojmu pôvodnému percentilu hmotnosti očakávanému na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základe populačných údajov o veku a pohlaví rovesníkov.</w:t>
      </w:r>
    </w:p>
    <w:p w:rsidR="00A2522F" w:rsidRPr="001035AD" w:rsidRDefault="00A2522F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V klinických štúdiách v trvaní najviac 9 mesiacov bol u pediatrických pacientov liečených</w:t>
      </w:r>
    </w:p>
    <w:p w:rsidR="00810B0A" w:rsidRPr="004E29FA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29FA">
        <w:rPr>
          <w:rFonts w:ascii="Times New Roman" w:hAnsi="Times New Roman"/>
          <w:color w:val="000000"/>
        </w:rPr>
        <w:t>duloxetínom v percentilovom grafe telesnej výšky pozorovaný celkový priemerný pokles o 1 %</w:t>
      </w:r>
    </w:p>
    <w:p w:rsidR="00810B0A" w:rsidRPr="007A44A4" w:rsidRDefault="00810B0A" w:rsidP="007A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A44A4">
        <w:rPr>
          <w:rFonts w:ascii="Times New Roman" w:hAnsi="Times New Roman"/>
          <w:color w:val="000000"/>
        </w:rPr>
        <w:t>(pokles o 2 % u detí (7-11 rokov) a nárast o 0,3 % u dospievajúcich (12-17 rokov)) (pozri časť 4.4).</w:t>
      </w:r>
    </w:p>
    <w:p w:rsidR="00A2522F" w:rsidRPr="007A44A4" w:rsidRDefault="00A2522F" w:rsidP="007A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82153" w:rsidRPr="00B82153" w:rsidRDefault="00B82153" w:rsidP="00B8215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B82153">
        <w:rPr>
          <w:rFonts w:ascii="Times New Roman" w:hAnsi="Times New Roman"/>
          <w:u w:val="single"/>
        </w:rPr>
        <w:t>Hlásenie podozrení na nežiaduce reakcie</w:t>
      </w:r>
    </w:p>
    <w:p w:rsidR="00B82153" w:rsidRPr="00B82153" w:rsidRDefault="00B82153" w:rsidP="00B82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B8215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B82153">
        <w:rPr>
          <w:rFonts w:ascii="Times New Roman" w:hAnsi="Times New Roman"/>
          <w:shd w:val="clear" w:color="auto" w:fill="C0C0C0"/>
        </w:rPr>
        <w:t>národné centrum hlásenia uvedené v </w:t>
      </w:r>
      <w:hyperlink r:id="rId6" w:history="1">
        <w:r w:rsidRPr="00B82153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B82153">
        <w:rPr>
          <w:rStyle w:val="Hypertextovprepojenie"/>
          <w:rFonts w:ascii="Times New Roman" w:hAnsi="Times New Roman"/>
        </w:rPr>
        <w:t>.</w:t>
      </w:r>
    </w:p>
    <w:p w:rsidR="00A2522F" w:rsidRPr="00B82153" w:rsidRDefault="00A2522F" w:rsidP="00B821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B82153" w:rsidRDefault="00810B0A" w:rsidP="00B821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B82153">
        <w:rPr>
          <w:rFonts w:ascii="Times New Roman" w:hAnsi="Times New Roman"/>
          <w:b/>
          <w:bCs/>
          <w:color w:val="000000"/>
        </w:rPr>
        <w:t xml:space="preserve">4.9 </w:t>
      </w:r>
      <w:r w:rsidR="00942017" w:rsidRPr="00B82153">
        <w:rPr>
          <w:rFonts w:ascii="Times New Roman" w:hAnsi="Times New Roman"/>
          <w:b/>
          <w:bCs/>
          <w:color w:val="000000"/>
        </w:rPr>
        <w:tab/>
      </w:r>
      <w:r w:rsidRPr="00B82153">
        <w:rPr>
          <w:rFonts w:ascii="Times New Roman" w:hAnsi="Times New Roman"/>
          <w:b/>
          <w:bCs/>
          <w:color w:val="000000"/>
        </w:rPr>
        <w:t>Predávkovanie</w:t>
      </w:r>
    </w:p>
    <w:p w:rsidR="00942017" w:rsidRPr="007A44A4" w:rsidRDefault="00942017" w:rsidP="007A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C055A" w:rsidRDefault="00810B0A" w:rsidP="007A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A44A4">
        <w:rPr>
          <w:rFonts w:ascii="Times New Roman" w:hAnsi="Times New Roman"/>
          <w:color w:val="000000"/>
        </w:rPr>
        <w:t>Zaznamenali sa prípady</w:t>
      </w:r>
      <w:r w:rsidRPr="008C055A">
        <w:rPr>
          <w:rFonts w:ascii="Times New Roman" w:hAnsi="Times New Roman"/>
          <w:color w:val="000000"/>
        </w:rPr>
        <w:t xml:space="preserve"> predávkovania duloxetínom samotným alebo v kombinácii s inými liekmi,</w:t>
      </w:r>
    </w:p>
    <w:p w:rsidR="00810B0A" w:rsidRPr="00843064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C055A">
        <w:rPr>
          <w:rFonts w:ascii="Times New Roman" w:hAnsi="Times New Roman"/>
          <w:color w:val="000000"/>
        </w:rPr>
        <w:t>v dávke 5 400 mg. Vyskytlo sa i niekoľko prípadov úmrtia, najmä</w:t>
      </w:r>
      <w:r w:rsidRPr="00843064">
        <w:rPr>
          <w:rFonts w:ascii="Times New Roman" w:hAnsi="Times New Roman"/>
          <w:color w:val="000000"/>
        </w:rPr>
        <w:t xml:space="preserve"> pri predávkovaní kombináciou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liekov, ale aj pri predávkovaní samotným duloxetínom v dávke približne 1000 mg. Príznaky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symptómy predávkovania (samotným duloxetínom alebo v kombinácii s inými liekmi) zahŕňajú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somnolenciu, kómu, sérotonínový syndróm, záchvaty, vracanie a tachykardiu.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>Nie je známe žiadne špecifické antidotum duloxetínu, ale ak sa vyskytne sérotonínový syndróm, má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zvážiť špecifická liečba (ako je cyproheptadín a/alebo kontrola teploty). Je potrebné zabezpečiť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priechodnosť dýchacích ciest. Zároveň sa odporúča monitorovať funkciu srdca ako aj všetky vitálne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funkcie, spolu s náležitými symptomatickými a podpornými opatreniami. Výplach žalúdka sa môže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indikovať, ak je prevedený ihneď po požití alebo u symptomatických pacientov. Aktívne uhlie môže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byť prospešné na obmedzenie absorpcie. Duloxetín má rozsiahly objem distribúcie a je málo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pravdepodobné, že by forsírovaná diuréza, hemoperfúzia či výmenná perfúzia mohli byť v tomto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prípade prospešné.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 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FARMAKOLOGICKÉ VLASTNOSTI</w:t>
      </w:r>
    </w:p>
    <w:p w:rsidR="00942017" w:rsidRPr="00C84381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5.1 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Farmakodynamické vlastnosti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Farmakoterapeutická skupina: </w:t>
      </w:r>
      <w:r w:rsidR="00942017">
        <w:rPr>
          <w:rFonts w:ascii="Times New Roman" w:hAnsi="Times New Roman"/>
          <w:color w:val="000000"/>
        </w:rPr>
        <w:t>Psychoanaleptiká, i</w:t>
      </w:r>
      <w:r w:rsidRPr="00843064">
        <w:rPr>
          <w:rFonts w:ascii="Times New Roman" w:hAnsi="Times New Roman"/>
          <w:color w:val="000000"/>
        </w:rPr>
        <w:t>né antidepresíva. ATC kód: N06AX21.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Mechanizmus účinku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je kombinovaný inhibítor spätného vychytávania sérotonínu (5-HT) a noradrenalínu (NA).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Slabo inhibuje spätné vychytávanie dopamínu, bez významnej afinity k histamínovým,</w:t>
      </w:r>
    </w:p>
    <w:p w:rsidR="00810B0A" w:rsidRPr="00843064" w:rsidRDefault="002A338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dopaminerg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>ým</w:t>
      </w:r>
      <w:r w:rsidR="00810B0A" w:rsidRPr="00843064">
        <w:rPr>
          <w:rFonts w:ascii="Times New Roman" w:hAnsi="Times New Roman"/>
          <w:color w:val="000000"/>
        </w:rPr>
        <w:t xml:space="preserve">, </w:t>
      </w:r>
      <w:r w:rsidRPr="00843064">
        <w:rPr>
          <w:rFonts w:ascii="Times New Roman" w:hAnsi="Times New Roman"/>
          <w:color w:val="000000"/>
        </w:rPr>
        <w:t>cholinerg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ým </w:t>
      </w:r>
      <w:r w:rsidR="00810B0A" w:rsidRPr="00843064">
        <w:rPr>
          <w:rFonts w:ascii="Times New Roman" w:hAnsi="Times New Roman"/>
          <w:color w:val="000000"/>
        </w:rPr>
        <w:t xml:space="preserve">a </w:t>
      </w:r>
      <w:r w:rsidR="003B2B90" w:rsidRPr="00843064">
        <w:rPr>
          <w:rFonts w:ascii="Times New Roman" w:hAnsi="Times New Roman"/>
          <w:color w:val="000000"/>
        </w:rPr>
        <w:t>adrenerg</w:t>
      </w:r>
      <w:r w:rsidR="003B2B90">
        <w:rPr>
          <w:rFonts w:ascii="Times New Roman" w:hAnsi="Times New Roman"/>
          <w:color w:val="000000"/>
        </w:rPr>
        <w:t>n</w:t>
      </w:r>
      <w:r w:rsidR="003B2B90" w:rsidRPr="00843064">
        <w:rPr>
          <w:rFonts w:ascii="Times New Roman" w:hAnsi="Times New Roman"/>
          <w:color w:val="000000"/>
        </w:rPr>
        <w:t xml:space="preserve">ým </w:t>
      </w:r>
      <w:r w:rsidR="00810B0A" w:rsidRPr="00843064">
        <w:rPr>
          <w:rFonts w:ascii="Times New Roman" w:hAnsi="Times New Roman"/>
          <w:color w:val="000000"/>
        </w:rPr>
        <w:t>receptorom. V závislosti od dávky zvyšuje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extracelulárne hladiny sérotonínu a noradrenalínu v rozličných častiach mozgu zvierat.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Farmakodynamick</w:t>
      </w:r>
      <w:r w:rsidR="00942017" w:rsidRPr="00942017">
        <w:rPr>
          <w:rFonts w:ascii="Times New Roman" w:hAnsi="Times New Roman"/>
          <w:color w:val="000000"/>
          <w:u w:val="single"/>
        </w:rPr>
        <w:t>é</w:t>
      </w:r>
      <w:r w:rsidRPr="00942017">
        <w:rPr>
          <w:rFonts w:ascii="Times New Roman" w:hAnsi="Times New Roman"/>
          <w:color w:val="000000"/>
          <w:u w:val="single"/>
        </w:rPr>
        <w:t xml:space="preserve"> účink</w:t>
      </w:r>
      <w:r w:rsidR="00942017" w:rsidRPr="00942017">
        <w:rPr>
          <w:rFonts w:ascii="Times New Roman" w:hAnsi="Times New Roman"/>
          <w:color w:val="000000"/>
          <w:u w:val="single"/>
        </w:rPr>
        <w:t>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predklinických modeloch neuropatickej a zápalovej bolesti duloxetín normalizoval prah bolesti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v rámci modelu perzistujúcej bolesti zmierňoval bolestivé reagovanie. Predpokladá sa, že inhibičný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účinok duloxetínu na bolesť je dôsledkom potenciácie zostupných bolesť inhibujúcich dráh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centrálnom nervovom systéme.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Klinická účinnosť a bezpečnosť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Veľká depresívna porucha: </w:t>
      </w:r>
      <w:r w:rsidRPr="00843064">
        <w:rPr>
          <w:rFonts w:ascii="Times New Roman" w:hAnsi="Times New Roman"/>
          <w:color w:val="000000"/>
        </w:rPr>
        <w:t>Duloxetín bol skúmaný v klinickom programe, do ktorého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zaradených 3 158 pacientov (1 285 pacientskych rokov expozície), ktorí spĺňali kritériá DSM-IV pre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veľkú depresívnu poruchu. Účinnosť duloxetínu pri odporúčanej dávke 60 mg jedenkrát denne bola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preukázaná v troch z troch randomizovaných, dvojito zaslepených, placebom kontrolovaných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akútnych (krátkodobých) štúdií s pevne stanovenou dávkou u dospelých ambulantných pacientov 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veľkou depresívnou poruchou. Celkovo sa účinnosť duloxetínu preukázala pri denných dávkach 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rozmedzí od 60 do 120 mg v celkovo piatich zo siedmich randomizovaných, dvojito zaslepených,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kontrolovaných akútnych (krátkodobých) štúdií s pevne stanovenou dávkou u dospelých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ambulantných pacientov s veľkou depresívnou poruchou.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preukázal štatistickú prevahu nad placebom pri meraní zlepšenia celkového skóre 17-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bodovej Hamiltonovej škály na posudzovanie depresie (HAM-D) (vrátane emočných aj somatických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symptómov depresie). Miera odpovede na liečbu a remisie bola taktiež štatisticky významne vyššia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duloxetíne ako pri placebe. Iba malá časť pacientov zahrnutých do pilotných klinických štúdií mala</w:t>
      </w:r>
    </w:p>
    <w:p w:rsidR="00810B0A" w:rsidRDefault="006E3D5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ťažkú </w:t>
      </w:r>
      <w:r w:rsidR="00810B0A" w:rsidRPr="00843064">
        <w:rPr>
          <w:rFonts w:ascii="Times New Roman" w:hAnsi="Times New Roman"/>
          <w:color w:val="000000"/>
        </w:rPr>
        <w:t>depresiu (vstupné skóre HAM-D</w:t>
      </w:r>
      <w:r w:rsidR="00942017">
        <w:rPr>
          <w:rFonts w:ascii="Times New Roman" w:hAnsi="Times New Roman"/>
          <w:color w:val="000000"/>
        </w:rPr>
        <w:t xml:space="preserve"> </w:t>
      </w:r>
      <w:r w:rsidR="00942017">
        <w:rPr>
          <w:rFonts w:ascii="Times New Roman" w:eastAsia="SymbolMT" w:hAnsi="Times New Roman"/>
          <w:color w:val="000000"/>
        </w:rPr>
        <w:t xml:space="preserve">&gt; </w:t>
      </w:r>
      <w:r w:rsidR="00810B0A" w:rsidRPr="00843064">
        <w:rPr>
          <w:rFonts w:ascii="Times New Roman" w:hAnsi="Times New Roman"/>
          <w:color w:val="000000"/>
        </w:rPr>
        <w:t>25).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zameranej na prevenciu relapsu boli pacienti reagujúci na 12-týždňovú otvorenú akútnu liečbu</w:t>
      </w:r>
      <w:r w:rsidR="007A44A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duloxetínom v dávke 60 mg jedenkrát denne randomizovaní k užívaniu duloxetínu 60 mg jedenkrát</w:t>
      </w:r>
      <w:r w:rsidR="007A44A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denne alebo užívaniu placeba po ďalších 6-mesiacov. Duloxetín v dávke 60 mg jedenkrát denne</w:t>
      </w:r>
      <w:r w:rsidR="007A44A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preukázal štatisticky signifikantnú prevahu nad placebom (p=0,004) v hodnotení hlavného cieľa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štúdie, prevencie relapsu depresie, hodnoteného časom do relapsu. Incidencia relapsu počas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nasledovného 6-mesačného dvojito zaslepeného obdobia bola 17 % a 29 % v prípade duloxetínu, resp.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52 týždennej placebom kontrolovanej dvojito zaslepenej štúdie mali pacienti s rekurentnou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veľkou depresívnou poruchou liečení duloxetínom v porovnaní s pacientmi liečenými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podstatne dlhšie (p &lt; 0,001) obdobie bez príznakov. Všetci pacienti odpovedali na duloxetín počas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predošlej otvorenej (open-label) liečby s dávkou 60 až 120 mg/deň počas 28 až 34 týždňov. 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>priebehu 52 týždennej placebom kontrolovanej dvojito zaslepenej liečby sa vrátili príznaky depresie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14,4 % pacientov liečených duloxetínom a 33,1 % pacientov liečených placebom (p &lt; 0,001).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Účinok duloxetínu 60 mg raz denne u starších depresívnych pacientov (</w:t>
      </w:r>
      <w:r w:rsidR="00942017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65 rokov) bol konkrétne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hodnotený v štúdii, ktorá preukázala štatisticky významný rozdiel v redukcii HAMD17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liečených duloxetínom v porovnaní s placebom. Tolerabilita duloxetínu 60 mg raz denne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starších pacientov bola porovnateľná s tou pozorovanou u mladších pacientov. Avšak, údaje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 starších pacientoch vystavených maximálnej dávke (120 mg denne) sú obmedzené a preto sa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liečbe tejto populácie odporúča opatrnosť.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Generalizovaná úzkostná porucha: </w:t>
      </w:r>
      <w:r w:rsidRPr="00843064">
        <w:rPr>
          <w:rFonts w:ascii="Times New Roman" w:hAnsi="Times New Roman"/>
          <w:color w:val="000000"/>
        </w:rPr>
        <w:t>Duloxetín preukázal štatisticky významnú prevahu nad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piatich z piatich štúdií vrátane štyroch randomizovaných, dvojito zaslepených,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akútnych štúdií a štúdie na prevenciu relapsu u dospelých pacientov s generalizovanou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úzkostnou poruchou.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preukázal štatisticky významnú prevahu nad placebom meranú zlepšením celkového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Hamiltonovej škále na posudzovanie úzkosti (Hamilton Anxiety Scale, HAM-A) a celkového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funkčného poškodenia na Sheehanovej škále (Sheehan Disability Scale, SDS). Miera odpovede na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liečbu a </w:t>
      </w:r>
      <w:r w:rsidR="001C6C4C" w:rsidRPr="00843064">
        <w:rPr>
          <w:rFonts w:ascii="Times New Roman" w:hAnsi="Times New Roman"/>
          <w:color w:val="000000"/>
        </w:rPr>
        <w:t>remisi</w:t>
      </w:r>
      <w:r w:rsidR="001C6C4C">
        <w:rPr>
          <w:rFonts w:ascii="Times New Roman" w:hAnsi="Times New Roman"/>
          <w:color w:val="000000"/>
        </w:rPr>
        <w:t>a</w:t>
      </w:r>
      <w:r w:rsidR="001C6C4C" w:rsidRPr="00843064">
        <w:rPr>
          <w:rFonts w:ascii="Times New Roman" w:hAnsi="Times New Roman"/>
          <w:color w:val="000000"/>
        </w:rPr>
        <w:t xml:space="preserve"> bol</w:t>
      </w:r>
      <w:r w:rsidR="001C6C4C">
        <w:rPr>
          <w:rFonts w:ascii="Times New Roman" w:hAnsi="Times New Roman"/>
          <w:color w:val="000000"/>
        </w:rPr>
        <w:t>i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taktiež vyššia pri duloxetíne ako pri placebe. Duloxetín preukázal porovnateľnú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účinnosť s venlafaxínom, čo sa týka zlepšení celkového skóre HAM-A.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zameranej na prevenciu relapsu boli pacienti s odpoveďou na 6-mesačnú otvorenú akútnu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liečbu duloxetínom randomizovaní k užívaniu duloxetínu alebo placeba počas ďalších 6 mesiacov.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v dávke 60 mg až 120 mg jedenkrát denne preukázal štatisticky významnú prevahu nad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(p&lt;0,001) v prevencii relapsu, ktorá bola hodnotená časom do relapsu. Incidencia relapsu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nasledujúceho 6-mesačného dvojito zaslepeného obdobia bola 14 % pre duloxetín a 42 % pre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klinickom skúšaní sa vyhodnotila účinnosť duloxetínu 30-120 mg (vo flexibilnom dávkovaní) raz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denne u starších pacientov (&gt;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65 rokov) s generalizovanou úzkostnou poruchou a preukázala štatisticky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signifikantné zlepšenie celkového HAM-A skóre u pacientov liečených duloxetínom oproti pacientom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liečeným placebom. Účinnosť a bezpečnosť duloxetínu 30-120 mg raz denne u starších pacientov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s generalizovanou úzkostnou poruchou boli podobné ako v štúdiách s mladšími dospelými pacientmi.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Avšak údaje o starších pacientoch vystavených maximálnej dávke (120 mg denne) sú obmedzené,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 preto sa odporúča na liečbu starších pacientov touto dávkou pristupovať s opatrnosťou.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Diabetická periférna neuropatická bolesť: </w:t>
      </w:r>
      <w:r w:rsidRPr="00843064">
        <w:rPr>
          <w:rFonts w:ascii="Times New Roman" w:hAnsi="Times New Roman"/>
          <w:color w:val="000000"/>
        </w:rPr>
        <w:t>Účinnosť duloxetínu v liečbe diabetickej neuropatickej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bolesti bola preukázaná v dvoch randomizovaných, 12 týždňov trvajúcich, dvojito zaslepených,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kontrolovaných štúdiách s pevne stanovenou dávkou u dospelých (22 až 88 rokov), ktorí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minimálne 6 mesiacov trpia diabetickou neuropatickou bolesťou. Pacienti, ktorí spĺňali diagnostické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kritériá pre veľkú depresívnu poruchu boli z týchto výskumných štúdií vylúčení. Primárnym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parametrom bola týždenná stredná hodnota 24-hodinovej priemernej bolesti, ktorú pacienti hodnotili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11 bodovej Likertovej škále pričom si záznamy zapisovali do denníka.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oboch štúdiách duloxetín v dávke 60 mg raz denne a 60 mg dvakrát denne viedol, v porovnaní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placebom, k signifikantnému zmierneniu bolesti. U niektorých pacientov bol tento efekt zjavný už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priebehu prvého týždňa liečby. Rozdiel priemerného zlepšenia pri porovnaní oboch uvedených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aktívnych ramien liečby nebol významný. Redukciu bolesti o minimálne 30 % uviedlo približne 65 %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liečených duloxetínom v porovnaní so 40 % pacientov liečených placebom. Počty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zodpovedajúce aspoň 50 % redukcii bolesti boli 50 % a 26 %. Hodnoty klinickej odpovede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(zmiernenie bolesti o 50 % a viac) boli analyzované s ohľadom na to, či pacient v priebehu liečby trpel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spavosťou alebo nie. Z pacientov, ktorí netrpeli spavosťou bola klinická odpoveď zaznamenaná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47 % pacientov užívajúcich duloxetín a u 27 % pacientov užívajúcich placebo. Podiel klinickej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odpovede u pacientov, ktorí zaznamenali problémy so spavosťou bol 60 % pri duloxetíne a 30 %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placebe. U pacientov, ktorí v priebehu 60 dní nezaznamenali zmiernenie bolesti ani o 30 %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takéto zlepšenie v priebehu ďalšej liečby nepravdepodobné.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dlhodobej otvorenej nekontrolovanej štúdii pretrvávalo zmenšenie bolesti u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>odpovedajúcich na 8-týždennú liečbu duloxetínom 60 mg raz denne počas nasledujúcich 6 mesiacov,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podľa merania zmeny skóre položky „24-hodinová priemerná bolesť“ na škále Brief Pain Inventory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(BPI).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Pediatrická populácia</w:t>
      </w:r>
    </w:p>
    <w:p w:rsid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Neboli vykonané štúdie s duloxetínom u pacientov mladších ako 7 rokov. 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Boli vykonané dve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randomizované, dvojito zaslepené paralelné klinické štúdie s 800 pediatrickými pacientmi s</w:t>
      </w:r>
      <w:r w:rsidR="00942017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veľkou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depresívnou poruchou vo veku 7-17 rokov (pozri časť 4.2). Tieto dve štúdie zahŕňali 10-týždňovú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placebom a aktívnou látkou (fluoxetínom) kontrolovanú fázu, po ktorej nasledovala 6-mesačná fáza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aktívne kontrolovanej pokračovacej liečby. Ani duloxetín (30 – 120 mg) ani aktívne kontrolované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rameno (fluoxetín 20 - 40 mg) sa štatisticky neodlíšili od placeba v zmene celkového skóre CDRS-R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(Children´s Depression Rating Scale-Revised) od začiatku až do konca. Ukončenie skúšania z</w:t>
      </w:r>
      <w:r w:rsidR="00942017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dôvodu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nežiaducich účinkov, najmä kvôli nauzei, bol vyšší u pacientov užívajúcich duloxetín ako u tých, čo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užívali fluoxetín. Počas 10-týždňovej liečebnej časti akútnej liečby bolo hlásené suicidálne správanie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(duloxetín 0/333 [0 %], fluoxetín 2/225 [0,9 %], placebo 1/220 [0,5 %]). Počas celého 36-týždňového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trvania štúdie, 6 z 333 pacientov pôvodne randomizovaných na duloxetín a 3 z 225 pôvodne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randomizovaných na fluoxetín zaznamenali suicidálne správanie (incidencia upravená podľa expozície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0,039 udalostí na </w:t>
      </w:r>
      <w:r w:rsidR="00CF42E1" w:rsidRPr="00843064">
        <w:rPr>
          <w:rFonts w:ascii="Times New Roman" w:hAnsi="Times New Roman"/>
          <w:color w:val="000000"/>
        </w:rPr>
        <w:t>pacientsk</w:t>
      </w:r>
      <w:r w:rsidR="00CF42E1">
        <w:rPr>
          <w:rFonts w:ascii="Times New Roman" w:hAnsi="Times New Roman"/>
          <w:color w:val="000000"/>
        </w:rPr>
        <w:t>ý</w:t>
      </w:r>
      <w:r w:rsidR="00CF42E1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rok u duloxetínu a 0,026 u fluoxetínu). Navyše jeden pacient, ktorý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prešiel z placeba na duloxetín zakúsil suicidálne správanie v čase, keď užíval duloxetín.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Randomizovaného, dvojito zaslepeného, placebom kontrolovaného klinického skúšania sa zúčastnilo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272 pacientov vo veku 7-17 rokov s generalizovanou úzkostnou poruchou (GAD). Klinické skúšanie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zahŕňalo 10-týždňovú placebom kontrolovanú akútnu fázu, po ktorej nasledovala 18-týždňová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predĺžená fáza. V tomto klinickom skúšaní bol použitý flexibilný dávkovací režim, aby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umožnené pomalé zvyšovanie dávky z 30 mg jedenkrát denne na vyššie dávky (najviac 120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denne). Liečba duloxetínom ukázala po 10 týždňoch liečby štatisticky výrazne vyššie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zlepšenie príznakov GAD, pri meraní pomocou skóre závažnosti PARS pre GAD (priemerný rozdiel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medzi duloxetínom a placebom bol 2,7 bodov [95 % CI 1,3-4,0]) po 10 týždňoch liečby. Pretrvanie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účinku nebolo hodnotené. Počas 10-týždňovej fázy akútnej liečby sa neukázal žiaden štatisticky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významný rozdiel v prerušení liečby z dôvodu nežiaducich reakcií medzi skupinami s duloxetínom 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placebom. U dvoch pacientov, ktorí prešli po akútnej liečbe z placeba na duloxetín, sa počas užívania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v predĺženej fáze vyskytlo samovražedné správanie. Závery vzhľadom na celkový pomer</w:t>
      </w:r>
    </w:p>
    <w:p w:rsidR="00810B0A" w:rsidRPr="00B82153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prínosu a </w:t>
      </w:r>
      <w:r w:rsidRPr="00B82153">
        <w:rPr>
          <w:rFonts w:ascii="Times New Roman" w:hAnsi="Times New Roman"/>
          <w:color w:val="000000"/>
        </w:rPr>
        <w:t>rizika neboli pre túto vekovú skupinu stanovené (pozri tiež časti 4.2 a 4.8).</w:t>
      </w:r>
    </w:p>
    <w:p w:rsidR="00B82153" w:rsidRPr="00B82153" w:rsidRDefault="00B8215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82153" w:rsidRPr="00111480" w:rsidRDefault="00B8215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11480">
        <w:rPr>
          <w:rFonts w:ascii="Times New Roman" w:hAnsi="Times New Roman"/>
        </w:rPr>
        <w:t>U pediatrických pacientov s juvenilným primárnym fibromyalgickým syndrómom (juvenile primary fibromyalgia syndrome, JPFS) sa uskutočnila jediná štúdia, v ktorej sa skupina liečená duloxetínom neodseparovala od placebovej skupiny pri primárnom meraní účinnosti. Z tohto dôvodu nie sú dôkazy o účinnosti u tejto populácie pediatrických pacientov. Randomizovaná, dvojito zaslepená, placebom kontrolovaná, paralelná štúdia duloxetínu bola vykonaná u 184 adolescentov vo veku 13 až 18 rokov (priemerný vek 15,53 rokov) s JPFS. Štúdia zahŕňala 13-týždňové dvojito zaslepené obdobie, v ktorom boli pacienti randomizovaní na duloxetín 30 mg/60 mg denne alebo placebo. Duloxetín nepreukázal účinnosť pri znižovaní bolesti, meranej na základe primárneho výsledku priemerného koncového ukazovateľa skóre BPI (Brief Pain Inventory): priemerná zmena najmenších štvorcov (LS) v priemernom skóre BPI po 13 týždňoch v porovnaní s východiskovým stavom BPI v bola -0,97 v skupine s placebom, v porovnaní s -1,62 v skupine s duloxetínom 30/60 mg (p = 0,052). Výsledky bezpečnosti z tejto štúdie boli v súlade so známym bezpečnostným profilom duloxetínu.</w:t>
      </w:r>
    </w:p>
    <w:p w:rsidR="00B82153" w:rsidRPr="00B82153" w:rsidRDefault="00B8215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B82153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82153">
        <w:rPr>
          <w:rFonts w:ascii="Times New Roman" w:hAnsi="Times New Roman"/>
          <w:color w:val="000000"/>
        </w:rPr>
        <w:t>Európska lieková agentúra udelila výnimku z povinnosti predložiť výsledky štúdií pre duloxetín</w:t>
      </w:r>
    </w:p>
    <w:p w:rsidR="00810B0A" w:rsidRPr="00B82153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82153">
        <w:rPr>
          <w:rFonts w:ascii="Times New Roman" w:hAnsi="Times New Roman"/>
          <w:color w:val="000000"/>
        </w:rPr>
        <w:t>s ohľadom na všetky vekové podskupiny detí a dospievajúcich v liečbe veľkej depresívnej poruchy,</w:t>
      </w:r>
    </w:p>
    <w:p w:rsidR="00810B0A" w:rsidRPr="00B82153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82153">
        <w:rPr>
          <w:rFonts w:ascii="Times New Roman" w:hAnsi="Times New Roman"/>
          <w:color w:val="000000"/>
        </w:rPr>
        <w:t>diabetickej neuropatickej bolesti a generalizovanej úzkostnej poruchy. Pozri časť 4.2 pre informáciu</w:t>
      </w:r>
    </w:p>
    <w:p w:rsidR="00810B0A" w:rsidRPr="00B82153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82153">
        <w:rPr>
          <w:rFonts w:ascii="Times New Roman" w:hAnsi="Times New Roman"/>
          <w:color w:val="000000"/>
        </w:rPr>
        <w:t>o pediatrickom použití.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>5.2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Farmakokinetické vlastnosti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podáva ako samostatný enantiomér. Duloxetín sa extenzívne metabolizuje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>prostredníctvom oxidatívnych enzýmov (CYP1A2 a polymorfný CYP2D6) s následnou konjugáciou.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Farmakokinetika duloxetínu preukazuje veľkú interindividuálnu variabilitu (všeobecne 50–60 %),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čiastočne v súvislosti s pohlavím, vekom, fajčiarskymi návykmi a </w:t>
      </w:r>
      <w:r w:rsidR="001C6C4C">
        <w:rPr>
          <w:rFonts w:ascii="Times New Roman" w:hAnsi="Times New Roman"/>
          <w:color w:val="000000"/>
        </w:rPr>
        <w:t>typom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metabolizéra CYP2D6.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Absorpcia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 perorálnom podaní dobre vstrebáva, pričom k C</w:t>
      </w:r>
      <w:r w:rsidRPr="00942017">
        <w:rPr>
          <w:rFonts w:ascii="Times New Roman" w:hAnsi="Times New Roman"/>
          <w:color w:val="000000"/>
          <w:vertAlign w:val="subscript"/>
        </w:rPr>
        <w:t>max</w:t>
      </w:r>
      <w:r w:rsidRPr="00843064">
        <w:rPr>
          <w:rFonts w:ascii="Times New Roman" w:hAnsi="Times New Roman"/>
          <w:color w:val="000000"/>
        </w:rPr>
        <w:t xml:space="preserve"> dochádza 6 hodín po podaní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dávky. Absolútna perorálna biologická dostupnosť duloxetínu je 32% až 80% (priemer 50%). Potrava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predlžuje čas potrebný na dosiahnutie najvyššej koncentrácie zo 6 na 10 hodín a okrajovo zmenšuje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rozsah absorpcie (približne 11%). Tieto zmeny nemajú žiadnu klinickú významnosť.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Distribúcia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priemerne v 96% viaže na proteíny v ľudskej plazme. Duloxetín sa viaže tak na albumín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ako aj na alfa-1-kyslý glykoproteín. Väzba na proteíny nie je ovplyvnená poškodením obličiek či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pečene.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Biotransformácia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extenzívne metabolizuje a jeho metabolity sa vylučujú predovšetkým močom. Oba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cytochrómy P450–2D6 ako aj 1A2 katalyzujú tvorbu dvoch hlavných metabolitov, glukuronidového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konjugátu 4-hydroxyduloxetínu a sulfátového konjugátu 5-hydroxy 6-metoxyduloxetínu. Vychádzajúc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zo štúdií </w:t>
      </w:r>
      <w:r w:rsidRPr="00843064">
        <w:rPr>
          <w:rFonts w:ascii="Times New Roman" w:hAnsi="Times New Roman"/>
          <w:i/>
          <w:iCs/>
          <w:color w:val="000000"/>
        </w:rPr>
        <w:t>in vitro</w:t>
      </w:r>
      <w:r w:rsidRPr="00843064">
        <w:rPr>
          <w:rFonts w:ascii="Times New Roman" w:hAnsi="Times New Roman"/>
          <w:color w:val="000000"/>
        </w:rPr>
        <w:t>, cirkulujúce metabolity duloxetínu sú považované za farmakologicky neaktívne.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Farmakokinetika duloxetínu u pacientov, ktorí sú slabými metabolizérmi CYP2D6, nebola špecificky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sledovaná. Obmedzené údaje naznačujú, že plazmatické hladiny duloxetínu sú u týchto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vyššie.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Eliminácia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Polčas eliminácie duloxetínu sa pohybuje v rozmedzí od 8 do 17 hodín (priemerne 12 hodín).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Plazmatický klírens po intravenóznej aplikácii dávky sa pohybuje v rozpätí 22 l/h až 46 l/h (priemerne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36 l/h). Zdanlivý plazmatický klírens duloxetínu po perorálnom podaní sa pohybuje od 33 to 261 l/h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(priemer 101 l/h).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E2805">
        <w:rPr>
          <w:rFonts w:ascii="Times New Roman" w:hAnsi="Times New Roman"/>
          <w:i/>
          <w:iCs/>
          <w:color w:val="000000"/>
        </w:rPr>
        <w:t>Osobitné skupiny pacientov: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Pohlavie: </w:t>
      </w:r>
      <w:r w:rsidRPr="00843064">
        <w:rPr>
          <w:rFonts w:ascii="Times New Roman" w:hAnsi="Times New Roman"/>
          <w:color w:val="000000"/>
        </w:rPr>
        <w:t>medzi mužmi a ženami boli zistené farmakokinetické rozdiely (zdanlivý plazmatický klírens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 u žien asi o 50% nižší). Vychádzajúc z prekrývania sa rozmedzia klírensu, farmakokinetické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rozdiely na základe pohlavia </w:t>
      </w:r>
      <w:r w:rsidR="001C6C4C" w:rsidRPr="00843064">
        <w:rPr>
          <w:rFonts w:ascii="Times New Roman" w:hAnsi="Times New Roman"/>
          <w:color w:val="000000"/>
        </w:rPr>
        <w:t>n</w:t>
      </w:r>
      <w:r w:rsidR="001C6C4C">
        <w:rPr>
          <w:rFonts w:ascii="Times New Roman" w:hAnsi="Times New Roman"/>
          <w:color w:val="000000"/>
        </w:rPr>
        <w:t>ie sú dostatočný</w:t>
      </w:r>
      <w:r w:rsidR="000570A9">
        <w:rPr>
          <w:rFonts w:ascii="Times New Roman" w:hAnsi="Times New Roman"/>
          <w:color w:val="000000"/>
        </w:rPr>
        <w:t>m</w:t>
      </w:r>
      <w:r w:rsidR="001C6C4C">
        <w:rPr>
          <w:rFonts w:ascii="Times New Roman" w:hAnsi="Times New Roman"/>
          <w:color w:val="000000"/>
        </w:rPr>
        <w:t xml:space="preserve"> dôvod</w:t>
      </w:r>
      <w:r w:rsidR="000570A9">
        <w:rPr>
          <w:rFonts w:ascii="Times New Roman" w:hAnsi="Times New Roman"/>
          <w:color w:val="000000"/>
        </w:rPr>
        <w:t>om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 odporúčaniu užívania nižších dávok u pacientok.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Vek</w:t>
      </w:r>
      <w:r w:rsidRPr="00843064">
        <w:rPr>
          <w:rFonts w:ascii="Times New Roman" w:hAnsi="Times New Roman"/>
          <w:color w:val="000000"/>
        </w:rPr>
        <w:t>: farmakokinetické rozdiely boli zistené medzi mladšími a staršími ženami (</w:t>
      </w:r>
      <w:r w:rsidR="00942017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65 rokov) (u starších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pacientok sa zvyšuje AUC asi o 25% a polčas vylučovania je asi o 25 % dlhší), magnitúda týchto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zmien však nie je dostatočná na to, aby oprávňovala úpravu dávkovania. Všeobecne sa odporúča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opatrnosť pri liečbe starších (pozri časti 4.2 a 4.4).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Porucha funkcie obličiek</w:t>
      </w:r>
      <w:r w:rsidRPr="00843064">
        <w:rPr>
          <w:rFonts w:ascii="Times New Roman" w:hAnsi="Times New Roman"/>
          <w:color w:val="000000"/>
        </w:rPr>
        <w:t>: pacienti s obličkovým ochorením v konečnej fáze (End Stage Renal Disease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- ESRD) podrobujúci sa dialýze mali oproti zdravým jedincom dvakrát vyššie hodnoty C</w:t>
      </w:r>
      <w:r w:rsidRPr="00FC03F4">
        <w:rPr>
          <w:rFonts w:ascii="Times New Roman" w:hAnsi="Times New Roman"/>
          <w:color w:val="000000"/>
          <w:vertAlign w:val="subscript"/>
        </w:rPr>
        <w:t>max</w:t>
      </w:r>
      <w:r w:rsidRPr="00843064">
        <w:rPr>
          <w:rFonts w:ascii="Times New Roman" w:hAnsi="Times New Roman"/>
          <w:color w:val="000000"/>
        </w:rPr>
        <w:t xml:space="preserve"> a AUC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duloxetínu. Farmakokinetické údaje o duloxetíne u pacientov s miernym alebo stredne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funkcie obličiek sú obmedzené.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Porucha funkcie pečene</w:t>
      </w:r>
      <w:r w:rsidRPr="00843064">
        <w:rPr>
          <w:rFonts w:ascii="Times New Roman" w:hAnsi="Times New Roman"/>
          <w:color w:val="000000"/>
        </w:rPr>
        <w:t>: stredne závažné poškodenie pečene (Child Pugh trieda B) malo vplyv na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farmakokinetiku duloxetínu. V porovnaní so zdravými jedincami, u pacientov so stredne závažným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pečene bol zdanlivý plazmatický klírens duloxetínu o 79 % nižší, zdanlivý terminálny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polčas 2,3 krát dlhší a AUC 3,7 krát vyššie. Farmakokinetika duloxetínu a jeho metabolitov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 miernou alebo závažnou nedostatočnosťou pečene nebola sledovaná.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Dojčiace matky: </w:t>
      </w:r>
      <w:r w:rsidRPr="00843064">
        <w:rPr>
          <w:rFonts w:ascii="Times New Roman" w:hAnsi="Times New Roman"/>
          <w:color w:val="000000"/>
        </w:rPr>
        <w:t>Dispozícia duloxetínu bola skúmaná u 6 dojčiacich žien, ktoré boli minimálne 12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týždňov po pôrode. Duloxetín je detekovateľný v materskom mlieku a rovnovážne koncentrácie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materskom mlieku tvoria asi jednu štvrtinu plazmatickej koncentrácie. Množstvo duloxetínu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materskom mlieku je približne 7 μg/deň pri dávkovaní 40 mg 2x denne. Laktácia neovplyvňovala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farmakokinetiku duloxetínu.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C03F4" w:rsidRPr="00167583" w:rsidRDefault="00FC03F4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167583">
        <w:rPr>
          <w:rFonts w:ascii="Times New Roman" w:hAnsi="Times New Roman"/>
          <w:iCs/>
          <w:color w:val="000000"/>
          <w:u w:val="single"/>
        </w:rPr>
        <w:t>Pediatrická populácia</w:t>
      </w:r>
      <w:r w:rsidR="00810B0A" w:rsidRPr="00167583">
        <w:rPr>
          <w:rFonts w:ascii="Times New Roman" w:hAnsi="Times New Roman"/>
          <w:iCs/>
          <w:color w:val="000000"/>
          <w:u w:val="single"/>
        </w:rPr>
        <w:t xml:space="preserve"> 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>Farmakokinetika duloxetínu u pediatrických pacientov vo veku 7 až 17 rokov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>s veľkou depresívnou poruchou po perorálnom podaní dávok 20 až 120 mg raz denne bola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 xml:space="preserve">charakterizovaná pomocou analýz modelovania populácie založených na údajoch z 3 štúdií. </w:t>
      </w:r>
    </w:p>
    <w:p w:rsidR="00167583" w:rsidRPr="008A79CB" w:rsidRDefault="00167583" w:rsidP="008A79CB">
      <w:pPr>
        <w:pStyle w:val="Textkomentra"/>
        <w:spacing w:after="0" w:line="240" w:lineRule="auto"/>
        <w:rPr>
          <w:rFonts w:ascii="Times New Roman" w:hAnsi="Times New Roman"/>
          <w:sz w:val="22"/>
          <w:szCs w:val="22"/>
        </w:rPr>
      </w:pPr>
      <w:r w:rsidRPr="008A79CB">
        <w:rPr>
          <w:rFonts w:ascii="Times New Roman" w:hAnsi="Times New Roman"/>
          <w:sz w:val="22"/>
          <w:szCs w:val="22"/>
        </w:rPr>
        <w:t xml:space="preserve">Rovnovážne plazmatické koncentrácie duloxetínu odhadnuté na základe tohto modelu u pediatrických pacientov boli väčšinou v koncentračnom rozsahu pozorovanom u dospelých pacientov. 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5.3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Predklinické údaje o bezpečnosti</w:t>
      </w:r>
    </w:p>
    <w:p w:rsid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štandardnej sérii testov duloxetín nebol genotoxický a u potkanov nebol karcinogénny.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karcinogenity na potkanoch boli v pečeni spozorované multijadrové bunky bez prítomnosti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iných histopatologických zmien. Mechanizmus, ktorý to spôsobuje, ani klinická závažnosť, nie sú</w:t>
      </w:r>
    </w:p>
    <w:p w:rsidR="0079088D" w:rsidRPr="00843064" w:rsidRDefault="00810B0A" w:rsidP="007908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známe. U samičiek myší, ktoré dostávali duloxetín počas 2 rokov, bola iba pri vysokej dávke</w:t>
      </w:r>
      <w:r w:rsidR="006841EF">
        <w:rPr>
          <w:rFonts w:ascii="Times New Roman" w:hAnsi="Times New Roman"/>
          <w:color w:val="000000"/>
        </w:rPr>
        <w:t xml:space="preserve"> </w:t>
      </w:r>
      <w:r w:rsidR="006841EF" w:rsidRPr="006841EF">
        <w:rPr>
          <w:rFonts w:ascii="Times New Roman" w:hAnsi="Times New Roman"/>
          <w:color w:val="000000"/>
          <w:lang w:val="en-GB"/>
        </w:rPr>
        <w:t>(144 mg/kg/d</w:t>
      </w:r>
      <w:r w:rsidR="006841EF">
        <w:rPr>
          <w:rFonts w:ascii="Times New Roman" w:hAnsi="Times New Roman"/>
          <w:color w:val="000000"/>
          <w:lang w:val="en-GB"/>
        </w:rPr>
        <w:t>eň</w:t>
      </w:r>
      <w:r w:rsidR="006841EF" w:rsidRPr="006841EF">
        <w:rPr>
          <w:rFonts w:ascii="Times New Roman" w:hAnsi="Times New Roman"/>
          <w:color w:val="000000"/>
          <w:lang w:val="en-GB"/>
        </w:rPr>
        <w:t>)</w:t>
      </w:r>
      <w:r w:rsidRPr="00843064">
        <w:rPr>
          <w:rFonts w:ascii="Times New Roman" w:hAnsi="Times New Roman"/>
          <w:color w:val="000000"/>
        </w:rPr>
        <w:t xml:space="preserve"> zvýšená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incidencia hepatocelulárnych adenómov a karcinómov, tieto však boli považované za sekundárne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následky indukcie mikrozomálnych hepatálnych enzýmov. Nie je známe, či sú tieto údaje získané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pozorovaním myší, relevantné pre ľudí. Samičky potkanov, ktoré dostávali duloxetín (45 mg/kg/deň)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pred a počas párenia a na počiatku gravidity, mali </w:t>
      </w:r>
      <w:r w:rsidR="000570A9">
        <w:rPr>
          <w:rFonts w:ascii="Times New Roman" w:hAnsi="Times New Roman"/>
          <w:color w:val="000000"/>
        </w:rPr>
        <w:t>nižšiu spotrebu</w:t>
      </w:r>
      <w:r w:rsidRPr="00843064">
        <w:rPr>
          <w:rFonts w:ascii="Times New Roman" w:hAnsi="Times New Roman"/>
          <w:color w:val="000000"/>
        </w:rPr>
        <w:t xml:space="preserve"> materskej potravy a</w:t>
      </w:r>
      <w:r w:rsidR="0079088D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telesnej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hmotnosti, poruchy estrálneho cyklu, pokles indexu živonarodeného a žijúceho potomstva a retardáciu</w:t>
      </w:r>
      <w:r w:rsidR="0079088D" w:rsidRP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rastu potomstva pri úrovniach systémovej expozície, ktoré podľa odhadu dosahovali väčšinou úroveň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maximálnej klinickej expozície (AUC). V štúdii embryotoxicity u králikov bola pri úrovniach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systémovej expozície pod maximálnou klinickou expozíciou (AUC) pozorovaná vyššia incidencia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kardiovaskulárnych a skeletálnych malformácií. V inej štúdii, ktorá skúmala vyššiu dávku inej soli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duloxetínu, žiadne malformácie pozorované neboli. V rámci štúdií prenatálnej/postnatálnej toxicity na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potkanoch duloxetín indukoval nežiaduce účinky v správaní mláďat pri expozíciách nižších ako je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maximálna klinická expozícia (AUC).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Štúdie s mláďatami potkanov ukázali prechodné účinky v neurobehaviorálnej oblasti, taktiež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signifikantné zníženie telesnej hmotnosti a príjmu potravy, indukciu hepatálnych enzýmov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hepatocelulárnu vakuolizáciu pri dávkach 45mg/kg/deň. Všeobecný profil toxicity duloxetínu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mláďat potkanov bol podobný s tým u dospelých potkanov. Výška dávky, ktorá nevyvoláva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nežiaduce účinky, bola stanovená na 20 mg/kg/deň.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FARMACEUTICKÉ INFORMÁCIE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6.1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Zoznam pomocných látok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C03F4">
        <w:rPr>
          <w:rFonts w:ascii="Times New Roman" w:hAnsi="Times New Roman"/>
          <w:b/>
          <w:color w:val="000000"/>
        </w:rPr>
        <w:t>Obsah kapsuly</w:t>
      </w:r>
    </w:p>
    <w:p w:rsidR="00FC03F4" w:rsidRDefault="00655E82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</w:t>
      </w:r>
      <w:r w:rsidR="00FC03F4">
        <w:rPr>
          <w:rFonts w:ascii="Times New Roman" w:hAnsi="Times New Roman"/>
          <w:color w:val="000000"/>
        </w:rPr>
        <w:t>ypromelóza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acetátosukcinát hypromelózy</w:t>
      </w:r>
    </w:p>
    <w:p w:rsidR="00FC03F4" w:rsidRPr="0084306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</w:t>
      </w:r>
      <w:r w:rsidRPr="00843064">
        <w:rPr>
          <w:rFonts w:ascii="Times New Roman" w:hAnsi="Times New Roman"/>
          <w:color w:val="000000"/>
        </w:rPr>
        <w:t>acharóza</w:t>
      </w:r>
    </w:p>
    <w:p w:rsidR="00FC03F4" w:rsidRPr="00843064" w:rsidRDefault="008724CF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Pr="00843064">
        <w:rPr>
          <w:rFonts w:ascii="Times New Roman" w:hAnsi="Times New Roman"/>
          <w:color w:val="000000"/>
        </w:rPr>
        <w:t>rn</w:t>
      </w:r>
      <w:r>
        <w:rPr>
          <w:rFonts w:ascii="Times New Roman" w:hAnsi="Times New Roman"/>
          <w:color w:val="000000"/>
        </w:rPr>
        <w:t>ený</w:t>
      </w:r>
      <w:r w:rsidRPr="00843064">
        <w:rPr>
          <w:rFonts w:ascii="Times New Roman" w:hAnsi="Times New Roman"/>
          <w:color w:val="000000"/>
        </w:rPr>
        <w:t xml:space="preserve"> </w:t>
      </w:r>
      <w:r w:rsidR="00FC03F4" w:rsidRPr="00843064">
        <w:rPr>
          <w:rFonts w:ascii="Times New Roman" w:hAnsi="Times New Roman"/>
          <w:color w:val="000000"/>
        </w:rPr>
        <w:t>cukor (sacharóza, kukuričný škrob)</w:t>
      </w:r>
    </w:p>
    <w:p w:rsidR="00FC03F4" w:rsidRPr="0084306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Pr="00843064">
        <w:rPr>
          <w:rFonts w:ascii="Times New Roman" w:hAnsi="Times New Roman"/>
          <w:color w:val="000000"/>
        </w:rPr>
        <w:t>astenec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hyprolóza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C03F4">
        <w:rPr>
          <w:rFonts w:ascii="Times New Roman" w:hAnsi="Times New Roman"/>
          <w:b/>
          <w:color w:val="000000"/>
        </w:rPr>
        <w:t>Obal kapsuly</w:t>
      </w:r>
    </w:p>
    <w:p w:rsidR="00FC03F4" w:rsidRPr="00843064" w:rsidRDefault="00655E82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</w:t>
      </w:r>
      <w:r w:rsidR="00FC03F4" w:rsidRPr="00843064">
        <w:rPr>
          <w:rFonts w:ascii="Times New Roman" w:hAnsi="Times New Roman"/>
          <w:color w:val="000000"/>
        </w:rPr>
        <w:t>elatína</w:t>
      </w:r>
    </w:p>
    <w:p w:rsidR="00FC03F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indigokarmín (E132)</w:t>
      </w:r>
    </w:p>
    <w:p w:rsidR="00810B0A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</w:t>
      </w:r>
      <w:r w:rsidR="00810B0A" w:rsidRPr="00843064">
        <w:rPr>
          <w:rFonts w:ascii="Times New Roman" w:hAnsi="Times New Roman"/>
          <w:color w:val="000000"/>
        </w:rPr>
        <w:t>ltý oxid železitý (E 172)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6.2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Inkompatibility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Neaplikovateľné.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lastRenderedPageBreak/>
        <w:t xml:space="preserve">6.3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Čas použiteľnosti</w:t>
      </w:r>
    </w:p>
    <w:p w:rsidR="008A79CB" w:rsidRDefault="008A79C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202AD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C03F4">
        <w:rPr>
          <w:rFonts w:ascii="Times New Roman" w:hAnsi="Times New Roman"/>
          <w:color w:val="000000"/>
        </w:rPr>
        <w:t xml:space="preserve"> roky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6.4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Špeciálne upozornenia na uchovávanie</w:t>
      </w:r>
    </w:p>
    <w:p w:rsid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C03F4">
        <w:rPr>
          <w:rFonts w:ascii="Times New Roman" w:hAnsi="Times New Roman"/>
          <w:noProof/>
        </w:rPr>
        <w:t xml:space="preserve">Tento liek nevyžaduje žiadne zvláštne </w:t>
      </w:r>
      <w:r w:rsidR="006841EF">
        <w:rPr>
          <w:rFonts w:ascii="Times New Roman" w:hAnsi="Times New Roman"/>
          <w:noProof/>
        </w:rPr>
        <w:t xml:space="preserve">teplotné </w:t>
      </w:r>
      <w:r w:rsidRPr="00FC03F4">
        <w:rPr>
          <w:rFonts w:ascii="Times New Roman" w:hAnsi="Times New Roman"/>
          <w:noProof/>
        </w:rPr>
        <w:t>podmienky na uchovávanie.</w:t>
      </w:r>
      <w:r w:rsidRPr="00FC03F4">
        <w:rPr>
          <w:rFonts w:ascii="Times New Roman" w:hAnsi="Times New Roman"/>
          <w:color w:val="000000"/>
        </w:rPr>
        <w:t xml:space="preserve"> </w:t>
      </w:r>
      <w:r w:rsidR="00810B0A" w:rsidRPr="00FC03F4">
        <w:rPr>
          <w:rFonts w:ascii="Times New Roman" w:hAnsi="Times New Roman"/>
          <w:color w:val="000000"/>
        </w:rPr>
        <w:t>Uchovávajte v pôvodnom obale na ochranu pred vlhkosťou.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6.5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Druh obalu a obsah balenia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C03F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PVC/PCTFE/A</w:t>
      </w:r>
      <w:r w:rsidR="00FC03F4">
        <w:rPr>
          <w:rFonts w:ascii="Times New Roman" w:hAnsi="Times New Roman"/>
          <w:color w:val="000000"/>
        </w:rPr>
        <w:t>LU</w:t>
      </w:r>
      <w:r w:rsidRPr="00843064">
        <w:rPr>
          <w:rFonts w:ascii="Times New Roman" w:hAnsi="Times New Roman"/>
          <w:color w:val="000000"/>
        </w:rPr>
        <w:t xml:space="preserve"> blistr</w:t>
      </w:r>
      <w:r w:rsidR="00FC03F4">
        <w:rPr>
          <w:rFonts w:ascii="Times New Roman" w:hAnsi="Times New Roman"/>
          <w:color w:val="000000"/>
        </w:rPr>
        <w:t>e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Pr="00843064" w:rsidRDefault="006203D9" w:rsidP="00995C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Balenia po</w:t>
      </w:r>
      <w:r w:rsidR="00995C1D" w:rsidRPr="00843064">
        <w:rPr>
          <w:rFonts w:ascii="Times New Roman" w:hAnsi="Times New Roman"/>
          <w:color w:val="000000"/>
        </w:rPr>
        <w:t xml:space="preserve"> </w:t>
      </w:r>
      <w:r w:rsidR="00995C1D">
        <w:rPr>
          <w:rFonts w:ascii="Times New Roman" w:hAnsi="Times New Roman"/>
          <w:color w:val="000000"/>
        </w:rPr>
        <w:t>7, 10, 14, 28, 30, 56, 60, 84, 90, 98,</w:t>
      </w:r>
      <w:r>
        <w:rPr>
          <w:rFonts w:ascii="Times New Roman" w:hAnsi="Times New Roman"/>
          <w:color w:val="000000"/>
        </w:rPr>
        <w:t xml:space="preserve"> 100, </w:t>
      </w:r>
      <w:r w:rsidR="00995C1D">
        <w:rPr>
          <w:rFonts w:ascii="Times New Roman" w:hAnsi="Times New Roman"/>
          <w:color w:val="000000"/>
        </w:rPr>
        <w:t>112, 140 kapsúl.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trh nemusia byť uvedené všetky veľkosti balenia.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6.6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Špeciálne opatrenia na likvidáciu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995C1D" w:rsidP="00995C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Žiadne zvláštne požiadavky.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7.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t>STADA A</w:t>
      </w:r>
      <w:r>
        <w:rPr>
          <w:rFonts w:ascii="Times New Roman" w:hAnsi="Times New Roman"/>
          <w:bCs/>
          <w:color w:val="000000"/>
        </w:rPr>
        <w:t>rzneimittel AG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Stadastrase 2-18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61118 Bad Vilbel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P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8.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REGISTRAČNÉ ČÍSL</w:t>
      </w:r>
      <w:r w:rsidR="00995C1D">
        <w:rPr>
          <w:rFonts w:ascii="Times New Roman" w:hAnsi="Times New Roman"/>
          <w:b/>
          <w:bCs/>
          <w:color w:val="000000"/>
        </w:rPr>
        <w:t>O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Default="002A338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2A338F">
        <w:rPr>
          <w:rFonts w:ascii="Times New Roman" w:hAnsi="Times New Roman"/>
          <w:bCs/>
          <w:color w:val="000000"/>
        </w:rPr>
        <w:t>30/0400/15-S</w:t>
      </w:r>
    </w:p>
    <w:p w:rsidR="0079088D" w:rsidRDefault="0079088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9.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DÁTUM PRVEJ REGISTRÁCIE/PREDĹŽENIA REGISTRÁCIE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Dátum prvej registrácie:</w:t>
      </w:r>
      <w:r w:rsidR="00664218">
        <w:rPr>
          <w:rFonts w:ascii="Times New Roman" w:hAnsi="Times New Roman"/>
          <w:color w:val="000000"/>
        </w:rPr>
        <w:t xml:space="preserve"> 22. októbra 2015</w:t>
      </w: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10.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DÁTUM REVÍZIE TEXTU</w:t>
      </w:r>
    </w:p>
    <w:p w:rsidR="008A79CB" w:rsidRDefault="008A79C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E02E0C" w:rsidRPr="00E02E0C" w:rsidRDefault="00C343E8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06/2020</w:t>
      </w:r>
    </w:p>
    <w:sectPr w:rsidR="00E02E0C" w:rsidRPr="00E02E0C" w:rsidSect="00C843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22" w:rsidRDefault="00D92F22" w:rsidP="00810B0A">
      <w:pPr>
        <w:spacing w:after="0" w:line="240" w:lineRule="auto"/>
      </w:pPr>
      <w:r>
        <w:separator/>
      </w:r>
    </w:p>
  </w:endnote>
  <w:endnote w:type="continuationSeparator" w:id="0">
    <w:p w:rsidR="00D92F22" w:rsidRDefault="00D92F22" w:rsidP="0081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80F0000" w:usb2="00000010" w:usb3="00000000" w:csb0="00120008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53" w:rsidRPr="00111480" w:rsidRDefault="00B82153" w:rsidP="00111480">
    <w:pPr>
      <w:pStyle w:val="Pta"/>
      <w:jc w:val="center"/>
      <w:rPr>
        <w:rFonts w:ascii="Times New Roman" w:hAnsi="Times New Roman"/>
        <w:sz w:val="18"/>
        <w:szCs w:val="18"/>
      </w:rPr>
    </w:pPr>
    <w:r w:rsidRPr="00A4449E">
      <w:rPr>
        <w:rFonts w:ascii="Times New Roman" w:hAnsi="Times New Roman"/>
        <w:sz w:val="18"/>
        <w:szCs w:val="18"/>
      </w:rPr>
      <w:fldChar w:fldCharType="begin"/>
    </w:r>
    <w:r w:rsidRPr="00A4449E">
      <w:rPr>
        <w:rFonts w:ascii="Times New Roman" w:hAnsi="Times New Roman"/>
        <w:sz w:val="18"/>
        <w:szCs w:val="18"/>
      </w:rPr>
      <w:instrText>PAGE   \* MERGEFORMAT</w:instrText>
    </w:r>
    <w:r w:rsidRPr="00A4449E">
      <w:rPr>
        <w:rFonts w:ascii="Times New Roman" w:hAnsi="Times New Roman"/>
        <w:sz w:val="18"/>
        <w:szCs w:val="18"/>
      </w:rPr>
      <w:fldChar w:fldCharType="separate"/>
    </w:r>
    <w:r w:rsidR="00111480">
      <w:rPr>
        <w:rFonts w:ascii="Times New Roman" w:hAnsi="Times New Roman"/>
        <w:noProof/>
        <w:sz w:val="18"/>
        <w:szCs w:val="18"/>
      </w:rPr>
      <w:t>17</w:t>
    </w:r>
    <w:r w:rsidRPr="00A4449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53" w:rsidRDefault="00B82153">
    <w:pPr>
      <w:pStyle w:val="Pta"/>
      <w:jc w:val="center"/>
    </w:pPr>
    <w:r w:rsidRPr="00843064">
      <w:rPr>
        <w:rFonts w:ascii="Times New Roman" w:hAnsi="Times New Roman"/>
        <w:sz w:val="18"/>
        <w:szCs w:val="18"/>
      </w:rPr>
      <w:fldChar w:fldCharType="begin"/>
    </w:r>
    <w:r w:rsidRPr="00843064">
      <w:rPr>
        <w:rFonts w:ascii="Times New Roman" w:hAnsi="Times New Roman"/>
        <w:sz w:val="18"/>
        <w:szCs w:val="18"/>
      </w:rPr>
      <w:instrText>PAGE   \* MERGEFORMAT</w:instrText>
    </w:r>
    <w:r w:rsidRPr="0084306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843064">
      <w:rPr>
        <w:rFonts w:ascii="Times New Roman" w:hAnsi="Times New Roman"/>
        <w:sz w:val="18"/>
        <w:szCs w:val="18"/>
      </w:rPr>
      <w:fldChar w:fldCharType="end"/>
    </w:r>
  </w:p>
  <w:p w:rsidR="00B82153" w:rsidRDefault="00B821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22" w:rsidRDefault="00D92F22" w:rsidP="00810B0A">
      <w:pPr>
        <w:spacing w:after="0" w:line="240" w:lineRule="auto"/>
      </w:pPr>
      <w:r>
        <w:separator/>
      </w:r>
    </w:p>
  </w:footnote>
  <w:footnote w:type="continuationSeparator" w:id="0">
    <w:p w:rsidR="00D92F22" w:rsidRDefault="00D92F22" w:rsidP="0081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53" w:rsidRDefault="00B82153" w:rsidP="00B82153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2020/0</w:t>
    </w:r>
    <w:r w:rsidR="008724CF">
      <w:rPr>
        <w:rFonts w:ascii="Times New Roman" w:hAnsi="Times New Roman"/>
        <w:sz w:val="18"/>
        <w:szCs w:val="18"/>
      </w:rPr>
      <w:t>1591-Z1B</w:t>
    </w:r>
  </w:p>
  <w:p w:rsidR="00B82153" w:rsidRPr="00810B0A" w:rsidRDefault="00B82153" w:rsidP="00C84381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53" w:rsidRDefault="00B82153">
    <w:pPr>
      <w:pStyle w:val="Hlavika"/>
      <w:rPr>
        <w:rFonts w:ascii="Times New Roman" w:hAnsi="Times New Roman"/>
        <w:sz w:val="18"/>
        <w:szCs w:val="18"/>
      </w:rPr>
    </w:pPr>
  </w:p>
  <w:p w:rsidR="00B82153" w:rsidRDefault="00B82153">
    <w:pPr>
      <w:pStyle w:val="Hlavika"/>
    </w:pPr>
    <w:r>
      <w:rPr>
        <w:rFonts w:ascii="Times New Roman" w:hAnsi="Times New Roman"/>
        <w:sz w:val="18"/>
        <w:szCs w:val="18"/>
      </w:rPr>
      <w:t>Príloha č. 1 k notifikácii o zmene, ev. č.: 2017/04811-Z1B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0A"/>
    <w:rsid w:val="00012807"/>
    <w:rsid w:val="000570A9"/>
    <w:rsid w:val="00072C3D"/>
    <w:rsid w:val="001035AD"/>
    <w:rsid w:val="00111480"/>
    <w:rsid w:val="001161BD"/>
    <w:rsid w:val="00167583"/>
    <w:rsid w:val="0019778A"/>
    <w:rsid w:val="001C6C4C"/>
    <w:rsid w:val="001D4E6B"/>
    <w:rsid w:val="00202AD3"/>
    <w:rsid w:val="00203DE9"/>
    <w:rsid w:val="00220F13"/>
    <w:rsid w:val="00222C23"/>
    <w:rsid w:val="00267350"/>
    <w:rsid w:val="002A338F"/>
    <w:rsid w:val="002C4A10"/>
    <w:rsid w:val="002C5B29"/>
    <w:rsid w:val="002C7B2B"/>
    <w:rsid w:val="002D2885"/>
    <w:rsid w:val="00391962"/>
    <w:rsid w:val="003B2B90"/>
    <w:rsid w:val="003B751B"/>
    <w:rsid w:val="00407AF4"/>
    <w:rsid w:val="00432E54"/>
    <w:rsid w:val="00475FD4"/>
    <w:rsid w:val="0048340A"/>
    <w:rsid w:val="004A619D"/>
    <w:rsid w:val="004D7564"/>
    <w:rsid w:val="004E29FA"/>
    <w:rsid w:val="005126D7"/>
    <w:rsid w:val="00562822"/>
    <w:rsid w:val="00564DE7"/>
    <w:rsid w:val="005729B8"/>
    <w:rsid w:val="005C710A"/>
    <w:rsid w:val="005D1488"/>
    <w:rsid w:val="005E1BC2"/>
    <w:rsid w:val="005E69C2"/>
    <w:rsid w:val="00602B49"/>
    <w:rsid w:val="006103EB"/>
    <w:rsid w:val="006203D9"/>
    <w:rsid w:val="0064407E"/>
    <w:rsid w:val="00655E82"/>
    <w:rsid w:val="00664218"/>
    <w:rsid w:val="00670F2D"/>
    <w:rsid w:val="0067206B"/>
    <w:rsid w:val="00680C14"/>
    <w:rsid w:val="006841EF"/>
    <w:rsid w:val="006E3D54"/>
    <w:rsid w:val="007072C1"/>
    <w:rsid w:val="00765414"/>
    <w:rsid w:val="00786DC2"/>
    <w:rsid w:val="0079088D"/>
    <w:rsid w:val="00794444"/>
    <w:rsid w:val="007A44A4"/>
    <w:rsid w:val="007B71E2"/>
    <w:rsid w:val="007C4BF2"/>
    <w:rsid w:val="007E7E81"/>
    <w:rsid w:val="007F60EE"/>
    <w:rsid w:val="00810B0A"/>
    <w:rsid w:val="0081184A"/>
    <w:rsid w:val="00823761"/>
    <w:rsid w:val="00823C77"/>
    <w:rsid w:val="00841A17"/>
    <w:rsid w:val="00843064"/>
    <w:rsid w:val="008724CF"/>
    <w:rsid w:val="008A2E2F"/>
    <w:rsid w:val="008A79CB"/>
    <w:rsid w:val="008B41F6"/>
    <w:rsid w:val="008C055A"/>
    <w:rsid w:val="009358A8"/>
    <w:rsid w:val="00936EE2"/>
    <w:rsid w:val="00942017"/>
    <w:rsid w:val="00995C1D"/>
    <w:rsid w:val="009F00B8"/>
    <w:rsid w:val="00A241F1"/>
    <w:rsid w:val="00A2522F"/>
    <w:rsid w:val="00A32E12"/>
    <w:rsid w:val="00A34C0A"/>
    <w:rsid w:val="00A374D3"/>
    <w:rsid w:val="00A4449E"/>
    <w:rsid w:val="00A502DD"/>
    <w:rsid w:val="00A56D91"/>
    <w:rsid w:val="00A826D7"/>
    <w:rsid w:val="00A90E83"/>
    <w:rsid w:val="00AE6E87"/>
    <w:rsid w:val="00B327A1"/>
    <w:rsid w:val="00B655C8"/>
    <w:rsid w:val="00B778CA"/>
    <w:rsid w:val="00B82153"/>
    <w:rsid w:val="00B83A05"/>
    <w:rsid w:val="00B95F39"/>
    <w:rsid w:val="00BA5CA8"/>
    <w:rsid w:val="00C33E9B"/>
    <w:rsid w:val="00C343E8"/>
    <w:rsid w:val="00C42C21"/>
    <w:rsid w:val="00C60569"/>
    <w:rsid w:val="00C84381"/>
    <w:rsid w:val="00CF16A1"/>
    <w:rsid w:val="00CF42E1"/>
    <w:rsid w:val="00D25E8C"/>
    <w:rsid w:val="00D60DD2"/>
    <w:rsid w:val="00D67BC3"/>
    <w:rsid w:val="00D92F22"/>
    <w:rsid w:val="00D93E83"/>
    <w:rsid w:val="00DB404D"/>
    <w:rsid w:val="00E026EE"/>
    <w:rsid w:val="00E02E0C"/>
    <w:rsid w:val="00E170D7"/>
    <w:rsid w:val="00E278DE"/>
    <w:rsid w:val="00E947C9"/>
    <w:rsid w:val="00EE2805"/>
    <w:rsid w:val="00F035D1"/>
    <w:rsid w:val="00F12973"/>
    <w:rsid w:val="00F74E8D"/>
    <w:rsid w:val="00FC03F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AE4A50-AED7-4F48-8B83-C082611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0B0A"/>
  </w:style>
  <w:style w:type="paragraph" w:styleId="Pta">
    <w:name w:val="footer"/>
    <w:basedOn w:val="Normlny"/>
    <w:link w:val="Pt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0B0A"/>
  </w:style>
  <w:style w:type="paragraph" w:styleId="Textbubliny">
    <w:name w:val="Balloon Text"/>
    <w:basedOn w:val="Normlny"/>
    <w:link w:val="TextbublinyChar"/>
    <w:uiPriority w:val="99"/>
    <w:semiHidden/>
    <w:unhideWhenUsed/>
    <w:rsid w:val="00810B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10B0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3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2522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203D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DE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03DE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DE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03DE9"/>
    <w:rPr>
      <w:b/>
      <w:bCs/>
      <w:lang w:eastAsia="en-US"/>
    </w:rPr>
  </w:style>
  <w:style w:type="paragraph" w:styleId="Revzia">
    <w:name w:val="Revision"/>
    <w:hidden/>
    <w:uiPriority w:val="99"/>
    <w:semiHidden/>
    <w:rsid w:val="0064407E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1035A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035AD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7731</Words>
  <Characters>44072</Characters>
  <Application>Microsoft Office Word</Application>
  <DocSecurity>0</DocSecurity>
  <Lines>367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51700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Skladaná, Judita</cp:lastModifiedBy>
  <cp:revision>2</cp:revision>
  <dcterms:created xsi:type="dcterms:W3CDTF">2020-06-22T13:49:00Z</dcterms:created>
  <dcterms:modified xsi:type="dcterms:W3CDTF">2020-06-22T13:49:00Z</dcterms:modified>
</cp:coreProperties>
</file>