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7AE8" w14:textId="77777777" w:rsidR="00D21EE1" w:rsidRPr="009F5E90" w:rsidRDefault="00D21EE1" w:rsidP="00651D79">
      <w:pPr>
        <w:widowControl w:val="0"/>
        <w:tabs>
          <w:tab w:val="left" w:pos="696"/>
          <w:tab w:val="left" w:pos="2256"/>
          <w:tab w:val="center" w:leader="underscore" w:pos="2880"/>
        </w:tabs>
        <w:autoSpaceDE w:val="0"/>
        <w:autoSpaceDN w:val="0"/>
        <w:adjustRightInd w:val="0"/>
        <w:jc w:val="center"/>
        <w:rPr>
          <w:b/>
          <w:bCs/>
          <w:sz w:val="22"/>
          <w:szCs w:val="22"/>
        </w:rPr>
      </w:pPr>
      <w:r w:rsidRPr="00770369">
        <w:rPr>
          <w:b/>
          <w:bCs/>
          <w:sz w:val="22"/>
          <w:szCs w:val="22"/>
        </w:rPr>
        <w:t>S</w:t>
      </w:r>
      <w:r w:rsidR="00122307" w:rsidRPr="00770369">
        <w:rPr>
          <w:b/>
          <w:bCs/>
          <w:sz w:val="22"/>
          <w:szCs w:val="22"/>
        </w:rPr>
        <w:t>ÚHRN CHARAKTERISTICKÝCH VLASTNOSTÍ LIEKU</w:t>
      </w:r>
    </w:p>
    <w:p w14:paraId="6448FA89" w14:textId="77777777" w:rsidR="00122307" w:rsidRPr="009F5E90" w:rsidRDefault="00122307" w:rsidP="000607AF">
      <w:pPr>
        <w:widowControl w:val="0"/>
        <w:tabs>
          <w:tab w:val="left" w:pos="696"/>
          <w:tab w:val="left" w:pos="2256"/>
          <w:tab w:val="center" w:leader="underscore" w:pos="2880"/>
        </w:tabs>
        <w:autoSpaceDE w:val="0"/>
        <w:autoSpaceDN w:val="0"/>
        <w:adjustRightInd w:val="0"/>
        <w:rPr>
          <w:b/>
          <w:bCs/>
          <w:sz w:val="22"/>
          <w:szCs w:val="22"/>
        </w:rPr>
      </w:pPr>
    </w:p>
    <w:p w14:paraId="5EC034F5" w14:textId="77777777" w:rsidR="00122307" w:rsidRPr="00B25EB9" w:rsidRDefault="00122307" w:rsidP="00651D79">
      <w:pPr>
        <w:widowControl w:val="0"/>
        <w:tabs>
          <w:tab w:val="left" w:pos="696"/>
          <w:tab w:val="left" w:pos="2256"/>
          <w:tab w:val="center" w:leader="underscore" w:pos="2880"/>
        </w:tabs>
        <w:autoSpaceDE w:val="0"/>
        <w:autoSpaceDN w:val="0"/>
        <w:adjustRightInd w:val="0"/>
        <w:rPr>
          <w:b/>
          <w:bCs/>
          <w:sz w:val="22"/>
          <w:szCs w:val="22"/>
        </w:rPr>
      </w:pPr>
    </w:p>
    <w:p w14:paraId="0EBC7705" w14:textId="77777777" w:rsidR="00D21EE1" w:rsidRPr="000607AF" w:rsidRDefault="00D21EE1" w:rsidP="00651D79">
      <w:pPr>
        <w:widowControl w:val="0"/>
        <w:tabs>
          <w:tab w:val="left" w:pos="696"/>
          <w:tab w:val="left" w:pos="2256"/>
          <w:tab w:val="center" w:leader="underscore" w:pos="2880"/>
        </w:tabs>
        <w:autoSpaceDE w:val="0"/>
        <w:autoSpaceDN w:val="0"/>
        <w:adjustRightInd w:val="0"/>
        <w:rPr>
          <w:b/>
          <w:bCs/>
          <w:sz w:val="22"/>
          <w:szCs w:val="22"/>
        </w:rPr>
      </w:pPr>
      <w:r w:rsidRPr="000607AF">
        <w:rPr>
          <w:b/>
          <w:bCs/>
          <w:sz w:val="22"/>
          <w:szCs w:val="22"/>
        </w:rPr>
        <w:t xml:space="preserve">1. </w:t>
      </w:r>
      <w:r w:rsidRPr="000607AF">
        <w:rPr>
          <w:b/>
          <w:bCs/>
          <w:sz w:val="22"/>
          <w:szCs w:val="22"/>
        </w:rPr>
        <w:tab/>
        <w:t>NÁZOV LIEKU</w:t>
      </w:r>
    </w:p>
    <w:p w14:paraId="6F2EB063" w14:textId="77777777" w:rsidR="00D21EE1" w:rsidRPr="000607AF" w:rsidRDefault="00D21EE1" w:rsidP="00DB2C4B">
      <w:pPr>
        <w:widowControl w:val="0"/>
        <w:autoSpaceDE w:val="0"/>
        <w:autoSpaceDN w:val="0"/>
        <w:adjustRightInd w:val="0"/>
        <w:rPr>
          <w:b/>
          <w:bCs/>
          <w:sz w:val="22"/>
          <w:szCs w:val="22"/>
        </w:rPr>
      </w:pPr>
    </w:p>
    <w:p w14:paraId="6D31C14B" w14:textId="77777777" w:rsidR="00D21EE1" w:rsidRPr="000607AF" w:rsidRDefault="00D21EE1" w:rsidP="00AD1D70">
      <w:pPr>
        <w:widowControl w:val="0"/>
        <w:autoSpaceDE w:val="0"/>
        <w:autoSpaceDN w:val="0"/>
        <w:adjustRightInd w:val="0"/>
        <w:rPr>
          <w:sz w:val="22"/>
          <w:szCs w:val="22"/>
        </w:rPr>
      </w:pPr>
      <w:r w:rsidRPr="000607AF">
        <w:rPr>
          <w:sz w:val="22"/>
          <w:szCs w:val="22"/>
        </w:rPr>
        <w:t xml:space="preserve">Robitussin Junior </w:t>
      </w:r>
    </w:p>
    <w:p w14:paraId="28D159DA" w14:textId="3F5B20BB" w:rsidR="003D30D3" w:rsidRPr="000607AF" w:rsidRDefault="003D30D3" w:rsidP="00852BEE">
      <w:pPr>
        <w:widowControl w:val="0"/>
        <w:tabs>
          <w:tab w:val="left" w:pos="345"/>
        </w:tabs>
        <w:autoSpaceDE w:val="0"/>
        <w:autoSpaceDN w:val="0"/>
        <w:adjustRightInd w:val="0"/>
        <w:rPr>
          <w:bCs/>
          <w:sz w:val="22"/>
          <w:szCs w:val="22"/>
        </w:rPr>
      </w:pPr>
      <w:r w:rsidRPr="000607AF">
        <w:rPr>
          <w:bCs/>
          <w:sz w:val="22"/>
          <w:szCs w:val="22"/>
        </w:rPr>
        <w:t>3,75 mg/5 ml sirup</w:t>
      </w:r>
    </w:p>
    <w:p w14:paraId="0270C090" w14:textId="77777777" w:rsidR="00D21EE1" w:rsidRPr="000607AF" w:rsidRDefault="00D21EE1" w:rsidP="00852BEE">
      <w:pPr>
        <w:widowControl w:val="0"/>
        <w:autoSpaceDE w:val="0"/>
        <w:autoSpaceDN w:val="0"/>
        <w:adjustRightInd w:val="0"/>
        <w:rPr>
          <w:b/>
          <w:bCs/>
          <w:sz w:val="22"/>
          <w:szCs w:val="22"/>
        </w:rPr>
      </w:pPr>
    </w:p>
    <w:p w14:paraId="3A9808EA" w14:textId="77777777" w:rsidR="00D21EE1" w:rsidRPr="000607AF" w:rsidRDefault="00D21EE1" w:rsidP="00852BEE">
      <w:pPr>
        <w:widowControl w:val="0"/>
        <w:tabs>
          <w:tab w:val="left" w:pos="345"/>
        </w:tabs>
        <w:autoSpaceDE w:val="0"/>
        <w:autoSpaceDN w:val="0"/>
        <w:adjustRightInd w:val="0"/>
        <w:rPr>
          <w:b/>
          <w:bCs/>
          <w:sz w:val="22"/>
          <w:szCs w:val="22"/>
        </w:rPr>
      </w:pPr>
    </w:p>
    <w:p w14:paraId="759AC01D" w14:textId="77777777" w:rsidR="00D21EE1" w:rsidRPr="000607AF" w:rsidRDefault="00D21EE1" w:rsidP="00852BEE">
      <w:pPr>
        <w:widowControl w:val="0"/>
        <w:tabs>
          <w:tab w:val="left" w:pos="345"/>
        </w:tabs>
        <w:autoSpaceDE w:val="0"/>
        <w:autoSpaceDN w:val="0"/>
        <w:adjustRightInd w:val="0"/>
        <w:rPr>
          <w:b/>
          <w:bCs/>
          <w:sz w:val="22"/>
          <w:szCs w:val="22"/>
        </w:rPr>
      </w:pPr>
      <w:r w:rsidRPr="000607AF">
        <w:rPr>
          <w:b/>
          <w:bCs/>
          <w:sz w:val="22"/>
          <w:szCs w:val="22"/>
        </w:rPr>
        <w:t xml:space="preserve">2. </w:t>
      </w:r>
      <w:r w:rsidRPr="000607AF">
        <w:rPr>
          <w:b/>
          <w:bCs/>
          <w:sz w:val="22"/>
          <w:szCs w:val="22"/>
        </w:rPr>
        <w:tab/>
      </w:r>
      <w:r w:rsidRPr="000607AF">
        <w:rPr>
          <w:b/>
          <w:bCs/>
          <w:sz w:val="22"/>
          <w:szCs w:val="22"/>
        </w:rPr>
        <w:tab/>
        <w:t xml:space="preserve">KVALITATÍVNE A KVANTITATÍVNE ZLOŽENIE </w:t>
      </w:r>
    </w:p>
    <w:p w14:paraId="4CC917D6" w14:textId="77777777" w:rsidR="00D21EE1" w:rsidRPr="000607AF" w:rsidRDefault="00D21EE1" w:rsidP="00F272E8">
      <w:pPr>
        <w:widowControl w:val="0"/>
        <w:autoSpaceDE w:val="0"/>
        <w:autoSpaceDN w:val="0"/>
        <w:adjustRightInd w:val="0"/>
        <w:rPr>
          <w:sz w:val="22"/>
          <w:szCs w:val="22"/>
        </w:rPr>
      </w:pPr>
    </w:p>
    <w:p w14:paraId="59A45DF5" w14:textId="77777777" w:rsidR="00D21EE1" w:rsidRPr="000607AF" w:rsidRDefault="003D30D3" w:rsidP="00E25FFF">
      <w:pPr>
        <w:rPr>
          <w:sz w:val="22"/>
          <w:szCs w:val="22"/>
          <w:lang w:val="pl-PL"/>
        </w:rPr>
      </w:pPr>
      <w:r w:rsidRPr="000607AF">
        <w:rPr>
          <w:sz w:val="22"/>
          <w:szCs w:val="22"/>
          <w:lang w:val="pl-PL"/>
        </w:rPr>
        <w:t>5 ml sirupu obsahuje 3,75 mg dextrometorfániumhydrobromidu.</w:t>
      </w:r>
    </w:p>
    <w:p w14:paraId="11B56B74" w14:textId="77777777" w:rsidR="00AD1D70" w:rsidRPr="000607AF" w:rsidRDefault="00AD1D70" w:rsidP="00E25FFF">
      <w:pPr>
        <w:numPr>
          <w:ilvl w:val="12"/>
          <w:numId w:val="0"/>
        </w:numPr>
        <w:tabs>
          <w:tab w:val="left" w:pos="0"/>
        </w:tabs>
        <w:rPr>
          <w:sz w:val="22"/>
          <w:szCs w:val="22"/>
          <w:u w:val="single"/>
          <w:lang w:val="pl-PL"/>
        </w:rPr>
      </w:pPr>
    </w:p>
    <w:p w14:paraId="77E806BF" w14:textId="77777777" w:rsidR="00D21EE1" w:rsidRPr="000607AF" w:rsidRDefault="00D21EE1" w:rsidP="00E25FFF">
      <w:pPr>
        <w:numPr>
          <w:ilvl w:val="12"/>
          <w:numId w:val="0"/>
        </w:numPr>
        <w:tabs>
          <w:tab w:val="left" w:pos="0"/>
        </w:tabs>
        <w:rPr>
          <w:sz w:val="22"/>
          <w:szCs w:val="22"/>
          <w:lang w:val="pl-PL"/>
        </w:rPr>
      </w:pPr>
      <w:r w:rsidRPr="000607AF">
        <w:rPr>
          <w:sz w:val="22"/>
          <w:szCs w:val="22"/>
          <w:u w:val="single"/>
          <w:lang w:val="pl-PL"/>
        </w:rPr>
        <w:t xml:space="preserve">Pomocné látky </w:t>
      </w:r>
      <w:r w:rsidR="003D30D3" w:rsidRPr="000607AF">
        <w:rPr>
          <w:sz w:val="22"/>
          <w:szCs w:val="22"/>
          <w:u w:val="single"/>
          <w:lang w:val="pl-PL"/>
        </w:rPr>
        <w:t>so známym účinkom:</w:t>
      </w:r>
      <w:r w:rsidR="003D30D3" w:rsidRPr="00E25FFF">
        <w:rPr>
          <w:sz w:val="22"/>
          <w:szCs w:val="22"/>
          <w:lang w:val="pl-PL"/>
        </w:rPr>
        <w:t xml:space="preserve"> </w:t>
      </w:r>
      <w:r w:rsidRPr="00E25FFF">
        <w:rPr>
          <w:sz w:val="22"/>
          <w:szCs w:val="22"/>
          <w:lang w:val="pl-PL"/>
        </w:rPr>
        <w:t>5 ml sirupu</w:t>
      </w:r>
      <w:r w:rsidR="003D30D3" w:rsidRPr="00770369">
        <w:rPr>
          <w:sz w:val="22"/>
          <w:szCs w:val="22"/>
          <w:lang w:val="pl-PL"/>
        </w:rPr>
        <w:t xml:space="preserve"> obsahuje </w:t>
      </w:r>
      <w:r w:rsidR="003D30D3" w:rsidRPr="009F5E90">
        <w:rPr>
          <w:sz w:val="22"/>
          <w:szCs w:val="22"/>
          <w:lang w:val="it-IT"/>
        </w:rPr>
        <w:t xml:space="preserve">1454 mg </w:t>
      </w:r>
      <w:r w:rsidR="003D30D3" w:rsidRPr="00B25EB9">
        <w:rPr>
          <w:sz w:val="22"/>
          <w:szCs w:val="22"/>
          <w:lang w:val="it-IT"/>
        </w:rPr>
        <w:t>sorbitolu, 242 mg maltitolu, 103 mg etanolu (96</w:t>
      </w:r>
      <w:r w:rsidR="00DB2C4B" w:rsidRPr="000607AF">
        <w:rPr>
          <w:sz w:val="22"/>
          <w:szCs w:val="22"/>
          <w:lang w:val="it-IT"/>
        </w:rPr>
        <w:t> </w:t>
      </w:r>
      <w:r w:rsidR="003D30D3" w:rsidRPr="000607AF">
        <w:rPr>
          <w:sz w:val="22"/>
          <w:szCs w:val="22"/>
          <w:lang w:val="it-IT"/>
        </w:rPr>
        <w:t>% V/V), 0,1</w:t>
      </w:r>
      <w:r w:rsidR="006967E4" w:rsidRPr="000607AF">
        <w:rPr>
          <w:sz w:val="22"/>
          <w:szCs w:val="22"/>
          <w:lang w:val="it-IT"/>
        </w:rPr>
        <w:t>32</w:t>
      </w:r>
      <w:r w:rsidR="003D30D3" w:rsidRPr="000607AF">
        <w:rPr>
          <w:sz w:val="22"/>
          <w:szCs w:val="22"/>
          <w:lang w:val="it-IT"/>
        </w:rPr>
        <w:t xml:space="preserve"> mg amarantu</w:t>
      </w:r>
      <w:r w:rsidR="00DA343A" w:rsidRPr="000607AF">
        <w:rPr>
          <w:sz w:val="22"/>
          <w:szCs w:val="22"/>
          <w:lang w:val="it-IT"/>
        </w:rPr>
        <w:t xml:space="preserve"> (E123)</w:t>
      </w:r>
      <w:r w:rsidR="003D30D3" w:rsidRPr="000607AF">
        <w:rPr>
          <w:sz w:val="22"/>
          <w:szCs w:val="22"/>
          <w:lang w:val="it-IT"/>
        </w:rPr>
        <w:t>.</w:t>
      </w:r>
    </w:p>
    <w:p w14:paraId="1B57C3C7" w14:textId="77777777" w:rsidR="00D21EE1" w:rsidRPr="000607AF" w:rsidRDefault="00D21EE1" w:rsidP="00770369">
      <w:pPr>
        <w:rPr>
          <w:sz w:val="22"/>
          <w:szCs w:val="22"/>
          <w:lang w:val="it-IT"/>
        </w:rPr>
      </w:pPr>
    </w:p>
    <w:p w14:paraId="10FE5C79" w14:textId="77777777" w:rsidR="00D21EE1" w:rsidRPr="000607AF" w:rsidRDefault="00D21EE1" w:rsidP="009F5E90">
      <w:pPr>
        <w:widowControl w:val="0"/>
        <w:tabs>
          <w:tab w:val="left" w:pos="345"/>
        </w:tabs>
        <w:autoSpaceDE w:val="0"/>
        <w:autoSpaceDN w:val="0"/>
        <w:adjustRightInd w:val="0"/>
        <w:rPr>
          <w:sz w:val="22"/>
          <w:szCs w:val="22"/>
        </w:rPr>
      </w:pPr>
      <w:bookmarkStart w:id="0" w:name="OLE_LINK1"/>
      <w:r w:rsidRPr="000607AF">
        <w:rPr>
          <w:noProof/>
          <w:sz w:val="22"/>
          <w:szCs w:val="22"/>
          <w:lang w:val="it-IT"/>
        </w:rPr>
        <w:t>Úplný zoznam pomocných látok, pozri časť 6.1.</w:t>
      </w:r>
      <w:bookmarkEnd w:id="0"/>
    </w:p>
    <w:p w14:paraId="092E43C2" w14:textId="77777777" w:rsidR="00D21EE1" w:rsidRPr="000607AF" w:rsidRDefault="00D21EE1" w:rsidP="009F5E90">
      <w:pPr>
        <w:widowControl w:val="0"/>
        <w:tabs>
          <w:tab w:val="left" w:pos="345"/>
        </w:tabs>
        <w:autoSpaceDE w:val="0"/>
        <w:autoSpaceDN w:val="0"/>
        <w:adjustRightInd w:val="0"/>
        <w:rPr>
          <w:b/>
          <w:bCs/>
          <w:sz w:val="22"/>
          <w:szCs w:val="22"/>
        </w:rPr>
      </w:pPr>
    </w:p>
    <w:p w14:paraId="4EEA2CFD" w14:textId="77777777" w:rsidR="00D21EE1" w:rsidRPr="000607AF" w:rsidRDefault="00D21EE1" w:rsidP="00B25EB9">
      <w:pPr>
        <w:widowControl w:val="0"/>
        <w:tabs>
          <w:tab w:val="left" w:pos="345"/>
        </w:tabs>
        <w:autoSpaceDE w:val="0"/>
        <w:autoSpaceDN w:val="0"/>
        <w:adjustRightInd w:val="0"/>
        <w:rPr>
          <w:b/>
          <w:bCs/>
          <w:sz w:val="22"/>
          <w:szCs w:val="22"/>
        </w:rPr>
      </w:pPr>
    </w:p>
    <w:p w14:paraId="08CCB2A4" w14:textId="77777777" w:rsidR="00D21EE1" w:rsidRPr="000607AF" w:rsidRDefault="00D21EE1" w:rsidP="000607AF">
      <w:pPr>
        <w:rPr>
          <w:b/>
          <w:bCs/>
          <w:sz w:val="22"/>
          <w:szCs w:val="22"/>
        </w:rPr>
      </w:pPr>
      <w:r w:rsidRPr="000607AF">
        <w:rPr>
          <w:b/>
          <w:bCs/>
          <w:sz w:val="22"/>
          <w:szCs w:val="22"/>
        </w:rPr>
        <w:t xml:space="preserve">3. </w:t>
      </w:r>
      <w:r w:rsidRPr="000607AF">
        <w:rPr>
          <w:b/>
          <w:bCs/>
          <w:sz w:val="22"/>
          <w:szCs w:val="22"/>
        </w:rPr>
        <w:tab/>
        <w:t>LIEKOVÁ FORMA</w:t>
      </w:r>
    </w:p>
    <w:p w14:paraId="2FEDF10E" w14:textId="77777777" w:rsidR="00D21EE1" w:rsidRPr="000607AF" w:rsidRDefault="00D21EE1" w:rsidP="000607AF">
      <w:pPr>
        <w:widowControl w:val="0"/>
        <w:autoSpaceDE w:val="0"/>
        <w:autoSpaceDN w:val="0"/>
        <w:adjustRightInd w:val="0"/>
        <w:rPr>
          <w:sz w:val="22"/>
          <w:szCs w:val="22"/>
        </w:rPr>
      </w:pPr>
    </w:p>
    <w:p w14:paraId="564577C2" w14:textId="77777777" w:rsidR="00D21EE1" w:rsidRPr="000607AF" w:rsidRDefault="00D21EE1" w:rsidP="000607AF">
      <w:pPr>
        <w:rPr>
          <w:sz w:val="22"/>
          <w:szCs w:val="22"/>
        </w:rPr>
      </w:pPr>
      <w:r w:rsidRPr="000607AF">
        <w:rPr>
          <w:sz w:val="22"/>
          <w:szCs w:val="22"/>
        </w:rPr>
        <w:t>Sirup.</w:t>
      </w:r>
    </w:p>
    <w:p w14:paraId="421026DE" w14:textId="77777777" w:rsidR="00D21EE1" w:rsidRPr="000607AF" w:rsidRDefault="00D21EE1" w:rsidP="000607AF">
      <w:pPr>
        <w:widowControl w:val="0"/>
        <w:autoSpaceDE w:val="0"/>
        <w:autoSpaceDN w:val="0"/>
        <w:adjustRightInd w:val="0"/>
        <w:rPr>
          <w:sz w:val="22"/>
          <w:szCs w:val="22"/>
        </w:rPr>
      </w:pPr>
      <w:r w:rsidRPr="000607AF">
        <w:rPr>
          <w:sz w:val="22"/>
          <w:szCs w:val="22"/>
        </w:rPr>
        <w:t>Číra, červená tekutina s typickou vôňou a višňovou arómou.</w:t>
      </w:r>
    </w:p>
    <w:p w14:paraId="00AFE0E1" w14:textId="77777777" w:rsidR="00D21EE1" w:rsidRPr="000607AF" w:rsidRDefault="00D21EE1" w:rsidP="000607AF">
      <w:pPr>
        <w:widowControl w:val="0"/>
        <w:autoSpaceDE w:val="0"/>
        <w:autoSpaceDN w:val="0"/>
        <w:adjustRightInd w:val="0"/>
        <w:rPr>
          <w:b/>
          <w:bCs/>
          <w:sz w:val="22"/>
          <w:szCs w:val="22"/>
        </w:rPr>
      </w:pPr>
    </w:p>
    <w:p w14:paraId="7652BD20" w14:textId="77777777" w:rsidR="00D21EE1" w:rsidRPr="000607AF" w:rsidRDefault="00D21EE1" w:rsidP="000607AF">
      <w:pPr>
        <w:widowControl w:val="0"/>
        <w:autoSpaceDE w:val="0"/>
        <w:autoSpaceDN w:val="0"/>
        <w:adjustRightInd w:val="0"/>
        <w:rPr>
          <w:b/>
          <w:bCs/>
          <w:sz w:val="22"/>
          <w:szCs w:val="22"/>
        </w:rPr>
      </w:pPr>
    </w:p>
    <w:p w14:paraId="5F2E66F7"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 </w:t>
      </w:r>
      <w:r w:rsidRPr="000607AF">
        <w:rPr>
          <w:b/>
          <w:bCs/>
          <w:sz w:val="22"/>
          <w:szCs w:val="22"/>
        </w:rPr>
        <w:tab/>
        <w:t>KLINICKÉ ÚDAJE</w:t>
      </w:r>
    </w:p>
    <w:p w14:paraId="1230FE28" w14:textId="77777777" w:rsidR="00D21EE1" w:rsidRPr="000607AF" w:rsidRDefault="00D21EE1" w:rsidP="000607AF">
      <w:pPr>
        <w:widowControl w:val="0"/>
        <w:autoSpaceDE w:val="0"/>
        <w:autoSpaceDN w:val="0"/>
        <w:adjustRightInd w:val="0"/>
        <w:rPr>
          <w:b/>
          <w:bCs/>
          <w:sz w:val="22"/>
          <w:szCs w:val="22"/>
        </w:rPr>
      </w:pPr>
    </w:p>
    <w:p w14:paraId="7C92F1A2"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4.1 </w:t>
      </w:r>
      <w:r w:rsidRPr="000607AF">
        <w:rPr>
          <w:b/>
          <w:bCs/>
          <w:sz w:val="22"/>
          <w:szCs w:val="22"/>
        </w:rPr>
        <w:tab/>
        <w:t>Terapeutické indikácie</w:t>
      </w:r>
    </w:p>
    <w:p w14:paraId="2C4CE165" w14:textId="77777777" w:rsidR="00D21EE1" w:rsidRPr="000607AF" w:rsidRDefault="00D21EE1" w:rsidP="000607AF">
      <w:pPr>
        <w:widowControl w:val="0"/>
        <w:autoSpaceDE w:val="0"/>
        <w:autoSpaceDN w:val="0"/>
        <w:adjustRightInd w:val="0"/>
        <w:rPr>
          <w:sz w:val="22"/>
          <w:szCs w:val="22"/>
        </w:rPr>
      </w:pPr>
    </w:p>
    <w:p w14:paraId="1C6F97D1" w14:textId="77777777" w:rsidR="00D21EE1" w:rsidRPr="000607AF" w:rsidRDefault="00D21EE1" w:rsidP="000607AF">
      <w:pPr>
        <w:widowControl w:val="0"/>
        <w:autoSpaceDE w:val="0"/>
        <w:autoSpaceDN w:val="0"/>
        <w:adjustRightInd w:val="0"/>
        <w:rPr>
          <w:sz w:val="22"/>
          <w:szCs w:val="22"/>
        </w:rPr>
      </w:pPr>
      <w:r w:rsidRPr="000607AF">
        <w:rPr>
          <w:sz w:val="22"/>
          <w:szCs w:val="22"/>
        </w:rPr>
        <w:t>Antitusikum na zmiernenie neustupujúceho suchého dráždivého kašľa.</w:t>
      </w:r>
    </w:p>
    <w:p w14:paraId="001FE247" w14:textId="77777777" w:rsidR="003D30D3" w:rsidRPr="000607AF" w:rsidRDefault="003D30D3" w:rsidP="000607AF">
      <w:pPr>
        <w:widowControl w:val="0"/>
        <w:autoSpaceDE w:val="0"/>
        <w:autoSpaceDN w:val="0"/>
        <w:adjustRightInd w:val="0"/>
        <w:rPr>
          <w:sz w:val="22"/>
          <w:szCs w:val="22"/>
        </w:rPr>
      </w:pPr>
      <w:r w:rsidRPr="000607AF">
        <w:rPr>
          <w:sz w:val="22"/>
          <w:szCs w:val="22"/>
        </w:rPr>
        <w:t>Robitussin Junior je indikovaný deťom od 2 do 12 rokov.</w:t>
      </w:r>
    </w:p>
    <w:p w14:paraId="62387DDB" w14:textId="77777777" w:rsidR="00D21EE1" w:rsidRPr="000607AF" w:rsidRDefault="00D21EE1" w:rsidP="000607AF">
      <w:pPr>
        <w:widowControl w:val="0"/>
        <w:autoSpaceDE w:val="0"/>
        <w:autoSpaceDN w:val="0"/>
        <w:adjustRightInd w:val="0"/>
        <w:rPr>
          <w:sz w:val="22"/>
          <w:szCs w:val="22"/>
        </w:rPr>
      </w:pPr>
    </w:p>
    <w:p w14:paraId="2C412004"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4.2 </w:t>
      </w:r>
      <w:r w:rsidRPr="000607AF">
        <w:rPr>
          <w:b/>
          <w:bCs/>
          <w:sz w:val="22"/>
          <w:szCs w:val="22"/>
        </w:rPr>
        <w:tab/>
        <w:t>Dávkovanie a spôsob podávania</w:t>
      </w:r>
    </w:p>
    <w:p w14:paraId="5975F911" w14:textId="77777777" w:rsidR="00D21EE1" w:rsidRPr="000607AF" w:rsidRDefault="00D21EE1" w:rsidP="000607AF">
      <w:pPr>
        <w:widowControl w:val="0"/>
        <w:autoSpaceDE w:val="0"/>
        <w:autoSpaceDN w:val="0"/>
        <w:adjustRightInd w:val="0"/>
        <w:rPr>
          <w:b/>
          <w:bCs/>
          <w:sz w:val="22"/>
          <w:szCs w:val="22"/>
        </w:rPr>
      </w:pPr>
    </w:p>
    <w:p w14:paraId="1DE0E32F" w14:textId="77777777" w:rsidR="003D30D3" w:rsidRPr="000607AF" w:rsidRDefault="003D30D3" w:rsidP="000607AF">
      <w:pPr>
        <w:widowControl w:val="0"/>
        <w:tabs>
          <w:tab w:val="left" w:pos="3091"/>
        </w:tabs>
        <w:autoSpaceDE w:val="0"/>
        <w:autoSpaceDN w:val="0"/>
        <w:adjustRightInd w:val="0"/>
        <w:rPr>
          <w:sz w:val="22"/>
          <w:szCs w:val="22"/>
          <w:u w:val="single"/>
        </w:rPr>
      </w:pPr>
      <w:r w:rsidRPr="000607AF">
        <w:rPr>
          <w:sz w:val="22"/>
          <w:szCs w:val="22"/>
          <w:u w:val="single"/>
        </w:rPr>
        <w:t>Dávkovanie</w:t>
      </w:r>
    </w:p>
    <w:p w14:paraId="57784C07" w14:textId="2603852B" w:rsidR="00D21EE1" w:rsidRPr="000607AF" w:rsidRDefault="00D21EE1" w:rsidP="000607AF">
      <w:pPr>
        <w:widowControl w:val="0"/>
        <w:tabs>
          <w:tab w:val="left" w:pos="3091"/>
        </w:tabs>
        <w:autoSpaceDE w:val="0"/>
        <w:autoSpaceDN w:val="0"/>
        <w:adjustRightInd w:val="0"/>
        <w:rPr>
          <w:sz w:val="22"/>
          <w:szCs w:val="22"/>
        </w:rPr>
      </w:pPr>
      <w:r w:rsidRPr="000607AF">
        <w:rPr>
          <w:sz w:val="22"/>
          <w:szCs w:val="22"/>
        </w:rPr>
        <w:t>Deti od 6</w:t>
      </w:r>
      <w:r w:rsidR="003D30D3" w:rsidRPr="000607AF">
        <w:rPr>
          <w:sz w:val="22"/>
          <w:szCs w:val="22"/>
        </w:rPr>
        <w:t xml:space="preserve"> do </w:t>
      </w:r>
      <w:r w:rsidRPr="000607AF">
        <w:rPr>
          <w:sz w:val="22"/>
          <w:szCs w:val="22"/>
        </w:rPr>
        <w:t>12 rokov:</w:t>
      </w:r>
      <w:r w:rsidR="00336CCC">
        <w:rPr>
          <w:sz w:val="22"/>
          <w:szCs w:val="22"/>
        </w:rPr>
        <w:t xml:space="preserve"> </w:t>
      </w:r>
      <w:r w:rsidRPr="000607AF">
        <w:rPr>
          <w:sz w:val="22"/>
          <w:szCs w:val="22"/>
        </w:rPr>
        <w:t>10 ml každé 4 hodiny</w:t>
      </w:r>
    </w:p>
    <w:p w14:paraId="3D098D19" w14:textId="7018974A" w:rsidR="00D21EE1" w:rsidRPr="000607AF" w:rsidRDefault="00D21EE1" w:rsidP="000607AF">
      <w:pPr>
        <w:widowControl w:val="0"/>
        <w:tabs>
          <w:tab w:val="left" w:pos="3091"/>
        </w:tabs>
        <w:autoSpaceDE w:val="0"/>
        <w:autoSpaceDN w:val="0"/>
        <w:adjustRightInd w:val="0"/>
        <w:rPr>
          <w:sz w:val="22"/>
          <w:szCs w:val="22"/>
        </w:rPr>
      </w:pPr>
      <w:r w:rsidRPr="000607AF">
        <w:rPr>
          <w:sz w:val="22"/>
          <w:szCs w:val="22"/>
        </w:rPr>
        <w:t>Deti od 2</w:t>
      </w:r>
      <w:r w:rsidR="003D30D3" w:rsidRPr="000607AF">
        <w:rPr>
          <w:sz w:val="22"/>
          <w:szCs w:val="22"/>
        </w:rPr>
        <w:t xml:space="preserve"> do </w:t>
      </w:r>
      <w:r w:rsidRPr="000607AF">
        <w:rPr>
          <w:sz w:val="22"/>
          <w:szCs w:val="22"/>
        </w:rPr>
        <w:t>6 rokov:</w:t>
      </w:r>
      <w:r w:rsidR="00336CCC">
        <w:rPr>
          <w:sz w:val="22"/>
          <w:szCs w:val="22"/>
        </w:rPr>
        <w:t xml:space="preserve"> </w:t>
      </w:r>
      <w:r w:rsidRPr="000607AF">
        <w:rPr>
          <w:sz w:val="22"/>
          <w:szCs w:val="22"/>
        </w:rPr>
        <w:t>5 ml každé 4 hodiny</w:t>
      </w:r>
    </w:p>
    <w:p w14:paraId="3276C8C8" w14:textId="77777777" w:rsidR="00D21EE1" w:rsidRPr="000607AF" w:rsidRDefault="00D21EE1" w:rsidP="000607AF">
      <w:pPr>
        <w:widowControl w:val="0"/>
        <w:tabs>
          <w:tab w:val="left" w:pos="3091"/>
        </w:tabs>
        <w:autoSpaceDE w:val="0"/>
        <w:autoSpaceDN w:val="0"/>
        <w:adjustRightInd w:val="0"/>
        <w:rPr>
          <w:sz w:val="22"/>
          <w:szCs w:val="22"/>
        </w:rPr>
      </w:pPr>
    </w:p>
    <w:p w14:paraId="12016C30" w14:textId="77777777" w:rsidR="00D21EE1" w:rsidRPr="000607AF" w:rsidRDefault="003D30D3" w:rsidP="000607AF">
      <w:pPr>
        <w:widowControl w:val="0"/>
        <w:autoSpaceDE w:val="0"/>
        <w:autoSpaceDN w:val="0"/>
        <w:adjustRightInd w:val="0"/>
        <w:rPr>
          <w:sz w:val="22"/>
          <w:szCs w:val="22"/>
        </w:rPr>
      </w:pPr>
      <w:r w:rsidRPr="000607AF">
        <w:rPr>
          <w:sz w:val="22"/>
          <w:szCs w:val="22"/>
        </w:rPr>
        <w:t>Robitussin Junior je kontraindikovaný u detí do 2 rokov (pozri časť 4.3).</w:t>
      </w:r>
      <w:r w:rsidR="008064DD" w:rsidRPr="000607AF">
        <w:rPr>
          <w:sz w:val="22"/>
          <w:szCs w:val="22"/>
        </w:rPr>
        <w:t xml:space="preserve"> </w:t>
      </w:r>
      <w:r w:rsidR="00DA343A" w:rsidRPr="000607AF">
        <w:rPr>
          <w:sz w:val="22"/>
          <w:szCs w:val="22"/>
        </w:rPr>
        <w:t>Na odmeranie dávky použite priložený odmerný pohár.</w:t>
      </w:r>
    </w:p>
    <w:p w14:paraId="5BA02482" w14:textId="77777777" w:rsidR="00FE459E" w:rsidRPr="000607AF" w:rsidRDefault="00FE459E" w:rsidP="000607AF">
      <w:pPr>
        <w:widowControl w:val="0"/>
        <w:autoSpaceDE w:val="0"/>
        <w:autoSpaceDN w:val="0"/>
        <w:adjustRightInd w:val="0"/>
        <w:rPr>
          <w:sz w:val="22"/>
          <w:szCs w:val="22"/>
        </w:rPr>
      </w:pPr>
    </w:p>
    <w:p w14:paraId="29A57C79" w14:textId="77777777" w:rsidR="00FE459E" w:rsidRPr="000607AF" w:rsidRDefault="00FE459E" w:rsidP="000607AF">
      <w:pPr>
        <w:widowControl w:val="0"/>
        <w:autoSpaceDE w:val="0"/>
        <w:autoSpaceDN w:val="0"/>
        <w:adjustRightInd w:val="0"/>
        <w:rPr>
          <w:sz w:val="22"/>
          <w:szCs w:val="22"/>
          <w:u w:val="single"/>
        </w:rPr>
      </w:pPr>
      <w:r w:rsidRPr="000607AF">
        <w:rPr>
          <w:sz w:val="22"/>
          <w:szCs w:val="22"/>
          <w:u w:val="single"/>
        </w:rPr>
        <w:t>Spôsob podávania</w:t>
      </w:r>
    </w:p>
    <w:p w14:paraId="4CA5015A" w14:textId="77777777" w:rsidR="00122307" w:rsidRPr="000607AF" w:rsidRDefault="006967E4" w:rsidP="000607AF">
      <w:pPr>
        <w:widowControl w:val="0"/>
        <w:autoSpaceDE w:val="0"/>
        <w:autoSpaceDN w:val="0"/>
        <w:adjustRightInd w:val="0"/>
        <w:rPr>
          <w:sz w:val="22"/>
          <w:szCs w:val="22"/>
        </w:rPr>
      </w:pPr>
      <w:r w:rsidRPr="000607AF">
        <w:rPr>
          <w:sz w:val="22"/>
          <w:szCs w:val="22"/>
        </w:rPr>
        <w:t>P</w:t>
      </w:r>
      <w:r w:rsidR="00FE459E" w:rsidRPr="000607AF">
        <w:rPr>
          <w:sz w:val="22"/>
          <w:szCs w:val="22"/>
        </w:rPr>
        <w:t>erorálne použitie</w:t>
      </w:r>
    </w:p>
    <w:p w14:paraId="7131B9E7" w14:textId="77777777" w:rsidR="00D21EE1" w:rsidRPr="000607AF" w:rsidRDefault="00D21EE1" w:rsidP="000607AF">
      <w:pPr>
        <w:widowControl w:val="0"/>
        <w:autoSpaceDE w:val="0"/>
        <w:autoSpaceDN w:val="0"/>
        <w:adjustRightInd w:val="0"/>
        <w:rPr>
          <w:sz w:val="22"/>
          <w:szCs w:val="22"/>
        </w:rPr>
      </w:pPr>
    </w:p>
    <w:p w14:paraId="1BB5B574"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4.3 </w:t>
      </w:r>
      <w:r w:rsidRPr="000607AF">
        <w:rPr>
          <w:b/>
          <w:bCs/>
          <w:sz w:val="22"/>
          <w:szCs w:val="22"/>
        </w:rPr>
        <w:tab/>
        <w:t>Kontraindikácie</w:t>
      </w:r>
    </w:p>
    <w:p w14:paraId="24FED139"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 </w:t>
      </w:r>
    </w:p>
    <w:p w14:paraId="5EAD4661" w14:textId="77777777" w:rsidR="003D30D3" w:rsidRPr="000607AF" w:rsidRDefault="003D30D3" w:rsidP="00D0305C">
      <w:pPr>
        <w:widowControl w:val="0"/>
        <w:numPr>
          <w:ilvl w:val="0"/>
          <w:numId w:val="5"/>
        </w:numPr>
        <w:tabs>
          <w:tab w:val="clear" w:pos="720"/>
          <w:tab w:val="num" w:pos="284"/>
        </w:tabs>
        <w:autoSpaceDE w:val="0"/>
        <w:autoSpaceDN w:val="0"/>
        <w:adjustRightInd w:val="0"/>
        <w:ind w:left="0" w:firstLine="0"/>
        <w:rPr>
          <w:sz w:val="22"/>
          <w:szCs w:val="22"/>
        </w:rPr>
      </w:pPr>
      <w:r w:rsidRPr="000607AF">
        <w:rPr>
          <w:sz w:val="22"/>
          <w:szCs w:val="22"/>
        </w:rPr>
        <w:t xml:space="preserve">Precitlivenosť na liečivo alebo na ktorúkoľvek z pomocných látok uvedených v časti 6.1. </w:t>
      </w:r>
    </w:p>
    <w:p w14:paraId="3871ECCD" w14:textId="77777777" w:rsidR="003D30D3" w:rsidRPr="000607AF" w:rsidRDefault="003D30D3" w:rsidP="000607AF">
      <w:pPr>
        <w:widowControl w:val="0"/>
        <w:numPr>
          <w:ilvl w:val="0"/>
          <w:numId w:val="4"/>
        </w:numPr>
        <w:autoSpaceDE w:val="0"/>
        <w:autoSpaceDN w:val="0"/>
        <w:adjustRightInd w:val="0"/>
        <w:rPr>
          <w:sz w:val="22"/>
          <w:szCs w:val="22"/>
        </w:rPr>
      </w:pPr>
      <w:r w:rsidRPr="000607AF">
        <w:rPr>
          <w:noProof/>
          <w:sz w:val="22"/>
          <w:szCs w:val="22"/>
        </w:rPr>
        <w:t>Nepoužívajte u pacientov užívajúcich inhibítory monoaminoxidázy (IMAO), selektívne inhibítory spätného vychytávania sérotonínu (SSRI) alebo iné lieky na depresiu, psychiatrické alebo emočné stavy alebo na Parkinsonovu chorobu alebo do dvoch týždňov po ukončení liečby</w:t>
      </w:r>
      <w:r w:rsidR="00DA343A" w:rsidRPr="000607AF">
        <w:rPr>
          <w:noProof/>
          <w:sz w:val="22"/>
          <w:szCs w:val="22"/>
        </w:rPr>
        <w:t xml:space="preserve"> týmito liekmi</w:t>
      </w:r>
      <w:r w:rsidRPr="000607AF">
        <w:rPr>
          <w:noProof/>
          <w:sz w:val="22"/>
          <w:szCs w:val="22"/>
        </w:rPr>
        <w:t>.</w:t>
      </w:r>
    </w:p>
    <w:p w14:paraId="05964E17" w14:textId="77777777" w:rsidR="00D21EE1" w:rsidRPr="000607AF" w:rsidRDefault="00D21EE1" w:rsidP="000607AF">
      <w:pPr>
        <w:widowControl w:val="0"/>
        <w:numPr>
          <w:ilvl w:val="0"/>
          <w:numId w:val="4"/>
        </w:numPr>
        <w:autoSpaceDE w:val="0"/>
        <w:autoSpaceDN w:val="0"/>
        <w:adjustRightInd w:val="0"/>
        <w:rPr>
          <w:sz w:val="22"/>
          <w:szCs w:val="22"/>
        </w:rPr>
      </w:pPr>
      <w:r w:rsidRPr="000607AF">
        <w:rPr>
          <w:noProof/>
          <w:sz w:val="22"/>
          <w:szCs w:val="22"/>
        </w:rPr>
        <w:t>Kašeľ s nadmernou tvorbou hlienu</w:t>
      </w:r>
      <w:r w:rsidR="00051D7D" w:rsidRPr="000607AF">
        <w:rPr>
          <w:noProof/>
          <w:sz w:val="22"/>
          <w:szCs w:val="22"/>
        </w:rPr>
        <w:t>.</w:t>
      </w:r>
    </w:p>
    <w:p w14:paraId="723E851F" w14:textId="77777777" w:rsidR="00D21EE1" w:rsidRPr="000607AF" w:rsidRDefault="00D21EE1" w:rsidP="000607AF">
      <w:pPr>
        <w:widowControl w:val="0"/>
        <w:numPr>
          <w:ilvl w:val="0"/>
          <w:numId w:val="4"/>
        </w:numPr>
        <w:autoSpaceDE w:val="0"/>
        <w:autoSpaceDN w:val="0"/>
        <w:adjustRightInd w:val="0"/>
        <w:rPr>
          <w:sz w:val="22"/>
          <w:szCs w:val="22"/>
        </w:rPr>
      </w:pPr>
      <w:r w:rsidRPr="000607AF">
        <w:rPr>
          <w:noProof/>
          <w:sz w:val="22"/>
          <w:szCs w:val="22"/>
        </w:rPr>
        <w:t>Nepoužívajte u detí do 2 rokov.</w:t>
      </w:r>
    </w:p>
    <w:p w14:paraId="6385DC03" w14:textId="77777777" w:rsidR="00D21EE1" w:rsidRPr="000607AF" w:rsidRDefault="00D21EE1" w:rsidP="000607AF">
      <w:pPr>
        <w:widowControl w:val="0"/>
        <w:autoSpaceDE w:val="0"/>
        <w:autoSpaceDN w:val="0"/>
        <w:adjustRightInd w:val="0"/>
        <w:rPr>
          <w:sz w:val="22"/>
          <w:szCs w:val="22"/>
        </w:rPr>
      </w:pPr>
    </w:p>
    <w:p w14:paraId="215652B5" w14:textId="77777777" w:rsidR="00336CCC" w:rsidRDefault="00336CCC" w:rsidP="000607AF">
      <w:pPr>
        <w:widowControl w:val="0"/>
        <w:autoSpaceDE w:val="0"/>
        <w:autoSpaceDN w:val="0"/>
        <w:adjustRightInd w:val="0"/>
        <w:rPr>
          <w:b/>
          <w:bCs/>
          <w:sz w:val="22"/>
          <w:szCs w:val="22"/>
        </w:rPr>
      </w:pPr>
    </w:p>
    <w:p w14:paraId="07AFA7A6" w14:textId="77777777" w:rsidR="00336CCC" w:rsidRDefault="00336CCC" w:rsidP="000607AF">
      <w:pPr>
        <w:widowControl w:val="0"/>
        <w:autoSpaceDE w:val="0"/>
        <w:autoSpaceDN w:val="0"/>
        <w:adjustRightInd w:val="0"/>
        <w:rPr>
          <w:b/>
          <w:bCs/>
          <w:sz w:val="22"/>
          <w:szCs w:val="22"/>
        </w:rPr>
      </w:pPr>
    </w:p>
    <w:p w14:paraId="78BF4020"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lastRenderedPageBreak/>
        <w:t xml:space="preserve">4.4 </w:t>
      </w:r>
      <w:r w:rsidRPr="000607AF">
        <w:rPr>
          <w:b/>
          <w:bCs/>
          <w:sz w:val="22"/>
          <w:szCs w:val="22"/>
        </w:rPr>
        <w:tab/>
      </w:r>
      <w:r w:rsidRPr="000607AF">
        <w:rPr>
          <w:b/>
          <w:bCs/>
          <w:noProof/>
          <w:sz w:val="22"/>
          <w:szCs w:val="22"/>
          <w:lang w:val="it-IT"/>
        </w:rPr>
        <w:t xml:space="preserve"> Osobitné upozornenia a opatrenia pri používaní</w:t>
      </w:r>
    </w:p>
    <w:p w14:paraId="5C0C0E00" w14:textId="77777777" w:rsidR="00D21EE1" w:rsidRPr="000607AF" w:rsidRDefault="00D21EE1" w:rsidP="000607AF">
      <w:pPr>
        <w:widowControl w:val="0"/>
        <w:autoSpaceDE w:val="0"/>
        <w:autoSpaceDN w:val="0"/>
        <w:adjustRightInd w:val="0"/>
        <w:rPr>
          <w:sz w:val="22"/>
          <w:szCs w:val="22"/>
          <w:lang w:val="it-IT"/>
        </w:rPr>
      </w:pPr>
      <w:r w:rsidRPr="000607AF">
        <w:rPr>
          <w:sz w:val="22"/>
          <w:szCs w:val="22"/>
          <w:lang w:val="it-IT"/>
        </w:rPr>
        <w:t xml:space="preserve"> </w:t>
      </w:r>
    </w:p>
    <w:p w14:paraId="5581F1F0"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Osobitná opatrnosť sa odporúča v prípade chronického kašľa, ktorý sa prejavuje pri fajčení alebo pri chronickom ochorení pľúc, ako je astma alebo emfyzém a respiračná insuficiencia.</w:t>
      </w:r>
    </w:p>
    <w:p w14:paraId="752B5927"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Neodporúča sa, ak kašeľ pretrváva dlhšie ako</w:t>
      </w:r>
      <w:r w:rsidR="00DA343A" w:rsidRPr="000607AF">
        <w:rPr>
          <w:sz w:val="22"/>
          <w:szCs w:val="22"/>
          <w:lang w:val="it-IT"/>
        </w:rPr>
        <w:t xml:space="preserve"> 3 dni</w:t>
      </w:r>
      <w:r w:rsidRPr="000607AF">
        <w:rPr>
          <w:sz w:val="22"/>
          <w:szCs w:val="22"/>
          <w:lang w:val="it-IT"/>
        </w:rPr>
        <w:t>, vracia sa alebo je sprevádzaný horúčkou, vyrážkou alebo pretrvávajúcou bolesťou hlavy.</w:t>
      </w:r>
    </w:p>
    <w:p w14:paraId="1B082CA0"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Používajte s opatrnosťou u pacientov s </w:t>
      </w:r>
      <w:r w:rsidR="00DA343A" w:rsidRPr="000607AF">
        <w:rPr>
          <w:sz w:val="22"/>
          <w:szCs w:val="22"/>
          <w:lang w:val="it-IT"/>
        </w:rPr>
        <w:t xml:space="preserve">dýchacou nedostatočnosťou alebo s </w:t>
      </w:r>
      <w:r w:rsidR="00122307" w:rsidRPr="000607AF">
        <w:rPr>
          <w:sz w:val="22"/>
          <w:szCs w:val="22"/>
          <w:lang w:val="it-IT"/>
        </w:rPr>
        <w:t>poruchou funkcie pečene</w:t>
      </w:r>
      <w:r w:rsidRPr="000607AF">
        <w:rPr>
          <w:sz w:val="22"/>
          <w:szCs w:val="22"/>
          <w:lang w:val="it-IT"/>
        </w:rPr>
        <w:t>.</w:t>
      </w:r>
    </w:p>
    <w:p w14:paraId="23A4A88E"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Tento liek obsahuje amarant</w:t>
      </w:r>
      <w:r w:rsidR="00DA343A" w:rsidRPr="000607AF">
        <w:rPr>
          <w:sz w:val="22"/>
          <w:szCs w:val="22"/>
          <w:lang w:val="it-IT"/>
        </w:rPr>
        <w:t xml:space="preserve"> (E123)</w:t>
      </w:r>
      <w:r w:rsidRPr="000607AF">
        <w:rPr>
          <w:sz w:val="22"/>
          <w:szCs w:val="22"/>
          <w:lang w:val="it-IT"/>
        </w:rPr>
        <w:t>, ktorý môže vyvolať alergické reakcie.</w:t>
      </w:r>
    </w:p>
    <w:p w14:paraId="7EE30C6D"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Pacienti so zriedkavými vrodenými problémami neznášanlivosti fruktózy nemajú užívať tento liek, pretože liek obsahuje sorbitol a maltitol.</w:t>
      </w:r>
    </w:p>
    <w:p w14:paraId="67609E51" w14:textId="77777777" w:rsidR="00D21EE1" w:rsidRPr="000607AF" w:rsidRDefault="00D21EE1" w:rsidP="000607AF">
      <w:pPr>
        <w:widowControl w:val="0"/>
        <w:numPr>
          <w:ilvl w:val="0"/>
          <w:numId w:val="4"/>
        </w:numPr>
        <w:autoSpaceDE w:val="0"/>
        <w:autoSpaceDN w:val="0"/>
        <w:adjustRightInd w:val="0"/>
        <w:rPr>
          <w:sz w:val="22"/>
          <w:szCs w:val="22"/>
        </w:rPr>
      </w:pPr>
      <w:r w:rsidRPr="000607AF">
        <w:rPr>
          <w:sz w:val="22"/>
          <w:szCs w:val="22"/>
        </w:rPr>
        <w:t>Tento liek obsahuje 2,5</w:t>
      </w:r>
      <w:r w:rsidR="00852BEE" w:rsidRPr="000607AF">
        <w:rPr>
          <w:sz w:val="22"/>
          <w:szCs w:val="22"/>
        </w:rPr>
        <w:t> </w:t>
      </w:r>
      <w:r w:rsidRPr="000607AF">
        <w:rPr>
          <w:sz w:val="22"/>
          <w:szCs w:val="22"/>
        </w:rPr>
        <w:t>% (V/V) etanolu (alkohol)</w:t>
      </w:r>
      <w:r w:rsidR="003D30D3" w:rsidRPr="000607AF">
        <w:rPr>
          <w:sz w:val="22"/>
          <w:szCs w:val="22"/>
        </w:rPr>
        <w:t>, t.j. až 206 mg na 10 ml dávku, čo zodpovedá 5,15 ml piva alebo 2,15 ml vína na 10 ml dávku</w:t>
      </w:r>
      <w:r w:rsidRPr="000607AF">
        <w:rPr>
          <w:sz w:val="22"/>
          <w:szCs w:val="22"/>
        </w:rPr>
        <w:t xml:space="preserve">. </w:t>
      </w:r>
      <w:smartTag w:uri="urn:schemas-microsoft-com:office:smarttags" w:element="PersonName">
        <w:r w:rsidRPr="000607AF">
          <w:rPr>
            <w:sz w:val="22"/>
            <w:szCs w:val="22"/>
          </w:rPr>
          <w:t>Liek</w:t>
        </w:r>
      </w:smartTag>
      <w:r w:rsidRPr="000607AF">
        <w:rPr>
          <w:sz w:val="22"/>
          <w:szCs w:val="22"/>
        </w:rPr>
        <w:t xml:space="preserve"> je škodlivý pre ľudí</w:t>
      </w:r>
    </w:p>
    <w:p w14:paraId="00A678D9" w14:textId="77777777" w:rsidR="00D21EE1" w:rsidRPr="000607AF" w:rsidRDefault="00D21EE1" w:rsidP="000607AF">
      <w:pPr>
        <w:widowControl w:val="0"/>
        <w:autoSpaceDE w:val="0"/>
        <w:autoSpaceDN w:val="0"/>
        <w:adjustRightInd w:val="0"/>
        <w:ind w:left="708"/>
        <w:rPr>
          <w:sz w:val="22"/>
          <w:szCs w:val="22"/>
        </w:rPr>
      </w:pPr>
      <w:r w:rsidRPr="000607AF">
        <w:rPr>
          <w:sz w:val="22"/>
          <w:szCs w:val="22"/>
        </w:rPr>
        <w:t xml:space="preserve">trpiacich alkoholizmom. Musí sa vziať do úvahy u tehotných a dojčiacich žien, detí a vysoko rizikových skupín, ako sú pacienti s ochorením pečene alebo epilepsiou. </w:t>
      </w:r>
    </w:p>
    <w:p w14:paraId="0D76D422" w14:textId="77777777" w:rsidR="00DA343A" w:rsidRPr="000607AF" w:rsidRDefault="00DA343A" w:rsidP="000607AF">
      <w:pPr>
        <w:widowControl w:val="0"/>
        <w:numPr>
          <w:ilvl w:val="0"/>
          <w:numId w:val="4"/>
        </w:numPr>
        <w:autoSpaceDE w:val="0"/>
        <w:autoSpaceDN w:val="0"/>
        <w:adjustRightInd w:val="0"/>
        <w:rPr>
          <w:sz w:val="22"/>
          <w:szCs w:val="22"/>
        </w:rPr>
      </w:pPr>
      <w:r w:rsidRPr="000607AF">
        <w:rPr>
          <w:sz w:val="22"/>
          <w:szCs w:val="22"/>
        </w:rPr>
        <w:t>Počas liečby sa nesmú požívať alkoholické nápoje a užívať lieky obsahujúce alkohol.</w:t>
      </w:r>
    </w:p>
    <w:p w14:paraId="22B4D1C7" w14:textId="77777777" w:rsidR="00322BD1" w:rsidRPr="000607AF" w:rsidRDefault="00322BD1" w:rsidP="000607AF">
      <w:pPr>
        <w:pStyle w:val="Default"/>
        <w:numPr>
          <w:ilvl w:val="0"/>
          <w:numId w:val="4"/>
        </w:numPr>
        <w:rPr>
          <w:bCs/>
          <w:sz w:val="22"/>
          <w:szCs w:val="22"/>
        </w:rPr>
      </w:pPr>
      <w:r w:rsidRPr="000607AF">
        <w:rPr>
          <w:bCs/>
          <w:sz w:val="22"/>
          <w:szCs w:val="22"/>
        </w:rPr>
        <w:t>Boli hlásené prípady zneužívania</w:t>
      </w:r>
      <w:r w:rsidR="00701E19">
        <w:rPr>
          <w:bCs/>
          <w:sz w:val="22"/>
          <w:szCs w:val="22"/>
        </w:rPr>
        <w:t xml:space="preserve"> a závislosti od</w:t>
      </w:r>
      <w:r w:rsidRPr="000607AF">
        <w:rPr>
          <w:bCs/>
          <w:sz w:val="22"/>
          <w:szCs w:val="22"/>
        </w:rPr>
        <w:t xml:space="preserve"> dextrometorfánu. </w:t>
      </w:r>
      <w:r w:rsidR="00701E19">
        <w:rPr>
          <w:bCs/>
          <w:sz w:val="22"/>
          <w:szCs w:val="22"/>
        </w:rPr>
        <w:t xml:space="preserve">Opatrnosť sa </w:t>
      </w:r>
      <w:r w:rsidR="00701E19" w:rsidRPr="000607AF">
        <w:rPr>
          <w:bCs/>
          <w:sz w:val="22"/>
          <w:szCs w:val="22"/>
        </w:rPr>
        <w:t>o</w:t>
      </w:r>
      <w:r w:rsidR="00F63786">
        <w:rPr>
          <w:bCs/>
          <w:sz w:val="22"/>
          <w:szCs w:val="22"/>
        </w:rPr>
        <w:t>dporúča</w:t>
      </w:r>
      <w:r w:rsidRPr="000607AF">
        <w:rPr>
          <w:bCs/>
          <w:sz w:val="22"/>
          <w:szCs w:val="22"/>
        </w:rPr>
        <w:t xml:space="preserve"> predovšetkým u dospievajúcich a mladých dospelých, ako aj u pacientov s</w:t>
      </w:r>
      <w:r w:rsidR="00701E19">
        <w:rPr>
          <w:bCs/>
          <w:sz w:val="22"/>
          <w:szCs w:val="22"/>
        </w:rPr>
        <w:t>o</w:t>
      </w:r>
      <w:r w:rsidRPr="000607AF">
        <w:rPr>
          <w:bCs/>
          <w:sz w:val="22"/>
          <w:szCs w:val="22"/>
        </w:rPr>
        <w:t xml:space="preserve"> </w:t>
      </w:r>
      <w:r w:rsidR="00701E19">
        <w:rPr>
          <w:bCs/>
          <w:sz w:val="22"/>
          <w:szCs w:val="22"/>
        </w:rPr>
        <w:t xml:space="preserve">zneužívaním </w:t>
      </w:r>
      <w:r w:rsidRPr="000607AF">
        <w:rPr>
          <w:bCs/>
          <w:sz w:val="22"/>
          <w:szCs w:val="22"/>
        </w:rPr>
        <w:t>drog alebo psychoaktívnych látok</w:t>
      </w:r>
      <w:r w:rsidR="00701E19">
        <w:rPr>
          <w:bCs/>
          <w:sz w:val="22"/>
          <w:szCs w:val="22"/>
        </w:rPr>
        <w:t xml:space="preserve"> v anamnéze</w:t>
      </w:r>
      <w:r w:rsidRPr="000607AF">
        <w:rPr>
          <w:bCs/>
          <w:sz w:val="22"/>
          <w:szCs w:val="22"/>
        </w:rPr>
        <w:t xml:space="preserve">. </w:t>
      </w:r>
    </w:p>
    <w:p w14:paraId="0DE091D4" w14:textId="77777777" w:rsidR="00322BD1" w:rsidRPr="000607AF" w:rsidRDefault="00322BD1" w:rsidP="000607AF">
      <w:pPr>
        <w:widowControl w:val="0"/>
        <w:numPr>
          <w:ilvl w:val="0"/>
          <w:numId w:val="4"/>
        </w:numPr>
        <w:autoSpaceDE w:val="0"/>
        <w:autoSpaceDN w:val="0"/>
        <w:adjustRightInd w:val="0"/>
        <w:rPr>
          <w:sz w:val="22"/>
          <w:szCs w:val="22"/>
        </w:rPr>
      </w:pPr>
      <w:r w:rsidRPr="000607AF">
        <w:rPr>
          <w:bCs/>
          <w:sz w:val="22"/>
          <w:szCs w:val="22"/>
        </w:rPr>
        <w:t>Dextrometorfán je metabolizovaný pečeňovým cytochrómom P450 2D6. Aktivita tohto enzýmu je daná geneticky. Približne 10 % celkovej populácie slabo metabolizuje CYP2D6. U</w:t>
      </w:r>
      <w:r w:rsidR="00E25FFF" w:rsidRPr="000607AF">
        <w:rPr>
          <w:sz w:val="22"/>
          <w:szCs w:val="22"/>
        </w:rPr>
        <w:t> </w:t>
      </w:r>
      <w:r w:rsidRPr="00E25FFF">
        <w:rPr>
          <w:bCs/>
          <w:sz w:val="22"/>
          <w:szCs w:val="22"/>
        </w:rPr>
        <w:t>osôb slabo</w:t>
      </w:r>
      <w:r w:rsidRPr="00770369">
        <w:rPr>
          <w:bCs/>
          <w:sz w:val="22"/>
          <w:szCs w:val="22"/>
        </w:rPr>
        <w:t xml:space="preserve"> metabolizujúcich CYP2D6 a pacientov súčasne užívajúcich inhibítory CYP2D6 môže dochádzať k zvýšeným a/alebo predĺženým účinkom dextrometorfánu. Preto by sa u</w:t>
      </w:r>
      <w:r w:rsidR="00F272E8" w:rsidRPr="00770369">
        <w:rPr>
          <w:bCs/>
          <w:sz w:val="22"/>
          <w:szCs w:val="22"/>
        </w:rPr>
        <w:t> </w:t>
      </w:r>
      <w:r w:rsidRPr="009F5E90">
        <w:rPr>
          <w:bCs/>
          <w:sz w:val="22"/>
          <w:szCs w:val="22"/>
        </w:rPr>
        <w:t>pacie</w:t>
      </w:r>
      <w:r w:rsidRPr="00B25EB9">
        <w:rPr>
          <w:bCs/>
          <w:sz w:val="22"/>
          <w:szCs w:val="22"/>
        </w:rPr>
        <w:t>ntov pomaly metabolizujúcich CYP2D6 alebo užívajúcich inhibítory CYP2D6 mala zvýšiť pozornosť (pozri aj časť 4.5).</w:t>
      </w:r>
    </w:p>
    <w:p w14:paraId="7B473BA1" w14:textId="77777777" w:rsidR="00D21EE1" w:rsidRDefault="00D21EE1" w:rsidP="000607AF">
      <w:pPr>
        <w:widowControl w:val="0"/>
        <w:autoSpaceDE w:val="0"/>
        <w:autoSpaceDN w:val="0"/>
        <w:adjustRightInd w:val="0"/>
        <w:rPr>
          <w:sz w:val="22"/>
          <w:szCs w:val="22"/>
        </w:rPr>
      </w:pPr>
    </w:p>
    <w:p w14:paraId="76C78E3A" w14:textId="77777777" w:rsidR="00701E19" w:rsidRPr="00FB3BBA" w:rsidRDefault="00701E19" w:rsidP="00701E19">
      <w:pPr>
        <w:rPr>
          <w:sz w:val="22"/>
          <w:szCs w:val="22"/>
          <w:u w:val="single"/>
        </w:rPr>
      </w:pPr>
      <w:r w:rsidRPr="00FB3BBA">
        <w:rPr>
          <w:sz w:val="22"/>
          <w:szCs w:val="22"/>
          <w:u w:val="single"/>
        </w:rPr>
        <w:t xml:space="preserve">Sérotonínový syndróm </w:t>
      </w:r>
    </w:p>
    <w:p w14:paraId="60A83D88" w14:textId="77777777" w:rsidR="00701E19" w:rsidRPr="00FB3BBA" w:rsidRDefault="00701E19" w:rsidP="00701E19">
      <w:pPr>
        <w:rPr>
          <w:sz w:val="22"/>
          <w:szCs w:val="22"/>
        </w:rPr>
      </w:pPr>
      <w:r w:rsidRPr="00FB3BBA">
        <w:rPr>
          <w:sz w:val="22"/>
          <w:szCs w:val="22"/>
        </w:rPr>
        <w:t>Sérotonergné účinky vrátane rozvoja</w:t>
      </w:r>
      <w:r>
        <w:rPr>
          <w:sz w:val="22"/>
          <w:szCs w:val="22"/>
        </w:rPr>
        <w:t xml:space="preserve"> </w:t>
      </w:r>
      <w:r w:rsidRPr="00FB3BBA">
        <w:rPr>
          <w:sz w:val="22"/>
          <w:szCs w:val="22"/>
        </w:rPr>
        <w:t>potenciálne život ohrozujúceho</w:t>
      </w:r>
      <w:r>
        <w:rPr>
          <w:sz w:val="22"/>
          <w:szCs w:val="22"/>
        </w:rPr>
        <w:t xml:space="preserve"> </w:t>
      </w:r>
      <w:r w:rsidRPr="00FB3BBA">
        <w:rPr>
          <w:sz w:val="22"/>
          <w:szCs w:val="22"/>
        </w:rPr>
        <w:t>sérotonínového</w:t>
      </w:r>
      <w:r>
        <w:rPr>
          <w:sz w:val="22"/>
          <w:szCs w:val="22"/>
        </w:rPr>
        <w:t xml:space="preserve"> </w:t>
      </w:r>
      <w:r w:rsidRPr="00FB3BBA">
        <w:rPr>
          <w:sz w:val="22"/>
          <w:szCs w:val="22"/>
        </w:rPr>
        <w:t>syndrómu boli hlásené v prípade súbežného podávania dextrometorfánu so sérotonergnými</w:t>
      </w:r>
      <w:r>
        <w:rPr>
          <w:sz w:val="22"/>
          <w:szCs w:val="22"/>
        </w:rPr>
        <w:t xml:space="preserve"> </w:t>
      </w:r>
      <w:r w:rsidRPr="00FB3BBA">
        <w:rPr>
          <w:sz w:val="22"/>
          <w:szCs w:val="22"/>
        </w:rPr>
        <w:t xml:space="preserve">látkami, ako sú selektívne inhibítory spätného vychytávania sérotonínu (selective serotonin re-uptake inhibitors, SSRI), lieky zhoršujúce metabolizmus sérotonínu (vrátane inhibítorov monoaminooxidázy (MAOI)) a inhibítory CYP2D6. </w:t>
      </w:r>
    </w:p>
    <w:p w14:paraId="314D6AFD" w14:textId="77777777" w:rsidR="00701E19" w:rsidRPr="00FB3BBA" w:rsidRDefault="00F63786" w:rsidP="00701E19">
      <w:pPr>
        <w:rPr>
          <w:sz w:val="22"/>
          <w:szCs w:val="22"/>
        </w:rPr>
      </w:pPr>
      <w:r>
        <w:rPr>
          <w:sz w:val="22"/>
          <w:szCs w:val="22"/>
        </w:rPr>
        <w:t xml:space="preserve">Sérotonínový syndróm môže zahŕňať zmeny duševného stavu, autonómnu </w:t>
      </w:r>
      <w:r w:rsidR="00701E19" w:rsidRPr="00FB3BBA">
        <w:rPr>
          <w:sz w:val="22"/>
          <w:szCs w:val="22"/>
        </w:rPr>
        <w:t xml:space="preserve">nestabilitu, neuromuskulárne abnormality a/alebo gastrointestinálne príznaky. </w:t>
      </w:r>
    </w:p>
    <w:p w14:paraId="020E4AEC" w14:textId="77777777" w:rsidR="00701E19" w:rsidRPr="00FB3BBA" w:rsidRDefault="00701E19" w:rsidP="00701E19">
      <w:pPr>
        <w:rPr>
          <w:sz w:val="22"/>
          <w:szCs w:val="22"/>
        </w:rPr>
      </w:pPr>
      <w:r w:rsidRPr="00FB3BBA">
        <w:rPr>
          <w:sz w:val="22"/>
          <w:szCs w:val="22"/>
        </w:rPr>
        <w:t xml:space="preserve">Ak existuje podozrenie na sérotonínový syndróm, liečbu </w:t>
      </w:r>
      <w:r>
        <w:rPr>
          <w:sz w:val="22"/>
          <w:szCs w:val="22"/>
        </w:rPr>
        <w:t>Robitussinom Junior</w:t>
      </w:r>
      <w:r w:rsidRPr="00FB3BBA">
        <w:rPr>
          <w:sz w:val="22"/>
          <w:szCs w:val="22"/>
        </w:rPr>
        <w:t xml:space="preserve"> je potrebné prerušiť. </w:t>
      </w:r>
    </w:p>
    <w:p w14:paraId="795CFF7F" w14:textId="77777777" w:rsidR="00701E19" w:rsidRPr="00FB3BBA" w:rsidRDefault="00701E19" w:rsidP="00701E19">
      <w:pPr>
        <w:widowControl w:val="0"/>
        <w:autoSpaceDE w:val="0"/>
        <w:autoSpaceDN w:val="0"/>
        <w:adjustRightInd w:val="0"/>
        <w:rPr>
          <w:sz w:val="22"/>
          <w:szCs w:val="22"/>
        </w:rPr>
      </w:pPr>
    </w:p>
    <w:p w14:paraId="7FC29B14" w14:textId="77777777" w:rsidR="00701E19" w:rsidRPr="00FB3BBA" w:rsidRDefault="00701E19" w:rsidP="00701E19">
      <w:pPr>
        <w:rPr>
          <w:sz w:val="22"/>
          <w:szCs w:val="22"/>
          <w:u w:val="single"/>
        </w:rPr>
      </w:pPr>
      <w:r w:rsidRPr="00FB3BBA">
        <w:rPr>
          <w:sz w:val="22"/>
          <w:szCs w:val="22"/>
          <w:u w:val="single"/>
        </w:rPr>
        <w:t xml:space="preserve">Pediatrická populácia </w:t>
      </w:r>
    </w:p>
    <w:p w14:paraId="67C44D6B" w14:textId="77777777" w:rsidR="00701E19" w:rsidRPr="00FB3BBA" w:rsidRDefault="00F63786" w:rsidP="00701E19">
      <w:pPr>
        <w:rPr>
          <w:sz w:val="22"/>
          <w:szCs w:val="22"/>
        </w:rPr>
      </w:pPr>
      <w:r>
        <w:rPr>
          <w:sz w:val="22"/>
          <w:szCs w:val="22"/>
        </w:rPr>
        <w:t xml:space="preserve">V prípade </w:t>
      </w:r>
      <w:r w:rsidR="00701E19" w:rsidRPr="00FB3BBA">
        <w:rPr>
          <w:sz w:val="22"/>
          <w:szCs w:val="22"/>
        </w:rPr>
        <w:t>predávkovania sa môžu u detí vyskytnúť</w:t>
      </w:r>
      <w:r w:rsidR="00701E19">
        <w:rPr>
          <w:sz w:val="22"/>
          <w:szCs w:val="22"/>
        </w:rPr>
        <w:t xml:space="preserve"> </w:t>
      </w:r>
      <w:r w:rsidR="00701E19" w:rsidRPr="00FB3BBA">
        <w:rPr>
          <w:sz w:val="22"/>
          <w:szCs w:val="22"/>
        </w:rPr>
        <w:t>závažné nežiaduce účinky vrátane</w:t>
      </w:r>
    </w:p>
    <w:p w14:paraId="70DAE526" w14:textId="77777777" w:rsidR="00701E19" w:rsidRDefault="00701E19" w:rsidP="00701E19">
      <w:pPr>
        <w:rPr>
          <w:sz w:val="22"/>
          <w:szCs w:val="22"/>
        </w:rPr>
      </w:pPr>
      <w:r w:rsidRPr="00FB3BBA">
        <w:rPr>
          <w:sz w:val="22"/>
          <w:szCs w:val="22"/>
        </w:rPr>
        <w:t xml:space="preserve">neurologických porúch. Opatrovatelia majú byť poučení, aby neprekročili odporúčanú dávku. </w:t>
      </w:r>
    </w:p>
    <w:p w14:paraId="1895D67F" w14:textId="77777777" w:rsidR="00701E19" w:rsidRPr="000607AF" w:rsidRDefault="00701E19" w:rsidP="000607AF">
      <w:pPr>
        <w:widowControl w:val="0"/>
        <w:autoSpaceDE w:val="0"/>
        <w:autoSpaceDN w:val="0"/>
        <w:adjustRightInd w:val="0"/>
        <w:rPr>
          <w:sz w:val="22"/>
          <w:szCs w:val="22"/>
        </w:rPr>
      </w:pPr>
    </w:p>
    <w:p w14:paraId="47528AFF"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4.5 </w:t>
      </w:r>
      <w:r w:rsidRPr="000607AF">
        <w:rPr>
          <w:b/>
          <w:bCs/>
          <w:sz w:val="22"/>
          <w:szCs w:val="22"/>
        </w:rPr>
        <w:tab/>
      </w:r>
      <w:smartTag w:uri="urn:schemas-microsoft-com:office:smarttags" w:element="PersonName">
        <w:r w:rsidRPr="000607AF">
          <w:rPr>
            <w:b/>
            <w:bCs/>
            <w:sz w:val="22"/>
            <w:szCs w:val="22"/>
          </w:rPr>
          <w:t>Liek</w:t>
        </w:r>
      </w:smartTag>
      <w:r w:rsidRPr="000607AF">
        <w:rPr>
          <w:b/>
          <w:bCs/>
          <w:sz w:val="22"/>
          <w:szCs w:val="22"/>
        </w:rPr>
        <w:t>ové a iné interakcie</w:t>
      </w:r>
    </w:p>
    <w:p w14:paraId="44AB2FB4" w14:textId="77777777" w:rsidR="00D21EE1" w:rsidRPr="000607AF" w:rsidRDefault="00D21EE1" w:rsidP="000607AF">
      <w:pPr>
        <w:widowControl w:val="0"/>
        <w:autoSpaceDE w:val="0"/>
        <w:autoSpaceDN w:val="0"/>
        <w:adjustRightInd w:val="0"/>
        <w:rPr>
          <w:sz w:val="22"/>
          <w:szCs w:val="22"/>
        </w:rPr>
      </w:pPr>
    </w:p>
    <w:p w14:paraId="7651E8C6" w14:textId="77777777" w:rsidR="006967E4" w:rsidRPr="000607AF" w:rsidRDefault="003D30D3" w:rsidP="000607AF">
      <w:pPr>
        <w:widowControl w:val="0"/>
        <w:autoSpaceDE w:val="0"/>
        <w:autoSpaceDN w:val="0"/>
        <w:adjustRightInd w:val="0"/>
        <w:rPr>
          <w:noProof/>
          <w:sz w:val="22"/>
          <w:szCs w:val="22"/>
        </w:rPr>
      </w:pPr>
      <w:r w:rsidRPr="000607AF">
        <w:rPr>
          <w:noProof/>
          <w:sz w:val="22"/>
          <w:szCs w:val="22"/>
        </w:rPr>
        <w:t>Nepoužívajte u pacientov užívajúcich inhibítory monoaminoxidázy (IMAO), selektívne inhibítory spätného vychytávania sérotonínu (SSRI) alebo iné lieky na depresiu, psychiatrické alebo emočné stavy alebo na Parkinsonovu chorobu alebo do dvoch týždňov po ukončení liečby</w:t>
      </w:r>
      <w:r w:rsidR="006967E4" w:rsidRPr="000607AF">
        <w:rPr>
          <w:noProof/>
          <w:sz w:val="22"/>
          <w:szCs w:val="22"/>
        </w:rPr>
        <w:t xml:space="preserve"> </w:t>
      </w:r>
      <w:r w:rsidR="00DA343A" w:rsidRPr="000607AF">
        <w:rPr>
          <w:noProof/>
          <w:sz w:val="22"/>
          <w:szCs w:val="22"/>
        </w:rPr>
        <w:t xml:space="preserve">týmito liekmi </w:t>
      </w:r>
      <w:r w:rsidR="006967E4" w:rsidRPr="000607AF">
        <w:rPr>
          <w:noProof/>
          <w:sz w:val="22"/>
          <w:szCs w:val="22"/>
        </w:rPr>
        <w:t>(pozri časť 4.3).</w:t>
      </w:r>
    </w:p>
    <w:p w14:paraId="3F5BF2B5" w14:textId="77777777" w:rsidR="006967E4" w:rsidRPr="000607AF" w:rsidRDefault="006967E4" w:rsidP="000607AF">
      <w:pPr>
        <w:widowControl w:val="0"/>
        <w:tabs>
          <w:tab w:val="left" w:pos="0"/>
          <w:tab w:val="left" w:pos="567"/>
        </w:tabs>
        <w:autoSpaceDE w:val="0"/>
        <w:autoSpaceDN w:val="0"/>
        <w:adjustRightInd w:val="0"/>
        <w:rPr>
          <w:noProof/>
          <w:sz w:val="22"/>
          <w:szCs w:val="22"/>
        </w:rPr>
      </w:pPr>
      <w:r w:rsidRPr="000607AF">
        <w:rPr>
          <w:noProof/>
          <w:sz w:val="22"/>
          <w:szCs w:val="22"/>
        </w:rPr>
        <w:t>Možnosť zosilnenia účinku sedatív pri súbežnom použití.</w:t>
      </w:r>
    </w:p>
    <w:p w14:paraId="457AF07B" w14:textId="77777777" w:rsidR="006967E4" w:rsidRPr="000607AF" w:rsidRDefault="006967E4" w:rsidP="000607AF">
      <w:pPr>
        <w:widowControl w:val="0"/>
        <w:tabs>
          <w:tab w:val="left" w:pos="0"/>
          <w:tab w:val="left" w:pos="567"/>
        </w:tabs>
        <w:autoSpaceDE w:val="0"/>
        <w:autoSpaceDN w:val="0"/>
        <w:adjustRightInd w:val="0"/>
        <w:rPr>
          <w:noProof/>
          <w:sz w:val="22"/>
          <w:szCs w:val="22"/>
        </w:rPr>
      </w:pPr>
      <w:r w:rsidRPr="000607AF">
        <w:rPr>
          <w:noProof/>
          <w:sz w:val="22"/>
          <w:szCs w:val="22"/>
        </w:rPr>
        <w:t>Kombinácia s expektoranciami nie je vhodná.</w:t>
      </w:r>
    </w:p>
    <w:p w14:paraId="186879A6" w14:textId="77777777" w:rsidR="00322BD1" w:rsidRPr="000607AF" w:rsidRDefault="00322BD1" w:rsidP="000607AF">
      <w:pPr>
        <w:widowControl w:val="0"/>
        <w:tabs>
          <w:tab w:val="left" w:pos="0"/>
          <w:tab w:val="left" w:pos="567"/>
        </w:tabs>
        <w:autoSpaceDE w:val="0"/>
        <w:autoSpaceDN w:val="0"/>
        <w:adjustRightInd w:val="0"/>
        <w:rPr>
          <w:noProof/>
          <w:sz w:val="22"/>
          <w:szCs w:val="22"/>
        </w:rPr>
      </w:pPr>
    </w:p>
    <w:p w14:paraId="7B0F9C69" w14:textId="77777777" w:rsidR="00322BD1" w:rsidRPr="000607AF" w:rsidRDefault="00322BD1" w:rsidP="000607AF">
      <w:pPr>
        <w:pStyle w:val="Default"/>
        <w:rPr>
          <w:sz w:val="22"/>
          <w:szCs w:val="22"/>
          <w:u w:val="single"/>
        </w:rPr>
      </w:pPr>
      <w:r w:rsidRPr="000607AF">
        <w:rPr>
          <w:bCs/>
          <w:sz w:val="22"/>
          <w:szCs w:val="22"/>
          <w:u w:val="single"/>
        </w:rPr>
        <w:t xml:space="preserve">Inhibítory CYP2D6 </w:t>
      </w:r>
    </w:p>
    <w:p w14:paraId="20F05072" w14:textId="77777777" w:rsidR="00322BD1" w:rsidRPr="000607AF" w:rsidRDefault="00322BD1" w:rsidP="000607AF">
      <w:pPr>
        <w:pStyle w:val="Default"/>
        <w:rPr>
          <w:bCs/>
          <w:sz w:val="22"/>
          <w:szCs w:val="22"/>
        </w:rPr>
      </w:pPr>
      <w:r w:rsidRPr="000607AF">
        <w:rPr>
          <w:bCs/>
          <w:sz w:val="22"/>
          <w:szCs w:val="22"/>
        </w:rPr>
        <w:t xml:space="preserve">Dextrometorfán je metabolizovaný enzýmom CYP2D6 a má rozsiahly first-pass metabolizmus (metabolizmus prvého priechodu). Súčasné užívanie potenciálnych inhibítorov enzýmu CYP2D6 môže zvýšiť koncentrácie dextrometorfánu v tele na hodnoty niekoľkonásobne vyššie, ako je normálne. To u pacienta zvýši riziko výskytu toxických účinkov dextrometorfánu (podráždenie, zmätenosť, tras, nespavosť, hnačka a respiračná depresia) a rozvoja serotonínového syndrómu. Potenciálne inhibítory enzýmu CYP2D6 zahŕňajú fluoxetín, paroxetín, chinidín a terbinafín. Pri súčasnom užívaní s kvinidínom sa koncentrácie dextrometorfánu v plazme zvýšili až 20-násobne, čo zvýšilo nežiaduce účinky lieku na CNS. Amiodarón, flekainid a propafenón, sertralín, bupropión, metadón, cinakalcet, haloperidol, perfenazín aj tioridazín majú tiež podobné účinky na </w:t>
      </w:r>
      <w:r w:rsidRPr="000607AF">
        <w:rPr>
          <w:bCs/>
          <w:sz w:val="22"/>
          <w:szCs w:val="22"/>
        </w:rPr>
        <w:lastRenderedPageBreak/>
        <w:t xml:space="preserve">metabolizmus dextrometorfánu. Ak je potrebné súčasné užívanie inhibítorov CYP2D6 a dextrometorfánu, pacient sa musí sledovať a môže byť nutné znížiť dávkovanie dextrometorfánu. </w:t>
      </w:r>
    </w:p>
    <w:p w14:paraId="5D493CA1" w14:textId="77777777" w:rsidR="00336CCC" w:rsidRPr="000607AF" w:rsidRDefault="00336CCC" w:rsidP="000607AF">
      <w:pPr>
        <w:widowControl w:val="0"/>
        <w:autoSpaceDE w:val="0"/>
        <w:autoSpaceDN w:val="0"/>
        <w:adjustRightInd w:val="0"/>
        <w:rPr>
          <w:b/>
          <w:bCs/>
          <w:sz w:val="22"/>
          <w:szCs w:val="22"/>
        </w:rPr>
      </w:pPr>
    </w:p>
    <w:p w14:paraId="5DA7DCA8"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4.6 </w:t>
      </w:r>
      <w:r w:rsidRPr="000607AF">
        <w:rPr>
          <w:b/>
          <w:bCs/>
          <w:sz w:val="22"/>
          <w:szCs w:val="22"/>
        </w:rPr>
        <w:tab/>
        <w:t> </w:t>
      </w:r>
      <w:r w:rsidR="003D30D3" w:rsidRPr="000607AF">
        <w:rPr>
          <w:b/>
          <w:bCs/>
          <w:sz w:val="22"/>
          <w:szCs w:val="22"/>
        </w:rPr>
        <w:t>Fertilita, g</w:t>
      </w:r>
      <w:r w:rsidRPr="000607AF">
        <w:rPr>
          <w:b/>
          <w:bCs/>
          <w:sz w:val="22"/>
          <w:szCs w:val="22"/>
        </w:rPr>
        <w:t>ravidita a laktácia</w:t>
      </w:r>
    </w:p>
    <w:p w14:paraId="0BC8EFA7" w14:textId="77777777" w:rsidR="00D21EE1" w:rsidRPr="000607AF" w:rsidRDefault="00D21EE1" w:rsidP="000607AF">
      <w:pPr>
        <w:widowControl w:val="0"/>
        <w:autoSpaceDE w:val="0"/>
        <w:autoSpaceDN w:val="0"/>
        <w:adjustRightInd w:val="0"/>
        <w:rPr>
          <w:sz w:val="22"/>
          <w:szCs w:val="22"/>
        </w:rPr>
      </w:pPr>
    </w:p>
    <w:p w14:paraId="369E8C3F" w14:textId="77777777" w:rsidR="006224F8" w:rsidRPr="000607AF" w:rsidRDefault="006224F8" w:rsidP="000607AF">
      <w:pPr>
        <w:rPr>
          <w:sz w:val="22"/>
          <w:szCs w:val="22"/>
          <w:lang w:val="pl-PL"/>
        </w:rPr>
      </w:pPr>
      <w:r w:rsidRPr="000607AF">
        <w:rPr>
          <w:sz w:val="22"/>
          <w:szCs w:val="22"/>
          <w:lang w:val="pl-PL"/>
        </w:rPr>
        <w:t xml:space="preserve">Tento liek je indikovaný deťom do 12 rokov. </w:t>
      </w:r>
    </w:p>
    <w:p w14:paraId="7B7717A9" w14:textId="77777777" w:rsidR="006224F8" w:rsidRPr="000607AF" w:rsidRDefault="006224F8" w:rsidP="000607AF">
      <w:pPr>
        <w:widowControl w:val="0"/>
        <w:autoSpaceDE w:val="0"/>
        <w:autoSpaceDN w:val="0"/>
        <w:adjustRightInd w:val="0"/>
        <w:rPr>
          <w:sz w:val="22"/>
          <w:szCs w:val="22"/>
        </w:rPr>
      </w:pPr>
      <w:r w:rsidRPr="000607AF">
        <w:rPr>
          <w:sz w:val="22"/>
          <w:szCs w:val="22"/>
        </w:rPr>
        <w:t>Musí sa vziať do úvahy , že tento liek obsahuje 2,5</w:t>
      </w:r>
      <w:r w:rsidR="00852BEE" w:rsidRPr="000607AF">
        <w:rPr>
          <w:sz w:val="22"/>
          <w:szCs w:val="22"/>
        </w:rPr>
        <w:t> </w:t>
      </w:r>
      <w:r w:rsidRPr="000607AF">
        <w:rPr>
          <w:sz w:val="22"/>
          <w:szCs w:val="22"/>
        </w:rPr>
        <w:t>% (V/V) alkoholu.</w:t>
      </w:r>
    </w:p>
    <w:p w14:paraId="22D3B93D" w14:textId="77777777" w:rsidR="00D21EE1" w:rsidRPr="000607AF" w:rsidRDefault="00D21EE1" w:rsidP="000607AF">
      <w:pPr>
        <w:rPr>
          <w:sz w:val="22"/>
          <w:szCs w:val="22"/>
          <w:lang w:val="pl-PL"/>
        </w:rPr>
      </w:pPr>
    </w:p>
    <w:p w14:paraId="2F7622F7" w14:textId="77777777" w:rsidR="00D21EE1" w:rsidRPr="000607AF" w:rsidRDefault="00D21EE1" w:rsidP="000607AF">
      <w:pPr>
        <w:widowControl w:val="0"/>
        <w:autoSpaceDE w:val="0"/>
        <w:autoSpaceDN w:val="0"/>
        <w:adjustRightInd w:val="0"/>
        <w:rPr>
          <w:sz w:val="22"/>
          <w:szCs w:val="22"/>
          <w:u w:val="single"/>
          <w:lang w:val="pl-PL"/>
        </w:rPr>
      </w:pPr>
      <w:r w:rsidRPr="000607AF">
        <w:rPr>
          <w:sz w:val="22"/>
          <w:szCs w:val="22"/>
          <w:u w:val="single"/>
          <w:lang w:val="pl-PL"/>
        </w:rPr>
        <w:t>Gravidita</w:t>
      </w:r>
    </w:p>
    <w:p w14:paraId="62283459"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Dextrometorf</w:t>
      </w:r>
      <w:r w:rsidR="006967E4" w:rsidRPr="000607AF">
        <w:rPr>
          <w:sz w:val="22"/>
          <w:szCs w:val="22"/>
          <w:lang w:val="pl-PL"/>
        </w:rPr>
        <w:t>á</w:t>
      </w:r>
      <w:r w:rsidRPr="000607AF">
        <w:rPr>
          <w:sz w:val="22"/>
          <w:szCs w:val="22"/>
          <w:lang w:val="pl-PL"/>
        </w:rPr>
        <w:t>n užíval veľký počet gravidných žien a žien vo fertilnom veku bez zrejmého nárastu frekvencie sledovaných malformácií alebo iných priamych či nepriamych škodlivých účinkov na plod. Nie sú žiadne osobitné údaje o používaní počas gravidity. Potrebná je opatrnosť a zváženie možného prínosu liečby oproti možným rizikám.</w:t>
      </w:r>
    </w:p>
    <w:p w14:paraId="3B6D1346" w14:textId="77777777" w:rsidR="00D21EE1" w:rsidRPr="000607AF" w:rsidRDefault="00D21EE1" w:rsidP="000607AF">
      <w:pPr>
        <w:widowControl w:val="0"/>
        <w:autoSpaceDE w:val="0"/>
        <w:autoSpaceDN w:val="0"/>
        <w:adjustRightInd w:val="0"/>
        <w:rPr>
          <w:sz w:val="22"/>
          <w:szCs w:val="22"/>
          <w:lang w:val="pl-PL"/>
        </w:rPr>
      </w:pPr>
    </w:p>
    <w:p w14:paraId="62892F35" w14:textId="77777777" w:rsidR="004B4418" w:rsidRPr="000607AF" w:rsidRDefault="007D7A7F" w:rsidP="000607AF">
      <w:pPr>
        <w:widowControl w:val="0"/>
        <w:autoSpaceDE w:val="0"/>
        <w:autoSpaceDN w:val="0"/>
        <w:adjustRightInd w:val="0"/>
        <w:rPr>
          <w:sz w:val="22"/>
          <w:szCs w:val="22"/>
          <w:u w:val="single"/>
          <w:lang w:val="pl-PL"/>
        </w:rPr>
      </w:pPr>
      <w:r w:rsidRPr="000607AF">
        <w:rPr>
          <w:sz w:val="22"/>
          <w:szCs w:val="22"/>
          <w:u w:val="single"/>
          <w:lang w:val="pl-PL"/>
        </w:rPr>
        <w:t xml:space="preserve">Dojčenie </w:t>
      </w:r>
    </w:p>
    <w:p w14:paraId="43E4E8BC"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Nie je známe, či sa dextrometorf</w:t>
      </w:r>
      <w:r w:rsidR="006967E4" w:rsidRPr="000607AF">
        <w:rPr>
          <w:sz w:val="22"/>
          <w:szCs w:val="22"/>
          <w:lang w:val="pl-PL"/>
        </w:rPr>
        <w:t>á</w:t>
      </w:r>
      <w:r w:rsidRPr="000607AF">
        <w:rPr>
          <w:sz w:val="22"/>
          <w:szCs w:val="22"/>
          <w:lang w:val="pl-PL"/>
        </w:rPr>
        <w:t xml:space="preserve">n vylučuje do </w:t>
      </w:r>
      <w:r w:rsidR="00122307" w:rsidRPr="000607AF">
        <w:rPr>
          <w:sz w:val="22"/>
          <w:szCs w:val="22"/>
          <w:lang w:val="pl-PL"/>
        </w:rPr>
        <w:t>ľudského</w:t>
      </w:r>
      <w:r w:rsidRPr="000607AF">
        <w:rPr>
          <w:sz w:val="22"/>
          <w:szCs w:val="22"/>
          <w:lang w:val="pl-PL"/>
        </w:rPr>
        <w:t xml:space="preserve"> mlieka alebo či má škodlivý účinok na dojča. Neodporúča sa preto dojčiacim matkám, pokiaľ možné prínosy neprevážia možné riziko pre dieťa.</w:t>
      </w:r>
    </w:p>
    <w:p w14:paraId="3FC13E07" w14:textId="77777777" w:rsidR="00D21EE1" w:rsidRPr="000607AF" w:rsidRDefault="00D21EE1" w:rsidP="000607AF">
      <w:pPr>
        <w:widowControl w:val="0"/>
        <w:autoSpaceDE w:val="0"/>
        <w:autoSpaceDN w:val="0"/>
        <w:adjustRightInd w:val="0"/>
        <w:rPr>
          <w:sz w:val="22"/>
          <w:szCs w:val="22"/>
        </w:rPr>
      </w:pPr>
    </w:p>
    <w:p w14:paraId="73756230" w14:textId="77777777" w:rsidR="00D21EE1" w:rsidRPr="000607AF" w:rsidRDefault="00D21EE1" w:rsidP="00F272E8">
      <w:pPr>
        <w:widowControl w:val="0"/>
        <w:autoSpaceDE w:val="0"/>
        <w:autoSpaceDN w:val="0"/>
        <w:adjustRightInd w:val="0"/>
        <w:rPr>
          <w:i/>
          <w:iCs/>
          <w:sz w:val="22"/>
          <w:szCs w:val="22"/>
        </w:rPr>
      </w:pPr>
      <w:r w:rsidRPr="000607AF">
        <w:rPr>
          <w:b/>
          <w:bCs/>
          <w:sz w:val="22"/>
          <w:szCs w:val="22"/>
        </w:rPr>
        <w:t xml:space="preserve">4.7 </w:t>
      </w:r>
      <w:r w:rsidRPr="000607AF">
        <w:rPr>
          <w:b/>
          <w:bCs/>
          <w:sz w:val="22"/>
          <w:szCs w:val="22"/>
        </w:rPr>
        <w:tab/>
        <w:t>Ovplyvnenie schopnosti viest' vozidlá a obsluhovať stroje</w:t>
      </w:r>
      <w:r w:rsidRPr="000607AF">
        <w:rPr>
          <w:i/>
          <w:iCs/>
          <w:sz w:val="22"/>
          <w:szCs w:val="22"/>
        </w:rPr>
        <w:t xml:space="preserve"> </w:t>
      </w:r>
    </w:p>
    <w:p w14:paraId="7944CEDC" w14:textId="77777777" w:rsidR="00D21EE1" w:rsidRPr="000607AF" w:rsidRDefault="00D21EE1" w:rsidP="00E25FFF">
      <w:pPr>
        <w:widowControl w:val="0"/>
        <w:autoSpaceDE w:val="0"/>
        <w:autoSpaceDN w:val="0"/>
        <w:adjustRightInd w:val="0"/>
        <w:rPr>
          <w:sz w:val="22"/>
          <w:szCs w:val="22"/>
        </w:rPr>
      </w:pPr>
    </w:p>
    <w:p w14:paraId="5FC0BED6" w14:textId="77777777" w:rsidR="006224F8" w:rsidRPr="000607AF" w:rsidRDefault="006224F8" w:rsidP="00E25FFF">
      <w:pPr>
        <w:rPr>
          <w:sz w:val="22"/>
          <w:szCs w:val="22"/>
          <w:lang w:val="pl-PL"/>
        </w:rPr>
      </w:pPr>
      <w:r w:rsidRPr="000607AF">
        <w:rPr>
          <w:sz w:val="22"/>
          <w:szCs w:val="22"/>
          <w:lang w:val="pl-PL"/>
        </w:rPr>
        <w:t>Tento liek je indikovaný deťom do 12 rokov.</w:t>
      </w:r>
    </w:p>
    <w:p w14:paraId="00660DC2" w14:textId="77777777" w:rsidR="006224F8" w:rsidRPr="000607AF" w:rsidRDefault="006224F8" w:rsidP="00770369">
      <w:pPr>
        <w:widowControl w:val="0"/>
        <w:autoSpaceDE w:val="0"/>
        <w:autoSpaceDN w:val="0"/>
        <w:adjustRightInd w:val="0"/>
        <w:rPr>
          <w:sz w:val="22"/>
          <w:szCs w:val="22"/>
          <w:lang w:val="pl-PL"/>
        </w:rPr>
      </w:pPr>
    </w:p>
    <w:p w14:paraId="662A822C" w14:textId="77777777" w:rsidR="00D21EE1" w:rsidRPr="000607AF" w:rsidRDefault="00D21EE1" w:rsidP="009F5E90">
      <w:pPr>
        <w:widowControl w:val="0"/>
        <w:autoSpaceDE w:val="0"/>
        <w:autoSpaceDN w:val="0"/>
        <w:adjustRightInd w:val="0"/>
        <w:rPr>
          <w:sz w:val="22"/>
          <w:szCs w:val="22"/>
          <w:lang w:val="pl-PL"/>
        </w:rPr>
      </w:pPr>
      <w:r w:rsidRPr="000607AF">
        <w:rPr>
          <w:sz w:val="22"/>
          <w:szCs w:val="22"/>
          <w:lang w:val="pl-PL"/>
        </w:rPr>
        <w:t xml:space="preserve">Robitussin Junior </w:t>
      </w:r>
      <w:r w:rsidR="006224F8" w:rsidRPr="000607AF">
        <w:rPr>
          <w:sz w:val="22"/>
          <w:szCs w:val="22"/>
          <w:lang w:val="pl-PL"/>
        </w:rPr>
        <w:t xml:space="preserve">má malý alebo mierny vplyv na </w:t>
      </w:r>
      <w:r w:rsidRPr="000607AF">
        <w:rPr>
          <w:sz w:val="22"/>
          <w:szCs w:val="22"/>
          <w:lang w:val="pl-PL"/>
        </w:rPr>
        <w:t>schopnosť viesť vozidlá alebo obsluhovať stroje vzhľadom na výskyt ospalosti a závratu.</w:t>
      </w:r>
    </w:p>
    <w:p w14:paraId="07D0C2C2" w14:textId="77777777" w:rsidR="00D21EE1" w:rsidRPr="000607AF" w:rsidRDefault="00D21EE1" w:rsidP="009F5E90">
      <w:pPr>
        <w:widowControl w:val="0"/>
        <w:autoSpaceDE w:val="0"/>
        <w:autoSpaceDN w:val="0"/>
        <w:adjustRightInd w:val="0"/>
        <w:rPr>
          <w:sz w:val="22"/>
          <w:szCs w:val="22"/>
        </w:rPr>
      </w:pPr>
      <w:r w:rsidRPr="000607AF">
        <w:rPr>
          <w:sz w:val="22"/>
          <w:szCs w:val="22"/>
          <w:lang w:val="pl-PL"/>
        </w:rPr>
        <w:t>Ľudia, ktorí vedú vozidlá a obsluhujú stroje si musia uvedomiť, že tento liek obsahuje alkohol.</w:t>
      </w:r>
    </w:p>
    <w:p w14:paraId="6ECC3622" w14:textId="77777777" w:rsidR="00D21EE1" w:rsidRPr="000607AF" w:rsidRDefault="00D21EE1" w:rsidP="000607AF">
      <w:pPr>
        <w:widowControl w:val="0"/>
        <w:autoSpaceDE w:val="0"/>
        <w:autoSpaceDN w:val="0"/>
        <w:adjustRightInd w:val="0"/>
        <w:rPr>
          <w:sz w:val="22"/>
          <w:szCs w:val="22"/>
        </w:rPr>
      </w:pPr>
    </w:p>
    <w:p w14:paraId="2B45B641" w14:textId="77777777" w:rsidR="00D21EE1" w:rsidRPr="000607AF" w:rsidRDefault="00D21EE1" w:rsidP="00F272E8">
      <w:pPr>
        <w:widowControl w:val="0"/>
        <w:autoSpaceDE w:val="0"/>
        <w:autoSpaceDN w:val="0"/>
        <w:adjustRightInd w:val="0"/>
        <w:rPr>
          <w:b/>
          <w:bCs/>
          <w:sz w:val="22"/>
          <w:szCs w:val="22"/>
        </w:rPr>
      </w:pPr>
      <w:r w:rsidRPr="000607AF">
        <w:rPr>
          <w:b/>
          <w:bCs/>
          <w:sz w:val="22"/>
          <w:szCs w:val="22"/>
        </w:rPr>
        <w:t xml:space="preserve">4.8 </w:t>
      </w:r>
      <w:r w:rsidRPr="000607AF">
        <w:rPr>
          <w:b/>
          <w:bCs/>
          <w:sz w:val="22"/>
          <w:szCs w:val="22"/>
        </w:rPr>
        <w:tab/>
        <w:t>Nežiaduce účinky</w:t>
      </w:r>
    </w:p>
    <w:p w14:paraId="2C6DB7DA" w14:textId="77777777" w:rsidR="00D21EE1" w:rsidRPr="000607AF" w:rsidRDefault="00D21EE1" w:rsidP="00E25FFF">
      <w:pPr>
        <w:widowControl w:val="0"/>
        <w:autoSpaceDE w:val="0"/>
        <w:autoSpaceDN w:val="0"/>
        <w:adjustRightInd w:val="0"/>
        <w:rPr>
          <w:sz w:val="22"/>
          <w:szCs w:val="22"/>
        </w:rPr>
      </w:pPr>
    </w:p>
    <w:p w14:paraId="0832F0AE" w14:textId="77777777" w:rsidR="00D21EE1" w:rsidRPr="000607AF" w:rsidRDefault="006224F8" w:rsidP="00E25FFF">
      <w:pPr>
        <w:rPr>
          <w:sz w:val="22"/>
          <w:szCs w:val="22"/>
          <w:lang w:val="pl-PL"/>
        </w:rPr>
      </w:pPr>
      <w:r w:rsidRPr="000607AF">
        <w:rPr>
          <w:sz w:val="22"/>
          <w:szCs w:val="22"/>
          <w:lang w:val="pl-PL"/>
        </w:rPr>
        <w:t>Nežiaduce reakcie sú uvedené podľa triedy orgánových systémov podľa databázy MedDRA. Nasledovná terminológia sa použila na klasifikáciu frekvencií nežiaducich reakcií: veľmi časté (</w:t>
      </w:r>
      <w:r w:rsidRPr="000607AF">
        <w:rPr>
          <w:sz w:val="22"/>
          <w:szCs w:val="22"/>
          <w:u w:val="single"/>
          <w:lang w:val="pl-PL"/>
        </w:rPr>
        <w:t>&gt;</w:t>
      </w:r>
      <w:r w:rsidR="00852BEE" w:rsidRPr="000607AF">
        <w:rPr>
          <w:sz w:val="22"/>
          <w:szCs w:val="22"/>
          <w:u w:val="single"/>
          <w:lang w:val="pl-PL"/>
        </w:rPr>
        <w:t> </w:t>
      </w:r>
      <w:r w:rsidRPr="000607AF">
        <w:rPr>
          <w:sz w:val="22"/>
          <w:szCs w:val="22"/>
          <w:lang w:val="pl-PL"/>
        </w:rPr>
        <w:t>1/10), časté (</w:t>
      </w:r>
      <w:r w:rsidRPr="000607AF">
        <w:rPr>
          <w:sz w:val="22"/>
          <w:szCs w:val="22"/>
          <w:u w:val="single"/>
          <w:lang w:val="pl-PL"/>
        </w:rPr>
        <w:t>&gt;</w:t>
      </w:r>
      <w:r w:rsidRPr="000607AF">
        <w:rPr>
          <w:sz w:val="22"/>
          <w:szCs w:val="22"/>
          <w:lang w:val="pl-PL"/>
        </w:rPr>
        <w:t xml:space="preserve"> 1/100 až &lt;</w:t>
      </w:r>
      <w:r w:rsidR="00852BEE" w:rsidRPr="000607AF">
        <w:rPr>
          <w:sz w:val="22"/>
          <w:szCs w:val="22"/>
          <w:lang w:val="pl-PL"/>
        </w:rPr>
        <w:t> </w:t>
      </w:r>
      <w:r w:rsidRPr="000607AF">
        <w:rPr>
          <w:sz w:val="22"/>
          <w:szCs w:val="22"/>
          <w:lang w:val="pl-PL"/>
        </w:rPr>
        <w:t>1/10), menej časté (</w:t>
      </w:r>
      <w:r w:rsidRPr="000607AF">
        <w:rPr>
          <w:sz w:val="22"/>
          <w:szCs w:val="22"/>
          <w:u w:val="single"/>
          <w:lang w:val="pl-PL"/>
        </w:rPr>
        <w:t>&gt;</w:t>
      </w:r>
      <w:r w:rsidR="00852BEE" w:rsidRPr="000607AF">
        <w:rPr>
          <w:sz w:val="22"/>
          <w:szCs w:val="22"/>
          <w:u w:val="single"/>
          <w:lang w:val="pl-PL"/>
        </w:rPr>
        <w:t> </w:t>
      </w:r>
      <w:r w:rsidRPr="000607AF">
        <w:rPr>
          <w:sz w:val="22"/>
          <w:szCs w:val="22"/>
          <w:lang w:val="pl-PL"/>
        </w:rPr>
        <w:t>1/1 000 až &lt;</w:t>
      </w:r>
      <w:r w:rsidR="00852BEE" w:rsidRPr="000607AF">
        <w:rPr>
          <w:sz w:val="22"/>
          <w:szCs w:val="22"/>
          <w:lang w:val="pl-PL"/>
        </w:rPr>
        <w:t> </w:t>
      </w:r>
      <w:r w:rsidRPr="000607AF">
        <w:rPr>
          <w:sz w:val="22"/>
          <w:szCs w:val="22"/>
          <w:lang w:val="pl-PL"/>
        </w:rPr>
        <w:t>1/100), zriedkavé (</w:t>
      </w:r>
      <w:r w:rsidRPr="000607AF">
        <w:rPr>
          <w:sz w:val="22"/>
          <w:szCs w:val="22"/>
          <w:u w:val="single"/>
          <w:lang w:val="pl-PL"/>
        </w:rPr>
        <w:t>&gt;</w:t>
      </w:r>
      <w:r w:rsidR="00852BEE" w:rsidRPr="000607AF">
        <w:rPr>
          <w:sz w:val="22"/>
          <w:szCs w:val="22"/>
          <w:u w:val="single"/>
          <w:lang w:val="pl-PL"/>
        </w:rPr>
        <w:t> </w:t>
      </w:r>
      <w:r w:rsidRPr="000607AF">
        <w:rPr>
          <w:sz w:val="22"/>
          <w:szCs w:val="22"/>
          <w:lang w:val="pl-PL"/>
        </w:rPr>
        <w:t>1/10 000 až &lt;</w:t>
      </w:r>
      <w:r w:rsidR="00852BEE" w:rsidRPr="000607AF">
        <w:rPr>
          <w:sz w:val="22"/>
          <w:szCs w:val="22"/>
          <w:lang w:val="pl-PL"/>
        </w:rPr>
        <w:t> </w:t>
      </w:r>
      <w:r w:rsidRPr="000607AF">
        <w:rPr>
          <w:sz w:val="22"/>
          <w:szCs w:val="22"/>
          <w:lang w:val="pl-PL"/>
        </w:rPr>
        <w:t>1/1 000), veľmi zriedkavé (&lt;</w:t>
      </w:r>
      <w:r w:rsidR="00852BEE" w:rsidRPr="000607AF">
        <w:rPr>
          <w:sz w:val="22"/>
          <w:szCs w:val="22"/>
          <w:lang w:val="pl-PL"/>
        </w:rPr>
        <w:t> </w:t>
      </w:r>
      <w:r w:rsidRPr="000607AF">
        <w:rPr>
          <w:sz w:val="22"/>
          <w:szCs w:val="22"/>
          <w:lang w:val="pl-PL"/>
        </w:rPr>
        <w:t>1/10 000), neznáme (z dostupných údajov).</w:t>
      </w:r>
    </w:p>
    <w:p w14:paraId="2547E575" w14:textId="77777777" w:rsidR="006224F8" w:rsidRPr="000607AF" w:rsidRDefault="006224F8" w:rsidP="00770369">
      <w:pPr>
        <w:pStyle w:val="Nadpis1"/>
        <w:rPr>
          <w:rFonts w:ascii="Times New Roman" w:hAnsi="Times New Roman"/>
          <w:b w:val="0"/>
          <w:bCs w:val="0"/>
          <w:sz w:val="22"/>
          <w:szCs w:val="22"/>
          <w:u w:val="single"/>
          <w:lang w:val="pl-PL"/>
        </w:rPr>
      </w:pPr>
    </w:p>
    <w:p w14:paraId="523A6D5A" w14:textId="77777777" w:rsidR="006224F8" w:rsidRPr="000607AF" w:rsidRDefault="006224F8" w:rsidP="009F5E90">
      <w:pPr>
        <w:pStyle w:val="Nadpis1"/>
        <w:rPr>
          <w:rFonts w:ascii="Times New Roman" w:hAnsi="Times New Roman"/>
          <w:b w:val="0"/>
          <w:bCs w:val="0"/>
          <w:color w:val="auto"/>
          <w:sz w:val="22"/>
          <w:szCs w:val="22"/>
          <w:u w:val="single"/>
          <w:lang w:val="pl-PL"/>
        </w:rPr>
      </w:pPr>
      <w:r w:rsidRPr="000607AF">
        <w:rPr>
          <w:rFonts w:ascii="Times New Roman" w:hAnsi="Times New Roman"/>
          <w:b w:val="0"/>
          <w:bCs w:val="0"/>
          <w:color w:val="auto"/>
          <w:sz w:val="22"/>
          <w:szCs w:val="22"/>
          <w:u w:val="single"/>
          <w:lang w:val="pl-PL"/>
        </w:rPr>
        <w:t>Poruchy imunitného systému</w:t>
      </w:r>
    </w:p>
    <w:p w14:paraId="26820A36" w14:textId="77777777" w:rsidR="006224F8" w:rsidRPr="000607AF" w:rsidRDefault="006224F8" w:rsidP="009F5E90">
      <w:pPr>
        <w:widowControl w:val="0"/>
        <w:autoSpaceDE w:val="0"/>
        <w:autoSpaceDN w:val="0"/>
        <w:adjustRightInd w:val="0"/>
        <w:rPr>
          <w:sz w:val="22"/>
          <w:szCs w:val="22"/>
        </w:rPr>
      </w:pPr>
      <w:r w:rsidRPr="000607AF">
        <w:rPr>
          <w:sz w:val="22"/>
          <w:szCs w:val="22"/>
          <w:lang w:val="pl-PL"/>
        </w:rPr>
        <w:t>Zriedkavé: Precitlivenosť</w:t>
      </w:r>
    </w:p>
    <w:p w14:paraId="65CE7E66" w14:textId="77777777" w:rsidR="00D21EE1" w:rsidRPr="000607AF" w:rsidRDefault="00D21EE1" w:rsidP="00B25EB9">
      <w:pPr>
        <w:rPr>
          <w:sz w:val="22"/>
          <w:szCs w:val="22"/>
        </w:rPr>
      </w:pPr>
    </w:p>
    <w:p w14:paraId="3DD40584" w14:textId="77777777" w:rsidR="00D21EE1" w:rsidRPr="000607AF" w:rsidRDefault="00D21EE1" w:rsidP="000607AF">
      <w:pPr>
        <w:pStyle w:val="Nadpis1"/>
        <w:rPr>
          <w:rFonts w:ascii="Times New Roman" w:hAnsi="Times New Roman"/>
          <w:b w:val="0"/>
          <w:bCs w:val="0"/>
          <w:color w:val="auto"/>
          <w:sz w:val="22"/>
          <w:szCs w:val="22"/>
          <w:u w:val="single"/>
          <w:lang w:val="sk-SK"/>
        </w:rPr>
      </w:pPr>
      <w:r w:rsidRPr="000607AF">
        <w:rPr>
          <w:rFonts w:ascii="Times New Roman" w:hAnsi="Times New Roman"/>
          <w:b w:val="0"/>
          <w:bCs w:val="0"/>
          <w:color w:val="auto"/>
          <w:sz w:val="22"/>
          <w:szCs w:val="22"/>
          <w:u w:val="single"/>
          <w:lang w:val="sk-SK"/>
        </w:rPr>
        <w:t>Poruchy nervového systému</w:t>
      </w:r>
    </w:p>
    <w:p w14:paraId="09E47977" w14:textId="77777777" w:rsidR="00D21EE1" w:rsidRPr="000607AF" w:rsidRDefault="00D21EE1" w:rsidP="000607AF">
      <w:pPr>
        <w:widowControl w:val="0"/>
        <w:autoSpaceDE w:val="0"/>
        <w:autoSpaceDN w:val="0"/>
        <w:adjustRightInd w:val="0"/>
        <w:rPr>
          <w:sz w:val="22"/>
          <w:szCs w:val="22"/>
        </w:rPr>
      </w:pPr>
      <w:r w:rsidRPr="000607AF">
        <w:rPr>
          <w:sz w:val="22"/>
          <w:szCs w:val="22"/>
        </w:rPr>
        <w:t>Zriedkavé: Ospalosť, závrat</w:t>
      </w:r>
    </w:p>
    <w:p w14:paraId="1D147BE9" w14:textId="77777777" w:rsidR="00D21EE1" w:rsidRPr="000607AF" w:rsidRDefault="00D21EE1" w:rsidP="000607AF">
      <w:pPr>
        <w:widowControl w:val="0"/>
        <w:autoSpaceDE w:val="0"/>
        <w:autoSpaceDN w:val="0"/>
        <w:adjustRightInd w:val="0"/>
        <w:rPr>
          <w:sz w:val="22"/>
          <w:szCs w:val="22"/>
        </w:rPr>
      </w:pPr>
    </w:p>
    <w:p w14:paraId="35E25D88" w14:textId="77777777" w:rsidR="00D21EE1" w:rsidRPr="000607AF" w:rsidRDefault="00D21EE1" w:rsidP="000607AF">
      <w:pPr>
        <w:pStyle w:val="Nadpis1"/>
        <w:rPr>
          <w:rFonts w:ascii="Times New Roman" w:hAnsi="Times New Roman"/>
          <w:b w:val="0"/>
          <w:bCs w:val="0"/>
          <w:color w:val="auto"/>
          <w:sz w:val="22"/>
          <w:szCs w:val="22"/>
          <w:u w:val="single"/>
          <w:lang w:val="sk-SK"/>
        </w:rPr>
      </w:pPr>
      <w:r w:rsidRPr="000607AF">
        <w:rPr>
          <w:rFonts w:ascii="Times New Roman" w:hAnsi="Times New Roman"/>
          <w:b w:val="0"/>
          <w:bCs w:val="0"/>
          <w:color w:val="auto"/>
          <w:sz w:val="22"/>
          <w:szCs w:val="22"/>
          <w:u w:val="single"/>
          <w:lang w:val="sk-SK"/>
        </w:rPr>
        <w:t>Poruchy gastrointestinálneho traktu</w:t>
      </w:r>
    </w:p>
    <w:p w14:paraId="482AF39C" w14:textId="77777777" w:rsidR="00D21EE1" w:rsidRPr="000607AF" w:rsidRDefault="00D21EE1" w:rsidP="000607AF">
      <w:pPr>
        <w:widowControl w:val="0"/>
        <w:autoSpaceDE w:val="0"/>
        <w:autoSpaceDN w:val="0"/>
        <w:adjustRightInd w:val="0"/>
        <w:rPr>
          <w:sz w:val="22"/>
          <w:szCs w:val="22"/>
        </w:rPr>
      </w:pPr>
      <w:r w:rsidRPr="000607AF">
        <w:rPr>
          <w:sz w:val="22"/>
          <w:szCs w:val="22"/>
        </w:rPr>
        <w:t>Zriedkavé: Nauzea, vracanie</w:t>
      </w:r>
    </w:p>
    <w:p w14:paraId="32D09345" w14:textId="77777777" w:rsidR="00122307" w:rsidRPr="000607AF" w:rsidRDefault="00122307" w:rsidP="000607AF">
      <w:pPr>
        <w:widowControl w:val="0"/>
        <w:autoSpaceDE w:val="0"/>
        <w:autoSpaceDN w:val="0"/>
        <w:adjustRightInd w:val="0"/>
        <w:rPr>
          <w:sz w:val="22"/>
          <w:szCs w:val="22"/>
        </w:rPr>
      </w:pPr>
    </w:p>
    <w:p w14:paraId="06AE919E" w14:textId="77777777" w:rsidR="001003FA" w:rsidRDefault="001003FA" w:rsidP="001003FA">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rPr>
      </w:pPr>
      <w:r>
        <w:rPr>
          <w:sz w:val="22"/>
          <w:u w:val="single"/>
        </w:rPr>
        <w:t>Hlásenie podozrení na nežiaduce reakcie</w:t>
      </w:r>
    </w:p>
    <w:p w14:paraId="7214FBD0" w14:textId="77777777" w:rsidR="001003FA" w:rsidRDefault="001003FA" w:rsidP="001003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8" w:history="1">
        <w:r>
          <w:rPr>
            <w:rStyle w:val="Hypertextovprepojenie"/>
            <w:sz w:val="22"/>
            <w:shd w:val="clear" w:color="auto" w:fill="C0C0C0"/>
          </w:rPr>
          <w:t>Prílohe V</w:t>
        </w:r>
      </w:hyperlink>
      <w:r>
        <w:rPr>
          <w:rStyle w:val="Hypertextovprepojenie"/>
          <w:sz w:val="22"/>
        </w:rPr>
        <w:t>.</w:t>
      </w:r>
    </w:p>
    <w:p w14:paraId="2A0D5B37" w14:textId="77777777" w:rsidR="00D21EE1" w:rsidRPr="000607AF" w:rsidRDefault="00D21EE1" w:rsidP="00F272E8">
      <w:pPr>
        <w:widowControl w:val="0"/>
        <w:autoSpaceDE w:val="0"/>
        <w:autoSpaceDN w:val="0"/>
        <w:adjustRightInd w:val="0"/>
        <w:rPr>
          <w:sz w:val="22"/>
          <w:szCs w:val="22"/>
        </w:rPr>
      </w:pPr>
    </w:p>
    <w:p w14:paraId="5D71222C" w14:textId="77777777" w:rsidR="00D21EE1" w:rsidRPr="000607AF" w:rsidRDefault="00D21EE1" w:rsidP="00E25FFF">
      <w:pPr>
        <w:widowControl w:val="0"/>
        <w:autoSpaceDE w:val="0"/>
        <w:autoSpaceDN w:val="0"/>
        <w:adjustRightInd w:val="0"/>
        <w:rPr>
          <w:b/>
          <w:bCs/>
          <w:sz w:val="22"/>
          <w:szCs w:val="22"/>
        </w:rPr>
      </w:pPr>
      <w:r w:rsidRPr="000607AF">
        <w:rPr>
          <w:b/>
          <w:bCs/>
          <w:sz w:val="22"/>
          <w:szCs w:val="22"/>
        </w:rPr>
        <w:t xml:space="preserve">4.9 </w:t>
      </w:r>
      <w:r w:rsidRPr="000607AF">
        <w:rPr>
          <w:b/>
          <w:bCs/>
          <w:sz w:val="22"/>
          <w:szCs w:val="22"/>
        </w:rPr>
        <w:tab/>
        <w:t>Predávkovanie</w:t>
      </w:r>
    </w:p>
    <w:p w14:paraId="5838DFFA" w14:textId="77777777" w:rsidR="00D21EE1" w:rsidRPr="00B25EB9" w:rsidRDefault="00D21EE1" w:rsidP="00E25FFF">
      <w:pPr>
        <w:widowControl w:val="0"/>
        <w:autoSpaceDE w:val="0"/>
        <w:autoSpaceDN w:val="0"/>
        <w:adjustRightInd w:val="0"/>
        <w:rPr>
          <w:b/>
          <w:bCs/>
          <w:sz w:val="22"/>
          <w:szCs w:val="22"/>
        </w:rPr>
      </w:pPr>
    </w:p>
    <w:p w14:paraId="18F56C8A" w14:textId="77777777" w:rsidR="00701E19" w:rsidRPr="00FB3BBA" w:rsidRDefault="003D070E" w:rsidP="00701E19">
      <w:pPr>
        <w:rPr>
          <w:sz w:val="22"/>
          <w:szCs w:val="22"/>
          <w:u w:val="single"/>
        </w:rPr>
      </w:pPr>
      <w:r>
        <w:rPr>
          <w:sz w:val="22"/>
          <w:szCs w:val="22"/>
          <w:u w:val="single"/>
        </w:rPr>
        <w:t>P</w:t>
      </w:r>
      <w:r w:rsidR="00701E19" w:rsidRPr="00FB3BBA">
        <w:rPr>
          <w:sz w:val="22"/>
          <w:szCs w:val="22"/>
          <w:u w:val="single"/>
        </w:rPr>
        <w:t>rejavy</w:t>
      </w:r>
      <w:r>
        <w:rPr>
          <w:sz w:val="22"/>
          <w:szCs w:val="22"/>
          <w:u w:val="single"/>
        </w:rPr>
        <w:t xml:space="preserve"> a príznaky</w:t>
      </w:r>
      <w:r w:rsidR="00701E19" w:rsidRPr="00FB3BBA">
        <w:rPr>
          <w:sz w:val="22"/>
          <w:szCs w:val="22"/>
          <w:u w:val="single"/>
        </w:rPr>
        <w:t xml:space="preserve">: </w:t>
      </w:r>
    </w:p>
    <w:p w14:paraId="1A51A122" w14:textId="77777777" w:rsidR="00701E19" w:rsidRPr="00FB3BBA" w:rsidRDefault="00701E19" w:rsidP="00701E19">
      <w:pPr>
        <w:rPr>
          <w:sz w:val="22"/>
          <w:szCs w:val="22"/>
        </w:rPr>
      </w:pPr>
      <w:r w:rsidRPr="00FB3BBA">
        <w:rPr>
          <w:sz w:val="22"/>
          <w:szCs w:val="22"/>
        </w:rPr>
        <w:t xml:space="preserve">Predávkovanie dextrometorfánom môže byť spojené s nevoľnosťou, vracaním, dystóniou, </w:t>
      </w:r>
    </w:p>
    <w:p w14:paraId="489F5544" w14:textId="77777777" w:rsidR="00701E19" w:rsidRPr="00FB3BBA" w:rsidRDefault="00701E19" w:rsidP="00701E19">
      <w:pPr>
        <w:rPr>
          <w:sz w:val="22"/>
          <w:szCs w:val="22"/>
        </w:rPr>
      </w:pPr>
      <w:r w:rsidRPr="00FB3BBA">
        <w:rPr>
          <w:sz w:val="22"/>
          <w:szCs w:val="22"/>
        </w:rPr>
        <w:t>agitáciou, zmätenosťou, somnolenciou,</w:t>
      </w:r>
      <w:r>
        <w:rPr>
          <w:sz w:val="22"/>
          <w:szCs w:val="22"/>
        </w:rPr>
        <w:t xml:space="preserve"> </w:t>
      </w:r>
      <w:r w:rsidRPr="00FB3BBA">
        <w:rPr>
          <w:sz w:val="22"/>
          <w:szCs w:val="22"/>
        </w:rPr>
        <w:t xml:space="preserve">stuporom, nystagmom, kardiotoxicitou (tachykardia, </w:t>
      </w:r>
    </w:p>
    <w:p w14:paraId="2396E939" w14:textId="77777777" w:rsidR="00701E19" w:rsidRPr="00FB3BBA" w:rsidRDefault="00701E19" w:rsidP="00701E19">
      <w:pPr>
        <w:rPr>
          <w:sz w:val="22"/>
          <w:szCs w:val="22"/>
        </w:rPr>
      </w:pPr>
      <w:r w:rsidRPr="00FB3BBA">
        <w:rPr>
          <w:sz w:val="22"/>
          <w:szCs w:val="22"/>
        </w:rPr>
        <w:t>abnormálne EKG vrátane predĺženia intervalu QTc), ataxiou, toxickou psychózou so</w:t>
      </w:r>
      <w:r>
        <w:rPr>
          <w:sz w:val="22"/>
          <w:szCs w:val="22"/>
        </w:rPr>
        <w:t xml:space="preserve"> </w:t>
      </w:r>
      <w:r w:rsidRPr="00FB3BBA">
        <w:rPr>
          <w:sz w:val="22"/>
          <w:szCs w:val="22"/>
        </w:rPr>
        <w:t>zrakovými halucináciami,</w:t>
      </w:r>
      <w:r>
        <w:rPr>
          <w:sz w:val="22"/>
          <w:szCs w:val="22"/>
        </w:rPr>
        <w:t xml:space="preserve"> </w:t>
      </w:r>
      <w:r w:rsidRPr="00FB3BBA">
        <w:rPr>
          <w:sz w:val="22"/>
          <w:szCs w:val="22"/>
        </w:rPr>
        <w:t xml:space="preserve">hyperexcitabilitou. </w:t>
      </w:r>
    </w:p>
    <w:p w14:paraId="6F7DE92D" w14:textId="77777777" w:rsidR="00701E19" w:rsidRPr="00FB3BBA" w:rsidRDefault="00701E19" w:rsidP="00701E19">
      <w:pPr>
        <w:rPr>
          <w:sz w:val="22"/>
          <w:szCs w:val="22"/>
        </w:rPr>
      </w:pPr>
      <w:r w:rsidRPr="00FB3BBA">
        <w:rPr>
          <w:sz w:val="22"/>
          <w:szCs w:val="22"/>
        </w:rPr>
        <w:t>V prípade nadmerného predávkovania sa môžu pozorovať</w:t>
      </w:r>
      <w:r>
        <w:rPr>
          <w:sz w:val="22"/>
          <w:szCs w:val="22"/>
        </w:rPr>
        <w:t xml:space="preserve"> </w:t>
      </w:r>
      <w:r w:rsidRPr="00FB3BBA">
        <w:rPr>
          <w:sz w:val="22"/>
          <w:szCs w:val="22"/>
        </w:rPr>
        <w:t>nasledujúce</w:t>
      </w:r>
      <w:r>
        <w:rPr>
          <w:sz w:val="22"/>
          <w:szCs w:val="22"/>
        </w:rPr>
        <w:t xml:space="preserve"> </w:t>
      </w:r>
      <w:r w:rsidRPr="00FB3BBA">
        <w:rPr>
          <w:sz w:val="22"/>
          <w:szCs w:val="22"/>
        </w:rPr>
        <w:t>príznaky:</w:t>
      </w:r>
      <w:r>
        <w:rPr>
          <w:sz w:val="22"/>
          <w:szCs w:val="22"/>
        </w:rPr>
        <w:t xml:space="preserve"> </w:t>
      </w:r>
      <w:r w:rsidRPr="00FB3BBA">
        <w:rPr>
          <w:sz w:val="22"/>
          <w:szCs w:val="22"/>
        </w:rPr>
        <w:t xml:space="preserve">kóma, útlm </w:t>
      </w:r>
    </w:p>
    <w:p w14:paraId="4C674966" w14:textId="77777777" w:rsidR="00701E19" w:rsidRPr="00FB3BBA" w:rsidRDefault="00701E19" w:rsidP="00701E19">
      <w:pPr>
        <w:rPr>
          <w:sz w:val="22"/>
          <w:szCs w:val="22"/>
        </w:rPr>
      </w:pPr>
      <w:r w:rsidRPr="00FB3BBA">
        <w:rPr>
          <w:sz w:val="22"/>
          <w:szCs w:val="22"/>
        </w:rPr>
        <w:lastRenderedPageBreak/>
        <w:t xml:space="preserve">dýchania, kŕče. </w:t>
      </w:r>
    </w:p>
    <w:p w14:paraId="3177B72E" w14:textId="77777777" w:rsidR="00701E19" w:rsidRPr="00FB3BBA" w:rsidRDefault="00701E19" w:rsidP="00701E19">
      <w:pPr>
        <w:rPr>
          <w:sz w:val="22"/>
          <w:szCs w:val="22"/>
        </w:rPr>
      </w:pPr>
      <w:r w:rsidRPr="00FB3BBA">
        <w:rPr>
          <w:sz w:val="22"/>
          <w:szCs w:val="22"/>
        </w:rPr>
        <w:t xml:space="preserve"> </w:t>
      </w:r>
    </w:p>
    <w:p w14:paraId="58BB337B" w14:textId="77777777" w:rsidR="00336CCC" w:rsidRDefault="00336CCC" w:rsidP="00701E19">
      <w:pPr>
        <w:rPr>
          <w:sz w:val="22"/>
          <w:szCs w:val="22"/>
          <w:u w:val="single"/>
        </w:rPr>
      </w:pPr>
    </w:p>
    <w:p w14:paraId="20B2D25F" w14:textId="77777777" w:rsidR="00701E19" w:rsidRPr="00FB3BBA" w:rsidRDefault="00701E19" w:rsidP="00701E19">
      <w:pPr>
        <w:rPr>
          <w:sz w:val="22"/>
          <w:szCs w:val="22"/>
          <w:u w:val="single"/>
        </w:rPr>
      </w:pPr>
      <w:r w:rsidRPr="00FB3BBA">
        <w:rPr>
          <w:sz w:val="22"/>
          <w:szCs w:val="22"/>
          <w:u w:val="single"/>
        </w:rPr>
        <w:t xml:space="preserve">Liečba: </w:t>
      </w:r>
    </w:p>
    <w:p w14:paraId="073D5471" w14:textId="77777777" w:rsidR="00701E19" w:rsidRPr="00FB3BBA" w:rsidRDefault="00F63786" w:rsidP="00701E19">
      <w:pPr>
        <w:rPr>
          <w:sz w:val="22"/>
          <w:szCs w:val="22"/>
        </w:rPr>
      </w:pPr>
      <w:r>
        <w:rPr>
          <w:sz w:val="22"/>
          <w:szCs w:val="22"/>
        </w:rPr>
        <w:t>– asymptomatickým pacientom,</w:t>
      </w:r>
      <w:r w:rsidR="00701E19" w:rsidRPr="00FB3BBA">
        <w:rPr>
          <w:sz w:val="22"/>
          <w:szCs w:val="22"/>
        </w:rPr>
        <w:t xml:space="preserve">ktorí užili nadmerné dávky dextrometorfánu počas predchádzajúcej hodiny, sa môže podať aktívne uhlie. </w:t>
      </w:r>
    </w:p>
    <w:p w14:paraId="56DD22EE" w14:textId="77777777" w:rsidR="00701E19" w:rsidRPr="00FB3BBA" w:rsidRDefault="00F63786" w:rsidP="00701E19">
      <w:pPr>
        <w:rPr>
          <w:sz w:val="22"/>
          <w:szCs w:val="22"/>
        </w:rPr>
      </w:pPr>
      <w:r>
        <w:rPr>
          <w:sz w:val="22"/>
          <w:szCs w:val="22"/>
        </w:rPr>
        <w:t xml:space="preserve">– </w:t>
      </w:r>
      <w:r w:rsidR="00701E19" w:rsidRPr="00FB3BBA">
        <w:rPr>
          <w:sz w:val="22"/>
          <w:szCs w:val="22"/>
        </w:rPr>
        <w:t>v prípade pacientov, ktorí užili dextrometorfán a majú útlm (sedáciu) alebo sú v kóme, možno zvážiť podanie naloxónu v obvyklých dávkach na liečbu predávkovania opioidmi. Pri</w:t>
      </w:r>
      <w:r w:rsidR="00701E19">
        <w:rPr>
          <w:sz w:val="22"/>
          <w:szCs w:val="22"/>
        </w:rPr>
        <w:t xml:space="preserve"> </w:t>
      </w:r>
      <w:r>
        <w:rPr>
          <w:sz w:val="22"/>
          <w:szCs w:val="22"/>
        </w:rPr>
        <w:t xml:space="preserve">záchvatoch sa </w:t>
      </w:r>
      <w:r w:rsidR="00701E19" w:rsidRPr="00FB3BBA">
        <w:rPr>
          <w:sz w:val="22"/>
          <w:szCs w:val="22"/>
        </w:rPr>
        <w:t>môžu použiť benzodiazepíny</w:t>
      </w:r>
      <w:r w:rsidR="00701E19">
        <w:rPr>
          <w:sz w:val="22"/>
          <w:szCs w:val="22"/>
        </w:rPr>
        <w:t xml:space="preserve"> </w:t>
      </w:r>
      <w:r>
        <w:rPr>
          <w:sz w:val="22"/>
          <w:szCs w:val="22"/>
        </w:rPr>
        <w:t xml:space="preserve">a pri </w:t>
      </w:r>
      <w:r w:rsidR="00701E19" w:rsidRPr="00FB3BBA">
        <w:rPr>
          <w:sz w:val="22"/>
          <w:szCs w:val="22"/>
        </w:rPr>
        <w:t>hypertermii</w:t>
      </w:r>
      <w:r w:rsidR="00701E19">
        <w:rPr>
          <w:sz w:val="22"/>
          <w:szCs w:val="22"/>
        </w:rPr>
        <w:t xml:space="preserve"> </w:t>
      </w:r>
      <w:r>
        <w:rPr>
          <w:sz w:val="22"/>
          <w:szCs w:val="22"/>
        </w:rPr>
        <w:t xml:space="preserve">v dôsledku </w:t>
      </w:r>
      <w:r w:rsidR="00701E19" w:rsidRPr="00FB3BBA">
        <w:rPr>
          <w:sz w:val="22"/>
          <w:szCs w:val="22"/>
        </w:rPr>
        <w:t>sérotonínového syndrómu benzodiazepíny a externé ochladzovanie.</w:t>
      </w:r>
    </w:p>
    <w:p w14:paraId="7C91E0EB" w14:textId="77777777" w:rsidR="00D21EE1" w:rsidRPr="000607AF" w:rsidRDefault="00D21EE1" w:rsidP="000607AF">
      <w:pPr>
        <w:widowControl w:val="0"/>
        <w:autoSpaceDE w:val="0"/>
        <w:autoSpaceDN w:val="0"/>
        <w:adjustRightInd w:val="0"/>
        <w:rPr>
          <w:sz w:val="22"/>
          <w:szCs w:val="22"/>
        </w:rPr>
      </w:pPr>
    </w:p>
    <w:p w14:paraId="036E9D1F" w14:textId="77777777" w:rsidR="00D21EE1" w:rsidRPr="000607AF" w:rsidRDefault="00D21EE1" w:rsidP="000607AF">
      <w:pPr>
        <w:widowControl w:val="0"/>
        <w:autoSpaceDE w:val="0"/>
        <w:autoSpaceDN w:val="0"/>
        <w:adjustRightInd w:val="0"/>
        <w:rPr>
          <w:sz w:val="22"/>
          <w:szCs w:val="22"/>
        </w:rPr>
      </w:pPr>
    </w:p>
    <w:p w14:paraId="458E6A94"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5. </w:t>
      </w:r>
      <w:r w:rsidRPr="000607AF">
        <w:rPr>
          <w:b/>
          <w:bCs/>
          <w:sz w:val="22"/>
          <w:szCs w:val="22"/>
        </w:rPr>
        <w:tab/>
        <w:t>FARMAKOLOGICKÉ VLASTNOSTI</w:t>
      </w:r>
    </w:p>
    <w:p w14:paraId="039B9213" w14:textId="77777777" w:rsidR="00D21EE1" w:rsidRPr="000607AF" w:rsidRDefault="00D21EE1" w:rsidP="000607AF">
      <w:pPr>
        <w:widowControl w:val="0"/>
        <w:autoSpaceDE w:val="0"/>
        <w:autoSpaceDN w:val="0"/>
        <w:adjustRightInd w:val="0"/>
        <w:rPr>
          <w:b/>
          <w:bCs/>
          <w:sz w:val="22"/>
          <w:szCs w:val="22"/>
        </w:rPr>
      </w:pPr>
    </w:p>
    <w:p w14:paraId="023FA25F"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5.1 </w:t>
      </w:r>
      <w:r w:rsidRPr="000607AF">
        <w:rPr>
          <w:b/>
          <w:bCs/>
          <w:sz w:val="22"/>
          <w:szCs w:val="22"/>
        </w:rPr>
        <w:tab/>
        <w:t xml:space="preserve">Farmakodynamické vlastnosti </w:t>
      </w:r>
    </w:p>
    <w:p w14:paraId="5E44C437" w14:textId="77777777" w:rsidR="00D21EE1" w:rsidRPr="000607AF" w:rsidRDefault="00D21EE1" w:rsidP="000607AF">
      <w:pPr>
        <w:widowControl w:val="0"/>
        <w:autoSpaceDE w:val="0"/>
        <w:autoSpaceDN w:val="0"/>
        <w:adjustRightInd w:val="0"/>
        <w:rPr>
          <w:sz w:val="22"/>
          <w:szCs w:val="22"/>
        </w:rPr>
      </w:pPr>
    </w:p>
    <w:p w14:paraId="0F286A8C" w14:textId="77777777" w:rsidR="00D21EE1" w:rsidRPr="000607AF" w:rsidRDefault="00D21EE1" w:rsidP="000607AF">
      <w:pPr>
        <w:widowControl w:val="0"/>
        <w:autoSpaceDE w:val="0"/>
        <w:autoSpaceDN w:val="0"/>
        <w:adjustRightInd w:val="0"/>
        <w:rPr>
          <w:sz w:val="22"/>
          <w:szCs w:val="22"/>
        </w:rPr>
      </w:pPr>
      <w:r w:rsidRPr="000607AF">
        <w:rPr>
          <w:sz w:val="22"/>
          <w:szCs w:val="22"/>
        </w:rPr>
        <w:t>Farmakoterapeutická skupina: antitusikum</w:t>
      </w:r>
    </w:p>
    <w:p w14:paraId="1C8C2AF1" w14:textId="77777777" w:rsidR="00D21EE1" w:rsidRPr="000607AF" w:rsidRDefault="00D21EE1" w:rsidP="000607AF">
      <w:pPr>
        <w:widowControl w:val="0"/>
        <w:autoSpaceDE w:val="0"/>
        <w:autoSpaceDN w:val="0"/>
        <w:adjustRightInd w:val="0"/>
        <w:rPr>
          <w:sz w:val="22"/>
          <w:szCs w:val="22"/>
        </w:rPr>
      </w:pPr>
      <w:r w:rsidRPr="000607AF">
        <w:rPr>
          <w:sz w:val="22"/>
          <w:szCs w:val="22"/>
        </w:rPr>
        <w:t xml:space="preserve">ATC kód: R05DA09 </w:t>
      </w:r>
    </w:p>
    <w:p w14:paraId="48582E3A" w14:textId="77777777" w:rsidR="00D21EE1" w:rsidRPr="000607AF" w:rsidRDefault="00D21EE1" w:rsidP="000607AF">
      <w:pPr>
        <w:widowControl w:val="0"/>
        <w:autoSpaceDE w:val="0"/>
        <w:autoSpaceDN w:val="0"/>
        <w:adjustRightInd w:val="0"/>
        <w:rPr>
          <w:sz w:val="22"/>
          <w:szCs w:val="22"/>
        </w:rPr>
      </w:pPr>
    </w:p>
    <w:p w14:paraId="79F23644" w14:textId="77777777" w:rsidR="00D21EE1" w:rsidRPr="000607AF" w:rsidRDefault="00D21EE1" w:rsidP="000607AF">
      <w:pPr>
        <w:widowControl w:val="0"/>
        <w:autoSpaceDE w:val="0"/>
        <w:autoSpaceDN w:val="0"/>
        <w:adjustRightInd w:val="0"/>
        <w:rPr>
          <w:sz w:val="22"/>
          <w:szCs w:val="22"/>
        </w:rPr>
      </w:pPr>
      <w:r w:rsidRPr="000607AF">
        <w:rPr>
          <w:sz w:val="22"/>
          <w:szCs w:val="22"/>
        </w:rPr>
        <w:t>Dextrometorf</w:t>
      </w:r>
      <w:r w:rsidR="006967E4" w:rsidRPr="000607AF">
        <w:rPr>
          <w:sz w:val="22"/>
          <w:szCs w:val="22"/>
        </w:rPr>
        <w:t>á</w:t>
      </w:r>
      <w:r w:rsidRPr="000607AF">
        <w:rPr>
          <w:sz w:val="22"/>
          <w:szCs w:val="22"/>
        </w:rPr>
        <w:t>n</w:t>
      </w:r>
      <w:r w:rsidR="008064DD" w:rsidRPr="000607AF">
        <w:rPr>
          <w:sz w:val="22"/>
          <w:szCs w:val="22"/>
        </w:rPr>
        <w:t>iumhydrobromid</w:t>
      </w:r>
      <w:r w:rsidRPr="000607AF">
        <w:rPr>
          <w:sz w:val="22"/>
          <w:szCs w:val="22"/>
        </w:rPr>
        <w:t xml:space="preserve"> je neopioidné antitusikum. Je to metylovaný dextrorotatórny analóg levorfanolu, analógu kodeínu. Dextromeotorf</w:t>
      </w:r>
      <w:r w:rsidR="006967E4" w:rsidRPr="000607AF">
        <w:rPr>
          <w:sz w:val="22"/>
          <w:szCs w:val="22"/>
        </w:rPr>
        <w:t>á</w:t>
      </w:r>
      <w:r w:rsidRPr="000607AF">
        <w:rPr>
          <w:sz w:val="22"/>
          <w:szCs w:val="22"/>
        </w:rPr>
        <w:t>n</w:t>
      </w:r>
      <w:r w:rsidR="008064DD" w:rsidRPr="000607AF">
        <w:rPr>
          <w:sz w:val="22"/>
          <w:szCs w:val="22"/>
        </w:rPr>
        <w:t>iumhydrobromid</w:t>
      </w:r>
      <w:r w:rsidRPr="000607AF">
        <w:rPr>
          <w:sz w:val="22"/>
          <w:szCs w:val="22"/>
        </w:rPr>
        <w:t xml:space="preserve"> má centrálny účinok na centrum pre kašeľ v mieche a nucleus tractus solaris na zvýšenie prahu kašľa. Pri zvyčajných antitusických dávkach nemá klasické analgetické, sedatívne alebo respiračné utlmujúce účinky.</w:t>
      </w:r>
    </w:p>
    <w:p w14:paraId="5C18CEAE" w14:textId="77777777" w:rsidR="00D21EE1" w:rsidRPr="000607AF" w:rsidRDefault="00D21EE1" w:rsidP="000607AF">
      <w:pPr>
        <w:widowControl w:val="0"/>
        <w:autoSpaceDE w:val="0"/>
        <w:autoSpaceDN w:val="0"/>
        <w:adjustRightInd w:val="0"/>
        <w:rPr>
          <w:sz w:val="22"/>
          <w:szCs w:val="22"/>
        </w:rPr>
      </w:pPr>
    </w:p>
    <w:p w14:paraId="3EBDCC57"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5.2 </w:t>
      </w:r>
      <w:r w:rsidRPr="000607AF">
        <w:rPr>
          <w:b/>
          <w:bCs/>
          <w:sz w:val="22"/>
          <w:szCs w:val="22"/>
        </w:rPr>
        <w:tab/>
        <w:t>Famakokinetické vlastnosti</w:t>
      </w:r>
    </w:p>
    <w:p w14:paraId="12550B5C" w14:textId="77777777" w:rsidR="00D21EE1" w:rsidRPr="000607AF" w:rsidRDefault="00D21EE1" w:rsidP="000607AF">
      <w:pPr>
        <w:widowControl w:val="0"/>
        <w:autoSpaceDE w:val="0"/>
        <w:autoSpaceDN w:val="0"/>
        <w:adjustRightInd w:val="0"/>
        <w:rPr>
          <w:sz w:val="22"/>
          <w:szCs w:val="22"/>
        </w:rPr>
      </w:pPr>
    </w:p>
    <w:p w14:paraId="63A19585" w14:textId="77777777" w:rsidR="00322BD1" w:rsidRPr="000607AF" w:rsidRDefault="00322BD1" w:rsidP="000607AF">
      <w:pPr>
        <w:rPr>
          <w:bCs/>
          <w:sz w:val="22"/>
          <w:szCs w:val="22"/>
          <w:u w:val="single"/>
        </w:rPr>
      </w:pPr>
      <w:r w:rsidRPr="000607AF">
        <w:rPr>
          <w:bCs/>
          <w:sz w:val="22"/>
          <w:szCs w:val="22"/>
          <w:u w:val="single"/>
        </w:rPr>
        <w:t>Metabolizmus</w:t>
      </w:r>
    </w:p>
    <w:p w14:paraId="48F20BFF" w14:textId="77777777" w:rsidR="00322BD1" w:rsidRPr="000607AF" w:rsidRDefault="00322BD1" w:rsidP="000607AF">
      <w:pPr>
        <w:rPr>
          <w:bCs/>
          <w:sz w:val="22"/>
          <w:szCs w:val="22"/>
        </w:rPr>
      </w:pPr>
    </w:p>
    <w:p w14:paraId="08C31912" w14:textId="77777777" w:rsidR="00322BD1" w:rsidRPr="000607AF" w:rsidRDefault="00322BD1" w:rsidP="000607AF">
      <w:pPr>
        <w:rPr>
          <w:bCs/>
          <w:sz w:val="22"/>
          <w:szCs w:val="22"/>
        </w:rPr>
      </w:pPr>
      <w:r w:rsidRPr="000607AF">
        <w:rPr>
          <w:bCs/>
          <w:sz w:val="22"/>
          <w:szCs w:val="22"/>
        </w:rPr>
        <w:t>Dextrometorfán podstupuje po perorálnom podaní rýchly a rozsiahly first-pass metabolizmus (metabolizmus prvého priechodu) v pečeni. U ľudských dobrovoľníkov je hlavným faktorom farmakokinetiky dextrometorfánu geneticky kontrolovaná O-demetylácia (CYD2D6).</w:t>
      </w:r>
    </w:p>
    <w:p w14:paraId="3FA57C70" w14:textId="77777777" w:rsidR="00322BD1" w:rsidRPr="000607AF" w:rsidRDefault="00322BD1" w:rsidP="000607AF">
      <w:pPr>
        <w:pStyle w:val="Default"/>
        <w:rPr>
          <w:sz w:val="22"/>
          <w:szCs w:val="22"/>
        </w:rPr>
      </w:pPr>
      <w:r w:rsidRPr="000607AF">
        <w:rPr>
          <w:bCs/>
          <w:sz w:val="22"/>
          <w:szCs w:val="22"/>
        </w:rPr>
        <w:t xml:space="preserve">Vyzerá to tak, že pri tomto oxidačnom procese existujú rôzne fenotypy, čo vedie k veľkým rozdielom vo farmakokinetike medzi jedincami. V moči bol identifikovaný nezmetabolizovaný dextrometorfán spolu s troma demetylovanými dextrorfánovými metabolitmi morfínanového typu (tiež známe ako 3-hydroxy-N-metylmorfínan, 3-hydroxymorfínan a 3-metoxymorfínan) vo forme konjugovaných produktov. </w:t>
      </w:r>
    </w:p>
    <w:p w14:paraId="4AA3B7AB" w14:textId="77777777" w:rsidR="00322BD1" w:rsidRPr="000607AF" w:rsidRDefault="00322BD1" w:rsidP="000607AF">
      <w:pPr>
        <w:rPr>
          <w:sz w:val="22"/>
          <w:szCs w:val="22"/>
        </w:rPr>
      </w:pPr>
      <w:r w:rsidRPr="000607AF">
        <w:rPr>
          <w:bCs/>
          <w:sz w:val="22"/>
          <w:szCs w:val="22"/>
        </w:rPr>
        <w:t>Dextrorfán, ktorý má tiež protikašľový účinok, je hlavným metabolitom. U niektorých jedincov metabolizmus postupuje pomalšie a nezmenený dextrometorfán dominuje v krvi aj v moči.</w:t>
      </w:r>
    </w:p>
    <w:p w14:paraId="05C9F2F1" w14:textId="77777777" w:rsidR="00322BD1" w:rsidRPr="000607AF" w:rsidRDefault="00322BD1" w:rsidP="000607AF">
      <w:pPr>
        <w:widowControl w:val="0"/>
        <w:autoSpaceDE w:val="0"/>
        <w:autoSpaceDN w:val="0"/>
        <w:adjustRightInd w:val="0"/>
        <w:rPr>
          <w:sz w:val="22"/>
          <w:szCs w:val="22"/>
        </w:rPr>
      </w:pPr>
    </w:p>
    <w:p w14:paraId="2F79B688" w14:textId="77777777" w:rsidR="00D21EE1" w:rsidRPr="009F5E90" w:rsidRDefault="00D21EE1" w:rsidP="000607AF">
      <w:pPr>
        <w:widowControl w:val="0"/>
        <w:autoSpaceDE w:val="0"/>
        <w:autoSpaceDN w:val="0"/>
        <w:adjustRightInd w:val="0"/>
        <w:rPr>
          <w:sz w:val="22"/>
          <w:szCs w:val="22"/>
        </w:rPr>
      </w:pPr>
      <w:r w:rsidRPr="000607AF">
        <w:rPr>
          <w:sz w:val="22"/>
          <w:szCs w:val="22"/>
        </w:rPr>
        <w:t>Eliminačný plazmatický polčas dextrometorf</w:t>
      </w:r>
      <w:r w:rsidR="008064DD" w:rsidRPr="000607AF">
        <w:rPr>
          <w:sz w:val="22"/>
          <w:szCs w:val="22"/>
        </w:rPr>
        <w:t>ániumhydrobromidu</w:t>
      </w:r>
      <w:r w:rsidRPr="000607AF">
        <w:rPr>
          <w:sz w:val="22"/>
          <w:szCs w:val="22"/>
        </w:rPr>
        <w:t xml:space="preserve"> je 1,2 až 3,9 hodiny. Rýchlosť metabolizmu sa však medzi jednotlivcami líši podľa fenotypu (rýchly alebo pomalý metabolizmus) a</w:t>
      </w:r>
      <w:r w:rsidR="00770369">
        <w:rPr>
          <w:sz w:val="22"/>
          <w:szCs w:val="22"/>
        </w:rPr>
        <w:t> </w:t>
      </w:r>
      <w:r w:rsidRPr="009F5E90">
        <w:rPr>
          <w:sz w:val="22"/>
          <w:szCs w:val="22"/>
        </w:rPr>
        <w:t>polčas je až 45 hodín u pacientov s pomalým metabolizmom.</w:t>
      </w:r>
    </w:p>
    <w:p w14:paraId="6B5C54F9" w14:textId="77777777" w:rsidR="00D21EE1" w:rsidRPr="00B25EB9" w:rsidRDefault="00D21EE1" w:rsidP="000607AF">
      <w:pPr>
        <w:widowControl w:val="0"/>
        <w:tabs>
          <w:tab w:val="left" w:pos="3835"/>
        </w:tabs>
        <w:autoSpaceDE w:val="0"/>
        <w:autoSpaceDN w:val="0"/>
        <w:adjustRightInd w:val="0"/>
        <w:rPr>
          <w:i/>
          <w:iCs/>
          <w:sz w:val="22"/>
          <w:szCs w:val="22"/>
        </w:rPr>
      </w:pPr>
      <w:r w:rsidRPr="00B25EB9">
        <w:rPr>
          <w:i/>
          <w:iCs/>
          <w:sz w:val="22"/>
          <w:szCs w:val="22"/>
        </w:rPr>
        <w:tab/>
      </w:r>
    </w:p>
    <w:p w14:paraId="5034BEEE" w14:textId="77777777" w:rsidR="00D21EE1" w:rsidRPr="000607AF" w:rsidRDefault="00D21EE1" w:rsidP="000607AF">
      <w:pPr>
        <w:widowControl w:val="0"/>
        <w:tabs>
          <w:tab w:val="left" w:pos="278"/>
        </w:tabs>
        <w:autoSpaceDE w:val="0"/>
        <w:autoSpaceDN w:val="0"/>
        <w:adjustRightInd w:val="0"/>
        <w:rPr>
          <w:b/>
          <w:bCs/>
          <w:sz w:val="22"/>
          <w:szCs w:val="22"/>
        </w:rPr>
      </w:pPr>
      <w:r w:rsidRPr="000607AF">
        <w:rPr>
          <w:b/>
          <w:bCs/>
          <w:sz w:val="22"/>
          <w:szCs w:val="22"/>
        </w:rPr>
        <w:t xml:space="preserve">5.3 </w:t>
      </w:r>
      <w:r w:rsidRPr="000607AF">
        <w:rPr>
          <w:b/>
          <w:bCs/>
          <w:sz w:val="22"/>
          <w:szCs w:val="22"/>
        </w:rPr>
        <w:tab/>
        <w:t>Predklinické údaje o bezpečnosti</w:t>
      </w:r>
    </w:p>
    <w:p w14:paraId="128D8EA6" w14:textId="77777777" w:rsidR="00D21EE1" w:rsidRPr="000607AF" w:rsidRDefault="00D21EE1" w:rsidP="000607AF">
      <w:pPr>
        <w:widowControl w:val="0"/>
        <w:autoSpaceDE w:val="0"/>
        <w:autoSpaceDN w:val="0"/>
        <w:adjustRightInd w:val="0"/>
        <w:rPr>
          <w:sz w:val="22"/>
          <w:szCs w:val="22"/>
        </w:rPr>
      </w:pPr>
    </w:p>
    <w:p w14:paraId="5BA63624" w14:textId="77777777" w:rsidR="00D21EE1" w:rsidRPr="000607AF" w:rsidRDefault="00D21EE1" w:rsidP="000607AF">
      <w:pPr>
        <w:widowControl w:val="0"/>
        <w:autoSpaceDE w:val="0"/>
        <w:autoSpaceDN w:val="0"/>
        <w:adjustRightInd w:val="0"/>
        <w:rPr>
          <w:sz w:val="22"/>
          <w:szCs w:val="22"/>
        </w:rPr>
      </w:pPr>
      <w:r w:rsidRPr="000607AF">
        <w:rPr>
          <w:sz w:val="22"/>
          <w:szCs w:val="22"/>
        </w:rPr>
        <w:t>Ako dobre vyskúšaný a široko používaný liek má dobre zdokumentovanú predklinickú bezpečnosť liečiva.</w:t>
      </w:r>
    </w:p>
    <w:p w14:paraId="1277F9FE" w14:textId="77777777" w:rsidR="00D21EE1" w:rsidRPr="000607AF" w:rsidRDefault="00D21EE1" w:rsidP="000607AF">
      <w:pPr>
        <w:widowControl w:val="0"/>
        <w:autoSpaceDE w:val="0"/>
        <w:autoSpaceDN w:val="0"/>
        <w:adjustRightInd w:val="0"/>
        <w:rPr>
          <w:sz w:val="22"/>
          <w:szCs w:val="22"/>
        </w:rPr>
      </w:pPr>
    </w:p>
    <w:p w14:paraId="1FBE42DE" w14:textId="77777777" w:rsidR="00D21EE1" w:rsidRPr="000607AF" w:rsidRDefault="00D21EE1" w:rsidP="000607AF">
      <w:pPr>
        <w:widowControl w:val="0"/>
        <w:autoSpaceDE w:val="0"/>
        <w:autoSpaceDN w:val="0"/>
        <w:adjustRightInd w:val="0"/>
        <w:rPr>
          <w:sz w:val="22"/>
          <w:szCs w:val="22"/>
        </w:rPr>
      </w:pPr>
    </w:p>
    <w:p w14:paraId="6117FDF6"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6. </w:t>
      </w:r>
      <w:r w:rsidRPr="000607AF">
        <w:rPr>
          <w:b/>
          <w:bCs/>
          <w:sz w:val="22"/>
          <w:szCs w:val="22"/>
        </w:rPr>
        <w:tab/>
        <w:t>FARMACEUTICKÉ INFORMÁCIE</w:t>
      </w:r>
    </w:p>
    <w:p w14:paraId="7076B2DC" w14:textId="77777777" w:rsidR="00D21EE1" w:rsidRPr="000607AF" w:rsidRDefault="00D21EE1" w:rsidP="000607AF">
      <w:pPr>
        <w:widowControl w:val="0"/>
        <w:autoSpaceDE w:val="0"/>
        <w:autoSpaceDN w:val="0"/>
        <w:adjustRightInd w:val="0"/>
        <w:rPr>
          <w:b/>
          <w:bCs/>
          <w:sz w:val="22"/>
          <w:szCs w:val="22"/>
        </w:rPr>
      </w:pPr>
    </w:p>
    <w:p w14:paraId="14B8A2BA"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6.1 </w:t>
      </w:r>
      <w:r w:rsidRPr="000607AF">
        <w:rPr>
          <w:b/>
          <w:bCs/>
          <w:sz w:val="22"/>
          <w:szCs w:val="22"/>
        </w:rPr>
        <w:tab/>
        <w:t>Zoznam pomocných látok</w:t>
      </w:r>
    </w:p>
    <w:p w14:paraId="0A477657" w14:textId="77777777" w:rsidR="006420FB" w:rsidRDefault="006420FB" w:rsidP="006420FB">
      <w:pPr>
        <w:widowControl w:val="0"/>
        <w:autoSpaceDE w:val="0"/>
        <w:autoSpaceDN w:val="0"/>
        <w:adjustRightInd w:val="0"/>
        <w:rPr>
          <w:sz w:val="22"/>
          <w:szCs w:val="22"/>
        </w:rPr>
      </w:pPr>
      <w:r>
        <w:rPr>
          <w:sz w:val="22"/>
          <w:szCs w:val="22"/>
        </w:rPr>
        <w:t>g</w:t>
      </w:r>
      <w:r w:rsidRPr="009F0017">
        <w:rPr>
          <w:sz w:val="22"/>
          <w:szCs w:val="22"/>
        </w:rPr>
        <w:t>lycerol</w:t>
      </w:r>
    </w:p>
    <w:p w14:paraId="7293A6FE" w14:textId="77777777" w:rsidR="006420FB" w:rsidRDefault="006420FB" w:rsidP="006420FB">
      <w:pPr>
        <w:widowControl w:val="0"/>
        <w:autoSpaceDE w:val="0"/>
        <w:autoSpaceDN w:val="0"/>
        <w:adjustRightInd w:val="0"/>
        <w:rPr>
          <w:sz w:val="22"/>
          <w:szCs w:val="22"/>
        </w:rPr>
      </w:pPr>
      <w:r w:rsidRPr="009F0017">
        <w:rPr>
          <w:sz w:val="22"/>
          <w:szCs w:val="22"/>
        </w:rPr>
        <w:t>sodná soľ karmelózy</w:t>
      </w:r>
    </w:p>
    <w:p w14:paraId="257A51BD" w14:textId="77777777" w:rsidR="006420FB" w:rsidRDefault="006420FB" w:rsidP="006420FB">
      <w:pPr>
        <w:widowControl w:val="0"/>
        <w:autoSpaceDE w:val="0"/>
        <w:autoSpaceDN w:val="0"/>
        <w:adjustRightInd w:val="0"/>
        <w:rPr>
          <w:sz w:val="22"/>
          <w:szCs w:val="22"/>
        </w:rPr>
      </w:pPr>
      <w:r w:rsidRPr="009F0017">
        <w:rPr>
          <w:sz w:val="22"/>
          <w:szCs w:val="22"/>
        </w:rPr>
        <w:t>benzo</w:t>
      </w:r>
      <w:r>
        <w:rPr>
          <w:sz w:val="22"/>
          <w:szCs w:val="22"/>
        </w:rPr>
        <w:t>át</w:t>
      </w:r>
      <w:r w:rsidRPr="009F0017">
        <w:rPr>
          <w:sz w:val="22"/>
          <w:szCs w:val="22"/>
        </w:rPr>
        <w:t xml:space="preserve"> sodný</w:t>
      </w:r>
    </w:p>
    <w:p w14:paraId="609E960D" w14:textId="77777777" w:rsidR="006420FB" w:rsidRDefault="006420FB" w:rsidP="006420FB">
      <w:pPr>
        <w:widowControl w:val="0"/>
        <w:autoSpaceDE w:val="0"/>
        <w:autoSpaceDN w:val="0"/>
        <w:adjustRightInd w:val="0"/>
        <w:rPr>
          <w:sz w:val="22"/>
          <w:szCs w:val="22"/>
        </w:rPr>
      </w:pPr>
      <w:r>
        <w:rPr>
          <w:sz w:val="22"/>
          <w:szCs w:val="22"/>
        </w:rPr>
        <w:t xml:space="preserve">edetan disodný </w:t>
      </w:r>
    </w:p>
    <w:p w14:paraId="3EEF5B1F" w14:textId="77777777" w:rsidR="006420FB" w:rsidRDefault="006420FB" w:rsidP="006420FB">
      <w:pPr>
        <w:widowControl w:val="0"/>
        <w:autoSpaceDE w:val="0"/>
        <w:autoSpaceDN w:val="0"/>
        <w:adjustRightInd w:val="0"/>
        <w:rPr>
          <w:sz w:val="22"/>
          <w:szCs w:val="22"/>
        </w:rPr>
      </w:pPr>
      <w:r w:rsidRPr="009F0017">
        <w:rPr>
          <w:sz w:val="22"/>
          <w:szCs w:val="22"/>
        </w:rPr>
        <w:t>roztok maltitolu (E965)</w:t>
      </w:r>
    </w:p>
    <w:p w14:paraId="7F878B66" w14:textId="77777777" w:rsidR="006420FB" w:rsidRDefault="006420FB" w:rsidP="006420FB">
      <w:pPr>
        <w:widowControl w:val="0"/>
        <w:autoSpaceDE w:val="0"/>
        <w:autoSpaceDN w:val="0"/>
        <w:adjustRightInd w:val="0"/>
        <w:rPr>
          <w:sz w:val="22"/>
          <w:szCs w:val="22"/>
        </w:rPr>
      </w:pPr>
      <w:r w:rsidRPr="009F0017">
        <w:rPr>
          <w:sz w:val="22"/>
          <w:szCs w:val="22"/>
        </w:rPr>
        <w:lastRenderedPageBreak/>
        <w:t>etanol 96</w:t>
      </w:r>
      <w:r>
        <w:rPr>
          <w:sz w:val="22"/>
          <w:szCs w:val="22"/>
        </w:rPr>
        <w:t> </w:t>
      </w:r>
      <w:r w:rsidRPr="009F0017">
        <w:rPr>
          <w:sz w:val="22"/>
          <w:szCs w:val="22"/>
        </w:rPr>
        <w:t>% (V/V)</w:t>
      </w:r>
    </w:p>
    <w:p w14:paraId="0DFBD1C7" w14:textId="77777777" w:rsidR="006420FB" w:rsidRDefault="006420FB" w:rsidP="006420FB">
      <w:pPr>
        <w:widowControl w:val="0"/>
        <w:autoSpaceDE w:val="0"/>
        <w:autoSpaceDN w:val="0"/>
        <w:adjustRightInd w:val="0"/>
        <w:rPr>
          <w:sz w:val="22"/>
          <w:szCs w:val="22"/>
        </w:rPr>
      </w:pPr>
      <w:r w:rsidRPr="009F0017">
        <w:rPr>
          <w:sz w:val="22"/>
          <w:szCs w:val="22"/>
        </w:rPr>
        <w:t>bezvodá kyselina citrónová</w:t>
      </w:r>
    </w:p>
    <w:p w14:paraId="10AB6D61" w14:textId="77777777" w:rsidR="006420FB" w:rsidRDefault="006420FB" w:rsidP="006420FB">
      <w:pPr>
        <w:widowControl w:val="0"/>
        <w:autoSpaceDE w:val="0"/>
        <w:autoSpaceDN w:val="0"/>
        <w:adjustRightInd w:val="0"/>
        <w:rPr>
          <w:sz w:val="22"/>
          <w:szCs w:val="22"/>
        </w:rPr>
      </w:pPr>
      <w:r w:rsidRPr="009F0017">
        <w:rPr>
          <w:sz w:val="22"/>
          <w:szCs w:val="22"/>
        </w:rPr>
        <w:t>amarant (E123)</w:t>
      </w:r>
    </w:p>
    <w:p w14:paraId="1B8FCA8D" w14:textId="77777777" w:rsidR="006420FB" w:rsidRDefault="006420FB" w:rsidP="006420FB">
      <w:pPr>
        <w:widowControl w:val="0"/>
        <w:autoSpaceDE w:val="0"/>
        <w:autoSpaceDN w:val="0"/>
        <w:adjustRightInd w:val="0"/>
        <w:rPr>
          <w:sz w:val="22"/>
          <w:szCs w:val="22"/>
        </w:rPr>
      </w:pPr>
      <w:r w:rsidRPr="009F0017">
        <w:rPr>
          <w:sz w:val="22"/>
          <w:szCs w:val="22"/>
        </w:rPr>
        <w:t>karamel</w:t>
      </w:r>
    </w:p>
    <w:p w14:paraId="765A526B" w14:textId="77777777" w:rsidR="006420FB" w:rsidRDefault="006420FB" w:rsidP="006420FB">
      <w:pPr>
        <w:widowControl w:val="0"/>
        <w:autoSpaceDE w:val="0"/>
        <w:autoSpaceDN w:val="0"/>
        <w:adjustRightInd w:val="0"/>
        <w:rPr>
          <w:sz w:val="22"/>
          <w:szCs w:val="22"/>
        </w:rPr>
      </w:pPr>
      <w:r w:rsidRPr="009F0017">
        <w:rPr>
          <w:sz w:val="22"/>
          <w:szCs w:val="22"/>
        </w:rPr>
        <w:t>levomentol</w:t>
      </w:r>
    </w:p>
    <w:p w14:paraId="0218D2DA" w14:textId="77777777" w:rsidR="006420FB" w:rsidRDefault="006420FB" w:rsidP="006420FB">
      <w:pPr>
        <w:widowControl w:val="0"/>
        <w:autoSpaceDE w:val="0"/>
        <w:autoSpaceDN w:val="0"/>
        <w:adjustRightInd w:val="0"/>
        <w:rPr>
          <w:sz w:val="22"/>
          <w:szCs w:val="22"/>
        </w:rPr>
      </w:pPr>
      <w:r w:rsidRPr="009F0017">
        <w:rPr>
          <w:sz w:val="22"/>
          <w:szCs w:val="22"/>
        </w:rPr>
        <w:t>višňová aróma</w:t>
      </w:r>
    </w:p>
    <w:p w14:paraId="0D5DB1F7" w14:textId="77777777" w:rsidR="006420FB" w:rsidRDefault="006420FB" w:rsidP="006420FB">
      <w:pPr>
        <w:widowControl w:val="0"/>
        <w:autoSpaceDE w:val="0"/>
        <w:autoSpaceDN w:val="0"/>
        <w:adjustRightInd w:val="0"/>
        <w:rPr>
          <w:sz w:val="22"/>
          <w:szCs w:val="22"/>
        </w:rPr>
      </w:pPr>
      <w:r w:rsidRPr="009F0017">
        <w:rPr>
          <w:sz w:val="22"/>
          <w:szCs w:val="22"/>
        </w:rPr>
        <w:t>kryštalizujúci sorbitol 70</w:t>
      </w:r>
      <w:r>
        <w:rPr>
          <w:sz w:val="22"/>
          <w:szCs w:val="22"/>
        </w:rPr>
        <w:t> </w:t>
      </w:r>
      <w:r w:rsidRPr="009F0017">
        <w:rPr>
          <w:sz w:val="22"/>
          <w:szCs w:val="22"/>
        </w:rPr>
        <w:t>% (E420)</w:t>
      </w:r>
    </w:p>
    <w:p w14:paraId="5E81101F" w14:textId="77777777" w:rsidR="006420FB" w:rsidRDefault="006420FB" w:rsidP="006420FB">
      <w:pPr>
        <w:widowControl w:val="0"/>
        <w:autoSpaceDE w:val="0"/>
        <w:autoSpaceDN w:val="0"/>
        <w:adjustRightInd w:val="0"/>
        <w:rPr>
          <w:sz w:val="22"/>
          <w:szCs w:val="22"/>
        </w:rPr>
      </w:pPr>
      <w:r w:rsidRPr="009F0017">
        <w:rPr>
          <w:sz w:val="22"/>
          <w:szCs w:val="22"/>
        </w:rPr>
        <w:t>cyklamát</w:t>
      </w:r>
      <w:r>
        <w:rPr>
          <w:sz w:val="22"/>
          <w:szCs w:val="22"/>
        </w:rPr>
        <w:t xml:space="preserve"> sodný </w:t>
      </w:r>
    </w:p>
    <w:p w14:paraId="1854595E" w14:textId="77777777" w:rsidR="006420FB" w:rsidRDefault="006420FB" w:rsidP="006420FB">
      <w:pPr>
        <w:widowControl w:val="0"/>
        <w:autoSpaceDE w:val="0"/>
        <w:autoSpaceDN w:val="0"/>
        <w:adjustRightInd w:val="0"/>
        <w:rPr>
          <w:sz w:val="22"/>
          <w:szCs w:val="22"/>
        </w:rPr>
      </w:pPr>
      <w:r w:rsidRPr="009F0017">
        <w:rPr>
          <w:sz w:val="22"/>
          <w:szCs w:val="22"/>
        </w:rPr>
        <w:t>draselná soľ acesulfamu</w:t>
      </w:r>
    </w:p>
    <w:p w14:paraId="76F53865" w14:textId="77777777" w:rsidR="006420FB" w:rsidRPr="009F0017" w:rsidRDefault="006420FB" w:rsidP="006420FB">
      <w:pPr>
        <w:widowControl w:val="0"/>
        <w:autoSpaceDE w:val="0"/>
        <w:autoSpaceDN w:val="0"/>
        <w:adjustRightInd w:val="0"/>
        <w:rPr>
          <w:sz w:val="22"/>
          <w:szCs w:val="22"/>
        </w:rPr>
      </w:pPr>
      <w:r w:rsidRPr="009F0017">
        <w:rPr>
          <w:sz w:val="22"/>
          <w:szCs w:val="22"/>
        </w:rPr>
        <w:t>čistená voda</w:t>
      </w:r>
    </w:p>
    <w:p w14:paraId="3881854F" w14:textId="77777777" w:rsidR="00D21EE1" w:rsidRPr="000607AF" w:rsidRDefault="00D21EE1" w:rsidP="000607AF">
      <w:pPr>
        <w:widowControl w:val="0"/>
        <w:autoSpaceDE w:val="0"/>
        <w:autoSpaceDN w:val="0"/>
        <w:adjustRightInd w:val="0"/>
        <w:rPr>
          <w:sz w:val="22"/>
          <w:szCs w:val="22"/>
        </w:rPr>
      </w:pPr>
    </w:p>
    <w:p w14:paraId="5BE40309" w14:textId="77777777" w:rsidR="00D21EE1" w:rsidRPr="000607AF" w:rsidRDefault="00D21EE1" w:rsidP="000607AF">
      <w:pPr>
        <w:widowControl w:val="0"/>
        <w:autoSpaceDE w:val="0"/>
        <w:autoSpaceDN w:val="0"/>
        <w:adjustRightInd w:val="0"/>
        <w:rPr>
          <w:sz w:val="22"/>
          <w:szCs w:val="22"/>
        </w:rPr>
      </w:pPr>
      <w:r w:rsidRPr="000607AF">
        <w:rPr>
          <w:b/>
          <w:bCs/>
          <w:sz w:val="22"/>
          <w:szCs w:val="22"/>
        </w:rPr>
        <w:t xml:space="preserve">6.2 </w:t>
      </w:r>
      <w:r w:rsidRPr="000607AF">
        <w:rPr>
          <w:b/>
          <w:bCs/>
          <w:sz w:val="22"/>
          <w:szCs w:val="22"/>
        </w:rPr>
        <w:tab/>
        <w:t>Inkompatibility</w:t>
      </w:r>
    </w:p>
    <w:p w14:paraId="55555A38" w14:textId="77777777" w:rsidR="00D21EE1" w:rsidRPr="000607AF" w:rsidRDefault="00D21EE1" w:rsidP="000607AF">
      <w:pPr>
        <w:widowControl w:val="0"/>
        <w:autoSpaceDE w:val="0"/>
        <w:autoSpaceDN w:val="0"/>
        <w:adjustRightInd w:val="0"/>
        <w:rPr>
          <w:sz w:val="22"/>
          <w:szCs w:val="22"/>
        </w:rPr>
      </w:pPr>
    </w:p>
    <w:p w14:paraId="4672EA0A" w14:textId="77777777" w:rsidR="00D21EE1" w:rsidRPr="000607AF" w:rsidRDefault="00D21EE1" w:rsidP="000607AF">
      <w:pPr>
        <w:widowControl w:val="0"/>
        <w:autoSpaceDE w:val="0"/>
        <w:autoSpaceDN w:val="0"/>
        <w:adjustRightInd w:val="0"/>
        <w:rPr>
          <w:sz w:val="22"/>
          <w:szCs w:val="22"/>
        </w:rPr>
      </w:pPr>
      <w:r w:rsidRPr="000607AF">
        <w:rPr>
          <w:sz w:val="22"/>
          <w:szCs w:val="22"/>
          <w:lang w:val="pl-PL"/>
        </w:rPr>
        <w:t>Neaplikovateľné.</w:t>
      </w:r>
    </w:p>
    <w:p w14:paraId="4189575A" w14:textId="77777777" w:rsidR="00D21EE1" w:rsidRPr="000607AF" w:rsidRDefault="00D21EE1" w:rsidP="000607AF">
      <w:pPr>
        <w:widowControl w:val="0"/>
        <w:autoSpaceDE w:val="0"/>
        <w:autoSpaceDN w:val="0"/>
        <w:adjustRightInd w:val="0"/>
        <w:rPr>
          <w:sz w:val="22"/>
          <w:szCs w:val="22"/>
        </w:rPr>
      </w:pPr>
    </w:p>
    <w:p w14:paraId="4CE8E9BE" w14:textId="77777777" w:rsidR="00D21EE1" w:rsidRPr="000607AF" w:rsidRDefault="00D21EE1" w:rsidP="00F272E8">
      <w:pPr>
        <w:widowControl w:val="0"/>
        <w:autoSpaceDE w:val="0"/>
        <w:autoSpaceDN w:val="0"/>
        <w:adjustRightInd w:val="0"/>
        <w:rPr>
          <w:b/>
          <w:bCs/>
          <w:sz w:val="22"/>
          <w:szCs w:val="22"/>
        </w:rPr>
      </w:pPr>
      <w:r w:rsidRPr="000607AF">
        <w:rPr>
          <w:b/>
          <w:bCs/>
          <w:sz w:val="22"/>
          <w:szCs w:val="22"/>
        </w:rPr>
        <w:t xml:space="preserve">6.3 </w:t>
      </w:r>
      <w:r w:rsidRPr="000607AF">
        <w:rPr>
          <w:b/>
          <w:bCs/>
          <w:sz w:val="22"/>
          <w:szCs w:val="22"/>
        </w:rPr>
        <w:tab/>
        <w:t>Čas použiteľnosti</w:t>
      </w:r>
    </w:p>
    <w:p w14:paraId="1E5BF3E5" w14:textId="77777777" w:rsidR="00D21EE1" w:rsidRPr="000607AF" w:rsidRDefault="00D21EE1" w:rsidP="00E25FFF">
      <w:pPr>
        <w:widowControl w:val="0"/>
        <w:autoSpaceDE w:val="0"/>
        <w:autoSpaceDN w:val="0"/>
        <w:adjustRightInd w:val="0"/>
        <w:rPr>
          <w:sz w:val="22"/>
          <w:szCs w:val="22"/>
        </w:rPr>
      </w:pPr>
    </w:p>
    <w:p w14:paraId="48A851D0" w14:textId="77777777" w:rsidR="00D21EE1" w:rsidRPr="000607AF" w:rsidRDefault="00D21EE1" w:rsidP="00E25FFF">
      <w:pPr>
        <w:widowControl w:val="0"/>
        <w:autoSpaceDE w:val="0"/>
        <w:autoSpaceDN w:val="0"/>
        <w:adjustRightInd w:val="0"/>
        <w:rPr>
          <w:sz w:val="22"/>
          <w:szCs w:val="22"/>
        </w:rPr>
      </w:pPr>
      <w:r w:rsidRPr="000607AF">
        <w:rPr>
          <w:sz w:val="22"/>
          <w:szCs w:val="22"/>
        </w:rPr>
        <w:t>4 roky</w:t>
      </w:r>
    </w:p>
    <w:p w14:paraId="7C57662F" w14:textId="77777777" w:rsidR="007D7A7F" w:rsidRPr="000607AF" w:rsidRDefault="007D7A7F" w:rsidP="00770369">
      <w:pPr>
        <w:widowControl w:val="0"/>
        <w:rPr>
          <w:sz w:val="22"/>
          <w:szCs w:val="22"/>
        </w:rPr>
      </w:pPr>
      <w:r w:rsidRPr="000607AF">
        <w:rPr>
          <w:sz w:val="22"/>
          <w:szCs w:val="22"/>
        </w:rPr>
        <w:t xml:space="preserve">Čas použiteľnosti po prvom otvorení fľaše: 6 mesiacov. </w:t>
      </w:r>
    </w:p>
    <w:p w14:paraId="3FF8202C" w14:textId="77777777" w:rsidR="00D21EE1" w:rsidRPr="000607AF" w:rsidRDefault="00D21EE1" w:rsidP="009F5E90">
      <w:pPr>
        <w:widowControl w:val="0"/>
        <w:autoSpaceDE w:val="0"/>
        <w:autoSpaceDN w:val="0"/>
        <w:adjustRightInd w:val="0"/>
        <w:ind w:firstLine="408"/>
        <w:rPr>
          <w:sz w:val="22"/>
          <w:szCs w:val="22"/>
        </w:rPr>
      </w:pPr>
    </w:p>
    <w:p w14:paraId="2CF6FEA5" w14:textId="77777777" w:rsidR="00D21EE1" w:rsidRPr="000607AF" w:rsidRDefault="00D21EE1" w:rsidP="009F5E90">
      <w:pPr>
        <w:widowControl w:val="0"/>
        <w:autoSpaceDE w:val="0"/>
        <w:autoSpaceDN w:val="0"/>
        <w:adjustRightInd w:val="0"/>
        <w:rPr>
          <w:b/>
          <w:bCs/>
          <w:sz w:val="22"/>
          <w:szCs w:val="22"/>
        </w:rPr>
      </w:pPr>
      <w:r w:rsidRPr="000607AF">
        <w:rPr>
          <w:b/>
          <w:bCs/>
          <w:sz w:val="22"/>
          <w:szCs w:val="22"/>
        </w:rPr>
        <w:t xml:space="preserve">6.4 </w:t>
      </w:r>
      <w:r w:rsidRPr="000607AF">
        <w:rPr>
          <w:b/>
          <w:bCs/>
          <w:sz w:val="22"/>
          <w:szCs w:val="22"/>
        </w:rPr>
        <w:tab/>
        <w:t>Upozornenia na podmienky a spôsob skladovania</w:t>
      </w:r>
    </w:p>
    <w:p w14:paraId="1A93BE6F" w14:textId="77777777" w:rsidR="00D21EE1" w:rsidRPr="000607AF" w:rsidRDefault="00D21EE1" w:rsidP="00B25EB9">
      <w:pPr>
        <w:widowControl w:val="0"/>
        <w:autoSpaceDE w:val="0"/>
        <w:autoSpaceDN w:val="0"/>
        <w:adjustRightInd w:val="0"/>
        <w:rPr>
          <w:sz w:val="22"/>
          <w:szCs w:val="22"/>
        </w:rPr>
      </w:pPr>
    </w:p>
    <w:p w14:paraId="30FD6E89" w14:textId="77777777" w:rsidR="00122307" w:rsidRPr="000607AF" w:rsidRDefault="00D21EE1" w:rsidP="000607AF">
      <w:pPr>
        <w:widowControl w:val="0"/>
        <w:autoSpaceDE w:val="0"/>
        <w:autoSpaceDN w:val="0"/>
        <w:adjustRightInd w:val="0"/>
        <w:rPr>
          <w:sz w:val="22"/>
          <w:szCs w:val="22"/>
        </w:rPr>
      </w:pPr>
      <w:r w:rsidRPr="000607AF">
        <w:rPr>
          <w:sz w:val="22"/>
          <w:szCs w:val="22"/>
        </w:rPr>
        <w:t>Uchovávajte pri teplote do 25</w:t>
      </w:r>
      <w:r w:rsidR="005642C1">
        <w:rPr>
          <w:sz w:val="22"/>
          <w:szCs w:val="22"/>
        </w:rPr>
        <w:t xml:space="preserve"> </w:t>
      </w:r>
      <w:r w:rsidRPr="000607AF">
        <w:rPr>
          <w:sz w:val="22"/>
          <w:szCs w:val="22"/>
        </w:rPr>
        <w:t>°C.</w:t>
      </w:r>
      <w:r w:rsidR="006967E4" w:rsidRPr="000607AF">
        <w:rPr>
          <w:sz w:val="22"/>
          <w:szCs w:val="22"/>
        </w:rPr>
        <w:t xml:space="preserve"> </w:t>
      </w:r>
    </w:p>
    <w:p w14:paraId="058638D1" w14:textId="77777777" w:rsidR="006224F8" w:rsidRPr="000607AF" w:rsidRDefault="00122307" w:rsidP="000607AF">
      <w:pPr>
        <w:widowControl w:val="0"/>
        <w:autoSpaceDE w:val="0"/>
        <w:autoSpaceDN w:val="0"/>
        <w:adjustRightInd w:val="0"/>
        <w:rPr>
          <w:sz w:val="22"/>
          <w:szCs w:val="22"/>
        </w:rPr>
      </w:pPr>
      <w:r w:rsidRPr="000607AF">
        <w:rPr>
          <w:sz w:val="22"/>
          <w:szCs w:val="22"/>
        </w:rPr>
        <w:t>N</w:t>
      </w:r>
      <w:r w:rsidR="006967E4" w:rsidRPr="000607AF">
        <w:rPr>
          <w:sz w:val="22"/>
          <w:szCs w:val="22"/>
        </w:rPr>
        <w:t>euchovávajte v mrazničke.</w:t>
      </w:r>
      <w:r w:rsidR="006224F8" w:rsidRPr="000607AF">
        <w:rPr>
          <w:sz w:val="22"/>
          <w:szCs w:val="22"/>
        </w:rPr>
        <w:t xml:space="preserve"> </w:t>
      </w:r>
    </w:p>
    <w:p w14:paraId="093E6280" w14:textId="77777777" w:rsidR="00D21EE1" w:rsidRPr="000607AF" w:rsidRDefault="00D21EE1" w:rsidP="000607AF">
      <w:pPr>
        <w:widowControl w:val="0"/>
        <w:tabs>
          <w:tab w:val="left" w:pos="465"/>
          <w:tab w:val="left" w:pos="5078"/>
        </w:tabs>
        <w:autoSpaceDE w:val="0"/>
        <w:autoSpaceDN w:val="0"/>
        <w:adjustRightInd w:val="0"/>
        <w:rPr>
          <w:sz w:val="22"/>
          <w:szCs w:val="22"/>
        </w:rPr>
      </w:pPr>
    </w:p>
    <w:p w14:paraId="3955814C" w14:textId="77777777" w:rsidR="00D21EE1" w:rsidRPr="000607AF" w:rsidRDefault="00D21EE1" w:rsidP="000607AF">
      <w:pPr>
        <w:widowControl w:val="0"/>
        <w:tabs>
          <w:tab w:val="left" w:pos="709"/>
          <w:tab w:val="left" w:pos="5078"/>
        </w:tabs>
        <w:autoSpaceDE w:val="0"/>
        <w:autoSpaceDN w:val="0"/>
        <w:adjustRightInd w:val="0"/>
        <w:rPr>
          <w:sz w:val="22"/>
          <w:szCs w:val="22"/>
        </w:rPr>
      </w:pPr>
      <w:r w:rsidRPr="000607AF">
        <w:rPr>
          <w:b/>
          <w:bCs/>
          <w:sz w:val="22"/>
          <w:szCs w:val="22"/>
        </w:rPr>
        <w:t xml:space="preserve">6.5 </w:t>
      </w:r>
      <w:r w:rsidRPr="000607AF">
        <w:rPr>
          <w:b/>
          <w:bCs/>
          <w:sz w:val="22"/>
          <w:szCs w:val="22"/>
        </w:rPr>
        <w:tab/>
      </w:r>
      <w:r w:rsidRPr="000607AF">
        <w:rPr>
          <w:b/>
          <w:bCs/>
          <w:noProof/>
          <w:sz w:val="22"/>
          <w:szCs w:val="22"/>
          <w:lang w:val="pl-PL"/>
        </w:rPr>
        <w:t>Druh obalu a obsah balenia</w:t>
      </w:r>
      <w:r w:rsidRPr="000607AF">
        <w:rPr>
          <w:sz w:val="22"/>
          <w:szCs w:val="22"/>
        </w:rPr>
        <w:tab/>
      </w:r>
    </w:p>
    <w:p w14:paraId="204E0E50" w14:textId="77777777" w:rsidR="00D21EE1" w:rsidRPr="000607AF" w:rsidRDefault="00D21EE1" w:rsidP="000607AF">
      <w:pPr>
        <w:widowControl w:val="0"/>
        <w:autoSpaceDE w:val="0"/>
        <w:autoSpaceDN w:val="0"/>
        <w:adjustRightInd w:val="0"/>
        <w:rPr>
          <w:sz w:val="22"/>
          <w:szCs w:val="22"/>
        </w:rPr>
      </w:pPr>
    </w:p>
    <w:p w14:paraId="6D87D466"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 xml:space="preserve">Fľaša z hnedého skla, biely uzáver </w:t>
      </w:r>
      <w:r w:rsidR="00B46199" w:rsidRPr="000607AF">
        <w:rPr>
          <w:sz w:val="22"/>
          <w:szCs w:val="22"/>
          <w:lang w:val="pl-PL"/>
        </w:rPr>
        <w:t>bezpečný pre</w:t>
      </w:r>
      <w:r w:rsidR="003766B9" w:rsidRPr="000607AF">
        <w:rPr>
          <w:sz w:val="22"/>
          <w:szCs w:val="22"/>
          <w:lang w:val="pl-PL"/>
        </w:rPr>
        <w:t>d</w:t>
      </w:r>
      <w:r w:rsidR="00B46199" w:rsidRPr="000607AF">
        <w:rPr>
          <w:sz w:val="22"/>
          <w:szCs w:val="22"/>
          <w:lang w:val="pl-PL"/>
        </w:rPr>
        <w:t xml:space="preserve"> de</w:t>
      </w:r>
      <w:r w:rsidR="003766B9" w:rsidRPr="000607AF">
        <w:rPr>
          <w:sz w:val="22"/>
          <w:szCs w:val="22"/>
          <w:lang w:val="pl-PL"/>
        </w:rPr>
        <w:t>ťmi</w:t>
      </w:r>
      <w:r w:rsidR="00B46199" w:rsidRPr="000607AF">
        <w:rPr>
          <w:sz w:val="22"/>
          <w:szCs w:val="22"/>
          <w:lang w:val="pl-PL"/>
        </w:rPr>
        <w:t xml:space="preserve"> </w:t>
      </w:r>
      <w:r w:rsidRPr="000607AF">
        <w:rPr>
          <w:sz w:val="22"/>
          <w:szCs w:val="22"/>
          <w:lang w:val="pl-PL"/>
        </w:rPr>
        <w:t>so závitom (PP</w:t>
      </w:r>
      <w:r w:rsidR="00B46199" w:rsidRPr="000607AF">
        <w:rPr>
          <w:sz w:val="22"/>
          <w:szCs w:val="22"/>
          <w:lang w:val="pl-PL"/>
        </w:rPr>
        <w:t>/PE</w:t>
      </w:r>
      <w:r w:rsidRPr="000607AF">
        <w:rPr>
          <w:sz w:val="22"/>
          <w:szCs w:val="22"/>
          <w:lang w:val="pl-PL"/>
        </w:rPr>
        <w:t>) s tesniacou vložkou (PE)</w:t>
      </w:r>
      <w:r w:rsidR="00B46199" w:rsidRPr="000607AF">
        <w:rPr>
          <w:sz w:val="22"/>
          <w:szCs w:val="22"/>
          <w:lang w:val="pl-PL"/>
        </w:rPr>
        <w:t xml:space="preserve"> </w:t>
      </w:r>
      <w:r w:rsidR="00B46199" w:rsidRPr="000607AF">
        <w:rPr>
          <w:sz w:val="22"/>
          <w:szCs w:val="22"/>
        </w:rPr>
        <w:t>a krúžkom originality</w:t>
      </w:r>
      <w:r w:rsidRPr="000607AF">
        <w:rPr>
          <w:sz w:val="22"/>
          <w:szCs w:val="22"/>
          <w:lang w:val="pl-PL"/>
        </w:rPr>
        <w:t>, odmerný pohár 10 ml (PP)</w:t>
      </w:r>
      <w:r w:rsidR="00B46199" w:rsidRPr="000607AF">
        <w:rPr>
          <w:sz w:val="22"/>
          <w:szCs w:val="22"/>
          <w:lang w:val="pl-PL"/>
        </w:rPr>
        <w:t xml:space="preserve"> a škatuľka.</w:t>
      </w:r>
    </w:p>
    <w:p w14:paraId="0EEC35E2" w14:textId="77777777" w:rsidR="00D21EE1" w:rsidRPr="000607AF" w:rsidRDefault="00D21EE1" w:rsidP="000607AF">
      <w:pPr>
        <w:widowControl w:val="0"/>
        <w:autoSpaceDE w:val="0"/>
        <w:autoSpaceDN w:val="0"/>
        <w:adjustRightInd w:val="0"/>
        <w:rPr>
          <w:sz w:val="22"/>
          <w:szCs w:val="22"/>
          <w:lang w:val="pl-PL"/>
        </w:rPr>
      </w:pPr>
    </w:p>
    <w:p w14:paraId="16DBD713"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50 alebo 100 ml sirupu.</w:t>
      </w:r>
    </w:p>
    <w:p w14:paraId="0AD6C1AE" w14:textId="77777777" w:rsidR="006967E4" w:rsidRPr="000607AF" w:rsidRDefault="006967E4" w:rsidP="000607AF">
      <w:pPr>
        <w:widowControl w:val="0"/>
        <w:autoSpaceDE w:val="0"/>
        <w:autoSpaceDN w:val="0"/>
        <w:adjustRightInd w:val="0"/>
        <w:rPr>
          <w:sz w:val="22"/>
          <w:szCs w:val="22"/>
          <w:lang w:val="pl-PL"/>
        </w:rPr>
      </w:pPr>
      <w:r w:rsidRPr="000607AF">
        <w:rPr>
          <w:sz w:val="22"/>
          <w:szCs w:val="22"/>
          <w:lang w:val="pl-PL"/>
        </w:rPr>
        <w:t>Na trh nemusia byť uvedené všetky veľkosti balenia.</w:t>
      </w:r>
    </w:p>
    <w:p w14:paraId="6BD0F884" w14:textId="77777777" w:rsidR="00D21EE1" w:rsidRPr="000607AF" w:rsidRDefault="00D21EE1" w:rsidP="000607AF">
      <w:pPr>
        <w:widowControl w:val="0"/>
        <w:autoSpaceDE w:val="0"/>
        <w:autoSpaceDN w:val="0"/>
        <w:adjustRightInd w:val="0"/>
        <w:rPr>
          <w:sz w:val="22"/>
          <w:szCs w:val="22"/>
          <w:lang w:val="pl-PL"/>
        </w:rPr>
      </w:pPr>
    </w:p>
    <w:p w14:paraId="4ADAC4A8" w14:textId="77777777" w:rsidR="00D21EE1" w:rsidRPr="000607AF" w:rsidRDefault="00D21EE1" w:rsidP="000607AF">
      <w:pPr>
        <w:rPr>
          <w:noProof/>
          <w:sz w:val="22"/>
          <w:szCs w:val="22"/>
          <w:lang w:val="pl-PL"/>
        </w:rPr>
      </w:pPr>
      <w:r w:rsidRPr="000607AF">
        <w:rPr>
          <w:b/>
          <w:bCs/>
          <w:noProof/>
          <w:sz w:val="22"/>
          <w:szCs w:val="22"/>
          <w:lang w:val="pl-PL"/>
        </w:rPr>
        <w:t>6.6</w:t>
      </w:r>
      <w:r w:rsidRPr="000607AF">
        <w:rPr>
          <w:b/>
          <w:bCs/>
          <w:noProof/>
          <w:sz w:val="22"/>
          <w:szCs w:val="22"/>
          <w:lang w:val="pl-PL"/>
        </w:rPr>
        <w:tab/>
        <w:t xml:space="preserve">Špeciálne opatrenia na likvidáciu </w:t>
      </w:r>
    </w:p>
    <w:p w14:paraId="45B73FAA" w14:textId="77777777" w:rsidR="00D21EE1" w:rsidRPr="000607AF" w:rsidRDefault="00D21EE1" w:rsidP="000607AF">
      <w:pPr>
        <w:rPr>
          <w:noProof/>
          <w:sz w:val="22"/>
          <w:szCs w:val="22"/>
          <w:lang w:val="pl-PL"/>
        </w:rPr>
      </w:pPr>
    </w:p>
    <w:p w14:paraId="22124669" w14:textId="77777777" w:rsidR="00852BEE" w:rsidRPr="000607AF" w:rsidRDefault="00852BEE" w:rsidP="00852BEE">
      <w:pPr>
        <w:pStyle w:val="MGGTextLeft"/>
        <w:rPr>
          <w:szCs w:val="22"/>
          <w:lang w:val="sk-SK"/>
        </w:rPr>
      </w:pPr>
      <w:r w:rsidRPr="000607AF">
        <w:rPr>
          <w:szCs w:val="22"/>
          <w:lang w:val="sk-SK"/>
        </w:rPr>
        <w:t>Všetok nepoužitý liek alebo odpad vzniknutý z lieku sa má zlikvidovať v súlade s národnými</w:t>
      </w:r>
      <w:r w:rsidRPr="000607AF">
        <w:rPr>
          <w:color w:val="FF0000"/>
          <w:szCs w:val="22"/>
          <w:lang w:val="sk-SK"/>
        </w:rPr>
        <w:t xml:space="preserve"> </w:t>
      </w:r>
      <w:r w:rsidRPr="000607AF">
        <w:rPr>
          <w:szCs w:val="22"/>
          <w:lang w:val="sk-SK"/>
        </w:rPr>
        <w:t>požiadavkami.</w:t>
      </w:r>
    </w:p>
    <w:p w14:paraId="3223E1F8" w14:textId="77777777" w:rsidR="00D21EE1" w:rsidRPr="000607AF" w:rsidRDefault="00D21EE1" w:rsidP="00852BEE">
      <w:pPr>
        <w:widowControl w:val="0"/>
        <w:autoSpaceDE w:val="0"/>
        <w:autoSpaceDN w:val="0"/>
        <w:adjustRightInd w:val="0"/>
        <w:rPr>
          <w:sz w:val="22"/>
          <w:szCs w:val="22"/>
        </w:rPr>
      </w:pPr>
    </w:p>
    <w:p w14:paraId="25A0A6EF" w14:textId="77777777" w:rsidR="00D21EE1" w:rsidRPr="000607AF" w:rsidRDefault="00D21EE1" w:rsidP="00F272E8">
      <w:pPr>
        <w:widowControl w:val="0"/>
        <w:autoSpaceDE w:val="0"/>
        <w:autoSpaceDN w:val="0"/>
        <w:adjustRightInd w:val="0"/>
        <w:rPr>
          <w:sz w:val="22"/>
          <w:szCs w:val="22"/>
        </w:rPr>
      </w:pPr>
    </w:p>
    <w:p w14:paraId="1F30EF60" w14:textId="77777777" w:rsidR="00D21EE1" w:rsidRPr="000607AF" w:rsidRDefault="00D21EE1" w:rsidP="00E25FFF">
      <w:pPr>
        <w:widowControl w:val="0"/>
        <w:tabs>
          <w:tab w:val="left" w:pos="567"/>
        </w:tabs>
        <w:autoSpaceDE w:val="0"/>
        <w:autoSpaceDN w:val="0"/>
        <w:adjustRightInd w:val="0"/>
        <w:rPr>
          <w:b/>
          <w:bCs/>
          <w:caps/>
          <w:sz w:val="22"/>
          <w:szCs w:val="22"/>
        </w:rPr>
      </w:pPr>
      <w:r w:rsidRPr="000607AF">
        <w:rPr>
          <w:b/>
          <w:bCs/>
          <w:caps/>
          <w:sz w:val="22"/>
          <w:szCs w:val="22"/>
        </w:rPr>
        <w:t xml:space="preserve">7. </w:t>
      </w:r>
      <w:r w:rsidRPr="000607AF">
        <w:rPr>
          <w:b/>
          <w:bCs/>
          <w:caps/>
          <w:sz w:val="22"/>
          <w:szCs w:val="22"/>
        </w:rPr>
        <w:tab/>
        <w:t>Držiteľ ROZHODNUTIA O REGISTRÁCII</w:t>
      </w:r>
    </w:p>
    <w:p w14:paraId="335BF378" w14:textId="77777777" w:rsidR="00D21EE1" w:rsidRPr="000607AF" w:rsidRDefault="00D21EE1" w:rsidP="00E25FFF">
      <w:pPr>
        <w:widowControl w:val="0"/>
        <w:autoSpaceDE w:val="0"/>
        <w:autoSpaceDN w:val="0"/>
        <w:adjustRightInd w:val="0"/>
        <w:ind w:hanging="110"/>
        <w:rPr>
          <w:sz w:val="22"/>
          <w:szCs w:val="22"/>
        </w:rPr>
      </w:pPr>
      <w:r w:rsidRPr="000607AF">
        <w:rPr>
          <w:sz w:val="22"/>
          <w:szCs w:val="22"/>
        </w:rPr>
        <w:t xml:space="preserve"> </w:t>
      </w:r>
    </w:p>
    <w:p w14:paraId="699801E8"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GlaxoSmithKline Consumer Healthcare Czech Republic s.r.o.</w:t>
      </w:r>
    </w:p>
    <w:p w14:paraId="078E0DC8"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Hvězdova 1734/2c</w:t>
      </w:r>
    </w:p>
    <w:p w14:paraId="6FB365BB"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140 00 Praha 4 – Nusle</w:t>
      </w:r>
    </w:p>
    <w:p w14:paraId="505299FD"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Česká republika</w:t>
      </w:r>
    </w:p>
    <w:p w14:paraId="0BEA5DD9" w14:textId="77777777" w:rsidR="00D21EE1" w:rsidRPr="000607AF" w:rsidRDefault="00D21EE1" w:rsidP="000607AF">
      <w:pPr>
        <w:widowControl w:val="0"/>
        <w:tabs>
          <w:tab w:val="left" w:pos="110"/>
        </w:tabs>
        <w:autoSpaceDE w:val="0"/>
        <w:autoSpaceDN w:val="0"/>
        <w:adjustRightInd w:val="0"/>
        <w:rPr>
          <w:sz w:val="22"/>
          <w:szCs w:val="22"/>
        </w:rPr>
      </w:pPr>
    </w:p>
    <w:p w14:paraId="391F06A1" w14:textId="77777777" w:rsidR="00D21EE1" w:rsidRPr="000607AF" w:rsidRDefault="00D21EE1" w:rsidP="000607AF">
      <w:pPr>
        <w:widowControl w:val="0"/>
        <w:tabs>
          <w:tab w:val="left" w:pos="110"/>
        </w:tabs>
        <w:autoSpaceDE w:val="0"/>
        <w:autoSpaceDN w:val="0"/>
        <w:adjustRightInd w:val="0"/>
        <w:rPr>
          <w:sz w:val="22"/>
          <w:szCs w:val="22"/>
        </w:rPr>
      </w:pPr>
    </w:p>
    <w:p w14:paraId="764E1C30" w14:textId="77777777" w:rsidR="00D21EE1" w:rsidRPr="000607AF" w:rsidRDefault="00D21EE1" w:rsidP="000607AF">
      <w:pPr>
        <w:widowControl w:val="0"/>
        <w:tabs>
          <w:tab w:val="left" w:pos="567"/>
        </w:tabs>
        <w:autoSpaceDE w:val="0"/>
        <w:autoSpaceDN w:val="0"/>
        <w:adjustRightInd w:val="0"/>
        <w:rPr>
          <w:b/>
          <w:bCs/>
          <w:sz w:val="22"/>
          <w:szCs w:val="22"/>
        </w:rPr>
      </w:pPr>
      <w:r w:rsidRPr="000607AF">
        <w:rPr>
          <w:b/>
          <w:bCs/>
          <w:sz w:val="22"/>
          <w:szCs w:val="22"/>
        </w:rPr>
        <w:t xml:space="preserve">8. </w:t>
      </w:r>
      <w:r w:rsidRPr="000607AF">
        <w:rPr>
          <w:b/>
          <w:bCs/>
          <w:sz w:val="22"/>
          <w:szCs w:val="22"/>
        </w:rPr>
        <w:tab/>
        <w:t>REGISTRAČNÉ ČÍSLO</w:t>
      </w:r>
    </w:p>
    <w:p w14:paraId="2D9C4524" w14:textId="77777777" w:rsidR="00D21EE1" w:rsidRPr="000607AF" w:rsidRDefault="00D21EE1" w:rsidP="000607AF">
      <w:pPr>
        <w:widowControl w:val="0"/>
        <w:autoSpaceDE w:val="0"/>
        <w:autoSpaceDN w:val="0"/>
        <w:adjustRightInd w:val="0"/>
        <w:rPr>
          <w:sz w:val="22"/>
          <w:szCs w:val="22"/>
        </w:rPr>
      </w:pPr>
    </w:p>
    <w:p w14:paraId="5F15388A" w14:textId="77777777" w:rsidR="00D21EE1" w:rsidRPr="000607AF" w:rsidRDefault="00D21EE1" w:rsidP="000607AF">
      <w:pPr>
        <w:widowControl w:val="0"/>
        <w:autoSpaceDE w:val="0"/>
        <w:autoSpaceDN w:val="0"/>
        <w:adjustRightInd w:val="0"/>
        <w:rPr>
          <w:sz w:val="22"/>
          <w:szCs w:val="22"/>
        </w:rPr>
      </w:pPr>
      <w:r w:rsidRPr="000607AF">
        <w:rPr>
          <w:sz w:val="22"/>
          <w:szCs w:val="22"/>
        </w:rPr>
        <w:t>36/0287/00-S</w:t>
      </w:r>
    </w:p>
    <w:p w14:paraId="4C26E464" w14:textId="77777777" w:rsidR="00D21EE1" w:rsidRPr="000607AF" w:rsidRDefault="00D21EE1" w:rsidP="000607AF">
      <w:pPr>
        <w:widowControl w:val="0"/>
        <w:tabs>
          <w:tab w:val="left" w:pos="350"/>
        </w:tabs>
        <w:autoSpaceDE w:val="0"/>
        <w:autoSpaceDN w:val="0"/>
        <w:adjustRightInd w:val="0"/>
        <w:rPr>
          <w:b/>
          <w:bCs/>
          <w:sz w:val="22"/>
          <w:szCs w:val="22"/>
        </w:rPr>
      </w:pPr>
    </w:p>
    <w:p w14:paraId="0B14BD81" w14:textId="77777777" w:rsidR="00D21EE1" w:rsidRPr="000607AF" w:rsidRDefault="00D21EE1" w:rsidP="000607AF">
      <w:pPr>
        <w:widowControl w:val="0"/>
        <w:tabs>
          <w:tab w:val="left" w:pos="350"/>
        </w:tabs>
        <w:autoSpaceDE w:val="0"/>
        <w:autoSpaceDN w:val="0"/>
        <w:adjustRightInd w:val="0"/>
        <w:rPr>
          <w:b/>
          <w:bCs/>
          <w:sz w:val="22"/>
          <w:szCs w:val="22"/>
        </w:rPr>
      </w:pPr>
    </w:p>
    <w:p w14:paraId="35B6A3EE" w14:textId="77777777" w:rsidR="00D21EE1" w:rsidRPr="000607AF" w:rsidRDefault="00D21EE1" w:rsidP="000607AF">
      <w:pPr>
        <w:widowControl w:val="0"/>
        <w:tabs>
          <w:tab w:val="left" w:pos="567"/>
        </w:tabs>
        <w:autoSpaceDE w:val="0"/>
        <w:autoSpaceDN w:val="0"/>
        <w:adjustRightInd w:val="0"/>
        <w:rPr>
          <w:b/>
          <w:bCs/>
          <w:sz w:val="22"/>
          <w:szCs w:val="22"/>
        </w:rPr>
      </w:pPr>
      <w:r w:rsidRPr="000607AF">
        <w:rPr>
          <w:b/>
          <w:bCs/>
          <w:sz w:val="22"/>
          <w:szCs w:val="22"/>
        </w:rPr>
        <w:t xml:space="preserve">9. </w:t>
      </w:r>
      <w:r w:rsidRPr="000607AF">
        <w:rPr>
          <w:b/>
          <w:bCs/>
          <w:sz w:val="22"/>
          <w:szCs w:val="22"/>
        </w:rPr>
        <w:tab/>
        <w:t xml:space="preserve">DÁTUM </w:t>
      </w:r>
      <w:r w:rsidR="006224F8" w:rsidRPr="000607AF">
        <w:rPr>
          <w:b/>
          <w:bCs/>
          <w:sz w:val="22"/>
          <w:szCs w:val="22"/>
        </w:rPr>
        <w:t xml:space="preserve">PRVEJ </w:t>
      </w:r>
      <w:r w:rsidRPr="000607AF">
        <w:rPr>
          <w:b/>
          <w:bCs/>
          <w:sz w:val="22"/>
          <w:szCs w:val="22"/>
        </w:rPr>
        <w:t>REGISTRÁCIE/PREDĹŽENIA REGISTRÁCIE</w:t>
      </w:r>
    </w:p>
    <w:p w14:paraId="3ABB9F6D" w14:textId="77777777" w:rsidR="00D21EE1" w:rsidRPr="000607AF" w:rsidRDefault="00D21EE1" w:rsidP="000607AF">
      <w:pPr>
        <w:widowControl w:val="0"/>
        <w:autoSpaceDE w:val="0"/>
        <w:autoSpaceDN w:val="0"/>
        <w:adjustRightInd w:val="0"/>
        <w:rPr>
          <w:sz w:val="22"/>
          <w:szCs w:val="22"/>
        </w:rPr>
      </w:pPr>
    </w:p>
    <w:p w14:paraId="4ADFFAC1" w14:textId="77777777" w:rsidR="00122307" w:rsidRPr="000607AF" w:rsidRDefault="006224F8" w:rsidP="000607AF">
      <w:pPr>
        <w:widowControl w:val="0"/>
        <w:autoSpaceDE w:val="0"/>
        <w:autoSpaceDN w:val="0"/>
        <w:adjustRightInd w:val="0"/>
        <w:rPr>
          <w:sz w:val="22"/>
          <w:szCs w:val="22"/>
        </w:rPr>
      </w:pPr>
      <w:r w:rsidRPr="000607AF">
        <w:rPr>
          <w:sz w:val="22"/>
          <w:szCs w:val="22"/>
        </w:rPr>
        <w:t>Dátum prvej registrácie: 31. júl</w:t>
      </w:r>
      <w:r w:rsidR="00B46199" w:rsidRPr="000607AF">
        <w:rPr>
          <w:sz w:val="22"/>
          <w:szCs w:val="22"/>
        </w:rPr>
        <w:t>a</w:t>
      </w:r>
      <w:r w:rsidRPr="000607AF">
        <w:rPr>
          <w:sz w:val="22"/>
          <w:szCs w:val="22"/>
        </w:rPr>
        <w:t xml:space="preserve"> 2000</w:t>
      </w:r>
    </w:p>
    <w:p w14:paraId="0DA39602" w14:textId="77777777" w:rsidR="006224F8" w:rsidRPr="000607AF" w:rsidRDefault="006224F8" w:rsidP="000607AF">
      <w:pPr>
        <w:widowControl w:val="0"/>
        <w:autoSpaceDE w:val="0"/>
        <w:autoSpaceDN w:val="0"/>
        <w:adjustRightInd w:val="0"/>
        <w:rPr>
          <w:sz w:val="22"/>
          <w:szCs w:val="22"/>
        </w:rPr>
      </w:pPr>
      <w:r w:rsidRPr="000607AF">
        <w:rPr>
          <w:sz w:val="22"/>
          <w:szCs w:val="22"/>
        </w:rPr>
        <w:t>Dátum posledného predĺženia registrácie: 21. marc</w:t>
      </w:r>
      <w:r w:rsidR="00B46199" w:rsidRPr="000607AF">
        <w:rPr>
          <w:sz w:val="22"/>
          <w:szCs w:val="22"/>
        </w:rPr>
        <w:t>a</w:t>
      </w:r>
      <w:r w:rsidRPr="000607AF">
        <w:rPr>
          <w:sz w:val="22"/>
          <w:szCs w:val="22"/>
        </w:rPr>
        <w:t xml:space="preserve"> 2007</w:t>
      </w:r>
    </w:p>
    <w:p w14:paraId="57BE80AC" w14:textId="77777777" w:rsidR="00D21EE1" w:rsidRPr="000607AF" w:rsidRDefault="00D21EE1" w:rsidP="000607AF">
      <w:pPr>
        <w:widowControl w:val="0"/>
        <w:autoSpaceDE w:val="0"/>
        <w:autoSpaceDN w:val="0"/>
        <w:adjustRightInd w:val="0"/>
        <w:rPr>
          <w:sz w:val="22"/>
          <w:szCs w:val="22"/>
        </w:rPr>
      </w:pPr>
    </w:p>
    <w:p w14:paraId="425B3E4B" w14:textId="77777777" w:rsidR="00D21EE1" w:rsidRDefault="00D21EE1" w:rsidP="000607AF">
      <w:pPr>
        <w:widowControl w:val="0"/>
        <w:autoSpaceDE w:val="0"/>
        <w:autoSpaceDN w:val="0"/>
        <w:adjustRightInd w:val="0"/>
        <w:rPr>
          <w:sz w:val="22"/>
          <w:szCs w:val="22"/>
        </w:rPr>
      </w:pPr>
    </w:p>
    <w:p w14:paraId="4171AE18" w14:textId="77777777" w:rsidR="00336CCC" w:rsidRPr="000607AF" w:rsidRDefault="00336CCC" w:rsidP="000607AF">
      <w:pPr>
        <w:widowControl w:val="0"/>
        <w:autoSpaceDE w:val="0"/>
        <w:autoSpaceDN w:val="0"/>
        <w:adjustRightInd w:val="0"/>
        <w:rPr>
          <w:sz w:val="22"/>
          <w:szCs w:val="22"/>
        </w:rPr>
      </w:pPr>
    </w:p>
    <w:p w14:paraId="4130A94F" w14:textId="77777777" w:rsidR="00D21EE1" w:rsidRPr="000607AF" w:rsidRDefault="00D21EE1" w:rsidP="000607AF">
      <w:pPr>
        <w:tabs>
          <w:tab w:val="left" w:pos="567"/>
        </w:tabs>
        <w:rPr>
          <w:b/>
          <w:bCs/>
          <w:sz w:val="22"/>
          <w:szCs w:val="22"/>
        </w:rPr>
      </w:pPr>
      <w:r w:rsidRPr="000607AF">
        <w:rPr>
          <w:b/>
          <w:bCs/>
          <w:sz w:val="22"/>
          <w:szCs w:val="22"/>
        </w:rPr>
        <w:t xml:space="preserve">10. </w:t>
      </w:r>
      <w:r w:rsidRPr="000607AF">
        <w:rPr>
          <w:b/>
          <w:bCs/>
          <w:sz w:val="22"/>
          <w:szCs w:val="22"/>
        </w:rPr>
        <w:tab/>
        <w:t>DÁTUM REVÍZIE TEXTU</w:t>
      </w:r>
    </w:p>
    <w:p w14:paraId="02DC0655" w14:textId="77777777" w:rsidR="00D21EE1" w:rsidRPr="000607AF" w:rsidRDefault="00D21EE1" w:rsidP="000607AF">
      <w:pPr>
        <w:widowControl w:val="0"/>
        <w:autoSpaceDE w:val="0"/>
        <w:autoSpaceDN w:val="0"/>
        <w:adjustRightInd w:val="0"/>
        <w:rPr>
          <w:b/>
          <w:bCs/>
          <w:sz w:val="22"/>
          <w:szCs w:val="22"/>
        </w:rPr>
      </w:pPr>
    </w:p>
    <w:p w14:paraId="4DEB9B0F" w14:textId="77777777" w:rsidR="00D21EE1" w:rsidRPr="000607AF" w:rsidRDefault="001772DA" w:rsidP="000607AF">
      <w:pPr>
        <w:widowControl w:val="0"/>
        <w:autoSpaceDE w:val="0"/>
        <w:autoSpaceDN w:val="0"/>
        <w:adjustRightInd w:val="0"/>
        <w:rPr>
          <w:sz w:val="22"/>
          <w:szCs w:val="22"/>
        </w:rPr>
      </w:pPr>
      <w:r>
        <w:rPr>
          <w:sz w:val="22"/>
          <w:szCs w:val="22"/>
        </w:rPr>
        <w:t>Jún 2020</w:t>
      </w:r>
    </w:p>
    <w:sectPr w:rsidR="00D21EE1" w:rsidRPr="000607AF" w:rsidSect="00D0305C">
      <w:headerReference w:type="even" r:id="rId9"/>
      <w:headerReference w:type="default" r:id="rId10"/>
      <w:footerReference w:type="even" r:id="rId11"/>
      <w:footerReference w:type="default" r:id="rId12"/>
      <w:headerReference w:type="first" r:id="rId13"/>
      <w:footerReference w:type="first" r:id="rId14"/>
      <w:pgSz w:w="11907" w:h="16840" w:code="9"/>
      <w:pgMar w:top="1440" w:right="1080" w:bottom="1440" w:left="1080" w:header="737" w:footer="73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CE6A0" w14:textId="77777777" w:rsidR="00FC590A" w:rsidRDefault="00FC590A">
      <w:r>
        <w:separator/>
      </w:r>
    </w:p>
  </w:endnote>
  <w:endnote w:type="continuationSeparator" w:id="0">
    <w:p w14:paraId="23C71ACB" w14:textId="77777777" w:rsidR="00FC590A" w:rsidRDefault="00FC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D5285" w14:textId="77777777" w:rsidR="00122307" w:rsidRDefault="00122307" w:rsidP="009E5E2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36CCC">
      <w:rPr>
        <w:rStyle w:val="slostrany"/>
        <w:noProof/>
      </w:rPr>
      <w:t>1</w:t>
    </w:r>
    <w:r>
      <w:rPr>
        <w:rStyle w:val="slostrany"/>
      </w:rPr>
      <w:fldChar w:fldCharType="end"/>
    </w:r>
  </w:p>
  <w:p w14:paraId="27338652" w14:textId="77777777" w:rsidR="00122307" w:rsidRDefault="0012230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7B8D" w14:textId="77777777" w:rsidR="00593BC4" w:rsidRDefault="00593BC4" w:rsidP="00D61CE3">
    <w:pPr>
      <w:pStyle w:val="Pta"/>
      <w:framePr w:wrap="around" w:vAnchor="text" w:hAnchor="page" w:x="5941" w:y="22"/>
      <w:rPr>
        <w:rStyle w:val="slostrany"/>
        <w:sz w:val="18"/>
        <w:szCs w:val="18"/>
      </w:rPr>
    </w:pPr>
  </w:p>
  <w:p w14:paraId="323CD66C" w14:textId="77777777" w:rsidR="00D21EE1" w:rsidRPr="001A1B51" w:rsidRDefault="00D21EE1" w:rsidP="00D61CE3">
    <w:pPr>
      <w:pStyle w:val="Pta"/>
      <w:framePr w:wrap="around" w:vAnchor="text" w:hAnchor="page" w:x="5941" w:y="22"/>
      <w:rPr>
        <w:rStyle w:val="slostrany"/>
        <w:sz w:val="18"/>
        <w:szCs w:val="18"/>
      </w:rPr>
    </w:pPr>
    <w:r w:rsidRPr="001A1B51">
      <w:rPr>
        <w:rStyle w:val="slostrany"/>
        <w:sz w:val="18"/>
        <w:szCs w:val="18"/>
      </w:rPr>
      <w:fldChar w:fldCharType="begin"/>
    </w:r>
    <w:r w:rsidRPr="001A1B51">
      <w:rPr>
        <w:rStyle w:val="slostrany"/>
        <w:sz w:val="18"/>
        <w:szCs w:val="18"/>
      </w:rPr>
      <w:instrText xml:space="preserve">PAGE  </w:instrText>
    </w:r>
    <w:r w:rsidRPr="001A1B51">
      <w:rPr>
        <w:rStyle w:val="slostrany"/>
        <w:sz w:val="18"/>
        <w:szCs w:val="18"/>
      </w:rPr>
      <w:fldChar w:fldCharType="separate"/>
    </w:r>
    <w:r w:rsidR="00D0305C">
      <w:rPr>
        <w:rStyle w:val="slostrany"/>
        <w:noProof/>
        <w:sz w:val="18"/>
        <w:szCs w:val="18"/>
      </w:rPr>
      <w:t>6</w:t>
    </w:r>
    <w:r w:rsidRPr="001A1B51">
      <w:rPr>
        <w:rStyle w:val="slostrany"/>
        <w:sz w:val="18"/>
        <w:szCs w:val="18"/>
      </w:rPr>
      <w:fldChar w:fldCharType="end"/>
    </w:r>
  </w:p>
  <w:p w14:paraId="62FAACFF" w14:textId="77777777" w:rsidR="00D21EE1" w:rsidRDefault="00D21EE1">
    <w:pPr>
      <w:pStyle w:val="Pta"/>
      <w:ind w:right="360"/>
    </w:pPr>
  </w:p>
  <w:p w14:paraId="45CBA294" w14:textId="77777777" w:rsidR="001A1B51" w:rsidRDefault="001A1B51">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4DB9" w14:textId="77777777" w:rsidR="00593BC4" w:rsidRPr="000607AF" w:rsidRDefault="00593BC4" w:rsidP="000607AF">
    <w:pPr>
      <w:pStyle w:val="Pta"/>
      <w:jc w:val="center"/>
      <w:rPr>
        <w:sz w:val="18"/>
      </w:rPr>
    </w:pPr>
    <w:r w:rsidRPr="000607AF">
      <w:rPr>
        <w:sz w:val="18"/>
      </w:rPr>
      <w:fldChar w:fldCharType="begin"/>
    </w:r>
    <w:r w:rsidRPr="000607AF">
      <w:rPr>
        <w:sz w:val="18"/>
      </w:rPr>
      <w:instrText>PAGE   \* MERGEFORMAT</w:instrText>
    </w:r>
    <w:r w:rsidRPr="000607AF">
      <w:rPr>
        <w:sz w:val="18"/>
      </w:rPr>
      <w:fldChar w:fldCharType="separate"/>
    </w:r>
    <w:r w:rsidR="001C6BEA">
      <w:rPr>
        <w:noProof/>
        <w:sz w:val="18"/>
      </w:rPr>
      <w:t>1</w:t>
    </w:r>
    <w:r w:rsidRPr="000607AF">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8D64" w14:textId="77777777" w:rsidR="00FC590A" w:rsidRDefault="00FC590A">
      <w:r>
        <w:separator/>
      </w:r>
    </w:p>
  </w:footnote>
  <w:footnote w:type="continuationSeparator" w:id="0">
    <w:p w14:paraId="4C7DAEF0" w14:textId="77777777" w:rsidR="00FC590A" w:rsidRDefault="00FC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7659" w14:textId="77777777" w:rsidR="00D0305C" w:rsidRDefault="00D0305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120B7" w14:textId="7A70D576" w:rsidR="00884F4A" w:rsidRPr="00633471" w:rsidRDefault="00D0305C" w:rsidP="00884F4A">
    <w:pPr>
      <w:pStyle w:val="Hlavika"/>
      <w:rPr>
        <w:sz w:val="18"/>
        <w:szCs w:val="18"/>
      </w:rPr>
    </w:pPr>
    <w:r>
      <w:rPr>
        <w:sz w:val="18"/>
        <w:szCs w:val="18"/>
      </w:rPr>
      <w:t>Schválený text</w:t>
    </w:r>
    <w:r w:rsidR="00884F4A" w:rsidRPr="000C4F75">
      <w:rPr>
        <w:sz w:val="18"/>
        <w:szCs w:val="18"/>
      </w:rPr>
      <w:t xml:space="preserve"> k</w:t>
    </w:r>
    <w:r w:rsidR="00884F4A">
      <w:rPr>
        <w:sz w:val="18"/>
        <w:szCs w:val="18"/>
      </w:rPr>
      <w:t> rozhodnutiu o prevode</w:t>
    </w:r>
    <w:r w:rsidR="00884F4A" w:rsidRPr="000C4F75">
      <w:rPr>
        <w:sz w:val="18"/>
        <w:szCs w:val="18"/>
      </w:rPr>
      <w:t xml:space="preserve">, ev. č.: </w:t>
    </w:r>
    <w:r w:rsidR="00884F4A">
      <w:rPr>
        <w:sz w:val="18"/>
        <w:szCs w:val="18"/>
      </w:rPr>
      <w:t>2020/</w:t>
    </w:r>
    <w:r w:rsidR="00DE192C">
      <w:rPr>
        <w:sz w:val="18"/>
        <w:szCs w:val="18"/>
      </w:rPr>
      <w:t>01956-TR</w:t>
    </w:r>
  </w:p>
  <w:p w14:paraId="0D70DE9B" w14:textId="77777777" w:rsidR="00122307" w:rsidRDefault="00122307">
    <w:pPr>
      <w:pStyle w:val="Hlavika"/>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F069" w14:textId="77777777" w:rsidR="00322BD1" w:rsidRPr="000C4F75" w:rsidRDefault="00322BD1" w:rsidP="00322BD1">
    <w:pPr>
      <w:pStyle w:val="Hlavika"/>
      <w:rPr>
        <w:sz w:val="18"/>
        <w:szCs w:val="18"/>
      </w:rPr>
    </w:pPr>
    <w:r w:rsidRPr="000C4F75">
      <w:rPr>
        <w:sz w:val="18"/>
        <w:szCs w:val="18"/>
      </w:rPr>
      <w:t>Príloha č. 1 k notifikácii o zmene, ev. č.: 201</w:t>
    </w:r>
    <w:r>
      <w:rPr>
        <w:sz w:val="18"/>
        <w:szCs w:val="18"/>
      </w:rPr>
      <w:t>6</w:t>
    </w:r>
    <w:r w:rsidRPr="000C4F75">
      <w:rPr>
        <w:sz w:val="18"/>
        <w:szCs w:val="18"/>
      </w:rPr>
      <w:t>/0</w:t>
    </w:r>
    <w:r>
      <w:rPr>
        <w:sz w:val="18"/>
        <w:szCs w:val="18"/>
      </w:rPr>
      <w:t>5894-Z1B</w:t>
    </w:r>
  </w:p>
  <w:p w14:paraId="0664B5CE" w14:textId="77777777" w:rsidR="00701E19" w:rsidRPr="000C4F75" w:rsidRDefault="00701E19" w:rsidP="00701E19">
    <w:pPr>
      <w:pStyle w:val="Hlavika"/>
      <w:rPr>
        <w:sz w:val="18"/>
        <w:szCs w:val="18"/>
      </w:rPr>
    </w:pPr>
    <w:r w:rsidRPr="000C4F75">
      <w:rPr>
        <w:sz w:val="18"/>
        <w:szCs w:val="18"/>
      </w:rPr>
      <w:t>Príloha č. 1 k notifikácii o zmene, ev. č.: 201</w:t>
    </w:r>
    <w:r>
      <w:rPr>
        <w:sz w:val="18"/>
        <w:szCs w:val="18"/>
      </w:rPr>
      <w:t>9/0</w:t>
    </w:r>
    <w:r w:rsidR="001003FA">
      <w:rPr>
        <w:sz w:val="18"/>
        <w:szCs w:val="18"/>
      </w:rPr>
      <w:t>7003-Z1B</w:t>
    </w:r>
  </w:p>
  <w:p w14:paraId="609F4227" w14:textId="77777777" w:rsidR="00322BD1" w:rsidRPr="004B4418" w:rsidRDefault="00322BD1">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8C0"/>
    <w:multiLevelType w:val="multilevel"/>
    <w:tmpl w:val="01C2E7B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420"/>
        </w:tabs>
        <w:ind w:left="420" w:hanging="42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1" w15:restartNumberingAfterBreak="0">
    <w:nsid w:val="0C746BEF"/>
    <w:multiLevelType w:val="hybridMultilevel"/>
    <w:tmpl w:val="33966796"/>
    <w:lvl w:ilvl="0" w:tplc="4A0AD36A">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4C000E1"/>
    <w:multiLevelType w:val="multilevel"/>
    <w:tmpl w:val="B610FFEC"/>
    <w:lvl w:ilvl="0">
      <w:start w:val="8"/>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6B503905"/>
    <w:multiLevelType w:val="hybridMultilevel"/>
    <w:tmpl w:val="59B4A578"/>
    <w:lvl w:ilvl="0" w:tplc="9F5CFC00">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7F6E747A"/>
    <w:multiLevelType w:val="hybridMultilevel"/>
    <w:tmpl w:val="449A152C"/>
    <w:lvl w:ilvl="0" w:tplc="80862410">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D3"/>
    <w:rsid w:val="00025BB5"/>
    <w:rsid w:val="000300B4"/>
    <w:rsid w:val="00035C5B"/>
    <w:rsid w:val="00051D7D"/>
    <w:rsid w:val="00053DD0"/>
    <w:rsid w:val="000607AF"/>
    <w:rsid w:val="000E080D"/>
    <w:rsid w:val="001003FA"/>
    <w:rsid w:val="00107B7D"/>
    <w:rsid w:val="00122307"/>
    <w:rsid w:val="001401A4"/>
    <w:rsid w:val="0014075B"/>
    <w:rsid w:val="001772DA"/>
    <w:rsid w:val="001A1B51"/>
    <w:rsid w:val="001C6BEA"/>
    <w:rsid w:val="001E5ADB"/>
    <w:rsid w:val="001F68E8"/>
    <w:rsid w:val="00257B62"/>
    <w:rsid w:val="00322BD1"/>
    <w:rsid w:val="0033294A"/>
    <w:rsid w:val="00336CCC"/>
    <w:rsid w:val="0034627E"/>
    <w:rsid w:val="003766B9"/>
    <w:rsid w:val="003D070E"/>
    <w:rsid w:val="003D30D3"/>
    <w:rsid w:val="003D439A"/>
    <w:rsid w:val="003E048E"/>
    <w:rsid w:val="003E22E9"/>
    <w:rsid w:val="0047437D"/>
    <w:rsid w:val="004B4418"/>
    <w:rsid w:val="005642C1"/>
    <w:rsid w:val="00570902"/>
    <w:rsid w:val="00586C5B"/>
    <w:rsid w:val="00593BC4"/>
    <w:rsid w:val="0059735A"/>
    <w:rsid w:val="005F1444"/>
    <w:rsid w:val="00607E25"/>
    <w:rsid w:val="006224F8"/>
    <w:rsid w:val="006420FB"/>
    <w:rsid w:val="00651D79"/>
    <w:rsid w:val="00675970"/>
    <w:rsid w:val="00676A03"/>
    <w:rsid w:val="006967E4"/>
    <w:rsid w:val="00701E19"/>
    <w:rsid w:val="00705352"/>
    <w:rsid w:val="007369A8"/>
    <w:rsid w:val="00770369"/>
    <w:rsid w:val="007D7A7F"/>
    <w:rsid w:val="008064DD"/>
    <w:rsid w:val="00814121"/>
    <w:rsid w:val="0082336E"/>
    <w:rsid w:val="00852BEE"/>
    <w:rsid w:val="0086389E"/>
    <w:rsid w:val="00884F4A"/>
    <w:rsid w:val="008F6130"/>
    <w:rsid w:val="0091393F"/>
    <w:rsid w:val="0098516A"/>
    <w:rsid w:val="009E5E20"/>
    <w:rsid w:val="009F5E90"/>
    <w:rsid w:val="00A109B2"/>
    <w:rsid w:val="00A30CEE"/>
    <w:rsid w:val="00A37E8A"/>
    <w:rsid w:val="00A45E4C"/>
    <w:rsid w:val="00A84253"/>
    <w:rsid w:val="00A92186"/>
    <w:rsid w:val="00AC5A02"/>
    <w:rsid w:val="00AD1D70"/>
    <w:rsid w:val="00AD393B"/>
    <w:rsid w:val="00B25EB9"/>
    <w:rsid w:val="00B31163"/>
    <w:rsid w:val="00B46199"/>
    <w:rsid w:val="00B4698D"/>
    <w:rsid w:val="00B943D5"/>
    <w:rsid w:val="00BB16F1"/>
    <w:rsid w:val="00BB77BF"/>
    <w:rsid w:val="00BE27F6"/>
    <w:rsid w:val="00BF0630"/>
    <w:rsid w:val="00C0141D"/>
    <w:rsid w:val="00CA463E"/>
    <w:rsid w:val="00CC2B40"/>
    <w:rsid w:val="00D0305C"/>
    <w:rsid w:val="00D21EE1"/>
    <w:rsid w:val="00D54A7A"/>
    <w:rsid w:val="00D61CE3"/>
    <w:rsid w:val="00D86D21"/>
    <w:rsid w:val="00DA343A"/>
    <w:rsid w:val="00DA4323"/>
    <w:rsid w:val="00DB2C4B"/>
    <w:rsid w:val="00DE192C"/>
    <w:rsid w:val="00E2562A"/>
    <w:rsid w:val="00E25FFF"/>
    <w:rsid w:val="00E465BC"/>
    <w:rsid w:val="00E56F8F"/>
    <w:rsid w:val="00E80510"/>
    <w:rsid w:val="00EB1639"/>
    <w:rsid w:val="00EB25E6"/>
    <w:rsid w:val="00EE0C3A"/>
    <w:rsid w:val="00F233FF"/>
    <w:rsid w:val="00F272E8"/>
    <w:rsid w:val="00F63786"/>
    <w:rsid w:val="00FC590A"/>
    <w:rsid w:val="00FE459E"/>
    <w:rsid w:val="00FF6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6845A2"/>
  <w15:chartTrackingRefBased/>
  <w15:docId w15:val="{21F34BB2-DD1F-4BC0-AF64-BBA2F5A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rFonts w:ascii="Arial Narrow" w:hAnsi="Arial Narrow"/>
      <w:b/>
      <w:bCs/>
      <w:color w:val="003366"/>
      <w:sz w:val="28"/>
      <w:szCs w:val="28"/>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semiHidden/>
    <w:pPr>
      <w:tabs>
        <w:tab w:val="center" w:pos="4536"/>
        <w:tab w:val="right" w:pos="9072"/>
      </w:tabs>
    </w:pPr>
  </w:style>
  <w:style w:type="character" w:styleId="slostrany">
    <w:name w:val="page number"/>
    <w:semiHidden/>
    <w:rPr>
      <w:rFonts w:ascii="Times New Roman" w:hAnsi="Times New Roman" w:cs="Times New Roman"/>
    </w:rPr>
  </w:style>
  <w:style w:type="paragraph" w:styleId="Nzov">
    <w:name w:val="Title"/>
    <w:basedOn w:val="Normlny"/>
    <w:qFormat/>
    <w:pPr>
      <w:widowControl w:val="0"/>
      <w:jc w:val="center"/>
    </w:pPr>
    <w:rPr>
      <w:rFonts w:ascii="Arial" w:hAnsi="Arial" w:cs="Arial"/>
      <w:b/>
      <w:bCs/>
      <w:lang w:val="en-US" w:eastAsia="de-DE"/>
    </w:rPr>
  </w:style>
  <w:style w:type="paragraph" w:styleId="Zkladntext">
    <w:name w:val="Body Text"/>
    <w:basedOn w:val="Normlny"/>
    <w:semiHidden/>
    <w:rPr>
      <w:b/>
      <w:bCs/>
      <w:lang w:val="en-GB" w:eastAsia="en-US"/>
    </w:rPr>
  </w:style>
  <w:style w:type="paragraph" w:customStyle="1" w:styleId="BalloonText1">
    <w:name w:val="Balloon Text1"/>
    <w:basedOn w:val="Normlny"/>
    <w:rPr>
      <w:rFonts w:ascii="Tahoma" w:hAnsi="Tahoma" w:cs="Tahoma"/>
      <w:sz w:val="16"/>
      <w:szCs w:val="16"/>
    </w:rPr>
  </w:style>
  <w:style w:type="paragraph" w:styleId="Textbubliny">
    <w:name w:val="Balloon Text"/>
    <w:basedOn w:val="Normlny"/>
    <w:link w:val="TextbublinyChar"/>
    <w:uiPriority w:val="99"/>
    <w:semiHidden/>
    <w:unhideWhenUsed/>
    <w:rsid w:val="00FE459E"/>
    <w:rPr>
      <w:rFonts w:ascii="Tahoma" w:hAnsi="Tahoma" w:cs="Tahoma"/>
      <w:sz w:val="16"/>
      <w:szCs w:val="16"/>
    </w:rPr>
  </w:style>
  <w:style w:type="character" w:customStyle="1" w:styleId="TextbublinyChar">
    <w:name w:val="Text bubliny Char"/>
    <w:link w:val="Textbubliny"/>
    <w:uiPriority w:val="99"/>
    <w:semiHidden/>
    <w:rsid w:val="00FE459E"/>
    <w:rPr>
      <w:rFonts w:ascii="Tahoma" w:hAnsi="Tahoma" w:cs="Tahoma"/>
      <w:sz w:val="16"/>
      <w:szCs w:val="16"/>
    </w:rPr>
  </w:style>
  <w:style w:type="paragraph" w:styleId="Hlavika">
    <w:name w:val="header"/>
    <w:basedOn w:val="Normlny"/>
    <w:link w:val="HlavikaChar"/>
    <w:uiPriority w:val="99"/>
    <w:unhideWhenUsed/>
    <w:rsid w:val="001A1B51"/>
    <w:pPr>
      <w:tabs>
        <w:tab w:val="center" w:pos="4536"/>
        <w:tab w:val="right" w:pos="9072"/>
      </w:tabs>
    </w:pPr>
  </w:style>
  <w:style w:type="character" w:customStyle="1" w:styleId="HlavikaChar">
    <w:name w:val="Hlavička Char"/>
    <w:link w:val="Hlavika"/>
    <w:uiPriority w:val="99"/>
    <w:rsid w:val="001A1B51"/>
    <w:rPr>
      <w:sz w:val="24"/>
      <w:szCs w:val="24"/>
    </w:rPr>
  </w:style>
  <w:style w:type="character" w:styleId="Hypertextovprepojenie">
    <w:name w:val="Hyperlink"/>
    <w:semiHidden/>
    <w:unhideWhenUsed/>
    <w:rsid w:val="001A1B51"/>
    <w:rPr>
      <w:color w:val="0000FF"/>
      <w:u w:val="single"/>
    </w:rPr>
  </w:style>
  <w:style w:type="paragraph" w:customStyle="1" w:styleId="Default">
    <w:name w:val="Default"/>
    <w:rsid w:val="00322BD1"/>
    <w:pPr>
      <w:autoSpaceDE w:val="0"/>
      <w:autoSpaceDN w:val="0"/>
      <w:adjustRightInd w:val="0"/>
    </w:pPr>
    <w:rPr>
      <w:rFonts w:eastAsia="Calibri"/>
      <w:color w:val="000000"/>
      <w:sz w:val="24"/>
      <w:szCs w:val="24"/>
      <w:lang w:eastAsia="en-US"/>
    </w:rPr>
  </w:style>
  <w:style w:type="paragraph" w:customStyle="1" w:styleId="MGGTextLeft">
    <w:name w:val="MGG Text Left"/>
    <w:basedOn w:val="Zkladntext"/>
    <w:rsid w:val="00852BEE"/>
    <w:rPr>
      <w:b w:val="0"/>
      <w:bCs w:val="0"/>
      <w:sz w:val="22"/>
    </w:rPr>
  </w:style>
  <w:style w:type="paragraph" w:customStyle="1" w:styleId="yiv7953334852msonormal">
    <w:name w:val="yiv7953334852msonormal"/>
    <w:basedOn w:val="Normlny"/>
    <w:rsid w:val="00884F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43F8-87B0-40AA-90F9-8348075F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1727</Words>
  <Characters>9848</Characters>
  <Application>Microsoft Office Word</Application>
  <DocSecurity>0</DocSecurity>
  <Lines>82</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SPC</vt:lpstr>
      <vt:lpstr>SPC</vt:lpstr>
    </vt:vector>
  </TitlesOfParts>
  <Company>Hewlett-Packard</Company>
  <LinksUpToDate>false</LinksUpToDate>
  <CharactersWithSpaces>11552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Regpharm</dc:creator>
  <cp:keywords/>
  <cp:lastModifiedBy>ME</cp:lastModifiedBy>
  <cp:revision>3</cp:revision>
  <cp:lastPrinted>2015-12-23T13:35:00Z</cp:lastPrinted>
  <dcterms:created xsi:type="dcterms:W3CDTF">2020-06-23T13:10:00Z</dcterms:created>
  <dcterms:modified xsi:type="dcterms:W3CDTF">2020-06-24T04:52:00Z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