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BA" w:rsidRDefault="005B7DBA" w:rsidP="005B7DBA">
      <w:pPr>
        <w:pStyle w:val="CM32"/>
        <w:pageBreakBefore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5B7DBA">
        <w:rPr>
          <w:b/>
          <w:bCs/>
          <w:color w:val="000000"/>
          <w:sz w:val="22"/>
          <w:szCs w:val="22"/>
        </w:rPr>
        <w:t>SÚHRN CHARAKTERISTICKÝCH VLASTNOSTÍ LIEKU</w:t>
      </w:r>
    </w:p>
    <w:p w:rsidR="005B7DBA" w:rsidRDefault="005B7DBA" w:rsidP="005B7DBA">
      <w:pPr>
        <w:pStyle w:val="Default"/>
      </w:pPr>
    </w:p>
    <w:p w:rsidR="005B7DBA" w:rsidRPr="005B7DBA" w:rsidRDefault="005B7DBA" w:rsidP="005B7DBA">
      <w:pPr>
        <w:pStyle w:val="Default"/>
      </w:pPr>
    </w:p>
    <w:p w:rsidR="005B7DBA" w:rsidRPr="005B7DBA" w:rsidRDefault="005B7DBA" w:rsidP="006C4495">
      <w:pPr>
        <w:pStyle w:val="CM33"/>
        <w:ind w:left="567" w:hanging="567"/>
        <w:rPr>
          <w:b/>
          <w:color w:val="000000"/>
          <w:sz w:val="22"/>
          <w:szCs w:val="22"/>
        </w:rPr>
      </w:pPr>
      <w:r w:rsidRPr="005B7DBA">
        <w:rPr>
          <w:b/>
          <w:color w:val="000000"/>
          <w:sz w:val="22"/>
          <w:szCs w:val="22"/>
        </w:rPr>
        <w:t xml:space="preserve">1. </w:t>
      </w:r>
      <w:r w:rsidR="006C4495">
        <w:rPr>
          <w:b/>
          <w:color w:val="000000"/>
          <w:sz w:val="22"/>
          <w:szCs w:val="22"/>
        </w:rPr>
        <w:tab/>
      </w:r>
      <w:r w:rsidRPr="005B7DBA">
        <w:rPr>
          <w:b/>
          <w:color w:val="000000"/>
          <w:sz w:val="22"/>
          <w:szCs w:val="22"/>
        </w:rPr>
        <w:t>NÁZOV LIEKU</w:t>
      </w:r>
    </w:p>
    <w:p w:rsidR="006C4495" w:rsidRDefault="006C4495" w:rsidP="005B7DBA">
      <w:pPr>
        <w:pStyle w:val="CM33"/>
        <w:rPr>
          <w:color w:val="000000"/>
          <w:sz w:val="22"/>
          <w:szCs w:val="22"/>
        </w:rPr>
      </w:pPr>
    </w:p>
    <w:p w:rsidR="005B7DBA" w:rsidRDefault="006C4495" w:rsidP="005B7DBA">
      <w:pPr>
        <w:pStyle w:val="Default"/>
        <w:rPr>
          <w:sz w:val="22"/>
          <w:szCs w:val="22"/>
        </w:rPr>
      </w:pPr>
      <w:proofErr w:type="spellStart"/>
      <w:r w:rsidRPr="006C4495">
        <w:rPr>
          <w:sz w:val="22"/>
          <w:szCs w:val="22"/>
        </w:rPr>
        <w:t>Sorafenib</w:t>
      </w:r>
      <w:proofErr w:type="spellEnd"/>
      <w:r w:rsidRPr="006C4495">
        <w:rPr>
          <w:sz w:val="22"/>
          <w:szCs w:val="22"/>
        </w:rPr>
        <w:t xml:space="preserve"> </w:t>
      </w:r>
      <w:r w:rsidR="006434FC">
        <w:rPr>
          <w:sz w:val="22"/>
          <w:szCs w:val="22"/>
        </w:rPr>
        <w:t>STADA</w:t>
      </w:r>
      <w:r w:rsidRPr="006C4495">
        <w:rPr>
          <w:sz w:val="22"/>
          <w:szCs w:val="22"/>
        </w:rPr>
        <w:t xml:space="preserve"> </w:t>
      </w:r>
    </w:p>
    <w:p w:rsidR="005A03B4" w:rsidRDefault="006434FC" w:rsidP="005B7D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 mg </w:t>
      </w:r>
      <w:r w:rsidR="005A03B4">
        <w:rPr>
          <w:sz w:val="22"/>
          <w:szCs w:val="22"/>
        </w:rPr>
        <w:t>filmom obalené tablety</w:t>
      </w:r>
    </w:p>
    <w:p w:rsidR="006C4495" w:rsidRDefault="006C4495" w:rsidP="005B7DBA">
      <w:pPr>
        <w:pStyle w:val="Default"/>
        <w:rPr>
          <w:sz w:val="22"/>
          <w:szCs w:val="22"/>
        </w:rPr>
      </w:pPr>
    </w:p>
    <w:p w:rsidR="005B7DBA" w:rsidRPr="005B7DBA" w:rsidRDefault="005B7DBA" w:rsidP="005B7DBA">
      <w:pPr>
        <w:pStyle w:val="Default"/>
      </w:pPr>
    </w:p>
    <w:p w:rsidR="005B7DBA" w:rsidRPr="005B7DBA" w:rsidRDefault="005B7DBA" w:rsidP="006C4495">
      <w:pPr>
        <w:pStyle w:val="Default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2. </w:t>
      </w:r>
      <w:r w:rsidR="006C4495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KVALITATÍVNE A KVANTITATÍVNE ZLOŽENIE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6C449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Každá filmom obalená tableta obsahuje 200 mg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(ako </w:t>
      </w:r>
      <w:proofErr w:type="spellStart"/>
      <w:r w:rsidRPr="000D43B4">
        <w:rPr>
          <w:color w:val="000000"/>
          <w:sz w:val="22"/>
          <w:szCs w:val="22"/>
        </w:rPr>
        <w:t>tozylát</w:t>
      </w:r>
      <w:proofErr w:type="spellEnd"/>
      <w:r w:rsidRPr="005B7DBA">
        <w:rPr>
          <w:color w:val="000000"/>
          <w:sz w:val="22"/>
          <w:szCs w:val="22"/>
        </w:rPr>
        <w:t xml:space="preserve">). </w:t>
      </w:r>
    </w:p>
    <w:p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</w:p>
    <w:p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  <w:r w:rsidRPr="00496C08">
        <w:rPr>
          <w:sz w:val="22"/>
        </w:rPr>
        <w:t>Úplný zoznam pomocných látok, pozri časť 6.1.</w:t>
      </w:r>
    </w:p>
    <w:p w:rsidR="005B7DBA" w:rsidRDefault="005B7DBA" w:rsidP="005B7DBA">
      <w:pPr>
        <w:pStyle w:val="Default"/>
      </w:pPr>
    </w:p>
    <w:p w:rsidR="005B7DBA" w:rsidRPr="005B7DBA" w:rsidRDefault="005B7DBA" w:rsidP="005B7DBA">
      <w:pPr>
        <w:pStyle w:val="Default"/>
      </w:pPr>
    </w:p>
    <w:p w:rsidR="005B7DBA" w:rsidRPr="005B7DBA" w:rsidRDefault="005B7DBA" w:rsidP="006C4495">
      <w:pPr>
        <w:pStyle w:val="CM1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3.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LIEKOVÁ FORMA </w:t>
      </w:r>
    </w:p>
    <w:p w:rsidR="006C4495" w:rsidRDefault="006C4495" w:rsidP="005B7DBA">
      <w:pPr>
        <w:pStyle w:val="CM1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1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Filmom obalená tableta (tableta). </w:t>
      </w:r>
    </w:p>
    <w:p w:rsidR="006C4495" w:rsidRDefault="006C4495" w:rsidP="005B7DBA">
      <w:pPr>
        <w:pStyle w:val="CM34"/>
        <w:rPr>
          <w:color w:val="000000"/>
          <w:sz w:val="22"/>
          <w:szCs w:val="22"/>
        </w:rPr>
      </w:pPr>
    </w:p>
    <w:p w:rsidR="005B7DBA" w:rsidRDefault="00EA0977" w:rsidP="00FD72BB">
      <w:pPr>
        <w:pStyle w:val="CM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Červenohnedé</w:t>
      </w:r>
      <w:r w:rsidR="005B7DBA" w:rsidRPr="005B7DBA">
        <w:rPr>
          <w:color w:val="000000"/>
          <w:sz w:val="22"/>
          <w:szCs w:val="22"/>
        </w:rPr>
        <w:t>, okrúhle, bikonvexné filmom obalené ta</w:t>
      </w:r>
      <w:r w:rsidR="006C4495">
        <w:rPr>
          <w:color w:val="000000"/>
          <w:sz w:val="22"/>
          <w:szCs w:val="22"/>
        </w:rPr>
        <w:t>blety, na jednej strane vyrazené „</w:t>
      </w:r>
      <w:r>
        <w:rPr>
          <w:color w:val="000000"/>
          <w:sz w:val="22"/>
          <w:szCs w:val="22"/>
        </w:rPr>
        <w:t>200</w:t>
      </w:r>
      <w:r w:rsidR="006C4495">
        <w:rPr>
          <w:color w:val="000000"/>
          <w:sz w:val="22"/>
          <w:szCs w:val="22"/>
        </w:rPr>
        <w:t>“</w:t>
      </w:r>
      <w:r w:rsidR="005B7DBA" w:rsidRPr="005B7DBA">
        <w:rPr>
          <w:color w:val="000000"/>
          <w:sz w:val="22"/>
          <w:szCs w:val="22"/>
        </w:rPr>
        <w:t xml:space="preserve"> a na druhej strane </w:t>
      </w:r>
      <w:r>
        <w:rPr>
          <w:color w:val="000000"/>
          <w:sz w:val="22"/>
          <w:szCs w:val="22"/>
        </w:rPr>
        <w:t xml:space="preserve">hladké s priemerom tablety 12,0 mm </w:t>
      </w:r>
      <w:r w:rsidRPr="008F65F2">
        <w:rPr>
          <w:sz w:val="22"/>
          <w:szCs w:val="22"/>
          <w:lang w:val="en-US"/>
        </w:rPr>
        <w:t xml:space="preserve">± </w:t>
      </w:r>
      <w:r w:rsidRPr="00EA0977">
        <w:rPr>
          <w:sz w:val="22"/>
          <w:szCs w:val="22"/>
          <w:lang w:val="en-US"/>
        </w:rPr>
        <w:t>5%.</w:t>
      </w:r>
    </w:p>
    <w:p w:rsidR="00634A7E" w:rsidRDefault="00634A7E" w:rsidP="00634A7E">
      <w:pPr>
        <w:pStyle w:val="Default"/>
      </w:pPr>
    </w:p>
    <w:p w:rsidR="00634A7E" w:rsidRPr="00634A7E" w:rsidRDefault="00634A7E" w:rsidP="00634A7E">
      <w:pPr>
        <w:pStyle w:val="Default"/>
      </w:pPr>
    </w:p>
    <w:p w:rsidR="005B7DBA" w:rsidRDefault="005B7DBA" w:rsidP="006C4495">
      <w:pPr>
        <w:pStyle w:val="CM1"/>
        <w:tabs>
          <w:tab w:val="left" w:pos="567"/>
        </w:tabs>
        <w:spacing w:line="240" w:lineRule="auto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KLINICKÉ ÚDAJE </w:t>
      </w:r>
    </w:p>
    <w:p w:rsidR="00634A7E" w:rsidRPr="00634A7E" w:rsidRDefault="00634A7E" w:rsidP="00634A7E">
      <w:pPr>
        <w:pStyle w:val="Default"/>
      </w:pPr>
    </w:p>
    <w:p w:rsidR="005B7DBA" w:rsidRDefault="005B7DBA" w:rsidP="006C4495">
      <w:pPr>
        <w:pStyle w:val="CM1"/>
        <w:tabs>
          <w:tab w:val="left" w:pos="567"/>
        </w:tabs>
        <w:spacing w:line="240" w:lineRule="auto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4.1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Terapeutické indikácie </w:t>
      </w:r>
    </w:p>
    <w:p w:rsidR="006C4495" w:rsidRPr="006C4495" w:rsidRDefault="006C4495" w:rsidP="006C4495">
      <w:pPr>
        <w:pStyle w:val="Default"/>
      </w:pPr>
    </w:p>
    <w:p w:rsidR="006C4495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Hepatocelulárny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karcinóm </w:t>
      </w:r>
    </w:p>
    <w:p w:rsidR="00EA0977" w:rsidRPr="00EA0977" w:rsidRDefault="00EA0977" w:rsidP="00EA0977">
      <w:pPr>
        <w:pStyle w:val="Default"/>
      </w:pPr>
    </w:p>
    <w:p w:rsidR="006C4495" w:rsidRDefault="006C4495" w:rsidP="006C4495">
      <w:pPr>
        <w:pStyle w:val="Default"/>
        <w:rPr>
          <w:sz w:val="22"/>
          <w:szCs w:val="22"/>
        </w:rPr>
      </w:pPr>
      <w:proofErr w:type="spellStart"/>
      <w:r w:rsidRPr="006C4495">
        <w:rPr>
          <w:sz w:val="22"/>
          <w:szCs w:val="22"/>
        </w:rPr>
        <w:t>Sorafenib</w:t>
      </w:r>
      <w:proofErr w:type="spellEnd"/>
      <w:r w:rsidRPr="006C4495">
        <w:rPr>
          <w:sz w:val="22"/>
          <w:szCs w:val="22"/>
        </w:rPr>
        <w:t xml:space="preserve"> </w:t>
      </w:r>
      <w:r w:rsidR="006434FC">
        <w:rPr>
          <w:sz w:val="22"/>
          <w:szCs w:val="22"/>
        </w:rPr>
        <w:t>STADA</w:t>
      </w:r>
      <w:r w:rsidRPr="006C4495">
        <w:rPr>
          <w:sz w:val="22"/>
          <w:szCs w:val="22"/>
        </w:rPr>
        <w:t xml:space="preserve"> </w:t>
      </w:r>
      <w:r w:rsidR="005B7DBA" w:rsidRPr="005B7DBA">
        <w:rPr>
          <w:sz w:val="22"/>
          <w:szCs w:val="22"/>
        </w:rPr>
        <w:t xml:space="preserve">je indikovaný na liečbu </w:t>
      </w:r>
      <w:proofErr w:type="spellStart"/>
      <w:r w:rsidR="005B7DBA" w:rsidRPr="005B7DBA">
        <w:rPr>
          <w:sz w:val="22"/>
          <w:szCs w:val="22"/>
        </w:rPr>
        <w:t>hepatocelulárneho</w:t>
      </w:r>
      <w:proofErr w:type="spellEnd"/>
      <w:r w:rsidR="005B7DBA" w:rsidRPr="005B7DBA">
        <w:rPr>
          <w:sz w:val="22"/>
          <w:szCs w:val="22"/>
        </w:rPr>
        <w:t xml:space="preserve"> karcinómu (pozri časť 5.1).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5B7DBA" w:rsidRDefault="00A0042A" w:rsidP="005B7DBA">
      <w:pPr>
        <w:pStyle w:val="CM32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Karcinóm </w:t>
      </w:r>
      <w:proofErr w:type="spellStart"/>
      <w:r w:rsidR="005B7DBA" w:rsidRPr="005B7DBA">
        <w:rPr>
          <w:color w:val="000000"/>
          <w:sz w:val="22"/>
          <w:szCs w:val="22"/>
          <w:u w:val="single"/>
        </w:rPr>
        <w:t>renálnych</w:t>
      </w:r>
      <w:proofErr w:type="spellEnd"/>
      <w:r w:rsidR="005B7DBA" w:rsidRPr="005B7DBA">
        <w:rPr>
          <w:color w:val="000000"/>
          <w:sz w:val="22"/>
          <w:szCs w:val="22"/>
          <w:u w:val="single"/>
        </w:rPr>
        <w:t xml:space="preserve"> buniek </w:t>
      </w:r>
    </w:p>
    <w:p w:rsidR="00EA0977" w:rsidRPr="00EA0977" w:rsidRDefault="00EA0977" w:rsidP="00EA0977">
      <w:pPr>
        <w:pStyle w:val="Default"/>
      </w:pPr>
    </w:p>
    <w:p w:rsidR="005B7DBA" w:rsidRDefault="006C4495" w:rsidP="006C4495">
      <w:pPr>
        <w:pStyle w:val="Default"/>
        <w:rPr>
          <w:sz w:val="22"/>
          <w:szCs w:val="22"/>
        </w:rPr>
      </w:pPr>
      <w:proofErr w:type="spellStart"/>
      <w:r w:rsidRPr="006C4495">
        <w:rPr>
          <w:sz w:val="22"/>
          <w:szCs w:val="22"/>
        </w:rPr>
        <w:t>Sorafenib</w:t>
      </w:r>
      <w:proofErr w:type="spellEnd"/>
      <w:r w:rsidRPr="006C4495">
        <w:rPr>
          <w:sz w:val="22"/>
          <w:szCs w:val="22"/>
        </w:rPr>
        <w:t xml:space="preserve"> </w:t>
      </w:r>
      <w:r w:rsidR="006434FC">
        <w:rPr>
          <w:sz w:val="22"/>
          <w:szCs w:val="22"/>
        </w:rPr>
        <w:t>STADA</w:t>
      </w:r>
      <w:r w:rsidRPr="006C4495">
        <w:rPr>
          <w:sz w:val="22"/>
          <w:szCs w:val="22"/>
        </w:rPr>
        <w:t xml:space="preserve"> </w:t>
      </w:r>
      <w:r w:rsidR="005B7DBA" w:rsidRPr="005B7DBA">
        <w:rPr>
          <w:sz w:val="22"/>
          <w:szCs w:val="22"/>
        </w:rPr>
        <w:t>je indikovaný na liečbu paci</w:t>
      </w:r>
      <w:r w:rsidR="00A0042A">
        <w:rPr>
          <w:sz w:val="22"/>
          <w:szCs w:val="22"/>
        </w:rPr>
        <w:t xml:space="preserve">entov s pokročilým karcinómom </w:t>
      </w:r>
      <w:proofErr w:type="spellStart"/>
      <w:r w:rsidR="005B7DBA" w:rsidRPr="005B7DBA">
        <w:rPr>
          <w:sz w:val="22"/>
          <w:szCs w:val="22"/>
        </w:rPr>
        <w:t>renálnych</w:t>
      </w:r>
      <w:proofErr w:type="spellEnd"/>
      <w:r w:rsidR="005B7DBA" w:rsidRPr="005B7DBA">
        <w:rPr>
          <w:sz w:val="22"/>
          <w:szCs w:val="22"/>
        </w:rPr>
        <w:t xml:space="preserve"> buniek, u ktorých zlyhala predchádzajúca liečba založená na </w:t>
      </w:r>
      <w:proofErr w:type="spellStart"/>
      <w:r w:rsidR="005B7DBA" w:rsidRPr="005B7DBA">
        <w:rPr>
          <w:sz w:val="22"/>
          <w:szCs w:val="22"/>
        </w:rPr>
        <w:t>interferóne</w:t>
      </w:r>
      <w:proofErr w:type="spellEnd"/>
      <w:r w:rsidR="005B7DBA" w:rsidRPr="005B7DBA">
        <w:rPr>
          <w:sz w:val="22"/>
          <w:szCs w:val="22"/>
        </w:rPr>
        <w:t xml:space="preserve"> alfa alebo interleukíne-2 alebo sa považujú za nevhodných </w:t>
      </w:r>
      <w:r w:rsidR="00EA0977">
        <w:rPr>
          <w:sz w:val="22"/>
          <w:szCs w:val="22"/>
        </w:rPr>
        <w:t>na</w:t>
      </w:r>
      <w:r w:rsidR="005B7DBA" w:rsidRPr="005B7DBA">
        <w:rPr>
          <w:sz w:val="22"/>
          <w:szCs w:val="22"/>
        </w:rPr>
        <w:t xml:space="preserve"> takúto liečbu. </w:t>
      </w:r>
    </w:p>
    <w:p w:rsidR="006C4495" w:rsidRPr="005B7DBA" w:rsidRDefault="006C4495" w:rsidP="006C4495">
      <w:pPr>
        <w:pStyle w:val="Default"/>
        <w:rPr>
          <w:sz w:val="22"/>
          <w:szCs w:val="22"/>
        </w:rPr>
      </w:pPr>
    </w:p>
    <w:p w:rsidR="005B7DBA" w:rsidRPr="005B7DBA" w:rsidRDefault="005B7DBA" w:rsidP="006C449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4.2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Dávkovanie a spôsob podávania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6C4495">
      <w:pPr>
        <w:pStyle w:val="Default"/>
        <w:rPr>
          <w:sz w:val="22"/>
          <w:szCs w:val="22"/>
        </w:rPr>
      </w:pPr>
      <w:r w:rsidRPr="005B7DBA">
        <w:rPr>
          <w:sz w:val="22"/>
          <w:szCs w:val="22"/>
        </w:rPr>
        <w:t xml:space="preserve">Liečba </w:t>
      </w:r>
      <w:proofErr w:type="spellStart"/>
      <w:r w:rsidR="006C4495" w:rsidRPr="006C4495">
        <w:rPr>
          <w:sz w:val="22"/>
          <w:szCs w:val="22"/>
        </w:rPr>
        <w:t>Sorafenib</w:t>
      </w:r>
      <w:r w:rsidR="006C4495">
        <w:rPr>
          <w:sz w:val="22"/>
          <w:szCs w:val="22"/>
        </w:rPr>
        <w:t>om</w:t>
      </w:r>
      <w:proofErr w:type="spellEnd"/>
      <w:r w:rsidR="006C4495" w:rsidRPr="006C4495">
        <w:rPr>
          <w:sz w:val="22"/>
          <w:szCs w:val="22"/>
        </w:rPr>
        <w:t xml:space="preserve"> </w:t>
      </w:r>
      <w:r w:rsidR="006434FC">
        <w:rPr>
          <w:sz w:val="22"/>
          <w:szCs w:val="22"/>
        </w:rPr>
        <w:t>STADA</w:t>
      </w:r>
      <w:r w:rsidR="006C4495" w:rsidRPr="006C4495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má prebiehať pod dohľadom lekára so skúsenosťami s používaním protirakovinovej liečby. </w:t>
      </w:r>
    </w:p>
    <w:p w:rsidR="006C4495" w:rsidRPr="005B7DBA" w:rsidRDefault="006C4495" w:rsidP="006C4495">
      <w:pPr>
        <w:pStyle w:val="Default"/>
        <w:rPr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Dávkovanie </w:t>
      </w:r>
    </w:p>
    <w:p w:rsidR="00EA0977" w:rsidRPr="00EA0977" w:rsidRDefault="00EA0977" w:rsidP="00EA0977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Odporúčaná dávka </w:t>
      </w:r>
      <w:proofErr w:type="spellStart"/>
      <w:r w:rsidR="006C4495" w:rsidRPr="006C4495">
        <w:rPr>
          <w:sz w:val="22"/>
          <w:szCs w:val="22"/>
        </w:rPr>
        <w:t>Sorafenib</w:t>
      </w:r>
      <w:r w:rsidR="006C4495">
        <w:rPr>
          <w:sz w:val="22"/>
          <w:szCs w:val="22"/>
        </w:rPr>
        <w:t>u</w:t>
      </w:r>
      <w:proofErr w:type="spellEnd"/>
      <w:r w:rsidR="006C4495" w:rsidRPr="006C4495">
        <w:rPr>
          <w:sz w:val="22"/>
          <w:szCs w:val="22"/>
        </w:rPr>
        <w:t xml:space="preserve"> </w:t>
      </w:r>
      <w:r w:rsidR="006434FC">
        <w:rPr>
          <w:sz w:val="22"/>
          <w:szCs w:val="22"/>
        </w:rPr>
        <w:t>STADA</w:t>
      </w:r>
      <w:r w:rsidR="006C4495" w:rsidRPr="006C4495">
        <w:rPr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u dospelých je 400 mg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(dve tablety po 200 mg) dvakrát denne (zodpovedá celkovej dennej dávke 800 mg). </w:t>
      </w:r>
    </w:p>
    <w:p w:rsidR="006C4495" w:rsidRPr="006C4495" w:rsidRDefault="006C4495" w:rsidP="006C4495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Liečba má pokračovať, kým sa pozoruje klinický prínos alebo kým sa nevyskytne neprijateľná </w:t>
      </w:r>
    </w:p>
    <w:p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toxicita.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Default="005B7DBA" w:rsidP="00634A7E">
      <w:pPr>
        <w:pStyle w:val="CM3"/>
        <w:spacing w:line="240" w:lineRule="auto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Úpravy dávkovania </w:t>
      </w:r>
    </w:p>
    <w:p w:rsidR="00EA0977" w:rsidRPr="00EA0977" w:rsidRDefault="00EA0977" w:rsidP="00EA0977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0D43B4">
        <w:rPr>
          <w:color w:val="000000"/>
          <w:sz w:val="22"/>
          <w:szCs w:val="22"/>
        </w:rPr>
        <w:t>Manažment</w:t>
      </w:r>
      <w:r w:rsidRPr="005B7DBA">
        <w:rPr>
          <w:color w:val="000000"/>
          <w:sz w:val="22"/>
          <w:szCs w:val="22"/>
        </w:rPr>
        <w:t xml:space="preserve"> podozrení na nežiaduce liekové reakcie si môže vyžadovať dočasné prerušenie alebo zníženie dávky v liečbe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6C4495" w:rsidRPr="006C4495" w:rsidRDefault="006C4495" w:rsidP="006C4495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lastRenderedPageBreak/>
        <w:t xml:space="preserve">Ak je nevyhnutné zníženie dávky počas liečby </w:t>
      </w:r>
      <w:proofErr w:type="spellStart"/>
      <w:r w:rsidRPr="005B7DBA">
        <w:rPr>
          <w:color w:val="000000"/>
          <w:sz w:val="22"/>
          <w:szCs w:val="22"/>
        </w:rPr>
        <w:t>hepatocelulárneho</w:t>
      </w:r>
      <w:proofErr w:type="spellEnd"/>
      <w:r w:rsidRPr="005B7DBA">
        <w:rPr>
          <w:color w:val="000000"/>
          <w:sz w:val="22"/>
          <w:szCs w:val="22"/>
        </w:rPr>
        <w:t xml:space="preserve"> karcinómu</w:t>
      </w:r>
      <w:r w:rsidR="00A0042A">
        <w:rPr>
          <w:color w:val="000000"/>
          <w:sz w:val="22"/>
          <w:szCs w:val="22"/>
        </w:rPr>
        <w:t xml:space="preserve"> (</w:t>
      </w:r>
      <w:proofErr w:type="spellStart"/>
      <w:r w:rsidR="00A75784" w:rsidRPr="00A75784">
        <w:rPr>
          <w:color w:val="000000"/>
          <w:sz w:val="22"/>
          <w:szCs w:val="22"/>
        </w:rPr>
        <w:t>hepatocellular</w:t>
      </w:r>
      <w:proofErr w:type="spellEnd"/>
      <w:r w:rsidR="00A75784" w:rsidRPr="00A75784">
        <w:rPr>
          <w:color w:val="000000"/>
          <w:sz w:val="22"/>
          <w:szCs w:val="22"/>
        </w:rPr>
        <w:t xml:space="preserve"> </w:t>
      </w:r>
      <w:proofErr w:type="spellStart"/>
      <w:r w:rsidR="00A75784" w:rsidRPr="00A75784">
        <w:rPr>
          <w:color w:val="000000"/>
          <w:sz w:val="22"/>
          <w:szCs w:val="22"/>
        </w:rPr>
        <w:t>carcinoma</w:t>
      </w:r>
      <w:proofErr w:type="spellEnd"/>
      <w:r w:rsidR="00A75784">
        <w:rPr>
          <w:color w:val="000000"/>
          <w:sz w:val="22"/>
          <w:szCs w:val="22"/>
        </w:rPr>
        <w:t>,</w:t>
      </w:r>
      <w:r w:rsidR="00A75784" w:rsidRPr="00A75784">
        <w:rPr>
          <w:color w:val="000000"/>
          <w:sz w:val="22"/>
          <w:szCs w:val="22"/>
        </w:rPr>
        <w:t xml:space="preserve"> </w:t>
      </w:r>
      <w:r w:rsidR="00A0042A">
        <w:rPr>
          <w:color w:val="000000"/>
          <w:sz w:val="22"/>
          <w:szCs w:val="22"/>
        </w:rPr>
        <w:t xml:space="preserve">HCC) a pokročilého karcinómu </w:t>
      </w:r>
      <w:proofErr w:type="spellStart"/>
      <w:r w:rsidR="006C4495">
        <w:rPr>
          <w:color w:val="000000"/>
          <w:sz w:val="22"/>
          <w:szCs w:val="22"/>
        </w:rPr>
        <w:t>renálnych</w:t>
      </w:r>
      <w:proofErr w:type="spellEnd"/>
      <w:r w:rsidR="006C4495">
        <w:rPr>
          <w:color w:val="000000"/>
          <w:sz w:val="22"/>
          <w:szCs w:val="22"/>
        </w:rPr>
        <w:t xml:space="preserve"> buniek (</w:t>
      </w:r>
      <w:proofErr w:type="spellStart"/>
      <w:r w:rsidR="00A75784" w:rsidRPr="00A75784">
        <w:rPr>
          <w:color w:val="000000"/>
          <w:sz w:val="22"/>
          <w:szCs w:val="22"/>
        </w:rPr>
        <w:t>renal</w:t>
      </w:r>
      <w:proofErr w:type="spellEnd"/>
      <w:r w:rsidR="00A75784" w:rsidRPr="00A75784">
        <w:rPr>
          <w:color w:val="000000"/>
          <w:sz w:val="22"/>
          <w:szCs w:val="22"/>
        </w:rPr>
        <w:t xml:space="preserve"> </w:t>
      </w:r>
      <w:proofErr w:type="spellStart"/>
      <w:r w:rsidR="00A75784" w:rsidRPr="00A75784">
        <w:rPr>
          <w:color w:val="000000"/>
          <w:sz w:val="22"/>
          <w:szCs w:val="22"/>
        </w:rPr>
        <w:t>cell</w:t>
      </w:r>
      <w:proofErr w:type="spellEnd"/>
      <w:r w:rsidR="00A75784" w:rsidRPr="00A75784">
        <w:rPr>
          <w:color w:val="000000"/>
          <w:sz w:val="22"/>
          <w:szCs w:val="22"/>
        </w:rPr>
        <w:t xml:space="preserve"> </w:t>
      </w:r>
      <w:proofErr w:type="spellStart"/>
      <w:r w:rsidR="00A75784" w:rsidRPr="00A75784">
        <w:rPr>
          <w:color w:val="000000"/>
          <w:sz w:val="22"/>
          <w:szCs w:val="22"/>
        </w:rPr>
        <w:t>carcinoma</w:t>
      </w:r>
      <w:proofErr w:type="spellEnd"/>
      <w:r w:rsidR="00A75784">
        <w:rPr>
          <w:color w:val="000000"/>
          <w:sz w:val="22"/>
          <w:szCs w:val="22"/>
        </w:rPr>
        <w:t>,</w:t>
      </w:r>
      <w:r w:rsidR="00A75784" w:rsidRPr="00A75784">
        <w:rPr>
          <w:color w:val="000000"/>
          <w:sz w:val="22"/>
          <w:szCs w:val="22"/>
        </w:rPr>
        <w:t xml:space="preserve"> </w:t>
      </w:r>
      <w:r w:rsidR="006C4495">
        <w:rPr>
          <w:color w:val="000000"/>
          <w:sz w:val="22"/>
          <w:szCs w:val="22"/>
        </w:rPr>
        <w:t xml:space="preserve">RCC), dávka </w:t>
      </w:r>
      <w:proofErr w:type="spellStart"/>
      <w:r w:rsidR="006C4495">
        <w:rPr>
          <w:color w:val="000000"/>
          <w:sz w:val="22"/>
          <w:szCs w:val="22"/>
        </w:rPr>
        <w:t>S</w:t>
      </w:r>
      <w:r w:rsidRPr="005B7DBA">
        <w:rPr>
          <w:color w:val="000000"/>
          <w:sz w:val="22"/>
          <w:szCs w:val="22"/>
        </w:rPr>
        <w:t>orafenibu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r w:rsidR="006434FC">
        <w:rPr>
          <w:color w:val="000000"/>
          <w:sz w:val="22"/>
          <w:szCs w:val="22"/>
        </w:rPr>
        <w:t>STADA</w:t>
      </w:r>
      <w:r w:rsidR="006C4495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sa má znížiť na dve tablety po 200 mg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jedenkrát denne (pozri časť 4.4). </w:t>
      </w:r>
    </w:p>
    <w:p w:rsidR="006C4495" w:rsidRPr="006C4495" w:rsidRDefault="006C4495" w:rsidP="006C4495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Pediatrická populácia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Bezpečnosť a účinnosť </w:t>
      </w:r>
      <w:proofErr w:type="spellStart"/>
      <w:r w:rsidR="00A75784">
        <w:rPr>
          <w:color w:val="000000"/>
          <w:sz w:val="22"/>
          <w:szCs w:val="22"/>
        </w:rPr>
        <w:t>S</w:t>
      </w:r>
      <w:r w:rsidR="006C4495">
        <w:rPr>
          <w:color w:val="000000"/>
          <w:sz w:val="22"/>
          <w:szCs w:val="22"/>
        </w:rPr>
        <w:t>orafenibu</w:t>
      </w:r>
      <w:proofErr w:type="spellEnd"/>
      <w:r w:rsidR="00A75784">
        <w:rPr>
          <w:color w:val="000000"/>
          <w:sz w:val="22"/>
          <w:szCs w:val="22"/>
        </w:rPr>
        <w:t xml:space="preserve"> STADA</w:t>
      </w:r>
      <w:r w:rsidR="006C4495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>u detí a dospievajúcich vo veku &lt;</w:t>
      </w:r>
      <w:r w:rsidR="00E55411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18 rokov neboli doteraz stanovené. K dispozícii nie sú žiadne údaje. </w:t>
      </w:r>
    </w:p>
    <w:p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Starší pacienti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starších pacientov sa nevyžaduje úprava dávky (pacienti nad 65 rokov). </w:t>
      </w:r>
    </w:p>
    <w:p w:rsidR="006C4495" w:rsidRDefault="006C4495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306747" w:rsidP="005B7DBA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Porucha</w:t>
      </w:r>
      <w:r w:rsidR="005B7DBA" w:rsidRPr="005B7DBA">
        <w:rPr>
          <w:i/>
          <w:iCs/>
          <w:color w:val="000000"/>
          <w:sz w:val="22"/>
          <w:szCs w:val="22"/>
        </w:rPr>
        <w:t xml:space="preserve"> funkcie obličiek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U pacientov s miern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>, stredne závažn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 xml:space="preserve"> alebo závažn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 xml:space="preserve"> </w:t>
      </w:r>
      <w:r w:rsidR="00306747">
        <w:rPr>
          <w:color w:val="000000"/>
          <w:sz w:val="22"/>
          <w:szCs w:val="22"/>
        </w:rPr>
        <w:t>poruchou</w:t>
      </w:r>
      <w:r w:rsidRPr="005B7DBA">
        <w:rPr>
          <w:color w:val="000000"/>
          <w:sz w:val="22"/>
          <w:szCs w:val="22"/>
        </w:rPr>
        <w:t xml:space="preserve"> funkcie obličiek sa nevyžaduje úprava dávky. Nie sú k dispozícií žiadne údaje o pacientoch vyžadujúcich </w:t>
      </w:r>
      <w:r w:rsidR="00E55411">
        <w:rPr>
          <w:color w:val="000000"/>
          <w:sz w:val="22"/>
          <w:szCs w:val="22"/>
        </w:rPr>
        <w:t xml:space="preserve">si </w:t>
      </w:r>
      <w:r w:rsidRPr="005B7DBA">
        <w:rPr>
          <w:color w:val="000000"/>
          <w:sz w:val="22"/>
          <w:szCs w:val="22"/>
        </w:rPr>
        <w:t xml:space="preserve">dialýzu (pozri časť 5.2). </w:t>
      </w:r>
    </w:p>
    <w:p w:rsidR="0048661B" w:rsidRPr="0048661B" w:rsidRDefault="0048661B" w:rsidP="0048661B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s rizikom </w:t>
      </w:r>
      <w:proofErr w:type="spellStart"/>
      <w:r w:rsidRPr="005B7DBA">
        <w:rPr>
          <w:color w:val="000000"/>
          <w:sz w:val="22"/>
          <w:szCs w:val="22"/>
        </w:rPr>
        <w:t>renálnej</w:t>
      </w:r>
      <w:proofErr w:type="spellEnd"/>
      <w:r w:rsidRPr="005B7DBA">
        <w:rPr>
          <w:color w:val="000000"/>
          <w:sz w:val="22"/>
          <w:szCs w:val="22"/>
        </w:rPr>
        <w:t xml:space="preserve"> dysfunkcie sa odporúča monitorovanie rovnováhy tekutín a elektrolytov. </w:t>
      </w:r>
    </w:p>
    <w:p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306747" w:rsidP="005B7DBA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Porucha</w:t>
      </w:r>
      <w:r w:rsidR="005B7DBA" w:rsidRPr="005B7DBA">
        <w:rPr>
          <w:i/>
          <w:iCs/>
          <w:color w:val="000000"/>
          <w:sz w:val="22"/>
          <w:szCs w:val="22"/>
        </w:rPr>
        <w:t xml:space="preserve"> funkcie pečene </w:t>
      </w:r>
    </w:p>
    <w:p w:rsidR="005B7DBA" w:rsidRPr="005B7DBA" w:rsidRDefault="005B7DBA" w:rsidP="00FD72BB">
      <w:pPr>
        <w:pStyle w:val="CM7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s </w:t>
      </w:r>
      <w:proofErr w:type="spellStart"/>
      <w:r w:rsidRPr="005B7DBA">
        <w:rPr>
          <w:color w:val="000000"/>
          <w:sz w:val="22"/>
          <w:szCs w:val="22"/>
        </w:rPr>
        <w:t>Childovou-Pughovou</w:t>
      </w:r>
      <w:proofErr w:type="spellEnd"/>
      <w:r w:rsidRPr="005B7DBA">
        <w:rPr>
          <w:color w:val="000000"/>
          <w:sz w:val="22"/>
          <w:szCs w:val="22"/>
        </w:rPr>
        <w:t xml:space="preserve"> klasifikáciou </w:t>
      </w:r>
      <w:r w:rsidR="00306747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pečene stupeň A alebo B (miern</w:t>
      </w:r>
      <w:r w:rsidR="00A75784">
        <w:rPr>
          <w:color w:val="000000"/>
          <w:sz w:val="22"/>
          <w:szCs w:val="22"/>
        </w:rPr>
        <w:t>a</w:t>
      </w:r>
      <w:r w:rsidRPr="005B7DBA">
        <w:rPr>
          <w:color w:val="000000"/>
          <w:sz w:val="22"/>
          <w:szCs w:val="22"/>
        </w:rPr>
        <w:t xml:space="preserve"> až stredne závažn</w:t>
      </w:r>
      <w:r w:rsidR="00A75784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) sa nevyžaduje úprava dávky. Nie sú k dispozícii žiadne údaje o pacientoch s</w:t>
      </w:r>
      <w:r w:rsidR="00306747">
        <w:rPr>
          <w:color w:val="000000"/>
          <w:sz w:val="22"/>
          <w:szCs w:val="22"/>
        </w:rPr>
        <w:t> </w:t>
      </w:r>
      <w:proofErr w:type="spellStart"/>
      <w:r w:rsidRPr="005B7DBA">
        <w:rPr>
          <w:color w:val="000000"/>
          <w:sz w:val="22"/>
          <w:szCs w:val="22"/>
        </w:rPr>
        <w:t>Childovou-Pughovou</w:t>
      </w:r>
      <w:proofErr w:type="spellEnd"/>
      <w:r w:rsidRPr="005B7DBA">
        <w:rPr>
          <w:color w:val="000000"/>
          <w:sz w:val="22"/>
          <w:szCs w:val="22"/>
        </w:rPr>
        <w:t xml:space="preserve"> klasifikáciou </w:t>
      </w:r>
      <w:r w:rsidR="00306747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pečene stupeň C (závažn</w:t>
      </w:r>
      <w:r w:rsidR="00A75784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) (pozri časti 4.4 a 5.2).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48661B" w:rsidRDefault="005B7DBA" w:rsidP="0048661B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Spôsob podávania </w:t>
      </w:r>
    </w:p>
    <w:p w:rsidR="00E55411" w:rsidRPr="00E55411" w:rsidRDefault="00E55411" w:rsidP="00E55411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 perorálne použitie. </w:t>
      </w:r>
    </w:p>
    <w:p w:rsidR="005B7DBA" w:rsidRDefault="005B7DBA" w:rsidP="005B7DBA">
      <w:pPr>
        <w:pStyle w:val="CM33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sa odporúča podávať bez jedla alebo s</w:t>
      </w:r>
      <w:r w:rsidR="00C846FE">
        <w:rPr>
          <w:color w:val="000000"/>
          <w:sz w:val="22"/>
          <w:szCs w:val="22"/>
        </w:rPr>
        <w:t> </w:t>
      </w:r>
      <w:r w:rsidRPr="005B7DBA">
        <w:rPr>
          <w:color w:val="000000"/>
          <w:sz w:val="22"/>
          <w:szCs w:val="22"/>
        </w:rPr>
        <w:t>jedlami</w:t>
      </w:r>
      <w:r w:rsidR="00C846FE">
        <w:rPr>
          <w:color w:val="000000"/>
          <w:sz w:val="22"/>
          <w:szCs w:val="22"/>
        </w:rPr>
        <w:t xml:space="preserve"> </w:t>
      </w:r>
      <w:r w:rsidR="00C4589A">
        <w:rPr>
          <w:color w:val="000000"/>
          <w:sz w:val="22"/>
          <w:szCs w:val="22"/>
        </w:rPr>
        <w:t xml:space="preserve">s </w:t>
      </w:r>
      <w:r w:rsidR="00C846FE">
        <w:rPr>
          <w:color w:val="000000"/>
          <w:sz w:val="22"/>
          <w:szCs w:val="22"/>
        </w:rPr>
        <w:t>nízkym alebo stredným obsahom tuku</w:t>
      </w:r>
      <w:r w:rsidRPr="005B7DBA">
        <w:rPr>
          <w:color w:val="000000"/>
          <w:sz w:val="22"/>
          <w:szCs w:val="22"/>
        </w:rPr>
        <w:t>. Ak chce pacient požiť jedlo</w:t>
      </w:r>
      <w:r w:rsidR="00C846FE">
        <w:rPr>
          <w:color w:val="000000"/>
          <w:sz w:val="22"/>
          <w:szCs w:val="22"/>
        </w:rPr>
        <w:t xml:space="preserve"> s vysokým obsahom tuku</w:t>
      </w:r>
      <w:r w:rsidRPr="005B7DBA">
        <w:rPr>
          <w:color w:val="000000"/>
          <w:sz w:val="22"/>
          <w:szCs w:val="22"/>
        </w:rPr>
        <w:t xml:space="preserve">, tablety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sa majú užiť najmenej 1 hodinu pred alebo 2 hodiny po jedle. Tablety sa majú zapiť pohárom vody. </w:t>
      </w:r>
    </w:p>
    <w:p w:rsidR="00634A7E" w:rsidRPr="00634A7E" w:rsidRDefault="00634A7E" w:rsidP="00634A7E">
      <w:pPr>
        <w:pStyle w:val="Default"/>
      </w:pPr>
    </w:p>
    <w:p w:rsidR="005B7DBA" w:rsidRDefault="005B7DBA" w:rsidP="000D43B4">
      <w:pPr>
        <w:pStyle w:val="CM32"/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4.3 </w:t>
      </w:r>
      <w:r w:rsidR="000D43B4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Kontraindikácie </w:t>
      </w:r>
    </w:p>
    <w:p w:rsidR="0048661B" w:rsidRPr="0048661B" w:rsidRDefault="0048661B" w:rsidP="0048661B">
      <w:pPr>
        <w:pStyle w:val="Default"/>
      </w:pPr>
    </w:p>
    <w:p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Precitlivenosť na liečivo alebo na ktorúkoľvek z pomocných látok uvedených v časti 6.1.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0D43B4">
      <w:pPr>
        <w:pStyle w:val="CM3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4.4 </w:t>
      </w:r>
      <w:r w:rsidR="000D43B4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Osobitné upozornenia a opatrenia pri používaní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Dermatologické toxicity </w:t>
      </w:r>
    </w:p>
    <w:p w:rsidR="00E55411" w:rsidRPr="00E55411" w:rsidRDefault="00E55411" w:rsidP="00E55411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Kožná reakcia ruka-noha (</w:t>
      </w:r>
      <w:proofErr w:type="spellStart"/>
      <w:r w:rsidRPr="005B7DBA">
        <w:rPr>
          <w:color w:val="000000"/>
          <w:sz w:val="22"/>
          <w:szCs w:val="22"/>
        </w:rPr>
        <w:t>palmárno-plantárna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erytrodyzestézia</w:t>
      </w:r>
      <w:proofErr w:type="spellEnd"/>
      <w:r w:rsidRPr="005B7DBA">
        <w:rPr>
          <w:color w:val="000000"/>
          <w:sz w:val="22"/>
          <w:szCs w:val="22"/>
        </w:rPr>
        <w:t xml:space="preserve">) a vyrážka predstavujú najčastejšie nežiaduce liekové reakcie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>. Vyrážka a kožná reakcia ruka-noha sú podľa kritérií CTC (</w:t>
      </w:r>
      <w:proofErr w:type="spellStart"/>
      <w:r w:rsidRPr="005B7DBA">
        <w:rPr>
          <w:color w:val="000000"/>
          <w:sz w:val="22"/>
          <w:szCs w:val="22"/>
        </w:rPr>
        <w:t>Common</w:t>
      </w:r>
      <w:proofErr w:type="spellEnd"/>
      <w:r w:rsidRPr="005B7DBA">
        <w:rPr>
          <w:color w:val="000000"/>
          <w:sz w:val="22"/>
          <w:szCs w:val="22"/>
        </w:rPr>
        <w:t xml:space="preserve"> Toxicity </w:t>
      </w:r>
      <w:proofErr w:type="spellStart"/>
      <w:r w:rsidRPr="005B7DBA">
        <w:rPr>
          <w:color w:val="000000"/>
          <w:sz w:val="22"/>
          <w:szCs w:val="22"/>
        </w:rPr>
        <w:t>Criteria</w:t>
      </w:r>
      <w:proofErr w:type="spellEnd"/>
      <w:r w:rsidRPr="005B7DBA">
        <w:rPr>
          <w:color w:val="000000"/>
          <w:sz w:val="22"/>
          <w:szCs w:val="22"/>
        </w:rPr>
        <w:t xml:space="preserve">) zvyčajne stupňa 1 a 2 a spravidla </w:t>
      </w:r>
      <w:r w:rsidR="00A75784">
        <w:rPr>
          <w:color w:val="000000"/>
          <w:sz w:val="22"/>
          <w:szCs w:val="22"/>
        </w:rPr>
        <w:t>sa vyskytnú</w:t>
      </w:r>
      <w:r w:rsidRPr="005B7DBA">
        <w:rPr>
          <w:color w:val="000000"/>
          <w:sz w:val="22"/>
          <w:szCs w:val="22"/>
        </w:rPr>
        <w:t xml:space="preserve"> počas prvých šiestich týždňov liečby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. Manažment dermatologických toxicít môže zahŕňať lokálne liečby na zmiernenie príznakov, dočasné prerušenie liečby a/alebo úpravu dávky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, alebo v závažných alebo v pretrvávajúcich prípadoch trvalé </w:t>
      </w:r>
      <w:r w:rsidR="00C846FE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sorafenib</w:t>
      </w:r>
      <w:r w:rsidR="00C846FE">
        <w:rPr>
          <w:color w:val="000000"/>
          <w:sz w:val="22"/>
          <w:szCs w:val="22"/>
        </w:rPr>
        <w:t>om</w:t>
      </w:r>
      <w:proofErr w:type="spellEnd"/>
      <w:r w:rsidRPr="005B7DBA">
        <w:rPr>
          <w:color w:val="000000"/>
          <w:sz w:val="22"/>
          <w:szCs w:val="22"/>
        </w:rPr>
        <w:t xml:space="preserve"> (pozri časť 4.8). </w:t>
      </w:r>
    </w:p>
    <w:p w:rsidR="0048661B" w:rsidRPr="0048661B" w:rsidRDefault="0048661B" w:rsidP="0048661B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Hypertenzia </w:t>
      </w:r>
    </w:p>
    <w:p w:rsidR="00E55411" w:rsidRPr="00E55411" w:rsidRDefault="00E55411" w:rsidP="00E55411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liečených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sa pozoroval zvýšený výskyt </w:t>
      </w:r>
      <w:proofErr w:type="spellStart"/>
      <w:r w:rsidRPr="005B7DBA">
        <w:rPr>
          <w:color w:val="000000"/>
          <w:sz w:val="22"/>
          <w:szCs w:val="22"/>
        </w:rPr>
        <w:t>arteriálnej</w:t>
      </w:r>
      <w:proofErr w:type="spellEnd"/>
      <w:r w:rsidRPr="005B7DBA">
        <w:rPr>
          <w:color w:val="000000"/>
          <w:sz w:val="22"/>
          <w:szCs w:val="22"/>
        </w:rPr>
        <w:t xml:space="preserve"> hypertenzie. Hypertenzia bola zvyčajne mierna až stredne závažná, prejavovala sa v rannom štádiu priebehu liečby a ustúpila po vykonaní bežnej </w:t>
      </w:r>
      <w:proofErr w:type="spellStart"/>
      <w:r w:rsidRPr="005B7DBA">
        <w:rPr>
          <w:color w:val="000000"/>
          <w:sz w:val="22"/>
          <w:szCs w:val="22"/>
        </w:rPr>
        <w:t>antihypertenznej</w:t>
      </w:r>
      <w:proofErr w:type="spellEnd"/>
      <w:r w:rsidRPr="005B7DBA">
        <w:rPr>
          <w:color w:val="000000"/>
          <w:sz w:val="22"/>
          <w:szCs w:val="22"/>
        </w:rPr>
        <w:t xml:space="preserve"> liečby. Pravidelne sa má sledovať krvný tlak a, ak je to potrebné, liečiť podľa bežnej medicínskej praxe. V prípadoch závažnej alebo pretrvávajúcej hypertenzie alebo </w:t>
      </w:r>
      <w:proofErr w:type="spellStart"/>
      <w:r w:rsidRPr="005B7DBA">
        <w:rPr>
          <w:color w:val="000000"/>
          <w:sz w:val="22"/>
          <w:szCs w:val="22"/>
        </w:rPr>
        <w:t>hypertenznej</w:t>
      </w:r>
      <w:proofErr w:type="spellEnd"/>
      <w:r w:rsidRPr="005B7DBA">
        <w:rPr>
          <w:color w:val="000000"/>
          <w:sz w:val="22"/>
          <w:szCs w:val="22"/>
        </w:rPr>
        <w:t xml:space="preserve"> krízy sa napriek začatiu </w:t>
      </w:r>
      <w:proofErr w:type="spellStart"/>
      <w:r w:rsidRPr="005B7DBA">
        <w:rPr>
          <w:color w:val="000000"/>
          <w:sz w:val="22"/>
          <w:szCs w:val="22"/>
        </w:rPr>
        <w:t>antihypertenznej</w:t>
      </w:r>
      <w:proofErr w:type="spellEnd"/>
      <w:r w:rsidRPr="005B7DBA">
        <w:rPr>
          <w:color w:val="000000"/>
          <w:sz w:val="22"/>
          <w:szCs w:val="22"/>
        </w:rPr>
        <w:t xml:space="preserve"> liečby má zvážiť aj trvalé </w:t>
      </w:r>
      <w:r w:rsidR="00CF3E95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sorafenib</w:t>
      </w:r>
      <w:r w:rsidR="00CF3E95">
        <w:rPr>
          <w:color w:val="000000"/>
          <w:sz w:val="22"/>
          <w:szCs w:val="22"/>
        </w:rPr>
        <w:t>om</w:t>
      </w:r>
      <w:proofErr w:type="spellEnd"/>
      <w:r w:rsidRPr="005B7DBA">
        <w:rPr>
          <w:color w:val="000000"/>
          <w:sz w:val="22"/>
          <w:szCs w:val="22"/>
        </w:rPr>
        <w:t xml:space="preserve"> (pozri časť 4.8). </w:t>
      </w:r>
    </w:p>
    <w:p w:rsidR="00E55411" w:rsidRDefault="00E55411" w:rsidP="00E55411">
      <w:pPr>
        <w:pStyle w:val="CM32"/>
        <w:rPr>
          <w:color w:val="000000"/>
          <w:sz w:val="22"/>
          <w:szCs w:val="22"/>
          <w:u w:val="single"/>
        </w:rPr>
      </w:pPr>
    </w:p>
    <w:p w:rsidR="00E55411" w:rsidRPr="00E55411" w:rsidRDefault="00E55411" w:rsidP="00E55411">
      <w:pPr>
        <w:pStyle w:val="Default"/>
        <w:rPr>
          <w:sz w:val="22"/>
          <w:szCs w:val="22"/>
          <w:u w:val="single"/>
        </w:rPr>
      </w:pPr>
      <w:r w:rsidRPr="00E55411">
        <w:rPr>
          <w:sz w:val="22"/>
          <w:szCs w:val="22"/>
          <w:u w:val="single"/>
        </w:rPr>
        <w:lastRenderedPageBreak/>
        <w:t xml:space="preserve">Aneuryzmy a </w:t>
      </w:r>
      <w:proofErr w:type="spellStart"/>
      <w:r w:rsidRPr="00E55411">
        <w:rPr>
          <w:sz w:val="22"/>
          <w:szCs w:val="22"/>
          <w:u w:val="single"/>
        </w:rPr>
        <w:t>arteriálne</w:t>
      </w:r>
      <w:proofErr w:type="spellEnd"/>
      <w:r w:rsidRPr="00E55411">
        <w:rPr>
          <w:sz w:val="22"/>
          <w:szCs w:val="22"/>
          <w:u w:val="single"/>
        </w:rPr>
        <w:t xml:space="preserve"> </w:t>
      </w:r>
      <w:proofErr w:type="spellStart"/>
      <w:r w:rsidRPr="00E55411">
        <w:rPr>
          <w:sz w:val="22"/>
          <w:szCs w:val="22"/>
          <w:u w:val="single"/>
        </w:rPr>
        <w:t>disekcie</w:t>
      </w:r>
      <w:proofErr w:type="spellEnd"/>
    </w:p>
    <w:p w:rsidR="00E55411" w:rsidRPr="00584F78" w:rsidRDefault="00E55411" w:rsidP="00E55411">
      <w:pPr>
        <w:pStyle w:val="Default"/>
        <w:rPr>
          <w:sz w:val="22"/>
          <w:szCs w:val="22"/>
        </w:rPr>
      </w:pPr>
    </w:p>
    <w:p w:rsidR="00E55411" w:rsidRPr="00584F78" w:rsidRDefault="00E55411" w:rsidP="00E55411">
      <w:pPr>
        <w:pStyle w:val="Default"/>
        <w:rPr>
          <w:sz w:val="22"/>
          <w:szCs w:val="22"/>
        </w:rPr>
      </w:pPr>
      <w:r w:rsidRPr="00584F78">
        <w:rPr>
          <w:sz w:val="22"/>
          <w:szCs w:val="22"/>
        </w:rPr>
        <w:t xml:space="preserve">Používanie inhibítorov dráhy </w:t>
      </w:r>
      <w:proofErr w:type="spellStart"/>
      <w:r w:rsidRPr="00584F78">
        <w:rPr>
          <w:sz w:val="22"/>
          <w:szCs w:val="22"/>
        </w:rPr>
        <w:t>vaskulárneho</w:t>
      </w:r>
      <w:proofErr w:type="spellEnd"/>
      <w:r w:rsidRPr="00584F78">
        <w:rPr>
          <w:sz w:val="22"/>
          <w:szCs w:val="22"/>
        </w:rPr>
        <w:t xml:space="preserve"> </w:t>
      </w:r>
      <w:proofErr w:type="spellStart"/>
      <w:r w:rsidRPr="00584F78">
        <w:rPr>
          <w:sz w:val="22"/>
          <w:szCs w:val="22"/>
        </w:rPr>
        <w:t>endotelového</w:t>
      </w:r>
      <w:proofErr w:type="spellEnd"/>
      <w:r w:rsidRPr="00584F78">
        <w:rPr>
          <w:sz w:val="22"/>
          <w:szCs w:val="22"/>
        </w:rPr>
        <w:t xml:space="preserve"> rastového faktora (</w:t>
      </w:r>
      <w:proofErr w:type="spellStart"/>
      <w:r w:rsidRPr="00584F78">
        <w:rPr>
          <w:sz w:val="22"/>
          <w:szCs w:val="22"/>
        </w:rPr>
        <w:t>vascular</w:t>
      </w:r>
      <w:proofErr w:type="spellEnd"/>
      <w:r w:rsidRPr="00584F78">
        <w:rPr>
          <w:sz w:val="22"/>
          <w:szCs w:val="22"/>
        </w:rPr>
        <w:t xml:space="preserve"> </w:t>
      </w:r>
      <w:proofErr w:type="spellStart"/>
      <w:r w:rsidRPr="00584F78">
        <w:rPr>
          <w:sz w:val="22"/>
          <w:szCs w:val="22"/>
        </w:rPr>
        <w:t>endothelial</w:t>
      </w:r>
      <w:proofErr w:type="spellEnd"/>
      <w:r w:rsidRPr="00584F78">
        <w:rPr>
          <w:sz w:val="22"/>
          <w:szCs w:val="22"/>
        </w:rPr>
        <w:t xml:space="preserve"> </w:t>
      </w:r>
      <w:proofErr w:type="spellStart"/>
      <w:r w:rsidRPr="00584F78">
        <w:rPr>
          <w:sz w:val="22"/>
          <w:szCs w:val="22"/>
        </w:rPr>
        <w:t>growth</w:t>
      </w:r>
      <w:proofErr w:type="spellEnd"/>
      <w:r w:rsidRPr="00584F78">
        <w:rPr>
          <w:sz w:val="22"/>
          <w:szCs w:val="22"/>
        </w:rPr>
        <w:t xml:space="preserve"> </w:t>
      </w:r>
      <w:proofErr w:type="spellStart"/>
      <w:r w:rsidRPr="00584F78">
        <w:rPr>
          <w:sz w:val="22"/>
          <w:szCs w:val="22"/>
        </w:rPr>
        <w:t>factor</w:t>
      </w:r>
      <w:proofErr w:type="spellEnd"/>
      <w:r w:rsidRPr="00584F78">
        <w:rPr>
          <w:sz w:val="22"/>
          <w:szCs w:val="22"/>
        </w:rPr>
        <w:t xml:space="preserve">, VEGF) u pacientov s hypertenziou alebo bez hypertenzie môže podporovať tvorbu aneuryziem a/alebo </w:t>
      </w:r>
      <w:proofErr w:type="spellStart"/>
      <w:r w:rsidRPr="00584F78">
        <w:rPr>
          <w:sz w:val="22"/>
          <w:szCs w:val="22"/>
        </w:rPr>
        <w:t>arteriálnych</w:t>
      </w:r>
      <w:proofErr w:type="spellEnd"/>
      <w:r w:rsidRPr="00584F78">
        <w:rPr>
          <w:sz w:val="22"/>
          <w:szCs w:val="22"/>
        </w:rPr>
        <w:t xml:space="preserve"> </w:t>
      </w:r>
      <w:proofErr w:type="spellStart"/>
      <w:r w:rsidRPr="00584F78">
        <w:rPr>
          <w:sz w:val="22"/>
          <w:szCs w:val="22"/>
        </w:rPr>
        <w:t>disekcií</w:t>
      </w:r>
      <w:proofErr w:type="spellEnd"/>
      <w:r w:rsidRPr="00584F78">
        <w:rPr>
          <w:sz w:val="22"/>
          <w:szCs w:val="22"/>
        </w:rPr>
        <w:t xml:space="preserve">. Pred začatím liečby </w:t>
      </w:r>
      <w:proofErr w:type="spellStart"/>
      <w:r w:rsidR="00A75784">
        <w:rPr>
          <w:sz w:val="22"/>
          <w:szCs w:val="22"/>
        </w:rPr>
        <w:t>s</w:t>
      </w:r>
      <w:r w:rsidRPr="00584F78">
        <w:rPr>
          <w:sz w:val="22"/>
          <w:szCs w:val="22"/>
        </w:rPr>
        <w:t>orafenibom</w:t>
      </w:r>
      <w:proofErr w:type="spellEnd"/>
      <w:r w:rsidRPr="00584F78">
        <w:rPr>
          <w:sz w:val="22"/>
          <w:szCs w:val="22"/>
        </w:rPr>
        <w:t xml:space="preserve"> je potrebné toto riziko dôkladne zvážiť u pacientov s rizikovými faktormi, ako je hypertenzia alebo aneuryzma v anamnéze.</w:t>
      </w:r>
    </w:p>
    <w:p w:rsidR="00E55411" w:rsidRDefault="00E55411" w:rsidP="00E55411">
      <w:pPr>
        <w:pStyle w:val="CM32"/>
        <w:rPr>
          <w:color w:val="000000"/>
          <w:sz w:val="22"/>
          <w:szCs w:val="22"/>
          <w:u w:val="single"/>
        </w:rPr>
      </w:pPr>
    </w:p>
    <w:p w:rsidR="00E55411" w:rsidRDefault="00E55411" w:rsidP="00E55411">
      <w:pPr>
        <w:pStyle w:val="CM32"/>
        <w:rPr>
          <w:color w:val="000000"/>
          <w:sz w:val="22"/>
          <w:szCs w:val="22"/>
          <w:u w:val="single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Hypoglykémia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E55411" w:rsidRPr="00E55411" w:rsidRDefault="00E55411" w:rsidP="00E55411">
      <w:pPr>
        <w:pStyle w:val="Default"/>
      </w:pPr>
    </w:p>
    <w:p w:rsidR="00E55411" w:rsidRPr="005B7DBA" w:rsidRDefault="00E55411" w:rsidP="00E55411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Počas liečby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bol hlásený pokles hladiny glukózy v krvi, v niektorých prípadoch s klinickými príznakmi, ktoré si v dôsledku straty vedomia vyžadovali hospitalizáciu. V prípade symptomatickej </w:t>
      </w:r>
      <w:proofErr w:type="spellStart"/>
      <w:r w:rsidRPr="005B7DBA">
        <w:rPr>
          <w:color w:val="000000"/>
          <w:sz w:val="22"/>
          <w:szCs w:val="22"/>
        </w:rPr>
        <w:t>hypoglykémie</w:t>
      </w:r>
      <w:proofErr w:type="spellEnd"/>
      <w:r w:rsidRPr="005B7DBA">
        <w:rPr>
          <w:color w:val="000000"/>
          <w:sz w:val="22"/>
          <w:szCs w:val="22"/>
        </w:rPr>
        <w:t xml:space="preserve"> sa má liečba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dočasne prerušiť. U diabetických pacientov sa má hladina glukózy v krvi pravidelne kontrolovať, aby sa zistilo, či je potrebné upraviť dávku </w:t>
      </w:r>
    </w:p>
    <w:p w:rsidR="00E55411" w:rsidRPr="005B7DBA" w:rsidRDefault="00E55411" w:rsidP="00E55411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antidiabetického</w:t>
      </w:r>
      <w:proofErr w:type="spellEnd"/>
      <w:r w:rsidRPr="005B7DBA">
        <w:rPr>
          <w:color w:val="000000"/>
          <w:sz w:val="22"/>
          <w:szCs w:val="22"/>
        </w:rPr>
        <w:t xml:space="preserve"> lieku.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Hemorágia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E55411" w:rsidRDefault="00E55411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 podaní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sa môže prejaviť zvýšené riziko krvácania. Ak si nejaké krvácanie vyžaduje lekársky zákrok, odporúča sa zvážiť trvalé </w:t>
      </w:r>
      <w:r w:rsidR="00CF3E95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sorafenib</w:t>
      </w:r>
      <w:r w:rsidR="00CF3E95">
        <w:rPr>
          <w:color w:val="000000"/>
          <w:sz w:val="22"/>
          <w:szCs w:val="22"/>
        </w:rPr>
        <w:t>om</w:t>
      </w:r>
      <w:proofErr w:type="spellEnd"/>
      <w:r w:rsidRPr="005B7DBA">
        <w:rPr>
          <w:color w:val="000000"/>
          <w:sz w:val="22"/>
          <w:szCs w:val="22"/>
        </w:rPr>
        <w:t xml:space="preserve">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Srdcová ischémia a/alebo infarkt </w:t>
      </w:r>
    </w:p>
    <w:p w:rsidR="00E55411" w:rsidRDefault="00E55411" w:rsidP="00FD72BB">
      <w:pPr>
        <w:pStyle w:val="CM2"/>
        <w:spacing w:line="240" w:lineRule="auto"/>
        <w:rPr>
          <w:color w:val="000000"/>
          <w:sz w:val="22"/>
          <w:szCs w:val="22"/>
        </w:rPr>
      </w:pPr>
    </w:p>
    <w:p w:rsidR="005B7DBA" w:rsidRPr="00FD72BB" w:rsidRDefault="005B7DBA" w:rsidP="00FD72BB">
      <w:pPr>
        <w:pStyle w:val="CM2"/>
        <w:spacing w:line="240" w:lineRule="auto"/>
        <w:rPr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</w:t>
      </w:r>
      <w:proofErr w:type="spellStart"/>
      <w:r w:rsidRPr="005B7DBA">
        <w:rPr>
          <w:color w:val="000000"/>
          <w:sz w:val="22"/>
          <w:szCs w:val="22"/>
        </w:rPr>
        <w:t>randomizovanom</w:t>
      </w:r>
      <w:proofErr w:type="spellEnd"/>
      <w:r w:rsidRPr="005B7DBA">
        <w:rPr>
          <w:color w:val="000000"/>
          <w:sz w:val="22"/>
          <w:szCs w:val="22"/>
        </w:rPr>
        <w:t>, placebom kontrolovanom, dvojito zaslepenom klinickom skúšaní (</w:t>
      </w:r>
      <w:r w:rsidR="00A75784">
        <w:rPr>
          <w:color w:val="000000"/>
          <w:sz w:val="22"/>
          <w:szCs w:val="22"/>
        </w:rPr>
        <w:t>s</w:t>
      </w:r>
      <w:r w:rsidRPr="005B7DBA">
        <w:rPr>
          <w:color w:val="000000"/>
          <w:sz w:val="22"/>
          <w:szCs w:val="22"/>
        </w:rPr>
        <w:t xml:space="preserve">kúšanie 1, pozri časť 5.1) bol výskyt prípadov srdcovej ischémie/infarktu </w:t>
      </w:r>
      <w:r w:rsidR="00CF3E95">
        <w:rPr>
          <w:color w:val="000000"/>
          <w:sz w:val="22"/>
          <w:szCs w:val="22"/>
        </w:rPr>
        <w:t xml:space="preserve">vyžadujúcich okamžitú liečbu </w:t>
      </w:r>
      <w:r w:rsidRPr="005B7DBA">
        <w:rPr>
          <w:color w:val="000000"/>
          <w:sz w:val="22"/>
          <w:szCs w:val="22"/>
        </w:rPr>
        <w:t xml:space="preserve">vyšší v skupine so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(4,9 %) v porovnaní so skupinou s placebom (0,4 %). V klinickom skúšaní 3 (pozri časť 5.1) bol výskyt prípadov srdcovej ischémie/infarktu</w:t>
      </w:r>
      <w:r w:rsidR="00CF3E95">
        <w:rPr>
          <w:color w:val="000000"/>
          <w:sz w:val="22"/>
          <w:szCs w:val="22"/>
        </w:rPr>
        <w:t xml:space="preserve"> vyžadujúcich okamžitú liečbu</w:t>
      </w:r>
      <w:r w:rsidRPr="005B7DBA">
        <w:rPr>
          <w:color w:val="000000"/>
          <w:sz w:val="22"/>
          <w:szCs w:val="22"/>
        </w:rPr>
        <w:t xml:space="preserve"> 2,7 % u </w:t>
      </w:r>
      <w:r w:rsidRPr="00B35468">
        <w:rPr>
          <w:color w:val="000000"/>
          <w:sz w:val="22"/>
          <w:szCs w:val="22"/>
        </w:rPr>
        <w:t xml:space="preserve">pacientov so </w:t>
      </w:r>
      <w:proofErr w:type="spellStart"/>
      <w:r w:rsidRPr="00B35468">
        <w:rPr>
          <w:color w:val="000000"/>
          <w:sz w:val="22"/>
          <w:szCs w:val="22"/>
        </w:rPr>
        <w:t>sorafenibom</w:t>
      </w:r>
      <w:proofErr w:type="spellEnd"/>
      <w:r w:rsidRPr="00B35468">
        <w:rPr>
          <w:color w:val="000000"/>
          <w:sz w:val="22"/>
          <w:szCs w:val="22"/>
        </w:rPr>
        <w:t xml:space="preserve"> v porovnaní s 1,3 % v skupine s placebom. Z týchto klinických skúšaní boli vylúčení pacienti s nestabilným ochorením koronárnych tepien alebo nedávnym infarktom myokardu. U </w:t>
      </w:r>
      <w:r w:rsidRPr="00FD72BB">
        <w:rPr>
          <w:sz w:val="22"/>
          <w:szCs w:val="22"/>
        </w:rPr>
        <w:t xml:space="preserve">pacientov, u ktorých sa vyvinie srdcová ischémia a/alebo infarkt, sa má zvážiť dočasné alebo trvalé </w:t>
      </w:r>
      <w:r w:rsidR="00B35468">
        <w:rPr>
          <w:sz w:val="22"/>
          <w:szCs w:val="22"/>
        </w:rPr>
        <w:t>ukončenie liečby</w:t>
      </w:r>
      <w:r w:rsidRPr="00FD72BB">
        <w:rPr>
          <w:sz w:val="22"/>
          <w:szCs w:val="22"/>
        </w:rPr>
        <w:t xml:space="preserve"> </w:t>
      </w:r>
      <w:proofErr w:type="spellStart"/>
      <w:r w:rsidRPr="00FD72BB">
        <w:rPr>
          <w:sz w:val="22"/>
          <w:szCs w:val="22"/>
        </w:rPr>
        <w:t>sorafenib</w:t>
      </w:r>
      <w:r w:rsidR="00B35468">
        <w:rPr>
          <w:sz w:val="22"/>
          <w:szCs w:val="22"/>
        </w:rPr>
        <w:t>om</w:t>
      </w:r>
      <w:proofErr w:type="spellEnd"/>
      <w:r w:rsidRPr="00FD72BB">
        <w:rPr>
          <w:sz w:val="22"/>
          <w:szCs w:val="22"/>
        </w:rPr>
        <w:t xml:space="preserve"> (pozri časť 4.8). </w:t>
      </w:r>
    </w:p>
    <w:p w:rsidR="008B5A22" w:rsidRPr="00584F78" w:rsidRDefault="008B5A22" w:rsidP="00584F78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Predĺženie intervalu QT </w:t>
      </w:r>
    </w:p>
    <w:p w:rsidR="00E55411" w:rsidRDefault="00E55411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634A7E" w:rsidRDefault="00B35468" w:rsidP="00634A7E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Bolo preukázané,</w:t>
      </w:r>
      <w:r w:rsidR="005B7DBA" w:rsidRPr="005B7DBA">
        <w:rPr>
          <w:color w:val="000000"/>
          <w:sz w:val="22"/>
          <w:szCs w:val="22"/>
        </w:rPr>
        <w:t xml:space="preserve"> že </w:t>
      </w:r>
      <w:proofErr w:type="spellStart"/>
      <w:r>
        <w:rPr>
          <w:color w:val="000000"/>
          <w:sz w:val="22"/>
          <w:szCs w:val="22"/>
        </w:rPr>
        <w:t>sorafenib</w:t>
      </w:r>
      <w:proofErr w:type="spellEnd"/>
      <w:r>
        <w:rPr>
          <w:color w:val="000000"/>
          <w:sz w:val="22"/>
          <w:szCs w:val="22"/>
        </w:rPr>
        <w:t xml:space="preserve"> </w:t>
      </w:r>
      <w:r w:rsidR="005B7DBA" w:rsidRPr="005B7DBA">
        <w:rPr>
          <w:color w:val="000000"/>
          <w:sz w:val="22"/>
          <w:szCs w:val="22"/>
        </w:rPr>
        <w:t>predlžuje interval QT/</w:t>
      </w:r>
      <w:proofErr w:type="spellStart"/>
      <w:r w:rsidR="005B7DBA" w:rsidRPr="005B7DBA">
        <w:rPr>
          <w:color w:val="000000"/>
          <w:sz w:val="22"/>
          <w:szCs w:val="22"/>
        </w:rPr>
        <w:t>QTc</w:t>
      </w:r>
      <w:proofErr w:type="spellEnd"/>
      <w:r w:rsidR="005B7DBA" w:rsidRPr="005B7DBA">
        <w:rPr>
          <w:color w:val="000000"/>
          <w:sz w:val="22"/>
          <w:szCs w:val="22"/>
        </w:rPr>
        <w:t xml:space="preserve"> (pozri časť 5.1), čo môže viesť k zvýšenému riziku </w:t>
      </w:r>
      <w:proofErr w:type="spellStart"/>
      <w:r w:rsidR="005B7DBA" w:rsidRPr="005B7DBA">
        <w:rPr>
          <w:color w:val="000000"/>
          <w:sz w:val="22"/>
          <w:szCs w:val="22"/>
        </w:rPr>
        <w:t>ventrikulárnych</w:t>
      </w:r>
      <w:proofErr w:type="spellEnd"/>
      <w:r w:rsidR="005B7DBA" w:rsidRPr="005B7DBA">
        <w:rPr>
          <w:color w:val="000000"/>
          <w:sz w:val="22"/>
          <w:szCs w:val="22"/>
        </w:rPr>
        <w:t xml:space="preserve"> </w:t>
      </w:r>
      <w:proofErr w:type="spellStart"/>
      <w:r w:rsidR="005B7DBA" w:rsidRPr="005B7DBA">
        <w:rPr>
          <w:color w:val="000000"/>
          <w:sz w:val="22"/>
          <w:szCs w:val="22"/>
        </w:rPr>
        <w:t>arytmií</w:t>
      </w:r>
      <w:proofErr w:type="spellEnd"/>
      <w:r w:rsidR="005B7DBA" w:rsidRPr="005B7DBA">
        <w:rPr>
          <w:color w:val="000000"/>
          <w:sz w:val="22"/>
          <w:szCs w:val="22"/>
        </w:rPr>
        <w:t xml:space="preserve">. U pacientov, ktorí majú alebo u ktorých sa môže vyvinúť predĺženie </w:t>
      </w:r>
      <w:proofErr w:type="spellStart"/>
      <w:r w:rsidR="005B7DBA" w:rsidRPr="005B7DBA">
        <w:rPr>
          <w:color w:val="000000"/>
          <w:sz w:val="22"/>
          <w:szCs w:val="22"/>
        </w:rPr>
        <w:t>QTc</w:t>
      </w:r>
      <w:proofErr w:type="spellEnd"/>
      <w:r w:rsidR="005B7DBA" w:rsidRPr="005B7DBA">
        <w:rPr>
          <w:color w:val="000000"/>
          <w:sz w:val="22"/>
          <w:szCs w:val="22"/>
        </w:rPr>
        <w:t xml:space="preserve">, ako sú pacienti so syndrómom vrodeného dlhého QT, pacienti liečení vysokou kumulatívnou dávkou </w:t>
      </w:r>
      <w:proofErr w:type="spellStart"/>
      <w:r w:rsidR="005B7DBA" w:rsidRPr="005B7DBA">
        <w:rPr>
          <w:color w:val="000000"/>
          <w:sz w:val="22"/>
          <w:szCs w:val="22"/>
        </w:rPr>
        <w:t>antracyklínov</w:t>
      </w:r>
      <w:proofErr w:type="spellEnd"/>
      <w:r w:rsidR="005B7DBA" w:rsidRPr="005B7DBA">
        <w:rPr>
          <w:color w:val="000000"/>
          <w:sz w:val="22"/>
          <w:szCs w:val="22"/>
        </w:rPr>
        <w:t xml:space="preserve">, pacienti, ktorí užívajú niektoré </w:t>
      </w:r>
      <w:proofErr w:type="spellStart"/>
      <w:r w:rsidR="005B7DBA" w:rsidRPr="005B7DBA">
        <w:rPr>
          <w:color w:val="000000"/>
          <w:sz w:val="22"/>
          <w:szCs w:val="22"/>
        </w:rPr>
        <w:t>antiarytmiká</w:t>
      </w:r>
      <w:proofErr w:type="spellEnd"/>
      <w:r w:rsidR="005B7DBA" w:rsidRPr="005B7DBA">
        <w:rPr>
          <w:color w:val="000000"/>
          <w:sz w:val="22"/>
          <w:szCs w:val="22"/>
        </w:rPr>
        <w:t xml:space="preserve"> alebo iné lieky, ktoré vedú k predĺženiu QT a tí, ktorí majú poruchy elektrolytov, ako sú </w:t>
      </w:r>
      <w:proofErr w:type="spellStart"/>
      <w:r w:rsidR="005B7DBA" w:rsidRPr="005B7DBA">
        <w:rPr>
          <w:color w:val="000000"/>
          <w:sz w:val="22"/>
          <w:szCs w:val="22"/>
        </w:rPr>
        <w:t>hypokaliémia</w:t>
      </w:r>
      <w:proofErr w:type="spellEnd"/>
      <w:r w:rsidR="005B7DBA" w:rsidRPr="005B7DBA">
        <w:rPr>
          <w:color w:val="000000"/>
          <w:sz w:val="22"/>
          <w:szCs w:val="22"/>
        </w:rPr>
        <w:t xml:space="preserve">, </w:t>
      </w:r>
      <w:proofErr w:type="spellStart"/>
      <w:r w:rsidR="005B7DBA" w:rsidRPr="005B7DBA">
        <w:rPr>
          <w:color w:val="000000"/>
          <w:sz w:val="22"/>
          <w:szCs w:val="22"/>
        </w:rPr>
        <w:t>hypokalciémia</w:t>
      </w:r>
      <w:proofErr w:type="spellEnd"/>
      <w:r w:rsidR="005B7DBA" w:rsidRPr="005B7DBA">
        <w:rPr>
          <w:color w:val="000000"/>
          <w:sz w:val="22"/>
          <w:szCs w:val="22"/>
        </w:rPr>
        <w:t xml:space="preserve"> alebo </w:t>
      </w:r>
      <w:proofErr w:type="spellStart"/>
      <w:r w:rsidR="005B7DBA" w:rsidRPr="005B7DBA">
        <w:rPr>
          <w:color w:val="000000"/>
          <w:sz w:val="22"/>
          <w:szCs w:val="22"/>
        </w:rPr>
        <w:t>hypomagneziémia</w:t>
      </w:r>
      <w:proofErr w:type="spellEnd"/>
      <w:r w:rsidR="005B7DBA" w:rsidRPr="005B7DBA">
        <w:rPr>
          <w:color w:val="000000"/>
          <w:sz w:val="22"/>
          <w:szCs w:val="22"/>
        </w:rPr>
        <w:t xml:space="preserve">, používajte </w:t>
      </w:r>
      <w:proofErr w:type="spellStart"/>
      <w:r w:rsidR="005B7DBA" w:rsidRPr="005B7DBA">
        <w:rPr>
          <w:color w:val="000000"/>
          <w:sz w:val="22"/>
          <w:szCs w:val="22"/>
        </w:rPr>
        <w:t>sorafenib</w:t>
      </w:r>
      <w:proofErr w:type="spellEnd"/>
      <w:r w:rsidR="005B7DBA" w:rsidRPr="005B7DBA">
        <w:rPr>
          <w:color w:val="000000"/>
          <w:sz w:val="22"/>
          <w:szCs w:val="22"/>
        </w:rPr>
        <w:t xml:space="preserve"> s opatrnosťou. Ak sa </w:t>
      </w:r>
      <w:proofErr w:type="spellStart"/>
      <w:r w:rsidR="005B7DBA" w:rsidRPr="005B7DBA">
        <w:rPr>
          <w:color w:val="000000"/>
          <w:sz w:val="22"/>
          <w:szCs w:val="22"/>
        </w:rPr>
        <w:t>sorafenib</w:t>
      </w:r>
      <w:proofErr w:type="spellEnd"/>
      <w:r w:rsidR="005B7DBA" w:rsidRPr="005B7DBA">
        <w:rPr>
          <w:color w:val="000000"/>
          <w:sz w:val="22"/>
          <w:szCs w:val="22"/>
        </w:rPr>
        <w:t xml:space="preserve"> používa u týchto pacientov, je potrebné </w:t>
      </w:r>
      <w:r w:rsidR="00C4589A" w:rsidRPr="00C4589A">
        <w:rPr>
          <w:color w:val="000000"/>
          <w:sz w:val="22"/>
          <w:szCs w:val="22"/>
        </w:rPr>
        <w:t xml:space="preserve">počas liečby </w:t>
      </w:r>
      <w:r w:rsidR="005B7DBA" w:rsidRPr="005B7DBA">
        <w:rPr>
          <w:color w:val="000000"/>
          <w:sz w:val="22"/>
          <w:szCs w:val="22"/>
        </w:rPr>
        <w:t>zvážiť pravideln</w:t>
      </w:r>
      <w:r>
        <w:rPr>
          <w:color w:val="000000"/>
          <w:sz w:val="22"/>
          <w:szCs w:val="22"/>
        </w:rPr>
        <w:t>é</w:t>
      </w:r>
      <w:r w:rsidR="005B7DBA" w:rsidRPr="005B7DBA">
        <w:rPr>
          <w:color w:val="000000"/>
          <w:sz w:val="22"/>
          <w:szCs w:val="22"/>
        </w:rPr>
        <w:t xml:space="preserve"> monitor</w:t>
      </w:r>
      <w:r>
        <w:rPr>
          <w:color w:val="000000"/>
          <w:sz w:val="22"/>
          <w:szCs w:val="22"/>
        </w:rPr>
        <w:t>ovanie</w:t>
      </w:r>
      <w:r w:rsidR="005B7DBA" w:rsidRPr="005B7DBA">
        <w:rPr>
          <w:color w:val="000000"/>
          <w:sz w:val="22"/>
          <w:szCs w:val="22"/>
        </w:rPr>
        <w:t xml:space="preserve"> vyhodnocovaním elektrokardiogramu a elektrolytov (horčík, draslík, vápnik).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Gastrointestinálna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perforácia </w:t>
      </w:r>
    </w:p>
    <w:p w:rsidR="00E55411" w:rsidRDefault="00E55411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Gastrointestinálna</w:t>
      </w:r>
      <w:proofErr w:type="spellEnd"/>
      <w:r w:rsidRPr="005B7DBA">
        <w:rPr>
          <w:color w:val="000000"/>
          <w:sz w:val="22"/>
          <w:szCs w:val="22"/>
        </w:rPr>
        <w:t xml:space="preserve"> perforácia je menej častá príhoda a hlásila sa u menej ako 1 % pacientov užívajúcich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. V niektorých prípadoch nesúvisela so zjavným </w:t>
      </w:r>
      <w:proofErr w:type="spellStart"/>
      <w:r w:rsidRPr="005B7DBA">
        <w:rPr>
          <w:color w:val="000000"/>
          <w:sz w:val="22"/>
          <w:szCs w:val="22"/>
        </w:rPr>
        <w:t>intraabdominálnym</w:t>
      </w:r>
      <w:proofErr w:type="spellEnd"/>
      <w:r w:rsidRPr="005B7DBA">
        <w:rPr>
          <w:color w:val="000000"/>
          <w:sz w:val="22"/>
          <w:szCs w:val="22"/>
        </w:rPr>
        <w:t xml:space="preserve"> nádorom. Liečba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sa musí ukončiť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B35468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Porucha</w:t>
      </w:r>
      <w:r w:rsidR="005B7DBA" w:rsidRPr="005B7DBA">
        <w:rPr>
          <w:color w:val="000000"/>
          <w:sz w:val="22"/>
          <w:szCs w:val="22"/>
          <w:u w:val="single"/>
        </w:rPr>
        <w:t xml:space="preserve"> funkcie pečene </w:t>
      </w:r>
    </w:p>
    <w:p w:rsidR="00E55411" w:rsidRDefault="00E55411" w:rsidP="005B7DBA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sú k dispozícii žiadne údaje o pacientoch s </w:t>
      </w:r>
      <w:proofErr w:type="spellStart"/>
      <w:r w:rsidRPr="005B7DBA">
        <w:rPr>
          <w:color w:val="000000"/>
          <w:sz w:val="22"/>
          <w:szCs w:val="22"/>
        </w:rPr>
        <w:t>Childovou-Pughovou</w:t>
      </w:r>
      <w:proofErr w:type="spellEnd"/>
      <w:r w:rsidRPr="005B7DBA">
        <w:rPr>
          <w:color w:val="000000"/>
          <w:sz w:val="22"/>
          <w:szCs w:val="22"/>
        </w:rPr>
        <w:t xml:space="preserve"> klasifikáciou </w:t>
      </w:r>
      <w:r w:rsidR="00B35468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pečene stupeň C (závažné). Keďže sa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vylučuje predovšetkým prostredníctvom pečene, u pacientov so závažn</w:t>
      </w:r>
      <w:r w:rsidR="00B35468">
        <w:rPr>
          <w:color w:val="000000"/>
          <w:sz w:val="22"/>
          <w:szCs w:val="22"/>
        </w:rPr>
        <w:t>ou poruchou</w:t>
      </w:r>
      <w:r w:rsidRPr="005B7DBA">
        <w:rPr>
          <w:color w:val="000000"/>
          <w:sz w:val="22"/>
          <w:szCs w:val="22"/>
        </w:rPr>
        <w:t xml:space="preserve"> funkcie pečene môže byť zvýšená expozícia (pozri časti 4.4 a 5.2).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Súbežné podávanie </w:t>
      </w:r>
      <w:proofErr w:type="spellStart"/>
      <w:r w:rsidRPr="005B7DBA">
        <w:rPr>
          <w:color w:val="000000"/>
          <w:sz w:val="22"/>
          <w:szCs w:val="22"/>
          <w:u w:val="single"/>
        </w:rPr>
        <w:t>warfarínu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E55411" w:rsidRDefault="00E55411" w:rsidP="005B7DBA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niektorých pacientov užívajúcich </w:t>
      </w:r>
      <w:proofErr w:type="spellStart"/>
      <w:r w:rsidRPr="005B7DBA">
        <w:rPr>
          <w:color w:val="000000"/>
          <w:sz w:val="22"/>
          <w:szCs w:val="22"/>
        </w:rPr>
        <w:t>warfarín</w:t>
      </w:r>
      <w:proofErr w:type="spellEnd"/>
      <w:r w:rsidRPr="005B7DBA">
        <w:rPr>
          <w:color w:val="000000"/>
          <w:sz w:val="22"/>
          <w:szCs w:val="22"/>
        </w:rPr>
        <w:t xml:space="preserve"> počas liečby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sa hlásili zriedkavé prípady </w:t>
      </w:r>
      <w:r w:rsidRPr="005B7DBA">
        <w:rPr>
          <w:color w:val="000000"/>
          <w:sz w:val="22"/>
          <w:szCs w:val="22"/>
        </w:rPr>
        <w:lastRenderedPageBreak/>
        <w:t xml:space="preserve">krvácania alebo zvýšenia medzinárodného normalizovaného pomeru (INR). Pacienti súbežne užívajúci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warfarín</w:t>
      </w:r>
      <w:proofErr w:type="spellEnd"/>
      <w:r w:rsidRPr="005B7DBA">
        <w:rPr>
          <w:color w:val="000000"/>
          <w:sz w:val="22"/>
          <w:szCs w:val="22"/>
        </w:rPr>
        <w:t xml:space="preserve"> alebo </w:t>
      </w:r>
      <w:proofErr w:type="spellStart"/>
      <w:r w:rsidRPr="005B7DBA">
        <w:rPr>
          <w:color w:val="000000"/>
          <w:sz w:val="22"/>
          <w:szCs w:val="22"/>
        </w:rPr>
        <w:t>fenprokumón</w:t>
      </w:r>
      <w:proofErr w:type="spellEnd"/>
      <w:r w:rsidRPr="005B7DBA">
        <w:rPr>
          <w:color w:val="000000"/>
          <w:sz w:val="22"/>
          <w:szCs w:val="22"/>
        </w:rPr>
        <w:t xml:space="preserve"> majú byť pravidelne sledovaní </w:t>
      </w:r>
      <w:r w:rsidR="00B35468">
        <w:rPr>
          <w:color w:val="000000"/>
          <w:sz w:val="22"/>
          <w:szCs w:val="22"/>
        </w:rPr>
        <w:t>kvôli</w:t>
      </w:r>
      <w:r w:rsidRPr="005B7DBA">
        <w:rPr>
          <w:color w:val="000000"/>
          <w:sz w:val="22"/>
          <w:szCs w:val="22"/>
        </w:rPr>
        <w:t xml:space="preserve"> zmen</w:t>
      </w:r>
      <w:r w:rsidR="00B35468">
        <w:rPr>
          <w:color w:val="000000"/>
          <w:sz w:val="22"/>
          <w:szCs w:val="22"/>
        </w:rPr>
        <w:t>ám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protrombínového</w:t>
      </w:r>
      <w:proofErr w:type="spellEnd"/>
      <w:r w:rsidRPr="005B7DBA">
        <w:rPr>
          <w:color w:val="000000"/>
          <w:sz w:val="22"/>
          <w:szCs w:val="22"/>
        </w:rPr>
        <w:t xml:space="preserve"> času, INR alebo epizód</w:t>
      </w:r>
      <w:r w:rsidR="00E253C0">
        <w:rPr>
          <w:color w:val="000000"/>
          <w:sz w:val="22"/>
          <w:szCs w:val="22"/>
        </w:rPr>
        <w:t>am</w:t>
      </w:r>
      <w:r w:rsidRPr="005B7DBA">
        <w:rPr>
          <w:color w:val="000000"/>
          <w:sz w:val="22"/>
          <w:szCs w:val="22"/>
        </w:rPr>
        <w:t xml:space="preserve"> klinického krvácania (pozri časti 4.5 a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2C4068">
        <w:rPr>
          <w:color w:val="000000"/>
          <w:sz w:val="22"/>
          <w:szCs w:val="22"/>
          <w:u w:val="single"/>
        </w:rPr>
        <w:t>Ko</w:t>
      </w:r>
      <w:r w:rsidRPr="005B7DBA">
        <w:rPr>
          <w:color w:val="000000"/>
          <w:sz w:val="22"/>
          <w:szCs w:val="22"/>
          <w:u w:val="single"/>
        </w:rPr>
        <w:t xml:space="preserve">mplikácie pri hojení rán </w:t>
      </w:r>
    </w:p>
    <w:p w:rsidR="00E55411" w:rsidRDefault="00E55411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Nevykonali sa žiadne formálne klinické skúšania o účinku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na hojenie rán. Z </w:t>
      </w:r>
      <w:r w:rsidR="002C4068">
        <w:rPr>
          <w:color w:val="000000"/>
          <w:sz w:val="22"/>
          <w:szCs w:val="22"/>
        </w:rPr>
        <w:t>preventívnych</w:t>
      </w:r>
      <w:r w:rsidRPr="005B7DBA">
        <w:rPr>
          <w:color w:val="000000"/>
          <w:sz w:val="22"/>
          <w:szCs w:val="22"/>
        </w:rPr>
        <w:t xml:space="preserve"> dôvodov sa odporúča dočasné prerušenie liečby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u pacientov podrobujúcim sa veľkým chirurgickým </w:t>
      </w:r>
      <w:r w:rsidR="00A75784">
        <w:rPr>
          <w:color w:val="000000"/>
          <w:sz w:val="22"/>
          <w:szCs w:val="22"/>
        </w:rPr>
        <w:t>zákrokom</w:t>
      </w:r>
      <w:r w:rsidRPr="005B7DBA">
        <w:rPr>
          <w:color w:val="000000"/>
          <w:sz w:val="22"/>
          <w:szCs w:val="22"/>
        </w:rPr>
        <w:t xml:space="preserve">. Z hľadiska načasovania obnovenia liečby po veľkom chirurgickom </w:t>
      </w:r>
      <w:r w:rsidR="00A75784">
        <w:rPr>
          <w:color w:val="000000"/>
          <w:sz w:val="22"/>
          <w:szCs w:val="22"/>
        </w:rPr>
        <w:t>zákroku</w:t>
      </w:r>
      <w:r w:rsidRPr="005B7DBA">
        <w:rPr>
          <w:color w:val="000000"/>
          <w:sz w:val="22"/>
          <w:szCs w:val="22"/>
        </w:rPr>
        <w:t xml:space="preserve"> sú obmedzené klinické skúsenosti. Rozhodnutie o obnovení liečby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po veľkom chirurgickom </w:t>
      </w:r>
      <w:r w:rsidR="00A75784">
        <w:rPr>
          <w:color w:val="000000"/>
          <w:sz w:val="22"/>
          <w:szCs w:val="22"/>
        </w:rPr>
        <w:t>zákroku</w:t>
      </w:r>
      <w:r w:rsidRPr="005B7DBA">
        <w:rPr>
          <w:color w:val="000000"/>
          <w:sz w:val="22"/>
          <w:szCs w:val="22"/>
        </w:rPr>
        <w:t xml:space="preserve"> má preto vychádzať z klinického </w:t>
      </w:r>
      <w:r w:rsidR="00A75784">
        <w:rPr>
          <w:color w:val="000000"/>
          <w:sz w:val="22"/>
          <w:szCs w:val="22"/>
        </w:rPr>
        <w:t>posúdenia adekvátneho</w:t>
      </w:r>
      <w:r w:rsidR="00AF1898">
        <w:rPr>
          <w:color w:val="000000"/>
          <w:sz w:val="22"/>
          <w:szCs w:val="22"/>
        </w:rPr>
        <w:t xml:space="preserve"> hojenia</w:t>
      </w:r>
      <w:r w:rsidRPr="005B7DBA">
        <w:rPr>
          <w:color w:val="000000"/>
          <w:sz w:val="22"/>
          <w:szCs w:val="22"/>
        </w:rPr>
        <w:t xml:space="preserve"> rán.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Starší pacienti </w:t>
      </w:r>
    </w:p>
    <w:p w:rsidR="00E55411" w:rsidRDefault="00E55411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Hlásili sa prípady zlyhania obličiek. Má sa zvážiť sledovanie funkcie obličiek.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Liekové interakcie </w:t>
      </w:r>
    </w:p>
    <w:p w:rsidR="00E55411" w:rsidRDefault="00E55411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Opatrnosť sa odporúča pri podávaní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</w:t>
      </w:r>
      <w:r w:rsidR="0048661B">
        <w:rPr>
          <w:color w:val="000000"/>
          <w:sz w:val="22"/>
          <w:szCs w:val="22"/>
        </w:rPr>
        <w:t xml:space="preserve"> liečivami</w:t>
      </w:r>
      <w:r w:rsidRPr="005B7DBA">
        <w:rPr>
          <w:color w:val="000000"/>
          <w:sz w:val="22"/>
          <w:szCs w:val="22"/>
        </w:rPr>
        <w:t xml:space="preserve">, ktoré sa metabolizujú/vylučujú prevažne prostredníctvom UGT1A1 (napr. </w:t>
      </w:r>
      <w:proofErr w:type="spellStart"/>
      <w:r w:rsidRPr="005B7DBA">
        <w:rPr>
          <w:color w:val="000000"/>
          <w:sz w:val="22"/>
          <w:szCs w:val="22"/>
        </w:rPr>
        <w:t>irinotek</w:t>
      </w:r>
      <w:r w:rsidR="00AF1898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n</w:t>
      </w:r>
      <w:proofErr w:type="spellEnd"/>
      <w:r w:rsidRPr="005B7DBA">
        <w:rPr>
          <w:color w:val="000000"/>
          <w:sz w:val="22"/>
          <w:szCs w:val="22"/>
        </w:rPr>
        <w:t xml:space="preserve">) alebo UGT1A9 dráhami (pozri časť 4.5). </w:t>
      </w:r>
    </w:p>
    <w:p w:rsidR="0048661B" w:rsidRPr="0048661B" w:rsidRDefault="0048661B" w:rsidP="0048661B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Opatrnosť sa odporúča pri súbežnom podávaní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 </w:t>
      </w:r>
      <w:proofErr w:type="spellStart"/>
      <w:r w:rsidRPr="005B7DBA">
        <w:rPr>
          <w:color w:val="000000"/>
          <w:sz w:val="22"/>
          <w:szCs w:val="22"/>
        </w:rPr>
        <w:t>docetaxelom</w:t>
      </w:r>
      <w:proofErr w:type="spellEnd"/>
      <w:r w:rsidRPr="005B7DBA">
        <w:rPr>
          <w:color w:val="000000"/>
          <w:sz w:val="22"/>
          <w:szCs w:val="22"/>
        </w:rPr>
        <w:t xml:space="preserve"> (pozri časť 4.5). </w:t>
      </w:r>
    </w:p>
    <w:p w:rsidR="0048661B" w:rsidRPr="0048661B" w:rsidRDefault="0048661B" w:rsidP="0048661B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Súbežné podávanie </w:t>
      </w:r>
      <w:proofErr w:type="spellStart"/>
      <w:r w:rsidRPr="005B7DBA">
        <w:rPr>
          <w:color w:val="000000"/>
          <w:sz w:val="22"/>
          <w:szCs w:val="22"/>
        </w:rPr>
        <w:t>neomycínu</w:t>
      </w:r>
      <w:proofErr w:type="spellEnd"/>
      <w:r w:rsidRPr="005B7DBA">
        <w:rPr>
          <w:color w:val="000000"/>
          <w:sz w:val="22"/>
          <w:szCs w:val="22"/>
        </w:rPr>
        <w:t xml:space="preserve"> alebo iných antibiotík, ktoré vyvolávajú významné ekologické poruchy </w:t>
      </w:r>
      <w:proofErr w:type="spellStart"/>
      <w:r w:rsidRPr="005B7DBA">
        <w:rPr>
          <w:color w:val="000000"/>
          <w:sz w:val="22"/>
          <w:szCs w:val="22"/>
        </w:rPr>
        <w:t>gastrointestinálnej</w:t>
      </w:r>
      <w:proofErr w:type="spellEnd"/>
      <w:r w:rsidRPr="005B7DBA">
        <w:rPr>
          <w:color w:val="000000"/>
          <w:sz w:val="22"/>
          <w:szCs w:val="22"/>
        </w:rPr>
        <w:t xml:space="preserve"> mikroflóry môžu viesť k zníženiu biologickej dostupnosti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(pozri časť 4.5). Pred začatím lieč</w:t>
      </w:r>
      <w:r w:rsidR="00AF1898">
        <w:rPr>
          <w:color w:val="000000"/>
          <w:sz w:val="22"/>
          <w:szCs w:val="22"/>
        </w:rPr>
        <w:t>by</w:t>
      </w:r>
      <w:r w:rsidRPr="005B7DBA">
        <w:rPr>
          <w:color w:val="000000"/>
          <w:sz w:val="22"/>
          <w:szCs w:val="22"/>
        </w:rPr>
        <w:t xml:space="preserve"> antibiotikami sa má zvážiť riziko znížených plazmatických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koncentrácií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48661B" w:rsidRPr="0048661B" w:rsidRDefault="0048661B" w:rsidP="0048661B">
      <w:pPr>
        <w:pStyle w:val="Default"/>
      </w:pPr>
    </w:p>
    <w:p w:rsidR="00634A7E" w:rsidRDefault="005B7DBA" w:rsidP="00634A7E">
      <w:pPr>
        <w:pStyle w:val="CM2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Vyššia mortalita sa pozorovala u pacientov so </w:t>
      </w:r>
      <w:proofErr w:type="spellStart"/>
      <w:r w:rsidRPr="005B7DBA">
        <w:rPr>
          <w:color w:val="000000"/>
          <w:sz w:val="22"/>
          <w:szCs w:val="22"/>
        </w:rPr>
        <w:t>skvam</w:t>
      </w:r>
      <w:r w:rsidR="00A75784">
        <w:rPr>
          <w:color w:val="000000"/>
          <w:sz w:val="22"/>
          <w:szCs w:val="22"/>
        </w:rPr>
        <w:t>ocelulárnym</w:t>
      </w:r>
      <w:proofErr w:type="spellEnd"/>
      <w:r w:rsidRPr="005B7DBA">
        <w:rPr>
          <w:color w:val="000000"/>
          <w:sz w:val="22"/>
          <w:szCs w:val="22"/>
        </w:rPr>
        <w:t xml:space="preserve"> karcinómom pľúc, ktorí boli liečení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v kombinácii s chemoterapiou na báze platiny. V dvoch </w:t>
      </w:r>
      <w:proofErr w:type="spellStart"/>
      <w:r w:rsidRPr="005B7DBA">
        <w:rPr>
          <w:color w:val="000000"/>
          <w:sz w:val="22"/>
          <w:szCs w:val="22"/>
        </w:rPr>
        <w:t>randomizovaných</w:t>
      </w:r>
      <w:proofErr w:type="spellEnd"/>
      <w:r w:rsidRPr="005B7DBA">
        <w:rPr>
          <w:color w:val="000000"/>
          <w:sz w:val="22"/>
          <w:szCs w:val="22"/>
        </w:rPr>
        <w:t xml:space="preserve"> skúšaniach, ktoré sledovali pacientov s nemalobunkovým karcinómom pľúc</w:t>
      </w:r>
      <w:r w:rsidR="00A0042A">
        <w:rPr>
          <w:color w:val="000000"/>
          <w:sz w:val="22"/>
          <w:szCs w:val="22"/>
        </w:rPr>
        <w:t>, bol v podskupine pacientov so </w:t>
      </w:r>
      <w:proofErr w:type="spellStart"/>
      <w:r w:rsidR="00A0042A">
        <w:rPr>
          <w:color w:val="000000"/>
          <w:sz w:val="22"/>
          <w:szCs w:val="22"/>
        </w:rPr>
        <w:t>skvam</w:t>
      </w:r>
      <w:r w:rsidR="00A75784">
        <w:rPr>
          <w:color w:val="000000"/>
          <w:sz w:val="22"/>
          <w:szCs w:val="22"/>
        </w:rPr>
        <w:t>ocelulárnym</w:t>
      </w:r>
      <w:proofErr w:type="spellEnd"/>
      <w:r w:rsidR="00A0042A">
        <w:rPr>
          <w:color w:val="000000"/>
          <w:sz w:val="22"/>
          <w:szCs w:val="22"/>
        </w:rPr>
        <w:t xml:space="preserve"> karcinómom</w:t>
      </w:r>
      <w:r w:rsidRPr="005B7DBA">
        <w:rPr>
          <w:color w:val="000000"/>
          <w:sz w:val="22"/>
          <w:szCs w:val="22"/>
        </w:rPr>
        <w:t xml:space="preserve"> liečených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ako prídavnou liečbou k </w:t>
      </w:r>
      <w:proofErr w:type="spellStart"/>
      <w:r w:rsidRPr="005B7DBA">
        <w:rPr>
          <w:color w:val="000000"/>
          <w:sz w:val="22"/>
          <w:szCs w:val="22"/>
        </w:rPr>
        <w:t>paklitaxelu</w:t>
      </w:r>
      <w:proofErr w:type="spellEnd"/>
      <w:r w:rsidRPr="005B7DBA">
        <w:rPr>
          <w:color w:val="000000"/>
          <w:sz w:val="22"/>
          <w:szCs w:val="22"/>
        </w:rPr>
        <w:t>/</w:t>
      </w:r>
      <w:proofErr w:type="spellStart"/>
      <w:r w:rsidRPr="005B7DBA">
        <w:rPr>
          <w:color w:val="000000"/>
          <w:sz w:val="22"/>
          <w:szCs w:val="22"/>
        </w:rPr>
        <w:t>karboplatine</w:t>
      </w:r>
      <w:proofErr w:type="spellEnd"/>
      <w:r w:rsidR="00A0042A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zistený HR (pomer rizika) pre celkové prežívanie 1,81 (95% </w:t>
      </w:r>
      <w:r w:rsidRPr="000D43B4">
        <w:rPr>
          <w:color w:val="000000"/>
          <w:sz w:val="22"/>
          <w:szCs w:val="22"/>
        </w:rPr>
        <w:t>CI</w:t>
      </w:r>
      <w:r w:rsidRPr="005B7DBA">
        <w:rPr>
          <w:color w:val="000000"/>
          <w:sz w:val="22"/>
          <w:szCs w:val="22"/>
        </w:rPr>
        <w:t xml:space="preserve"> 1,19; 2,74) a u pacientov liečených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ako prídavnou liečbou ku </w:t>
      </w:r>
      <w:proofErr w:type="spellStart"/>
      <w:r w:rsidRPr="005B7DBA">
        <w:rPr>
          <w:color w:val="000000"/>
          <w:sz w:val="22"/>
          <w:szCs w:val="22"/>
        </w:rPr>
        <w:t>gemcitabínu</w:t>
      </w:r>
      <w:proofErr w:type="spellEnd"/>
      <w:r w:rsidRPr="005B7DBA">
        <w:rPr>
          <w:color w:val="000000"/>
          <w:sz w:val="22"/>
          <w:szCs w:val="22"/>
        </w:rPr>
        <w:t>/</w:t>
      </w:r>
      <w:proofErr w:type="spellStart"/>
      <w:r w:rsidRPr="005B7DBA">
        <w:rPr>
          <w:color w:val="000000"/>
          <w:sz w:val="22"/>
          <w:szCs w:val="22"/>
        </w:rPr>
        <w:t>cisplatine</w:t>
      </w:r>
      <w:proofErr w:type="spellEnd"/>
      <w:r w:rsidRPr="005B7DBA">
        <w:rPr>
          <w:color w:val="000000"/>
          <w:sz w:val="22"/>
          <w:szCs w:val="22"/>
        </w:rPr>
        <w:t xml:space="preserve"> 1,22 (95% CI 0,82; 1,80). Dominanciu nemala jedna príčina smrti, ale u pacientov liečených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ako prídavnou liečbou chemoterapie na báze platiny, bol pozorovaný vyšší výskyt respiračného zlyhania, </w:t>
      </w:r>
      <w:proofErr w:type="spellStart"/>
      <w:r w:rsidRPr="005B7DBA">
        <w:rPr>
          <w:color w:val="000000"/>
          <w:sz w:val="22"/>
          <w:szCs w:val="22"/>
        </w:rPr>
        <w:t>hemoragických</w:t>
      </w:r>
      <w:proofErr w:type="spellEnd"/>
      <w:r w:rsidRPr="005B7DBA">
        <w:rPr>
          <w:color w:val="000000"/>
          <w:sz w:val="22"/>
          <w:szCs w:val="22"/>
        </w:rPr>
        <w:t xml:space="preserve"> a infekčných nežiaducich udalostí. </w:t>
      </w:r>
    </w:p>
    <w:p w:rsidR="00634A7E" w:rsidRDefault="00634A7E" w:rsidP="00634A7E">
      <w:pPr>
        <w:pStyle w:val="CM2"/>
        <w:spacing w:line="240" w:lineRule="auto"/>
        <w:rPr>
          <w:color w:val="000000"/>
          <w:sz w:val="22"/>
          <w:szCs w:val="22"/>
        </w:rPr>
      </w:pPr>
    </w:p>
    <w:p w:rsidR="005B7DBA" w:rsidRPr="00A0042A" w:rsidRDefault="005B7DBA" w:rsidP="00634A7E">
      <w:pPr>
        <w:pStyle w:val="CM2"/>
        <w:spacing w:line="240" w:lineRule="auto"/>
        <w:rPr>
          <w:color w:val="000000"/>
          <w:sz w:val="22"/>
          <w:szCs w:val="22"/>
          <w:u w:val="single"/>
        </w:rPr>
      </w:pPr>
      <w:r w:rsidRPr="00A0042A">
        <w:rPr>
          <w:color w:val="000000"/>
          <w:sz w:val="22"/>
          <w:szCs w:val="22"/>
          <w:u w:val="single"/>
        </w:rPr>
        <w:t xml:space="preserve">Upozornenia špecifické pre jednotlivé ochorenia </w:t>
      </w:r>
    </w:p>
    <w:p w:rsidR="00A0042A" w:rsidRDefault="00A0042A" w:rsidP="005B7DBA">
      <w:pPr>
        <w:pStyle w:val="Default"/>
        <w:rPr>
          <w:i/>
          <w:iCs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  <w:u w:val="single"/>
        </w:rPr>
        <w:t xml:space="preserve">Karcinóm </w:t>
      </w:r>
      <w:proofErr w:type="spellStart"/>
      <w:r w:rsidRPr="005B7DBA">
        <w:rPr>
          <w:i/>
          <w:iCs/>
          <w:color w:val="000000"/>
          <w:sz w:val="22"/>
          <w:szCs w:val="22"/>
          <w:u w:val="single"/>
        </w:rPr>
        <w:t>renálnych</w:t>
      </w:r>
      <w:proofErr w:type="spellEnd"/>
      <w:r w:rsidRPr="005B7DBA">
        <w:rPr>
          <w:i/>
          <w:iCs/>
          <w:color w:val="000000"/>
          <w:sz w:val="22"/>
          <w:szCs w:val="22"/>
          <w:u w:val="single"/>
        </w:rPr>
        <w:t xml:space="preserve"> buniek </w:t>
      </w:r>
    </w:p>
    <w:p w:rsidR="00A75784" w:rsidRDefault="00A75784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Vysokorizikoví pacienti, podľa prognostickej skupiny MSKCC (</w:t>
      </w:r>
      <w:proofErr w:type="spellStart"/>
      <w:r w:rsidRPr="005B7DBA">
        <w:rPr>
          <w:color w:val="000000"/>
          <w:sz w:val="22"/>
          <w:szCs w:val="22"/>
        </w:rPr>
        <w:t>Memorial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Sloan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Kettering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Cancer</w:t>
      </w:r>
      <w:proofErr w:type="spellEnd"/>
      <w:r w:rsidRPr="005B7DBA">
        <w:rPr>
          <w:color w:val="000000"/>
          <w:sz w:val="22"/>
          <w:szCs w:val="22"/>
        </w:rPr>
        <w:t xml:space="preserve"> Center), neboli zahrnutí do tretej fázy klinického skúšania pri karcinóme </w:t>
      </w:r>
      <w:proofErr w:type="spellStart"/>
      <w:r w:rsidRPr="005B7DBA">
        <w:rPr>
          <w:color w:val="000000"/>
          <w:sz w:val="22"/>
          <w:szCs w:val="22"/>
        </w:rPr>
        <w:t>renálnych</w:t>
      </w:r>
      <w:proofErr w:type="spellEnd"/>
      <w:r w:rsidRPr="005B7DBA">
        <w:rPr>
          <w:color w:val="000000"/>
          <w:sz w:val="22"/>
          <w:szCs w:val="22"/>
        </w:rPr>
        <w:t xml:space="preserve"> buniek (pozri </w:t>
      </w:r>
      <w:r w:rsidR="00A75784">
        <w:rPr>
          <w:color w:val="000000"/>
          <w:sz w:val="22"/>
          <w:szCs w:val="22"/>
        </w:rPr>
        <w:t>s</w:t>
      </w:r>
      <w:r w:rsidRPr="005B7DBA">
        <w:rPr>
          <w:color w:val="000000"/>
          <w:sz w:val="22"/>
          <w:szCs w:val="22"/>
        </w:rPr>
        <w:t xml:space="preserve">kúšanie 1 v časti 5.1) a u týchto pacientov sa nehodnotil pomer prínosu a rizika liečby.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Informácie o pomocných látkach </w:t>
      </w:r>
    </w:p>
    <w:p w:rsidR="000E6F1D" w:rsidRDefault="000E6F1D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Tento liek obsahuje menej ako 1 mmol sodíka (23 mg) v </w:t>
      </w:r>
      <w:r w:rsidR="00A0042A">
        <w:rPr>
          <w:color w:val="000000"/>
          <w:sz w:val="22"/>
          <w:szCs w:val="22"/>
        </w:rPr>
        <w:t>tablete</w:t>
      </w:r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t.j</w:t>
      </w:r>
      <w:proofErr w:type="spellEnd"/>
      <w:r w:rsidRPr="005B7DBA">
        <w:rPr>
          <w:color w:val="000000"/>
          <w:sz w:val="22"/>
          <w:szCs w:val="22"/>
        </w:rPr>
        <w:t xml:space="preserve">. v podstate zanedbateľné množstvo sodíka. </w:t>
      </w:r>
    </w:p>
    <w:p w:rsidR="00634A7E" w:rsidRPr="00634A7E" w:rsidRDefault="00634A7E" w:rsidP="00634A7E">
      <w:pPr>
        <w:pStyle w:val="Default"/>
      </w:pPr>
    </w:p>
    <w:p w:rsidR="00A0042A" w:rsidRDefault="005B7DBA" w:rsidP="00A0042A">
      <w:pPr>
        <w:pStyle w:val="CM32"/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4.5 </w:t>
      </w:r>
      <w:r w:rsidR="00A0042A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>Liekové a iné interakcie</w:t>
      </w:r>
    </w:p>
    <w:p w:rsidR="005B7DBA" w:rsidRPr="005B7DBA" w:rsidRDefault="005B7DBA" w:rsidP="00A0042A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 </w:t>
      </w: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Induktory enzýmov metabolizmu </w:t>
      </w:r>
    </w:p>
    <w:p w:rsidR="006D5658" w:rsidRPr="006D5658" w:rsidRDefault="006D5658" w:rsidP="006D5658">
      <w:pPr>
        <w:pStyle w:val="Default"/>
      </w:pPr>
    </w:p>
    <w:p w:rsidR="00634A7E" w:rsidRDefault="005B7DBA" w:rsidP="00634A7E">
      <w:pPr>
        <w:pStyle w:val="CM4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Podávanie </w:t>
      </w:r>
      <w:proofErr w:type="spellStart"/>
      <w:r w:rsidRPr="005B7DBA">
        <w:rPr>
          <w:color w:val="000000"/>
          <w:sz w:val="22"/>
          <w:szCs w:val="22"/>
        </w:rPr>
        <w:t>rifampicínu</w:t>
      </w:r>
      <w:proofErr w:type="spellEnd"/>
      <w:r w:rsidRPr="005B7DBA">
        <w:rPr>
          <w:color w:val="000000"/>
          <w:sz w:val="22"/>
          <w:szCs w:val="22"/>
        </w:rPr>
        <w:t xml:space="preserve"> 5 dní pred podaním jednorazovej dávky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malo za následok v priemere 37 % pokles AUC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. Iné induktory aktivity CYP3A4 a/alebo </w:t>
      </w:r>
      <w:proofErr w:type="spellStart"/>
      <w:r w:rsidRPr="005B7DBA">
        <w:rPr>
          <w:color w:val="000000"/>
          <w:sz w:val="22"/>
          <w:szCs w:val="22"/>
        </w:rPr>
        <w:t>glukuronidácie</w:t>
      </w:r>
      <w:proofErr w:type="spellEnd"/>
      <w:r w:rsidRPr="005B7DBA">
        <w:rPr>
          <w:color w:val="000000"/>
          <w:sz w:val="22"/>
          <w:szCs w:val="22"/>
        </w:rPr>
        <w:t xml:space="preserve"> (napr. </w:t>
      </w:r>
      <w:proofErr w:type="spellStart"/>
      <w:r w:rsidRPr="00A0042A">
        <w:rPr>
          <w:i/>
          <w:color w:val="000000"/>
          <w:sz w:val="22"/>
          <w:szCs w:val="22"/>
        </w:rPr>
        <w:lastRenderedPageBreak/>
        <w:t>Hypericum</w:t>
      </w:r>
      <w:proofErr w:type="spellEnd"/>
      <w:r w:rsidRPr="00A0042A">
        <w:rPr>
          <w:i/>
          <w:color w:val="000000"/>
          <w:sz w:val="22"/>
          <w:szCs w:val="22"/>
        </w:rPr>
        <w:t xml:space="preserve"> </w:t>
      </w:r>
      <w:proofErr w:type="spellStart"/>
      <w:r w:rsidRPr="00A0042A">
        <w:rPr>
          <w:i/>
          <w:color w:val="000000"/>
          <w:sz w:val="22"/>
          <w:szCs w:val="22"/>
        </w:rPr>
        <w:t>perforatum</w:t>
      </w:r>
      <w:proofErr w:type="spellEnd"/>
      <w:r w:rsidRPr="005B7DBA">
        <w:rPr>
          <w:color w:val="000000"/>
          <w:sz w:val="22"/>
          <w:szCs w:val="22"/>
        </w:rPr>
        <w:t xml:space="preserve"> známy aj ako ľubovník bodkovaný, </w:t>
      </w:r>
      <w:proofErr w:type="spellStart"/>
      <w:r w:rsidRPr="005B7DBA">
        <w:rPr>
          <w:color w:val="000000"/>
          <w:sz w:val="22"/>
          <w:szCs w:val="22"/>
        </w:rPr>
        <w:t>fenytoín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karbamazepín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fenobarbital</w:t>
      </w:r>
      <w:proofErr w:type="spellEnd"/>
      <w:r w:rsidRPr="005B7DBA">
        <w:rPr>
          <w:color w:val="000000"/>
          <w:sz w:val="22"/>
          <w:szCs w:val="22"/>
        </w:rPr>
        <w:t xml:space="preserve"> a </w:t>
      </w:r>
      <w:proofErr w:type="spellStart"/>
      <w:r w:rsidRPr="005B7DBA">
        <w:rPr>
          <w:color w:val="000000"/>
          <w:sz w:val="22"/>
          <w:szCs w:val="22"/>
        </w:rPr>
        <w:t>dexametazón</w:t>
      </w:r>
      <w:proofErr w:type="spellEnd"/>
      <w:r w:rsidRPr="005B7DBA">
        <w:rPr>
          <w:color w:val="000000"/>
          <w:sz w:val="22"/>
          <w:szCs w:val="22"/>
        </w:rPr>
        <w:t xml:space="preserve">) môžu </w:t>
      </w:r>
      <w:r w:rsidR="001F135C">
        <w:rPr>
          <w:color w:val="000000"/>
          <w:sz w:val="22"/>
          <w:szCs w:val="22"/>
        </w:rPr>
        <w:t xml:space="preserve">tiež </w:t>
      </w:r>
      <w:r w:rsidRPr="005B7DBA">
        <w:rPr>
          <w:color w:val="000000"/>
          <w:sz w:val="22"/>
          <w:szCs w:val="22"/>
        </w:rPr>
        <w:t xml:space="preserve">zvýšiť metabolizmus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, a tak znížiť koncentrácie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634A7E">
      <w:pPr>
        <w:pStyle w:val="CM4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634A7E">
      <w:pPr>
        <w:pStyle w:val="CM4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Inhibítory CYP3A4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Ketokonazol</w:t>
      </w:r>
      <w:proofErr w:type="spellEnd"/>
      <w:r w:rsidRPr="005B7DBA">
        <w:rPr>
          <w:color w:val="000000"/>
          <w:sz w:val="22"/>
          <w:szCs w:val="22"/>
        </w:rPr>
        <w:t xml:space="preserve">, silný inhibítor CYP3A4, podávaný jedenkrát denne počas 7 dní zdravým mužským dobrovoľníkom, nezmenil priemernú AUC jednorazovej dávky 50 mg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. Tieto údaje naznačujú, že klinické </w:t>
      </w:r>
      <w:proofErr w:type="spellStart"/>
      <w:r w:rsidRPr="005B7DBA">
        <w:rPr>
          <w:color w:val="000000"/>
          <w:sz w:val="22"/>
          <w:szCs w:val="22"/>
        </w:rPr>
        <w:t>farmakokinetické</w:t>
      </w:r>
      <w:proofErr w:type="spellEnd"/>
      <w:r w:rsidRPr="005B7DBA">
        <w:rPr>
          <w:color w:val="000000"/>
          <w:sz w:val="22"/>
          <w:szCs w:val="22"/>
        </w:rPr>
        <w:t xml:space="preserve"> interakcie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 inhibítormi CYP3A4 sú nepravdepodobné.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CYP2B6, CYP2C8 a CYP2C9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8A73CC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inhiboval</w:t>
      </w:r>
      <w:proofErr w:type="spellEnd"/>
      <w:r w:rsidRPr="005B7DBA">
        <w:rPr>
          <w:color w:val="000000"/>
          <w:sz w:val="22"/>
          <w:szCs w:val="22"/>
        </w:rPr>
        <w:t xml:space="preserve"> CYP2B6, CYP2C8 a CYP2C9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s podobným účinkom. V klinických </w:t>
      </w:r>
      <w:proofErr w:type="spellStart"/>
      <w:r w:rsidRPr="005B7DBA">
        <w:rPr>
          <w:color w:val="000000"/>
          <w:sz w:val="22"/>
          <w:szCs w:val="22"/>
        </w:rPr>
        <w:t>farmakokinetických</w:t>
      </w:r>
      <w:proofErr w:type="spellEnd"/>
      <w:r w:rsidRPr="005B7DBA">
        <w:rPr>
          <w:color w:val="000000"/>
          <w:sz w:val="22"/>
          <w:szCs w:val="22"/>
        </w:rPr>
        <w:t xml:space="preserve"> skúšaniach však súbežné podávanie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400 mg dvakrát denne s </w:t>
      </w:r>
      <w:proofErr w:type="spellStart"/>
      <w:r w:rsidRPr="005B7DBA">
        <w:rPr>
          <w:color w:val="000000"/>
          <w:sz w:val="22"/>
          <w:szCs w:val="22"/>
        </w:rPr>
        <w:t>cyklofosfamidom</w:t>
      </w:r>
      <w:proofErr w:type="spellEnd"/>
      <w:r w:rsidRPr="005B7DBA">
        <w:rPr>
          <w:color w:val="000000"/>
          <w:sz w:val="22"/>
          <w:szCs w:val="22"/>
        </w:rPr>
        <w:t xml:space="preserve">, substrátom CYP2B6 alebo </w:t>
      </w:r>
      <w:proofErr w:type="spellStart"/>
      <w:r w:rsidRPr="005B7DBA">
        <w:rPr>
          <w:color w:val="000000"/>
          <w:sz w:val="22"/>
          <w:szCs w:val="22"/>
        </w:rPr>
        <w:t>paklitaxelom</w:t>
      </w:r>
      <w:proofErr w:type="spellEnd"/>
      <w:r w:rsidRPr="005B7DBA">
        <w:rPr>
          <w:color w:val="000000"/>
          <w:sz w:val="22"/>
          <w:szCs w:val="22"/>
        </w:rPr>
        <w:t xml:space="preserve">, substrátom CYP2C8, nemalo za následok klinicky významnú inhibíciu. Tieto údaje naznačujú, 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pri odporúčanej dávke 400 mg dvakrát denne nemusí byť </w:t>
      </w:r>
      <w:r w:rsidRPr="005B7DBA">
        <w:rPr>
          <w:i/>
          <w:iCs/>
          <w:color w:val="000000"/>
          <w:sz w:val="22"/>
          <w:szCs w:val="22"/>
        </w:rPr>
        <w:t xml:space="preserve">in </w:t>
      </w:r>
      <w:proofErr w:type="spellStart"/>
      <w:r w:rsidRPr="005B7DBA">
        <w:rPr>
          <w:i/>
          <w:iCs/>
          <w:color w:val="000000"/>
          <w:sz w:val="22"/>
          <w:szCs w:val="22"/>
        </w:rPr>
        <w:t>vivo</w:t>
      </w:r>
      <w:proofErr w:type="spellEnd"/>
      <w:r w:rsidRPr="005B7DBA">
        <w:rPr>
          <w:i/>
          <w:iCs/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inhibítorom CYP2B6 alebo CYP2C8.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Okrem toho, súbežná liečba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a </w:t>
      </w:r>
      <w:proofErr w:type="spellStart"/>
      <w:r w:rsidRPr="005B7DBA">
        <w:rPr>
          <w:color w:val="000000"/>
          <w:sz w:val="22"/>
          <w:szCs w:val="22"/>
        </w:rPr>
        <w:t>warfarínom</w:t>
      </w:r>
      <w:proofErr w:type="spellEnd"/>
      <w:r w:rsidRPr="005B7DBA">
        <w:rPr>
          <w:color w:val="000000"/>
          <w:sz w:val="22"/>
          <w:szCs w:val="22"/>
        </w:rPr>
        <w:t xml:space="preserve">, substrátom CYP2C9, nemala za následok zmeny v priemernom PT-INR v porovnaní s placebom. Možno teda predpokladať, že bude nízke aj riziko klinicky významnej </w:t>
      </w:r>
      <w:r w:rsidRPr="005B7DBA">
        <w:rPr>
          <w:i/>
          <w:iCs/>
          <w:color w:val="000000"/>
          <w:sz w:val="22"/>
          <w:szCs w:val="22"/>
        </w:rPr>
        <w:t xml:space="preserve">in </w:t>
      </w:r>
      <w:proofErr w:type="spellStart"/>
      <w:r w:rsidRPr="005B7DBA">
        <w:rPr>
          <w:i/>
          <w:iCs/>
          <w:color w:val="000000"/>
          <w:sz w:val="22"/>
          <w:szCs w:val="22"/>
        </w:rPr>
        <w:t>vivo</w:t>
      </w:r>
      <w:proofErr w:type="spellEnd"/>
      <w:r w:rsidRPr="005B7DBA">
        <w:rPr>
          <w:i/>
          <w:iCs/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inhibície CYP2C9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. Pacienti, ktorí užívajú </w:t>
      </w:r>
      <w:proofErr w:type="spellStart"/>
      <w:r w:rsidRPr="005B7DBA">
        <w:rPr>
          <w:color w:val="000000"/>
          <w:sz w:val="22"/>
          <w:szCs w:val="22"/>
        </w:rPr>
        <w:t>warfarín</w:t>
      </w:r>
      <w:proofErr w:type="spellEnd"/>
      <w:r w:rsidRPr="005B7DBA">
        <w:rPr>
          <w:color w:val="000000"/>
          <w:sz w:val="22"/>
          <w:szCs w:val="22"/>
        </w:rPr>
        <w:t xml:space="preserve"> alebo </w:t>
      </w:r>
      <w:proofErr w:type="spellStart"/>
      <w:r w:rsidRPr="005B7DBA">
        <w:rPr>
          <w:color w:val="000000"/>
          <w:sz w:val="22"/>
          <w:szCs w:val="22"/>
        </w:rPr>
        <w:t>fenprokumón</w:t>
      </w:r>
      <w:proofErr w:type="spellEnd"/>
      <w:r w:rsidRPr="005B7DBA">
        <w:rPr>
          <w:color w:val="000000"/>
          <w:sz w:val="22"/>
          <w:szCs w:val="22"/>
        </w:rPr>
        <w:t xml:space="preserve"> však majú mať pravidelne kontrolované INR (pozri časť 4.4).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CYP3A4, CYP2D6 a CYP2C19 </w:t>
      </w:r>
    </w:p>
    <w:p w:rsidR="006D5658" w:rsidRDefault="006D5658" w:rsidP="005B7DBA">
      <w:pPr>
        <w:pStyle w:val="CM8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Súbežné podávanie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a </w:t>
      </w:r>
      <w:proofErr w:type="spellStart"/>
      <w:r w:rsidRPr="005B7DBA">
        <w:rPr>
          <w:color w:val="000000"/>
          <w:sz w:val="22"/>
          <w:szCs w:val="22"/>
        </w:rPr>
        <w:t>midazolamu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dextrometorfánu</w:t>
      </w:r>
      <w:proofErr w:type="spellEnd"/>
      <w:r w:rsidRPr="005B7DBA">
        <w:rPr>
          <w:color w:val="000000"/>
          <w:sz w:val="22"/>
          <w:szCs w:val="22"/>
        </w:rPr>
        <w:t xml:space="preserve"> alebo </w:t>
      </w:r>
      <w:proofErr w:type="spellStart"/>
      <w:r w:rsidRPr="005B7DBA">
        <w:rPr>
          <w:color w:val="000000"/>
          <w:sz w:val="22"/>
          <w:szCs w:val="22"/>
        </w:rPr>
        <w:t>omeprazolu</w:t>
      </w:r>
      <w:proofErr w:type="spellEnd"/>
      <w:r w:rsidRPr="005B7DBA">
        <w:rPr>
          <w:color w:val="000000"/>
          <w:sz w:val="22"/>
          <w:szCs w:val="22"/>
        </w:rPr>
        <w:t xml:space="preserve">, čo sú substráty </w:t>
      </w:r>
      <w:proofErr w:type="spellStart"/>
      <w:r w:rsidRPr="005B7DBA">
        <w:rPr>
          <w:color w:val="000000"/>
          <w:sz w:val="22"/>
          <w:szCs w:val="22"/>
        </w:rPr>
        <w:t>cytochrómov</w:t>
      </w:r>
      <w:proofErr w:type="spellEnd"/>
      <w:r w:rsidRPr="005B7DBA">
        <w:rPr>
          <w:color w:val="000000"/>
          <w:sz w:val="22"/>
          <w:szCs w:val="22"/>
        </w:rPr>
        <w:t xml:space="preserve"> CYP3A4, CYP2D6, resp. CYP2C19, nezmenilo expozíciu týchto liečiv. Naznačuje to,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nie je ani inhibítorom, ani induktorom týchto </w:t>
      </w:r>
      <w:proofErr w:type="spellStart"/>
      <w:r w:rsidRPr="005B7DBA">
        <w:rPr>
          <w:color w:val="000000"/>
          <w:sz w:val="22"/>
          <w:szCs w:val="22"/>
        </w:rPr>
        <w:t>izoenzýmov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cytochrómu</w:t>
      </w:r>
      <w:proofErr w:type="spellEnd"/>
      <w:r w:rsidRPr="005B7DBA">
        <w:rPr>
          <w:color w:val="000000"/>
          <w:sz w:val="22"/>
          <w:szCs w:val="22"/>
        </w:rPr>
        <w:t xml:space="preserve"> P450. Klinické </w:t>
      </w:r>
      <w:proofErr w:type="spellStart"/>
      <w:r w:rsidRPr="005B7DBA">
        <w:rPr>
          <w:color w:val="000000"/>
          <w:sz w:val="22"/>
          <w:szCs w:val="22"/>
        </w:rPr>
        <w:t>farmakokinetické</w:t>
      </w:r>
      <w:proofErr w:type="spellEnd"/>
      <w:r w:rsidRPr="005B7DBA">
        <w:rPr>
          <w:color w:val="000000"/>
          <w:sz w:val="22"/>
          <w:szCs w:val="22"/>
        </w:rPr>
        <w:t xml:space="preserve"> interakcie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so substrátmi týchto enzýmov sú preto nepravdepodobné.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UGT1A1 a UGT1A9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proofErr w:type="spellStart"/>
      <w:r w:rsidRPr="005B7DBA">
        <w:rPr>
          <w:color w:val="000000"/>
          <w:sz w:val="22"/>
          <w:szCs w:val="22"/>
        </w:rPr>
        <w:t>inhibuje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glukuronidáciu</w:t>
      </w:r>
      <w:proofErr w:type="spellEnd"/>
      <w:r w:rsidRPr="005B7DBA">
        <w:rPr>
          <w:color w:val="000000"/>
          <w:sz w:val="22"/>
          <w:szCs w:val="22"/>
        </w:rPr>
        <w:t xml:space="preserve"> prostredníctvom UGT1A1 a UGT1A9. Klinický význam tohto </w:t>
      </w:r>
      <w:r w:rsidR="000E6F1D">
        <w:rPr>
          <w:color w:val="000000"/>
          <w:sz w:val="22"/>
          <w:szCs w:val="22"/>
        </w:rPr>
        <w:t>zistenia</w:t>
      </w:r>
      <w:r w:rsidRPr="005B7DBA">
        <w:rPr>
          <w:color w:val="000000"/>
          <w:sz w:val="22"/>
          <w:szCs w:val="22"/>
        </w:rPr>
        <w:t xml:space="preserve"> nie je známy (pozri nižšie a časť 4.4). </w:t>
      </w:r>
    </w:p>
    <w:p w:rsidR="00634A7E" w:rsidRDefault="00634A7E" w:rsidP="005B7DBA">
      <w:pPr>
        <w:pStyle w:val="CM32"/>
        <w:rPr>
          <w:i/>
          <w:iCs/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  <w:u w:val="single"/>
        </w:rPr>
        <w:t xml:space="preserve">In vitro </w:t>
      </w:r>
      <w:r w:rsidRPr="005B7DBA">
        <w:rPr>
          <w:color w:val="000000"/>
          <w:sz w:val="22"/>
          <w:szCs w:val="22"/>
          <w:u w:val="single"/>
        </w:rPr>
        <w:t xml:space="preserve">štúdie indukcie enzýmu CYP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 liečbe kultivovaných ľudských </w:t>
      </w:r>
      <w:proofErr w:type="spellStart"/>
      <w:r w:rsidRPr="005B7DBA">
        <w:rPr>
          <w:color w:val="000000"/>
          <w:sz w:val="22"/>
          <w:szCs w:val="22"/>
        </w:rPr>
        <w:t>hepatocytov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sa nezmenili aktivity CYP1A2 a CYP3A4, čo naznačuje, že nie je pravdepodobné, že by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bol induktor CYP1A2 a CYP3A4.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>Substráty P-</w:t>
      </w:r>
      <w:proofErr w:type="spellStart"/>
      <w:r w:rsidRPr="005B7DBA">
        <w:rPr>
          <w:color w:val="000000"/>
          <w:sz w:val="22"/>
          <w:szCs w:val="22"/>
          <w:u w:val="single"/>
        </w:rPr>
        <w:t>gp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Ukázalo sa, 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proofErr w:type="spellStart"/>
      <w:r w:rsidRPr="005B7DBA">
        <w:rPr>
          <w:color w:val="000000"/>
          <w:sz w:val="22"/>
          <w:szCs w:val="22"/>
        </w:rPr>
        <w:t>inhibuje</w:t>
      </w:r>
      <w:proofErr w:type="spellEnd"/>
      <w:r w:rsidRPr="005B7DBA">
        <w:rPr>
          <w:color w:val="000000"/>
          <w:sz w:val="22"/>
          <w:szCs w:val="22"/>
        </w:rPr>
        <w:t xml:space="preserve"> transport</w:t>
      </w:r>
      <w:r w:rsidR="00355B52">
        <w:rPr>
          <w:color w:val="000000"/>
          <w:sz w:val="22"/>
          <w:szCs w:val="22"/>
        </w:rPr>
        <w:t>ný</w:t>
      </w:r>
      <w:r w:rsidRPr="005B7DBA">
        <w:rPr>
          <w:color w:val="000000"/>
          <w:sz w:val="22"/>
          <w:szCs w:val="22"/>
        </w:rPr>
        <w:t xml:space="preserve"> proteín p-</w:t>
      </w:r>
      <w:proofErr w:type="spellStart"/>
      <w:r w:rsidRPr="005B7DBA">
        <w:rPr>
          <w:color w:val="000000"/>
          <w:sz w:val="22"/>
          <w:szCs w:val="22"/>
        </w:rPr>
        <w:t>glykoproteín</w:t>
      </w:r>
      <w:proofErr w:type="spellEnd"/>
      <w:r w:rsidRPr="005B7DBA">
        <w:rPr>
          <w:color w:val="000000"/>
          <w:sz w:val="22"/>
          <w:szCs w:val="22"/>
        </w:rPr>
        <w:t xml:space="preserve"> (P-</w:t>
      </w:r>
      <w:proofErr w:type="spellStart"/>
      <w:r w:rsidRPr="005B7DBA">
        <w:rPr>
          <w:color w:val="000000"/>
          <w:sz w:val="22"/>
          <w:szCs w:val="22"/>
        </w:rPr>
        <w:t>gp</w:t>
      </w:r>
      <w:proofErr w:type="spellEnd"/>
      <w:r w:rsidRPr="005B7DBA">
        <w:rPr>
          <w:color w:val="000000"/>
          <w:sz w:val="22"/>
          <w:szCs w:val="22"/>
        </w:rPr>
        <w:t xml:space="preserve">). Pri súbežnej liečbe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nemožno vylúčiť zvýšené plazmatické koncentrácie substrátov P-</w:t>
      </w:r>
      <w:proofErr w:type="spellStart"/>
      <w:r w:rsidRPr="005B7DBA">
        <w:rPr>
          <w:color w:val="000000"/>
          <w:sz w:val="22"/>
          <w:szCs w:val="22"/>
        </w:rPr>
        <w:t>gp</w:t>
      </w:r>
      <w:proofErr w:type="spellEnd"/>
      <w:r w:rsidRPr="005B7DBA">
        <w:rPr>
          <w:color w:val="000000"/>
          <w:sz w:val="22"/>
          <w:szCs w:val="22"/>
        </w:rPr>
        <w:t xml:space="preserve">, ako je </w:t>
      </w:r>
      <w:proofErr w:type="spellStart"/>
      <w:r w:rsidRPr="005B7DBA">
        <w:rPr>
          <w:color w:val="000000"/>
          <w:sz w:val="22"/>
          <w:szCs w:val="22"/>
        </w:rPr>
        <w:t>digoxín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Kombinácia s ostatnými </w:t>
      </w:r>
      <w:proofErr w:type="spellStart"/>
      <w:r w:rsidRPr="005B7DBA">
        <w:rPr>
          <w:color w:val="000000"/>
          <w:sz w:val="22"/>
          <w:szCs w:val="22"/>
          <w:u w:val="single"/>
        </w:rPr>
        <w:t>cytostatikami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klinických skúšaniach sa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podával s rôznymi inými </w:t>
      </w:r>
      <w:proofErr w:type="spellStart"/>
      <w:r w:rsidRPr="005B7DBA">
        <w:rPr>
          <w:color w:val="000000"/>
          <w:sz w:val="22"/>
          <w:szCs w:val="22"/>
        </w:rPr>
        <w:t>cytostatikami</w:t>
      </w:r>
      <w:proofErr w:type="spellEnd"/>
      <w:r w:rsidRPr="005B7DBA">
        <w:rPr>
          <w:color w:val="000000"/>
          <w:sz w:val="22"/>
          <w:szCs w:val="22"/>
        </w:rPr>
        <w:t xml:space="preserve"> v ich bežne používaných dávkovacích schémach, vrátane </w:t>
      </w:r>
      <w:proofErr w:type="spellStart"/>
      <w:r w:rsidRPr="005B7DBA">
        <w:rPr>
          <w:color w:val="000000"/>
          <w:sz w:val="22"/>
          <w:szCs w:val="22"/>
        </w:rPr>
        <w:t>gemcitabínu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cisplatiny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oxaliplatiny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paklitaxelu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karboplatiny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kapecitabínu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doxorubicínu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95110E">
        <w:rPr>
          <w:color w:val="000000"/>
          <w:sz w:val="22"/>
          <w:szCs w:val="22"/>
        </w:rPr>
        <w:t>irinotek</w:t>
      </w:r>
      <w:r w:rsidR="0095110E" w:rsidRPr="0095110E">
        <w:rPr>
          <w:color w:val="000000"/>
          <w:sz w:val="22"/>
          <w:szCs w:val="22"/>
        </w:rPr>
        <w:t>á</w:t>
      </w:r>
      <w:r w:rsidRPr="0095110E">
        <w:rPr>
          <w:color w:val="000000"/>
          <w:sz w:val="22"/>
          <w:szCs w:val="22"/>
        </w:rPr>
        <w:t>nu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docetaxelu</w:t>
      </w:r>
      <w:proofErr w:type="spellEnd"/>
      <w:r w:rsidRPr="005B7DBA">
        <w:rPr>
          <w:color w:val="000000"/>
          <w:sz w:val="22"/>
          <w:szCs w:val="22"/>
        </w:rPr>
        <w:t xml:space="preserve"> a </w:t>
      </w:r>
      <w:proofErr w:type="spellStart"/>
      <w:r w:rsidRPr="005B7DBA">
        <w:rPr>
          <w:color w:val="000000"/>
          <w:sz w:val="22"/>
          <w:szCs w:val="22"/>
        </w:rPr>
        <w:t>cyklofosfamidu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nemal klinicky významný účinok na </w:t>
      </w:r>
      <w:proofErr w:type="spellStart"/>
      <w:r w:rsidRPr="005B7DBA">
        <w:rPr>
          <w:color w:val="000000"/>
          <w:sz w:val="22"/>
          <w:szCs w:val="22"/>
        </w:rPr>
        <w:t>farmakokinetiku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gemcitabínu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cisplatiny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karboplatiny</w:t>
      </w:r>
      <w:proofErr w:type="spellEnd"/>
      <w:r w:rsidRPr="005B7DBA">
        <w:rPr>
          <w:color w:val="000000"/>
          <w:sz w:val="22"/>
          <w:szCs w:val="22"/>
        </w:rPr>
        <w:t xml:space="preserve">, </w:t>
      </w:r>
      <w:proofErr w:type="spellStart"/>
      <w:r w:rsidRPr="005B7DBA">
        <w:rPr>
          <w:color w:val="000000"/>
          <w:sz w:val="22"/>
          <w:szCs w:val="22"/>
        </w:rPr>
        <w:t>oxaliplatiny</w:t>
      </w:r>
      <w:proofErr w:type="spellEnd"/>
      <w:r w:rsidRPr="005B7DBA">
        <w:rPr>
          <w:color w:val="000000"/>
          <w:sz w:val="22"/>
          <w:szCs w:val="22"/>
        </w:rPr>
        <w:t xml:space="preserve"> alebo </w:t>
      </w:r>
      <w:proofErr w:type="spellStart"/>
      <w:r w:rsidRPr="005B7DBA">
        <w:rPr>
          <w:color w:val="000000"/>
          <w:sz w:val="22"/>
          <w:szCs w:val="22"/>
        </w:rPr>
        <w:t>cyklofosfamidu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8A73CC" w:rsidRDefault="008A73CC" w:rsidP="008A73CC">
      <w:pPr>
        <w:pStyle w:val="CM32"/>
        <w:rPr>
          <w:color w:val="000000"/>
          <w:sz w:val="22"/>
          <w:szCs w:val="22"/>
          <w:u w:val="single"/>
        </w:rPr>
      </w:pPr>
      <w:proofErr w:type="spellStart"/>
      <w:r w:rsidRPr="008A73CC">
        <w:rPr>
          <w:color w:val="000000"/>
          <w:sz w:val="22"/>
          <w:szCs w:val="22"/>
          <w:u w:val="single"/>
        </w:rPr>
        <w:t>Paklitaxel</w:t>
      </w:r>
      <w:proofErr w:type="spellEnd"/>
      <w:r w:rsidRPr="008A73CC">
        <w:rPr>
          <w:color w:val="000000"/>
          <w:sz w:val="22"/>
          <w:szCs w:val="22"/>
          <w:u w:val="single"/>
        </w:rPr>
        <w:t>/</w:t>
      </w:r>
      <w:proofErr w:type="spellStart"/>
      <w:r w:rsidRPr="008A73CC">
        <w:rPr>
          <w:color w:val="000000"/>
          <w:sz w:val="22"/>
          <w:szCs w:val="22"/>
          <w:u w:val="single"/>
        </w:rPr>
        <w:t>karboplatina</w:t>
      </w:r>
      <w:proofErr w:type="spellEnd"/>
      <w:r w:rsidRPr="008A73CC">
        <w:rPr>
          <w:color w:val="000000"/>
          <w:sz w:val="22"/>
          <w:szCs w:val="22"/>
          <w:u w:val="single"/>
        </w:rPr>
        <w:t xml:space="preserve"> </w:t>
      </w:r>
    </w:p>
    <w:p w:rsidR="000E6F1D" w:rsidRPr="003562A2" w:rsidRDefault="000E6F1D" w:rsidP="003562A2">
      <w:pPr>
        <w:pStyle w:val="CM32"/>
        <w:rPr>
          <w:color w:val="000000"/>
          <w:sz w:val="22"/>
          <w:szCs w:val="22"/>
          <w:u w:val="single"/>
        </w:rPr>
      </w:pPr>
    </w:p>
    <w:p w:rsidR="008A73CC" w:rsidRDefault="008A73CC" w:rsidP="008A73CC">
      <w:pPr>
        <w:pStyle w:val="CM32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 xml:space="preserve">Podávanie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 xml:space="preserve"> (225 mg/m</w:t>
      </w:r>
      <w:r w:rsidRPr="00FD72BB">
        <w:rPr>
          <w:color w:val="000000"/>
          <w:sz w:val="22"/>
          <w:szCs w:val="22"/>
          <w:vertAlign w:val="superscript"/>
        </w:rPr>
        <w:t>2</w:t>
      </w:r>
      <w:r w:rsidRPr="008A73CC">
        <w:rPr>
          <w:color w:val="000000"/>
          <w:sz w:val="22"/>
          <w:szCs w:val="22"/>
        </w:rPr>
        <w:t xml:space="preserve">) a </w:t>
      </w:r>
      <w:proofErr w:type="spellStart"/>
      <w:r w:rsidRPr="008A73CC">
        <w:rPr>
          <w:color w:val="000000"/>
          <w:sz w:val="22"/>
          <w:szCs w:val="22"/>
        </w:rPr>
        <w:t>karboplatiny</w:t>
      </w:r>
      <w:proofErr w:type="spellEnd"/>
      <w:r w:rsidRPr="008A73CC">
        <w:rPr>
          <w:color w:val="000000"/>
          <w:sz w:val="22"/>
          <w:szCs w:val="22"/>
        </w:rPr>
        <w:t xml:space="preserve"> (AUC=6) so </w:t>
      </w:r>
      <w:proofErr w:type="spellStart"/>
      <w:r w:rsidRPr="008A73CC">
        <w:rPr>
          <w:color w:val="000000"/>
          <w:sz w:val="22"/>
          <w:szCs w:val="22"/>
        </w:rPr>
        <w:t>sorafenibom</w:t>
      </w:r>
      <w:proofErr w:type="spellEnd"/>
      <w:r w:rsidRPr="008A73CC">
        <w:rPr>
          <w:color w:val="000000"/>
          <w:sz w:val="22"/>
          <w:szCs w:val="22"/>
        </w:rPr>
        <w:t xml:space="preserve"> (≤ 400 mg dvakrát denne) s trojdňovou prestávkou v dávkovaní </w:t>
      </w:r>
      <w:proofErr w:type="spellStart"/>
      <w:r w:rsidRPr="008A73CC">
        <w:rPr>
          <w:color w:val="000000"/>
          <w:sz w:val="22"/>
          <w:szCs w:val="22"/>
        </w:rPr>
        <w:t>sorafenibu</w:t>
      </w:r>
      <w:proofErr w:type="spellEnd"/>
      <w:r w:rsidRPr="008A73CC">
        <w:rPr>
          <w:color w:val="000000"/>
          <w:sz w:val="22"/>
          <w:szCs w:val="22"/>
        </w:rPr>
        <w:t xml:space="preserve"> (dva dni pred a v deň podania </w:t>
      </w:r>
      <w:proofErr w:type="spellStart"/>
      <w:r w:rsidRPr="008A73CC">
        <w:rPr>
          <w:color w:val="000000"/>
          <w:sz w:val="22"/>
          <w:szCs w:val="22"/>
        </w:rPr>
        <w:lastRenderedPageBreak/>
        <w:t>paklitaxelu</w:t>
      </w:r>
      <w:proofErr w:type="spellEnd"/>
      <w:r w:rsidRPr="008A73CC">
        <w:rPr>
          <w:color w:val="000000"/>
          <w:sz w:val="22"/>
          <w:szCs w:val="22"/>
        </w:rPr>
        <w:t>/</w:t>
      </w:r>
      <w:proofErr w:type="spellStart"/>
      <w:r w:rsidRPr="008A73CC">
        <w:rPr>
          <w:color w:val="000000"/>
          <w:sz w:val="22"/>
          <w:szCs w:val="22"/>
        </w:rPr>
        <w:t>karboplatiny</w:t>
      </w:r>
      <w:proofErr w:type="spellEnd"/>
      <w:r w:rsidRPr="008A73CC">
        <w:rPr>
          <w:color w:val="000000"/>
          <w:sz w:val="22"/>
          <w:szCs w:val="22"/>
        </w:rPr>
        <w:t xml:space="preserve">), neviedlo k významnému ovplyvneniu </w:t>
      </w:r>
      <w:proofErr w:type="spellStart"/>
      <w:r w:rsidRPr="008A73CC">
        <w:rPr>
          <w:color w:val="000000"/>
          <w:sz w:val="22"/>
          <w:szCs w:val="22"/>
        </w:rPr>
        <w:t>farmakokinetiky</w:t>
      </w:r>
      <w:proofErr w:type="spellEnd"/>
      <w:r w:rsidRPr="008A73CC">
        <w:rPr>
          <w:color w:val="000000"/>
          <w:sz w:val="22"/>
          <w:szCs w:val="22"/>
        </w:rPr>
        <w:t xml:space="preserve">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>.</w:t>
      </w:r>
    </w:p>
    <w:p w:rsidR="008A73CC" w:rsidRPr="008A73CC" w:rsidRDefault="008A73CC" w:rsidP="008A73CC">
      <w:pPr>
        <w:pStyle w:val="CM32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 xml:space="preserve">Súbežné podávanie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 xml:space="preserve"> (225 mg/m</w:t>
      </w:r>
      <w:r w:rsidRPr="008A73CC">
        <w:rPr>
          <w:color w:val="000000"/>
          <w:sz w:val="22"/>
          <w:szCs w:val="22"/>
          <w:vertAlign w:val="superscript"/>
        </w:rPr>
        <w:t>2</w:t>
      </w:r>
      <w:r w:rsidRPr="008A73CC">
        <w:rPr>
          <w:color w:val="000000"/>
          <w:sz w:val="22"/>
          <w:szCs w:val="22"/>
        </w:rPr>
        <w:t xml:space="preserve">, jedenkrát každé tri týždne) a </w:t>
      </w:r>
      <w:proofErr w:type="spellStart"/>
      <w:r w:rsidRPr="008A73CC">
        <w:rPr>
          <w:color w:val="000000"/>
          <w:sz w:val="22"/>
          <w:szCs w:val="22"/>
        </w:rPr>
        <w:t>karboplatiny</w:t>
      </w:r>
      <w:proofErr w:type="spellEnd"/>
      <w:r w:rsidRPr="008A73CC">
        <w:rPr>
          <w:color w:val="000000"/>
          <w:sz w:val="22"/>
          <w:szCs w:val="22"/>
        </w:rPr>
        <w:t xml:space="preserve"> (AUC=6) so </w:t>
      </w:r>
      <w:proofErr w:type="spellStart"/>
      <w:r w:rsidRPr="008A73CC">
        <w:rPr>
          <w:color w:val="000000"/>
          <w:sz w:val="22"/>
          <w:szCs w:val="22"/>
        </w:rPr>
        <w:t>sorafenibom</w:t>
      </w:r>
      <w:proofErr w:type="spellEnd"/>
      <w:r w:rsidRPr="008A73CC">
        <w:rPr>
          <w:color w:val="000000"/>
          <w:sz w:val="22"/>
          <w:szCs w:val="22"/>
        </w:rPr>
        <w:t xml:space="preserve"> (400 mg dvakrát denne, s dávkovaním </w:t>
      </w:r>
      <w:proofErr w:type="spellStart"/>
      <w:r w:rsidRPr="008A73CC">
        <w:rPr>
          <w:color w:val="000000"/>
          <w:sz w:val="22"/>
          <w:szCs w:val="22"/>
        </w:rPr>
        <w:t>sorafenibu</w:t>
      </w:r>
      <w:proofErr w:type="spellEnd"/>
      <w:r w:rsidRPr="008A73CC">
        <w:rPr>
          <w:color w:val="000000"/>
          <w:sz w:val="22"/>
          <w:szCs w:val="22"/>
        </w:rPr>
        <w:t xml:space="preserve"> bez prestávky) viedlo k 47 % zvýšeniu expozície </w:t>
      </w:r>
      <w:proofErr w:type="spellStart"/>
      <w:r w:rsidRPr="008A73CC">
        <w:rPr>
          <w:color w:val="000000"/>
          <w:sz w:val="22"/>
          <w:szCs w:val="22"/>
        </w:rPr>
        <w:t>sorafenibu</w:t>
      </w:r>
      <w:proofErr w:type="spellEnd"/>
      <w:r w:rsidRPr="008A73CC">
        <w:rPr>
          <w:color w:val="000000"/>
          <w:sz w:val="22"/>
          <w:szCs w:val="22"/>
        </w:rPr>
        <w:t xml:space="preserve">, 29 % zvýšeniu expozície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 xml:space="preserve"> a 50 % zvýšeniu expozície 6-hydroxypaklitaxelu. </w:t>
      </w:r>
      <w:proofErr w:type="spellStart"/>
      <w:r w:rsidRPr="008A73CC">
        <w:rPr>
          <w:color w:val="000000"/>
          <w:sz w:val="22"/>
          <w:szCs w:val="22"/>
        </w:rPr>
        <w:t>Farmakokinetika</w:t>
      </w:r>
      <w:proofErr w:type="spellEnd"/>
      <w:r w:rsidRPr="008A73CC">
        <w:rPr>
          <w:color w:val="000000"/>
          <w:sz w:val="22"/>
          <w:szCs w:val="22"/>
        </w:rPr>
        <w:t xml:space="preserve"> </w:t>
      </w:r>
      <w:proofErr w:type="spellStart"/>
      <w:r w:rsidRPr="008A73CC">
        <w:rPr>
          <w:color w:val="000000"/>
          <w:sz w:val="22"/>
          <w:szCs w:val="22"/>
        </w:rPr>
        <w:t>karboplatiny</w:t>
      </w:r>
      <w:proofErr w:type="spellEnd"/>
      <w:r w:rsidRPr="008A73CC">
        <w:rPr>
          <w:color w:val="000000"/>
          <w:sz w:val="22"/>
          <w:szCs w:val="22"/>
        </w:rPr>
        <w:t xml:space="preserve"> nebola ovplyvnená. </w:t>
      </w:r>
    </w:p>
    <w:p w:rsidR="008A73CC" w:rsidRPr="008A73CC" w:rsidRDefault="008A73CC" w:rsidP="008A73CC">
      <w:pPr>
        <w:pStyle w:val="CM32"/>
        <w:rPr>
          <w:color w:val="000000"/>
          <w:sz w:val="22"/>
          <w:szCs w:val="22"/>
        </w:rPr>
      </w:pPr>
    </w:p>
    <w:p w:rsidR="00634A7E" w:rsidRPr="008A73CC" w:rsidRDefault="008A73CC" w:rsidP="008A73CC">
      <w:pPr>
        <w:pStyle w:val="CM32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>Tieto údaje naznačujú, že nie sú potrebné úpravy dávky</w:t>
      </w:r>
      <w:r w:rsidR="006D5658">
        <w:rPr>
          <w:color w:val="000000"/>
          <w:sz w:val="22"/>
          <w:szCs w:val="22"/>
        </w:rPr>
        <w:t>,</w:t>
      </w:r>
      <w:r w:rsidRPr="008A73CC">
        <w:rPr>
          <w:color w:val="000000"/>
          <w:sz w:val="22"/>
          <w:szCs w:val="22"/>
        </w:rPr>
        <w:t xml:space="preserve"> ak sa </w:t>
      </w:r>
      <w:proofErr w:type="spellStart"/>
      <w:r w:rsidRPr="008A73CC">
        <w:rPr>
          <w:color w:val="000000"/>
          <w:sz w:val="22"/>
          <w:szCs w:val="22"/>
        </w:rPr>
        <w:t>paklitaxel</w:t>
      </w:r>
      <w:proofErr w:type="spellEnd"/>
      <w:r w:rsidRPr="008A73CC">
        <w:rPr>
          <w:color w:val="000000"/>
          <w:sz w:val="22"/>
          <w:szCs w:val="22"/>
        </w:rPr>
        <w:t xml:space="preserve"> a </w:t>
      </w:r>
      <w:proofErr w:type="spellStart"/>
      <w:r w:rsidRPr="008A73CC">
        <w:rPr>
          <w:color w:val="000000"/>
          <w:sz w:val="22"/>
          <w:szCs w:val="22"/>
        </w:rPr>
        <w:t>karboplatina</w:t>
      </w:r>
      <w:proofErr w:type="spellEnd"/>
      <w:r w:rsidRPr="008A73CC">
        <w:rPr>
          <w:color w:val="000000"/>
          <w:sz w:val="22"/>
          <w:szCs w:val="22"/>
        </w:rPr>
        <w:t xml:space="preserve"> podávajú súbežne so </w:t>
      </w:r>
      <w:proofErr w:type="spellStart"/>
      <w:r w:rsidRPr="008A73CC">
        <w:rPr>
          <w:color w:val="000000"/>
          <w:sz w:val="22"/>
          <w:szCs w:val="22"/>
        </w:rPr>
        <w:t>sorafenibom</w:t>
      </w:r>
      <w:proofErr w:type="spellEnd"/>
      <w:r w:rsidRPr="008A73CC">
        <w:rPr>
          <w:color w:val="000000"/>
          <w:sz w:val="22"/>
          <w:szCs w:val="22"/>
        </w:rPr>
        <w:t xml:space="preserve"> s trojdňovou prestávkou v dávkovaní </w:t>
      </w:r>
      <w:proofErr w:type="spellStart"/>
      <w:r w:rsidRPr="008A73CC">
        <w:rPr>
          <w:color w:val="000000"/>
          <w:sz w:val="22"/>
          <w:szCs w:val="22"/>
        </w:rPr>
        <w:t>sorafenibu</w:t>
      </w:r>
      <w:proofErr w:type="spellEnd"/>
      <w:r w:rsidRPr="008A73CC">
        <w:rPr>
          <w:color w:val="000000"/>
          <w:sz w:val="22"/>
          <w:szCs w:val="22"/>
        </w:rPr>
        <w:t xml:space="preserve"> (dva dni pred a v deň podania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>/</w:t>
      </w:r>
      <w:proofErr w:type="spellStart"/>
      <w:r w:rsidRPr="008A73CC">
        <w:rPr>
          <w:color w:val="000000"/>
          <w:sz w:val="22"/>
          <w:szCs w:val="22"/>
        </w:rPr>
        <w:t>karboplatiny</w:t>
      </w:r>
      <w:proofErr w:type="spellEnd"/>
      <w:r w:rsidRPr="008A73CC">
        <w:rPr>
          <w:color w:val="000000"/>
          <w:sz w:val="22"/>
          <w:szCs w:val="22"/>
        </w:rPr>
        <w:t xml:space="preserve">). Klinický význam zvýšenia expozície </w:t>
      </w:r>
      <w:proofErr w:type="spellStart"/>
      <w:r w:rsidRPr="008A73CC">
        <w:rPr>
          <w:color w:val="000000"/>
          <w:sz w:val="22"/>
          <w:szCs w:val="22"/>
        </w:rPr>
        <w:t>sorafenibu</w:t>
      </w:r>
      <w:proofErr w:type="spellEnd"/>
      <w:r w:rsidRPr="008A73CC">
        <w:rPr>
          <w:color w:val="000000"/>
          <w:sz w:val="22"/>
          <w:szCs w:val="22"/>
        </w:rPr>
        <w:t xml:space="preserve"> a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 xml:space="preserve"> po súbežnom podávaní s dávkovaním </w:t>
      </w:r>
      <w:proofErr w:type="spellStart"/>
      <w:r w:rsidRPr="008A73CC">
        <w:rPr>
          <w:color w:val="000000"/>
          <w:sz w:val="22"/>
          <w:szCs w:val="22"/>
        </w:rPr>
        <w:t>sorafenibu</w:t>
      </w:r>
      <w:proofErr w:type="spellEnd"/>
      <w:r w:rsidRPr="008A73CC">
        <w:rPr>
          <w:color w:val="000000"/>
          <w:sz w:val="22"/>
          <w:szCs w:val="22"/>
        </w:rPr>
        <w:t xml:space="preserve"> bez prestávky nie je známy.</w:t>
      </w:r>
    </w:p>
    <w:p w:rsidR="008A73CC" w:rsidRDefault="008A73CC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Kapecitabín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Súbežné podávanie </w:t>
      </w:r>
      <w:proofErr w:type="spellStart"/>
      <w:r w:rsidRPr="005B7DBA">
        <w:rPr>
          <w:color w:val="000000"/>
          <w:sz w:val="22"/>
          <w:szCs w:val="22"/>
        </w:rPr>
        <w:t>kapecitabínu</w:t>
      </w:r>
      <w:proofErr w:type="spellEnd"/>
      <w:r w:rsidRPr="005B7DBA">
        <w:rPr>
          <w:color w:val="000000"/>
          <w:sz w:val="22"/>
          <w:szCs w:val="22"/>
        </w:rPr>
        <w:t xml:space="preserve"> (750-1 050 mg/m</w:t>
      </w:r>
      <w:r w:rsidR="008A73CC" w:rsidRPr="008A73CC">
        <w:rPr>
          <w:color w:val="000000"/>
          <w:sz w:val="22"/>
          <w:szCs w:val="22"/>
          <w:vertAlign w:val="superscript"/>
        </w:rPr>
        <w:t>2</w:t>
      </w:r>
      <w:r w:rsidRPr="005B7DBA">
        <w:rPr>
          <w:color w:val="000000"/>
          <w:position w:val="10"/>
          <w:sz w:val="22"/>
          <w:szCs w:val="22"/>
          <w:vertAlign w:val="superscript"/>
        </w:rPr>
        <w:t xml:space="preserve"> </w:t>
      </w:r>
      <w:r w:rsidRPr="005B7DBA">
        <w:rPr>
          <w:color w:val="000000"/>
          <w:sz w:val="22"/>
          <w:szCs w:val="22"/>
        </w:rPr>
        <w:t xml:space="preserve">dvakrát denne, v 1.-14. deň každých 21 dní) a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(200 alebo 400 mg dvakrát denne, kontinuálne podávaného bez prerušenia) neviedlo k významnej zmene expozície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, no zvýšilo expozíciu </w:t>
      </w:r>
      <w:proofErr w:type="spellStart"/>
      <w:r w:rsidRPr="005B7DBA">
        <w:rPr>
          <w:color w:val="000000"/>
          <w:sz w:val="22"/>
          <w:szCs w:val="22"/>
        </w:rPr>
        <w:t>kapecitabínu</w:t>
      </w:r>
      <w:proofErr w:type="spellEnd"/>
      <w:r w:rsidRPr="005B7DBA">
        <w:rPr>
          <w:color w:val="000000"/>
          <w:sz w:val="22"/>
          <w:szCs w:val="22"/>
        </w:rPr>
        <w:t xml:space="preserve"> o 15-50 % a zvýšilo expozíciu 5-FU o 0-52 %. Klinický význam týchto malých až miernych zvýšení expozície </w:t>
      </w:r>
      <w:proofErr w:type="spellStart"/>
      <w:r w:rsidRPr="005B7DBA">
        <w:rPr>
          <w:color w:val="000000"/>
          <w:sz w:val="22"/>
          <w:szCs w:val="22"/>
        </w:rPr>
        <w:t>kapecitabínu</w:t>
      </w:r>
      <w:proofErr w:type="spellEnd"/>
      <w:r w:rsidRPr="005B7DBA">
        <w:rPr>
          <w:color w:val="000000"/>
          <w:sz w:val="22"/>
          <w:szCs w:val="22"/>
        </w:rPr>
        <w:t xml:space="preserve"> a 5-FU p</w:t>
      </w:r>
      <w:r w:rsidR="000E6F1D">
        <w:rPr>
          <w:color w:val="000000"/>
          <w:sz w:val="22"/>
          <w:szCs w:val="22"/>
        </w:rPr>
        <w:t>ri</w:t>
      </w:r>
      <w:r w:rsidRPr="005B7DBA">
        <w:rPr>
          <w:color w:val="000000"/>
          <w:sz w:val="22"/>
          <w:szCs w:val="22"/>
        </w:rPr>
        <w:t xml:space="preserve"> súbežnom podávaní so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nie je známy.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Doxorubicín</w:t>
      </w:r>
      <w:proofErr w:type="spellEnd"/>
      <w:r w:rsidRPr="005B7DBA">
        <w:rPr>
          <w:color w:val="000000"/>
          <w:sz w:val="22"/>
          <w:szCs w:val="22"/>
          <w:u w:val="single"/>
        </w:rPr>
        <w:t>/</w:t>
      </w:r>
      <w:proofErr w:type="spellStart"/>
      <w:r w:rsidRPr="005B7DBA">
        <w:rPr>
          <w:color w:val="000000"/>
          <w:sz w:val="22"/>
          <w:szCs w:val="22"/>
          <w:u w:val="single"/>
        </w:rPr>
        <w:t>irinotek</w:t>
      </w:r>
      <w:r w:rsidR="0095110E">
        <w:rPr>
          <w:color w:val="000000"/>
          <w:sz w:val="22"/>
          <w:szCs w:val="22"/>
          <w:u w:val="single"/>
        </w:rPr>
        <w:t>á</w:t>
      </w:r>
      <w:r w:rsidRPr="005B7DBA">
        <w:rPr>
          <w:color w:val="000000"/>
          <w:sz w:val="22"/>
          <w:szCs w:val="22"/>
          <w:u w:val="single"/>
        </w:rPr>
        <w:t>n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Súbežná liečba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mala za následok 21% vzostup AUC </w:t>
      </w:r>
      <w:proofErr w:type="spellStart"/>
      <w:r w:rsidRPr="005B7DBA">
        <w:rPr>
          <w:color w:val="000000"/>
          <w:sz w:val="22"/>
          <w:szCs w:val="22"/>
        </w:rPr>
        <w:t>doxorubicínu</w:t>
      </w:r>
      <w:proofErr w:type="spellEnd"/>
      <w:r w:rsidRPr="005B7DBA">
        <w:rPr>
          <w:color w:val="000000"/>
          <w:sz w:val="22"/>
          <w:szCs w:val="22"/>
        </w:rPr>
        <w:t xml:space="preserve">. Pri podávaní s </w:t>
      </w:r>
      <w:proofErr w:type="spellStart"/>
      <w:r w:rsidRPr="005B7DBA">
        <w:rPr>
          <w:color w:val="000000"/>
          <w:sz w:val="22"/>
          <w:szCs w:val="22"/>
        </w:rPr>
        <w:t>irinotek</w:t>
      </w:r>
      <w:r w:rsidR="0095110E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nom</w:t>
      </w:r>
      <w:proofErr w:type="spellEnd"/>
      <w:r w:rsidRPr="005B7DBA">
        <w:rPr>
          <w:color w:val="000000"/>
          <w:sz w:val="22"/>
          <w:szCs w:val="22"/>
        </w:rPr>
        <w:t xml:space="preserve">, ktorého aktívny </w:t>
      </w:r>
      <w:proofErr w:type="spellStart"/>
      <w:r w:rsidRPr="005B7DBA">
        <w:rPr>
          <w:color w:val="000000"/>
          <w:sz w:val="22"/>
          <w:szCs w:val="22"/>
        </w:rPr>
        <w:t>metabolit</w:t>
      </w:r>
      <w:proofErr w:type="spellEnd"/>
      <w:r w:rsidRPr="005B7DBA">
        <w:rPr>
          <w:color w:val="000000"/>
          <w:sz w:val="22"/>
          <w:szCs w:val="22"/>
        </w:rPr>
        <w:t xml:space="preserve"> SN-38 sa ďalej metabolizuje dráhami UGT1A1, sa zaznamenal 67-120% vzostup AUC SN-38 a 26-42% vzostup AUC </w:t>
      </w:r>
      <w:proofErr w:type="spellStart"/>
      <w:r w:rsidRPr="005B7DBA">
        <w:rPr>
          <w:color w:val="000000"/>
          <w:sz w:val="22"/>
          <w:szCs w:val="22"/>
        </w:rPr>
        <w:t>irinotek</w:t>
      </w:r>
      <w:r w:rsidR="0095110E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nu</w:t>
      </w:r>
      <w:proofErr w:type="spellEnd"/>
      <w:r w:rsidRPr="005B7DBA">
        <w:rPr>
          <w:color w:val="000000"/>
          <w:sz w:val="22"/>
          <w:szCs w:val="22"/>
        </w:rPr>
        <w:t xml:space="preserve">. Klinický význam týchto </w:t>
      </w:r>
      <w:r w:rsidR="000E6F1D">
        <w:rPr>
          <w:color w:val="000000"/>
          <w:sz w:val="22"/>
          <w:szCs w:val="22"/>
        </w:rPr>
        <w:t>zistení</w:t>
      </w:r>
      <w:r w:rsidRPr="005B7DBA">
        <w:rPr>
          <w:color w:val="000000"/>
          <w:sz w:val="22"/>
          <w:szCs w:val="22"/>
        </w:rPr>
        <w:t xml:space="preserve"> nie je známy (pozri časť 4.4).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634A7E" w:rsidRPr="00634A7E" w:rsidRDefault="00634A7E" w:rsidP="00634A7E">
      <w:pPr>
        <w:pStyle w:val="CM32"/>
        <w:rPr>
          <w:color w:val="000000"/>
          <w:sz w:val="22"/>
          <w:szCs w:val="22"/>
          <w:u w:val="single"/>
        </w:rPr>
      </w:pPr>
      <w:proofErr w:type="spellStart"/>
      <w:r w:rsidRPr="00634A7E">
        <w:rPr>
          <w:color w:val="000000"/>
          <w:sz w:val="22"/>
          <w:szCs w:val="22"/>
          <w:u w:val="single"/>
        </w:rPr>
        <w:t>Docetaxel</w:t>
      </w:r>
      <w:proofErr w:type="spellEnd"/>
      <w:r w:rsidRPr="00634A7E">
        <w:rPr>
          <w:color w:val="000000"/>
          <w:sz w:val="22"/>
          <w:szCs w:val="22"/>
          <w:u w:val="single"/>
        </w:rPr>
        <w:t xml:space="preserve"> </w:t>
      </w:r>
    </w:p>
    <w:p w:rsidR="006D5658" w:rsidRDefault="006D5658" w:rsidP="00634A7E">
      <w:pPr>
        <w:pStyle w:val="CM32"/>
        <w:rPr>
          <w:color w:val="000000"/>
          <w:sz w:val="22"/>
          <w:szCs w:val="22"/>
        </w:rPr>
      </w:pPr>
    </w:p>
    <w:p w:rsidR="00634A7E" w:rsidRPr="00634A7E" w:rsidRDefault="00634A7E" w:rsidP="00634A7E">
      <w:pPr>
        <w:pStyle w:val="CM32"/>
        <w:rPr>
          <w:color w:val="000000"/>
          <w:sz w:val="22"/>
          <w:szCs w:val="22"/>
        </w:rPr>
      </w:pPr>
      <w:r w:rsidRPr="00634A7E">
        <w:rPr>
          <w:color w:val="000000"/>
          <w:sz w:val="22"/>
          <w:szCs w:val="22"/>
        </w:rPr>
        <w:t xml:space="preserve">Podávanie </w:t>
      </w:r>
      <w:proofErr w:type="spellStart"/>
      <w:r w:rsidRPr="00634A7E">
        <w:rPr>
          <w:color w:val="000000"/>
          <w:sz w:val="22"/>
          <w:szCs w:val="22"/>
        </w:rPr>
        <w:t>docetaxelu</w:t>
      </w:r>
      <w:proofErr w:type="spellEnd"/>
      <w:r w:rsidRPr="00634A7E">
        <w:rPr>
          <w:color w:val="000000"/>
          <w:sz w:val="22"/>
          <w:szCs w:val="22"/>
        </w:rPr>
        <w:t xml:space="preserve"> (75 alebo 100 mg/m</w:t>
      </w:r>
      <w:r w:rsidRPr="008A73CC">
        <w:rPr>
          <w:color w:val="000000"/>
          <w:sz w:val="22"/>
          <w:szCs w:val="22"/>
          <w:vertAlign w:val="superscript"/>
        </w:rPr>
        <w:t>2</w:t>
      </w:r>
      <w:r w:rsidRPr="00634A7E">
        <w:rPr>
          <w:color w:val="000000"/>
          <w:sz w:val="22"/>
          <w:szCs w:val="22"/>
        </w:rPr>
        <w:t xml:space="preserve"> podávaných každých 21 dní) súbežne so </w:t>
      </w:r>
      <w:proofErr w:type="spellStart"/>
      <w:r w:rsidRPr="00634A7E">
        <w:rPr>
          <w:color w:val="000000"/>
          <w:sz w:val="22"/>
          <w:szCs w:val="22"/>
        </w:rPr>
        <w:t>sorafenibom</w:t>
      </w:r>
      <w:proofErr w:type="spellEnd"/>
      <w:r w:rsidRPr="00634A7E">
        <w:rPr>
          <w:color w:val="000000"/>
          <w:sz w:val="22"/>
          <w:szCs w:val="22"/>
        </w:rPr>
        <w:t xml:space="preserve"> (200 mg dvakrát denne alebo 400 mg dvakrát denne podávaných od 2. po 19. deň 21-dňového cyklu s 3-dňovou prestávkou v dávkovaní počas podávania </w:t>
      </w:r>
      <w:proofErr w:type="spellStart"/>
      <w:r w:rsidRPr="00634A7E">
        <w:rPr>
          <w:color w:val="000000"/>
          <w:sz w:val="22"/>
          <w:szCs w:val="22"/>
        </w:rPr>
        <w:t>docetaxelu</w:t>
      </w:r>
      <w:proofErr w:type="spellEnd"/>
      <w:r w:rsidRPr="00634A7E">
        <w:rPr>
          <w:color w:val="000000"/>
          <w:sz w:val="22"/>
          <w:szCs w:val="22"/>
        </w:rPr>
        <w:t xml:space="preserve">) malo za následok 36-80% nárast AUC </w:t>
      </w:r>
      <w:proofErr w:type="spellStart"/>
      <w:r w:rsidRPr="00634A7E">
        <w:rPr>
          <w:color w:val="000000"/>
          <w:sz w:val="22"/>
          <w:szCs w:val="22"/>
        </w:rPr>
        <w:t>docetaxelu</w:t>
      </w:r>
      <w:proofErr w:type="spellEnd"/>
      <w:r w:rsidRPr="00634A7E">
        <w:rPr>
          <w:color w:val="000000"/>
          <w:sz w:val="22"/>
          <w:szCs w:val="22"/>
        </w:rPr>
        <w:t xml:space="preserve"> a 16-32% vzostup </w:t>
      </w:r>
      <w:proofErr w:type="spellStart"/>
      <w:r w:rsidRPr="00634A7E">
        <w:rPr>
          <w:color w:val="000000"/>
          <w:sz w:val="22"/>
          <w:szCs w:val="22"/>
        </w:rPr>
        <w:t>C</w:t>
      </w:r>
      <w:r w:rsidRPr="008A73CC">
        <w:rPr>
          <w:color w:val="000000"/>
          <w:sz w:val="22"/>
          <w:szCs w:val="22"/>
          <w:vertAlign w:val="subscript"/>
        </w:rPr>
        <w:t>max</w:t>
      </w:r>
      <w:proofErr w:type="spellEnd"/>
      <w:r w:rsidRPr="00634A7E">
        <w:rPr>
          <w:color w:val="000000"/>
          <w:sz w:val="22"/>
          <w:szCs w:val="22"/>
        </w:rPr>
        <w:t xml:space="preserve"> </w:t>
      </w:r>
      <w:proofErr w:type="spellStart"/>
      <w:r w:rsidRPr="00634A7E">
        <w:rPr>
          <w:color w:val="000000"/>
          <w:sz w:val="22"/>
          <w:szCs w:val="22"/>
        </w:rPr>
        <w:t>docetaxelu</w:t>
      </w:r>
      <w:proofErr w:type="spellEnd"/>
      <w:r w:rsidRPr="00634A7E">
        <w:rPr>
          <w:color w:val="000000"/>
          <w:sz w:val="22"/>
          <w:szCs w:val="22"/>
        </w:rPr>
        <w:t xml:space="preserve">. Opatrnosť sa odporúča pri súbežnom podávaní </w:t>
      </w:r>
      <w:proofErr w:type="spellStart"/>
      <w:r w:rsidRPr="00634A7E">
        <w:rPr>
          <w:color w:val="000000"/>
          <w:sz w:val="22"/>
          <w:szCs w:val="22"/>
        </w:rPr>
        <w:t>sorafenibu</w:t>
      </w:r>
      <w:proofErr w:type="spellEnd"/>
      <w:r w:rsidRPr="00634A7E">
        <w:rPr>
          <w:color w:val="000000"/>
          <w:sz w:val="22"/>
          <w:szCs w:val="22"/>
        </w:rPr>
        <w:t xml:space="preserve"> s </w:t>
      </w:r>
      <w:proofErr w:type="spellStart"/>
      <w:r w:rsidRPr="00634A7E">
        <w:rPr>
          <w:color w:val="000000"/>
          <w:sz w:val="22"/>
          <w:szCs w:val="22"/>
        </w:rPr>
        <w:t>docetaxelom</w:t>
      </w:r>
      <w:proofErr w:type="spellEnd"/>
      <w:r w:rsidRPr="00634A7E">
        <w:rPr>
          <w:color w:val="000000"/>
          <w:sz w:val="22"/>
          <w:szCs w:val="22"/>
        </w:rPr>
        <w:t xml:space="preserve"> (pozri časť 4.4).</w:t>
      </w:r>
    </w:p>
    <w:p w:rsidR="00634A7E" w:rsidRPr="00634A7E" w:rsidRDefault="00634A7E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Kombinácie s inými látkami </w:t>
      </w:r>
    </w:p>
    <w:p w:rsidR="008A73CC" w:rsidRDefault="008A73CC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proofErr w:type="spellStart"/>
      <w:r w:rsidRPr="005B7DBA">
        <w:rPr>
          <w:i/>
          <w:iCs/>
          <w:color w:val="000000"/>
          <w:sz w:val="22"/>
          <w:szCs w:val="22"/>
        </w:rPr>
        <w:t>Neomycín</w:t>
      </w:r>
      <w:proofErr w:type="spellEnd"/>
      <w:r w:rsidRPr="005B7DBA">
        <w:rPr>
          <w:i/>
          <w:iCs/>
          <w:color w:val="000000"/>
          <w:sz w:val="22"/>
          <w:szCs w:val="22"/>
        </w:rPr>
        <w:t xml:space="preserve"> </w:t>
      </w:r>
    </w:p>
    <w:p w:rsidR="005B7DBA" w:rsidRPr="005B7DBA" w:rsidRDefault="005B7DBA" w:rsidP="005B7DBA">
      <w:pPr>
        <w:pStyle w:val="CM2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Súbežné podávanie </w:t>
      </w:r>
      <w:proofErr w:type="spellStart"/>
      <w:r w:rsidRPr="005B7DBA">
        <w:rPr>
          <w:color w:val="000000"/>
          <w:sz w:val="22"/>
          <w:szCs w:val="22"/>
        </w:rPr>
        <w:t>neomycínu</w:t>
      </w:r>
      <w:proofErr w:type="spellEnd"/>
      <w:r w:rsidRPr="005B7DBA">
        <w:rPr>
          <w:color w:val="000000"/>
          <w:sz w:val="22"/>
          <w:szCs w:val="22"/>
        </w:rPr>
        <w:t>, nesystémov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antimikrobiáln</w:t>
      </w:r>
      <w:r w:rsidR="0095110E">
        <w:rPr>
          <w:color w:val="000000"/>
          <w:sz w:val="22"/>
          <w:szCs w:val="22"/>
        </w:rPr>
        <w:t>ej</w:t>
      </w:r>
      <w:proofErr w:type="spellEnd"/>
      <w:r w:rsidRPr="005B7DBA">
        <w:rPr>
          <w:color w:val="000000"/>
          <w:sz w:val="22"/>
          <w:szCs w:val="22"/>
        </w:rPr>
        <w:t xml:space="preserve"> lát</w:t>
      </w:r>
      <w:r w:rsidR="0095110E">
        <w:rPr>
          <w:color w:val="000000"/>
          <w:sz w:val="22"/>
          <w:szCs w:val="22"/>
        </w:rPr>
        <w:t>ky,</w:t>
      </w:r>
      <w:r w:rsidRPr="005B7DBA">
        <w:rPr>
          <w:color w:val="000000"/>
          <w:sz w:val="22"/>
          <w:szCs w:val="22"/>
        </w:rPr>
        <w:t xml:space="preserve"> používan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na </w:t>
      </w:r>
      <w:proofErr w:type="spellStart"/>
      <w:r w:rsidRPr="005B7DBA">
        <w:rPr>
          <w:color w:val="000000"/>
          <w:sz w:val="22"/>
          <w:szCs w:val="22"/>
        </w:rPr>
        <w:t>eradikáciu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gastrointestinálnej</w:t>
      </w:r>
      <w:proofErr w:type="spellEnd"/>
      <w:r w:rsidRPr="005B7DBA">
        <w:rPr>
          <w:color w:val="000000"/>
          <w:sz w:val="22"/>
          <w:szCs w:val="22"/>
        </w:rPr>
        <w:t xml:space="preserve"> flóry, vzájomne spolupôsob</w:t>
      </w:r>
      <w:r w:rsidR="00090884">
        <w:rPr>
          <w:color w:val="000000"/>
          <w:sz w:val="22"/>
          <w:szCs w:val="22"/>
        </w:rPr>
        <w:t>í</w:t>
      </w:r>
      <w:r w:rsidRPr="005B7DBA">
        <w:rPr>
          <w:color w:val="000000"/>
          <w:sz w:val="22"/>
          <w:szCs w:val="22"/>
        </w:rPr>
        <w:t xml:space="preserve"> s </w:t>
      </w:r>
      <w:proofErr w:type="spellStart"/>
      <w:r w:rsidRPr="005B7DBA">
        <w:rPr>
          <w:color w:val="000000"/>
          <w:sz w:val="22"/>
          <w:szCs w:val="22"/>
        </w:rPr>
        <w:t>enterohepatálnou</w:t>
      </w:r>
      <w:proofErr w:type="spellEnd"/>
      <w:r w:rsidRPr="005B7DBA">
        <w:rPr>
          <w:color w:val="000000"/>
          <w:sz w:val="22"/>
          <w:szCs w:val="22"/>
        </w:rPr>
        <w:t xml:space="preserve"> recykláciou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(pozri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časť 5.2, </w:t>
      </w:r>
      <w:proofErr w:type="spellStart"/>
      <w:r w:rsidR="00090884">
        <w:rPr>
          <w:color w:val="000000"/>
          <w:sz w:val="22"/>
          <w:szCs w:val="22"/>
        </w:rPr>
        <w:t>Biotransformácia</w:t>
      </w:r>
      <w:proofErr w:type="spellEnd"/>
      <w:r w:rsidRPr="005B7DBA">
        <w:rPr>
          <w:color w:val="000000"/>
          <w:sz w:val="22"/>
          <w:szCs w:val="22"/>
        </w:rPr>
        <w:t xml:space="preserve"> a eliminácia), čo vedie k zníženej expozícii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. U zdravých dobrovoľníkov liečených </w:t>
      </w:r>
      <w:proofErr w:type="spellStart"/>
      <w:r w:rsidRPr="005B7DBA">
        <w:rPr>
          <w:color w:val="000000"/>
          <w:sz w:val="22"/>
          <w:szCs w:val="22"/>
        </w:rPr>
        <w:t>neomycínom</w:t>
      </w:r>
      <w:proofErr w:type="spellEnd"/>
      <w:r w:rsidRPr="005B7DBA">
        <w:rPr>
          <w:color w:val="000000"/>
          <w:sz w:val="22"/>
          <w:szCs w:val="22"/>
        </w:rPr>
        <w:t xml:space="preserve"> s 5-dňovou schémou sa priemerná expozícia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znížila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 54 %. Účinky iných antibiotík sa neskúmali, no budú pravdepodobne závisieť od ich schopnosti vzájomného spolupôsobenia </w:t>
      </w:r>
      <w:r w:rsidR="00090884">
        <w:rPr>
          <w:color w:val="000000"/>
          <w:sz w:val="22"/>
          <w:szCs w:val="22"/>
        </w:rPr>
        <w:t xml:space="preserve">s </w:t>
      </w:r>
      <w:r w:rsidRPr="005B7DBA">
        <w:rPr>
          <w:color w:val="000000"/>
          <w:sz w:val="22"/>
          <w:szCs w:val="22"/>
        </w:rPr>
        <w:t>mikroorganizm</w:t>
      </w:r>
      <w:r w:rsidR="00090884">
        <w:rPr>
          <w:color w:val="000000"/>
          <w:sz w:val="22"/>
          <w:szCs w:val="22"/>
        </w:rPr>
        <w:t>ami</w:t>
      </w:r>
      <w:r w:rsidRPr="005B7DBA">
        <w:rPr>
          <w:color w:val="000000"/>
          <w:sz w:val="22"/>
          <w:szCs w:val="22"/>
        </w:rPr>
        <w:t xml:space="preserve"> s aktivitou </w:t>
      </w:r>
      <w:proofErr w:type="spellStart"/>
      <w:r w:rsidRPr="005B7DBA">
        <w:rPr>
          <w:color w:val="000000"/>
          <w:sz w:val="22"/>
          <w:szCs w:val="22"/>
        </w:rPr>
        <w:t>glukuronidázy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8A73C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4.6 </w:t>
      </w:r>
      <w:r w:rsidR="008A73CC">
        <w:rPr>
          <w:b/>
          <w:bCs/>
          <w:color w:val="000000"/>
          <w:sz w:val="22"/>
          <w:szCs w:val="22"/>
        </w:rPr>
        <w:tab/>
      </w:r>
      <w:proofErr w:type="spellStart"/>
      <w:r w:rsidRPr="005B7DBA">
        <w:rPr>
          <w:b/>
          <w:bCs/>
          <w:color w:val="000000"/>
          <w:sz w:val="22"/>
          <w:szCs w:val="22"/>
        </w:rPr>
        <w:t>Fertilita</w:t>
      </w:r>
      <w:proofErr w:type="spellEnd"/>
      <w:r w:rsidRPr="005B7DBA">
        <w:rPr>
          <w:b/>
          <w:bCs/>
          <w:color w:val="000000"/>
          <w:sz w:val="22"/>
          <w:szCs w:val="22"/>
        </w:rPr>
        <w:t xml:space="preserve">, gravidita a laktácia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Gravidita </w:t>
      </w:r>
    </w:p>
    <w:p w:rsidR="006D5658" w:rsidRPr="006D5658" w:rsidRDefault="006D5658" w:rsidP="006D5658">
      <w:pPr>
        <w:pStyle w:val="Default"/>
      </w:pPr>
    </w:p>
    <w:p w:rsidR="005B7DBA" w:rsidRPr="005B7DBA" w:rsidRDefault="005B7DBA" w:rsidP="005B7DBA">
      <w:pPr>
        <w:pStyle w:val="CM10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sú k dispozícii údaje o použití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u gravidných žien. Štúdie na zvieratách preukázali reprodukčnú toxicitu vrátane </w:t>
      </w:r>
      <w:proofErr w:type="spellStart"/>
      <w:r w:rsidRPr="005B7DBA">
        <w:rPr>
          <w:color w:val="000000"/>
          <w:sz w:val="22"/>
          <w:szCs w:val="22"/>
        </w:rPr>
        <w:t>malformácií</w:t>
      </w:r>
      <w:proofErr w:type="spellEnd"/>
      <w:r w:rsidRPr="005B7DBA">
        <w:rPr>
          <w:color w:val="000000"/>
          <w:sz w:val="22"/>
          <w:szCs w:val="22"/>
        </w:rPr>
        <w:t xml:space="preserve"> (pozri časť 5.3). U potkanov sa dokázalo, 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a jeho </w:t>
      </w:r>
      <w:proofErr w:type="spellStart"/>
      <w:r w:rsidRPr="005B7DBA">
        <w:rPr>
          <w:color w:val="000000"/>
          <w:sz w:val="22"/>
          <w:szCs w:val="22"/>
        </w:rPr>
        <w:t>metabolity</w:t>
      </w:r>
      <w:proofErr w:type="spellEnd"/>
      <w:r w:rsidRPr="005B7DBA">
        <w:rPr>
          <w:color w:val="000000"/>
          <w:sz w:val="22"/>
          <w:szCs w:val="22"/>
        </w:rPr>
        <w:t xml:space="preserve"> prechádzajú placentou a predpokladá sa, 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spôsobuje účinky škodlivé pre plod.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sa nemá používať počas gravidity, pokiaľ to nie je zjavne nevyhnutné po starostlivom zvážení potrieb matky a rizika pre plod.</w:t>
      </w:r>
    </w:p>
    <w:p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Ženy vo fertilnom veku musia počas liečby používať účinnú antikoncepciu.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Default="005B7DBA" w:rsidP="00634A7E">
      <w:pPr>
        <w:pStyle w:val="CM3"/>
        <w:spacing w:line="240" w:lineRule="auto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Dojčenie </w:t>
      </w:r>
    </w:p>
    <w:p w:rsidR="006D5658" w:rsidRPr="006D5658" w:rsidRDefault="006D5658" w:rsidP="006D5658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lastRenderedPageBreak/>
        <w:t xml:space="preserve">Nie je známe, či sa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vylučuje do ľudského mlieka. U zvierat sa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a/alebo jeho </w:t>
      </w:r>
      <w:proofErr w:type="spellStart"/>
      <w:r w:rsidRPr="005B7DBA">
        <w:rPr>
          <w:color w:val="000000"/>
          <w:sz w:val="22"/>
          <w:szCs w:val="22"/>
        </w:rPr>
        <w:t>metabolity</w:t>
      </w:r>
      <w:proofErr w:type="spellEnd"/>
      <w:r w:rsidRPr="005B7DBA">
        <w:rPr>
          <w:color w:val="000000"/>
          <w:sz w:val="22"/>
          <w:szCs w:val="22"/>
        </w:rPr>
        <w:t xml:space="preserve"> vylučovali do mlieka. Keďže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môže poškodiť rast dojčiat a ich vývin (pozri časť 5.3), ženy počas liečby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nesmú dojčiť.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Fertilita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</w:t>
      </w:r>
    </w:p>
    <w:p w:rsidR="006D5658" w:rsidRDefault="006D5658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Výsledky zo štúdií na zvieratách ďalej naznačujú, 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môže poškodiť mužskú i ženskú </w:t>
      </w:r>
      <w:proofErr w:type="spellStart"/>
      <w:r w:rsidRPr="005B7DBA">
        <w:rPr>
          <w:color w:val="000000"/>
          <w:sz w:val="22"/>
          <w:szCs w:val="22"/>
        </w:rPr>
        <w:t>fertilitu</w:t>
      </w:r>
      <w:proofErr w:type="spellEnd"/>
      <w:r w:rsidRPr="005B7DBA">
        <w:rPr>
          <w:color w:val="000000"/>
          <w:sz w:val="22"/>
          <w:szCs w:val="22"/>
        </w:rPr>
        <w:t xml:space="preserve"> (pozri časť 5.3).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4D0AD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4.7 </w:t>
      </w:r>
      <w:r w:rsidR="004D0AD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Ovplyvnenie schopnosti viesť vozidlá a obsluhovať stroje </w:t>
      </w:r>
    </w:p>
    <w:p w:rsidR="004D0ADC" w:rsidRDefault="004D0ADC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Neuskutočnili sa žiadne štúdie o účinkoch na schopnosť viesť vozidlá a obsluhovať stroje. Neexistujú dôkazy o tom, že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ovplyvňuje schopnosť viesť vozidlá alebo obsluhovať stroje.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4D0AD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4.8 </w:t>
      </w:r>
      <w:r w:rsidR="004D0AD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Nežiaduce účinky </w:t>
      </w:r>
    </w:p>
    <w:p w:rsidR="004D0ADC" w:rsidRDefault="004D0ADC" w:rsidP="005B7DBA">
      <w:pPr>
        <w:pStyle w:val="CM32"/>
        <w:rPr>
          <w:color w:val="000000"/>
          <w:sz w:val="22"/>
          <w:szCs w:val="22"/>
        </w:rPr>
      </w:pPr>
    </w:p>
    <w:p w:rsidR="00D234DD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Najdôležitejšie závažné nežiaduce reakcie boli infarkt/ischémia myokardu, </w:t>
      </w:r>
      <w:proofErr w:type="spellStart"/>
      <w:r w:rsidRPr="005B7DBA">
        <w:rPr>
          <w:color w:val="000000"/>
          <w:sz w:val="22"/>
          <w:szCs w:val="22"/>
        </w:rPr>
        <w:t>gastrointestinálna</w:t>
      </w:r>
      <w:proofErr w:type="spellEnd"/>
      <w:r w:rsidRPr="005B7DBA">
        <w:rPr>
          <w:color w:val="000000"/>
          <w:sz w:val="22"/>
          <w:szCs w:val="22"/>
        </w:rPr>
        <w:t xml:space="preserve"> perforácia, liekom indukovaná hepatitída, </w:t>
      </w:r>
      <w:proofErr w:type="spellStart"/>
      <w:r w:rsidRPr="005B7DBA">
        <w:rPr>
          <w:color w:val="000000"/>
          <w:sz w:val="22"/>
          <w:szCs w:val="22"/>
        </w:rPr>
        <w:t>hemorágia</w:t>
      </w:r>
      <w:proofErr w:type="spellEnd"/>
      <w:r w:rsidRPr="005B7DBA">
        <w:rPr>
          <w:color w:val="000000"/>
          <w:sz w:val="22"/>
          <w:szCs w:val="22"/>
        </w:rPr>
        <w:t xml:space="preserve"> a hypertenzia/</w:t>
      </w:r>
      <w:proofErr w:type="spellStart"/>
      <w:r w:rsidRPr="005B7DBA">
        <w:rPr>
          <w:color w:val="000000"/>
          <w:sz w:val="22"/>
          <w:szCs w:val="22"/>
        </w:rPr>
        <w:t>hypertenzná</w:t>
      </w:r>
      <w:proofErr w:type="spellEnd"/>
      <w:r w:rsidRPr="005B7DBA">
        <w:rPr>
          <w:color w:val="000000"/>
          <w:sz w:val="22"/>
          <w:szCs w:val="22"/>
        </w:rPr>
        <w:t xml:space="preserve"> kríza. </w:t>
      </w:r>
    </w:p>
    <w:p w:rsidR="00D234DD" w:rsidRDefault="00D234DD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Najčastejšie nežiaduce reakcie boli hnačka, únava, </w:t>
      </w:r>
      <w:proofErr w:type="spellStart"/>
      <w:r w:rsidRPr="005B7DBA">
        <w:rPr>
          <w:color w:val="000000"/>
          <w:sz w:val="22"/>
          <w:szCs w:val="22"/>
        </w:rPr>
        <w:t>alopécia</w:t>
      </w:r>
      <w:proofErr w:type="spellEnd"/>
      <w:r w:rsidRPr="005B7DBA">
        <w:rPr>
          <w:color w:val="000000"/>
          <w:sz w:val="22"/>
          <w:szCs w:val="22"/>
        </w:rPr>
        <w:t xml:space="preserve">, infekcia, kožná reakcia ruka-noha (v </w:t>
      </w:r>
      <w:proofErr w:type="spellStart"/>
      <w:r w:rsidRPr="005B7DBA">
        <w:rPr>
          <w:color w:val="000000"/>
          <w:sz w:val="22"/>
          <w:szCs w:val="22"/>
        </w:rPr>
        <w:t>MedDRA</w:t>
      </w:r>
      <w:proofErr w:type="spellEnd"/>
      <w:r w:rsidRPr="005B7DBA">
        <w:rPr>
          <w:color w:val="000000"/>
          <w:sz w:val="22"/>
          <w:szCs w:val="22"/>
        </w:rPr>
        <w:t xml:space="preserve"> zodpovedá syndrómu </w:t>
      </w:r>
      <w:proofErr w:type="spellStart"/>
      <w:r w:rsidRPr="005B7DBA">
        <w:rPr>
          <w:color w:val="000000"/>
          <w:sz w:val="22"/>
          <w:szCs w:val="22"/>
        </w:rPr>
        <w:t>palmárno-plantárnej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erytrodyzestézi</w:t>
      </w:r>
      <w:r w:rsidR="000E6F1D">
        <w:rPr>
          <w:color w:val="000000"/>
          <w:sz w:val="22"/>
          <w:szCs w:val="22"/>
        </w:rPr>
        <w:t>e</w:t>
      </w:r>
      <w:proofErr w:type="spellEnd"/>
      <w:r w:rsidRPr="005B7DBA">
        <w:rPr>
          <w:color w:val="000000"/>
          <w:sz w:val="22"/>
          <w:szCs w:val="22"/>
        </w:rPr>
        <w:t xml:space="preserve">) a vyrážka. </w:t>
      </w:r>
    </w:p>
    <w:p w:rsidR="00D234DD" w:rsidRPr="00D234DD" w:rsidRDefault="00D234DD" w:rsidP="00D234DD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Nežiaduce reakcie hlásené v</w:t>
      </w:r>
      <w:r w:rsidR="000E6F1D">
        <w:rPr>
          <w:color w:val="000000"/>
          <w:sz w:val="22"/>
          <w:szCs w:val="22"/>
        </w:rPr>
        <w:t>o viacerých</w:t>
      </w:r>
      <w:r w:rsidRPr="005B7DBA">
        <w:rPr>
          <w:color w:val="000000"/>
          <w:sz w:val="22"/>
          <w:szCs w:val="22"/>
        </w:rPr>
        <w:t xml:space="preserve"> klinických skúšaniach alebo počas používania po uvedení lieku na trh sú uvedené nižšie v tabuľke 1 podľa tried orgánových systémov (podľa </w:t>
      </w:r>
      <w:proofErr w:type="spellStart"/>
      <w:r w:rsidRPr="005B7DBA">
        <w:rPr>
          <w:color w:val="000000"/>
          <w:sz w:val="22"/>
          <w:szCs w:val="22"/>
        </w:rPr>
        <w:t>MedDRA</w:t>
      </w:r>
      <w:proofErr w:type="spellEnd"/>
      <w:r w:rsidRPr="005B7DBA">
        <w:rPr>
          <w:color w:val="000000"/>
          <w:sz w:val="22"/>
          <w:szCs w:val="22"/>
        </w:rPr>
        <w:t xml:space="preserve">) a frekvencie. Frekvencie sú definované ako: veľmi časté (≥1/10), časté (≥1/100 až &lt;1/10), menej časté (≥1/1 000 až &lt;1/100), zriedkavé (≥1/10 000 až &lt;1/1 000), neznáme (z dostupných údajov). </w:t>
      </w:r>
    </w:p>
    <w:p w:rsidR="000E6F1D" w:rsidRDefault="000E6F1D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rámci jednotlivých skupín frekvencií sú nežiaduce účinky usporiadané v poradí klesajúcej závažnosti. </w:t>
      </w:r>
    </w:p>
    <w:p w:rsidR="00634A7E" w:rsidRPr="00634A7E" w:rsidRDefault="00634A7E" w:rsidP="00634A7E">
      <w:pPr>
        <w:pStyle w:val="Default"/>
      </w:pPr>
    </w:p>
    <w:p w:rsidR="005B7DBA" w:rsidRPr="005B7DBA" w:rsidRDefault="005B7DBA" w:rsidP="00634A7E">
      <w:pPr>
        <w:pStyle w:val="CM38"/>
        <w:rPr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>Tabuľka 1: Všetky nežiaduce reakcie hlásené u pacientov v</w:t>
      </w:r>
      <w:r w:rsidR="000E6F1D">
        <w:rPr>
          <w:b/>
          <w:bCs/>
          <w:color w:val="000000"/>
          <w:sz w:val="22"/>
          <w:szCs w:val="22"/>
        </w:rPr>
        <w:t>o</w:t>
      </w:r>
      <w:r w:rsidRPr="005B7DBA">
        <w:rPr>
          <w:b/>
          <w:bCs/>
          <w:color w:val="000000"/>
          <w:sz w:val="22"/>
          <w:szCs w:val="22"/>
        </w:rPr>
        <w:t xml:space="preserve"> </w:t>
      </w:r>
      <w:r w:rsidR="000E6F1D">
        <w:rPr>
          <w:b/>
          <w:bCs/>
          <w:color w:val="000000"/>
          <w:sz w:val="22"/>
          <w:szCs w:val="22"/>
        </w:rPr>
        <w:t xml:space="preserve">viacerých </w:t>
      </w:r>
      <w:r w:rsidRPr="005B7DBA">
        <w:rPr>
          <w:b/>
          <w:bCs/>
          <w:color w:val="000000"/>
          <w:sz w:val="22"/>
          <w:szCs w:val="22"/>
        </w:rPr>
        <w:t xml:space="preserve">klinických skúšaniach alebo počas používania po uvedení lieku na trh </w:t>
      </w:r>
    </w:p>
    <w:p w:rsidR="005B7DBA" w:rsidRDefault="005B7DBA" w:rsidP="005B7DBA">
      <w:pPr>
        <w:pStyle w:val="Default"/>
        <w:rPr>
          <w:color w:val="auto"/>
          <w:sz w:val="22"/>
          <w:szCs w:val="22"/>
        </w:rPr>
      </w:pPr>
    </w:p>
    <w:p w:rsidR="00D234DD" w:rsidRPr="00F06EAA" w:rsidRDefault="00D234DD" w:rsidP="000258B8">
      <w:pPr>
        <w:keepNext/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559"/>
        <w:gridCol w:w="1530"/>
      </w:tblGrid>
      <w:tr w:rsidR="000258B8" w:rsidRPr="00F06EAA" w:rsidTr="009C3768">
        <w:trPr>
          <w:tblHeader/>
        </w:trPr>
        <w:tc>
          <w:tcPr>
            <w:tcW w:w="15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Neznáme </w:t>
            </w:r>
          </w:p>
        </w:tc>
      </w:tr>
      <w:tr w:rsidR="000258B8" w:rsidRPr="00F06EAA" w:rsidTr="009C3768">
        <w:tc>
          <w:tcPr>
            <w:tcW w:w="15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Infekcie a nákazy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infekcia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folikulitída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lymfopénia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leukopénia, neutropénia, anémia, trombocytopénia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Poruchy imunitného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reakcie precitlivenosti (vrátane kožných reakcií a žihľavky), anafylaktická reakcia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angioedém 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hypotyreóza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hypertyre</w:t>
            </w:r>
            <w:r w:rsidR="00100801">
              <w:rPr>
                <w:sz w:val="22"/>
                <w:szCs w:val="22"/>
              </w:rPr>
              <w:t>óza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metabolizmu a výživy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anorexia, hypofosfatémia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hypokalciémia, hypokaliémia, hyponatriémia, hypoglykémia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dehydratácia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Psychické poruchy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depresia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306747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nervového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 xml:space="preserve">periférna </w:t>
            </w:r>
          </w:p>
          <w:p w:rsidR="000258B8" w:rsidRP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 xml:space="preserve">senzorická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>neuropatia, porucha chuti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reverzibilná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posteriórna </w:t>
            </w:r>
          </w:p>
          <w:p w:rsidR="000258B8" w:rsidRDefault="000258B8" w:rsidP="000258B8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leukoencefa</w:t>
            </w:r>
            <w:r>
              <w:rPr>
                <w:sz w:val="22"/>
                <w:szCs w:val="22"/>
              </w:rPr>
              <w:softHyphen/>
              <w:t>lopatia*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encefalopatia°</w:t>
            </w: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tinitus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srdca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srdcovej činnosti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kongestívne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zlyhanie srdca*, ischémia myokardu a infarkt myokardu*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 xml:space="preserve">predĺženie </w:t>
            </w:r>
          </w:p>
          <w:p w:rsidR="000258B8" w:rsidRDefault="000258B8" w:rsidP="000258B8">
            <w:pPr>
              <w:pStyle w:val="Default"/>
              <w:rPr>
                <w:color w:val="auto"/>
              </w:rPr>
            </w:pPr>
            <w:r w:rsidRPr="00193AAA">
              <w:rPr>
                <w:sz w:val="22"/>
                <w:szCs w:val="22"/>
              </w:rPr>
              <w:t>intervalu QT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ciev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hemorágia (vrátane gastro</w:t>
            </w:r>
            <w:r>
              <w:rPr>
                <w:sz w:val="22"/>
                <w:szCs w:val="22"/>
              </w:rPr>
              <w:softHyphen/>
              <w:t xml:space="preserve">intestinálnej hemorágie*, hemorágie dýchacej sústavy* a cerebrálnej hemorágie*), hypertenzia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začervenanie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hypertenzná kríza*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584F78" w:rsidRDefault="005B41DD" w:rsidP="000258B8">
            <w:pPr>
              <w:pStyle w:val="Default"/>
              <w:rPr>
                <w:color w:val="auto"/>
                <w:sz w:val="22"/>
                <w:szCs w:val="22"/>
              </w:rPr>
            </w:pPr>
            <w:r w:rsidRPr="00584F78">
              <w:rPr>
                <w:color w:val="auto"/>
                <w:sz w:val="22"/>
                <w:szCs w:val="22"/>
              </w:rPr>
              <w:t>aneuryzmy a arteriálne disekcie</w:t>
            </w: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výtok z nosa, dysfónia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udalosti</w:t>
            </w:r>
          </w:p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podobné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intersticiálnemu ochoreniu pľúc* (pneumonitída, radiačná pneumonitída, akútn</w:t>
            </w:r>
            <w:r w:rsidR="00100801">
              <w:rPr>
                <w:sz w:val="22"/>
                <w:szCs w:val="22"/>
              </w:rPr>
              <w:t>a respiračná tieseň</w:t>
            </w:r>
            <w:r w:rsidRPr="00193AAA">
              <w:rPr>
                <w:sz w:val="22"/>
                <w:szCs w:val="22"/>
              </w:rPr>
              <w:t>, atď.)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767BEF" w:rsidP="00767BEF">
            <w:pPr>
              <w:pStyle w:val="Default"/>
              <w:rPr>
                <w:sz w:val="22"/>
                <w:szCs w:val="22"/>
              </w:rPr>
            </w:pPr>
            <w:r w:rsidRPr="00767BEF">
              <w:rPr>
                <w:sz w:val="22"/>
                <w:szCs w:val="22"/>
              </w:rPr>
              <w:t>Poruchy gastrointestinál</w:t>
            </w:r>
            <w:r>
              <w:rPr>
                <w:sz w:val="22"/>
                <w:szCs w:val="22"/>
              </w:rPr>
              <w:t>-</w:t>
            </w:r>
            <w:r w:rsidRPr="00767BEF">
              <w:rPr>
                <w:sz w:val="22"/>
                <w:szCs w:val="22"/>
              </w:rPr>
              <w:t>neho traktu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575716">
              <w:rPr>
                <w:sz w:val="22"/>
                <w:szCs w:val="22"/>
              </w:rPr>
              <w:t>hn</w:t>
            </w:r>
            <w:r w:rsidRPr="00193AAA">
              <w:rPr>
                <w:sz w:val="22"/>
                <w:szCs w:val="22"/>
              </w:rPr>
              <w:t>ačka, nauzea, vracanie, zápcha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stomatidída (vrátane sucha v ústach a glosodýnie), dyspepsia, dysfágia, gastroezof</w:t>
            </w:r>
            <w:r w:rsidR="00575716">
              <w:rPr>
                <w:sz w:val="22"/>
                <w:szCs w:val="22"/>
              </w:rPr>
              <w:t>ágový</w:t>
            </w:r>
            <w:r w:rsidRPr="00193AAA">
              <w:rPr>
                <w:sz w:val="22"/>
                <w:szCs w:val="22"/>
              </w:rPr>
              <w:t xml:space="preserve"> reflux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pankreatitída, gastritída, gastrointestinál</w:t>
            </w:r>
            <w:r w:rsidR="00767BE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ne perforácie* </w:t>
            </w:r>
          </w:p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193AAA" w:rsidRDefault="000258B8" w:rsidP="00767BEF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Poruchy pečene a</w:t>
            </w:r>
            <w:r w:rsidR="00767BEF">
              <w:rPr>
                <w:sz w:val="22"/>
                <w:szCs w:val="22"/>
              </w:rPr>
              <w:t xml:space="preserve"> </w:t>
            </w:r>
            <w:r w:rsidRPr="00193AAA">
              <w:rPr>
                <w:sz w:val="22"/>
                <w:szCs w:val="22"/>
              </w:rPr>
              <w:t>žlčových ciest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zvýšený bilirubín a žltačka, cholecystitída, cholangitída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</w:t>
            </w:r>
            <w:r w:rsidRPr="00193AAA">
              <w:rPr>
                <w:color w:val="auto"/>
                <w:sz w:val="22"/>
                <w:szCs w:val="22"/>
              </w:rPr>
              <w:t>iekom indukovaná hepatitída*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Poruchy kože a podkožného tkan</w:t>
            </w:r>
            <w:r w:rsidR="000E6F1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suchá koža, vyrážka, </w:t>
            </w:r>
            <w:r w:rsidRPr="008C293C">
              <w:rPr>
                <w:rFonts w:ascii="Times New Roman" w:hAnsi="Times New Roman" w:cs="Times New Roman"/>
              </w:rPr>
              <w:t>alopécia, kožná reakcia ruka-noha**, erytém, pruritus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8C293C" w:rsidRDefault="000258B8" w:rsidP="000258B8">
            <w:pPr>
              <w:rPr>
                <w:rFonts w:ascii="Times New Roman" w:hAnsi="Times New Roman" w:cs="Times New Roman"/>
                <w:spacing w:val="-2"/>
              </w:rPr>
            </w:pPr>
            <w:r w:rsidRPr="008C293C">
              <w:rPr>
                <w:rFonts w:ascii="Times New Roman" w:hAnsi="Times New Roman" w:cs="Times New Roman"/>
                <w:spacing w:val="-2"/>
              </w:rPr>
              <w:t>keratoakantóm/</w:t>
            </w:r>
            <w:r w:rsidRPr="008C293C">
              <w:rPr>
                <w:rFonts w:ascii="Times New Roman" w:hAnsi="Times New Roman" w:cs="Times New Roman"/>
              </w:rPr>
              <w:t xml:space="preserve"> </w:t>
            </w:r>
            <w:r w:rsidR="00575716">
              <w:rPr>
                <w:rFonts w:ascii="Times New Roman" w:hAnsi="Times New Roman" w:cs="Times New Roman"/>
              </w:rPr>
              <w:t xml:space="preserve">skvamocelulárny </w:t>
            </w:r>
            <w:r w:rsidRPr="008C293C">
              <w:rPr>
                <w:rFonts w:ascii="Times New Roman" w:hAnsi="Times New Roman" w:cs="Times New Roman"/>
                <w:spacing w:val="-2"/>
              </w:rPr>
              <w:t>karcinóm kože, exfoliatívna dermatitída, akné, deskvamácia kože, hyperkeratóza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ekzém,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F06EAA">
              <w:rPr>
                <w:rFonts w:ascii="Times New Roman" w:hAnsi="Times New Roman" w:cs="Times New Roman"/>
                <w:spacing w:val="-4"/>
              </w:rPr>
              <w:t>m</w:t>
            </w:r>
            <w:r w:rsidRPr="00F06EAA">
              <w:rPr>
                <w:rFonts w:ascii="Times New Roman" w:hAnsi="Times New Roman" w:cs="Times New Roman"/>
              </w:rPr>
              <w:t>u</w:t>
            </w:r>
            <w:r w:rsidRPr="00F06EAA">
              <w:rPr>
                <w:rFonts w:ascii="Times New Roman" w:hAnsi="Times New Roman" w:cs="Times New Roman"/>
                <w:spacing w:val="1"/>
              </w:rPr>
              <w:t>ltif</w:t>
            </w:r>
            <w:r w:rsidRPr="00F06EAA">
              <w:rPr>
                <w:rFonts w:ascii="Times New Roman" w:hAnsi="Times New Roman" w:cs="Times New Roman"/>
                <w:spacing w:val="-2"/>
              </w:rPr>
              <w:t>o</w:t>
            </w:r>
            <w:r w:rsidRPr="00F06EAA">
              <w:rPr>
                <w:rFonts w:ascii="Times New Roman" w:hAnsi="Times New Roman" w:cs="Times New Roman"/>
                <w:spacing w:val="1"/>
              </w:rPr>
              <w:t>r</w:t>
            </w:r>
            <w:r w:rsidRPr="00F06EAA">
              <w:rPr>
                <w:rFonts w:ascii="Times New Roman" w:hAnsi="Times New Roman" w:cs="Times New Roman"/>
                <w:spacing w:val="-4"/>
              </w:rPr>
              <w:t>m</w:t>
            </w:r>
            <w:r w:rsidR="00575716">
              <w:rPr>
                <w:rFonts w:ascii="Times New Roman" w:hAnsi="Times New Roman" w:cs="Times New Roman"/>
              </w:rPr>
              <w:t>ný erytém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radiáciou vyvolaná dermatitída, </w:t>
            </w:r>
            <w:r w:rsidRPr="008C293C">
              <w:rPr>
                <w:rFonts w:ascii="Times New Roman" w:hAnsi="Times New Roman" w:cs="Times New Roman"/>
              </w:rPr>
              <w:t>Stevensov -</w:t>
            </w:r>
            <w:r>
              <w:rPr>
                <w:rFonts w:ascii="Times New Roman" w:hAnsi="Times New Roman" w:cs="Times New Roman"/>
              </w:rPr>
              <w:t>Johnsonov syndróm, leukocytokla</w:t>
            </w:r>
            <w:r w:rsidRPr="008C293C">
              <w:rPr>
                <w:rFonts w:ascii="Times New Roman" w:hAnsi="Times New Roman" w:cs="Times New Roman"/>
              </w:rPr>
              <w:t xml:space="preserve">s-tická vaskulitída, </w:t>
            </w:r>
            <w:r w:rsidRPr="008C293C">
              <w:rPr>
                <w:rFonts w:ascii="Times New Roman" w:hAnsi="Times New Roman" w:cs="Times New Roman"/>
              </w:rPr>
              <w:lastRenderedPageBreak/>
              <w:t>toxická epidermálna nekrolýza*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Poruchy kostrovej a svalovej sústavy a spojivového tkaniva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artralgia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myalgia, svalové kŕče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1"/>
              </w:rPr>
              <w:t>rabdomyolýza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Poruchy obličiek a močových ciest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1"/>
              </w:rPr>
              <w:t>zlyhanie obličiek, proteinúria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nefrotický syndróm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Poruchy reprodukčného systému a prsníkov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erektilná dysfunkcia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gynekomastia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Celkové poruchy a reakcie v mieste podania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únava, bolesť (vrátane bolesti úst, brucha, kostí, nádorová bolesť a </w:t>
            </w:r>
            <w:r w:rsidR="000E6F1D">
              <w:rPr>
                <w:rFonts w:ascii="Times New Roman" w:hAnsi="Times New Roman" w:cs="Times New Roman"/>
                <w:spacing w:val="1"/>
              </w:rPr>
              <w:t xml:space="preserve">bolesť </w:t>
            </w:r>
            <w:r>
              <w:rPr>
                <w:rFonts w:ascii="Times New Roman" w:hAnsi="Times New Roman" w:cs="Times New Roman"/>
                <w:spacing w:val="1"/>
              </w:rPr>
              <w:t>hlavy), horúčka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asténia, ochorenie </w:t>
            </w:r>
            <w:r w:rsidRPr="00C22E50">
              <w:rPr>
                <w:rFonts w:ascii="Times New Roman" w:hAnsi="Times New Roman" w:cs="Times New Roman"/>
              </w:rPr>
              <w:t>podobné chrípke, zápal sliznice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4"/>
              </w:rPr>
              <w:t>Laboratórne a funkčné vyšetrenia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znížená telesná hmotnosť, zvýšené hodnoty amylázy, zvýšené hodnoty lipázy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prechodné zvýšenie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transamináz 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C22E50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prechodné zvýšenie </w:t>
            </w:r>
            <w:r w:rsidRPr="00C22E50">
              <w:rPr>
                <w:rFonts w:ascii="Times New Roman" w:hAnsi="Times New Roman" w:cs="Times New Roman"/>
                <w:spacing w:val="1"/>
              </w:rPr>
              <w:t>alkalickej fosfatázy v krvi, a</w:t>
            </w:r>
            <w:r w:rsidRPr="00C22E50">
              <w:rPr>
                <w:rFonts w:ascii="Times New Roman" w:hAnsi="Times New Roman" w:cs="Times New Roman"/>
              </w:rPr>
              <w:t xml:space="preserve">bnormálny INR, abnormálna hladina protrombínu 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</w:tbl>
    <w:p w:rsidR="00767BEF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 xml:space="preserve">* 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Nežiaduce reakcie môžu mať život ohrozujúci alebo fatálny následok. Takéto príhody sa vyskytujú menej často alebo s ešte nižšou frekvenciou. </w:t>
      </w:r>
    </w:p>
    <w:p w:rsidR="00767BEF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 xml:space="preserve">** 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Kožná reakcia ruka-noha zodpovedá v </w:t>
      </w:r>
      <w:proofErr w:type="spellStart"/>
      <w:r w:rsidRPr="005B7DBA">
        <w:rPr>
          <w:sz w:val="22"/>
          <w:szCs w:val="22"/>
        </w:rPr>
        <w:t>MedDRA</w:t>
      </w:r>
      <w:proofErr w:type="spellEnd"/>
      <w:r w:rsidRPr="005B7DBA">
        <w:rPr>
          <w:sz w:val="22"/>
          <w:szCs w:val="22"/>
        </w:rPr>
        <w:t xml:space="preserve"> syndrómu </w:t>
      </w:r>
      <w:proofErr w:type="spellStart"/>
      <w:r w:rsidRPr="005B7DBA">
        <w:rPr>
          <w:sz w:val="22"/>
          <w:szCs w:val="22"/>
        </w:rPr>
        <w:t>palmár</w:t>
      </w:r>
      <w:r w:rsidR="00767BEF">
        <w:rPr>
          <w:sz w:val="22"/>
          <w:szCs w:val="22"/>
        </w:rPr>
        <w:t>no-plantárnej</w:t>
      </w:r>
      <w:proofErr w:type="spellEnd"/>
      <w:r w:rsidR="00767BEF">
        <w:rPr>
          <w:sz w:val="22"/>
          <w:szCs w:val="22"/>
        </w:rPr>
        <w:t xml:space="preserve"> </w:t>
      </w:r>
      <w:proofErr w:type="spellStart"/>
      <w:r w:rsidR="00767BEF">
        <w:rPr>
          <w:sz w:val="22"/>
          <w:szCs w:val="22"/>
        </w:rPr>
        <w:t>erytrodyzestézie</w:t>
      </w:r>
      <w:proofErr w:type="spellEnd"/>
      <w:r w:rsidR="00767BEF">
        <w:rPr>
          <w:sz w:val="22"/>
          <w:szCs w:val="22"/>
        </w:rPr>
        <w:t>.</w:t>
      </w:r>
    </w:p>
    <w:p w:rsidR="005B7DBA" w:rsidRPr="005B7DBA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>°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Prípady boli hlásené po uvedení lieku na trh. </w:t>
      </w:r>
    </w:p>
    <w:p w:rsidR="00767BEF" w:rsidRDefault="00767BEF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Ďalšie informácie o vybraných nežiaducich reakciách lieku </w:t>
      </w:r>
    </w:p>
    <w:p w:rsidR="00767BEF" w:rsidRDefault="00767BEF" w:rsidP="005B7DBA">
      <w:pPr>
        <w:pStyle w:val="CM3"/>
        <w:spacing w:line="240" w:lineRule="auto"/>
        <w:rPr>
          <w:i/>
          <w:iCs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proofErr w:type="spellStart"/>
      <w:r w:rsidRPr="005B7DBA">
        <w:rPr>
          <w:i/>
          <w:iCs/>
          <w:sz w:val="22"/>
          <w:szCs w:val="22"/>
        </w:rPr>
        <w:t>Kongestívne</w:t>
      </w:r>
      <w:proofErr w:type="spellEnd"/>
      <w:r w:rsidRPr="005B7DBA">
        <w:rPr>
          <w:i/>
          <w:iCs/>
          <w:sz w:val="22"/>
          <w:szCs w:val="22"/>
        </w:rPr>
        <w:t xml:space="preserve"> zlyhanie srdca </w:t>
      </w:r>
    </w:p>
    <w:p w:rsidR="00634A7E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V klinických skúšaniach sponzorovaných spoločnosťou sa hlásilo </w:t>
      </w:r>
      <w:proofErr w:type="spellStart"/>
      <w:r w:rsidRPr="005B7DBA">
        <w:rPr>
          <w:sz w:val="22"/>
          <w:szCs w:val="22"/>
        </w:rPr>
        <w:t>kongestívne</w:t>
      </w:r>
      <w:proofErr w:type="spellEnd"/>
      <w:r w:rsidRPr="005B7DBA">
        <w:rPr>
          <w:sz w:val="22"/>
          <w:szCs w:val="22"/>
        </w:rPr>
        <w:t xml:space="preserve"> zlyhanie srdca ako nežiaduca udalosť u 1,9 %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(N=2276). V skúšaní 11213 (RCC) boli nežiaduce udalosti zodpovedajúce </w:t>
      </w:r>
      <w:proofErr w:type="spellStart"/>
      <w:r w:rsidRPr="005B7DBA">
        <w:rPr>
          <w:sz w:val="22"/>
          <w:szCs w:val="22"/>
        </w:rPr>
        <w:t>kongestívnemu</w:t>
      </w:r>
      <w:proofErr w:type="spellEnd"/>
      <w:r w:rsidRPr="005B7DBA">
        <w:rPr>
          <w:sz w:val="22"/>
          <w:szCs w:val="22"/>
        </w:rPr>
        <w:t xml:space="preserve"> zlyhaniu srdca hlásené u 1,7 % tých, ktorí sa liečili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0,7 % užívajúcich placebo. V skúšaní 100554 (HCC) sa tieto prípady hlásili u 0,99 % tých, ktorí sa liečili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1,1 % užívajúcich placebo. </w:t>
      </w:r>
    </w:p>
    <w:p w:rsidR="00634A7E" w:rsidRDefault="00634A7E" w:rsidP="00634A7E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i/>
          <w:iCs/>
          <w:sz w:val="22"/>
          <w:szCs w:val="22"/>
        </w:rPr>
        <w:t xml:space="preserve">Ďalšie informácie o osobitných skupinách pacientov </w:t>
      </w:r>
    </w:p>
    <w:p w:rsidR="005B7DBA" w:rsidRPr="005B7DBA" w:rsidRDefault="005B7DBA" w:rsidP="005B7DBA">
      <w:pPr>
        <w:pStyle w:val="Default"/>
        <w:rPr>
          <w:color w:val="auto"/>
          <w:sz w:val="22"/>
          <w:szCs w:val="22"/>
        </w:rPr>
      </w:pPr>
      <w:r w:rsidRPr="005B7DBA">
        <w:rPr>
          <w:color w:val="auto"/>
          <w:sz w:val="22"/>
          <w:szCs w:val="22"/>
        </w:rPr>
        <w:t xml:space="preserve">V klinických skúšaniach sa niektoré nežiaduce liekové reakcie ako je kožná reakcia ruka-noha, </w:t>
      </w:r>
    </w:p>
    <w:p w:rsidR="005B7DBA" w:rsidRPr="005B7DBA" w:rsidRDefault="005B7DBA" w:rsidP="00767BEF">
      <w:pPr>
        <w:pStyle w:val="Default"/>
        <w:rPr>
          <w:sz w:val="22"/>
          <w:szCs w:val="22"/>
        </w:rPr>
      </w:pPr>
      <w:r w:rsidRPr="005B7DBA">
        <w:rPr>
          <w:color w:val="auto"/>
          <w:sz w:val="22"/>
          <w:szCs w:val="22"/>
        </w:rPr>
        <w:t xml:space="preserve">hnačka, </w:t>
      </w:r>
      <w:proofErr w:type="spellStart"/>
      <w:r w:rsidRPr="005B7DBA">
        <w:rPr>
          <w:color w:val="auto"/>
          <w:sz w:val="22"/>
          <w:szCs w:val="22"/>
        </w:rPr>
        <w:t>alopécia</w:t>
      </w:r>
      <w:proofErr w:type="spellEnd"/>
      <w:r w:rsidRPr="005B7DBA">
        <w:rPr>
          <w:color w:val="auto"/>
          <w:sz w:val="22"/>
          <w:szCs w:val="22"/>
        </w:rPr>
        <w:t xml:space="preserve">, znížená telesná hmotnosť, hypertenzia, </w:t>
      </w:r>
      <w:proofErr w:type="spellStart"/>
      <w:r w:rsidRPr="005B7DBA">
        <w:rPr>
          <w:color w:val="auto"/>
          <w:sz w:val="22"/>
          <w:szCs w:val="22"/>
        </w:rPr>
        <w:t>hypokalciémia</w:t>
      </w:r>
      <w:proofErr w:type="spellEnd"/>
      <w:r w:rsidRPr="005B7DBA">
        <w:rPr>
          <w:color w:val="auto"/>
          <w:sz w:val="22"/>
          <w:szCs w:val="22"/>
        </w:rPr>
        <w:t xml:space="preserve"> </w:t>
      </w:r>
      <w:r w:rsidRPr="005B7DBA">
        <w:rPr>
          <w:sz w:val="22"/>
          <w:szCs w:val="22"/>
        </w:rPr>
        <w:t>a</w:t>
      </w:r>
      <w:r w:rsidR="00767BEF">
        <w:rPr>
          <w:sz w:val="22"/>
          <w:szCs w:val="22"/>
        </w:rPr>
        <w:t> </w:t>
      </w:r>
      <w:proofErr w:type="spellStart"/>
      <w:r w:rsidRPr="005B7DBA">
        <w:rPr>
          <w:sz w:val="22"/>
          <w:szCs w:val="22"/>
        </w:rPr>
        <w:t>keratoakantóm</w:t>
      </w:r>
      <w:proofErr w:type="spellEnd"/>
      <w:r w:rsidRPr="005B7DBA">
        <w:rPr>
          <w:sz w:val="22"/>
          <w:szCs w:val="22"/>
        </w:rPr>
        <w:t>/</w:t>
      </w:r>
      <w:proofErr w:type="spellStart"/>
      <w:r w:rsidR="00EE19B6">
        <w:rPr>
          <w:sz w:val="22"/>
          <w:szCs w:val="22"/>
        </w:rPr>
        <w:t>skvamo</w:t>
      </w:r>
      <w:r w:rsidRPr="005B7DBA">
        <w:rPr>
          <w:sz w:val="22"/>
          <w:szCs w:val="22"/>
        </w:rPr>
        <w:t>celulárny</w:t>
      </w:r>
      <w:proofErr w:type="spellEnd"/>
      <w:r w:rsidRPr="005B7DBA">
        <w:rPr>
          <w:sz w:val="22"/>
          <w:szCs w:val="22"/>
        </w:rPr>
        <w:t xml:space="preserve"> karcinóm kože vyskytovali s podstatne vyššou frekvenciou u pacientov s diferencovaným karcinómom štítnej žľazy v porovnaní s pacientmi v klin</w:t>
      </w:r>
      <w:r w:rsidR="00767BEF">
        <w:rPr>
          <w:sz w:val="22"/>
          <w:szCs w:val="22"/>
        </w:rPr>
        <w:t xml:space="preserve">ických skúšaniach </w:t>
      </w:r>
      <w:r w:rsidR="00EE19B6">
        <w:rPr>
          <w:sz w:val="22"/>
          <w:szCs w:val="22"/>
        </w:rPr>
        <w:t>s</w:t>
      </w:r>
      <w:r w:rsidR="00767BEF">
        <w:rPr>
          <w:sz w:val="22"/>
          <w:szCs w:val="22"/>
        </w:rPr>
        <w:t xml:space="preserve"> karcinóm</w:t>
      </w:r>
      <w:r w:rsidR="00EE19B6">
        <w:rPr>
          <w:sz w:val="22"/>
          <w:szCs w:val="22"/>
        </w:rPr>
        <w:t>om</w:t>
      </w:r>
      <w:r w:rsidR="00767BEF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renálnych</w:t>
      </w:r>
      <w:proofErr w:type="spellEnd"/>
      <w:r w:rsidRPr="005B7DBA">
        <w:rPr>
          <w:sz w:val="22"/>
          <w:szCs w:val="22"/>
        </w:rPr>
        <w:t xml:space="preserve"> buniek alebo </w:t>
      </w:r>
      <w:proofErr w:type="spellStart"/>
      <w:r w:rsidRPr="005B7DBA">
        <w:rPr>
          <w:sz w:val="22"/>
          <w:szCs w:val="22"/>
        </w:rPr>
        <w:t>hepatocelulárn</w:t>
      </w:r>
      <w:r w:rsidR="00EE19B6">
        <w:rPr>
          <w:sz w:val="22"/>
          <w:szCs w:val="22"/>
        </w:rPr>
        <w:t>ym</w:t>
      </w:r>
      <w:proofErr w:type="spellEnd"/>
      <w:r w:rsidRPr="005B7DBA">
        <w:rPr>
          <w:sz w:val="22"/>
          <w:szCs w:val="22"/>
        </w:rPr>
        <w:t xml:space="preserve"> karcinóm</w:t>
      </w:r>
      <w:r w:rsidR="00EE19B6">
        <w:rPr>
          <w:sz w:val="22"/>
          <w:szCs w:val="22"/>
        </w:rPr>
        <w:t>om</w:t>
      </w:r>
      <w:r w:rsidRPr="005B7DBA">
        <w:rPr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sz w:val="22"/>
          <w:szCs w:val="22"/>
          <w:u w:val="single"/>
        </w:rPr>
      </w:pPr>
      <w:r w:rsidRPr="00526A85">
        <w:rPr>
          <w:sz w:val="22"/>
          <w:szCs w:val="22"/>
          <w:u w:val="single"/>
        </w:rPr>
        <w:t>Abnormality laboratórnych testov u pacientov s HCC (</w:t>
      </w:r>
      <w:r w:rsidR="00E47190">
        <w:rPr>
          <w:sz w:val="22"/>
          <w:szCs w:val="22"/>
          <w:u w:val="single"/>
        </w:rPr>
        <w:t>s</w:t>
      </w:r>
      <w:r w:rsidRPr="00526A85">
        <w:rPr>
          <w:sz w:val="22"/>
          <w:szCs w:val="22"/>
          <w:u w:val="single"/>
        </w:rPr>
        <w:t>kúšanie 3) a RCC (</w:t>
      </w:r>
      <w:r w:rsidR="00E47190">
        <w:rPr>
          <w:sz w:val="22"/>
          <w:szCs w:val="22"/>
          <w:u w:val="single"/>
        </w:rPr>
        <w:t>s</w:t>
      </w:r>
      <w:r w:rsidRPr="00526A85">
        <w:rPr>
          <w:sz w:val="22"/>
          <w:szCs w:val="22"/>
          <w:u w:val="single"/>
        </w:rPr>
        <w:t>kúšanie 1)</w:t>
      </w:r>
      <w:r w:rsidRPr="005B7DBA">
        <w:rPr>
          <w:sz w:val="22"/>
          <w:szCs w:val="22"/>
          <w:u w:val="single"/>
        </w:rPr>
        <w:t xml:space="preserve"> </w:t>
      </w:r>
    </w:p>
    <w:p w:rsidR="006D5658" w:rsidRPr="006D5658" w:rsidRDefault="006D5658" w:rsidP="006D5658">
      <w:pPr>
        <w:pStyle w:val="Default"/>
      </w:pPr>
    </w:p>
    <w:p w:rsidR="00526A85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lastRenderedPageBreak/>
        <w:t xml:space="preserve">Veľmi často sa hlásila zvýšená </w:t>
      </w:r>
      <w:proofErr w:type="spellStart"/>
      <w:r w:rsidRPr="005B7DBA">
        <w:rPr>
          <w:sz w:val="22"/>
          <w:szCs w:val="22"/>
        </w:rPr>
        <w:t>lipáza</w:t>
      </w:r>
      <w:proofErr w:type="spellEnd"/>
      <w:r w:rsidRPr="005B7DBA">
        <w:rPr>
          <w:sz w:val="22"/>
          <w:szCs w:val="22"/>
        </w:rPr>
        <w:t xml:space="preserve"> a </w:t>
      </w:r>
      <w:proofErr w:type="spellStart"/>
      <w:r w:rsidRPr="005B7DBA">
        <w:rPr>
          <w:sz w:val="22"/>
          <w:szCs w:val="22"/>
        </w:rPr>
        <w:t>amyláza</w:t>
      </w:r>
      <w:proofErr w:type="spellEnd"/>
      <w:r w:rsidRPr="005B7DBA">
        <w:rPr>
          <w:sz w:val="22"/>
          <w:szCs w:val="22"/>
        </w:rPr>
        <w:t xml:space="preserve">.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(RCC)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(HCC) sa zvýšenia </w:t>
      </w:r>
      <w:proofErr w:type="spellStart"/>
      <w:r w:rsidRPr="005B7DBA">
        <w:rPr>
          <w:sz w:val="22"/>
          <w:szCs w:val="22"/>
        </w:rPr>
        <w:t>lipázy</w:t>
      </w:r>
      <w:proofErr w:type="spellEnd"/>
      <w:r w:rsidRPr="005B7DBA">
        <w:rPr>
          <w:sz w:val="22"/>
          <w:szCs w:val="22"/>
        </w:rPr>
        <w:t xml:space="preserve"> </w:t>
      </w:r>
      <w:r w:rsidR="00D43143">
        <w:rPr>
          <w:sz w:val="22"/>
          <w:szCs w:val="22"/>
        </w:rPr>
        <w:t>CTCAE stupeň 3 alebo 4</w:t>
      </w:r>
      <w:r w:rsidR="00096E96" w:rsidRPr="00096E96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prejavili u 11 % a 9 % pacientov v skupine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oproti 7 % a 9 % pacientov v skupine s placebom.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sa zvýšenia </w:t>
      </w:r>
      <w:proofErr w:type="spellStart"/>
      <w:r w:rsidRPr="005B7DBA">
        <w:rPr>
          <w:sz w:val="22"/>
          <w:szCs w:val="22"/>
        </w:rPr>
        <w:t>amylázy</w:t>
      </w:r>
      <w:proofErr w:type="spellEnd"/>
      <w:r w:rsidRPr="005B7DBA">
        <w:rPr>
          <w:sz w:val="22"/>
          <w:szCs w:val="22"/>
        </w:rPr>
        <w:t xml:space="preserve"> </w:t>
      </w:r>
      <w:r w:rsidR="00D43143">
        <w:rPr>
          <w:sz w:val="22"/>
          <w:szCs w:val="22"/>
        </w:rPr>
        <w:t>CTCAE stupeň 3 alebo 4</w:t>
      </w:r>
      <w:r w:rsidR="00922A10" w:rsidRPr="00922A10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hlásili u 1 % a 2 % pacientov v skupine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oproti 3 % pacientov v každej skupine s placebom. Klinická </w:t>
      </w:r>
      <w:proofErr w:type="spellStart"/>
      <w:r w:rsidRPr="005B7DBA">
        <w:rPr>
          <w:sz w:val="22"/>
          <w:szCs w:val="22"/>
        </w:rPr>
        <w:t>pankreatitída</w:t>
      </w:r>
      <w:proofErr w:type="spellEnd"/>
      <w:r w:rsidRPr="005B7DBA">
        <w:rPr>
          <w:sz w:val="22"/>
          <w:szCs w:val="22"/>
        </w:rPr>
        <w:t xml:space="preserve"> sa hlásila u 2 zo 451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(CTCAE stupeň 4)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1, u 1 z 297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(CTCAE stupeň 2) a 1 zo 451 pacientov (CTCAE stupeň 2) v skupine s placebom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>kúšaní 1.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bola veľmi častým laboratórnym nálezom </w:t>
      </w:r>
      <w:proofErr w:type="spellStart"/>
      <w:r w:rsidRPr="005B7DBA">
        <w:rPr>
          <w:sz w:val="22"/>
          <w:szCs w:val="22"/>
        </w:rPr>
        <w:t>hypofosfatémia</w:t>
      </w:r>
      <w:proofErr w:type="spellEnd"/>
      <w:r w:rsidRPr="005B7DBA">
        <w:rPr>
          <w:sz w:val="22"/>
          <w:szCs w:val="22"/>
        </w:rPr>
        <w:t xml:space="preserve"> pozorovaná u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>45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a 35 %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oproti 12 % a 11 % pacientov s placebom. </w:t>
      </w:r>
      <w:proofErr w:type="spellStart"/>
      <w:r w:rsidRPr="005B7DBA">
        <w:rPr>
          <w:sz w:val="22"/>
          <w:szCs w:val="22"/>
        </w:rPr>
        <w:t>Hypofosfatémia</w:t>
      </w:r>
      <w:proofErr w:type="spellEnd"/>
      <w:r w:rsidRPr="005B7DBA">
        <w:rPr>
          <w:sz w:val="22"/>
          <w:szCs w:val="22"/>
        </w:rPr>
        <w:t xml:space="preserve"> CTCAE stupeň 3 (1-2 mg/dl) sa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vyskytla u 13 %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3 % pacientov v skupine s placebom,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u 11 %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2 % pacientov v skupine s placebom.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neboli hlásené žiadne prípady </w:t>
      </w:r>
      <w:proofErr w:type="spellStart"/>
      <w:r w:rsidRPr="005B7DBA">
        <w:rPr>
          <w:sz w:val="22"/>
          <w:szCs w:val="22"/>
        </w:rPr>
        <w:t>hypofosfatémie</w:t>
      </w:r>
      <w:proofErr w:type="spellEnd"/>
      <w:r w:rsidRPr="005B7DBA">
        <w:rPr>
          <w:sz w:val="22"/>
          <w:szCs w:val="22"/>
        </w:rPr>
        <w:t xml:space="preserve"> CTCAE stupeň 4 (&lt;1 mg/dl) ani u pacientov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, ani s placebom a 1 prípad v skupine s placebom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3. Etiológia </w:t>
      </w:r>
      <w:proofErr w:type="spellStart"/>
      <w:r w:rsidRPr="005B7DBA">
        <w:rPr>
          <w:sz w:val="22"/>
          <w:szCs w:val="22"/>
        </w:rPr>
        <w:t>hypofosfatémie</w:t>
      </w:r>
      <w:proofErr w:type="spellEnd"/>
      <w:r w:rsidRPr="005B7DBA">
        <w:rPr>
          <w:sz w:val="22"/>
          <w:szCs w:val="22"/>
        </w:rPr>
        <w:t xml:space="preserve"> súvisiacej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nie je známa. </w:t>
      </w:r>
    </w:p>
    <w:p w:rsidR="00526A85" w:rsidRPr="00526A85" w:rsidRDefault="00526A85" w:rsidP="00526A85">
      <w:pPr>
        <w:pStyle w:val="Default"/>
      </w:pPr>
    </w:p>
    <w:p w:rsidR="005B7DBA" w:rsidRPr="005B7DBA" w:rsidRDefault="00B858B1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 xml:space="preserve">Laboratórne abnormality </w:t>
      </w:r>
      <w:r w:rsidR="005B7DBA" w:rsidRPr="005B7DBA">
        <w:rPr>
          <w:sz w:val="22"/>
          <w:szCs w:val="22"/>
        </w:rPr>
        <w:t xml:space="preserve">CTCAE stupeň 3 alebo 4 sa vyskytli u ≥5 % pacientov liečených </w:t>
      </w:r>
      <w:proofErr w:type="spellStart"/>
      <w:r w:rsidR="005B7DBA" w:rsidRPr="005B7DBA">
        <w:rPr>
          <w:sz w:val="22"/>
          <w:szCs w:val="22"/>
        </w:rPr>
        <w:t>sorafenibom</w:t>
      </w:r>
      <w:proofErr w:type="spellEnd"/>
      <w:r w:rsidR="005B7DBA" w:rsidRPr="005B7DBA">
        <w:rPr>
          <w:sz w:val="22"/>
          <w:szCs w:val="22"/>
        </w:rPr>
        <w:t xml:space="preserve"> vrátane </w:t>
      </w:r>
      <w:proofErr w:type="spellStart"/>
      <w:r w:rsidR="005B7DBA" w:rsidRPr="005B7DBA">
        <w:rPr>
          <w:sz w:val="22"/>
          <w:szCs w:val="22"/>
        </w:rPr>
        <w:t>lymfopénie</w:t>
      </w:r>
      <w:proofErr w:type="spellEnd"/>
      <w:r w:rsidR="005B7DBA" w:rsidRPr="005B7DBA">
        <w:rPr>
          <w:sz w:val="22"/>
          <w:szCs w:val="22"/>
        </w:rPr>
        <w:t xml:space="preserve"> a </w:t>
      </w:r>
      <w:proofErr w:type="spellStart"/>
      <w:r w:rsidR="005B7DBA" w:rsidRPr="005B7DBA">
        <w:rPr>
          <w:sz w:val="22"/>
          <w:szCs w:val="22"/>
        </w:rPr>
        <w:t>neutropénie</w:t>
      </w:r>
      <w:proofErr w:type="spellEnd"/>
      <w:r w:rsidR="005B7DBA" w:rsidRPr="005B7DBA">
        <w:rPr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sa hlásila </w:t>
      </w:r>
      <w:proofErr w:type="spellStart"/>
      <w:r w:rsidRPr="005B7DBA">
        <w:rPr>
          <w:sz w:val="22"/>
          <w:szCs w:val="22"/>
        </w:rPr>
        <w:t>hypokalciémia</w:t>
      </w:r>
      <w:proofErr w:type="spellEnd"/>
      <w:r w:rsidRPr="005B7DBA">
        <w:rPr>
          <w:sz w:val="22"/>
          <w:szCs w:val="22"/>
        </w:rPr>
        <w:t xml:space="preserve"> u 12 % a 26,5 %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oproti 7,5 % a 14,8 % pacientov s placebom. Väčšina hlásení </w:t>
      </w:r>
      <w:proofErr w:type="spellStart"/>
      <w:r w:rsidRPr="005B7DBA">
        <w:rPr>
          <w:sz w:val="22"/>
          <w:szCs w:val="22"/>
        </w:rPr>
        <w:t>hypokalciémie</w:t>
      </w:r>
      <w:proofErr w:type="spellEnd"/>
      <w:r w:rsidRPr="005B7DBA">
        <w:rPr>
          <w:sz w:val="22"/>
          <w:szCs w:val="22"/>
        </w:rPr>
        <w:t xml:space="preserve"> boli nízkeho stupňa (CTCAE stupňa 1 a 2). </w:t>
      </w:r>
      <w:proofErr w:type="spellStart"/>
      <w:r w:rsidRPr="005B7DBA">
        <w:rPr>
          <w:sz w:val="22"/>
          <w:szCs w:val="22"/>
        </w:rPr>
        <w:t>Hypokalciémia</w:t>
      </w:r>
      <w:proofErr w:type="spellEnd"/>
      <w:r w:rsidRPr="005B7DBA">
        <w:rPr>
          <w:sz w:val="22"/>
          <w:szCs w:val="22"/>
        </w:rPr>
        <w:t xml:space="preserve"> CTCAE stupňa 3 (6,0-7,0 mg/dl) sa v 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>kúšaní 1 vyskytla u 1,1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0,2 % pacientov v skupine s placebom, v 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>kúšaní 3 u 1,8</w:t>
      </w:r>
      <w:r w:rsidR="00AC1FA4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1,1 % pacientov v skupine s placebom. </w:t>
      </w:r>
      <w:proofErr w:type="spellStart"/>
      <w:r w:rsidRPr="005B7DBA">
        <w:rPr>
          <w:sz w:val="22"/>
          <w:szCs w:val="22"/>
        </w:rPr>
        <w:t>Hypokalciémia</w:t>
      </w:r>
      <w:proofErr w:type="spellEnd"/>
      <w:r w:rsidRPr="005B7DBA">
        <w:rPr>
          <w:sz w:val="22"/>
          <w:szCs w:val="22"/>
        </w:rPr>
        <w:t xml:space="preserve"> CTCAE stupňa 4 (&lt;6,0 mg/dl) sa v 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vyskytla u 1,1 %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0,5 % pacientov v skupine s placebom, v </w:t>
      </w:r>
      <w:r w:rsidR="00E47190">
        <w:rPr>
          <w:sz w:val="22"/>
          <w:szCs w:val="22"/>
        </w:rPr>
        <w:t>s</w:t>
      </w:r>
      <w:r w:rsidR="00AC1FA4" w:rsidRPr="00AC1FA4">
        <w:rPr>
          <w:sz w:val="22"/>
          <w:szCs w:val="22"/>
        </w:rPr>
        <w:t xml:space="preserve">kúšaní </w:t>
      </w:r>
      <w:r w:rsidRPr="005B7DBA">
        <w:rPr>
          <w:sz w:val="22"/>
          <w:szCs w:val="22"/>
        </w:rPr>
        <w:t xml:space="preserve">3 u 0,4 %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0 % pacientov v skupine s placebom. Etiológia </w:t>
      </w:r>
      <w:proofErr w:type="spellStart"/>
      <w:r w:rsidRPr="005B7DBA">
        <w:rPr>
          <w:sz w:val="22"/>
          <w:szCs w:val="22"/>
        </w:rPr>
        <w:t>hypokalciémie</w:t>
      </w:r>
      <w:proofErr w:type="spellEnd"/>
      <w:r w:rsidRPr="005B7DBA">
        <w:rPr>
          <w:sz w:val="22"/>
          <w:szCs w:val="22"/>
        </w:rPr>
        <w:t xml:space="preserve"> súvisiacej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nie je známa. </w:t>
      </w:r>
    </w:p>
    <w:p w:rsidR="00634A7E" w:rsidRDefault="00634A7E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kúšaniach 1 a 3 sa pozorovali znížené hladiny draslíka u 5,4 % a 9,5 %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v porovnaní s 0,7 % a 5,9 % pacientov s placebom, v uvedenom poradí. Väčšina hlásení </w:t>
      </w:r>
      <w:proofErr w:type="spellStart"/>
      <w:r w:rsidRPr="005B7DBA">
        <w:rPr>
          <w:sz w:val="22"/>
          <w:szCs w:val="22"/>
        </w:rPr>
        <w:t>hypokaliémie</w:t>
      </w:r>
      <w:proofErr w:type="spellEnd"/>
      <w:r w:rsidRPr="005B7DBA">
        <w:rPr>
          <w:sz w:val="22"/>
          <w:szCs w:val="22"/>
        </w:rPr>
        <w:t xml:space="preserve"> boli nízkeho stupňa (CTCAE stupňa 1). V týchto skúšaniach sa </w:t>
      </w:r>
      <w:proofErr w:type="spellStart"/>
      <w:r w:rsidRPr="005B7DBA">
        <w:rPr>
          <w:sz w:val="22"/>
          <w:szCs w:val="22"/>
        </w:rPr>
        <w:t>hypokaliémia</w:t>
      </w:r>
      <w:proofErr w:type="spellEnd"/>
      <w:r w:rsidRPr="005B7DBA">
        <w:rPr>
          <w:sz w:val="22"/>
          <w:szCs w:val="22"/>
        </w:rPr>
        <w:t xml:space="preserve"> CTCAE stupňa 3 vyskytovala u 1,1 % a 0,4 %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a u 0,2 % a 0,7 % pacientov v skupine s placebom. Neboli hlásené žiadne prípady </w:t>
      </w:r>
      <w:proofErr w:type="spellStart"/>
      <w:r w:rsidRPr="005B7DBA">
        <w:rPr>
          <w:sz w:val="22"/>
          <w:szCs w:val="22"/>
        </w:rPr>
        <w:t>hypokaliémie</w:t>
      </w:r>
      <w:proofErr w:type="spellEnd"/>
      <w:r w:rsidRPr="005B7DBA">
        <w:rPr>
          <w:sz w:val="22"/>
          <w:szCs w:val="22"/>
        </w:rPr>
        <w:t xml:space="preserve"> CTCAE stupňa 4. </w:t>
      </w:r>
    </w:p>
    <w:p w:rsidR="00634A7E" w:rsidRPr="00526A85" w:rsidRDefault="00634A7E" w:rsidP="00526A85">
      <w:pPr>
        <w:pStyle w:val="CM32"/>
        <w:rPr>
          <w:sz w:val="22"/>
          <w:szCs w:val="22"/>
          <w:u w:val="single"/>
        </w:rPr>
      </w:pPr>
    </w:p>
    <w:p w:rsidR="00526A85" w:rsidRPr="00526A85" w:rsidRDefault="00526A85" w:rsidP="00526A85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26A85">
        <w:rPr>
          <w:rFonts w:ascii="Times New Roman" w:hAnsi="Times New Roman" w:cs="Times New Roman"/>
          <w:noProof/>
          <w:u w:val="single"/>
        </w:rPr>
        <w:t>Hlásenie podozrení na nežiaduce reakcie</w:t>
      </w:r>
    </w:p>
    <w:p w:rsidR="00526A85" w:rsidRPr="00526A85" w:rsidRDefault="00526A85" w:rsidP="00526A85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526A85">
        <w:rPr>
          <w:rFonts w:ascii="Times New Roman" w:hAnsi="Times New Roman" w:cs="Times New Roman"/>
          <w:noProof/>
        </w:rPr>
        <w:t>Hlásenie podozrení na nežiaduce reakcie po registrácii lieku je dôležité.</w:t>
      </w:r>
      <w:r w:rsidRPr="00526A85">
        <w:rPr>
          <w:rFonts w:ascii="Times New Roman" w:hAnsi="Times New Roman" w:cs="Times New Roman"/>
        </w:rPr>
        <w:t xml:space="preserve"> </w:t>
      </w:r>
      <w:r w:rsidRPr="00526A85">
        <w:rPr>
          <w:rFonts w:ascii="Times New Roman" w:hAnsi="Times New Roman" w:cs="Times New Roman"/>
          <w:noProof/>
        </w:rPr>
        <w:t>Umožňuje priebežné monitorovanie pomeru prínosu a rizika lieku.</w:t>
      </w:r>
      <w:r w:rsidRPr="00526A85">
        <w:rPr>
          <w:rFonts w:ascii="Times New Roman" w:hAnsi="Times New Roman" w:cs="Times New Roman"/>
        </w:rPr>
        <w:t xml:space="preserve"> Od </w:t>
      </w:r>
      <w:r w:rsidRPr="00526A85">
        <w:rPr>
          <w:rFonts w:ascii="Times New Roman" w:hAnsi="Times New Roman" w:cs="Times New Roman"/>
          <w:noProof/>
        </w:rPr>
        <w:t xml:space="preserve">zdravotníckych pracovníkov sa vyžaduje, aby hlásili akékoľvek podozrenia na nežiaduce reakcie na </w:t>
      </w:r>
      <w:r w:rsidRPr="00526A85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Pr="00526A85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526A85">
        <w:rPr>
          <w:rFonts w:ascii="Times New Roman" w:hAnsi="Times New Roman" w:cs="Times New Roman"/>
          <w:noProof/>
        </w:rPr>
        <w:t>.</w:t>
      </w:r>
    </w:p>
    <w:p w:rsidR="00634A7E" w:rsidRPr="00526A85" w:rsidRDefault="00634A7E" w:rsidP="00526A85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4.9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Predávkovanie </w:t>
      </w:r>
    </w:p>
    <w:p w:rsidR="00EE19B6" w:rsidRDefault="00EE19B6" w:rsidP="005B7DBA">
      <w:pPr>
        <w:pStyle w:val="CM33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3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Neexistuje špecifická liečba predávkovania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. Najvyššia klinicky študovaná dávka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je 800 mg dvakrát denne. Nežiaduce udalosti pozorované pri tejto dávke boli predovšetkým hnačka a dermatologické príhody. V prípade predpokladaného predávkovania </w:t>
      </w:r>
      <w:r w:rsidR="00586EC5">
        <w:rPr>
          <w:color w:val="000000"/>
          <w:sz w:val="22"/>
          <w:szCs w:val="22"/>
        </w:rPr>
        <w:t xml:space="preserve">sa </w:t>
      </w:r>
      <w:r w:rsidRPr="005B7DBA">
        <w:rPr>
          <w:color w:val="000000"/>
          <w:sz w:val="22"/>
          <w:szCs w:val="22"/>
        </w:rPr>
        <w:t xml:space="preserve">má </w:t>
      </w:r>
      <w:r w:rsidR="00586EC5">
        <w:rPr>
          <w:color w:val="000000"/>
          <w:sz w:val="22"/>
          <w:szCs w:val="22"/>
        </w:rPr>
        <w:t xml:space="preserve">liečba </w:t>
      </w:r>
      <w:proofErr w:type="spellStart"/>
      <w:r w:rsidR="00586EC5">
        <w:rPr>
          <w:color w:val="000000"/>
          <w:sz w:val="22"/>
          <w:szCs w:val="22"/>
        </w:rPr>
        <w:t>sorafenibom</w:t>
      </w:r>
      <w:proofErr w:type="spellEnd"/>
      <w:r w:rsidR="00586EC5">
        <w:rPr>
          <w:color w:val="000000"/>
          <w:sz w:val="22"/>
          <w:szCs w:val="22"/>
        </w:rPr>
        <w:t xml:space="preserve"> prerušiť</w:t>
      </w:r>
      <w:r w:rsidRPr="005B7DBA">
        <w:rPr>
          <w:color w:val="000000"/>
          <w:sz w:val="22"/>
          <w:szCs w:val="22"/>
        </w:rPr>
        <w:t xml:space="preserve"> a v prípade potreby začať podporn</w:t>
      </w:r>
      <w:r w:rsidR="009D700D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 starostlivosť.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5.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FARMAKOLOGICKÉ VLASTNOSTI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5.1 </w:t>
      </w:r>
      <w:r w:rsidR="00526A85">
        <w:rPr>
          <w:b/>
          <w:bCs/>
          <w:color w:val="000000"/>
          <w:sz w:val="22"/>
          <w:szCs w:val="22"/>
        </w:rPr>
        <w:tab/>
      </w:r>
      <w:proofErr w:type="spellStart"/>
      <w:r w:rsidRPr="005B7DBA">
        <w:rPr>
          <w:b/>
          <w:bCs/>
          <w:color w:val="000000"/>
          <w:sz w:val="22"/>
          <w:szCs w:val="22"/>
        </w:rPr>
        <w:t>Farmakodynamické</w:t>
      </w:r>
      <w:proofErr w:type="spellEnd"/>
      <w:r w:rsidRPr="005B7DBA">
        <w:rPr>
          <w:b/>
          <w:bCs/>
          <w:color w:val="000000"/>
          <w:sz w:val="22"/>
          <w:szCs w:val="22"/>
        </w:rPr>
        <w:t xml:space="preserve"> vlastnosti </w:t>
      </w:r>
    </w:p>
    <w:p w:rsidR="00526A85" w:rsidRDefault="00526A85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Farmakoterapeutická</w:t>
      </w:r>
      <w:proofErr w:type="spellEnd"/>
      <w:r w:rsidRPr="005B7DBA">
        <w:rPr>
          <w:color w:val="000000"/>
          <w:sz w:val="22"/>
          <w:szCs w:val="22"/>
        </w:rPr>
        <w:t xml:space="preserve"> skupina: </w:t>
      </w:r>
      <w:proofErr w:type="spellStart"/>
      <w:r w:rsidRPr="005B7DBA">
        <w:rPr>
          <w:color w:val="000000"/>
          <w:sz w:val="22"/>
          <w:szCs w:val="22"/>
        </w:rPr>
        <w:t>Cytostatiká</w:t>
      </w:r>
      <w:proofErr w:type="spellEnd"/>
      <w:r w:rsidRPr="005B7DBA">
        <w:rPr>
          <w:color w:val="000000"/>
          <w:sz w:val="22"/>
          <w:szCs w:val="22"/>
        </w:rPr>
        <w:t xml:space="preserve">, inhibítory </w:t>
      </w:r>
      <w:proofErr w:type="spellStart"/>
      <w:r w:rsidRPr="005B7DBA">
        <w:rPr>
          <w:color w:val="000000"/>
          <w:sz w:val="22"/>
          <w:szCs w:val="22"/>
        </w:rPr>
        <w:t>proteínkinázy</w:t>
      </w:r>
      <w:proofErr w:type="spellEnd"/>
      <w:r w:rsidRPr="005B7DBA">
        <w:rPr>
          <w:color w:val="000000"/>
          <w:sz w:val="22"/>
          <w:szCs w:val="22"/>
        </w:rPr>
        <w:t xml:space="preserve">, ATC kód: L01XE05 </w:t>
      </w:r>
    </w:p>
    <w:p w:rsidR="00526A85" w:rsidRPr="00526A85" w:rsidRDefault="00526A85" w:rsidP="00526A85">
      <w:pPr>
        <w:pStyle w:val="Default"/>
      </w:pPr>
    </w:p>
    <w:p w:rsidR="00526A85" w:rsidRDefault="005B7DBA" w:rsidP="00526A85">
      <w:pPr>
        <w:pStyle w:val="CM8"/>
        <w:spacing w:line="240" w:lineRule="auto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je </w:t>
      </w:r>
      <w:proofErr w:type="spellStart"/>
      <w:r w:rsidRPr="005B7DBA">
        <w:rPr>
          <w:color w:val="000000"/>
          <w:sz w:val="22"/>
          <w:szCs w:val="22"/>
        </w:rPr>
        <w:t>multikinázový</w:t>
      </w:r>
      <w:proofErr w:type="spellEnd"/>
      <w:r w:rsidRPr="005B7DBA">
        <w:rPr>
          <w:color w:val="000000"/>
          <w:sz w:val="22"/>
          <w:szCs w:val="22"/>
        </w:rPr>
        <w:t xml:space="preserve"> inhibítor, u ktorého sú preukázané </w:t>
      </w:r>
      <w:proofErr w:type="spellStart"/>
      <w:r w:rsidRPr="005B7DBA">
        <w:rPr>
          <w:color w:val="000000"/>
          <w:sz w:val="22"/>
          <w:szCs w:val="22"/>
        </w:rPr>
        <w:t>antiproliferatívne</w:t>
      </w:r>
      <w:proofErr w:type="spellEnd"/>
      <w:r w:rsidRPr="005B7DBA">
        <w:rPr>
          <w:color w:val="000000"/>
          <w:sz w:val="22"/>
          <w:szCs w:val="22"/>
        </w:rPr>
        <w:t xml:space="preserve"> a </w:t>
      </w:r>
      <w:proofErr w:type="spellStart"/>
      <w:r w:rsidRPr="005B7DBA">
        <w:rPr>
          <w:color w:val="000000"/>
          <w:sz w:val="22"/>
          <w:szCs w:val="22"/>
        </w:rPr>
        <w:t>antiangiog</w:t>
      </w:r>
      <w:r w:rsidR="009D700D">
        <w:rPr>
          <w:color w:val="000000"/>
          <w:sz w:val="22"/>
          <w:szCs w:val="22"/>
        </w:rPr>
        <w:t>énne</w:t>
      </w:r>
      <w:proofErr w:type="spellEnd"/>
      <w:r w:rsidRPr="005B7DBA">
        <w:rPr>
          <w:color w:val="000000"/>
          <w:sz w:val="22"/>
          <w:szCs w:val="22"/>
        </w:rPr>
        <w:t xml:space="preserve"> vlastnosti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a </w:t>
      </w:r>
      <w:r w:rsidRPr="005B7DBA">
        <w:rPr>
          <w:i/>
          <w:iCs/>
          <w:color w:val="000000"/>
          <w:sz w:val="22"/>
          <w:szCs w:val="22"/>
        </w:rPr>
        <w:t xml:space="preserve">in </w:t>
      </w:r>
      <w:proofErr w:type="spellStart"/>
      <w:r w:rsidRPr="005B7DBA">
        <w:rPr>
          <w:i/>
          <w:iCs/>
          <w:color w:val="000000"/>
          <w:sz w:val="22"/>
          <w:szCs w:val="22"/>
        </w:rPr>
        <w:t>vivo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526A85" w:rsidRDefault="00526A85" w:rsidP="00526A85">
      <w:pPr>
        <w:pStyle w:val="CM8"/>
        <w:spacing w:line="240" w:lineRule="auto"/>
        <w:rPr>
          <w:color w:val="000000"/>
          <w:sz w:val="22"/>
          <w:szCs w:val="22"/>
        </w:rPr>
      </w:pPr>
    </w:p>
    <w:p w:rsidR="005B7DBA" w:rsidRDefault="005B7DBA" w:rsidP="00526A85">
      <w:pPr>
        <w:pStyle w:val="CM8"/>
        <w:spacing w:line="240" w:lineRule="auto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Mechanizmus účinku a </w:t>
      </w:r>
      <w:proofErr w:type="spellStart"/>
      <w:r w:rsidRPr="005B7DBA">
        <w:rPr>
          <w:color w:val="000000"/>
          <w:sz w:val="22"/>
          <w:szCs w:val="22"/>
          <w:u w:val="single"/>
        </w:rPr>
        <w:t>farmakodynamické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účinky </w:t>
      </w:r>
    </w:p>
    <w:p w:rsidR="00D441F8" w:rsidRPr="00D441F8" w:rsidRDefault="00D441F8" w:rsidP="00D441F8">
      <w:pPr>
        <w:pStyle w:val="Default"/>
      </w:pPr>
    </w:p>
    <w:p w:rsidR="005B7DBA" w:rsidRPr="005B7DBA" w:rsidRDefault="005B7DBA" w:rsidP="005B7DBA">
      <w:pPr>
        <w:pStyle w:val="Default"/>
        <w:rPr>
          <w:sz w:val="22"/>
          <w:szCs w:val="22"/>
        </w:rPr>
      </w:pP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je </w:t>
      </w:r>
      <w:proofErr w:type="spellStart"/>
      <w:r w:rsidRPr="005B7DBA">
        <w:rPr>
          <w:sz w:val="22"/>
          <w:szCs w:val="22"/>
        </w:rPr>
        <w:t>multikinázový</w:t>
      </w:r>
      <w:proofErr w:type="spellEnd"/>
      <w:r w:rsidRPr="005B7DBA">
        <w:rPr>
          <w:sz w:val="22"/>
          <w:szCs w:val="22"/>
        </w:rPr>
        <w:t xml:space="preserve"> inhibítor, ktorý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znižuje </w:t>
      </w:r>
      <w:proofErr w:type="spellStart"/>
      <w:r w:rsidRPr="005B7DBA">
        <w:rPr>
          <w:sz w:val="22"/>
          <w:szCs w:val="22"/>
        </w:rPr>
        <w:t>proliferáciu</w:t>
      </w:r>
      <w:proofErr w:type="spellEnd"/>
      <w:r w:rsidRPr="005B7DBA">
        <w:rPr>
          <w:sz w:val="22"/>
          <w:szCs w:val="22"/>
        </w:rPr>
        <w:t xml:space="preserve"> nádorových buniek. U myší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bez týmusu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inhibuje</w:t>
      </w:r>
      <w:proofErr w:type="spellEnd"/>
      <w:r w:rsidRPr="005B7DBA">
        <w:rPr>
          <w:color w:val="000000"/>
          <w:sz w:val="22"/>
          <w:szCs w:val="22"/>
        </w:rPr>
        <w:t xml:space="preserve"> rast nádorov širokého spektra ľudských nádorových </w:t>
      </w:r>
      <w:proofErr w:type="spellStart"/>
      <w:r w:rsidRPr="005B7DBA">
        <w:rPr>
          <w:color w:val="000000"/>
          <w:sz w:val="22"/>
          <w:szCs w:val="22"/>
        </w:rPr>
        <w:t>xeno</w:t>
      </w:r>
      <w:r w:rsidR="009D700D">
        <w:rPr>
          <w:color w:val="000000"/>
          <w:sz w:val="22"/>
          <w:szCs w:val="22"/>
        </w:rPr>
        <w:t>štepov</w:t>
      </w:r>
      <w:proofErr w:type="spellEnd"/>
      <w:r w:rsidRPr="005B7DBA">
        <w:rPr>
          <w:color w:val="000000"/>
          <w:sz w:val="22"/>
          <w:szCs w:val="22"/>
        </w:rPr>
        <w:t xml:space="preserve"> súčasne s redukciou </w:t>
      </w:r>
      <w:proofErr w:type="spellStart"/>
      <w:r w:rsidRPr="005B7DBA">
        <w:rPr>
          <w:color w:val="000000"/>
          <w:sz w:val="22"/>
          <w:szCs w:val="22"/>
        </w:rPr>
        <w:t>angiogenézy</w:t>
      </w:r>
      <w:proofErr w:type="spellEnd"/>
      <w:r w:rsidRPr="005B7DBA">
        <w:rPr>
          <w:color w:val="000000"/>
          <w:sz w:val="22"/>
          <w:szCs w:val="22"/>
        </w:rPr>
        <w:t xml:space="preserve"> nádorov. </w:t>
      </w: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inhibuje</w:t>
      </w:r>
      <w:proofErr w:type="spellEnd"/>
      <w:r w:rsidRPr="005B7DBA">
        <w:rPr>
          <w:color w:val="000000"/>
          <w:sz w:val="22"/>
          <w:szCs w:val="22"/>
        </w:rPr>
        <w:t xml:space="preserve"> aktivitu cieľových objektov prítomných </w:t>
      </w:r>
    </w:p>
    <w:p w:rsidR="00526A8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nádorových bunkách (CRAF, BRAF, V600 BRAF, c-KIT a FLT-3) a v cievnom systéme nádoru (CRAF, VEGFR-2, VEGFR-3 a PDGFR-ß). RAF </w:t>
      </w:r>
      <w:proofErr w:type="spellStart"/>
      <w:r w:rsidRPr="005B7DBA">
        <w:rPr>
          <w:color w:val="000000"/>
          <w:sz w:val="22"/>
          <w:szCs w:val="22"/>
        </w:rPr>
        <w:t>kinázy</w:t>
      </w:r>
      <w:proofErr w:type="spellEnd"/>
      <w:r w:rsidRPr="005B7DBA">
        <w:rPr>
          <w:color w:val="000000"/>
          <w:sz w:val="22"/>
          <w:szCs w:val="22"/>
        </w:rPr>
        <w:t xml:space="preserve"> sú </w:t>
      </w:r>
      <w:proofErr w:type="spellStart"/>
      <w:r w:rsidRPr="005B7DBA">
        <w:rPr>
          <w:color w:val="000000"/>
          <w:sz w:val="22"/>
          <w:szCs w:val="22"/>
        </w:rPr>
        <w:t>seríno</w:t>
      </w:r>
      <w:r w:rsidR="00526A85">
        <w:rPr>
          <w:color w:val="000000"/>
          <w:sz w:val="22"/>
          <w:szCs w:val="22"/>
        </w:rPr>
        <w:t>vé</w:t>
      </w:r>
      <w:proofErr w:type="spellEnd"/>
      <w:r w:rsidR="00526A85">
        <w:rPr>
          <w:color w:val="000000"/>
          <w:sz w:val="22"/>
          <w:szCs w:val="22"/>
        </w:rPr>
        <w:t>/</w:t>
      </w:r>
      <w:proofErr w:type="spellStart"/>
      <w:r w:rsidR="00526A85">
        <w:rPr>
          <w:color w:val="000000"/>
          <w:sz w:val="22"/>
          <w:szCs w:val="22"/>
        </w:rPr>
        <w:t>treonínové</w:t>
      </w:r>
      <w:proofErr w:type="spellEnd"/>
      <w:r w:rsidR="00526A85">
        <w:rPr>
          <w:color w:val="000000"/>
          <w:sz w:val="22"/>
          <w:szCs w:val="22"/>
        </w:rPr>
        <w:t xml:space="preserve"> </w:t>
      </w:r>
      <w:proofErr w:type="spellStart"/>
      <w:r w:rsidR="00526A85">
        <w:rPr>
          <w:color w:val="000000"/>
          <w:sz w:val="22"/>
          <w:szCs w:val="22"/>
        </w:rPr>
        <w:t>kinázy</w:t>
      </w:r>
      <w:proofErr w:type="spellEnd"/>
      <w:r w:rsidR="00526A85">
        <w:rPr>
          <w:color w:val="000000"/>
          <w:sz w:val="22"/>
          <w:szCs w:val="22"/>
        </w:rPr>
        <w:t xml:space="preserve">, zatiaľ čo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c-KIT, FLT-3, VEGFR-2, VEGFR-3 a PDGFR-ß sú receptory </w:t>
      </w:r>
      <w:proofErr w:type="spellStart"/>
      <w:r w:rsidRPr="005B7DBA">
        <w:rPr>
          <w:color w:val="000000"/>
          <w:sz w:val="22"/>
          <w:szCs w:val="22"/>
        </w:rPr>
        <w:t>tyrozínkináz</w:t>
      </w:r>
      <w:proofErr w:type="spellEnd"/>
      <w:r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Klinická účinnosť </w:t>
      </w:r>
    </w:p>
    <w:p w:rsidR="00D441F8" w:rsidRPr="00D441F8" w:rsidRDefault="00D441F8" w:rsidP="00D441F8">
      <w:pPr>
        <w:pStyle w:val="Default"/>
      </w:pPr>
    </w:p>
    <w:p w:rsidR="00526A8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Klinická bezpečnosť a účinnosť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sa skúmala u pacientov s </w:t>
      </w:r>
      <w:proofErr w:type="spellStart"/>
      <w:r w:rsidRPr="005B7DBA">
        <w:rPr>
          <w:color w:val="000000"/>
          <w:sz w:val="22"/>
          <w:szCs w:val="22"/>
        </w:rPr>
        <w:t>hepatocelulárnym</w:t>
      </w:r>
      <w:proofErr w:type="spellEnd"/>
      <w:r w:rsidRPr="005B7DBA">
        <w:rPr>
          <w:color w:val="000000"/>
          <w:sz w:val="22"/>
          <w:szCs w:val="22"/>
        </w:rPr>
        <w:t xml:space="preserve"> karcinómom (HCC)</w:t>
      </w:r>
      <w:r w:rsidR="00526A85">
        <w:rPr>
          <w:color w:val="000000"/>
          <w:sz w:val="22"/>
          <w:szCs w:val="22"/>
        </w:rPr>
        <w:t xml:space="preserve"> a </w:t>
      </w:r>
      <w:r w:rsidRPr="005B7DBA">
        <w:rPr>
          <w:color w:val="000000"/>
          <w:sz w:val="22"/>
          <w:szCs w:val="22"/>
        </w:rPr>
        <w:t>u pac</w:t>
      </w:r>
      <w:r w:rsidR="00526A85">
        <w:rPr>
          <w:color w:val="000000"/>
          <w:sz w:val="22"/>
          <w:szCs w:val="22"/>
        </w:rPr>
        <w:t>ientov s pokročilým karcinómom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renálnych</w:t>
      </w:r>
      <w:proofErr w:type="spellEnd"/>
      <w:r w:rsidRPr="005B7DBA">
        <w:rPr>
          <w:color w:val="000000"/>
          <w:sz w:val="22"/>
          <w:szCs w:val="22"/>
        </w:rPr>
        <w:t xml:space="preserve"> buniek (RCC)</w:t>
      </w:r>
      <w:r w:rsidR="00526A85">
        <w:rPr>
          <w:color w:val="000000"/>
          <w:sz w:val="22"/>
          <w:szCs w:val="22"/>
        </w:rPr>
        <w:t>.</w:t>
      </w:r>
    </w:p>
    <w:p w:rsidR="00634A7E" w:rsidRDefault="00526A85" w:rsidP="005B7DBA">
      <w:pPr>
        <w:pStyle w:val="CM32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 </w:t>
      </w:r>
    </w:p>
    <w:p w:rsidR="005B7DBA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proofErr w:type="spellStart"/>
      <w:r w:rsidRPr="005B7DBA">
        <w:rPr>
          <w:color w:val="000000"/>
          <w:sz w:val="22"/>
          <w:szCs w:val="22"/>
          <w:u w:val="single"/>
        </w:rPr>
        <w:t>Hepatocelulárny</w:t>
      </w:r>
      <w:proofErr w:type="spellEnd"/>
      <w:r w:rsidRPr="005B7DBA">
        <w:rPr>
          <w:color w:val="000000"/>
          <w:sz w:val="22"/>
          <w:szCs w:val="22"/>
          <w:u w:val="single"/>
        </w:rPr>
        <w:t xml:space="preserve"> karcinóm </w:t>
      </w:r>
    </w:p>
    <w:p w:rsidR="00D441F8" w:rsidRPr="00D441F8" w:rsidRDefault="00D441F8" w:rsidP="00D441F8">
      <w:pPr>
        <w:pStyle w:val="Default"/>
      </w:pPr>
    </w:p>
    <w:p w:rsidR="005B7DBA" w:rsidRDefault="00D96854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>kúšanie 3 (</w:t>
      </w:r>
      <w:r w:rsidR="009D700D"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>kúšanie 100554) bol</w:t>
      </w:r>
      <w:r w:rsidR="009D700D">
        <w:rPr>
          <w:color w:val="000000"/>
          <w:sz w:val="22"/>
          <w:szCs w:val="22"/>
        </w:rPr>
        <w:t>o</w:t>
      </w:r>
      <w:r w:rsidR="005B7DBA" w:rsidRPr="005B7DBA">
        <w:rPr>
          <w:color w:val="000000"/>
          <w:sz w:val="22"/>
          <w:szCs w:val="22"/>
        </w:rPr>
        <w:t xml:space="preserve"> medzinárodné, </w:t>
      </w:r>
      <w:proofErr w:type="spellStart"/>
      <w:r w:rsidR="005B7DBA" w:rsidRPr="005B7DBA">
        <w:rPr>
          <w:color w:val="000000"/>
          <w:sz w:val="22"/>
          <w:szCs w:val="22"/>
        </w:rPr>
        <w:t>multicentrické</w:t>
      </w:r>
      <w:proofErr w:type="spellEnd"/>
      <w:r w:rsidR="005B7DBA" w:rsidRPr="005B7DBA">
        <w:rPr>
          <w:color w:val="000000"/>
          <w:sz w:val="22"/>
          <w:szCs w:val="22"/>
        </w:rPr>
        <w:t xml:space="preserve">, </w:t>
      </w:r>
      <w:proofErr w:type="spellStart"/>
      <w:r w:rsidR="005B7DBA" w:rsidRPr="005B7DBA">
        <w:rPr>
          <w:color w:val="000000"/>
          <w:sz w:val="22"/>
          <w:szCs w:val="22"/>
        </w:rPr>
        <w:t>randomizované</w:t>
      </w:r>
      <w:proofErr w:type="spellEnd"/>
      <w:r w:rsidR="005B7DBA" w:rsidRPr="005B7DBA">
        <w:rPr>
          <w:color w:val="000000"/>
          <w:sz w:val="22"/>
          <w:szCs w:val="22"/>
        </w:rPr>
        <w:t>, dvojito zaslepené, placebom kontrolované klinického skúšani</w:t>
      </w:r>
      <w:r w:rsidR="009D700D">
        <w:rPr>
          <w:color w:val="000000"/>
          <w:sz w:val="22"/>
          <w:szCs w:val="22"/>
        </w:rPr>
        <w:t>e fázy III</w:t>
      </w:r>
      <w:r w:rsidR="005B7DBA" w:rsidRPr="005B7DBA">
        <w:rPr>
          <w:color w:val="000000"/>
          <w:sz w:val="22"/>
          <w:szCs w:val="22"/>
        </w:rPr>
        <w:t xml:space="preserve"> so 602 pacientmi s </w:t>
      </w:r>
      <w:proofErr w:type="spellStart"/>
      <w:r w:rsidR="005B7DBA" w:rsidRPr="005B7DBA">
        <w:rPr>
          <w:color w:val="000000"/>
          <w:sz w:val="22"/>
          <w:szCs w:val="22"/>
        </w:rPr>
        <w:t>hepatocelulárnym</w:t>
      </w:r>
      <w:proofErr w:type="spellEnd"/>
      <w:r w:rsidR="005B7DBA" w:rsidRPr="005B7DBA">
        <w:rPr>
          <w:color w:val="000000"/>
          <w:sz w:val="22"/>
          <w:szCs w:val="22"/>
        </w:rPr>
        <w:t xml:space="preserve"> karcinómom. Demografické znaky a východiskové hodnoty ochorenia boli porovnateľné medzi skupinou so </w:t>
      </w:r>
      <w:proofErr w:type="spellStart"/>
      <w:r w:rsidR="005B7DBA" w:rsidRPr="005B7DBA">
        <w:rPr>
          <w:color w:val="000000"/>
          <w:sz w:val="22"/>
          <w:szCs w:val="22"/>
        </w:rPr>
        <w:t>sorafenibom</w:t>
      </w:r>
      <w:proofErr w:type="spellEnd"/>
      <w:r w:rsidR="005B7DBA" w:rsidRPr="005B7DBA">
        <w:rPr>
          <w:color w:val="000000"/>
          <w:sz w:val="22"/>
          <w:szCs w:val="22"/>
        </w:rPr>
        <w:t xml:space="preserve"> a s placebom </w:t>
      </w:r>
      <w:r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 xml:space="preserve"> ohľadom na status podľa ECOG (status 0: 54 %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54 %; status 1: 38 %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39 %; status 2: 8 %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7 %), štádium podľa TNM (štádium I: &lt; 1 %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>. &lt; 1 %; štádium II: 10</w:t>
      </w:r>
      <w:r w:rsidR="00275AD0">
        <w:rPr>
          <w:color w:val="000000"/>
          <w:sz w:val="22"/>
          <w:szCs w:val="22"/>
        </w:rPr>
        <w:t>,</w:t>
      </w:r>
      <w:r w:rsidR="005B7DBA" w:rsidRPr="005B7DBA">
        <w:rPr>
          <w:color w:val="000000"/>
          <w:sz w:val="22"/>
          <w:szCs w:val="22"/>
        </w:rPr>
        <w:t xml:space="preserve">4 %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8,3 %; štádium III: 37,8 %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43,6 %; štádium IV: 50,8 %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46,9 %), a štádium podľa BCLC (štádium B: 18,1 %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16,8 %; štádium C: 81,6 %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83,2 %; štádium D: &lt; 1 % </w:t>
      </w:r>
      <w:proofErr w:type="spellStart"/>
      <w:r w:rsidR="005B7DBA" w:rsidRPr="005B7DBA">
        <w:rPr>
          <w:color w:val="000000"/>
          <w:sz w:val="22"/>
          <w:szCs w:val="22"/>
        </w:rPr>
        <w:t>vs</w:t>
      </w:r>
      <w:proofErr w:type="spellEnd"/>
      <w:r w:rsidR="005B7DBA" w:rsidRPr="005B7DBA">
        <w:rPr>
          <w:color w:val="000000"/>
          <w:sz w:val="22"/>
          <w:szCs w:val="22"/>
        </w:rPr>
        <w:t xml:space="preserve">. 0 %). </w:t>
      </w:r>
    </w:p>
    <w:p w:rsidR="00526A85" w:rsidRPr="00526A85" w:rsidRDefault="00526A85" w:rsidP="00526A85">
      <w:pPr>
        <w:pStyle w:val="Default"/>
      </w:pPr>
    </w:p>
    <w:p w:rsidR="005B7DBA" w:rsidRPr="005B7DBA" w:rsidRDefault="005B7DBA" w:rsidP="005B7DBA">
      <w:pPr>
        <w:pStyle w:val="CM7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Skúšanie bolo ukončené po plánovanej predbežnej analýze celkového prežívania (OS), ktoré prekročilo </w:t>
      </w:r>
      <w:r w:rsidR="009D700D" w:rsidRPr="009D700D">
        <w:rPr>
          <w:color w:val="000000"/>
          <w:sz w:val="22"/>
          <w:szCs w:val="22"/>
        </w:rPr>
        <w:t xml:space="preserve">preddefinované </w:t>
      </w:r>
      <w:r w:rsidRPr="005B7DBA">
        <w:rPr>
          <w:color w:val="000000"/>
          <w:sz w:val="22"/>
          <w:szCs w:val="22"/>
        </w:rPr>
        <w:t xml:space="preserve">hranice účinnosti. Táto analýza celkového prežívania (OS) ukázala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štatisticky významnú prevahu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 nad placebom pre celkové prežívanie (HR: 0,69, p=0,00058, pozri tabuľku </w:t>
      </w:r>
      <w:r w:rsidR="00526A85">
        <w:rPr>
          <w:color w:val="000000"/>
          <w:sz w:val="22"/>
          <w:szCs w:val="22"/>
        </w:rPr>
        <w:t>2</w:t>
      </w:r>
      <w:r w:rsidRPr="005B7DBA">
        <w:rPr>
          <w:color w:val="000000"/>
          <w:sz w:val="22"/>
          <w:szCs w:val="22"/>
        </w:rPr>
        <w:t xml:space="preserve">). </w:t>
      </w:r>
    </w:p>
    <w:p w:rsidR="00526A85" w:rsidRPr="00526A85" w:rsidRDefault="00526A85" w:rsidP="00526A85">
      <w:pPr>
        <w:pStyle w:val="Default"/>
      </w:pPr>
    </w:p>
    <w:p w:rsidR="005B7DBA" w:rsidRPr="005B7DBA" w:rsidRDefault="00526A85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tohto skúšania</w:t>
      </w:r>
      <w:r w:rsidR="005B7DBA" w:rsidRPr="005B7DBA">
        <w:rPr>
          <w:color w:val="000000"/>
          <w:sz w:val="22"/>
          <w:szCs w:val="22"/>
        </w:rPr>
        <w:t xml:space="preserve"> sú iba obmedzené údaje s pacientmi s </w:t>
      </w:r>
      <w:r w:rsidR="00D96854">
        <w:rPr>
          <w:color w:val="000000"/>
          <w:sz w:val="22"/>
          <w:szCs w:val="22"/>
        </w:rPr>
        <w:t>poruchou</w:t>
      </w:r>
      <w:r w:rsidR="005B7DBA" w:rsidRPr="005B7DBA">
        <w:rPr>
          <w:color w:val="000000"/>
          <w:sz w:val="22"/>
          <w:szCs w:val="22"/>
        </w:rPr>
        <w:t xml:space="preserve"> funkci</w:t>
      </w:r>
      <w:r w:rsidR="009572E4">
        <w:rPr>
          <w:color w:val="000000"/>
          <w:sz w:val="22"/>
          <w:szCs w:val="22"/>
        </w:rPr>
        <w:t>e</w:t>
      </w:r>
      <w:r w:rsidR="005B7DBA" w:rsidRPr="005B7DBA">
        <w:rPr>
          <w:color w:val="000000"/>
          <w:sz w:val="22"/>
          <w:szCs w:val="22"/>
        </w:rPr>
        <w:t xml:space="preserve"> pečene </w:t>
      </w:r>
      <w:r w:rsidR="00D96854">
        <w:rPr>
          <w:color w:val="000000"/>
          <w:sz w:val="22"/>
          <w:szCs w:val="22"/>
        </w:rPr>
        <w:t xml:space="preserve">stupňa B podľa </w:t>
      </w:r>
      <w:proofErr w:type="spellStart"/>
      <w:r w:rsidR="005B7DBA" w:rsidRPr="005B7DBA">
        <w:rPr>
          <w:color w:val="000000"/>
          <w:sz w:val="22"/>
          <w:szCs w:val="22"/>
        </w:rPr>
        <w:t>Child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>-Pugh</w:t>
      </w:r>
      <w:r w:rsidR="00D96854">
        <w:rPr>
          <w:color w:val="000000"/>
          <w:sz w:val="22"/>
          <w:szCs w:val="22"/>
        </w:rPr>
        <w:t>a</w:t>
      </w:r>
      <w:proofErr w:type="spellEnd"/>
      <w:r w:rsidR="005B7DBA" w:rsidRPr="005B7DBA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 do skúšania </w:t>
      </w:r>
      <w:r w:rsidR="005B7DBA" w:rsidRPr="005B7DBA">
        <w:rPr>
          <w:color w:val="000000"/>
          <w:sz w:val="22"/>
          <w:szCs w:val="22"/>
        </w:rPr>
        <w:t>bol zaradený iba jeden pacient s</w:t>
      </w:r>
      <w:r w:rsidR="00D96854">
        <w:rPr>
          <w:color w:val="000000"/>
          <w:sz w:val="22"/>
          <w:szCs w:val="22"/>
        </w:rPr>
        <w:t>o stupňom C podľa</w:t>
      </w:r>
      <w:r w:rsidR="005B7DBA" w:rsidRPr="005B7DBA">
        <w:rPr>
          <w:color w:val="000000"/>
          <w:sz w:val="22"/>
          <w:szCs w:val="22"/>
        </w:rPr>
        <w:t xml:space="preserve"> </w:t>
      </w:r>
      <w:proofErr w:type="spellStart"/>
      <w:r w:rsidR="005B7DBA" w:rsidRPr="005B7DBA">
        <w:rPr>
          <w:color w:val="000000"/>
          <w:sz w:val="22"/>
          <w:szCs w:val="22"/>
        </w:rPr>
        <w:t>Child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>-Pugh</w:t>
      </w:r>
      <w:r w:rsidR="00D96854">
        <w:rPr>
          <w:color w:val="000000"/>
          <w:sz w:val="22"/>
          <w:szCs w:val="22"/>
        </w:rPr>
        <w:t>a</w:t>
      </w:r>
      <w:proofErr w:type="spellEnd"/>
      <w:r w:rsidR="005B7DBA"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634A7E">
      <w:pPr>
        <w:pStyle w:val="CM38"/>
        <w:rPr>
          <w:b/>
          <w:bCs/>
          <w:color w:val="000000"/>
          <w:sz w:val="22"/>
          <w:szCs w:val="22"/>
        </w:rPr>
      </w:pPr>
    </w:p>
    <w:p w:rsidR="005B7DBA" w:rsidRPr="00526A85" w:rsidRDefault="00526A85" w:rsidP="00526A85">
      <w:pPr>
        <w:pStyle w:val="CM38"/>
        <w:rPr>
          <w:color w:val="000000"/>
          <w:sz w:val="22"/>
          <w:szCs w:val="22"/>
        </w:rPr>
      </w:pPr>
      <w:r w:rsidRPr="00526A85">
        <w:rPr>
          <w:b/>
          <w:bCs/>
          <w:color w:val="000000"/>
          <w:sz w:val="22"/>
          <w:szCs w:val="22"/>
        </w:rPr>
        <w:t>Tabuľka 2</w:t>
      </w:r>
      <w:r w:rsidR="005B7DBA" w:rsidRPr="00526A85">
        <w:rPr>
          <w:b/>
          <w:bCs/>
          <w:color w:val="000000"/>
          <w:sz w:val="22"/>
          <w:szCs w:val="22"/>
        </w:rPr>
        <w:t xml:space="preserve">: Výsledky účinnosti zo </w:t>
      </w:r>
      <w:r w:rsidR="009D700D">
        <w:rPr>
          <w:b/>
          <w:bCs/>
          <w:color w:val="000000"/>
          <w:sz w:val="22"/>
          <w:szCs w:val="22"/>
        </w:rPr>
        <w:t>s</w:t>
      </w:r>
      <w:r w:rsidR="005B7DBA" w:rsidRPr="00526A85">
        <w:rPr>
          <w:b/>
          <w:bCs/>
          <w:color w:val="000000"/>
          <w:sz w:val="22"/>
          <w:szCs w:val="22"/>
        </w:rPr>
        <w:t>kúšania 3 (</w:t>
      </w:r>
      <w:r w:rsidR="009D700D">
        <w:rPr>
          <w:b/>
          <w:bCs/>
          <w:color w:val="000000"/>
          <w:sz w:val="22"/>
          <w:szCs w:val="22"/>
        </w:rPr>
        <w:t>s</w:t>
      </w:r>
      <w:r w:rsidR="005B7DBA" w:rsidRPr="00526A85">
        <w:rPr>
          <w:b/>
          <w:bCs/>
          <w:color w:val="000000"/>
          <w:sz w:val="22"/>
          <w:szCs w:val="22"/>
        </w:rPr>
        <w:t xml:space="preserve">kúšanie 100554) s </w:t>
      </w:r>
      <w:proofErr w:type="spellStart"/>
      <w:r w:rsidR="005B7DBA" w:rsidRPr="00526A85">
        <w:rPr>
          <w:b/>
          <w:bCs/>
          <w:color w:val="000000"/>
          <w:sz w:val="22"/>
          <w:szCs w:val="22"/>
        </w:rPr>
        <w:t>hepatocelulárnym</w:t>
      </w:r>
      <w:proofErr w:type="spellEnd"/>
      <w:r w:rsidR="005B7DBA" w:rsidRPr="00526A85">
        <w:rPr>
          <w:b/>
          <w:bCs/>
          <w:color w:val="000000"/>
          <w:sz w:val="22"/>
          <w:szCs w:val="22"/>
        </w:rPr>
        <w:t xml:space="preserve"> karcinómom </w:t>
      </w:r>
    </w:p>
    <w:p w:rsidR="00526A85" w:rsidRPr="00526A85" w:rsidRDefault="00526A85" w:rsidP="00526A85">
      <w:pPr>
        <w:keepNext/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842"/>
        <w:gridCol w:w="1733"/>
      </w:tblGrid>
      <w:tr w:rsidR="00526A85" w:rsidRPr="00526A85" w:rsidTr="00306747">
        <w:tc>
          <w:tcPr>
            <w:tcW w:w="2235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Parameter účinnosti</w:t>
            </w:r>
          </w:p>
        </w:tc>
        <w:tc>
          <w:tcPr>
            <w:tcW w:w="1701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proofErr w:type="spellStart"/>
            <w:r w:rsidRPr="00526A85">
              <w:rPr>
                <w:sz w:val="22"/>
                <w:szCs w:val="22"/>
                <w:lang w:val="en-GB"/>
              </w:rPr>
              <w:t>Sorafenib</w:t>
            </w:r>
            <w:proofErr w:type="spellEnd"/>
            <w:r w:rsidRPr="00526A85">
              <w:rPr>
                <w:sz w:val="22"/>
                <w:szCs w:val="22"/>
                <w:lang w:val="en-GB"/>
              </w:rPr>
              <w:t xml:space="preserve"> 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(N=299) </w:t>
            </w:r>
          </w:p>
        </w:tc>
        <w:tc>
          <w:tcPr>
            <w:tcW w:w="1701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Placebo 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(N=303) </w:t>
            </w:r>
          </w:p>
        </w:tc>
        <w:tc>
          <w:tcPr>
            <w:tcW w:w="1842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>P</w:t>
            </w:r>
            <w:r w:rsidRPr="00526A85">
              <w:rPr>
                <w:sz w:val="22"/>
                <w:szCs w:val="22"/>
                <w:lang w:val="en-GB"/>
              </w:rPr>
              <w:noBreakHyphen/>
            </w:r>
            <w:proofErr w:type="spellStart"/>
            <w:r w:rsidRPr="00526A85">
              <w:rPr>
                <w:sz w:val="22"/>
                <w:szCs w:val="22"/>
                <w:lang w:val="en-GB"/>
              </w:rPr>
              <w:t>hodnota</w:t>
            </w:r>
            <w:proofErr w:type="spellEnd"/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HR 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(95% CI) </w:t>
            </w:r>
          </w:p>
        </w:tc>
      </w:tr>
      <w:tr w:rsidR="00526A85" w:rsidRPr="00526A85" w:rsidTr="00306747">
        <w:tc>
          <w:tcPr>
            <w:tcW w:w="2235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Celkové prežívanie (OS) [medián, týždne (95% CI)]</w:t>
            </w:r>
          </w:p>
        </w:tc>
        <w:tc>
          <w:tcPr>
            <w:tcW w:w="1701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>46</w:t>
            </w:r>
            <w:r w:rsidR="0028016A">
              <w:rPr>
                <w:sz w:val="22"/>
                <w:szCs w:val="22"/>
                <w:lang w:val="en-GB"/>
              </w:rPr>
              <w:t>,</w:t>
            </w:r>
            <w:r w:rsidRPr="00526A85">
              <w:rPr>
                <w:sz w:val="22"/>
                <w:szCs w:val="22"/>
                <w:lang w:val="en-GB"/>
              </w:rPr>
              <w:t xml:space="preserve">3 </w:t>
            </w:r>
          </w:p>
          <w:p w:rsidR="00526A85" w:rsidRPr="00526A85" w:rsidRDefault="00526A85" w:rsidP="0028016A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>(40</w:t>
            </w:r>
            <w:r w:rsidR="0028016A">
              <w:rPr>
                <w:rFonts w:ascii="Times New Roman" w:hAnsi="Times New Roman" w:cs="Times New Roman"/>
              </w:rPr>
              <w:t>,9; 57,</w:t>
            </w:r>
            <w:r w:rsidRPr="00526A85">
              <w:rPr>
                <w:rFonts w:ascii="Times New Roman" w:hAnsi="Times New Roman" w:cs="Times New Roman"/>
              </w:rPr>
              <w:t>9)</w:t>
            </w:r>
          </w:p>
        </w:tc>
        <w:tc>
          <w:tcPr>
            <w:tcW w:w="1701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34,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4 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(29,4; 39,</w:t>
            </w:r>
            <w:r w:rsidR="00526A85" w:rsidRPr="00526A85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842" w:type="dxa"/>
          </w:tcPr>
          <w:p w:rsidR="00526A85" w:rsidRPr="00526A85" w:rsidRDefault="0028016A" w:rsidP="00526A85">
            <w:pPr>
              <w:pStyle w:val="Default"/>
              <w:keepNext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00058*</w:t>
            </w:r>
          </w:p>
        </w:tc>
        <w:tc>
          <w:tcPr>
            <w:tcW w:w="1733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69</w:t>
            </w:r>
          </w:p>
          <w:p w:rsidR="00526A85" w:rsidRPr="00526A85" w:rsidRDefault="0028016A" w:rsidP="0028016A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</w:t>
            </w:r>
            <w:r w:rsidR="00526A85" w:rsidRPr="00526A85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; 0,</w:t>
            </w:r>
            <w:r w:rsidR="00526A85" w:rsidRPr="00526A85">
              <w:rPr>
                <w:rFonts w:ascii="Times New Roman" w:hAnsi="Times New Roman" w:cs="Times New Roman"/>
              </w:rPr>
              <w:t>87)</w:t>
            </w:r>
          </w:p>
        </w:tc>
      </w:tr>
      <w:tr w:rsidR="00526A85" w:rsidRPr="00526A85" w:rsidTr="00306747">
        <w:tc>
          <w:tcPr>
            <w:tcW w:w="2235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Čas do progresie ochorenia (TTP) [medián, týždne (95% CI)]**</w:t>
            </w:r>
          </w:p>
        </w:tc>
        <w:tc>
          <w:tcPr>
            <w:tcW w:w="1701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0 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(18,0; 30,</w:t>
            </w:r>
            <w:r w:rsidR="00526A85" w:rsidRPr="00526A85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701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3 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(11,7; 17,</w:t>
            </w:r>
            <w:r w:rsidR="00526A85" w:rsidRPr="00526A8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42" w:type="dxa"/>
          </w:tcPr>
          <w:p w:rsidR="00526A85" w:rsidRPr="00526A85" w:rsidRDefault="0028016A" w:rsidP="00526A85">
            <w:pPr>
              <w:pStyle w:val="Default"/>
              <w:keepNext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000007</w:t>
            </w:r>
          </w:p>
        </w:tc>
        <w:tc>
          <w:tcPr>
            <w:tcW w:w="1733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58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(0,45; 0,</w:t>
            </w:r>
            <w:r w:rsidR="00526A85" w:rsidRPr="00526A85">
              <w:rPr>
                <w:rFonts w:ascii="Times New Roman" w:hAnsi="Times New Roman" w:cs="Times New Roman"/>
              </w:rPr>
              <w:t>74)</w:t>
            </w:r>
          </w:p>
        </w:tc>
      </w:tr>
    </w:tbl>
    <w:p w:rsidR="005B7DBA" w:rsidRPr="00526A85" w:rsidRDefault="005B7DBA" w:rsidP="00526A85">
      <w:pPr>
        <w:pStyle w:val="Default"/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>CI = Interval spoľahlivosti, HR = miera rizika (</w:t>
      </w:r>
      <w:proofErr w:type="spellStart"/>
      <w:r w:rsidRPr="00526A85">
        <w:rPr>
          <w:color w:val="auto"/>
          <w:sz w:val="22"/>
          <w:szCs w:val="22"/>
        </w:rPr>
        <w:t>sorafenib</w:t>
      </w:r>
      <w:proofErr w:type="spellEnd"/>
      <w:r w:rsidRPr="00526A85">
        <w:rPr>
          <w:color w:val="auto"/>
          <w:sz w:val="22"/>
          <w:szCs w:val="22"/>
        </w:rPr>
        <w:t xml:space="preserve"> </w:t>
      </w:r>
      <w:r w:rsidR="00D96854" w:rsidRPr="009255FC">
        <w:rPr>
          <w:color w:val="auto"/>
          <w:sz w:val="22"/>
          <w:szCs w:val="22"/>
        </w:rPr>
        <w:t>v porovnaní s</w:t>
      </w:r>
      <w:r w:rsidRPr="00526A85">
        <w:rPr>
          <w:color w:val="auto"/>
          <w:sz w:val="22"/>
          <w:szCs w:val="22"/>
        </w:rPr>
        <w:t xml:space="preserve"> placebom) </w:t>
      </w:r>
    </w:p>
    <w:p w:rsidR="005B7DBA" w:rsidRPr="00526A85" w:rsidRDefault="005B7DBA" w:rsidP="00D46057">
      <w:pPr>
        <w:pStyle w:val="Default"/>
        <w:tabs>
          <w:tab w:val="left" w:pos="567"/>
        </w:tabs>
        <w:ind w:left="426" w:hanging="426"/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 xml:space="preserve">* </w:t>
      </w:r>
      <w:r w:rsidR="0028016A">
        <w:rPr>
          <w:color w:val="auto"/>
          <w:sz w:val="22"/>
          <w:szCs w:val="22"/>
        </w:rPr>
        <w:tab/>
      </w:r>
      <w:r w:rsidRPr="00526A85">
        <w:rPr>
          <w:color w:val="auto"/>
          <w:sz w:val="22"/>
          <w:szCs w:val="22"/>
        </w:rPr>
        <w:t xml:space="preserve">štatisticky významný ak p - hodnota bola pod preddefinovanou </w:t>
      </w:r>
      <w:proofErr w:type="spellStart"/>
      <w:r w:rsidRPr="00526A85">
        <w:rPr>
          <w:color w:val="auto"/>
          <w:sz w:val="22"/>
          <w:szCs w:val="22"/>
        </w:rPr>
        <w:t>O’Brien</w:t>
      </w:r>
      <w:proofErr w:type="spellEnd"/>
      <w:r w:rsidRPr="00526A85">
        <w:rPr>
          <w:color w:val="auto"/>
          <w:sz w:val="22"/>
          <w:szCs w:val="22"/>
        </w:rPr>
        <w:t xml:space="preserve"> </w:t>
      </w:r>
      <w:proofErr w:type="spellStart"/>
      <w:r w:rsidRPr="00526A85">
        <w:rPr>
          <w:color w:val="auto"/>
          <w:sz w:val="22"/>
          <w:szCs w:val="22"/>
        </w:rPr>
        <w:t>Flemingovou</w:t>
      </w:r>
      <w:proofErr w:type="spellEnd"/>
      <w:r w:rsidRPr="00526A85">
        <w:rPr>
          <w:color w:val="auto"/>
          <w:sz w:val="22"/>
          <w:szCs w:val="22"/>
        </w:rPr>
        <w:t xml:space="preserve"> hrani</w:t>
      </w:r>
      <w:r w:rsidR="009D700D">
        <w:rPr>
          <w:color w:val="auto"/>
          <w:sz w:val="22"/>
          <w:szCs w:val="22"/>
        </w:rPr>
        <w:t>čnou hodnotou</w:t>
      </w:r>
      <w:r w:rsidRPr="00526A85">
        <w:rPr>
          <w:color w:val="auto"/>
          <w:sz w:val="22"/>
          <w:szCs w:val="22"/>
        </w:rPr>
        <w:t xml:space="preserve"> 0,0077 </w:t>
      </w:r>
    </w:p>
    <w:p w:rsidR="005B7DBA" w:rsidRDefault="005B7DBA" w:rsidP="009D700D">
      <w:pPr>
        <w:pStyle w:val="CM32"/>
        <w:tabs>
          <w:tab w:val="left" w:pos="426"/>
        </w:tabs>
        <w:rPr>
          <w:sz w:val="22"/>
          <w:szCs w:val="22"/>
        </w:rPr>
      </w:pPr>
      <w:r w:rsidRPr="005B7DBA">
        <w:rPr>
          <w:sz w:val="22"/>
          <w:szCs w:val="22"/>
        </w:rPr>
        <w:t xml:space="preserve">** </w:t>
      </w:r>
      <w:r w:rsidR="0028016A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nezávislá rádiologická kontrola </w:t>
      </w:r>
    </w:p>
    <w:p w:rsidR="0028016A" w:rsidRPr="0028016A" w:rsidRDefault="0028016A" w:rsidP="0028016A">
      <w:pPr>
        <w:pStyle w:val="Default"/>
      </w:pPr>
    </w:p>
    <w:p w:rsidR="0028016A" w:rsidRDefault="005B7DBA" w:rsidP="0028016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>Druh</w:t>
      </w:r>
      <w:r w:rsidR="00D96854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medzinárodné, </w:t>
      </w:r>
      <w:proofErr w:type="spellStart"/>
      <w:r w:rsidRPr="005B7DBA">
        <w:rPr>
          <w:sz w:val="22"/>
          <w:szCs w:val="22"/>
        </w:rPr>
        <w:t>multicentrické</w:t>
      </w:r>
      <w:proofErr w:type="spellEnd"/>
      <w:r w:rsidRPr="005B7DBA">
        <w:rPr>
          <w:sz w:val="22"/>
          <w:szCs w:val="22"/>
        </w:rPr>
        <w:t xml:space="preserve">, </w:t>
      </w:r>
      <w:proofErr w:type="spellStart"/>
      <w:r w:rsidRPr="005B7DBA">
        <w:rPr>
          <w:sz w:val="22"/>
          <w:szCs w:val="22"/>
        </w:rPr>
        <w:t>randomizované</w:t>
      </w:r>
      <w:proofErr w:type="spellEnd"/>
      <w:r w:rsidRPr="005B7DBA">
        <w:rPr>
          <w:sz w:val="22"/>
          <w:szCs w:val="22"/>
        </w:rPr>
        <w:t>, dvojito zaslepené, placebom kontrolované klinické skúšani</w:t>
      </w:r>
      <w:r w:rsidR="00D96854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</w:t>
      </w:r>
      <w:r w:rsidR="00D96854">
        <w:rPr>
          <w:sz w:val="22"/>
          <w:szCs w:val="22"/>
        </w:rPr>
        <w:t xml:space="preserve">fázy III </w:t>
      </w:r>
      <w:r w:rsidRPr="005B7DBA">
        <w:rPr>
          <w:sz w:val="22"/>
          <w:szCs w:val="22"/>
        </w:rPr>
        <w:t>(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>kúšanie 4, 11849) hodnotil</w:t>
      </w:r>
      <w:r w:rsidR="00D96854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klinický prínos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u 226 pacientov s pokročilým </w:t>
      </w:r>
      <w:proofErr w:type="spellStart"/>
      <w:r w:rsidRPr="005B7DBA">
        <w:rPr>
          <w:sz w:val="22"/>
          <w:szCs w:val="22"/>
        </w:rPr>
        <w:t>hepatocelulárnym</w:t>
      </w:r>
      <w:proofErr w:type="spellEnd"/>
      <w:r w:rsidRPr="005B7DBA">
        <w:rPr>
          <w:sz w:val="22"/>
          <w:szCs w:val="22"/>
        </w:rPr>
        <w:t xml:space="preserve"> karcinómom. Toto skúšanie, vykonan</w:t>
      </w:r>
      <w:r w:rsidR="009255FC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v Číne, Kórei a na Taiwane, potvrdilo </w:t>
      </w:r>
      <w:r w:rsidR="00973F15">
        <w:rPr>
          <w:sz w:val="22"/>
          <w:szCs w:val="22"/>
        </w:rPr>
        <w:t>zistenia</w:t>
      </w:r>
      <w:r w:rsidRPr="005B7DBA">
        <w:rPr>
          <w:sz w:val="22"/>
          <w:szCs w:val="22"/>
        </w:rPr>
        <w:t xml:space="preserve"> </w:t>
      </w:r>
      <w:r w:rsidR="00973F15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kúšania 3 o priaznivom profile </w:t>
      </w:r>
      <w:r w:rsidRPr="009255FC">
        <w:rPr>
          <w:sz w:val="22"/>
          <w:szCs w:val="22"/>
        </w:rPr>
        <w:t xml:space="preserve">prínosu </w:t>
      </w:r>
      <w:r w:rsidR="009255FC" w:rsidRPr="009255FC">
        <w:rPr>
          <w:sz w:val="22"/>
          <w:szCs w:val="22"/>
        </w:rPr>
        <w:t>a</w:t>
      </w:r>
      <w:r w:rsidRPr="00C70B44">
        <w:rPr>
          <w:sz w:val="22"/>
          <w:szCs w:val="22"/>
        </w:rPr>
        <w:t xml:space="preserve"> rizik</w:t>
      </w:r>
      <w:r w:rsidR="009255FC" w:rsidRPr="00C70B44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(HR (OS): 0,68, p=0,01414). </w:t>
      </w:r>
    </w:p>
    <w:p w:rsidR="0028016A" w:rsidRDefault="0028016A" w:rsidP="0028016A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5B7DBA" w:rsidP="0028016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V preddefinovaných stratifikačných faktoroch (status podľa ECOG, prítomnosť alebo absencia </w:t>
      </w:r>
      <w:r w:rsidRPr="005B7DBA">
        <w:rPr>
          <w:sz w:val="22"/>
          <w:szCs w:val="22"/>
        </w:rPr>
        <w:lastRenderedPageBreak/>
        <w:t xml:space="preserve">makroskopickej cievnej invázie a/alebo </w:t>
      </w:r>
      <w:r w:rsidR="0028016A">
        <w:rPr>
          <w:sz w:val="22"/>
          <w:szCs w:val="22"/>
        </w:rPr>
        <w:t>rozšírenie tumoru mimo pečene) v</w:t>
      </w:r>
      <w:r w:rsidRPr="005B7DBA">
        <w:rPr>
          <w:sz w:val="22"/>
          <w:szCs w:val="22"/>
        </w:rPr>
        <w:t xml:space="preserve"> </w:t>
      </w:r>
      <w:r w:rsidR="00973F15">
        <w:rPr>
          <w:sz w:val="22"/>
          <w:szCs w:val="22"/>
        </w:rPr>
        <w:t>s</w:t>
      </w:r>
      <w:r w:rsidRPr="005B7DBA">
        <w:rPr>
          <w:sz w:val="22"/>
          <w:szCs w:val="22"/>
        </w:rPr>
        <w:t>kúšaniach 3 aj 4</w:t>
      </w:r>
      <w:r w:rsidR="00C70B44">
        <w:rPr>
          <w:sz w:val="22"/>
          <w:szCs w:val="22"/>
        </w:rPr>
        <w:t>, bola</w:t>
      </w:r>
      <w:r w:rsidRPr="005B7DBA">
        <w:rPr>
          <w:sz w:val="22"/>
          <w:szCs w:val="22"/>
        </w:rPr>
        <w:t xml:space="preserve"> miera rizika </w:t>
      </w:r>
      <w:r w:rsidR="00C70B44">
        <w:rPr>
          <w:sz w:val="22"/>
          <w:szCs w:val="22"/>
        </w:rPr>
        <w:t>konzistentne nižšia pre</w:t>
      </w:r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</w:t>
      </w:r>
      <w:r w:rsidR="00C70B44">
        <w:rPr>
          <w:sz w:val="22"/>
          <w:szCs w:val="22"/>
        </w:rPr>
        <w:t>v porovnaní s</w:t>
      </w:r>
      <w:r w:rsidRPr="005B7DBA">
        <w:rPr>
          <w:sz w:val="22"/>
          <w:szCs w:val="22"/>
        </w:rPr>
        <w:t xml:space="preserve"> placebom. </w:t>
      </w:r>
      <w:proofErr w:type="spellStart"/>
      <w:r w:rsidRPr="005B7DBA">
        <w:rPr>
          <w:sz w:val="22"/>
          <w:szCs w:val="22"/>
        </w:rPr>
        <w:t>Exploračná</w:t>
      </w:r>
      <w:proofErr w:type="spellEnd"/>
      <w:r w:rsidRPr="005B7DBA">
        <w:rPr>
          <w:sz w:val="22"/>
          <w:szCs w:val="22"/>
        </w:rPr>
        <w:t xml:space="preserve"> analýza podskupiny naznačila, že pacienti so vzdialenými metastázami na začiatku liečby </w:t>
      </w:r>
      <w:r w:rsidR="00841BCA">
        <w:rPr>
          <w:sz w:val="22"/>
          <w:szCs w:val="22"/>
        </w:rPr>
        <w:t>vykazovali</w:t>
      </w:r>
      <w:r w:rsidRPr="005B7DBA">
        <w:rPr>
          <w:sz w:val="22"/>
          <w:szCs w:val="22"/>
        </w:rPr>
        <w:t xml:space="preserve"> zjavne nižší účinok liečby.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28016A" w:rsidP="005B7DBA">
      <w:pPr>
        <w:pStyle w:val="CM3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Karcinóm </w:t>
      </w:r>
      <w:proofErr w:type="spellStart"/>
      <w:r w:rsidR="005B7DBA" w:rsidRPr="005B7DBA">
        <w:rPr>
          <w:sz w:val="22"/>
          <w:szCs w:val="22"/>
          <w:u w:val="single"/>
        </w:rPr>
        <w:t>renálnych</w:t>
      </w:r>
      <w:proofErr w:type="spellEnd"/>
      <w:r w:rsidR="005B7DBA" w:rsidRPr="005B7DBA">
        <w:rPr>
          <w:sz w:val="22"/>
          <w:szCs w:val="22"/>
          <w:u w:val="single"/>
        </w:rPr>
        <w:t xml:space="preserve"> buniek </w:t>
      </w:r>
    </w:p>
    <w:p w:rsidR="00D441F8" w:rsidRPr="00D441F8" w:rsidRDefault="00D441F8" w:rsidP="00D441F8">
      <w:pPr>
        <w:pStyle w:val="Default"/>
      </w:pPr>
    </w:p>
    <w:p w:rsidR="0028016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Bezpečnosť a účinnosť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v liečbe pokročilého karcinómu z </w:t>
      </w:r>
      <w:proofErr w:type="spellStart"/>
      <w:r w:rsidRPr="005B7DBA">
        <w:rPr>
          <w:sz w:val="22"/>
          <w:szCs w:val="22"/>
        </w:rPr>
        <w:t>renálnych</w:t>
      </w:r>
      <w:proofErr w:type="spellEnd"/>
      <w:r w:rsidRPr="005B7DBA">
        <w:rPr>
          <w:sz w:val="22"/>
          <w:szCs w:val="22"/>
        </w:rPr>
        <w:t xml:space="preserve"> buniek (RCC) sa skúmal</w:t>
      </w:r>
      <w:r w:rsidR="0028016A">
        <w:rPr>
          <w:sz w:val="22"/>
          <w:szCs w:val="22"/>
        </w:rPr>
        <w:t>a v dvoch klinických skúšaniach: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:rsidR="005B7DBA" w:rsidRPr="005B7DBA" w:rsidRDefault="00841BCA" w:rsidP="005B7DBA">
      <w:pPr>
        <w:pStyle w:val="CM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>kúšanie 1 (</w:t>
      </w:r>
      <w:r w:rsidR="00973F15"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 xml:space="preserve">kúšanie 11213) </w:t>
      </w:r>
      <w:r>
        <w:rPr>
          <w:sz w:val="22"/>
          <w:szCs w:val="22"/>
        </w:rPr>
        <w:t xml:space="preserve">bolo </w:t>
      </w:r>
      <w:proofErr w:type="spellStart"/>
      <w:r w:rsidR="005B7DBA" w:rsidRPr="005B7DBA">
        <w:rPr>
          <w:sz w:val="22"/>
          <w:szCs w:val="22"/>
        </w:rPr>
        <w:t>multicentrické</w:t>
      </w:r>
      <w:proofErr w:type="spellEnd"/>
      <w:r w:rsidR="005B7DBA" w:rsidRPr="005B7DBA">
        <w:rPr>
          <w:sz w:val="22"/>
          <w:szCs w:val="22"/>
        </w:rPr>
        <w:t xml:space="preserve">, </w:t>
      </w:r>
      <w:proofErr w:type="spellStart"/>
      <w:r w:rsidR="005B7DBA" w:rsidRPr="005B7DBA">
        <w:rPr>
          <w:sz w:val="22"/>
          <w:szCs w:val="22"/>
        </w:rPr>
        <w:t>randomizované</w:t>
      </w:r>
      <w:proofErr w:type="spellEnd"/>
      <w:r w:rsidR="005B7DBA" w:rsidRPr="005B7DBA">
        <w:rPr>
          <w:sz w:val="22"/>
          <w:szCs w:val="22"/>
        </w:rPr>
        <w:t>, dvojito zaslepené, placebom kontrolované skúšani</w:t>
      </w:r>
      <w:r>
        <w:rPr>
          <w:sz w:val="22"/>
          <w:szCs w:val="22"/>
        </w:rPr>
        <w:t>e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fázy III </w:t>
      </w:r>
      <w:r w:rsidR="005B7DBA" w:rsidRPr="005B7DBA">
        <w:rPr>
          <w:sz w:val="22"/>
          <w:szCs w:val="22"/>
        </w:rPr>
        <w:t>s 903 pacientmi. Boli zahrnutí iba p</w:t>
      </w:r>
      <w:r w:rsidR="0028016A">
        <w:rPr>
          <w:sz w:val="22"/>
          <w:szCs w:val="22"/>
        </w:rPr>
        <w:t xml:space="preserve">acienti s karcinómom </w:t>
      </w:r>
      <w:r w:rsidR="00B00BB1">
        <w:rPr>
          <w:sz w:val="22"/>
          <w:szCs w:val="22"/>
        </w:rPr>
        <w:t xml:space="preserve">zo svetlých </w:t>
      </w:r>
      <w:proofErr w:type="spellStart"/>
      <w:r w:rsidR="005B7DBA" w:rsidRPr="005B7DBA">
        <w:rPr>
          <w:sz w:val="22"/>
          <w:szCs w:val="22"/>
        </w:rPr>
        <w:t>renálnych</w:t>
      </w:r>
      <w:proofErr w:type="spellEnd"/>
      <w:r w:rsidR="005B7DBA" w:rsidRPr="005B7DBA">
        <w:rPr>
          <w:sz w:val="22"/>
          <w:szCs w:val="22"/>
        </w:rPr>
        <w:t xml:space="preserve"> buniek a nízkym a stredne veľkým rizikom MSKCC (</w:t>
      </w:r>
      <w:proofErr w:type="spellStart"/>
      <w:r w:rsidR="005B7DBA" w:rsidRPr="005B7DBA">
        <w:rPr>
          <w:sz w:val="22"/>
          <w:szCs w:val="22"/>
        </w:rPr>
        <w:t>Memorial</w:t>
      </w:r>
      <w:proofErr w:type="spellEnd"/>
      <w:r w:rsidR="005B7DBA" w:rsidRPr="005B7DBA">
        <w:rPr>
          <w:sz w:val="22"/>
          <w:szCs w:val="22"/>
        </w:rPr>
        <w:t xml:space="preserve"> </w:t>
      </w:r>
      <w:proofErr w:type="spellStart"/>
      <w:r w:rsidR="005B7DBA" w:rsidRPr="005B7DBA">
        <w:rPr>
          <w:sz w:val="22"/>
          <w:szCs w:val="22"/>
        </w:rPr>
        <w:t>Sloan</w:t>
      </w:r>
      <w:proofErr w:type="spellEnd"/>
      <w:r w:rsidR="005B7DBA" w:rsidRPr="005B7DBA">
        <w:rPr>
          <w:sz w:val="22"/>
          <w:szCs w:val="22"/>
        </w:rPr>
        <w:t xml:space="preserve"> </w:t>
      </w:r>
      <w:proofErr w:type="spellStart"/>
      <w:r w:rsidR="005B7DBA" w:rsidRPr="005B7DBA">
        <w:rPr>
          <w:sz w:val="22"/>
          <w:szCs w:val="22"/>
        </w:rPr>
        <w:t>Kettering</w:t>
      </w:r>
      <w:proofErr w:type="spellEnd"/>
      <w:r w:rsidR="005B7DBA" w:rsidRPr="005B7DBA">
        <w:rPr>
          <w:sz w:val="22"/>
          <w:szCs w:val="22"/>
        </w:rPr>
        <w:t xml:space="preserve"> </w:t>
      </w:r>
      <w:proofErr w:type="spellStart"/>
      <w:r w:rsidR="005B7DBA" w:rsidRPr="005B7DBA">
        <w:rPr>
          <w:sz w:val="22"/>
          <w:szCs w:val="22"/>
        </w:rPr>
        <w:t>Cancer</w:t>
      </w:r>
      <w:proofErr w:type="spellEnd"/>
      <w:r w:rsidR="005B7DBA" w:rsidRPr="005B7DBA">
        <w:rPr>
          <w:sz w:val="22"/>
          <w:szCs w:val="22"/>
        </w:rPr>
        <w:t xml:space="preserve"> Center). Primárnym</w:t>
      </w:r>
      <w:r w:rsidR="00973F15">
        <w:rPr>
          <w:sz w:val="22"/>
          <w:szCs w:val="22"/>
        </w:rPr>
        <w:t>i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>cieľovým</w:t>
      </w:r>
      <w:r w:rsidR="00973F15">
        <w:rPr>
          <w:sz w:val="22"/>
          <w:szCs w:val="22"/>
        </w:rPr>
        <w:t>i</w:t>
      </w:r>
      <w:r>
        <w:rPr>
          <w:sz w:val="22"/>
          <w:szCs w:val="22"/>
        </w:rPr>
        <w:t xml:space="preserve"> ukazovateľ</w:t>
      </w:r>
      <w:r w:rsidR="00973F15">
        <w:rPr>
          <w:sz w:val="22"/>
          <w:szCs w:val="22"/>
        </w:rPr>
        <w:t>mi</w:t>
      </w:r>
      <w:r w:rsidR="005B7DBA" w:rsidRPr="005B7DBA">
        <w:rPr>
          <w:sz w:val="22"/>
          <w:szCs w:val="22"/>
        </w:rPr>
        <w:t xml:space="preserve"> bol</w:t>
      </w:r>
      <w:r w:rsidR="00973F15">
        <w:rPr>
          <w:sz w:val="22"/>
          <w:szCs w:val="22"/>
        </w:rPr>
        <w:t>i</w:t>
      </w:r>
      <w:r w:rsidR="005B7DBA" w:rsidRPr="005B7DBA">
        <w:rPr>
          <w:sz w:val="22"/>
          <w:szCs w:val="22"/>
        </w:rPr>
        <w:t xml:space="preserve"> celkové prežívanie a prežívanie bez progresie (PFS). </w:t>
      </w: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Približne polovica pacientov mala podľa ECOG výkonnostný status stupňa 0 a polovica pacientov </w:t>
      </w:r>
    </w:p>
    <w:p w:rsidR="0028016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bola v nízkorizikovej prognostickej skupine MSKCC. </w:t>
      </w: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PFS sa vyhodnocovalo podľa zaslepeného nezávislého rádiologického preskúmania podľa kritérií RECIST. Analýza PFS sa vykonala na 342 prípadoch </w:t>
      </w:r>
      <w:r w:rsidR="00973F15">
        <w:rPr>
          <w:sz w:val="22"/>
          <w:szCs w:val="22"/>
        </w:rPr>
        <w:t>u</w:t>
      </w:r>
      <w:r w:rsidRPr="005B7DBA">
        <w:rPr>
          <w:sz w:val="22"/>
          <w:szCs w:val="22"/>
        </w:rPr>
        <w:t xml:space="preserve"> 769 pacientov. Medián PFS bolo 167 dní u pacientov </w:t>
      </w:r>
      <w:proofErr w:type="spellStart"/>
      <w:r w:rsidRPr="005B7DBA">
        <w:rPr>
          <w:sz w:val="22"/>
          <w:szCs w:val="22"/>
        </w:rPr>
        <w:t>randomizovaných</w:t>
      </w:r>
      <w:proofErr w:type="spellEnd"/>
      <w:r w:rsidRPr="005B7DBA">
        <w:rPr>
          <w:sz w:val="22"/>
          <w:szCs w:val="22"/>
        </w:rPr>
        <w:t xml:space="preserve"> na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v porovnaní s 84 dňami u pacientov s placebom (HR=0,44; 95 % CI: 0,35 - 0,55; p &lt;0,000001). Vek, prognostická skupina MSKCC, ECOG PS a predchádzajúca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liečba neovplyvňovali veľkosť účinku liečby. </w:t>
      </w:r>
    </w:p>
    <w:p w:rsidR="0028016A" w:rsidRPr="0028016A" w:rsidRDefault="0028016A" w:rsidP="0028016A">
      <w:pPr>
        <w:pStyle w:val="Default"/>
      </w:pPr>
    </w:p>
    <w:p w:rsidR="0028016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Predbežná analýza (druhá predbežná analýza) celkového prežitia sa vykonala </w:t>
      </w:r>
      <w:r w:rsidRPr="000D43B4">
        <w:rPr>
          <w:sz w:val="22"/>
          <w:szCs w:val="22"/>
        </w:rPr>
        <w:t xml:space="preserve">na 367 úmrtiach </w:t>
      </w:r>
      <w:r w:rsidR="000D43B4">
        <w:rPr>
          <w:sz w:val="22"/>
          <w:szCs w:val="22"/>
        </w:rPr>
        <w:t>z</w:t>
      </w:r>
      <w:r w:rsidRPr="000D43B4">
        <w:rPr>
          <w:sz w:val="22"/>
          <w:szCs w:val="22"/>
        </w:rPr>
        <w:t xml:space="preserve"> 903</w:t>
      </w:r>
      <w:r w:rsidRPr="005B7DBA">
        <w:rPr>
          <w:sz w:val="22"/>
          <w:szCs w:val="22"/>
        </w:rPr>
        <w:t xml:space="preserve"> pacientov. Nominálna hodnota alfa pre túto analýzu bola 0,0094. Medián prežitia bol 19,3 mesiacov u pacientov </w:t>
      </w:r>
      <w:proofErr w:type="spellStart"/>
      <w:r w:rsidRPr="005B7DBA">
        <w:rPr>
          <w:sz w:val="22"/>
          <w:szCs w:val="22"/>
        </w:rPr>
        <w:t>randomizovaných</w:t>
      </w:r>
      <w:proofErr w:type="spellEnd"/>
      <w:r w:rsidRPr="005B7DBA">
        <w:rPr>
          <w:sz w:val="22"/>
          <w:szCs w:val="22"/>
        </w:rPr>
        <w:t xml:space="preserve"> na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v porovnaní s 15,9 mesiacmi u pacientov s placebom (HR = 0,77; 95 % CI: 0,63-0,95; p=0,015). V čase tejto analýzy prešlo na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približne 200 pacientov zo skupiny s placebom.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:rsidR="005B7DBA" w:rsidRPr="005B7DBA" w:rsidRDefault="00C66603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>kúšanie 2 bol</w:t>
      </w:r>
      <w:r>
        <w:rPr>
          <w:sz w:val="22"/>
          <w:szCs w:val="22"/>
        </w:rPr>
        <w:t xml:space="preserve">o </w:t>
      </w:r>
      <w:r w:rsidR="005B7DBA" w:rsidRPr="005B7DBA">
        <w:rPr>
          <w:sz w:val="22"/>
          <w:szCs w:val="22"/>
        </w:rPr>
        <w:t>diskontinuálne skúšani</w:t>
      </w:r>
      <w:r w:rsidR="009572E4">
        <w:rPr>
          <w:sz w:val="22"/>
          <w:szCs w:val="22"/>
        </w:rPr>
        <w:t>e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fázy II </w:t>
      </w:r>
      <w:r w:rsidR="005B7DBA" w:rsidRPr="005B7DBA">
        <w:rPr>
          <w:sz w:val="22"/>
          <w:szCs w:val="22"/>
        </w:rPr>
        <w:t xml:space="preserve">u pacientov s metastatickými malignitami vrátane RCC. Pacienti so stabilným ochorením liečení </w:t>
      </w:r>
      <w:proofErr w:type="spellStart"/>
      <w:r w:rsidR="005B7DBA" w:rsidRPr="005B7DBA">
        <w:rPr>
          <w:sz w:val="22"/>
          <w:szCs w:val="22"/>
        </w:rPr>
        <w:t>sorafenibom</w:t>
      </w:r>
      <w:proofErr w:type="spellEnd"/>
      <w:r w:rsidR="005B7DBA" w:rsidRPr="005B7DBA">
        <w:rPr>
          <w:sz w:val="22"/>
          <w:szCs w:val="22"/>
        </w:rPr>
        <w:t xml:space="preserve"> boli </w:t>
      </w:r>
      <w:proofErr w:type="spellStart"/>
      <w:r w:rsidR="005B7DBA" w:rsidRPr="005B7DBA">
        <w:rPr>
          <w:sz w:val="22"/>
          <w:szCs w:val="22"/>
        </w:rPr>
        <w:t>randomizovaní</w:t>
      </w:r>
      <w:proofErr w:type="spellEnd"/>
      <w:r w:rsidR="005B7DBA" w:rsidRPr="005B7DBA">
        <w:rPr>
          <w:sz w:val="22"/>
          <w:szCs w:val="22"/>
        </w:rPr>
        <w:t xml:space="preserve"> na placebo alebo pokračovali v liečbe </w:t>
      </w:r>
      <w:proofErr w:type="spellStart"/>
      <w:r w:rsidR="005B7DBA" w:rsidRPr="005B7DBA">
        <w:rPr>
          <w:sz w:val="22"/>
          <w:szCs w:val="22"/>
        </w:rPr>
        <w:t>sorafenibom</w:t>
      </w:r>
      <w:proofErr w:type="spellEnd"/>
      <w:r w:rsidR="005B7DBA" w:rsidRPr="005B7DBA">
        <w:rPr>
          <w:sz w:val="22"/>
          <w:szCs w:val="22"/>
        </w:rPr>
        <w:t xml:space="preserve">. Prežívanie pacientov s RCC bez progresie bolo významne dlhšie v skupine so </w:t>
      </w:r>
      <w:proofErr w:type="spellStart"/>
      <w:r w:rsidR="005B7DBA" w:rsidRPr="005B7DBA">
        <w:rPr>
          <w:sz w:val="22"/>
          <w:szCs w:val="22"/>
        </w:rPr>
        <w:t>sorafenibom</w:t>
      </w:r>
      <w:proofErr w:type="spellEnd"/>
      <w:r w:rsidR="005B7DBA" w:rsidRPr="005B7DBA">
        <w:rPr>
          <w:sz w:val="22"/>
          <w:szCs w:val="22"/>
        </w:rPr>
        <w:t xml:space="preserve"> (163 dní) než v skupine s placebom (41 dní) (p=0,0001, HR=0,29).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Predĺženie intervalu QT </w:t>
      </w:r>
    </w:p>
    <w:p w:rsidR="00A745DA" w:rsidRDefault="00A745DA" w:rsidP="005B7DBA">
      <w:pPr>
        <w:pStyle w:val="CM32"/>
        <w:rPr>
          <w:sz w:val="22"/>
          <w:szCs w:val="22"/>
        </w:rPr>
      </w:pP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klinickom farmakologickom skúšaní sa </w:t>
      </w:r>
      <w:r w:rsidR="00A745DA">
        <w:rPr>
          <w:sz w:val="22"/>
          <w:szCs w:val="22"/>
        </w:rPr>
        <w:t xml:space="preserve">meranie </w:t>
      </w:r>
      <w:r w:rsidRPr="005B7DBA">
        <w:rPr>
          <w:sz w:val="22"/>
          <w:szCs w:val="22"/>
        </w:rPr>
        <w:t>QT/</w:t>
      </w:r>
      <w:proofErr w:type="spellStart"/>
      <w:r w:rsidRPr="005B7DBA">
        <w:rPr>
          <w:sz w:val="22"/>
          <w:szCs w:val="22"/>
        </w:rPr>
        <w:t>QTc</w:t>
      </w:r>
      <w:proofErr w:type="spellEnd"/>
      <w:r w:rsidRPr="005B7DBA">
        <w:rPr>
          <w:sz w:val="22"/>
          <w:szCs w:val="22"/>
        </w:rPr>
        <w:t xml:space="preserve"> zaznamenal</w:t>
      </w:r>
      <w:r w:rsidR="00A745DA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u 31 pacientov na začiatku (pred liečbou) a po liečbe. Po jednom 28-dňovom liečebnom cykle, v čase maximálnej koncentrácie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, bolo </w:t>
      </w:r>
      <w:proofErr w:type="spellStart"/>
      <w:r w:rsidRPr="005B7DBA">
        <w:rPr>
          <w:sz w:val="22"/>
          <w:szCs w:val="22"/>
        </w:rPr>
        <w:t>QTcB</w:t>
      </w:r>
      <w:proofErr w:type="spellEnd"/>
      <w:r w:rsidRPr="005B7DBA">
        <w:rPr>
          <w:sz w:val="22"/>
          <w:szCs w:val="22"/>
        </w:rPr>
        <w:t xml:space="preserve"> predĺžené o 4±19 ms a </w:t>
      </w:r>
      <w:proofErr w:type="spellStart"/>
      <w:r w:rsidRPr="005B7DBA">
        <w:rPr>
          <w:sz w:val="22"/>
          <w:szCs w:val="22"/>
        </w:rPr>
        <w:t>QTcF</w:t>
      </w:r>
      <w:proofErr w:type="spellEnd"/>
      <w:r w:rsidRPr="005B7DBA">
        <w:rPr>
          <w:sz w:val="22"/>
          <w:szCs w:val="22"/>
        </w:rPr>
        <w:t xml:space="preserve"> o 9±18 ms, pri porovnaní s</w:t>
      </w:r>
      <w:r w:rsidR="00A745DA">
        <w:rPr>
          <w:sz w:val="22"/>
          <w:szCs w:val="22"/>
        </w:rPr>
        <w:t xml:space="preserve"> hodnotami na začiatku pri </w:t>
      </w:r>
      <w:r w:rsidRPr="005B7DBA">
        <w:rPr>
          <w:sz w:val="22"/>
          <w:szCs w:val="22"/>
        </w:rPr>
        <w:t>liečb</w:t>
      </w:r>
      <w:r w:rsidR="00A745DA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placebom. U žiadneho jedinca sa nepotvrdilo </w:t>
      </w:r>
      <w:proofErr w:type="spellStart"/>
      <w:r w:rsidRPr="005B7DBA">
        <w:rPr>
          <w:sz w:val="22"/>
          <w:szCs w:val="22"/>
        </w:rPr>
        <w:t>QTcB</w:t>
      </w:r>
      <w:proofErr w:type="spellEnd"/>
      <w:r w:rsidRPr="005B7DBA">
        <w:rPr>
          <w:sz w:val="22"/>
          <w:szCs w:val="22"/>
        </w:rPr>
        <w:t xml:space="preserve"> alebo </w:t>
      </w:r>
      <w:proofErr w:type="spellStart"/>
      <w:r w:rsidRPr="005B7DBA">
        <w:rPr>
          <w:sz w:val="22"/>
          <w:szCs w:val="22"/>
        </w:rPr>
        <w:t>QTcF</w:t>
      </w:r>
      <w:proofErr w:type="spellEnd"/>
      <w:r w:rsidRPr="005B7DBA">
        <w:rPr>
          <w:sz w:val="22"/>
          <w:szCs w:val="22"/>
        </w:rPr>
        <w:t xml:space="preserve"> &gt;500 ms počas monitorovania EKG po liečbe (pozri čas 4.4). </w:t>
      </w:r>
    </w:p>
    <w:p w:rsidR="0028016A" w:rsidRPr="0028016A" w:rsidRDefault="0028016A" w:rsidP="0028016A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Pediatrická populácia </w:t>
      </w:r>
    </w:p>
    <w:p w:rsidR="00A745DA" w:rsidRDefault="00A745DA" w:rsidP="00634A7E">
      <w:pPr>
        <w:pStyle w:val="CM9"/>
        <w:spacing w:line="240" w:lineRule="auto"/>
        <w:rPr>
          <w:sz w:val="22"/>
          <w:szCs w:val="22"/>
        </w:rPr>
      </w:pPr>
    </w:p>
    <w:p w:rsidR="00634A7E" w:rsidRDefault="005B7DBA" w:rsidP="00634A7E">
      <w:pPr>
        <w:pStyle w:val="CM9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Európska agentúra pre lieky udelila výnimku z povinnosti predložiť výsledky </w:t>
      </w:r>
      <w:r w:rsidR="004F636E">
        <w:rPr>
          <w:sz w:val="22"/>
          <w:szCs w:val="22"/>
        </w:rPr>
        <w:t>štúdií</w:t>
      </w:r>
      <w:r w:rsidRPr="005B7DBA">
        <w:rPr>
          <w:sz w:val="22"/>
          <w:szCs w:val="22"/>
        </w:rPr>
        <w:t xml:space="preserve"> vo všetkých podskupinách pediatrickej populácie s karcinómom obličky a obličkovej panvičky (s výnimkou </w:t>
      </w:r>
      <w:proofErr w:type="spellStart"/>
      <w:r w:rsidRPr="005B7DBA">
        <w:rPr>
          <w:sz w:val="22"/>
          <w:szCs w:val="22"/>
        </w:rPr>
        <w:t>nefroblastómu</w:t>
      </w:r>
      <w:proofErr w:type="spellEnd"/>
      <w:r w:rsidRPr="005B7DBA">
        <w:rPr>
          <w:sz w:val="22"/>
          <w:szCs w:val="22"/>
        </w:rPr>
        <w:t xml:space="preserve">, </w:t>
      </w:r>
      <w:proofErr w:type="spellStart"/>
      <w:r w:rsidRPr="005B7DBA">
        <w:rPr>
          <w:sz w:val="22"/>
          <w:szCs w:val="22"/>
        </w:rPr>
        <w:t>nefroblastomatózy</w:t>
      </w:r>
      <w:proofErr w:type="spellEnd"/>
      <w:r w:rsidRPr="005B7DBA">
        <w:rPr>
          <w:sz w:val="22"/>
          <w:szCs w:val="22"/>
        </w:rPr>
        <w:t xml:space="preserve">, sarkómu zo svetlých buniek, </w:t>
      </w:r>
      <w:proofErr w:type="spellStart"/>
      <w:r w:rsidRPr="005B7DBA">
        <w:rPr>
          <w:sz w:val="22"/>
          <w:szCs w:val="22"/>
        </w:rPr>
        <w:t>mezoblastického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nefrómu</w:t>
      </w:r>
      <w:proofErr w:type="spellEnd"/>
      <w:r w:rsidRPr="005B7DBA">
        <w:rPr>
          <w:sz w:val="22"/>
          <w:szCs w:val="22"/>
        </w:rPr>
        <w:t xml:space="preserve">, </w:t>
      </w:r>
      <w:proofErr w:type="spellStart"/>
      <w:r w:rsidRPr="005B7DBA">
        <w:rPr>
          <w:sz w:val="22"/>
          <w:szCs w:val="22"/>
        </w:rPr>
        <w:t>medulárneho</w:t>
      </w:r>
      <w:proofErr w:type="spellEnd"/>
      <w:r w:rsidRPr="005B7DBA">
        <w:rPr>
          <w:sz w:val="22"/>
          <w:szCs w:val="22"/>
        </w:rPr>
        <w:t xml:space="preserve"> karcinómu obličiek a </w:t>
      </w:r>
      <w:proofErr w:type="spellStart"/>
      <w:r w:rsidRPr="005B7DBA">
        <w:rPr>
          <w:sz w:val="22"/>
          <w:szCs w:val="22"/>
        </w:rPr>
        <w:t>rabdoidného</w:t>
      </w:r>
      <w:proofErr w:type="spellEnd"/>
      <w:r w:rsidRPr="005B7DBA">
        <w:rPr>
          <w:sz w:val="22"/>
          <w:szCs w:val="22"/>
        </w:rPr>
        <w:t xml:space="preserve"> tumoru obličky), karcinómom pečene a </w:t>
      </w:r>
      <w:proofErr w:type="spellStart"/>
      <w:r w:rsidRPr="005B7DBA">
        <w:rPr>
          <w:sz w:val="22"/>
          <w:szCs w:val="22"/>
        </w:rPr>
        <w:t>vnútropečeňových</w:t>
      </w:r>
      <w:proofErr w:type="spellEnd"/>
      <w:r w:rsidRPr="005B7DBA">
        <w:rPr>
          <w:sz w:val="22"/>
          <w:szCs w:val="22"/>
        </w:rPr>
        <w:t xml:space="preserve"> žlčových ciest (s výnimkou </w:t>
      </w:r>
      <w:proofErr w:type="spellStart"/>
      <w:r w:rsidRPr="005B7DBA">
        <w:rPr>
          <w:sz w:val="22"/>
          <w:szCs w:val="22"/>
        </w:rPr>
        <w:t>hepatoblastómu</w:t>
      </w:r>
      <w:proofErr w:type="spellEnd"/>
      <w:r w:rsidRPr="005B7DBA">
        <w:rPr>
          <w:sz w:val="22"/>
          <w:szCs w:val="22"/>
        </w:rPr>
        <w:t>) (informácie o použití v pediatrickej populácii</w:t>
      </w:r>
      <w:r w:rsidR="00143D2B">
        <w:rPr>
          <w:sz w:val="22"/>
          <w:szCs w:val="22"/>
        </w:rPr>
        <w:t xml:space="preserve">, </w:t>
      </w:r>
      <w:r w:rsidR="00143D2B" w:rsidRPr="00143D2B">
        <w:rPr>
          <w:sz w:val="22"/>
          <w:szCs w:val="22"/>
        </w:rPr>
        <w:t>pozri časť 4.2</w:t>
      </w:r>
      <w:r w:rsidRPr="005B7DBA">
        <w:rPr>
          <w:sz w:val="22"/>
          <w:szCs w:val="22"/>
        </w:rPr>
        <w:t xml:space="preserve">). </w:t>
      </w:r>
    </w:p>
    <w:p w:rsidR="00634A7E" w:rsidRDefault="00634A7E" w:rsidP="00634A7E">
      <w:pPr>
        <w:pStyle w:val="CM9"/>
        <w:spacing w:line="240" w:lineRule="auto"/>
        <w:rPr>
          <w:sz w:val="22"/>
          <w:szCs w:val="22"/>
        </w:rPr>
      </w:pPr>
    </w:p>
    <w:p w:rsidR="005B7DBA" w:rsidRPr="005B7DBA" w:rsidRDefault="005B7DBA" w:rsidP="000D43B4">
      <w:pPr>
        <w:pStyle w:val="CM9"/>
        <w:tabs>
          <w:tab w:val="left" w:pos="567"/>
        </w:tabs>
        <w:spacing w:line="240" w:lineRule="auto"/>
        <w:rPr>
          <w:sz w:val="22"/>
          <w:szCs w:val="22"/>
        </w:rPr>
      </w:pPr>
      <w:r w:rsidRPr="00500812">
        <w:rPr>
          <w:b/>
          <w:bCs/>
          <w:sz w:val="22"/>
          <w:szCs w:val="22"/>
        </w:rPr>
        <w:t xml:space="preserve">5.2 </w:t>
      </w:r>
      <w:r w:rsidR="000D43B4">
        <w:rPr>
          <w:b/>
          <w:bCs/>
          <w:sz w:val="22"/>
          <w:szCs w:val="22"/>
        </w:rPr>
        <w:tab/>
      </w:r>
      <w:proofErr w:type="spellStart"/>
      <w:r w:rsidRPr="00500812">
        <w:rPr>
          <w:b/>
          <w:bCs/>
          <w:sz w:val="22"/>
          <w:szCs w:val="22"/>
        </w:rPr>
        <w:t>Farmakokinetické</w:t>
      </w:r>
      <w:proofErr w:type="spellEnd"/>
      <w:r w:rsidRPr="00500812">
        <w:rPr>
          <w:b/>
          <w:bCs/>
          <w:sz w:val="22"/>
          <w:szCs w:val="22"/>
        </w:rPr>
        <w:t xml:space="preserve"> vlastnosti</w:t>
      </w:r>
      <w:r w:rsidRPr="005B7DBA">
        <w:rPr>
          <w:b/>
          <w:bCs/>
          <w:sz w:val="22"/>
          <w:szCs w:val="22"/>
        </w:rPr>
        <w:t xml:space="preserve">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sz w:val="22"/>
          <w:szCs w:val="22"/>
          <w:u w:val="single"/>
        </w:rPr>
      </w:pPr>
      <w:r w:rsidRPr="005B7DBA">
        <w:rPr>
          <w:sz w:val="22"/>
          <w:szCs w:val="22"/>
          <w:u w:val="single"/>
        </w:rPr>
        <w:t xml:space="preserve">Absorpcia a distribúcia </w:t>
      </w:r>
    </w:p>
    <w:p w:rsidR="00D441F8" w:rsidRPr="00D441F8" w:rsidRDefault="00D441F8" w:rsidP="00D441F8">
      <w:pPr>
        <w:pStyle w:val="Default"/>
      </w:pPr>
    </w:p>
    <w:p w:rsidR="00500812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podaní tabliet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bola priemerná relatívna biologická dostupnosť v porovnaní s perorálnym roztokom 38-49 %. Absolútna biologická dostupnosť nie je známa. Po perorálnom podaní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lastRenderedPageBreak/>
        <w:t xml:space="preserve">dosahuje </w:t>
      </w:r>
      <w:r w:rsidR="00B00BB1">
        <w:rPr>
          <w:sz w:val="22"/>
          <w:szCs w:val="22"/>
        </w:rPr>
        <w:t>maximálne</w:t>
      </w:r>
      <w:r w:rsidRPr="005B7DBA">
        <w:rPr>
          <w:sz w:val="22"/>
          <w:szCs w:val="22"/>
        </w:rPr>
        <w:t xml:space="preserve"> koncentrácie v plazme približne za 3 hodiny. Pri podávaní s jedlom </w:t>
      </w:r>
      <w:r w:rsidR="00B00BB1">
        <w:rPr>
          <w:sz w:val="22"/>
          <w:szCs w:val="22"/>
        </w:rPr>
        <w:t xml:space="preserve">s vysokým obsahom tukov </w:t>
      </w:r>
      <w:r w:rsidRPr="005B7DBA">
        <w:rPr>
          <w:sz w:val="22"/>
          <w:szCs w:val="22"/>
        </w:rPr>
        <w:t xml:space="preserve">sa absorpcia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znížila o 30 % v porovnaní s</w:t>
      </w:r>
      <w:r w:rsidR="004F636E">
        <w:rPr>
          <w:sz w:val="22"/>
          <w:szCs w:val="22"/>
        </w:rPr>
        <w:t> </w:t>
      </w:r>
      <w:r w:rsidRPr="005B7DBA">
        <w:rPr>
          <w:sz w:val="22"/>
          <w:szCs w:val="22"/>
        </w:rPr>
        <w:t>podávaním</w:t>
      </w:r>
      <w:r w:rsidR="004F636E">
        <w:rPr>
          <w:sz w:val="22"/>
          <w:szCs w:val="22"/>
        </w:rPr>
        <w:t xml:space="preserve"> v stave</w:t>
      </w:r>
      <w:r w:rsidRPr="005B7DBA">
        <w:rPr>
          <w:sz w:val="22"/>
          <w:szCs w:val="22"/>
        </w:rPr>
        <w:t xml:space="preserve"> </w:t>
      </w:r>
      <w:r w:rsidR="00500812">
        <w:rPr>
          <w:sz w:val="22"/>
          <w:szCs w:val="22"/>
        </w:rPr>
        <w:t>nalačno</w:t>
      </w:r>
      <w:r w:rsidRPr="005B7DBA">
        <w:rPr>
          <w:sz w:val="22"/>
          <w:szCs w:val="22"/>
        </w:rPr>
        <w:t xml:space="preserve">. </w:t>
      </w:r>
    </w:p>
    <w:p w:rsidR="00500812" w:rsidRDefault="00B00BB1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Priemerná</w:t>
      </w:r>
      <w:r w:rsidR="005B7DBA" w:rsidRPr="005B7DBA">
        <w:rPr>
          <w:sz w:val="22"/>
          <w:szCs w:val="22"/>
        </w:rPr>
        <w:t xml:space="preserve"> </w:t>
      </w:r>
      <w:proofErr w:type="spellStart"/>
      <w:r w:rsidR="005B7DBA" w:rsidRPr="005B7DBA">
        <w:rPr>
          <w:sz w:val="22"/>
          <w:szCs w:val="22"/>
        </w:rPr>
        <w:t>C</w:t>
      </w:r>
      <w:r w:rsidR="005B7DBA" w:rsidRPr="00500812">
        <w:rPr>
          <w:sz w:val="22"/>
          <w:szCs w:val="22"/>
          <w:vertAlign w:val="subscript"/>
        </w:rPr>
        <w:t>max</w:t>
      </w:r>
      <w:proofErr w:type="spellEnd"/>
      <w:r w:rsidR="005B7DBA" w:rsidRPr="005B7DBA">
        <w:rPr>
          <w:sz w:val="22"/>
          <w:szCs w:val="22"/>
        </w:rPr>
        <w:t xml:space="preserve"> a AUC sa po dávkach 400 mg podávaných dvakrát denne zvýšili menej ako proporcionálne. Väzba </w:t>
      </w:r>
      <w:proofErr w:type="spellStart"/>
      <w:r w:rsidR="005B7DBA" w:rsidRPr="005B7DBA">
        <w:rPr>
          <w:sz w:val="22"/>
          <w:szCs w:val="22"/>
        </w:rPr>
        <w:t>sorafenibu</w:t>
      </w:r>
      <w:proofErr w:type="spellEnd"/>
      <w:r w:rsidR="005B7DBA" w:rsidRPr="005B7DBA">
        <w:rPr>
          <w:sz w:val="22"/>
          <w:szCs w:val="22"/>
        </w:rPr>
        <w:t xml:space="preserve"> na bielkoviny ľudskej plazmy </w:t>
      </w:r>
      <w:r w:rsidR="005B7DBA" w:rsidRPr="005B7DBA">
        <w:rPr>
          <w:i/>
          <w:iCs/>
          <w:sz w:val="22"/>
          <w:szCs w:val="22"/>
        </w:rPr>
        <w:t xml:space="preserve">in vitro </w:t>
      </w:r>
      <w:r w:rsidR="005B7DBA" w:rsidRPr="005B7DBA">
        <w:rPr>
          <w:sz w:val="22"/>
          <w:szCs w:val="22"/>
        </w:rPr>
        <w:t xml:space="preserve">je 99,5 %.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Viacnásobné dávkovanie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počas 7 dní malo za následok 2,5 až 7-násobnú akumuláciu v porovnaní s jednorazovým podaním. Rovnovážne koncentrácie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v plazme sa dosahujú počas 7 dní s pomerom </w:t>
      </w:r>
      <w:r w:rsidR="00B00BB1">
        <w:rPr>
          <w:sz w:val="22"/>
          <w:szCs w:val="22"/>
        </w:rPr>
        <w:t xml:space="preserve">maximálnych a minimálnych priemerných </w:t>
      </w:r>
      <w:r w:rsidRPr="005B7DBA">
        <w:rPr>
          <w:sz w:val="22"/>
          <w:szCs w:val="22"/>
        </w:rPr>
        <w:t xml:space="preserve">koncentrácií menej než 2.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sz w:val="22"/>
          <w:szCs w:val="22"/>
          <w:u w:val="single"/>
        </w:rPr>
      </w:pPr>
      <w:proofErr w:type="spellStart"/>
      <w:r w:rsidRPr="005B7DBA">
        <w:rPr>
          <w:sz w:val="22"/>
          <w:szCs w:val="22"/>
          <w:u w:val="single"/>
        </w:rPr>
        <w:t>Biotransformácia</w:t>
      </w:r>
      <w:proofErr w:type="spellEnd"/>
      <w:r w:rsidRPr="005B7DBA">
        <w:rPr>
          <w:sz w:val="22"/>
          <w:szCs w:val="22"/>
          <w:u w:val="single"/>
        </w:rPr>
        <w:t xml:space="preserve"> a eliminácia </w:t>
      </w:r>
    </w:p>
    <w:p w:rsidR="00D441F8" w:rsidRPr="00D441F8" w:rsidRDefault="00D441F8" w:rsidP="00D441F8">
      <w:pPr>
        <w:pStyle w:val="Default"/>
      </w:pPr>
    </w:p>
    <w:p w:rsidR="005B7DBA" w:rsidRPr="005B7DBA" w:rsidRDefault="005B7DBA" w:rsidP="005B7DBA">
      <w:pPr>
        <w:pStyle w:val="CM2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Eliminačný polčas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je približne 25-48 hodín.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sa metabolizuje predovšetkým v pečeni a podrobuje sa oxidačnému metabolizmu sprostredkovanému CYP3A4, ako aj </w:t>
      </w:r>
      <w:proofErr w:type="spellStart"/>
      <w:r w:rsidRPr="005B7DBA">
        <w:rPr>
          <w:sz w:val="22"/>
          <w:szCs w:val="22"/>
        </w:rPr>
        <w:t>glukuronizácii</w:t>
      </w:r>
      <w:proofErr w:type="spellEnd"/>
      <w:r w:rsidRPr="005B7DBA">
        <w:rPr>
          <w:sz w:val="22"/>
          <w:szCs w:val="22"/>
        </w:rPr>
        <w:t xml:space="preserve"> sprostredkovanej UGT1A9. </w:t>
      </w:r>
      <w:proofErr w:type="spellStart"/>
      <w:r w:rsidRPr="005B7DBA">
        <w:rPr>
          <w:sz w:val="22"/>
          <w:szCs w:val="22"/>
        </w:rPr>
        <w:t>Konjugáty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sa môžu rozš</w:t>
      </w:r>
      <w:r w:rsidR="00FF2B68">
        <w:rPr>
          <w:sz w:val="22"/>
          <w:szCs w:val="22"/>
        </w:rPr>
        <w:t>t</w:t>
      </w:r>
      <w:r w:rsidRPr="005B7DBA">
        <w:rPr>
          <w:sz w:val="22"/>
          <w:szCs w:val="22"/>
        </w:rPr>
        <w:t xml:space="preserve">iepiť v </w:t>
      </w:r>
      <w:proofErr w:type="spellStart"/>
      <w:r w:rsidRPr="005B7DBA">
        <w:rPr>
          <w:sz w:val="22"/>
          <w:szCs w:val="22"/>
        </w:rPr>
        <w:t>gastrointestinálnom</w:t>
      </w:r>
      <w:proofErr w:type="spellEnd"/>
      <w:r w:rsidRPr="005B7DBA">
        <w:rPr>
          <w:sz w:val="22"/>
          <w:szCs w:val="22"/>
        </w:rPr>
        <w:t xml:space="preserve"> trakte pôsobením bakteriálnej </w:t>
      </w:r>
      <w:proofErr w:type="spellStart"/>
      <w:r w:rsidRPr="005B7DBA">
        <w:rPr>
          <w:sz w:val="22"/>
          <w:szCs w:val="22"/>
        </w:rPr>
        <w:t>glukuronidázy</w:t>
      </w:r>
      <w:proofErr w:type="spellEnd"/>
      <w:r w:rsidRPr="005B7DBA">
        <w:rPr>
          <w:sz w:val="22"/>
          <w:szCs w:val="22"/>
        </w:rPr>
        <w:t xml:space="preserve">, čo umožňuje </w:t>
      </w:r>
      <w:proofErr w:type="spellStart"/>
      <w:r w:rsidRPr="005B7DBA">
        <w:rPr>
          <w:sz w:val="22"/>
          <w:szCs w:val="22"/>
        </w:rPr>
        <w:t>reabsorpciu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nekonjugovaného</w:t>
      </w:r>
      <w:proofErr w:type="spellEnd"/>
      <w:r w:rsidRPr="005B7DBA">
        <w:rPr>
          <w:sz w:val="22"/>
          <w:szCs w:val="22"/>
        </w:rPr>
        <w:t xml:space="preserve"> liečiva. Súbežné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podanie </w:t>
      </w:r>
      <w:proofErr w:type="spellStart"/>
      <w:r w:rsidRPr="005B7DBA">
        <w:rPr>
          <w:sz w:val="22"/>
          <w:szCs w:val="22"/>
        </w:rPr>
        <w:t>neomycínu</w:t>
      </w:r>
      <w:proofErr w:type="spellEnd"/>
      <w:r w:rsidRPr="005B7DBA">
        <w:rPr>
          <w:sz w:val="22"/>
          <w:szCs w:val="22"/>
        </w:rPr>
        <w:t xml:space="preserve"> ukázalo vzájomné spolupôsobenie s týmto procesom so znížením priemernej biologickej dostupnosti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o 54 %. </w:t>
      </w:r>
    </w:p>
    <w:p w:rsidR="00500812" w:rsidRPr="00500812" w:rsidRDefault="00500812" w:rsidP="00500812">
      <w:pPr>
        <w:pStyle w:val="Default"/>
      </w:pPr>
    </w:p>
    <w:p w:rsidR="005B7DBA" w:rsidRDefault="005B7DBA" w:rsidP="005B7DBA">
      <w:pPr>
        <w:pStyle w:val="CM32"/>
        <w:rPr>
          <w:sz w:val="22"/>
          <w:szCs w:val="22"/>
        </w:rPr>
      </w:pP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predstavuje približne 70-85 % cirkulujúcich </w:t>
      </w:r>
      <w:proofErr w:type="spellStart"/>
      <w:r w:rsidRPr="005B7DBA">
        <w:rPr>
          <w:sz w:val="22"/>
          <w:szCs w:val="22"/>
        </w:rPr>
        <w:t>analytov</w:t>
      </w:r>
      <w:proofErr w:type="spellEnd"/>
      <w:r w:rsidRPr="005B7DBA">
        <w:rPr>
          <w:sz w:val="22"/>
          <w:szCs w:val="22"/>
        </w:rPr>
        <w:t xml:space="preserve"> v plazme v rovnovážnom stave. Zistilo sa osem </w:t>
      </w:r>
      <w:proofErr w:type="spellStart"/>
      <w:r w:rsidRPr="005B7DBA">
        <w:rPr>
          <w:sz w:val="22"/>
          <w:szCs w:val="22"/>
        </w:rPr>
        <w:t>metabolitov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, z ktorých päť sa detegovalo v plazme. Hlavný cirkulujúci </w:t>
      </w:r>
      <w:proofErr w:type="spellStart"/>
      <w:r w:rsidRPr="005B7DBA">
        <w:rPr>
          <w:sz w:val="22"/>
          <w:szCs w:val="22"/>
        </w:rPr>
        <w:t>metabolit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v plazme, </w:t>
      </w:r>
      <w:proofErr w:type="spellStart"/>
      <w:r w:rsidRPr="005B7DBA">
        <w:rPr>
          <w:sz w:val="22"/>
          <w:szCs w:val="22"/>
        </w:rPr>
        <w:t>pyridín</w:t>
      </w:r>
      <w:proofErr w:type="spellEnd"/>
      <w:r w:rsidRPr="005B7DBA">
        <w:rPr>
          <w:sz w:val="22"/>
          <w:szCs w:val="22"/>
        </w:rPr>
        <w:t xml:space="preserve"> N-oxid, vykazuje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podobný účinok ako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. Tento </w:t>
      </w:r>
      <w:proofErr w:type="spellStart"/>
      <w:r w:rsidRPr="005B7DBA">
        <w:rPr>
          <w:sz w:val="22"/>
          <w:szCs w:val="22"/>
        </w:rPr>
        <w:t>metabolit</w:t>
      </w:r>
      <w:proofErr w:type="spellEnd"/>
      <w:r w:rsidRPr="005B7DBA">
        <w:rPr>
          <w:sz w:val="22"/>
          <w:szCs w:val="22"/>
        </w:rPr>
        <w:t xml:space="preserve"> tvorí približne 9-16 % cirkulujúcich </w:t>
      </w:r>
      <w:proofErr w:type="spellStart"/>
      <w:r w:rsidRPr="005B7DBA">
        <w:rPr>
          <w:sz w:val="22"/>
          <w:szCs w:val="22"/>
        </w:rPr>
        <w:t>analytov</w:t>
      </w:r>
      <w:proofErr w:type="spellEnd"/>
      <w:r w:rsidRPr="005B7DBA">
        <w:rPr>
          <w:sz w:val="22"/>
          <w:szCs w:val="22"/>
        </w:rPr>
        <w:t xml:space="preserve"> v rovnovážnom stave. </w:t>
      </w:r>
    </w:p>
    <w:p w:rsidR="00500812" w:rsidRPr="00500812" w:rsidRDefault="00500812" w:rsidP="00500812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perorálnom podaní dávky 100 mg roztoku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sa 96 % dávky</w:t>
      </w:r>
      <w:r w:rsidR="00500812">
        <w:rPr>
          <w:sz w:val="22"/>
          <w:szCs w:val="22"/>
        </w:rPr>
        <w:t xml:space="preserve"> vylúčilo v priebehu 14 dní, 77 </w:t>
      </w:r>
      <w:r w:rsidRPr="005B7DBA">
        <w:rPr>
          <w:sz w:val="22"/>
          <w:szCs w:val="22"/>
        </w:rPr>
        <w:t xml:space="preserve">% dávky sa vylúčilo stolicou a 19 % dávky sa vylúčilo v moči ako </w:t>
      </w:r>
      <w:proofErr w:type="spellStart"/>
      <w:r w:rsidRPr="005B7DBA">
        <w:rPr>
          <w:sz w:val="22"/>
          <w:szCs w:val="22"/>
        </w:rPr>
        <w:t>glukuronidované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metabolity</w:t>
      </w:r>
      <w:proofErr w:type="spellEnd"/>
      <w:r w:rsidRPr="005B7DBA">
        <w:rPr>
          <w:sz w:val="22"/>
          <w:szCs w:val="22"/>
        </w:rPr>
        <w:t xml:space="preserve">. Nezmenený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>, ktor</w:t>
      </w:r>
      <w:r w:rsidR="009C1C50">
        <w:rPr>
          <w:sz w:val="22"/>
          <w:szCs w:val="22"/>
        </w:rPr>
        <w:t>ý</w:t>
      </w:r>
      <w:r w:rsidRPr="005B7DBA">
        <w:rPr>
          <w:sz w:val="22"/>
          <w:szCs w:val="22"/>
        </w:rPr>
        <w:t xml:space="preserve"> predstavuje 51 % dávky, bol zistený v stolici no nie v moči, čo naznačuje, že vylučovanie nezmeneného liečiva </w:t>
      </w:r>
      <w:r w:rsidR="009C1C50">
        <w:rPr>
          <w:sz w:val="22"/>
          <w:szCs w:val="22"/>
        </w:rPr>
        <w:t xml:space="preserve">žlčou </w:t>
      </w:r>
      <w:r w:rsidRPr="005B7DBA">
        <w:rPr>
          <w:sz w:val="22"/>
          <w:szCs w:val="22"/>
        </w:rPr>
        <w:t xml:space="preserve">môže prispievať k eliminácii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sz w:val="22"/>
          <w:szCs w:val="22"/>
          <w:u w:val="single"/>
        </w:rPr>
      </w:pPr>
      <w:proofErr w:type="spellStart"/>
      <w:r w:rsidRPr="005B7DBA">
        <w:rPr>
          <w:sz w:val="22"/>
          <w:szCs w:val="22"/>
          <w:u w:val="single"/>
        </w:rPr>
        <w:t>Farmakokinetika</w:t>
      </w:r>
      <w:proofErr w:type="spellEnd"/>
      <w:r w:rsidRPr="005B7DBA">
        <w:rPr>
          <w:sz w:val="22"/>
          <w:szCs w:val="22"/>
          <w:u w:val="single"/>
        </w:rPr>
        <w:t xml:space="preserve"> u osobitných skupín pacientov </w:t>
      </w:r>
    </w:p>
    <w:p w:rsidR="00D441F8" w:rsidRPr="00D441F8" w:rsidRDefault="00D441F8" w:rsidP="00D441F8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Analýza demografických údajov naznačila, že nie sú žiadne vzťahy medzi </w:t>
      </w:r>
      <w:proofErr w:type="spellStart"/>
      <w:r w:rsidRPr="005B7DBA">
        <w:rPr>
          <w:sz w:val="22"/>
          <w:szCs w:val="22"/>
        </w:rPr>
        <w:t>farmakokinetikou</w:t>
      </w:r>
      <w:proofErr w:type="spellEnd"/>
      <w:r w:rsidRPr="005B7DBA">
        <w:rPr>
          <w:sz w:val="22"/>
          <w:szCs w:val="22"/>
        </w:rPr>
        <w:t xml:space="preserve"> a vekom (do 65 rokov), pohlavím alebo telesnou hmotnosťou.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sz w:val="22"/>
          <w:szCs w:val="22"/>
          <w:u w:val="single"/>
        </w:rPr>
      </w:pPr>
      <w:r w:rsidRPr="005B7DBA">
        <w:rPr>
          <w:sz w:val="22"/>
          <w:szCs w:val="22"/>
          <w:u w:val="single"/>
        </w:rPr>
        <w:t xml:space="preserve">Pediatrická populácia </w:t>
      </w:r>
    </w:p>
    <w:p w:rsidR="00D441F8" w:rsidRPr="00D441F8" w:rsidRDefault="00D441F8" w:rsidP="00D441F8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Na sledovanie </w:t>
      </w:r>
      <w:proofErr w:type="spellStart"/>
      <w:r w:rsidRPr="005B7DBA">
        <w:rPr>
          <w:sz w:val="22"/>
          <w:szCs w:val="22"/>
        </w:rPr>
        <w:t>farmakokinetiky</w:t>
      </w:r>
      <w:proofErr w:type="spellEnd"/>
      <w:r w:rsidRPr="005B7DBA">
        <w:rPr>
          <w:sz w:val="22"/>
          <w:szCs w:val="22"/>
        </w:rPr>
        <w:t xml:space="preserve">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sa nevykonali žiadne klinické skúšania s pediatrickými pacientmi.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5B7DBA" w:rsidP="005B7DBA">
      <w:pPr>
        <w:pStyle w:val="CM32"/>
        <w:rPr>
          <w:sz w:val="22"/>
          <w:szCs w:val="22"/>
          <w:u w:val="single"/>
        </w:rPr>
      </w:pPr>
      <w:r w:rsidRPr="005B7DBA">
        <w:rPr>
          <w:sz w:val="22"/>
          <w:szCs w:val="22"/>
          <w:u w:val="single"/>
        </w:rPr>
        <w:t xml:space="preserve">Rasa </w:t>
      </w:r>
    </w:p>
    <w:p w:rsidR="00D441F8" w:rsidRPr="00D441F8" w:rsidRDefault="00D441F8" w:rsidP="00D441F8">
      <w:pPr>
        <w:pStyle w:val="Default"/>
      </w:pPr>
    </w:p>
    <w:p w:rsidR="00634A7E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Nie sú žiadne klinicky významné rozdiely vo </w:t>
      </w:r>
      <w:proofErr w:type="spellStart"/>
      <w:r w:rsidRPr="005B7DBA">
        <w:rPr>
          <w:sz w:val="22"/>
          <w:szCs w:val="22"/>
        </w:rPr>
        <w:t>farmakokinetike</w:t>
      </w:r>
      <w:proofErr w:type="spellEnd"/>
      <w:r w:rsidRPr="005B7DBA">
        <w:rPr>
          <w:sz w:val="22"/>
          <w:szCs w:val="22"/>
        </w:rPr>
        <w:t xml:space="preserve"> medzi </w:t>
      </w:r>
      <w:r w:rsidRPr="00214705">
        <w:rPr>
          <w:sz w:val="22"/>
          <w:szCs w:val="22"/>
        </w:rPr>
        <w:t>jedincami belo</w:t>
      </w:r>
      <w:r w:rsidR="00214705">
        <w:rPr>
          <w:sz w:val="22"/>
          <w:szCs w:val="22"/>
        </w:rPr>
        <w:t>šskej</w:t>
      </w:r>
      <w:r w:rsidRPr="00214705">
        <w:rPr>
          <w:sz w:val="22"/>
          <w:szCs w:val="22"/>
        </w:rPr>
        <w:t xml:space="preserve"> a</w:t>
      </w:r>
      <w:r w:rsidR="00214705">
        <w:rPr>
          <w:sz w:val="22"/>
          <w:szCs w:val="22"/>
        </w:rPr>
        <w:t> ázijskej rasy</w:t>
      </w:r>
      <w:r w:rsidRPr="00214705">
        <w:rPr>
          <w:sz w:val="22"/>
          <w:szCs w:val="22"/>
        </w:rPr>
        <w:t>.</w:t>
      </w:r>
      <w:r w:rsidRPr="005B7DBA">
        <w:rPr>
          <w:sz w:val="22"/>
          <w:szCs w:val="22"/>
        </w:rPr>
        <w:t xml:space="preserve"> </w:t>
      </w:r>
    </w:p>
    <w:p w:rsidR="00634A7E" w:rsidRDefault="00634A7E" w:rsidP="00634A7E">
      <w:pPr>
        <w:pStyle w:val="CM3"/>
        <w:spacing w:line="240" w:lineRule="auto"/>
        <w:rPr>
          <w:sz w:val="22"/>
          <w:szCs w:val="22"/>
        </w:rPr>
      </w:pPr>
    </w:p>
    <w:p w:rsidR="005B7DBA" w:rsidRDefault="00E3481F" w:rsidP="00634A7E">
      <w:pPr>
        <w:pStyle w:val="CM3"/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</w:t>
      </w:r>
      <w:r w:rsidR="005B7DBA" w:rsidRPr="005B7DBA">
        <w:rPr>
          <w:sz w:val="22"/>
          <w:szCs w:val="22"/>
          <w:u w:val="single"/>
        </w:rPr>
        <w:t xml:space="preserve"> funkcie obličiek </w:t>
      </w:r>
    </w:p>
    <w:p w:rsidR="00D441F8" w:rsidRPr="00D441F8" w:rsidRDefault="00D441F8" w:rsidP="00D441F8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V štyroch klinických skúšan</w:t>
      </w:r>
      <w:r w:rsidR="00E3481F">
        <w:rPr>
          <w:sz w:val="22"/>
          <w:szCs w:val="22"/>
        </w:rPr>
        <w:t>iach fázy I</w:t>
      </w:r>
      <w:r w:rsidRPr="005B7DBA">
        <w:rPr>
          <w:sz w:val="22"/>
          <w:szCs w:val="22"/>
        </w:rPr>
        <w:t xml:space="preserve"> bola expozícia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</w:t>
      </w:r>
      <w:r w:rsidR="009572E4">
        <w:rPr>
          <w:sz w:val="22"/>
          <w:szCs w:val="22"/>
        </w:rPr>
        <w:t xml:space="preserve">v rovnovážnom stave </w:t>
      </w:r>
      <w:r w:rsidRPr="005B7DBA">
        <w:rPr>
          <w:sz w:val="22"/>
          <w:szCs w:val="22"/>
        </w:rPr>
        <w:t>podobná u pacientov s miern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až stredne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</w:t>
      </w:r>
      <w:r w:rsidR="00E3481F">
        <w:rPr>
          <w:sz w:val="22"/>
          <w:szCs w:val="22"/>
        </w:rPr>
        <w:t>poruchou</w:t>
      </w:r>
      <w:r w:rsidRPr="005B7DBA">
        <w:rPr>
          <w:sz w:val="22"/>
          <w:szCs w:val="22"/>
        </w:rPr>
        <w:t xml:space="preserve"> funkcie obličiek v porovnaní s expozíciou u pacientov s normálnou funkciou obličiek. V klinickom farmakologickom skúšaní (jednorazová dávka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400 mg) sa nepozoroval žiadn</w:t>
      </w:r>
      <w:r w:rsidR="009C1C50">
        <w:rPr>
          <w:sz w:val="22"/>
          <w:szCs w:val="22"/>
        </w:rPr>
        <w:t>y</w:t>
      </w:r>
      <w:r w:rsidRPr="005B7DBA">
        <w:rPr>
          <w:sz w:val="22"/>
          <w:szCs w:val="22"/>
        </w:rPr>
        <w:t xml:space="preserve"> vzťah medzi vystavením účinku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a funkciou obličiek u jedincov s normálnou funkciou obličiek, miern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>, stredne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alebo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</w:t>
      </w:r>
      <w:r w:rsidR="00E3481F">
        <w:rPr>
          <w:sz w:val="22"/>
          <w:szCs w:val="22"/>
        </w:rPr>
        <w:t>poruchou</w:t>
      </w:r>
      <w:r w:rsidRPr="005B7DBA">
        <w:rPr>
          <w:sz w:val="22"/>
          <w:szCs w:val="22"/>
        </w:rPr>
        <w:t xml:space="preserve"> funkci</w:t>
      </w:r>
      <w:r w:rsidR="00E3481F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obličiek. K dispozícii nie údaje o pacientoch vyžadujúcich si dialýzu.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Default="00E3481F" w:rsidP="005B7DBA">
      <w:pPr>
        <w:pStyle w:val="CM3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</w:t>
      </w:r>
      <w:r w:rsidR="005B7DBA" w:rsidRPr="005B7DBA">
        <w:rPr>
          <w:sz w:val="22"/>
          <w:szCs w:val="22"/>
          <w:u w:val="single"/>
        </w:rPr>
        <w:t xml:space="preserve"> funkcie pečene </w:t>
      </w:r>
    </w:p>
    <w:p w:rsidR="00D441F8" w:rsidRPr="00D441F8" w:rsidRDefault="00D441F8" w:rsidP="00D441F8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U pacientov s </w:t>
      </w:r>
      <w:proofErr w:type="spellStart"/>
      <w:r w:rsidRPr="005B7DBA">
        <w:rPr>
          <w:sz w:val="22"/>
          <w:szCs w:val="22"/>
        </w:rPr>
        <w:t>hepatocelulárnym</w:t>
      </w:r>
      <w:proofErr w:type="spellEnd"/>
      <w:r w:rsidRPr="005B7DBA">
        <w:rPr>
          <w:sz w:val="22"/>
          <w:szCs w:val="22"/>
        </w:rPr>
        <w:t xml:space="preserve"> karcinómom (HCC) s </w:t>
      </w:r>
      <w:r w:rsidR="009C1C50" w:rsidRPr="009C1C50">
        <w:rPr>
          <w:sz w:val="22"/>
          <w:szCs w:val="22"/>
        </w:rPr>
        <w:t xml:space="preserve">poruchou funkcie pečene s </w:t>
      </w:r>
      <w:proofErr w:type="spellStart"/>
      <w:r w:rsidRPr="005B7DBA">
        <w:rPr>
          <w:sz w:val="22"/>
          <w:szCs w:val="22"/>
        </w:rPr>
        <w:t>Child</w:t>
      </w:r>
      <w:r w:rsidR="00E37245">
        <w:rPr>
          <w:sz w:val="22"/>
          <w:szCs w:val="22"/>
        </w:rPr>
        <w:t>ovým</w:t>
      </w:r>
      <w:r w:rsidRPr="005B7DBA">
        <w:rPr>
          <w:sz w:val="22"/>
          <w:szCs w:val="22"/>
        </w:rPr>
        <w:t>-Pughovým</w:t>
      </w:r>
      <w:proofErr w:type="spellEnd"/>
      <w:r w:rsidRPr="005B7DBA">
        <w:rPr>
          <w:sz w:val="22"/>
          <w:szCs w:val="22"/>
        </w:rPr>
        <w:t xml:space="preserve"> skóre A alebo B (miern</w:t>
      </w:r>
      <w:r w:rsidR="00FF2B68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až stredne závažn</w:t>
      </w:r>
      <w:r w:rsidR="00FF2B68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) bol rozsah hodnôt expozície porovnateľný s rozsahom pozorovaným u pacientov bez </w:t>
      </w:r>
      <w:r w:rsidR="00E37245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pečene. </w:t>
      </w:r>
      <w:proofErr w:type="spellStart"/>
      <w:r w:rsidRPr="005B7DBA">
        <w:rPr>
          <w:sz w:val="22"/>
          <w:szCs w:val="22"/>
        </w:rPr>
        <w:t>Farmakokinetika</w:t>
      </w:r>
      <w:proofErr w:type="spellEnd"/>
      <w:r w:rsidRPr="005B7DBA">
        <w:rPr>
          <w:sz w:val="22"/>
          <w:szCs w:val="22"/>
        </w:rPr>
        <w:t xml:space="preserve"> (</w:t>
      </w:r>
      <w:r w:rsidR="009C1C50">
        <w:rPr>
          <w:sz w:val="22"/>
          <w:szCs w:val="22"/>
        </w:rPr>
        <w:t>F</w:t>
      </w:r>
      <w:r w:rsidRPr="005B7DBA">
        <w:rPr>
          <w:sz w:val="22"/>
          <w:szCs w:val="22"/>
        </w:rPr>
        <w:t xml:space="preserve">K)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lastRenderedPageBreak/>
        <w:t xml:space="preserve">pri </w:t>
      </w:r>
      <w:proofErr w:type="spellStart"/>
      <w:r w:rsidRPr="005B7DBA">
        <w:rPr>
          <w:sz w:val="22"/>
          <w:szCs w:val="22"/>
        </w:rPr>
        <w:t>Child</w:t>
      </w:r>
      <w:r w:rsidR="00E37245">
        <w:rPr>
          <w:sz w:val="22"/>
          <w:szCs w:val="22"/>
        </w:rPr>
        <w:t>ovom</w:t>
      </w:r>
      <w:r w:rsidRPr="005B7DBA">
        <w:rPr>
          <w:sz w:val="22"/>
          <w:szCs w:val="22"/>
        </w:rPr>
        <w:t>-Pughovom</w:t>
      </w:r>
      <w:proofErr w:type="spellEnd"/>
      <w:r w:rsidRPr="005B7DBA">
        <w:rPr>
          <w:sz w:val="22"/>
          <w:szCs w:val="22"/>
        </w:rPr>
        <w:t xml:space="preserve"> skóre A </w:t>
      </w:r>
      <w:proofErr w:type="spellStart"/>
      <w:r w:rsidRPr="005B7DBA">
        <w:rPr>
          <w:sz w:val="22"/>
          <w:szCs w:val="22"/>
        </w:rPr>
        <w:t>a</w:t>
      </w:r>
      <w:proofErr w:type="spellEnd"/>
      <w:r w:rsidRPr="005B7DBA">
        <w:rPr>
          <w:sz w:val="22"/>
          <w:szCs w:val="22"/>
        </w:rPr>
        <w:t xml:space="preserve"> B u pacientov bez HCC bola podobná </w:t>
      </w:r>
      <w:proofErr w:type="spellStart"/>
      <w:r w:rsidRPr="005B7DBA">
        <w:rPr>
          <w:sz w:val="22"/>
          <w:szCs w:val="22"/>
        </w:rPr>
        <w:t>farmakokinetike</w:t>
      </w:r>
      <w:proofErr w:type="spellEnd"/>
      <w:r w:rsidRPr="005B7DBA">
        <w:rPr>
          <w:sz w:val="22"/>
          <w:szCs w:val="22"/>
        </w:rPr>
        <w:t xml:space="preserve"> u zdravých </w:t>
      </w:r>
      <w:r w:rsidR="00500812">
        <w:rPr>
          <w:sz w:val="22"/>
          <w:szCs w:val="22"/>
        </w:rPr>
        <w:t>d</w:t>
      </w:r>
      <w:r w:rsidRPr="005B7DBA">
        <w:rPr>
          <w:sz w:val="22"/>
          <w:szCs w:val="22"/>
        </w:rPr>
        <w:t xml:space="preserve">obrovoľníkov. K dispozícii nie sú údaje </w:t>
      </w:r>
      <w:r w:rsidR="009C1C50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paciento</w:t>
      </w:r>
      <w:r w:rsidR="009C1C50">
        <w:rPr>
          <w:sz w:val="22"/>
          <w:szCs w:val="22"/>
        </w:rPr>
        <w:t>ch</w:t>
      </w:r>
      <w:r w:rsidRPr="005B7DBA">
        <w:rPr>
          <w:sz w:val="22"/>
          <w:szCs w:val="22"/>
        </w:rPr>
        <w:t xml:space="preserve"> s </w:t>
      </w:r>
      <w:proofErr w:type="spellStart"/>
      <w:r w:rsidRPr="005B7DBA">
        <w:rPr>
          <w:sz w:val="22"/>
          <w:szCs w:val="22"/>
        </w:rPr>
        <w:t>Childovou-Pughovou</w:t>
      </w:r>
      <w:proofErr w:type="spellEnd"/>
      <w:r w:rsidRPr="005B7DBA">
        <w:rPr>
          <w:sz w:val="22"/>
          <w:szCs w:val="22"/>
        </w:rPr>
        <w:t xml:space="preserve"> klasifikáciou </w:t>
      </w:r>
      <w:r w:rsidR="00E37245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 stupeň C (závažn</w:t>
      </w:r>
      <w:r w:rsidR="00E37245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).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sa eliminuje hlavne prostredníctvom pečene a expozícia môže byť v tejto skupine pacientov zvýšená. </w:t>
      </w:r>
    </w:p>
    <w:p w:rsidR="00634A7E" w:rsidRDefault="00634A7E" w:rsidP="005B7DBA">
      <w:pPr>
        <w:pStyle w:val="CM32"/>
        <w:rPr>
          <w:b/>
          <w:bCs/>
          <w:sz w:val="22"/>
          <w:szCs w:val="22"/>
        </w:rPr>
      </w:pPr>
    </w:p>
    <w:p w:rsidR="005B7DBA" w:rsidRDefault="005B7DBA" w:rsidP="00500812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5.3 </w:t>
      </w:r>
      <w:r w:rsidR="00500812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Predklinické údaje o bezpečnosti </w:t>
      </w:r>
    </w:p>
    <w:p w:rsidR="00500812" w:rsidRPr="00500812" w:rsidRDefault="00500812" w:rsidP="00500812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Predklinický profil bezpečnosti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sa stanovil na myšiach, potkanoch, psoch a králikoch. Štúdie toxicity po opakovanom podávaní odhalili zmeny (degenerácie a regenerácie) rôznych orgánov </w:t>
      </w:r>
    </w:p>
    <w:p w:rsidR="00500812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pri expozíciách </w:t>
      </w:r>
      <w:r w:rsidR="00BF4B53">
        <w:rPr>
          <w:sz w:val="22"/>
          <w:szCs w:val="22"/>
        </w:rPr>
        <w:t>nižších ako</w:t>
      </w:r>
      <w:r w:rsidRPr="005B7DBA">
        <w:rPr>
          <w:sz w:val="22"/>
          <w:szCs w:val="22"/>
        </w:rPr>
        <w:t xml:space="preserve"> očakávan</w:t>
      </w:r>
      <w:r w:rsidR="00BF4B53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klinick</w:t>
      </w:r>
      <w:r w:rsidR="00BF4B53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expozíci</w:t>
      </w:r>
      <w:r w:rsidR="00BF4B53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(založené na porovnaniach AUC).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opakovanom podávaní mladým a vyvíjajúcim sa psom sa pozorovali účinky na kosti a zuby pri expozíciách </w:t>
      </w:r>
      <w:r w:rsidR="00BF4B53">
        <w:rPr>
          <w:sz w:val="22"/>
          <w:szCs w:val="22"/>
        </w:rPr>
        <w:t>nižších ako</w:t>
      </w:r>
      <w:r w:rsidRPr="005B7DBA">
        <w:rPr>
          <w:sz w:val="22"/>
          <w:szCs w:val="22"/>
        </w:rPr>
        <w:t xml:space="preserve"> klinick</w:t>
      </w:r>
      <w:r w:rsidR="00BF4B53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 expozíci</w:t>
      </w:r>
      <w:r w:rsidR="00BF4B53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. Zmeny spočívali v nepravidelnom zhrubnutí rastovej </w:t>
      </w:r>
      <w:proofErr w:type="spellStart"/>
      <w:r w:rsidRPr="005B7DBA">
        <w:rPr>
          <w:sz w:val="22"/>
          <w:szCs w:val="22"/>
        </w:rPr>
        <w:t>femorálnej</w:t>
      </w:r>
      <w:proofErr w:type="spellEnd"/>
      <w:r w:rsidRPr="005B7DBA">
        <w:rPr>
          <w:sz w:val="22"/>
          <w:szCs w:val="22"/>
        </w:rPr>
        <w:t xml:space="preserve"> platničky, </w:t>
      </w:r>
      <w:proofErr w:type="spellStart"/>
      <w:r w:rsidRPr="005B7DBA">
        <w:rPr>
          <w:sz w:val="22"/>
          <w:szCs w:val="22"/>
        </w:rPr>
        <w:t>hypocelularite</w:t>
      </w:r>
      <w:proofErr w:type="spellEnd"/>
      <w:r w:rsidRPr="005B7DBA">
        <w:rPr>
          <w:sz w:val="22"/>
          <w:szCs w:val="22"/>
        </w:rPr>
        <w:t xml:space="preserve"> kostnej drene popri zmenených rastových platničkách a zmen</w:t>
      </w:r>
      <w:r w:rsidR="009C1C50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zloženia </w:t>
      </w:r>
      <w:proofErr w:type="spellStart"/>
      <w:r w:rsidRPr="005B7DBA">
        <w:rPr>
          <w:sz w:val="22"/>
          <w:szCs w:val="22"/>
        </w:rPr>
        <w:t>dentínu</w:t>
      </w:r>
      <w:proofErr w:type="spellEnd"/>
      <w:r w:rsidRPr="005B7DBA">
        <w:rPr>
          <w:sz w:val="22"/>
          <w:szCs w:val="22"/>
        </w:rPr>
        <w:t xml:space="preserve">. Podobné účinky neboli vyvolané u dospelých psov. </w:t>
      </w:r>
    </w:p>
    <w:p w:rsidR="00500812" w:rsidRPr="00500812" w:rsidRDefault="00500812" w:rsidP="00500812">
      <w:pPr>
        <w:pStyle w:val="Default"/>
      </w:pPr>
    </w:p>
    <w:p w:rsidR="00BF4B53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Vykonal sa štandardný program štúdií </w:t>
      </w:r>
      <w:proofErr w:type="spellStart"/>
      <w:r w:rsidRPr="005B7DBA">
        <w:rPr>
          <w:sz w:val="22"/>
          <w:szCs w:val="22"/>
        </w:rPr>
        <w:t>genotoxicity</w:t>
      </w:r>
      <w:proofErr w:type="spellEnd"/>
      <w:r w:rsidRPr="005B7DBA">
        <w:rPr>
          <w:sz w:val="22"/>
          <w:szCs w:val="22"/>
        </w:rPr>
        <w:t xml:space="preserve"> a získali sa pozitívne výsledky </w:t>
      </w:r>
      <w:r w:rsidR="00E37245">
        <w:rPr>
          <w:sz w:val="22"/>
          <w:szCs w:val="22"/>
        </w:rPr>
        <w:t xml:space="preserve">pozorované </w:t>
      </w:r>
      <w:r w:rsidRPr="005B7DBA">
        <w:rPr>
          <w:sz w:val="22"/>
          <w:szCs w:val="22"/>
        </w:rPr>
        <w:t xml:space="preserve">ako zvýšené štrukturálne </w:t>
      </w:r>
      <w:proofErr w:type="spellStart"/>
      <w:r w:rsidRPr="005B7DBA">
        <w:rPr>
          <w:sz w:val="22"/>
          <w:szCs w:val="22"/>
        </w:rPr>
        <w:t>chromozomálne</w:t>
      </w:r>
      <w:proofErr w:type="spellEnd"/>
      <w:r w:rsidRPr="005B7DBA">
        <w:rPr>
          <w:sz w:val="22"/>
          <w:szCs w:val="22"/>
        </w:rPr>
        <w:t xml:space="preserve"> aberácie v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>analýze cicavčích buniek (</w:t>
      </w:r>
      <w:proofErr w:type="spellStart"/>
      <w:r w:rsidRPr="005B7DBA">
        <w:rPr>
          <w:sz w:val="22"/>
          <w:szCs w:val="22"/>
        </w:rPr>
        <w:t>ováriá</w:t>
      </w:r>
      <w:proofErr w:type="spellEnd"/>
      <w:r w:rsidRPr="005B7DBA">
        <w:rPr>
          <w:sz w:val="22"/>
          <w:szCs w:val="22"/>
        </w:rPr>
        <w:t xml:space="preserve"> čínskeho škrečka) na </w:t>
      </w:r>
      <w:proofErr w:type="spellStart"/>
      <w:r w:rsidRPr="005B7DBA">
        <w:rPr>
          <w:sz w:val="22"/>
          <w:szCs w:val="22"/>
        </w:rPr>
        <w:t>klastogenitu</w:t>
      </w:r>
      <w:proofErr w:type="spellEnd"/>
      <w:r w:rsidRPr="005B7DBA">
        <w:rPr>
          <w:sz w:val="22"/>
          <w:szCs w:val="22"/>
        </w:rPr>
        <w:t xml:space="preserve"> v prítomnosti metabolickej aktivácie.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 xml:space="preserve"> nebol </w:t>
      </w:r>
      <w:proofErr w:type="spellStart"/>
      <w:r w:rsidRPr="005B7DBA">
        <w:rPr>
          <w:sz w:val="22"/>
          <w:szCs w:val="22"/>
        </w:rPr>
        <w:t>genotoxický</w:t>
      </w:r>
      <w:proofErr w:type="spellEnd"/>
      <w:r w:rsidRPr="005B7DBA">
        <w:rPr>
          <w:sz w:val="22"/>
          <w:szCs w:val="22"/>
        </w:rPr>
        <w:t xml:space="preserve"> v </w:t>
      </w:r>
      <w:proofErr w:type="spellStart"/>
      <w:r w:rsidRPr="005B7DBA">
        <w:rPr>
          <w:sz w:val="22"/>
          <w:szCs w:val="22"/>
        </w:rPr>
        <w:t>Amesovom</w:t>
      </w:r>
      <w:proofErr w:type="spellEnd"/>
      <w:r w:rsidRPr="005B7DBA">
        <w:rPr>
          <w:sz w:val="22"/>
          <w:szCs w:val="22"/>
        </w:rPr>
        <w:t xml:space="preserve"> teste a v </w:t>
      </w:r>
      <w:r w:rsidRPr="005B7DBA">
        <w:rPr>
          <w:i/>
          <w:iCs/>
          <w:sz w:val="22"/>
          <w:szCs w:val="22"/>
        </w:rPr>
        <w:t xml:space="preserve">in </w:t>
      </w:r>
      <w:proofErr w:type="spellStart"/>
      <w:r w:rsidRPr="005B7DBA">
        <w:rPr>
          <w:i/>
          <w:iCs/>
          <w:sz w:val="22"/>
          <w:szCs w:val="22"/>
        </w:rPr>
        <w:t>vivo</w:t>
      </w:r>
      <w:proofErr w:type="spellEnd"/>
      <w:r w:rsidRPr="005B7DBA">
        <w:rPr>
          <w:i/>
          <w:iCs/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analýze myších </w:t>
      </w:r>
      <w:proofErr w:type="spellStart"/>
      <w:r w:rsidRPr="005B7DBA">
        <w:rPr>
          <w:sz w:val="22"/>
          <w:szCs w:val="22"/>
        </w:rPr>
        <w:t>mikronukleov</w:t>
      </w:r>
      <w:proofErr w:type="spellEnd"/>
      <w:r w:rsidRPr="005B7DBA">
        <w:rPr>
          <w:sz w:val="22"/>
          <w:szCs w:val="22"/>
        </w:rPr>
        <w:t xml:space="preserve">. Jeden medziprodukt z výrobného postupu, ktorý je tiež prítomný v konečnom liečive (&lt;0,15 %), bol pozitívny na </w:t>
      </w:r>
      <w:proofErr w:type="spellStart"/>
      <w:r w:rsidRPr="005B7DBA">
        <w:rPr>
          <w:sz w:val="22"/>
          <w:szCs w:val="22"/>
        </w:rPr>
        <w:t>mutagenézu</w:t>
      </w:r>
      <w:proofErr w:type="spellEnd"/>
      <w:r w:rsidRPr="005B7DBA">
        <w:rPr>
          <w:sz w:val="22"/>
          <w:szCs w:val="22"/>
        </w:rPr>
        <w:t xml:space="preserve"> v </w:t>
      </w:r>
      <w:r w:rsidRPr="005B7DBA">
        <w:rPr>
          <w:i/>
          <w:iCs/>
          <w:sz w:val="22"/>
          <w:szCs w:val="22"/>
        </w:rPr>
        <w:t>in vitro</w:t>
      </w:r>
      <w:r w:rsidR="00E37245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>analýze bakteriálnych buniek (</w:t>
      </w:r>
      <w:proofErr w:type="spellStart"/>
      <w:r w:rsidRPr="005B7DBA">
        <w:rPr>
          <w:sz w:val="22"/>
          <w:szCs w:val="22"/>
        </w:rPr>
        <w:t>Amesov</w:t>
      </w:r>
      <w:proofErr w:type="spellEnd"/>
      <w:r w:rsidRPr="005B7DBA">
        <w:rPr>
          <w:sz w:val="22"/>
          <w:szCs w:val="22"/>
        </w:rPr>
        <w:t xml:space="preserve"> test). Okrem toho testované šarže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v štandardných sériách testov </w:t>
      </w:r>
      <w:proofErr w:type="spellStart"/>
      <w:r w:rsidRPr="005B7DBA">
        <w:rPr>
          <w:sz w:val="22"/>
          <w:szCs w:val="22"/>
        </w:rPr>
        <w:t>genotoxicity</w:t>
      </w:r>
      <w:proofErr w:type="spellEnd"/>
      <w:r w:rsidRPr="005B7DBA">
        <w:rPr>
          <w:sz w:val="22"/>
          <w:szCs w:val="22"/>
        </w:rPr>
        <w:t xml:space="preserve"> zahŕňali 0,34 % PAPE. 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Štúdie karcinogenity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sa nevykonali. </w:t>
      </w:r>
    </w:p>
    <w:p w:rsidR="00B27BA5" w:rsidRDefault="00B27BA5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Na zvieratách sa nevykonali žiadne </w:t>
      </w:r>
      <w:r w:rsidR="00E37245">
        <w:rPr>
          <w:sz w:val="22"/>
          <w:szCs w:val="22"/>
        </w:rPr>
        <w:t xml:space="preserve">špecifické </w:t>
      </w:r>
      <w:r w:rsidRPr="005B7DBA">
        <w:rPr>
          <w:sz w:val="22"/>
          <w:szCs w:val="22"/>
        </w:rPr>
        <w:t xml:space="preserve">štúdie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na hodnotenie účinku na </w:t>
      </w:r>
      <w:proofErr w:type="spellStart"/>
      <w:r w:rsidRPr="005B7DBA">
        <w:rPr>
          <w:sz w:val="22"/>
          <w:szCs w:val="22"/>
        </w:rPr>
        <w:t>fertilitu</w:t>
      </w:r>
      <w:proofErr w:type="spellEnd"/>
      <w:r w:rsidRPr="005B7DBA">
        <w:rPr>
          <w:sz w:val="22"/>
          <w:szCs w:val="22"/>
        </w:rPr>
        <w:t xml:space="preserve">. Nežiaduci účinok na </w:t>
      </w:r>
      <w:proofErr w:type="spellStart"/>
      <w:r w:rsidRPr="005B7DBA">
        <w:rPr>
          <w:sz w:val="22"/>
          <w:szCs w:val="22"/>
        </w:rPr>
        <w:t>fertilitu</w:t>
      </w:r>
      <w:proofErr w:type="spellEnd"/>
      <w:r w:rsidRPr="005B7DBA">
        <w:rPr>
          <w:sz w:val="22"/>
          <w:szCs w:val="22"/>
        </w:rPr>
        <w:t xml:space="preserve"> samcov a samíc však možno očakávať pretože štúdie po opakovanom podávaní na zvieratách ukázali zmeny reprodukčných orgánov samcov a samíc pri expozíciách pod očakávanou klinickou expozíciou (založené na AUC). Charakteristické zmeny zahŕňali </w:t>
      </w:r>
      <w:r w:rsidR="00A46BBF">
        <w:rPr>
          <w:sz w:val="22"/>
          <w:szCs w:val="22"/>
        </w:rPr>
        <w:t>prejavy</w:t>
      </w:r>
      <w:r w:rsidRPr="005B7DBA">
        <w:rPr>
          <w:sz w:val="22"/>
          <w:szCs w:val="22"/>
        </w:rPr>
        <w:t xml:space="preserve"> degenerácie a retardácie </w:t>
      </w:r>
      <w:r w:rsidR="00010AE6">
        <w:rPr>
          <w:sz w:val="22"/>
          <w:szCs w:val="22"/>
        </w:rPr>
        <w:t>semen</w:t>
      </w:r>
      <w:r w:rsidR="00FF2B68">
        <w:rPr>
          <w:sz w:val="22"/>
          <w:szCs w:val="22"/>
        </w:rPr>
        <w:t>n</w:t>
      </w:r>
      <w:r w:rsidR="00010AE6">
        <w:rPr>
          <w:sz w:val="22"/>
          <w:szCs w:val="22"/>
        </w:rPr>
        <w:t>íkov</w:t>
      </w:r>
      <w:r w:rsidRPr="005B7DBA">
        <w:rPr>
          <w:sz w:val="22"/>
          <w:szCs w:val="22"/>
        </w:rPr>
        <w:t xml:space="preserve">, </w:t>
      </w:r>
      <w:proofErr w:type="spellStart"/>
      <w:r w:rsidR="00010AE6">
        <w:rPr>
          <w:sz w:val="22"/>
          <w:szCs w:val="22"/>
        </w:rPr>
        <w:t>nadseme</w:t>
      </w:r>
      <w:r w:rsidR="00FF2B68">
        <w:rPr>
          <w:sz w:val="22"/>
          <w:szCs w:val="22"/>
        </w:rPr>
        <w:t>n</w:t>
      </w:r>
      <w:r w:rsidR="00010AE6">
        <w:rPr>
          <w:sz w:val="22"/>
          <w:szCs w:val="22"/>
        </w:rPr>
        <w:t>níkov</w:t>
      </w:r>
      <w:proofErr w:type="spellEnd"/>
      <w:r w:rsidRPr="005B7DBA">
        <w:rPr>
          <w:sz w:val="22"/>
          <w:szCs w:val="22"/>
        </w:rPr>
        <w:t xml:space="preserve">, prostaty a semenných váčkov potkanov. Potkanie samice vykazovali centrálnu </w:t>
      </w:r>
      <w:proofErr w:type="spellStart"/>
      <w:r w:rsidRPr="005B7DBA">
        <w:rPr>
          <w:sz w:val="22"/>
          <w:szCs w:val="22"/>
        </w:rPr>
        <w:t>nekrózu</w:t>
      </w:r>
      <w:proofErr w:type="spellEnd"/>
      <w:r w:rsidRPr="005B7DBA">
        <w:rPr>
          <w:sz w:val="22"/>
          <w:szCs w:val="22"/>
        </w:rPr>
        <w:t xml:space="preserve"> žltého telieska a zastavenie vývoja folikulov vo vaječníkoch. Psy vykazovali degeneráciu </w:t>
      </w:r>
      <w:proofErr w:type="spellStart"/>
      <w:r w:rsidRPr="005B7DBA">
        <w:rPr>
          <w:sz w:val="22"/>
          <w:szCs w:val="22"/>
        </w:rPr>
        <w:t>tubulov</w:t>
      </w:r>
      <w:proofErr w:type="spellEnd"/>
      <w:r w:rsidRPr="005B7DBA">
        <w:rPr>
          <w:sz w:val="22"/>
          <w:szCs w:val="22"/>
        </w:rPr>
        <w:t xml:space="preserve"> v </w:t>
      </w:r>
      <w:r w:rsidR="00A46BBF">
        <w:rPr>
          <w:sz w:val="22"/>
          <w:szCs w:val="22"/>
        </w:rPr>
        <w:t>semenníkoch</w:t>
      </w:r>
      <w:r w:rsidRPr="005B7DBA">
        <w:rPr>
          <w:sz w:val="22"/>
          <w:szCs w:val="22"/>
        </w:rPr>
        <w:t xml:space="preserve"> a </w:t>
      </w:r>
      <w:proofErr w:type="spellStart"/>
      <w:r w:rsidRPr="005B7DBA">
        <w:rPr>
          <w:sz w:val="22"/>
          <w:szCs w:val="22"/>
        </w:rPr>
        <w:t>oligospermiu</w:t>
      </w:r>
      <w:proofErr w:type="spellEnd"/>
      <w:r w:rsidRPr="005B7DBA">
        <w:rPr>
          <w:sz w:val="22"/>
          <w:szCs w:val="22"/>
        </w:rPr>
        <w:t xml:space="preserve">. </w:t>
      </w:r>
    </w:p>
    <w:p w:rsidR="00B27BA5" w:rsidRDefault="00B27BA5" w:rsidP="005B7DBA">
      <w:pPr>
        <w:pStyle w:val="CM32"/>
        <w:rPr>
          <w:sz w:val="22"/>
          <w:szCs w:val="22"/>
        </w:rPr>
      </w:pPr>
    </w:p>
    <w:p w:rsidR="005B7DBA" w:rsidRDefault="00A46BB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Bolo pre</w:t>
      </w:r>
      <w:r w:rsidR="005B7DBA" w:rsidRPr="005B7DBA">
        <w:rPr>
          <w:sz w:val="22"/>
          <w:szCs w:val="22"/>
        </w:rPr>
        <w:t>ukáza</w:t>
      </w:r>
      <w:r>
        <w:rPr>
          <w:sz w:val="22"/>
          <w:szCs w:val="22"/>
        </w:rPr>
        <w:t>né</w:t>
      </w:r>
      <w:r w:rsidR="005B7DBA" w:rsidRPr="005B7DBA">
        <w:rPr>
          <w:sz w:val="22"/>
          <w:szCs w:val="22"/>
        </w:rPr>
        <w:t xml:space="preserve">, že </w:t>
      </w:r>
      <w:proofErr w:type="spellStart"/>
      <w:r>
        <w:rPr>
          <w:sz w:val="22"/>
          <w:szCs w:val="22"/>
        </w:rPr>
        <w:t>sorafenib</w:t>
      </w:r>
      <w:proofErr w:type="spellEnd"/>
      <w:r>
        <w:rPr>
          <w:sz w:val="22"/>
          <w:szCs w:val="22"/>
        </w:rPr>
        <w:t xml:space="preserve"> </w:t>
      </w:r>
      <w:r w:rsidR="005B7DBA" w:rsidRPr="005B7DBA">
        <w:rPr>
          <w:sz w:val="22"/>
          <w:szCs w:val="22"/>
        </w:rPr>
        <w:t xml:space="preserve">je </w:t>
      </w:r>
      <w:proofErr w:type="spellStart"/>
      <w:r w:rsidR="005B7DBA" w:rsidRPr="005B7DBA">
        <w:rPr>
          <w:sz w:val="22"/>
          <w:szCs w:val="22"/>
        </w:rPr>
        <w:t>embryotoxický</w:t>
      </w:r>
      <w:proofErr w:type="spellEnd"/>
      <w:r w:rsidR="005B7DBA" w:rsidRPr="005B7DBA">
        <w:rPr>
          <w:sz w:val="22"/>
          <w:szCs w:val="22"/>
        </w:rPr>
        <w:t xml:space="preserve"> a </w:t>
      </w:r>
      <w:proofErr w:type="spellStart"/>
      <w:r w:rsidR="005B7DBA" w:rsidRPr="005B7DBA">
        <w:rPr>
          <w:sz w:val="22"/>
          <w:szCs w:val="22"/>
        </w:rPr>
        <w:t>teratogénny</w:t>
      </w:r>
      <w:proofErr w:type="spellEnd"/>
      <w:r w:rsidR="005B7DBA" w:rsidRPr="005B7DBA">
        <w:rPr>
          <w:sz w:val="22"/>
          <w:szCs w:val="22"/>
        </w:rPr>
        <w:t xml:space="preserve"> ak sa podával potkanom a králikom pri expozíciách </w:t>
      </w:r>
      <w:r w:rsidR="001F001C">
        <w:rPr>
          <w:sz w:val="22"/>
          <w:szCs w:val="22"/>
        </w:rPr>
        <w:t>ni</w:t>
      </w:r>
      <w:r w:rsidR="00D674CF">
        <w:rPr>
          <w:sz w:val="22"/>
          <w:szCs w:val="22"/>
        </w:rPr>
        <w:t>žších ako</w:t>
      </w:r>
      <w:r w:rsidR="005B7DBA" w:rsidRPr="005B7DBA">
        <w:rPr>
          <w:sz w:val="22"/>
          <w:szCs w:val="22"/>
        </w:rPr>
        <w:t xml:space="preserve"> klinick</w:t>
      </w:r>
      <w:r w:rsidR="00D674CF">
        <w:rPr>
          <w:sz w:val="22"/>
          <w:szCs w:val="22"/>
        </w:rPr>
        <w:t>á</w:t>
      </w:r>
      <w:r w:rsidR="005B7DBA" w:rsidRPr="005B7DBA">
        <w:rPr>
          <w:sz w:val="22"/>
          <w:szCs w:val="22"/>
        </w:rPr>
        <w:t xml:space="preserve"> expozíci</w:t>
      </w:r>
      <w:r w:rsidR="00D674CF">
        <w:rPr>
          <w:sz w:val="22"/>
          <w:szCs w:val="22"/>
        </w:rPr>
        <w:t>a</w:t>
      </w:r>
      <w:r w:rsidR="005B7DBA" w:rsidRPr="005B7DBA">
        <w:rPr>
          <w:sz w:val="22"/>
          <w:szCs w:val="22"/>
        </w:rPr>
        <w:t xml:space="preserve">. Pozorované účinky zahŕňajú zníženie telesnej hmotnosti matky a plodu, zvýšený počet </w:t>
      </w:r>
      <w:proofErr w:type="spellStart"/>
      <w:r w:rsidR="005B7DBA" w:rsidRPr="005B7DBA">
        <w:rPr>
          <w:sz w:val="22"/>
          <w:szCs w:val="22"/>
        </w:rPr>
        <w:t>resorpcií</w:t>
      </w:r>
      <w:proofErr w:type="spellEnd"/>
      <w:r w:rsidR="005B7DBA" w:rsidRPr="005B7DBA">
        <w:rPr>
          <w:sz w:val="22"/>
          <w:szCs w:val="22"/>
        </w:rPr>
        <w:t xml:space="preserve"> plodov a zvýšený počet vonkajších a </w:t>
      </w:r>
      <w:proofErr w:type="spellStart"/>
      <w:r w:rsidR="005B7DBA" w:rsidRPr="005B7DBA">
        <w:rPr>
          <w:sz w:val="22"/>
          <w:szCs w:val="22"/>
        </w:rPr>
        <w:t>viscerálnych</w:t>
      </w:r>
      <w:proofErr w:type="spellEnd"/>
      <w:r w:rsidR="005B7DBA" w:rsidRPr="005B7DBA">
        <w:rPr>
          <w:sz w:val="22"/>
          <w:szCs w:val="22"/>
        </w:rPr>
        <w:t xml:space="preserve"> </w:t>
      </w:r>
      <w:proofErr w:type="spellStart"/>
      <w:r w:rsidR="005B7DBA" w:rsidRPr="005B7DBA">
        <w:rPr>
          <w:sz w:val="22"/>
          <w:szCs w:val="22"/>
        </w:rPr>
        <w:t>malformácií</w:t>
      </w:r>
      <w:proofErr w:type="spellEnd"/>
      <w:r w:rsidR="005B7DBA" w:rsidRPr="005B7DBA">
        <w:rPr>
          <w:sz w:val="22"/>
          <w:szCs w:val="22"/>
        </w:rPr>
        <w:t xml:space="preserve">. </w:t>
      </w:r>
    </w:p>
    <w:p w:rsidR="00010AE6" w:rsidRPr="00010AE6" w:rsidRDefault="00010AE6" w:rsidP="00010AE6">
      <w:pPr>
        <w:pStyle w:val="Default"/>
      </w:pPr>
    </w:p>
    <w:p w:rsidR="00B27BA5" w:rsidRDefault="005B7DBA" w:rsidP="00FD72BB">
      <w:pPr>
        <w:pStyle w:val="CM9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Štúdie vyhodnocujúce environmentálne riziko ukázali, že </w:t>
      </w:r>
      <w:proofErr w:type="spellStart"/>
      <w:r w:rsidR="00214705" w:rsidRPr="00214705">
        <w:rPr>
          <w:sz w:val="22"/>
          <w:szCs w:val="22"/>
        </w:rPr>
        <w:t>sorafeníbium-tozylát</w:t>
      </w:r>
      <w:proofErr w:type="spellEnd"/>
      <w:r w:rsidRPr="005B7DBA">
        <w:rPr>
          <w:sz w:val="22"/>
          <w:szCs w:val="22"/>
        </w:rPr>
        <w:t xml:space="preserve"> má potenciál zotrvávania, biologickej akumulácie a toxicity pre životné prostredie. Informácie o </w:t>
      </w:r>
      <w:r w:rsidR="00A46BBF">
        <w:rPr>
          <w:sz w:val="22"/>
          <w:szCs w:val="22"/>
        </w:rPr>
        <w:t>hodnotení</w:t>
      </w:r>
      <w:r w:rsidRPr="005B7DBA">
        <w:rPr>
          <w:sz w:val="22"/>
          <w:szCs w:val="22"/>
        </w:rPr>
        <w:t xml:space="preserve"> environmentálneho rizika sú k dispozícii v správe EPAR o </w:t>
      </w:r>
      <w:r w:rsidRPr="00214705">
        <w:rPr>
          <w:sz w:val="22"/>
          <w:szCs w:val="22"/>
        </w:rPr>
        <w:t>tomto</w:t>
      </w:r>
      <w:r w:rsidRPr="005B7DBA">
        <w:rPr>
          <w:sz w:val="22"/>
          <w:szCs w:val="22"/>
        </w:rPr>
        <w:t xml:space="preserve"> lieku (pozri časť 6.6). </w:t>
      </w:r>
    </w:p>
    <w:p w:rsidR="00010AE6" w:rsidRPr="00010AE6" w:rsidRDefault="00010AE6" w:rsidP="00010AE6">
      <w:pPr>
        <w:pStyle w:val="Default"/>
      </w:pPr>
    </w:p>
    <w:p w:rsidR="00B27BA5" w:rsidRDefault="00B27BA5" w:rsidP="00B27BA5">
      <w:pPr>
        <w:pStyle w:val="CM7"/>
        <w:spacing w:line="240" w:lineRule="auto"/>
        <w:rPr>
          <w:sz w:val="22"/>
          <w:szCs w:val="22"/>
        </w:rPr>
      </w:pPr>
    </w:p>
    <w:p w:rsidR="005B7DBA" w:rsidRPr="005B7DBA" w:rsidRDefault="005B7DBA" w:rsidP="00010AE6">
      <w:pPr>
        <w:pStyle w:val="CM7"/>
        <w:tabs>
          <w:tab w:val="left" w:pos="567"/>
        </w:tabs>
        <w:spacing w:line="240" w:lineRule="auto"/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FARMACEUTICKÉ INFORMÁCIE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6.1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Zoznam pomocných látok 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010AE6" w:rsidRPr="00010AE6" w:rsidRDefault="005B7DBA" w:rsidP="005B7DBA">
      <w:pPr>
        <w:pStyle w:val="CM32"/>
        <w:rPr>
          <w:sz w:val="22"/>
          <w:szCs w:val="22"/>
          <w:u w:val="single"/>
        </w:rPr>
      </w:pPr>
      <w:r w:rsidRPr="00010AE6">
        <w:rPr>
          <w:sz w:val="22"/>
          <w:szCs w:val="22"/>
          <w:u w:val="single"/>
        </w:rPr>
        <w:t xml:space="preserve">Jadro tablety: </w:t>
      </w:r>
    </w:p>
    <w:p w:rsidR="00D441F8" w:rsidRDefault="00D441F8" w:rsidP="00010AE6">
      <w:pPr>
        <w:pStyle w:val="CM32"/>
        <w:rPr>
          <w:sz w:val="22"/>
          <w:szCs w:val="22"/>
        </w:rPr>
      </w:pPr>
      <w:proofErr w:type="spellStart"/>
      <w:r w:rsidRPr="005B7DBA"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 xml:space="preserve"> 2910 (E464)</w:t>
      </w:r>
    </w:p>
    <w:p w:rsidR="00D441F8" w:rsidRDefault="00D441F8" w:rsidP="00D441F8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Sodná soľ </w:t>
      </w:r>
      <w:proofErr w:type="spellStart"/>
      <w:r w:rsidRPr="005B7DBA">
        <w:rPr>
          <w:sz w:val="22"/>
          <w:szCs w:val="22"/>
        </w:rPr>
        <w:t>kroskarmelózy</w:t>
      </w:r>
      <w:proofErr w:type="spellEnd"/>
      <w:r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>(E468)</w:t>
      </w:r>
    </w:p>
    <w:p w:rsidR="00010AE6" w:rsidRDefault="00010AE6" w:rsidP="00010AE6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Mikrokryštalická celulóza </w:t>
      </w:r>
      <w:r w:rsidR="00D441F8">
        <w:rPr>
          <w:sz w:val="22"/>
          <w:szCs w:val="22"/>
        </w:rPr>
        <w:t>(E460)</w:t>
      </w:r>
    </w:p>
    <w:p w:rsidR="00D441F8" w:rsidRPr="005B7DBA" w:rsidRDefault="00D441F8" w:rsidP="00D441F8">
      <w:pPr>
        <w:pStyle w:val="CM32"/>
        <w:rPr>
          <w:sz w:val="22"/>
          <w:szCs w:val="22"/>
        </w:rPr>
      </w:pPr>
      <w:proofErr w:type="spellStart"/>
      <w:r>
        <w:rPr>
          <w:sz w:val="22"/>
          <w:szCs w:val="22"/>
        </w:rPr>
        <w:t>Stearát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  <w:r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>(E470b)</w:t>
      </w:r>
    </w:p>
    <w:p w:rsidR="00D441F8" w:rsidRDefault="00D441F8" w:rsidP="00D441F8">
      <w:pPr>
        <w:pStyle w:val="CM32"/>
        <w:rPr>
          <w:sz w:val="22"/>
          <w:szCs w:val="22"/>
        </w:rPr>
      </w:pPr>
      <w:proofErr w:type="spellStart"/>
      <w:r w:rsidRPr="00A46BBF">
        <w:rPr>
          <w:sz w:val="22"/>
          <w:szCs w:val="22"/>
        </w:rPr>
        <w:t>Laurylsíran</w:t>
      </w:r>
      <w:proofErr w:type="spellEnd"/>
      <w:r w:rsidRPr="00A46BBF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 (E514)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010AE6" w:rsidRPr="00010AE6" w:rsidRDefault="00010AE6" w:rsidP="005B7DBA">
      <w:pPr>
        <w:pStyle w:val="CM32"/>
        <w:rPr>
          <w:sz w:val="22"/>
          <w:szCs w:val="22"/>
          <w:u w:val="single"/>
        </w:rPr>
      </w:pPr>
      <w:r w:rsidRPr="00010AE6">
        <w:rPr>
          <w:sz w:val="22"/>
          <w:szCs w:val="22"/>
          <w:u w:val="single"/>
        </w:rPr>
        <w:t xml:space="preserve">Obal </w:t>
      </w:r>
      <w:r w:rsidR="005B7DBA" w:rsidRPr="00010AE6">
        <w:rPr>
          <w:sz w:val="22"/>
          <w:szCs w:val="22"/>
          <w:u w:val="single"/>
        </w:rPr>
        <w:t xml:space="preserve">tablety: </w:t>
      </w:r>
    </w:p>
    <w:p w:rsidR="00010AE6" w:rsidRDefault="005B7DBA" w:rsidP="005B7DBA">
      <w:pPr>
        <w:pStyle w:val="CM32"/>
        <w:rPr>
          <w:sz w:val="22"/>
          <w:szCs w:val="22"/>
        </w:rPr>
      </w:pPr>
      <w:proofErr w:type="spellStart"/>
      <w:r w:rsidRPr="005B7DBA">
        <w:rPr>
          <w:sz w:val="22"/>
          <w:szCs w:val="22"/>
        </w:rPr>
        <w:t>Hypromelóza</w:t>
      </w:r>
      <w:proofErr w:type="spellEnd"/>
      <w:r w:rsidRPr="005B7DBA">
        <w:rPr>
          <w:sz w:val="22"/>
          <w:szCs w:val="22"/>
        </w:rPr>
        <w:t xml:space="preserve"> </w:t>
      </w:r>
      <w:r w:rsidR="00D441F8">
        <w:rPr>
          <w:sz w:val="22"/>
          <w:szCs w:val="22"/>
        </w:rPr>
        <w:t>2910 (E464)</w:t>
      </w:r>
    </w:p>
    <w:p w:rsidR="00D441F8" w:rsidRDefault="00D441F8" w:rsidP="00D441F8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Oxid </w:t>
      </w:r>
      <w:proofErr w:type="spellStart"/>
      <w:r w:rsidRPr="005B7DBA">
        <w:rPr>
          <w:sz w:val="22"/>
          <w:szCs w:val="22"/>
        </w:rPr>
        <w:t>titaničitý</w:t>
      </w:r>
      <w:proofErr w:type="spellEnd"/>
      <w:r w:rsidRPr="005B7DBA">
        <w:rPr>
          <w:sz w:val="22"/>
          <w:szCs w:val="22"/>
        </w:rPr>
        <w:t xml:space="preserve"> (E 171) </w:t>
      </w:r>
    </w:p>
    <w:p w:rsidR="00010AE6" w:rsidRDefault="005B7DBA" w:rsidP="005B7DBA">
      <w:pPr>
        <w:pStyle w:val="CM32"/>
        <w:rPr>
          <w:sz w:val="22"/>
          <w:szCs w:val="22"/>
        </w:rPr>
      </w:pPr>
      <w:proofErr w:type="spellStart"/>
      <w:r w:rsidRPr="005B7DBA">
        <w:rPr>
          <w:sz w:val="22"/>
          <w:szCs w:val="22"/>
        </w:rPr>
        <w:t>Makrogol</w:t>
      </w:r>
      <w:proofErr w:type="spellEnd"/>
      <w:r w:rsidR="00D441F8">
        <w:rPr>
          <w:sz w:val="22"/>
          <w:szCs w:val="22"/>
        </w:rPr>
        <w:t xml:space="preserve"> (E1521)</w:t>
      </w:r>
    </w:p>
    <w:p w:rsidR="005B7DBA" w:rsidRPr="005B7DBA" w:rsidRDefault="00640C60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lastRenderedPageBreak/>
        <w:t>Červený oxid železitý (E</w:t>
      </w:r>
      <w:r w:rsidR="005B7DBA" w:rsidRPr="005B7DBA">
        <w:rPr>
          <w:sz w:val="22"/>
          <w:szCs w:val="22"/>
        </w:rPr>
        <w:t xml:space="preserve">172)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6.2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Inkompatibility 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Neaplikovateľné.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6.3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Čas použiteľnosti 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640C60" w:rsidRPr="00640C60" w:rsidRDefault="00640C60" w:rsidP="005B7DBA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Pre hliníkové-OPA/ALU/PVC </w:t>
      </w:r>
      <w:proofErr w:type="spellStart"/>
      <w:r>
        <w:rPr>
          <w:i/>
          <w:sz w:val="22"/>
          <w:szCs w:val="22"/>
          <w:u w:val="single"/>
        </w:rPr>
        <w:t>blistre</w:t>
      </w:r>
      <w:proofErr w:type="spellEnd"/>
      <w:r>
        <w:rPr>
          <w:i/>
          <w:sz w:val="22"/>
          <w:szCs w:val="22"/>
          <w:u w:val="single"/>
        </w:rPr>
        <w:t>:</w:t>
      </w:r>
    </w:p>
    <w:p w:rsidR="005B7DBA" w:rsidRDefault="00010AE6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2 roky</w:t>
      </w:r>
    </w:p>
    <w:p w:rsidR="00640C60" w:rsidRDefault="00640C60" w:rsidP="00640C60">
      <w:pPr>
        <w:pStyle w:val="Default"/>
      </w:pPr>
    </w:p>
    <w:p w:rsidR="00640C60" w:rsidRPr="00640C60" w:rsidRDefault="00640C60" w:rsidP="00640C60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Pre hliníkové-</w:t>
      </w:r>
      <w:r w:rsidR="00D674CF">
        <w:rPr>
          <w:i/>
          <w:sz w:val="22"/>
          <w:szCs w:val="22"/>
          <w:u w:val="single"/>
        </w:rPr>
        <w:t>PVC</w:t>
      </w:r>
      <w:r>
        <w:rPr>
          <w:i/>
          <w:sz w:val="22"/>
          <w:szCs w:val="22"/>
          <w:u w:val="single"/>
        </w:rPr>
        <w:t>/PE/PV</w:t>
      </w:r>
      <w:r w:rsidR="00D674CF">
        <w:rPr>
          <w:i/>
          <w:sz w:val="22"/>
          <w:szCs w:val="22"/>
          <w:u w:val="single"/>
        </w:rPr>
        <w:t>D</w:t>
      </w:r>
      <w:r>
        <w:rPr>
          <w:i/>
          <w:sz w:val="22"/>
          <w:szCs w:val="22"/>
          <w:u w:val="single"/>
        </w:rPr>
        <w:t xml:space="preserve">C </w:t>
      </w:r>
      <w:proofErr w:type="spellStart"/>
      <w:r>
        <w:rPr>
          <w:i/>
          <w:sz w:val="22"/>
          <w:szCs w:val="22"/>
          <w:u w:val="single"/>
        </w:rPr>
        <w:t>blistre</w:t>
      </w:r>
      <w:proofErr w:type="spellEnd"/>
      <w:r>
        <w:rPr>
          <w:i/>
          <w:sz w:val="22"/>
          <w:szCs w:val="22"/>
          <w:u w:val="single"/>
        </w:rPr>
        <w:t>:</w:t>
      </w:r>
    </w:p>
    <w:p w:rsidR="00640C60" w:rsidRDefault="00640C60" w:rsidP="00640C60">
      <w:pPr>
        <w:pStyle w:val="CM32"/>
        <w:rPr>
          <w:sz w:val="22"/>
          <w:szCs w:val="22"/>
        </w:rPr>
      </w:pPr>
      <w:r>
        <w:rPr>
          <w:sz w:val="22"/>
          <w:szCs w:val="22"/>
        </w:rPr>
        <w:t>2 roky</w:t>
      </w:r>
    </w:p>
    <w:p w:rsidR="00010AE6" w:rsidRPr="00010AE6" w:rsidRDefault="00010AE6" w:rsidP="00010AE6">
      <w:pPr>
        <w:pStyle w:val="Default"/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6.4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Špeciálne upozornenia na uchovávanie </w:t>
      </w:r>
    </w:p>
    <w:p w:rsidR="00010AE6" w:rsidRDefault="00010AE6" w:rsidP="00010AE6">
      <w:pPr>
        <w:pStyle w:val="CM100"/>
        <w:rPr>
          <w:sz w:val="22"/>
          <w:szCs w:val="22"/>
        </w:rPr>
      </w:pPr>
    </w:p>
    <w:p w:rsidR="00640C60" w:rsidRPr="00640C60" w:rsidRDefault="00640C60" w:rsidP="00640C60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Pre hliníkové-OPA/ALU/PVC </w:t>
      </w:r>
      <w:proofErr w:type="spellStart"/>
      <w:r>
        <w:rPr>
          <w:i/>
          <w:sz w:val="22"/>
          <w:szCs w:val="22"/>
          <w:u w:val="single"/>
        </w:rPr>
        <w:t>blistre</w:t>
      </w:r>
      <w:proofErr w:type="spellEnd"/>
      <w:r>
        <w:rPr>
          <w:i/>
          <w:sz w:val="22"/>
          <w:szCs w:val="22"/>
          <w:u w:val="single"/>
        </w:rPr>
        <w:t>:</w:t>
      </w:r>
    </w:p>
    <w:p w:rsidR="00640C60" w:rsidRDefault="00640C60" w:rsidP="00640C60">
      <w:pPr>
        <w:pStyle w:val="CM32"/>
        <w:rPr>
          <w:sz w:val="22"/>
          <w:szCs w:val="22"/>
        </w:rPr>
      </w:pPr>
      <w:r w:rsidRPr="004E1637">
        <w:rPr>
          <w:sz w:val="22"/>
          <w:szCs w:val="22"/>
        </w:rPr>
        <w:t>Tento liek nevyžaduje žiadne zvláštne podmienky na uchovávanie.</w:t>
      </w:r>
      <w:r>
        <w:rPr>
          <w:sz w:val="22"/>
          <w:szCs w:val="22"/>
        </w:rPr>
        <w:t xml:space="preserve"> </w:t>
      </w:r>
    </w:p>
    <w:p w:rsidR="00640C60" w:rsidRDefault="00640C60" w:rsidP="00640C60">
      <w:pPr>
        <w:pStyle w:val="Default"/>
      </w:pPr>
    </w:p>
    <w:p w:rsidR="00640C60" w:rsidRPr="00640C60" w:rsidRDefault="00640C60" w:rsidP="00640C60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Pre hliníkové-PVC/PE/PVDC </w:t>
      </w:r>
      <w:proofErr w:type="spellStart"/>
      <w:r>
        <w:rPr>
          <w:i/>
          <w:sz w:val="22"/>
          <w:szCs w:val="22"/>
          <w:u w:val="single"/>
        </w:rPr>
        <w:t>blistre</w:t>
      </w:r>
      <w:proofErr w:type="spellEnd"/>
      <w:r>
        <w:rPr>
          <w:i/>
          <w:sz w:val="22"/>
          <w:szCs w:val="22"/>
          <w:u w:val="single"/>
        </w:rPr>
        <w:t>:</w:t>
      </w:r>
    </w:p>
    <w:p w:rsidR="00010AE6" w:rsidRPr="004E1637" w:rsidRDefault="00010AE6" w:rsidP="00010AE6">
      <w:pPr>
        <w:pStyle w:val="CM100"/>
        <w:rPr>
          <w:sz w:val="22"/>
          <w:szCs w:val="22"/>
        </w:rPr>
      </w:pPr>
      <w:r w:rsidRPr="004E1637">
        <w:rPr>
          <w:sz w:val="22"/>
          <w:szCs w:val="22"/>
        </w:rPr>
        <w:t xml:space="preserve">Uchovávajte </w:t>
      </w:r>
      <w:r w:rsidR="00640C60">
        <w:rPr>
          <w:sz w:val="22"/>
          <w:szCs w:val="22"/>
        </w:rPr>
        <w:t>pri teplote neprevyšujúcej 30 °C.</w:t>
      </w:r>
      <w:r w:rsidRPr="004E1637">
        <w:rPr>
          <w:sz w:val="22"/>
          <w:szCs w:val="22"/>
        </w:rPr>
        <w:t xml:space="preserve">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6.5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Druh obalu a obsah balenia </w:t>
      </w:r>
    </w:p>
    <w:p w:rsidR="00010AE6" w:rsidRPr="00010AE6" w:rsidRDefault="00010AE6" w:rsidP="005B7DBA">
      <w:pPr>
        <w:pStyle w:val="CM32"/>
        <w:rPr>
          <w:sz w:val="22"/>
          <w:szCs w:val="22"/>
        </w:rPr>
      </w:pPr>
    </w:p>
    <w:p w:rsidR="00010AE6" w:rsidRDefault="00640C60" w:rsidP="00010A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56, 112 filmom obalených tabliet v hliníkových-PVC/PE/PVDC </w:t>
      </w:r>
      <w:proofErr w:type="spellStart"/>
      <w:r>
        <w:rPr>
          <w:sz w:val="22"/>
          <w:szCs w:val="22"/>
        </w:rPr>
        <w:t>blistroch</w:t>
      </w:r>
      <w:proofErr w:type="spellEnd"/>
      <w:r>
        <w:rPr>
          <w:sz w:val="22"/>
          <w:szCs w:val="22"/>
        </w:rPr>
        <w:t>.</w:t>
      </w:r>
    </w:p>
    <w:p w:rsidR="00640C60" w:rsidRDefault="00640C60" w:rsidP="00640C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56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>1, 112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filmom obalená tableta v hliníkových-PVC/PE/PVDC perforovaných </w:t>
      </w:r>
      <w:proofErr w:type="spellStart"/>
      <w:r>
        <w:rPr>
          <w:sz w:val="22"/>
          <w:szCs w:val="22"/>
        </w:rPr>
        <w:t>blistroch</w:t>
      </w:r>
      <w:proofErr w:type="spellEnd"/>
      <w:r>
        <w:rPr>
          <w:sz w:val="22"/>
          <w:szCs w:val="22"/>
        </w:rPr>
        <w:t xml:space="preserve"> s jednotlivými dávkami.</w:t>
      </w:r>
    </w:p>
    <w:p w:rsidR="00640C60" w:rsidRDefault="00640C60" w:rsidP="00010A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60 filmom obalených tabliet v hliníkových-OPA/ALU/PVC </w:t>
      </w:r>
      <w:proofErr w:type="spellStart"/>
      <w:r>
        <w:rPr>
          <w:sz w:val="22"/>
          <w:szCs w:val="22"/>
        </w:rPr>
        <w:t>blistroch</w:t>
      </w:r>
      <w:proofErr w:type="spellEnd"/>
      <w:r>
        <w:rPr>
          <w:sz w:val="22"/>
          <w:szCs w:val="22"/>
        </w:rPr>
        <w:t>.</w:t>
      </w:r>
    </w:p>
    <w:p w:rsidR="00010AE6" w:rsidRDefault="00010AE6" w:rsidP="00010AE6">
      <w:pPr>
        <w:pStyle w:val="Default"/>
        <w:rPr>
          <w:sz w:val="22"/>
          <w:szCs w:val="22"/>
        </w:rPr>
      </w:pPr>
    </w:p>
    <w:p w:rsidR="00010AE6" w:rsidRPr="004E1637" w:rsidRDefault="00010AE6" w:rsidP="00010AE6">
      <w:pPr>
        <w:pStyle w:val="CM2"/>
        <w:spacing w:line="240" w:lineRule="auto"/>
        <w:rPr>
          <w:sz w:val="22"/>
          <w:szCs w:val="22"/>
        </w:rPr>
      </w:pPr>
      <w:r w:rsidRPr="004E1637">
        <w:rPr>
          <w:sz w:val="22"/>
          <w:szCs w:val="22"/>
        </w:rPr>
        <w:t xml:space="preserve">Na trh nemusia byť uvedené všetky veľkosti balenia. </w:t>
      </w:r>
    </w:p>
    <w:p w:rsidR="00B27BA5" w:rsidRPr="00010AE6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010AE6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010AE6">
        <w:rPr>
          <w:b/>
          <w:bCs/>
          <w:sz w:val="22"/>
          <w:szCs w:val="22"/>
        </w:rPr>
        <w:t xml:space="preserve">6.6 </w:t>
      </w:r>
      <w:r w:rsidR="00010AE6">
        <w:rPr>
          <w:b/>
          <w:bCs/>
          <w:sz w:val="22"/>
          <w:szCs w:val="22"/>
        </w:rPr>
        <w:tab/>
      </w:r>
      <w:r w:rsidRPr="00010AE6">
        <w:rPr>
          <w:b/>
          <w:bCs/>
          <w:sz w:val="22"/>
          <w:szCs w:val="22"/>
        </w:rPr>
        <w:t xml:space="preserve">Špeciálne opatrenia na likvidáciu </w:t>
      </w:r>
    </w:p>
    <w:p w:rsidR="00C837E8" w:rsidRDefault="00C837E8" w:rsidP="005B7DBA">
      <w:pPr>
        <w:pStyle w:val="CM33"/>
        <w:rPr>
          <w:sz w:val="22"/>
          <w:szCs w:val="22"/>
        </w:rPr>
      </w:pPr>
    </w:p>
    <w:p w:rsidR="00C837E8" w:rsidRPr="004E1637" w:rsidRDefault="005B7DBA" w:rsidP="00C837E8">
      <w:pPr>
        <w:pStyle w:val="CM101"/>
        <w:rPr>
          <w:sz w:val="22"/>
          <w:szCs w:val="22"/>
        </w:rPr>
      </w:pPr>
      <w:r w:rsidRPr="00010AE6">
        <w:rPr>
          <w:sz w:val="22"/>
          <w:szCs w:val="22"/>
        </w:rPr>
        <w:t xml:space="preserve">Tento liek môže predstavovať potenciálne riziko pre životné prostredie. </w:t>
      </w:r>
      <w:r w:rsidR="00C837E8" w:rsidRPr="004E1637">
        <w:rPr>
          <w:sz w:val="22"/>
          <w:szCs w:val="22"/>
        </w:rPr>
        <w:t xml:space="preserve">Všetok nepoužitý liek alebo odpad vzniknutý z lieku sa má zlikvidovať v súlade s národnými požiadavkami. </w:t>
      </w:r>
    </w:p>
    <w:p w:rsidR="00B27BA5" w:rsidRPr="00F21A82" w:rsidRDefault="00B27BA5" w:rsidP="00F21A82">
      <w:pPr>
        <w:pStyle w:val="CM33"/>
        <w:rPr>
          <w:b/>
          <w:bCs/>
          <w:sz w:val="22"/>
          <w:szCs w:val="22"/>
        </w:rPr>
      </w:pPr>
    </w:p>
    <w:p w:rsidR="00B27BA5" w:rsidRPr="00F21A82" w:rsidRDefault="00B27BA5" w:rsidP="00F21A82">
      <w:pPr>
        <w:pStyle w:val="CM32"/>
        <w:rPr>
          <w:b/>
          <w:bCs/>
          <w:sz w:val="22"/>
          <w:szCs w:val="22"/>
        </w:rPr>
      </w:pPr>
    </w:p>
    <w:p w:rsidR="005B7DBA" w:rsidRPr="00F21A82" w:rsidRDefault="005B7DBA" w:rsidP="00F21A82">
      <w:pPr>
        <w:pStyle w:val="CM32"/>
        <w:tabs>
          <w:tab w:val="left" w:pos="567"/>
        </w:tabs>
        <w:rPr>
          <w:sz w:val="22"/>
          <w:szCs w:val="22"/>
        </w:rPr>
      </w:pPr>
      <w:r w:rsidRPr="00F21A82">
        <w:rPr>
          <w:b/>
          <w:bCs/>
          <w:sz w:val="22"/>
          <w:szCs w:val="22"/>
        </w:rPr>
        <w:t xml:space="preserve">7. </w:t>
      </w:r>
      <w:r w:rsidR="00C837E8" w:rsidRPr="00F21A82">
        <w:rPr>
          <w:b/>
          <w:bCs/>
          <w:sz w:val="22"/>
          <w:szCs w:val="22"/>
        </w:rPr>
        <w:tab/>
      </w:r>
      <w:r w:rsidRPr="00F21A82">
        <w:rPr>
          <w:b/>
          <w:bCs/>
          <w:sz w:val="22"/>
          <w:szCs w:val="22"/>
        </w:rPr>
        <w:t xml:space="preserve">DRŽITEĽ ROZHODNUTIA O REGISTRÁCII </w:t>
      </w:r>
    </w:p>
    <w:p w:rsidR="00C837E8" w:rsidRPr="00F21A82" w:rsidRDefault="00C837E8" w:rsidP="00F21A82">
      <w:pPr>
        <w:pStyle w:val="CM32"/>
        <w:rPr>
          <w:sz w:val="22"/>
          <w:szCs w:val="22"/>
        </w:rPr>
      </w:pPr>
    </w:p>
    <w:p w:rsidR="00F21A82" w:rsidRPr="00F21A82" w:rsidRDefault="00F21A82" w:rsidP="00F21A82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  <w:r w:rsidRPr="00F21A82">
        <w:rPr>
          <w:rFonts w:ascii="Times New Roman" w:hAnsi="Times New Roman" w:cs="Times New Roman"/>
          <w:bCs/>
        </w:rPr>
        <w:t xml:space="preserve">STADA </w:t>
      </w:r>
      <w:proofErr w:type="spellStart"/>
      <w:r w:rsidRPr="00F21A82">
        <w:rPr>
          <w:rFonts w:ascii="Times New Roman" w:hAnsi="Times New Roman" w:cs="Times New Roman"/>
          <w:bCs/>
        </w:rPr>
        <w:t>Arzneimittel</w:t>
      </w:r>
      <w:proofErr w:type="spellEnd"/>
      <w:r w:rsidRPr="00F21A82">
        <w:rPr>
          <w:rFonts w:ascii="Times New Roman" w:hAnsi="Times New Roman" w:cs="Times New Roman"/>
          <w:bCs/>
        </w:rPr>
        <w:t xml:space="preserve"> AG</w:t>
      </w:r>
    </w:p>
    <w:p w:rsidR="00F21A82" w:rsidRPr="00F21A82" w:rsidRDefault="00F21A82" w:rsidP="00F21A82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  <w:proofErr w:type="spellStart"/>
      <w:r w:rsidRPr="00F21A82">
        <w:rPr>
          <w:rFonts w:ascii="Times New Roman" w:hAnsi="Times New Roman" w:cs="Times New Roman"/>
          <w:bCs/>
        </w:rPr>
        <w:t>Stadastrasse</w:t>
      </w:r>
      <w:proofErr w:type="spellEnd"/>
      <w:r w:rsidRPr="00F21A82">
        <w:rPr>
          <w:rFonts w:ascii="Times New Roman" w:hAnsi="Times New Roman" w:cs="Times New Roman"/>
          <w:bCs/>
        </w:rPr>
        <w:t xml:space="preserve"> 2-18</w:t>
      </w:r>
    </w:p>
    <w:p w:rsidR="00F21A82" w:rsidRPr="00F21A82" w:rsidRDefault="00F21A82" w:rsidP="00F21A82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  <w:r w:rsidRPr="00F21A82">
        <w:rPr>
          <w:rFonts w:ascii="Times New Roman" w:hAnsi="Times New Roman" w:cs="Times New Roman"/>
          <w:bCs/>
        </w:rPr>
        <w:t xml:space="preserve">61118 </w:t>
      </w:r>
      <w:proofErr w:type="spellStart"/>
      <w:r w:rsidRPr="00F21A82">
        <w:rPr>
          <w:rFonts w:ascii="Times New Roman" w:hAnsi="Times New Roman" w:cs="Times New Roman"/>
          <w:bCs/>
        </w:rPr>
        <w:t>Bad</w:t>
      </w:r>
      <w:proofErr w:type="spellEnd"/>
      <w:r w:rsidRPr="00F21A82">
        <w:rPr>
          <w:rFonts w:ascii="Times New Roman" w:hAnsi="Times New Roman" w:cs="Times New Roman"/>
          <w:bCs/>
        </w:rPr>
        <w:t xml:space="preserve"> </w:t>
      </w:r>
      <w:proofErr w:type="spellStart"/>
      <w:r w:rsidRPr="00F21A82">
        <w:rPr>
          <w:rFonts w:ascii="Times New Roman" w:hAnsi="Times New Roman" w:cs="Times New Roman"/>
          <w:bCs/>
        </w:rPr>
        <w:t>Vilbel</w:t>
      </w:r>
      <w:proofErr w:type="spellEnd"/>
    </w:p>
    <w:p w:rsidR="00F21A82" w:rsidRPr="00F21A82" w:rsidRDefault="00F21A82" w:rsidP="00F21A82">
      <w:pPr>
        <w:pStyle w:val="EMEABodyText"/>
      </w:pPr>
      <w:r w:rsidRPr="00F21A82">
        <w:rPr>
          <w:bCs/>
          <w:szCs w:val="22"/>
        </w:rPr>
        <w:t>Nemecko</w:t>
      </w:r>
    </w:p>
    <w:p w:rsidR="00B27BA5" w:rsidRPr="00F21A82" w:rsidRDefault="00B27BA5" w:rsidP="00F21A82">
      <w:pPr>
        <w:pStyle w:val="CM32"/>
        <w:rPr>
          <w:b/>
          <w:bCs/>
          <w:sz w:val="22"/>
          <w:szCs w:val="22"/>
        </w:rPr>
      </w:pPr>
    </w:p>
    <w:p w:rsidR="00C837E8" w:rsidRPr="00F21A82" w:rsidRDefault="00C837E8" w:rsidP="00F21A82">
      <w:pPr>
        <w:pStyle w:val="Default"/>
      </w:pPr>
    </w:p>
    <w:p w:rsidR="005B7DBA" w:rsidRPr="00F21A82" w:rsidRDefault="005B7DBA" w:rsidP="00F21A82">
      <w:pPr>
        <w:pStyle w:val="CM32"/>
        <w:tabs>
          <w:tab w:val="left" w:pos="567"/>
        </w:tabs>
        <w:rPr>
          <w:sz w:val="22"/>
          <w:szCs w:val="22"/>
        </w:rPr>
      </w:pPr>
      <w:r w:rsidRPr="00F21A82">
        <w:rPr>
          <w:b/>
          <w:bCs/>
          <w:sz w:val="22"/>
          <w:szCs w:val="22"/>
        </w:rPr>
        <w:t xml:space="preserve">8. </w:t>
      </w:r>
      <w:r w:rsidR="00952EE6" w:rsidRPr="00F21A82">
        <w:rPr>
          <w:b/>
          <w:bCs/>
          <w:sz w:val="22"/>
          <w:szCs w:val="22"/>
        </w:rPr>
        <w:tab/>
      </w:r>
      <w:r w:rsidRPr="00F21A82">
        <w:rPr>
          <w:b/>
          <w:bCs/>
          <w:sz w:val="22"/>
          <w:szCs w:val="22"/>
        </w:rPr>
        <w:t xml:space="preserve">REGISTRAČNÉ ČÍSLO </w:t>
      </w:r>
    </w:p>
    <w:p w:rsidR="00B27BA5" w:rsidRPr="00F21A82" w:rsidRDefault="00B27BA5" w:rsidP="00F21A82">
      <w:pPr>
        <w:pStyle w:val="CM32"/>
        <w:rPr>
          <w:b/>
          <w:bCs/>
          <w:sz w:val="22"/>
          <w:szCs w:val="22"/>
        </w:rPr>
      </w:pPr>
    </w:p>
    <w:p w:rsidR="00FD72BB" w:rsidRPr="00A81B0A" w:rsidRDefault="00D46057" w:rsidP="00FD72BB">
      <w:pPr>
        <w:pStyle w:val="Default"/>
        <w:rPr>
          <w:sz w:val="22"/>
          <w:szCs w:val="22"/>
        </w:rPr>
      </w:pPr>
      <w:r w:rsidRPr="00A81B0A">
        <w:rPr>
          <w:sz w:val="22"/>
          <w:szCs w:val="22"/>
        </w:rPr>
        <w:t>44/0154/20-S</w:t>
      </w:r>
    </w:p>
    <w:p w:rsidR="00D46057" w:rsidRDefault="00D46057" w:rsidP="00FD72BB">
      <w:pPr>
        <w:pStyle w:val="Default"/>
      </w:pPr>
    </w:p>
    <w:p w:rsidR="00FD72BB" w:rsidRPr="00FD72BB" w:rsidRDefault="00FD72BB" w:rsidP="00FD72BB">
      <w:pPr>
        <w:pStyle w:val="Default"/>
      </w:pPr>
    </w:p>
    <w:p w:rsidR="005B7DBA" w:rsidRPr="005B7DBA" w:rsidRDefault="005B7DBA" w:rsidP="00952E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9. </w:t>
      </w:r>
      <w:r w:rsidR="00952E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DÁTUM PRVEJ REGISTRÁCIE/PREDĹŽENIA REGISTRÁCIE </w:t>
      </w:r>
    </w:p>
    <w:p w:rsidR="00C837E8" w:rsidRDefault="00C837E8" w:rsidP="005B7DBA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Dátum prvej registrácie: </w:t>
      </w:r>
    </w:p>
    <w:p w:rsidR="00F341E0" w:rsidRDefault="00F341E0" w:rsidP="005B7DBA">
      <w:pPr>
        <w:spacing w:after="0" w:line="240" w:lineRule="auto"/>
        <w:rPr>
          <w:rFonts w:ascii="Times New Roman" w:hAnsi="Times New Roman" w:cs="Times New Roman"/>
        </w:rPr>
      </w:pPr>
    </w:p>
    <w:p w:rsidR="00952EE6" w:rsidRDefault="00952EE6" w:rsidP="005B7DBA">
      <w:pPr>
        <w:spacing w:after="0" w:line="240" w:lineRule="auto"/>
        <w:rPr>
          <w:rFonts w:ascii="Times New Roman" w:hAnsi="Times New Roman" w:cs="Times New Roman"/>
        </w:rPr>
      </w:pPr>
    </w:p>
    <w:p w:rsidR="00952EE6" w:rsidRPr="00952EE6" w:rsidRDefault="00952EE6" w:rsidP="00952EE6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en-US"/>
        </w:rPr>
      </w:pPr>
      <w:r w:rsidRPr="00952EE6">
        <w:rPr>
          <w:rFonts w:ascii="Times New Roman" w:eastAsia="Times New Roman" w:hAnsi="Times New Roman" w:cs="Times New Roman"/>
          <w:b/>
          <w:lang w:eastAsia="en-US"/>
        </w:rPr>
        <w:t>10.</w:t>
      </w:r>
      <w:r w:rsidRPr="00952EE6">
        <w:rPr>
          <w:rFonts w:ascii="Times New Roman" w:eastAsia="Times New Roman" w:hAnsi="Times New Roman" w:cs="Times New Roman"/>
          <w:b/>
          <w:lang w:eastAsia="en-US"/>
        </w:rPr>
        <w:tab/>
      </w:r>
      <w:r w:rsidRPr="00952EE6">
        <w:rPr>
          <w:rFonts w:ascii="Times New Roman" w:eastAsia="Times New Roman" w:hAnsi="Times New Roman" w:cs="Times New Roman"/>
          <w:b/>
          <w:szCs w:val="20"/>
          <w:lang w:val="en-GB" w:eastAsia="en-US"/>
        </w:rPr>
        <w:t>DÁTUM REVÍZIE TEXTU</w:t>
      </w:r>
    </w:p>
    <w:p w:rsidR="00952EE6" w:rsidRPr="00952EE6" w:rsidRDefault="00952EE6" w:rsidP="00952E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</w:p>
    <w:p w:rsidR="00952EE6" w:rsidRDefault="00D674CF" w:rsidP="005B7D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07/2020</w:t>
      </w:r>
    </w:p>
    <w:p w:rsidR="00D46057" w:rsidRPr="005B7DBA" w:rsidRDefault="00D46057" w:rsidP="005B7DBA">
      <w:pPr>
        <w:spacing w:after="0" w:line="240" w:lineRule="auto"/>
        <w:rPr>
          <w:rFonts w:ascii="Times New Roman" w:hAnsi="Times New Roman" w:cs="Times New Roman"/>
        </w:rPr>
      </w:pPr>
    </w:p>
    <w:sectPr w:rsidR="00D46057" w:rsidRPr="005B7DBA" w:rsidSect="00FD72B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0A" w:rsidRDefault="00A81B0A" w:rsidP="005B7DBA">
      <w:pPr>
        <w:spacing w:after="0" w:line="240" w:lineRule="auto"/>
      </w:pPr>
      <w:r>
        <w:separator/>
      </w:r>
    </w:p>
  </w:endnote>
  <w:endnote w:type="continuationSeparator" w:id="0">
    <w:p w:rsidR="00A81B0A" w:rsidRDefault="00A81B0A" w:rsidP="005B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790823"/>
      <w:docPartObj>
        <w:docPartGallery w:val="Page Numbers (Bottom of Page)"/>
        <w:docPartUnique/>
      </w:docPartObj>
    </w:sdtPr>
    <w:sdtContent>
      <w:p w:rsidR="00A81B0A" w:rsidRDefault="00A81B0A" w:rsidP="00FD72BB">
        <w:pPr>
          <w:pStyle w:val="Pta"/>
          <w:jc w:val="center"/>
        </w:pPr>
        <w:r w:rsidRPr="00FD72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D72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D72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A283E">
          <w:rPr>
            <w:rFonts w:ascii="Times New Roman" w:hAnsi="Times New Roman" w:cs="Times New Roman"/>
            <w:noProof/>
            <w:sz w:val="18"/>
            <w:szCs w:val="18"/>
          </w:rPr>
          <w:t>16</w:t>
        </w:r>
        <w:r w:rsidRPr="00FD72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0A" w:rsidRDefault="00A81B0A" w:rsidP="005B7DBA">
      <w:pPr>
        <w:spacing w:after="0" w:line="240" w:lineRule="auto"/>
      </w:pPr>
      <w:r>
        <w:separator/>
      </w:r>
    </w:p>
  </w:footnote>
  <w:footnote w:type="continuationSeparator" w:id="0">
    <w:p w:rsidR="00A81B0A" w:rsidRDefault="00A81B0A" w:rsidP="005B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0A" w:rsidRPr="00D46057" w:rsidRDefault="00A81B0A">
    <w:pPr>
      <w:pStyle w:val="Hlavika"/>
      <w:rPr>
        <w:rFonts w:ascii="Times New Roman" w:hAnsi="Times New Roman" w:cs="Times New Roman"/>
        <w:color w:val="000000" w:themeColor="text1"/>
        <w:sz w:val="18"/>
        <w:szCs w:val="18"/>
      </w:rPr>
    </w:pPr>
    <w:r w:rsidRPr="00D46057">
      <w:rPr>
        <w:rFonts w:ascii="Times New Roman" w:hAnsi="Times New Roman" w:cs="Times New Roman"/>
        <w:color w:val="000000" w:themeColor="text1"/>
        <w:sz w:val="18"/>
        <w:szCs w:val="18"/>
      </w:rPr>
      <w:t xml:space="preserve">Schválený text k rozhodnutiu o registrácii, ev. č.: </w:t>
    </w:r>
    <w:r w:rsidRPr="00A81B0A">
      <w:rPr>
        <w:rFonts w:ascii="Times New Roman" w:hAnsi="Times New Roman" w:cs="Times New Roman"/>
        <w:color w:val="000000" w:themeColor="text1"/>
        <w:sz w:val="18"/>
        <w:szCs w:val="18"/>
      </w:rPr>
      <w:t>2019/02571-REG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347D"/>
    <w:multiLevelType w:val="hybridMultilevel"/>
    <w:tmpl w:val="90CEA9E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6" w15:restartNumberingAfterBreak="0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CF25095"/>
    <w:multiLevelType w:val="hybridMultilevel"/>
    <w:tmpl w:val="6690FF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8C48A9"/>
    <w:multiLevelType w:val="hybridMultilevel"/>
    <w:tmpl w:val="AD1CADC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BA"/>
    <w:rsid w:val="00010AE6"/>
    <w:rsid w:val="000258B8"/>
    <w:rsid w:val="00090884"/>
    <w:rsid w:val="00096E96"/>
    <w:rsid w:val="000D43B4"/>
    <w:rsid w:val="000E6F1D"/>
    <w:rsid w:val="00100801"/>
    <w:rsid w:val="00143D2B"/>
    <w:rsid w:val="0014410B"/>
    <w:rsid w:val="00193AAA"/>
    <w:rsid w:val="001E397C"/>
    <w:rsid w:val="001F001C"/>
    <w:rsid w:val="001F135C"/>
    <w:rsid w:val="00214705"/>
    <w:rsid w:val="002471CA"/>
    <w:rsid w:val="002500F9"/>
    <w:rsid w:val="00275AD0"/>
    <w:rsid w:val="0028016A"/>
    <w:rsid w:val="002C4068"/>
    <w:rsid w:val="00306747"/>
    <w:rsid w:val="00355B52"/>
    <w:rsid w:val="003562A2"/>
    <w:rsid w:val="003D17DB"/>
    <w:rsid w:val="003F5485"/>
    <w:rsid w:val="0048661B"/>
    <w:rsid w:val="004D0ADC"/>
    <w:rsid w:val="004F636E"/>
    <w:rsid w:val="00500812"/>
    <w:rsid w:val="00526A85"/>
    <w:rsid w:val="00575716"/>
    <w:rsid w:val="00584F78"/>
    <w:rsid w:val="00586EC5"/>
    <w:rsid w:val="005A03B4"/>
    <w:rsid w:val="005B41DD"/>
    <w:rsid w:val="005B7DBA"/>
    <w:rsid w:val="00634A7E"/>
    <w:rsid w:val="00640C60"/>
    <w:rsid w:val="006434FC"/>
    <w:rsid w:val="006C4495"/>
    <w:rsid w:val="006D5658"/>
    <w:rsid w:val="007511A0"/>
    <w:rsid w:val="00767BEF"/>
    <w:rsid w:val="007F2DC2"/>
    <w:rsid w:val="00841BCA"/>
    <w:rsid w:val="008A73CC"/>
    <w:rsid w:val="008B5A22"/>
    <w:rsid w:val="008C293C"/>
    <w:rsid w:val="008E598D"/>
    <w:rsid w:val="00905E2C"/>
    <w:rsid w:val="00922A10"/>
    <w:rsid w:val="009255FC"/>
    <w:rsid w:val="0095110E"/>
    <w:rsid w:val="00952EE6"/>
    <w:rsid w:val="009572E4"/>
    <w:rsid w:val="00973F15"/>
    <w:rsid w:val="009C1C50"/>
    <w:rsid w:val="009C3768"/>
    <w:rsid w:val="009D634F"/>
    <w:rsid w:val="009D700D"/>
    <w:rsid w:val="009F2D5D"/>
    <w:rsid w:val="00A0042A"/>
    <w:rsid w:val="00A46BBF"/>
    <w:rsid w:val="00A745DA"/>
    <w:rsid w:val="00A74804"/>
    <w:rsid w:val="00A75784"/>
    <w:rsid w:val="00A81B0A"/>
    <w:rsid w:val="00AC1FA4"/>
    <w:rsid w:val="00AF1898"/>
    <w:rsid w:val="00AF59CB"/>
    <w:rsid w:val="00B00BB1"/>
    <w:rsid w:val="00B27BA5"/>
    <w:rsid w:val="00B35468"/>
    <w:rsid w:val="00B858B1"/>
    <w:rsid w:val="00BA283E"/>
    <w:rsid w:val="00BC6A85"/>
    <w:rsid w:val="00BF4B53"/>
    <w:rsid w:val="00C22E50"/>
    <w:rsid w:val="00C4589A"/>
    <w:rsid w:val="00C66603"/>
    <w:rsid w:val="00C70B44"/>
    <w:rsid w:val="00C76065"/>
    <w:rsid w:val="00C837E8"/>
    <w:rsid w:val="00C846FE"/>
    <w:rsid w:val="00CF3E95"/>
    <w:rsid w:val="00CF5C15"/>
    <w:rsid w:val="00D234DD"/>
    <w:rsid w:val="00D43143"/>
    <w:rsid w:val="00D441F8"/>
    <w:rsid w:val="00D46057"/>
    <w:rsid w:val="00D674CF"/>
    <w:rsid w:val="00D9097A"/>
    <w:rsid w:val="00D96854"/>
    <w:rsid w:val="00E05F81"/>
    <w:rsid w:val="00E253C0"/>
    <w:rsid w:val="00E3481F"/>
    <w:rsid w:val="00E37245"/>
    <w:rsid w:val="00E47190"/>
    <w:rsid w:val="00E55411"/>
    <w:rsid w:val="00EA0977"/>
    <w:rsid w:val="00EC4B8D"/>
    <w:rsid w:val="00EE19B6"/>
    <w:rsid w:val="00F06EAA"/>
    <w:rsid w:val="00F21A82"/>
    <w:rsid w:val="00F341E0"/>
    <w:rsid w:val="00FD72BB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DE6E812-8ED3-498C-957F-8BA69F1A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7DB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7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5B7DBA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5B7DBA"/>
    <w:rPr>
      <w:color w:val="auto"/>
    </w:rPr>
  </w:style>
  <w:style w:type="paragraph" w:customStyle="1" w:styleId="CM1">
    <w:name w:val="CM1"/>
    <w:basedOn w:val="Default"/>
    <w:next w:val="Default"/>
    <w:uiPriority w:val="99"/>
    <w:rsid w:val="005B7DBA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5B7DBA"/>
    <w:rPr>
      <w:color w:val="auto"/>
    </w:rPr>
  </w:style>
  <w:style w:type="paragraph" w:customStyle="1" w:styleId="CM2">
    <w:name w:val="CM2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5B7DBA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B7DBA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5B7DBA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5B7DBA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7DBA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5B7DBA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5B7DBA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5B7DBA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5B7DBA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5B7DBA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5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7DBA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7DBA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5B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6C4495"/>
    <w:pPr>
      <w:numPr>
        <w:ilvl w:val="8"/>
      </w:numPr>
      <w:tabs>
        <w:tab w:val="num" w:pos="3360"/>
      </w:tabs>
      <w:spacing w:after="0" w:line="240" w:lineRule="auto"/>
      <w:ind w:left="360" w:hanging="1800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C4495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customStyle="1" w:styleId="EMEAEnBodyText">
    <w:name w:val="EMEA En Body Text"/>
    <w:basedOn w:val="Normlny"/>
    <w:rsid w:val="00D234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styleId="Hypertextovprepojenie">
    <w:name w:val="Hyperlink"/>
    <w:rsid w:val="00D234DD"/>
    <w:rPr>
      <w:color w:val="0000FF"/>
      <w:u w:val="single"/>
    </w:rPr>
  </w:style>
  <w:style w:type="table" w:styleId="Mriekatabuky">
    <w:name w:val="Table Grid"/>
    <w:basedOn w:val="Normlnatabuka"/>
    <w:uiPriority w:val="59"/>
    <w:rsid w:val="00D234DD"/>
    <w:pPr>
      <w:spacing w:after="0" w:line="240" w:lineRule="auto"/>
    </w:pPr>
    <w:rPr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234DD"/>
    <w:pPr>
      <w:tabs>
        <w:tab w:val="left" w:pos="567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4DD"/>
    <w:rPr>
      <w:rFonts w:ascii="Tahoma" w:eastAsia="Times New Roman" w:hAnsi="Tahoma" w:cs="Tahoma"/>
      <w:sz w:val="16"/>
      <w:szCs w:val="16"/>
      <w:lang w:val="en-GB"/>
    </w:rPr>
  </w:style>
  <w:style w:type="paragraph" w:styleId="Zkladntext">
    <w:name w:val="Body Text"/>
    <w:basedOn w:val="Normlny"/>
    <w:link w:val="ZkladntextChar"/>
    <w:rsid w:val="00D234DD"/>
    <w:pPr>
      <w:spacing w:after="240" w:line="24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rsid w:val="00D234DD"/>
    <w:rPr>
      <w:rFonts w:ascii="Times New Roman" w:eastAsia="Times New Roman" w:hAnsi="Times New Roman" w:cs="Times New Roman"/>
      <w:sz w:val="24"/>
      <w:lang w:val="en-US"/>
    </w:rPr>
  </w:style>
  <w:style w:type="paragraph" w:customStyle="1" w:styleId="CM100">
    <w:name w:val="CM100"/>
    <w:basedOn w:val="Default"/>
    <w:next w:val="Default"/>
    <w:uiPriority w:val="99"/>
    <w:rsid w:val="00010AE6"/>
    <w:rPr>
      <w:color w:val="auto"/>
    </w:rPr>
  </w:style>
  <w:style w:type="paragraph" w:customStyle="1" w:styleId="CM101">
    <w:name w:val="CM101"/>
    <w:basedOn w:val="Default"/>
    <w:next w:val="Default"/>
    <w:uiPriority w:val="99"/>
    <w:rsid w:val="00C837E8"/>
    <w:rPr>
      <w:color w:val="auto"/>
    </w:rPr>
  </w:style>
  <w:style w:type="paragraph" w:customStyle="1" w:styleId="EMEABodyText">
    <w:name w:val="EMEA Body Text"/>
    <w:basedOn w:val="Normlny"/>
    <w:rsid w:val="00F21A82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6039</Words>
  <Characters>34423</Characters>
  <Application>Microsoft Office Word</Application>
  <DocSecurity>0</DocSecurity>
  <Lines>286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Lacková, Beáta</cp:lastModifiedBy>
  <cp:revision>9</cp:revision>
  <cp:lastPrinted>2019-11-07T10:05:00Z</cp:lastPrinted>
  <dcterms:created xsi:type="dcterms:W3CDTF">2020-06-05T18:10:00Z</dcterms:created>
  <dcterms:modified xsi:type="dcterms:W3CDTF">2020-06-29T11:49:00Z</dcterms:modified>
</cp:coreProperties>
</file>