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53E28" w14:textId="77777777" w:rsidR="009E0DE8" w:rsidRPr="00D51176" w:rsidRDefault="009E0DE8" w:rsidP="009E0DE8">
      <w:pPr>
        <w:pStyle w:val="Bezriadkovania"/>
        <w:rPr>
          <w:bCs/>
          <w:noProof/>
          <w:sz w:val="18"/>
          <w:szCs w:val="18"/>
        </w:rPr>
      </w:pPr>
    </w:p>
    <w:p w14:paraId="2D8E4DAA" w14:textId="77777777" w:rsidR="009E0DE8" w:rsidRPr="00D51176" w:rsidRDefault="009E0DE8" w:rsidP="009E0DE8">
      <w:pPr>
        <w:rPr>
          <w:sz w:val="18"/>
          <w:szCs w:val="18"/>
        </w:rPr>
      </w:pPr>
    </w:p>
    <w:p w14:paraId="47463106" w14:textId="77777777" w:rsidR="00E22C28" w:rsidRPr="00D51176" w:rsidRDefault="00E22C28" w:rsidP="009E0DE8">
      <w:pPr>
        <w:pStyle w:val="Bezriadkovania"/>
        <w:jc w:val="center"/>
        <w:rPr>
          <w:b/>
        </w:rPr>
      </w:pPr>
      <w:r w:rsidRPr="00D51176">
        <w:rPr>
          <w:b/>
        </w:rPr>
        <w:t>SÚHRN CHARAKTERISTICKÝCH VLASTNOSTÍ LIEKU</w:t>
      </w:r>
    </w:p>
    <w:p w14:paraId="6AD38AD8" w14:textId="77777777" w:rsidR="003F1C41" w:rsidRPr="00D51176" w:rsidRDefault="003F1C41" w:rsidP="000E4AFD">
      <w:pPr>
        <w:pStyle w:val="Bezriadkovania"/>
      </w:pPr>
    </w:p>
    <w:p w14:paraId="50826E3D" w14:textId="77777777" w:rsidR="00D45592" w:rsidRPr="00D51176" w:rsidRDefault="00D45592" w:rsidP="000E4AFD">
      <w:pPr>
        <w:pStyle w:val="Bezriadkovania"/>
        <w:rPr>
          <w:b/>
        </w:rPr>
      </w:pPr>
      <w:r w:rsidRPr="00D51176">
        <w:rPr>
          <w:b/>
        </w:rPr>
        <w:t>1.</w:t>
      </w:r>
      <w:r w:rsidRPr="00D51176">
        <w:rPr>
          <w:b/>
        </w:rPr>
        <w:tab/>
      </w:r>
      <w:r w:rsidRPr="00D51176">
        <w:rPr>
          <w:b/>
          <w:noProof/>
        </w:rPr>
        <w:t>NÁZOV LIEKU</w:t>
      </w:r>
    </w:p>
    <w:p w14:paraId="36CBF80C" w14:textId="77777777" w:rsidR="00127D2D" w:rsidRPr="00D51176" w:rsidRDefault="00127D2D" w:rsidP="00673DE0"/>
    <w:p w14:paraId="49F7AEB0" w14:textId="77777777" w:rsidR="003F1C41" w:rsidRPr="00D51176" w:rsidRDefault="003F1C41" w:rsidP="00673DE0">
      <w:r w:rsidRPr="00D51176">
        <w:t xml:space="preserve">Pramipexol Teva </w:t>
      </w:r>
      <w:r w:rsidRPr="00D51176">
        <w:rPr>
          <w:rFonts w:eastAsia="Times New Roman"/>
          <w:lang w:eastAsia="en-US"/>
        </w:rPr>
        <w:t>Pharma</w:t>
      </w:r>
      <w:r w:rsidRPr="00D51176">
        <w:t xml:space="preserve"> 0</w:t>
      </w:r>
      <w:r w:rsidR="009E0DE8" w:rsidRPr="00D51176">
        <w:t>,</w:t>
      </w:r>
      <w:r w:rsidRPr="00D51176">
        <w:t>26</w:t>
      </w:r>
      <w:r w:rsidR="0090559C" w:rsidRPr="00D51176">
        <w:t xml:space="preserve"> </w:t>
      </w:r>
      <w:r w:rsidRPr="00D51176">
        <w:t>mg</w:t>
      </w:r>
      <w:r w:rsidR="00810B20" w:rsidRPr="00D51176">
        <w:t xml:space="preserve"> </w:t>
      </w:r>
    </w:p>
    <w:p w14:paraId="3DF576F8" w14:textId="77777777" w:rsidR="003F1C41" w:rsidRPr="00D51176" w:rsidRDefault="003F1C41" w:rsidP="00673DE0">
      <w:pPr>
        <w:tabs>
          <w:tab w:val="left" w:pos="7500"/>
        </w:tabs>
      </w:pPr>
      <w:r w:rsidRPr="00D51176">
        <w:rPr>
          <w:rFonts w:eastAsia="Times New Roman"/>
          <w:lang w:eastAsia="en-US"/>
        </w:rPr>
        <w:t>Pramipexol</w:t>
      </w:r>
      <w:r w:rsidRPr="00D51176">
        <w:t xml:space="preserve"> Teva Pharma 0</w:t>
      </w:r>
      <w:r w:rsidR="009E0DE8" w:rsidRPr="00D51176">
        <w:t>,</w:t>
      </w:r>
      <w:r w:rsidRPr="00D51176">
        <w:t>52</w:t>
      </w:r>
      <w:r w:rsidR="0090559C" w:rsidRPr="00D51176">
        <w:t xml:space="preserve"> </w:t>
      </w:r>
      <w:r w:rsidRPr="00D51176">
        <w:t>mg</w:t>
      </w:r>
    </w:p>
    <w:p w14:paraId="0CE1EA8E" w14:textId="77777777" w:rsidR="003F1C41" w:rsidRPr="00D51176" w:rsidRDefault="003F1C41" w:rsidP="00673DE0">
      <w:pPr>
        <w:tabs>
          <w:tab w:val="left" w:pos="7500"/>
        </w:tabs>
      </w:pPr>
      <w:r w:rsidRPr="00D51176">
        <w:rPr>
          <w:rFonts w:eastAsia="Times New Roman"/>
          <w:lang w:eastAsia="en-US"/>
        </w:rPr>
        <w:t>Pramipexol</w:t>
      </w:r>
      <w:r w:rsidRPr="00D51176">
        <w:t xml:space="preserve"> Teva Pharma 1</w:t>
      </w:r>
      <w:r w:rsidR="009E0DE8" w:rsidRPr="00D51176">
        <w:t>,</w:t>
      </w:r>
      <w:r w:rsidRPr="00D51176">
        <w:t>05</w:t>
      </w:r>
      <w:r w:rsidR="0090559C" w:rsidRPr="00D51176">
        <w:t xml:space="preserve"> </w:t>
      </w:r>
      <w:r w:rsidRPr="00D51176">
        <w:t>mg</w:t>
      </w:r>
    </w:p>
    <w:p w14:paraId="51EFF09F" w14:textId="77777777" w:rsidR="003F1C41" w:rsidRPr="00D51176" w:rsidRDefault="003F1C41" w:rsidP="00673DE0">
      <w:pPr>
        <w:tabs>
          <w:tab w:val="left" w:pos="7500"/>
        </w:tabs>
      </w:pPr>
      <w:r w:rsidRPr="00D51176">
        <w:rPr>
          <w:rFonts w:eastAsia="Times New Roman"/>
          <w:lang w:eastAsia="en-US"/>
        </w:rPr>
        <w:t>Pramipexol</w:t>
      </w:r>
      <w:r w:rsidRPr="00D51176">
        <w:t xml:space="preserve"> Teva Pharma 2</w:t>
      </w:r>
      <w:r w:rsidR="009E0DE8" w:rsidRPr="00D51176">
        <w:t>,</w:t>
      </w:r>
      <w:r w:rsidRPr="00D51176">
        <w:t>1</w:t>
      </w:r>
      <w:r w:rsidR="0090559C" w:rsidRPr="00D51176">
        <w:t xml:space="preserve"> </w:t>
      </w:r>
      <w:r w:rsidRPr="00D51176">
        <w:t>mg</w:t>
      </w:r>
    </w:p>
    <w:p w14:paraId="7CEEF5F3" w14:textId="77777777" w:rsidR="003F1C41" w:rsidRPr="00D51176" w:rsidRDefault="003F1C41" w:rsidP="00673DE0">
      <w:pPr>
        <w:tabs>
          <w:tab w:val="left" w:pos="7500"/>
        </w:tabs>
      </w:pPr>
      <w:r w:rsidRPr="00D51176">
        <w:rPr>
          <w:rFonts w:eastAsia="Times New Roman"/>
          <w:lang w:eastAsia="en-US"/>
        </w:rPr>
        <w:t>Pramipexol</w:t>
      </w:r>
      <w:r w:rsidRPr="00D51176">
        <w:t xml:space="preserve"> Teva Pharma 2</w:t>
      </w:r>
      <w:r w:rsidR="009E0DE8" w:rsidRPr="00D51176">
        <w:t>,</w:t>
      </w:r>
      <w:r w:rsidRPr="00D51176">
        <w:t>62</w:t>
      </w:r>
      <w:r w:rsidR="0090559C" w:rsidRPr="00D51176">
        <w:t xml:space="preserve"> </w:t>
      </w:r>
      <w:r w:rsidRPr="00D51176">
        <w:t xml:space="preserve">mg </w:t>
      </w:r>
    </w:p>
    <w:p w14:paraId="765E6495" w14:textId="77777777" w:rsidR="00DB2E41" w:rsidRPr="00D51176" w:rsidRDefault="001517DB" w:rsidP="00EC1424">
      <w:pPr>
        <w:widowControl w:val="0"/>
        <w:tabs>
          <w:tab w:val="left" w:pos="567"/>
        </w:tabs>
        <w:spacing w:line="260" w:lineRule="exact"/>
        <w:rPr>
          <w:rFonts w:eastAsia="Times New Roman"/>
          <w:szCs w:val="20"/>
          <w:lang w:eastAsia="en-US"/>
        </w:rPr>
      </w:pPr>
      <w:r w:rsidRPr="00D51176">
        <w:t>t</w:t>
      </w:r>
      <w:r w:rsidR="00DB2E41" w:rsidRPr="00D51176">
        <w:rPr>
          <w:rFonts w:eastAsia="Times New Roman"/>
          <w:szCs w:val="20"/>
          <w:lang w:eastAsia="en-US"/>
        </w:rPr>
        <w:t>ablety s predĺženým uvoľňovaním</w:t>
      </w:r>
    </w:p>
    <w:p w14:paraId="1E45AB55" w14:textId="77777777" w:rsidR="0086617E" w:rsidRPr="00D51176" w:rsidRDefault="0086617E" w:rsidP="00EC1424">
      <w:pPr>
        <w:widowControl w:val="0"/>
        <w:tabs>
          <w:tab w:val="left" w:pos="567"/>
        </w:tabs>
        <w:spacing w:line="260" w:lineRule="exact"/>
        <w:rPr>
          <w:rFonts w:eastAsia="Times New Roman"/>
          <w:b/>
          <w:szCs w:val="20"/>
          <w:lang w:eastAsia="en-US"/>
        </w:rPr>
      </w:pPr>
    </w:p>
    <w:p w14:paraId="71CA9173" w14:textId="77777777" w:rsidR="00EC1424" w:rsidRPr="00D51176" w:rsidRDefault="00EC1424" w:rsidP="00EC1424">
      <w:pPr>
        <w:widowControl w:val="0"/>
        <w:tabs>
          <w:tab w:val="left" w:pos="567"/>
        </w:tabs>
        <w:spacing w:line="260" w:lineRule="exact"/>
        <w:rPr>
          <w:rFonts w:eastAsia="Times New Roman"/>
          <w:b/>
          <w:szCs w:val="20"/>
          <w:lang w:eastAsia="en-US"/>
        </w:rPr>
      </w:pPr>
    </w:p>
    <w:p w14:paraId="033AE41D" w14:textId="77777777" w:rsidR="0086617E" w:rsidRPr="00D51176" w:rsidRDefault="0086617E" w:rsidP="000E4AFD">
      <w:pPr>
        <w:pStyle w:val="Bezriadkovania"/>
        <w:rPr>
          <w:b/>
          <w:noProof/>
        </w:rPr>
      </w:pPr>
      <w:r w:rsidRPr="00D51176">
        <w:rPr>
          <w:b/>
        </w:rPr>
        <w:t>2.</w:t>
      </w:r>
      <w:r w:rsidRPr="00D51176">
        <w:rPr>
          <w:b/>
        </w:rPr>
        <w:tab/>
      </w:r>
      <w:r w:rsidRPr="00D51176">
        <w:rPr>
          <w:b/>
          <w:noProof/>
        </w:rPr>
        <w:t>KVALITATÍVNE A KVANTITATÍVNE ZLOŽENIE</w:t>
      </w:r>
    </w:p>
    <w:p w14:paraId="054DDF6A" w14:textId="77777777" w:rsidR="001517DB" w:rsidRPr="00D51176" w:rsidRDefault="001517DB" w:rsidP="001517DB"/>
    <w:p w14:paraId="1780A5CD" w14:textId="77777777" w:rsidR="00246A69" w:rsidRPr="00D51176" w:rsidRDefault="00246A69" w:rsidP="001517DB">
      <w:pPr>
        <w:rPr>
          <w:u w:val="single"/>
        </w:rPr>
      </w:pPr>
      <w:r w:rsidRPr="00D51176">
        <w:rPr>
          <w:u w:val="single"/>
        </w:rPr>
        <w:t xml:space="preserve">Pramipexol Teva </w:t>
      </w:r>
      <w:r w:rsidRPr="00D51176">
        <w:rPr>
          <w:rFonts w:eastAsia="Times New Roman"/>
          <w:u w:val="single"/>
          <w:lang w:eastAsia="en-US"/>
        </w:rPr>
        <w:t>Pharma</w:t>
      </w:r>
      <w:r w:rsidRPr="00D51176">
        <w:rPr>
          <w:u w:val="single"/>
        </w:rPr>
        <w:t xml:space="preserve"> 0,26 mg</w:t>
      </w:r>
    </w:p>
    <w:p w14:paraId="3D656E19" w14:textId="621A7633" w:rsidR="0080284E" w:rsidRPr="00D51176" w:rsidRDefault="0086617E" w:rsidP="000E4AFD">
      <w:pPr>
        <w:pStyle w:val="Bezriadkovania"/>
      </w:pPr>
      <w:r w:rsidRPr="00D51176">
        <w:t>0,26</w:t>
      </w:r>
      <w:r w:rsidR="00A6661D" w:rsidRPr="00D51176">
        <w:t xml:space="preserve"> </w:t>
      </w:r>
      <w:r w:rsidR="009E4EE0" w:rsidRPr="00D51176">
        <w:t xml:space="preserve">mg: </w:t>
      </w:r>
      <w:r w:rsidRPr="00D51176">
        <w:t>každá tableta s predĺženým uvoľňovaním obsahuje</w:t>
      </w:r>
      <w:r w:rsidR="00763AFB" w:rsidRPr="00D51176">
        <w:t xml:space="preserve"> 0,</w:t>
      </w:r>
      <w:r w:rsidRPr="00D51176">
        <w:t>375 mg</w:t>
      </w:r>
      <w:r w:rsidRPr="00D51176">
        <w:rPr>
          <w:noProof/>
        </w:rPr>
        <w:t xml:space="preserve"> monohydrátu pramipexol</w:t>
      </w:r>
      <w:r w:rsidR="00AA3CF5">
        <w:rPr>
          <w:noProof/>
        </w:rPr>
        <w:t>ín</w:t>
      </w:r>
      <w:r w:rsidRPr="00D51176">
        <w:rPr>
          <w:noProof/>
        </w:rPr>
        <w:t>ium</w:t>
      </w:r>
      <w:r w:rsidR="00AA3CF5">
        <w:rPr>
          <w:noProof/>
        </w:rPr>
        <w:t>-</w:t>
      </w:r>
      <w:r w:rsidRPr="00D51176">
        <w:rPr>
          <w:noProof/>
        </w:rPr>
        <w:t>dichloridu,</w:t>
      </w:r>
      <w:r w:rsidRPr="00D51176">
        <w:t xml:space="preserve"> </w:t>
      </w:r>
      <w:r w:rsidRPr="00D51176">
        <w:rPr>
          <w:noProof/>
        </w:rPr>
        <w:t xml:space="preserve">čo zodpovedá </w:t>
      </w:r>
      <w:r w:rsidRPr="00D51176">
        <w:t>0,26</w:t>
      </w:r>
      <w:r w:rsidR="00763AFB" w:rsidRPr="00D51176">
        <w:t xml:space="preserve"> </w:t>
      </w:r>
      <w:r w:rsidRPr="00D51176">
        <w:t>mg pramipexolu.</w:t>
      </w:r>
    </w:p>
    <w:p w14:paraId="773D8E5B" w14:textId="77777777" w:rsidR="00246A69" w:rsidRPr="00D51176" w:rsidRDefault="00246A69" w:rsidP="00C26EE3"/>
    <w:p w14:paraId="0F8B3658" w14:textId="77777777" w:rsidR="00246A69" w:rsidRPr="00D51176" w:rsidRDefault="00246A69" w:rsidP="00C26EE3">
      <w:r w:rsidRPr="00D51176">
        <w:rPr>
          <w:u w:val="single"/>
        </w:rPr>
        <w:t xml:space="preserve">Pramipexol Teva </w:t>
      </w:r>
      <w:r w:rsidRPr="00D51176">
        <w:rPr>
          <w:rFonts w:eastAsia="Times New Roman"/>
          <w:u w:val="single"/>
          <w:lang w:eastAsia="en-US"/>
        </w:rPr>
        <w:t>Pharma</w:t>
      </w:r>
      <w:r w:rsidRPr="00D51176">
        <w:rPr>
          <w:u w:val="single"/>
        </w:rPr>
        <w:t xml:space="preserve"> 0,52 mg</w:t>
      </w:r>
    </w:p>
    <w:p w14:paraId="6AB0760E" w14:textId="5B8EC23C" w:rsidR="00763AFB" w:rsidRPr="00D51176" w:rsidRDefault="00763AFB" w:rsidP="000E4AFD">
      <w:pPr>
        <w:pStyle w:val="Bezriadkovania"/>
      </w:pPr>
      <w:r w:rsidRPr="00D51176">
        <w:t>0,52 mg</w:t>
      </w:r>
      <w:r w:rsidR="009E4EE0" w:rsidRPr="00D51176">
        <w:t>:</w:t>
      </w:r>
      <w:r w:rsidRPr="00D51176">
        <w:t xml:space="preserve"> každá tableta s predĺženým uvoľňovaním obsahuje </w:t>
      </w:r>
      <w:r w:rsidRPr="00D51176">
        <w:rPr>
          <w:lang w:eastAsia="es-ES"/>
        </w:rPr>
        <w:t>0,75 mg</w:t>
      </w:r>
      <w:r w:rsidRPr="00D51176">
        <w:rPr>
          <w:noProof/>
        </w:rPr>
        <w:t xml:space="preserve"> monohydrátu pramipexol</w:t>
      </w:r>
      <w:r w:rsidR="00F2440F">
        <w:rPr>
          <w:noProof/>
        </w:rPr>
        <w:t>ínium-</w:t>
      </w:r>
      <w:r w:rsidRPr="00D51176">
        <w:rPr>
          <w:noProof/>
        </w:rPr>
        <w:t>dichloridu,</w:t>
      </w:r>
      <w:r w:rsidRPr="00D51176">
        <w:t xml:space="preserve"> </w:t>
      </w:r>
      <w:r w:rsidRPr="00D51176">
        <w:rPr>
          <w:noProof/>
        </w:rPr>
        <w:t xml:space="preserve">čo zodpovedá </w:t>
      </w:r>
      <w:r w:rsidRPr="00D51176">
        <w:t xml:space="preserve"> </w:t>
      </w:r>
      <w:r w:rsidRPr="00D51176">
        <w:rPr>
          <w:lang w:eastAsia="es-ES"/>
        </w:rPr>
        <w:t>0</w:t>
      </w:r>
      <w:r w:rsidR="009E0DE8" w:rsidRPr="00D51176">
        <w:rPr>
          <w:lang w:eastAsia="es-ES"/>
        </w:rPr>
        <w:t>,</w:t>
      </w:r>
      <w:r w:rsidRPr="00D51176">
        <w:rPr>
          <w:lang w:eastAsia="es-ES"/>
        </w:rPr>
        <w:t>52 mg</w:t>
      </w:r>
      <w:r w:rsidRPr="00D51176">
        <w:t xml:space="preserve"> pramipexolu.</w:t>
      </w:r>
    </w:p>
    <w:p w14:paraId="0EADD7BF" w14:textId="77777777" w:rsidR="00246A69" w:rsidRPr="00D51176" w:rsidRDefault="00246A69" w:rsidP="000E4AFD">
      <w:pPr>
        <w:pStyle w:val="Bezriadkovania"/>
        <w:rPr>
          <w:highlight w:val="lightGray"/>
        </w:rPr>
      </w:pPr>
    </w:p>
    <w:p w14:paraId="3E3A7A00" w14:textId="77777777" w:rsidR="00246A69" w:rsidRPr="00D51176" w:rsidRDefault="00246A69" w:rsidP="000E4AFD">
      <w:pPr>
        <w:pStyle w:val="Bezriadkovania"/>
      </w:pPr>
      <w:r w:rsidRPr="00D51176">
        <w:rPr>
          <w:u w:val="single"/>
        </w:rPr>
        <w:t xml:space="preserve">Pramipexol Teva </w:t>
      </w:r>
      <w:r w:rsidRPr="00D51176">
        <w:rPr>
          <w:rFonts w:eastAsia="Times New Roman"/>
          <w:u w:val="single"/>
          <w:lang w:eastAsia="en-US"/>
        </w:rPr>
        <w:t>Pharma</w:t>
      </w:r>
      <w:r w:rsidRPr="00D51176">
        <w:rPr>
          <w:u w:val="single"/>
        </w:rPr>
        <w:t xml:space="preserve"> 1,05 mg</w:t>
      </w:r>
    </w:p>
    <w:p w14:paraId="64673401" w14:textId="0EBE6499" w:rsidR="002B1E8F" w:rsidRPr="00D51176" w:rsidRDefault="009E4EE0" w:rsidP="000E4AFD">
      <w:pPr>
        <w:pStyle w:val="Bezriadkovania"/>
      </w:pPr>
      <w:r w:rsidRPr="00D51176">
        <w:t xml:space="preserve">1,05 mg: </w:t>
      </w:r>
      <w:r w:rsidR="002B1E8F" w:rsidRPr="00D51176">
        <w:t xml:space="preserve">každá tableta s predĺženým uvoľnovaním obsahuje </w:t>
      </w:r>
      <w:r w:rsidR="008B552A" w:rsidRPr="00D51176">
        <w:rPr>
          <w:lang w:eastAsia="es-ES"/>
        </w:rPr>
        <w:t>1,5 mg</w:t>
      </w:r>
      <w:r w:rsidR="002B1E8F" w:rsidRPr="00D51176">
        <w:rPr>
          <w:noProof/>
        </w:rPr>
        <w:t xml:space="preserve"> monohydrátu </w:t>
      </w:r>
      <w:r w:rsidR="00F2440F" w:rsidRPr="00D51176">
        <w:rPr>
          <w:noProof/>
        </w:rPr>
        <w:t>pramipexol</w:t>
      </w:r>
      <w:r w:rsidR="00F2440F">
        <w:rPr>
          <w:noProof/>
        </w:rPr>
        <w:t>ínium-</w:t>
      </w:r>
      <w:r w:rsidR="002B1E8F" w:rsidRPr="00D51176">
        <w:rPr>
          <w:noProof/>
        </w:rPr>
        <w:t xml:space="preserve">dichloridu, čo zodpovedá 1,05 mg pramipexolu. </w:t>
      </w:r>
      <w:r w:rsidR="002B1E8F" w:rsidRPr="00D51176">
        <w:t xml:space="preserve"> </w:t>
      </w:r>
    </w:p>
    <w:p w14:paraId="6642FAAE" w14:textId="77777777" w:rsidR="00246A69" w:rsidRPr="00D51176" w:rsidRDefault="00246A69" w:rsidP="000E4AFD">
      <w:pPr>
        <w:pStyle w:val="Bezriadkovania"/>
        <w:rPr>
          <w:highlight w:val="lightGray"/>
        </w:rPr>
      </w:pPr>
    </w:p>
    <w:p w14:paraId="3297C9C4" w14:textId="77777777" w:rsidR="00246A69" w:rsidRPr="00D51176" w:rsidRDefault="00246A69" w:rsidP="000E4AFD">
      <w:pPr>
        <w:pStyle w:val="Bezriadkovania"/>
      </w:pPr>
      <w:r w:rsidRPr="00D51176">
        <w:rPr>
          <w:u w:val="single"/>
        </w:rPr>
        <w:t xml:space="preserve">Pramipexol Teva </w:t>
      </w:r>
      <w:r w:rsidRPr="00D51176">
        <w:rPr>
          <w:rFonts w:eastAsia="Times New Roman"/>
          <w:u w:val="single"/>
          <w:lang w:eastAsia="en-US"/>
        </w:rPr>
        <w:t>Pharma</w:t>
      </w:r>
      <w:r w:rsidRPr="00D51176">
        <w:rPr>
          <w:u w:val="single"/>
        </w:rPr>
        <w:t xml:space="preserve"> 2,1 mg</w:t>
      </w:r>
    </w:p>
    <w:p w14:paraId="051CCD63" w14:textId="77777777" w:rsidR="00F2440F" w:rsidRDefault="002B1E8F" w:rsidP="000E4AFD">
      <w:pPr>
        <w:pStyle w:val="Bezriadkovania"/>
        <w:rPr>
          <w:noProof/>
        </w:rPr>
      </w:pPr>
      <w:r w:rsidRPr="00D51176">
        <w:t>2</w:t>
      </w:r>
      <w:r w:rsidR="005136BB" w:rsidRPr="00D51176">
        <w:t>,</w:t>
      </w:r>
      <w:r w:rsidRPr="00D51176">
        <w:t>1</w:t>
      </w:r>
      <w:r w:rsidR="00A6661D" w:rsidRPr="00D51176">
        <w:t xml:space="preserve"> </w:t>
      </w:r>
      <w:r w:rsidRPr="00D51176">
        <w:t>mg</w:t>
      </w:r>
      <w:r w:rsidR="009E4EE0" w:rsidRPr="00D51176">
        <w:t xml:space="preserve">: </w:t>
      </w:r>
      <w:r w:rsidR="008B552A" w:rsidRPr="00D51176">
        <w:t xml:space="preserve">každá tableta s predĺženým uvoľnovaním obsahuje </w:t>
      </w:r>
      <w:r w:rsidR="005136BB" w:rsidRPr="00D51176">
        <w:t>3</w:t>
      </w:r>
      <w:r w:rsidR="008B552A" w:rsidRPr="00D51176">
        <w:t xml:space="preserve"> mg </w:t>
      </w:r>
      <w:r w:rsidR="005136BB" w:rsidRPr="00D51176">
        <w:rPr>
          <w:noProof/>
        </w:rPr>
        <w:t xml:space="preserve">monohydrátu </w:t>
      </w:r>
    </w:p>
    <w:p w14:paraId="042434E8" w14:textId="3925EB2B" w:rsidR="002B1E8F" w:rsidRPr="00D51176" w:rsidRDefault="00F2440F" w:rsidP="000E4AFD">
      <w:pPr>
        <w:pStyle w:val="Bezriadkovania"/>
      </w:pPr>
      <w:r w:rsidRPr="00D51176">
        <w:rPr>
          <w:noProof/>
        </w:rPr>
        <w:t>pramipexol</w:t>
      </w:r>
      <w:r>
        <w:rPr>
          <w:noProof/>
        </w:rPr>
        <w:t>ínium-</w:t>
      </w:r>
      <w:r w:rsidR="005136BB" w:rsidRPr="00D51176">
        <w:rPr>
          <w:noProof/>
        </w:rPr>
        <w:t>dichloridu,</w:t>
      </w:r>
      <w:r w:rsidR="005136BB" w:rsidRPr="00D51176">
        <w:t xml:space="preserve"> </w:t>
      </w:r>
      <w:r w:rsidR="005136BB" w:rsidRPr="00D51176">
        <w:rPr>
          <w:noProof/>
        </w:rPr>
        <w:t xml:space="preserve">čo zodpovedá 2,1 mg pramipexolu. </w:t>
      </w:r>
      <w:r w:rsidR="005136BB" w:rsidRPr="00D51176">
        <w:t xml:space="preserve"> </w:t>
      </w:r>
    </w:p>
    <w:p w14:paraId="7C0E4D71" w14:textId="77777777" w:rsidR="00246A69" w:rsidRPr="00D51176" w:rsidRDefault="00246A69" w:rsidP="000E4AFD">
      <w:pPr>
        <w:pStyle w:val="Bezriadkovania"/>
        <w:rPr>
          <w:highlight w:val="lightGray"/>
        </w:rPr>
      </w:pPr>
    </w:p>
    <w:p w14:paraId="4BBDEBD9" w14:textId="77777777" w:rsidR="00246A69" w:rsidRPr="00D51176" w:rsidRDefault="00246A69" w:rsidP="000E4AFD">
      <w:pPr>
        <w:pStyle w:val="Bezriadkovania"/>
      </w:pPr>
      <w:r w:rsidRPr="00D51176">
        <w:rPr>
          <w:u w:val="single"/>
        </w:rPr>
        <w:t xml:space="preserve">Pramipexol Teva </w:t>
      </w:r>
      <w:r w:rsidRPr="00D51176">
        <w:rPr>
          <w:rFonts w:eastAsia="Times New Roman"/>
          <w:u w:val="single"/>
          <w:lang w:eastAsia="en-US"/>
        </w:rPr>
        <w:t>Pharma</w:t>
      </w:r>
      <w:r w:rsidRPr="00D51176">
        <w:rPr>
          <w:u w:val="single"/>
        </w:rPr>
        <w:t xml:space="preserve"> 2,62 mg</w:t>
      </w:r>
    </w:p>
    <w:p w14:paraId="500DD127" w14:textId="7EBBA330" w:rsidR="002B1E8F" w:rsidRPr="00D51176" w:rsidRDefault="00241571" w:rsidP="000E4AFD">
      <w:pPr>
        <w:pStyle w:val="Bezriadkovania"/>
        <w:rPr>
          <w:lang w:eastAsia="es-ES"/>
        </w:rPr>
      </w:pPr>
      <w:r w:rsidRPr="00D51176">
        <w:t>2,</w:t>
      </w:r>
      <w:r w:rsidR="002B1E8F" w:rsidRPr="00D51176">
        <w:t>62</w:t>
      </w:r>
      <w:r w:rsidRPr="00D51176">
        <w:t xml:space="preserve"> </w:t>
      </w:r>
      <w:r w:rsidR="002B1E8F" w:rsidRPr="00D51176">
        <w:t>mg</w:t>
      </w:r>
      <w:r w:rsidR="009E4EE0" w:rsidRPr="00D51176">
        <w:t xml:space="preserve">: </w:t>
      </w:r>
      <w:r w:rsidRPr="00D51176">
        <w:t xml:space="preserve">každá tableta s predĺženým uvoľnovaním obsahuje </w:t>
      </w:r>
      <w:r w:rsidRPr="00D51176">
        <w:rPr>
          <w:lang w:eastAsia="es-ES"/>
        </w:rPr>
        <w:t>3,75 mg</w:t>
      </w:r>
      <w:r w:rsidRPr="00D51176">
        <w:rPr>
          <w:noProof/>
        </w:rPr>
        <w:t xml:space="preserve"> monohydrátu </w:t>
      </w:r>
      <w:r w:rsidR="00F2440F" w:rsidRPr="00D51176">
        <w:rPr>
          <w:noProof/>
        </w:rPr>
        <w:t>pramipexol</w:t>
      </w:r>
      <w:r w:rsidR="00F2440F">
        <w:rPr>
          <w:noProof/>
        </w:rPr>
        <w:t>ínium-</w:t>
      </w:r>
      <w:r w:rsidRPr="00D51176">
        <w:rPr>
          <w:noProof/>
        </w:rPr>
        <w:t>dichloridu,</w:t>
      </w:r>
      <w:r w:rsidRPr="00D51176">
        <w:t xml:space="preserve"> </w:t>
      </w:r>
      <w:r w:rsidRPr="00D51176">
        <w:rPr>
          <w:noProof/>
        </w:rPr>
        <w:t xml:space="preserve">čo zodpovedá </w:t>
      </w:r>
      <w:r w:rsidRPr="00D51176">
        <w:rPr>
          <w:lang w:eastAsia="es-ES"/>
        </w:rPr>
        <w:t>2,62 mg</w:t>
      </w:r>
      <w:r w:rsidRPr="00D51176">
        <w:rPr>
          <w:noProof/>
        </w:rPr>
        <w:t xml:space="preserve"> pramipexolu. </w:t>
      </w:r>
      <w:r w:rsidRPr="00D51176">
        <w:t xml:space="preserve"> </w:t>
      </w:r>
    </w:p>
    <w:p w14:paraId="3D1D9F88" w14:textId="77777777" w:rsidR="00542C37" w:rsidRPr="00C57895" w:rsidRDefault="00542C37" w:rsidP="001F56A6">
      <w:pPr>
        <w:autoSpaceDE w:val="0"/>
        <w:autoSpaceDN w:val="0"/>
        <w:adjustRightInd w:val="0"/>
        <w:rPr>
          <w:i/>
        </w:rPr>
      </w:pPr>
    </w:p>
    <w:p w14:paraId="347E007F" w14:textId="77777777" w:rsidR="006E7CA0" w:rsidRPr="000E61EB" w:rsidRDefault="00D549C4" w:rsidP="001F56A6">
      <w:pPr>
        <w:autoSpaceDE w:val="0"/>
        <w:autoSpaceDN w:val="0"/>
        <w:adjustRightInd w:val="0"/>
        <w:rPr>
          <w:rFonts w:eastAsia="Times New Roman"/>
          <w:i/>
        </w:rPr>
      </w:pPr>
      <w:r w:rsidRPr="00C57895">
        <w:rPr>
          <w:i/>
        </w:rPr>
        <w:t>Poznámka</w:t>
      </w:r>
      <w:r w:rsidRPr="00D51176">
        <w:rPr>
          <w:rFonts w:eastAsia="Times New Roman"/>
          <w:i/>
        </w:rPr>
        <w:t>:</w:t>
      </w:r>
    </w:p>
    <w:p w14:paraId="60E5C4AD" w14:textId="77777777" w:rsidR="00DB042F" w:rsidRPr="000E61EB" w:rsidRDefault="00D549C4" w:rsidP="001F56A6">
      <w:pPr>
        <w:autoSpaceDE w:val="0"/>
        <w:autoSpaceDN w:val="0"/>
        <w:adjustRightInd w:val="0"/>
        <w:rPr>
          <w:rFonts w:eastAsia="Times New Roman"/>
        </w:rPr>
      </w:pPr>
      <w:r w:rsidRPr="000E61EB">
        <w:rPr>
          <w:rFonts w:eastAsia="Times New Roman"/>
        </w:rPr>
        <w:t xml:space="preserve">Dávky </w:t>
      </w:r>
      <w:r w:rsidRPr="00C57895">
        <w:t>pramipexolu</w:t>
      </w:r>
      <w:r w:rsidRPr="00D51176">
        <w:rPr>
          <w:rFonts w:eastAsia="Times New Roman"/>
        </w:rPr>
        <w:t xml:space="preserve"> publikované v litera</w:t>
      </w:r>
      <w:r w:rsidR="00DB042F" w:rsidRPr="000E61EB">
        <w:rPr>
          <w:rFonts w:eastAsia="Times New Roman"/>
        </w:rPr>
        <w:t>túre sa vzťahujú na formu soli.</w:t>
      </w:r>
    </w:p>
    <w:p w14:paraId="69B7180E" w14:textId="77777777" w:rsidR="00DB042F" w:rsidRPr="000E61EB" w:rsidRDefault="00D549C4" w:rsidP="000E4AFD">
      <w:pPr>
        <w:pStyle w:val="Bezriadkovania"/>
        <w:rPr>
          <w:rFonts w:eastAsia="Times New Roman"/>
        </w:rPr>
      </w:pPr>
      <w:r w:rsidRPr="000E61EB">
        <w:rPr>
          <w:rFonts w:eastAsia="Times New Roman"/>
        </w:rPr>
        <w:t>Preto budú dávky vyjadrené tak pre bázu pramipexolu, ako aj pre </w:t>
      </w:r>
      <w:r w:rsidR="001F56A6" w:rsidRPr="000E61EB">
        <w:rPr>
          <w:rFonts w:eastAsia="Times New Roman"/>
        </w:rPr>
        <w:t>soľ pramipexolu (v zátvorkách).</w:t>
      </w:r>
    </w:p>
    <w:p w14:paraId="3022D0EA" w14:textId="77777777" w:rsidR="00460E38" w:rsidRPr="00C57895" w:rsidRDefault="00460E38" w:rsidP="009B1CFF">
      <w:pPr>
        <w:tabs>
          <w:tab w:val="left" w:pos="567"/>
        </w:tabs>
        <w:spacing w:line="260" w:lineRule="exact"/>
        <w:ind w:left="567" w:hanging="567"/>
      </w:pPr>
    </w:p>
    <w:p w14:paraId="42B57634" w14:textId="77777777" w:rsidR="009B7A9A" w:rsidRPr="00C57895" w:rsidRDefault="00D549C4" w:rsidP="009B1CFF">
      <w:pPr>
        <w:tabs>
          <w:tab w:val="left" w:pos="567"/>
        </w:tabs>
        <w:spacing w:line="260" w:lineRule="exact"/>
        <w:ind w:left="567" w:hanging="567"/>
      </w:pPr>
      <w:r w:rsidRPr="00C57895">
        <w:t>Úplný zoznam p</w:t>
      </w:r>
      <w:r w:rsidR="009B1CFF" w:rsidRPr="00C57895">
        <w:t xml:space="preserve">omocných látok, pozri </w:t>
      </w:r>
      <w:r w:rsidR="009B1CFF" w:rsidRPr="00C57895">
        <w:rPr>
          <w:rFonts w:hint="eastAsia"/>
        </w:rPr>
        <w:t>č</w:t>
      </w:r>
      <w:r w:rsidR="009B1CFF" w:rsidRPr="00C57895">
        <w:t>as</w:t>
      </w:r>
      <w:r w:rsidR="009B1CFF" w:rsidRPr="00C57895">
        <w:rPr>
          <w:rFonts w:hint="eastAsia"/>
        </w:rPr>
        <w:t>ť</w:t>
      </w:r>
      <w:r w:rsidR="009B1CFF" w:rsidRPr="00C57895">
        <w:t xml:space="preserve"> 6.1.</w:t>
      </w:r>
    </w:p>
    <w:p w14:paraId="46847086" w14:textId="77777777" w:rsidR="009B1CFF" w:rsidRPr="00C57895" w:rsidRDefault="009B1CFF" w:rsidP="009B1CFF">
      <w:pPr>
        <w:tabs>
          <w:tab w:val="left" w:pos="567"/>
        </w:tabs>
        <w:spacing w:line="260" w:lineRule="exact"/>
        <w:ind w:left="567" w:hanging="567"/>
      </w:pPr>
    </w:p>
    <w:p w14:paraId="61DD9108" w14:textId="77777777" w:rsidR="009A1ED4" w:rsidRPr="00C57895" w:rsidRDefault="009A1ED4" w:rsidP="009B1CFF">
      <w:pPr>
        <w:tabs>
          <w:tab w:val="left" w:pos="567"/>
        </w:tabs>
        <w:spacing w:line="260" w:lineRule="exact"/>
        <w:ind w:left="567" w:hanging="567"/>
      </w:pPr>
    </w:p>
    <w:p w14:paraId="0C11BD45" w14:textId="77777777" w:rsidR="009B7A9A" w:rsidRPr="000E61EB" w:rsidRDefault="009B7A9A" w:rsidP="009A1ED4">
      <w:pPr>
        <w:tabs>
          <w:tab w:val="left" w:pos="567"/>
        </w:tabs>
        <w:spacing w:line="260" w:lineRule="exact"/>
        <w:ind w:left="567" w:hanging="567"/>
        <w:rPr>
          <w:b/>
          <w:noProof/>
        </w:rPr>
      </w:pPr>
      <w:r w:rsidRPr="00C57895">
        <w:rPr>
          <w:b/>
        </w:rPr>
        <w:t>3.</w:t>
      </w:r>
      <w:r w:rsidRPr="00D51176">
        <w:rPr>
          <w:b/>
        </w:rPr>
        <w:tab/>
      </w:r>
      <w:r w:rsidRPr="000E61EB">
        <w:rPr>
          <w:b/>
          <w:noProof/>
        </w:rPr>
        <w:t>LIEKOVÁ FORMA</w:t>
      </w:r>
    </w:p>
    <w:p w14:paraId="1F96BFFC" w14:textId="77777777" w:rsidR="005F1CB4" w:rsidRPr="000E61EB" w:rsidRDefault="005F1CB4" w:rsidP="009A1ED4">
      <w:pPr>
        <w:tabs>
          <w:tab w:val="left" w:pos="567"/>
        </w:tabs>
        <w:spacing w:line="260" w:lineRule="exact"/>
        <w:ind w:left="567" w:hanging="567"/>
        <w:rPr>
          <w:b/>
        </w:rPr>
      </w:pPr>
    </w:p>
    <w:p w14:paraId="754FD7B2" w14:textId="77777777" w:rsidR="000F519B" w:rsidRPr="000E61EB" w:rsidRDefault="00510360" w:rsidP="000E4AFD">
      <w:pPr>
        <w:pStyle w:val="Bezriadkovania"/>
        <w:rPr>
          <w:rFonts w:eastAsia="Times New Roman"/>
        </w:rPr>
      </w:pPr>
      <w:r w:rsidRPr="000E61EB">
        <w:rPr>
          <w:rFonts w:eastAsia="Times New Roman"/>
        </w:rPr>
        <w:t>Ta</w:t>
      </w:r>
      <w:r w:rsidR="001F56A6" w:rsidRPr="000E61EB">
        <w:rPr>
          <w:rFonts w:eastAsia="Times New Roman"/>
        </w:rPr>
        <w:t>bleta s predĺženým uvoľnovaním.</w:t>
      </w:r>
    </w:p>
    <w:p w14:paraId="1312CDDD" w14:textId="77777777" w:rsidR="00E43A67" w:rsidRPr="000E61EB" w:rsidRDefault="00E43A67" w:rsidP="00E43A67"/>
    <w:p w14:paraId="5370570C" w14:textId="77777777" w:rsidR="00F05EB9" w:rsidRPr="000E61EB" w:rsidRDefault="00B27E94" w:rsidP="000E4AFD">
      <w:pPr>
        <w:pStyle w:val="Bezriadkovania"/>
        <w:rPr>
          <w:rFonts w:eastAsia="Times New Roman"/>
        </w:rPr>
      </w:pPr>
      <w:r w:rsidRPr="000E61EB">
        <w:rPr>
          <w:rFonts w:eastAsia="Times New Roman"/>
          <w:u w:val="single"/>
        </w:rPr>
        <w:t>Pramipexol Teva Pharma 0,</w:t>
      </w:r>
      <w:r w:rsidR="0080284E" w:rsidRPr="000E61EB">
        <w:rPr>
          <w:rFonts w:eastAsia="Times New Roman"/>
          <w:u w:val="single"/>
        </w:rPr>
        <w:t>26</w:t>
      </w:r>
      <w:r w:rsidR="00F05EB9" w:rsidRPr="000E61EB">
        <w:rPr>
          <w:rFonts w:eastAsia="Times New Roman"/>
          <w:u w:val="single"/>
        </w:rPr>
        <w:t> </w:t>
      </w:r>
      <w:r w:rsidR="0080284E" w:rsidRPr="000E61EB">
        <w:rPr>
          <w:rFonts w:eastAsia="Times New Roman"/>
          <w:u w:val="single"/>
        </w:rPr>
        <w:t>mg</w:t>
      </w:r>
    </w:p>
    <w:p w14:paraId="17C8574E" w14:textId="77777777" w:rsidR="0080284E" w:rsidRPr="000E61EB" w:rsidRDefault="00F05EB9" w:rsidP="000E4AFD">
      <w:pPr>
        <w:pStyle w:val="Bezriadkovania"/>
        <w:rPr>
          <w:rFonts w:eastAsia="Times New Roman"/>
        </w:rPr>
      </w:pPr>
      <w:r w:rsidRPr="000E61EB">
        <w:rPr>
          <w:rFonts w:eastAsia="Times New Roman"/>
        </w:rPr>
        <w:t>B</w:t>
      </w:r>
      <w:r w:rsidR="000F519B" w:rsidRPr="000E61EB">
        <w:rPr>
          <w:rFonts w:eastAsia="Times New Roman"/>
        </w:rPr>
        <w:t>iel</w:t>
      </w:r>
      <w:r w:rsidR="00E61EEE" w:rsidRPr="000E61EB">
        <w:rPr>
          <w:rFonts w:eastAsia="Times New Roman"/>
        </w:rPr>
        <w:t>e alebo takmer biele</w:t>
      </w:r>
      <w:r w:rsidR="000F519B" w:rsidRPr="000E61EB">
        <w:rPr>
          <w:rFonts w:eastAsia="Times New Roman"/>
        </w:rPr>
        <w:t xml:space="preserve">, </w:t>
      </w:r>
      <w:r w:rsidR="00E61EEE" w:rsidRPr="000E61EB">
        <w:rPr>
          <w:rFonts w:eastAsia="Times New Roman"/>
        </w:rPr>
        <w:t>okrúhle</w:t>
      </w:r>
      <w:r w:rsidR="000F519B" w:rsidRPr="000E61EB">
        <w:rPr>
          <w:rFonts w:eastAsia="Times New Roman"/>
        </w:rPr>
        <w:t>, ploch</w:t>
      </w:r>
      <w:r w:rsidR="00E61EEE" w:rsidRPr="000E61EB">
        <w:rPr>
          <w:rFonts w:eastAsia="Times New Roman"/>
        </w:rPr>
        <w:t>é</w:t>
      </w:r>
      <w:r w:rsidR="000F519B" w:rsidRPr="000E61EB">
        <w:rPr>
          <w:rFonts w:eastAsia="Times New Roman"/>
        </w:rPr>
        <w:t xml:space="preserve"> tablet</w:t>
      </w:r>
      <w:r w:rsidR="00E61EEE" w:rsidRPr="000E61EB">
        <w:rPr>
          <w:rFonts w:eastAsia="Times New Roman"/>
        </w:rPr>
        <w:t>y</w:t>
      </w:r>
      <w:r w:rsidR="000F519B" w:rsidRPr="000E61EB">
        <w:rPr>
          <w:rFonts w:eastAsia="Times New Roman"/>
        </w:rPr>
        <w:t xml:space="preserve"> so skosenými hranami s priemerom 9 mm a s označením 026 na jednej strane</w:t>
      </w:r>
      <w:r w:rsidR="00A47EAE" w:rsidRPr="000E61EB">
        <w:rPr>
          <w:rFonts w:eastAsia="Times New Roman"/>
        </w:rPr>
        <w:t>.</w:t>
      </w:r>
    </w:p>
    <w:p w14:paraId="7BCA0D0B" w14:textId="77777777" w:rsidR="00F05EB9" w:rsidRPr="000E61EB" w:rsidRDefault="00F05EB9" w:rsidP="000E4AFD">
      <w:pPr>
        <w:pStyle w:val="Bezriadkovania"/>
        <w:rPr>
          <w:rFonts w:eastAsia="Times New Roman"/>
        </w:rPr>
      </w:pPr>
    </w:p>
    <w:p w14:paraId="11636AAA" w14:textId="77777777" w:rsidR="00F05EB9" w:rsidRPr="000E61EB" w:rsidRDefault="00B27E94" w:rsidP="000E4AFD">
      <w:pPr>
        <w:pStyle w:val="Bezriadkovania"/>
        <w:rPr>
          <w:rFonts w:eastAsia="Times New Roman"/>
        </w:rPr>
      </w:pPr>
      <w:r w:rsidRPr="000E61EB">
        <w:rPr>
          <w:rFonts w:eastAsia="Times New Roman"/>
          <w:u w:val="single"/>
        </w:rPr>
        <w:t>Pramipexol Teva Pharma 0,</w:t>
      </w:r>
      <w:r w:rsidR="0080284E" w:rsidRPr="000E61EB">
        <w:rPr>
          <w:rFonts w:eastAsia="Times New Roman"/>
          <w:u w:val="single"/>
        </w:rPr>
        <w:t>52</w:t>
      </w:r>
      <w:r w:rsidR="00F05EB9" w:rsidRPr="000E61EB">
        <w:rPr>
          <w:rFonts w:eastAsia="Times New Roman"/>
          <w:u w:val="single"/>
        </w:rPr>
        <w:t> </w:t>
      </w:r>
      <w:r w:rsidR="0080284E" w:rsidRPr="000E61EB">
        <w:rPr>
          <w:rFonts w:eastAsia="Times New Roman"/>
          <w:u w:val="single"/>
        </w:rPr>
        <w:t>mg</w:t>
      </w:r>
    </w:p>
    <w:p w14:paraId="2DFFC56A" w14:textId="77777777" w:rsidR="0080284E" w:rsidRPr="000E61EB" w:rsidRDefault="00F05EB9" w:rsidP="000E4AFD">
      <w:pPr>
        <w:pStyle w:val="Bezriadkovania"/>
        <w:rPr>
          <w:rFonts w:eastAsia="Times New Roman"/>
        </w:rPr>
      </w:pPr>
      <w:r w:rsidRPr="000E61EB">
        <w:rPr>
          <w:rFonts w:eastAsia="Times New Roman"/>
        </w:rPr>
        <w:t>B</w:t>
      </w:r>
      <w:r w:rsidR="00E61EEE" w:rsidRPr="000E61EB">
        <w:rPr>
          <w:rFonts w:eastAsia="Times New Roman"/>
        </w:rPr>
        <w:t>iele alebo takmer biele</w:t>
      </w:r>
      <w:r w:rsidR="00B27E94" w:rsidRPr="000E61EB">
        <w:rPr>
          <w:rFonts w:eastAsia="Times New Roman"/>
        </w:rPr>
        <w:t xml:space="preserve">, </w:t>
      </w:r>
      <w:r w:rsidR="00E61EEE" w:rsidRPr="000E61EB">
        <w:rPr>
          <w:rFonts w:eastAsia="Times New Roman"/>
        </w:rPr>
        <w:t>okrúhle, bikonvexné tablety</w:t>
      </w:r>
      <w:r w:rsidR="00B27E94" w:rsidRPr="000E61EB">
        <w:rPr>
          <w:rFonts w:eastAsia="Times New Roman"/>
        </w:rPr>
        <w:t xml:space="preserve"> s priemerom 10 mm a s označením 052 na jednej strane.</w:t>
      </w:r>
    </w:p>
    <w:p w14:paraId="48453C30" w14:textId="77777777" w:rsidR="00F05EB9" w:rsidRPr="000E61EB" w:rsidRDefault="00F05EB9" w:rsidP="00C26EE3"/>
    <w:p w14:paraId="2322DE9F" w14:textId="77777777" w:rsidR="00F05EB9" w:rsidRPr="000E61EB" w:rsidRDefault="00CB44EA" w:rsidP="000E4AFD">
      <w:pPr>
        <w:pStyle w:val="Bezriadkovania"/>
        <w:rPr>
          <w:rFonts w:eastAsia="Times New Roman"/>
        </w:rPr>
      </w:pPr>
      <w:r w:rsidRPr="000E61EB">
        <w:rPr>
          <w:rFonts w:eastAsia="Times New Roman"/>
          <w:u w:val="single"/>
        </w:rPr>
        <w:lastRenderedPageBreak/>
        <w:t>Pramipexol Teva Pharma 1,</w:t>
      </w:r>
      <w:r w:rsidR="0080284E" w:rsidRPr="000E61EB">
        <w:rPr>
          <w:rFonts w:eastAsia="Times New Roman"/>
          <w:u w:val="single"/>
        </w:rPr>
        <w:t>05</w:t>
      </w:r>
      <w:r w:rsidRPr="000E61EB">
        <w:rPr>
          <w:rFonts w:eastAsia="Times New Roman"/>
          <w:u w:val="single"/>
        </w:rPr>
        <w:t xml:space="preserve"> </w:t>
      </w:r>
      <w:r w:rsidR="0080284E" w:rsidRPr="000E61EB">
        <w:rPr>
          <w:rFonts w:eastAsia="Times New Roman"/>
          <w:u w:val="single"/>
        </w:rPr>
        <w:t>mg</w:t>
      </w:r>
    </w:p>
    <w:p w14:paraId="0BC343CB" w14:textId="77777777" w:rsidR="0080284E" w:rsidRPr="000E61EB" w:rsidRDefault="00F05EB9" w:rsidP="000E4AFD">
      <w:pPr>
        <w:pStyle w:val="Bezriadkovania"/>
        <w:rPr>
          <w:rFonts w:eastAsia="Times New Roman"/>
        </w:rPr>
      </w:pPr>
      <w:r w:rsidRPr="000E61EB">
        <w:rPr>
          <w:rFonts w:eastAsia="Times New Roman"/>
        </w:rPr>
        <w:t>B</w:t>
      </w:r>
      <w:r w:rsidR="00E61EEE" w:rsidRPr="000E61EB">
        <w:rPr>
          <w:rFonts w:eastAsia="Times New Roman"/>
        </w:rPr>
        <w:t>iele alebo takmer biele, okrúhle, bikonvexné tablety s priemerom</w:t>
      </w:r>
      <w:r w:rsidR="00CB44EA" w:rsidRPr="000E61EB">
        <w:rPr>
          <w:rFonts w:eastAsia="Times New Roman"/>
        </w:rPr>
        <w:t xml:space="preserve"> 10 mm a s označením 105 na jednej strane.</w:t>
      </w:r>
    </w:p>
    <w:p w14:paraId="5D0C87E7" w14:textId="77777777" w:rsidR="00F05EB9" w:rsidRPr="000E61EB" w:rsidRDefault="00F05EB9" w:rsidP="000E4AFD">
      <w:pPr>
        <w:pStyle w:val="Bezriadkovania"/>
        <w:rPr>
          <w:rFonts w:eastAsia="Times New Roman"/>
        </w:rPr>
      </w:pPr>
    </w:p>
    <w:p w14:paraId="44C69BDC" w14:textId="77777777" w:rsidR="00F05EB9" w:rsidRPr="000E61EB" w:rsidRDefault="0080284E" w:rsidP="000E4AFD">
      <w:pPr>
        <w:pStyle w:val="Bezriadkovania"/>
        <w:rPr>
          <w:rFonts w:eastAsia="Times New Roman"/>
        </w:rPr>
      </w:pPr>
      <w:r w:rsidRPr="000E61EB">
        <w:rPr>
          <w:rFonts w:eastAsia="Times New Roman"/>
          <w:u w:val="single"/>
        </w:rPr>
        <w:t>Pramipexol Teva Pharma 2</w:t>
      </w:r>
      <w:r w:rsidR="009641F8" w:rsidRPr="000E61EB">
        <w:rPr>
          <w:rFonts w:eastAsia="Times New Roman"/>
          <w:u w:val="single"/>
        </w:rPr>
        <w:t>,</w:t>
      </w:r>
      <w:r w:rsidRPr="000E61EB">
        <w:rPr>
          <w:rFonts w:eastAsia="Times New Roman"/>
          <w:u w:val="single"/>
        </w:rPr>
        <w:t>1</w:t>
      </w:r>
      <w:r w:rsidR="00F05EB9" w:rsidRPr="000E61EB">
        <w:rPr>
          <w:rFonts w:eastAsia="Times New Roman"/>
          <w:u w:val="single"/>
        </w:rPr>
        <w:t> </w:t>
      </w:r>
      <w:r w:rsidRPr="000E61EB">
        <w:rPr>
          <w:rFonts w:eastAsia="Times New Roman"/>
          <w:u w:val="single"/>
        </w:rPr>
        <w:t>mg</w:t>
      </w:r>
    </w:p>
    <w:p w14:paraId="125612D4" w14:textId="77777777" w:rsidR="0080284E" w:rsidRPr="000E61EB" w:rsidRDefault="00F05EB9" w:rsidP="000E4AFD">
      <w:pPr>
        <w:pStyle w:val="Bezriadkovania"/>
        <w:rPr>
          <w:rFonts w:eastAsia="Times New Roman"/>
        </w:rPr>
      </w:pPr>
      <w:r w:rsidRPr="000E61EB">
        <w:rPr>
          <w:rFonts w:eastAsia="Times New Roman"/>
        </w:rPr>
        <w:t>B</w:t>
      </w:r>
      <w:r w:rsidR="00E61EEE" w:rsidRPr="000E61EB">
        <w:rPr>
          <w:rFonts w:eastAsia="Times New Roman"/>
        </w:rPr>
        <w:t>iele alebo takmer biele, okrúhle, bikonvexné tablety s priemerom</w:t>
      </w:r>
      <w:r w:rsidR="009641F8" w:rsidRPr="000E61EB">
        <w:rPr>
          <w:rFonts w:eastAsia="Times New Roman"/>
        </w:rPr>
        <w:t xml:space="preserve"> 10 mm a s označením 210 na jednej strane</w:t>
      </w:r>
      <w:r w:rsidR="009E0DE8" w:rsidRPr="000E61EB">
        <w:rPr>
          <w:rFonts w:eastAsia="Times New Roman"/>
        </w:rPr>
        <w:t>.</w:t>
      </w:r>
    </w:p>
    <w:p w14:paraId="0B1D0292" w14:textId="77777777" w:rsidR="00F05EB9" w:rsidRPr="000E61EB" w:rsidRDefault="00F05EB9" w:rsidP="000E4AFD">
      <w:pPr>
        <w:pStyle w:val="Bezriadkovania"/>
        <w:rPr>
          <w:rFonts w:eastAsia="Times New Roman"/>
        </w:rPr>
      </w:pPr>
    </w:p>
    <w:p w14:paraId="72F84D50" w14:textId="77777777" w:rsidR="00F05EB9" w:rsidRPr="000E61EB" w:rsidRDefault="0080284E" w:rsidP="000E4AFD">
      <w:pPr>
        <w:pStyle w:val="Bezriadkovania"/>
        <w:rPr>
          <w:rFonts w:eastAsia="Times New Roman"/>
        </w:rPr>
      </w:pPr>
      <w:r w:rsidRPr="000E61EB">
        <w:rPr>
          <w:rFonts w:eastAsia="Times New Roman"/>
          <w:u w:val="single"/>
        </w:rPr>
        <w:t>Pramipexol Teva Pharma 2</w:t>
      </w:r>
      <w:r w:rsidR="009E0DE8" w:rsidRPr="000E61EB">
        <w:rPr>
          <w:rFonts w:eastAsia="Times New Roman"/>
          <w:u w:val="single"/>
        </w:rPr>
        <w:t>,</w:t>
      </w:r>
      <w:r w:rsidRPr="000E61EB">
        <w:rPr>
          <w:rFonts w:eastAsia="Times New Roman"/>
          <w:u w:val="single"/>
        </w:rPr>
        <w:t>62</w:t>
      </w:r>
      <w:r w:rsidR="00F05EB9" w:rsidRPr="000E61EB">
        <w:rPr>
          <w:rFonts w:eastAsia="Times New Roman"/>
          <w:u w:val="single"/>
        </w:rPr>
        <w:t> </w:t>
      </w:r>
      <w:r w:rsidRPr="000E61EB">
        <w:rPr>
          <w:rFonts w:eastAsia="Times New Roman"/>
          <w:u w:val="single"/>
        </w:rPr>
        <w:t>mg</w:t>
      </w:r>
    </w:p>
    <w:p w14:paraId="3ABAF1B2" w14:textId="77777777" w:rsidR="0080284E" w:rsidRPr="000E61EB" w:rsidRDefault="00F05EB9" w:rsidP="000E4AFD">
      <w:pPr>
        <w:pStyle w:val="Bezriadkovania"/>
        <w:rPr>
          <w:rFonts w:eastAsia="Times New Roman"/>
        </w:rPr>
      </w:pPr>
      <w:r w:rsidRPr="000E61EB">
        <w:rPr>
          <w:rFonts w:eastAsia="Times New Roman"/>
        </w:rPr>
        <w:t>B</w:t>
      </w:r>
      <w:r w:rsidR="00E61EEE" w:rsidRPr="000E61EB">
        <w:rPr>
          <w:rFonts w:eastAsia="Times New Roman"/>
        </w:rPr>
        <w:t>iele alebo takmer biele, okrúhle, bikonvexné tablety s priemerom</w:t>
      </w:r>
      <w:r w:rsidR="008D0FD8" w:rsidRPr="000E61EB">
        <w:rPr>
          <w:rFonts w:eastAsia="Times New Roman"/>
        </w:rPr>
        <w:t xml:space="preserve"> 10 mm a s označením 262 na jednej strane</w:t>
      </w:r>
      <w:r w:rsidR="009E0DE8" w:rsidRPr="000E61EB">
        <w:rPr>
          <w:rFonts w:eastAsia="Times New Roman"/>
        </w:rPr>
        <w:t>.</w:t>
      </w:r>
    </w:p>
    <w:p w14:paraId="30D7086A" w14:textId="77777777" w:rsidR="002129EE" w:rsidRPr="000E61EB" w:rsidRDefault="002129EE" w:rsidP="005F1CB4">
      <w:pPr>
        <w:tabs>
          <w:tab w:val="left" w:pos="567"/>
        </w:tabs>
        <w:spacing w:line="260" w:lineRule="exact"/>
        <w:rPr>
          <w:rFonts w:eastAsia="Times New Roman"/>
          <w:b/>
          <w:szCs w:val="20"/>
          <w:highlight w:val="lightGray"/>
          <w:lang w:eastAsia="en-US"/>
        </w:rPr>
      </w:pPr>
    </w:p>
    <w:p w14:paraId="446AA0AD" w14:textId="77777777" w:rsidR="005F1CB4" w:rsidRPr="000E61EB" w:rsidRDefault="005F1CB4" w:rsidP="005F1CB4">
      <w:pPr>
        <w:tabs>
          <w:tab w:val="left" w:pos="567"/>
        </w:tabs>
        <w:spacing w:line="260" w:lineRule="exact"/>
        <w:rPr>
          <w:rFonts w:eastAsia="Times New Roman"/>
          <w:b/>
          <w:szCs w:val="20"/>
          <w:highlight w:val="lightGray"/>
          <w:lang w:eastAsia="en-US"/>
        </w:rPr>
      </w:pPr>
    </w:p>
    <w:p w14:paraId="49A2E257" w14:textId="77777777" w:rsidR="00DA1C3D" w:rsidRPr="000E61EB" w:rsidRDefault="002129EE" w:rsidP="000E4AFD">
      <w:pPr>
        <w:pStyle w:val="Bezriadkovania"/>
        <w:rPr>
          <w:b/>
          <w:caps/>
          <w:noProof/>
        </w:rPr>
      </w:pPr>
      <w:r w:rsidRPr="000E61EB">
        <w:rPr>
          <w:b/>
        </w:rPr>
        <w:t>4.</w:t>
      </w:r>
      <w:r w:rsidRPr="000E61EB">
        <w:rPr>
          <w:b/>
        </w:rPr>
        <w:tab/>
      </w:r>
      <w:r w:rsidRPr="000E61EB">
        <w:rPr>
          <w:b/>
          <w:caps/>
          <w:noProof/>
        </w:rPr>
        <w:t>KLINICKÉ ÚDAJE</w:t>
      </w:r>
    </w:p>
    <w:p w14:paraId="08D2071D" w14:textId="77777777" w:rsidR="00107BE0" w:rsidRPr="000E61EB" w:rsidRDefault="00107BE0" w:rsidP="000E4AFD">
      <w:pPr>
        <w:pStyle w:val="Bezriadkovania"/>
        <w:rPr>
          <w:b/>
          <w:bCs/>
        </w:rPr>
      </w:pPr>
    </w:p>
    <w:p w14:paraId="7C679F66" w14:textId="77777777" w:rsidR="00DA1C3D" w:rsidRPr="000E61EB" w:rsidRDefault="002129EE" w:rsidP="000E4AFD">
      <w:pPr>
        <w:pStyle w:val="Bezriadkovania"/>
        <w:rPr>
          <w:b/>
          <w:bCs/>
          <w:noProof/>
        </w:rPr>
      </w:pPr>
      <w:r w:rsidRPr="000E61EB">
        <w:rPr>
          <w:b/>
          <w:bCs/>
        </w:rPr>
        <w:t>4.1</w:t>
      </w:r>
      <w:r w:rsidRPr="000E61EB">
        <w:rPr>
          <w:b/>
          <w:bCs/>
        </w:rPr>
        <w:tab/>
      </w:r>
      <w:r w:rsidRPr="000E61EB">
        <w:rPr>
          <w:b/>
          <w:bCs/>
          <w:noProof/>
        </w:rPr>
        <w:t>Terapeutické indikácie</w:t>
      </w:r>
    </w:p>
    <w:p w14:paraId="2E5B1147" w14:textId="77777777" w:rsidR="005E17EF" w:rsidRPr="000E61EB" w:rsidRDefault="005E17EF" w:rsidP="0094551D">
      <w:pPr>
        <w:tabs>
          <w:tab w:val="left" w:pos="567"/>
        </w:tabs>
        <w:spacing w:line="260" w:lineRule="exact"/>
        <w:rPr>
          <w:rFonts w:eastAsia="Times New Roman"/>
        </w:rPr>
      </w:pPr>
    </w:p>
    <w:p w14:paraId="76B2A921" w14:textId="24D16902" w:rsidR="00DA238C" w:rsidRPr="000E61EB" w:rsidRDefault="00DA238C" w:rsidP="0094551D">
      <w:pPr>
        <w:tabs>
          <w:tab w:val="left" w:pos="567"/>
        </w:tabs>
        <w:spacing w:line="260" w:lineRule="exact"/>
        <w:rPr>
          <w:rFonts w:eastAsia="Times New Roman"/>
          <w:szCs w:val="20"/>
          <w:lang w:eastAsia="en-US"/>
        </w:rPr>
      </w:pPr>
      <w:r w:rsidRPr="000E61EB">
        <w:rPr>
          <w:rFonts w:eastAsia="Times New Roman"/>
        </w:rPr>
        <w:t>Pramipexol Teva Pharma</w:t>
      </w:r>
      <w:r w:rsidR="001B57BB" w:rsidRPr="000E61EB">
        <w:t xml:space="preserve"> je indikovaný dospelý</w:t>
      </w:r>
      <w:r w:rsidR="00A43E24" w:rsidRPr="000E61EB">
        <w:t>m</w:t>
      </w:r>
      <w:r w:rsidR="001B57BB" w:rsidRPr="000E61EB">
        <w:t xml:space="preserve"> na liečbu </w:t>
      </w:r>
      <w:r w:rsidR="001671FC" w:rsidRPr="000E61EB">
        <w:t>subjektívnych a objekti</w:t>
      </w:r>
      <w:r w:rsidR="00CC428E" w:rsidRPr="000E61EB">
        <w:t>v</w:t>
      </w:r>
      <w:r w:rsidR="001671FC" w:rsidRPr="000E61EB">
        <w:t>ných</w:t>
      </w:r>
      <w:r w:rsidR="001B57BB" w:rsidRPr="000E61EB">
        <w:t xml:space="preserve"> príznakov idiopatickej Parkinsonovej choroby, a to v monoterapii (bez levodopy) alebo v kombinácii s levodopou, t.j. v priebehu ochorenia, až do neskorých štádií, keď sa účinok levodopy skracuje alebo sa stáva neúplným </w:t>
      </w:r>
      <w:r w:rsidR="001B57BB" w:rsidRPr="000E61EB">
        <w:rPr>
          <w:rFonts w:eastAsia="Times New Roman"/>
          <w:szCs w:val="20"/>
          <w:lang w:eastAsia="en-US"/>
        </w:rPr>
        <w:t>a keď dochádza k </w:t>
      </w:r>
      <w:r w:rsidR="00C22502" w:rsidRPr="000E61EB">
        <w:t>výkyvom</w:t>
      </w:r>
      <w:r w:rsidR="001B57BB" w:rsidRPr="000E61EB">
        <w:rPr>
          <w:rFonts w:eastAsia="Times New Roman"/>
          <w:szCs w:val="20"/>
          <w:lang w:eastAsia="en-US"/>
        </w:rPr>
        <w:t xml:space="preserve"> terapeutického účinku (</w:t>
      </w:r>
      <w:r w:rsidR="00C22502" w:rsidRPr="000E61EB">
        <w:t>dosiahnutie hornej hranice dávky</w:t>
      </w:r>
      <w:r w:rsidR="00C22502" w:rsidRPr="000E61EB" w:rsidDel="00C22502">
        <w:rPr>
          <w:rFonts w:eastAsia="Times New Roman"/>
          <w:szCs w:val="20"/>
          <w:lang w:eastAsia="en-US"/>
        </w:rPr>
        <w:t xml:space="preserve"> </w:t>
      </w:r>
      <w:r w:rsidR="001B57BB" w:rsidRPr="000E61EB">
        <w:rPr>
          <w:rFonts w:eastAsia="Times New Roman"/>
          <w:szCs w:val="20"/>
          <w:lang w:eastAsia="en-US"/>
        </w:rPr>
        <w:t>alebo typu „on-off“).</w:t>
      </w:r>
    </w:p>
    <w:p w14:paraId="3F0F5D1C" w14:textId="77777777" w:rsidR="0094551D" w:rsidRPr="000E61EB" w:rsidRDefault="0094551D" w:rsidP="0094551D">
      <w:pPr>
        <w:tabs>
          <w:tab w:val="left" w:pos="567"/>
        </w:tabs>
        <w:spacing w:line="260" w:lineRule="exact"/>
        <w:rPr>
          <w:rFonts w:eastAsia="Times New Roman"/>
          <w:szCs w:val="20"/>
          <w:highlight w:val="lightGray"/>
          <w:lang w:eastAsia="en-US"/>
        </w:rPr>
      </w:pPr>
    </w:p>
    <w:p w14:paraId="4B73DA68" w14:textId="77777777" w:rsidR="00DA1C3D" w:rsidRPr="000E61EB" w:rsidRDefault="00770C1A" w:rsidP="000E4AFD">
      <w:pPr>
        <w:pStyle w:val="Bezriadkovania"/>
        <w:rPr>
          <w:b/>
          <w:noProof/>
        </w:rPr>
      </w:pPr>
      <w:r w:rsidRPr="000E61EB">
        <w:rPr>
          <w:b/>
        </w:rPr>
        <w:t>4.2</w:t>
      </w:r>
      <w:r w:rsidRPr="000E61EB">
        <w:rPr>
          <w:b/>
        </w:rPr>
        <w:tab/>
      </w:r>
      <w:r w:rsidRPr="000E61EB">
        <w:rPr>
          <w:b/>
          <w:noProof/>
        </w:rPr>
        <w:t>Dávkovanie a spôsob podávania</w:t>
      </w:r>
    </w:p>
    <w:p w14:paraId="368E9C73" w14:textId="77777777" w:rsidR="00107BE0" w:rsidRPr="000E61EB" w:rsidRDefault="00107BE0" w:rsidP="001A7D9C">
      <w:pPr>
        <w:tabs>
          <w:tab w:val="left" w:pos="567"/>
        </w:tabs>
        <w:spacing w:line="260" w:lineRule="exact"/>
        <w:contextualSpacing/>
        <w:rPr>
          <w:rFonts w:eastAsia="Times New Roman"/>
          <w:szCs w:val="20"/>
          <w:lang w:eastAsia="en-US"/>
        </w:rPr>
      </w:pPr>
    </w:p>
    <w:p w14:paraId="1814CB5C" w14:textId="77777777" w:rsidR="00F05EB9" w:rsidRPr="000E61EB" w:rsidRDefault="00F05EB9" w:rsidP="001A7D9C">
      <w:pPr>
        <w:tabs>
          <w:tab w:val="left" w:pos="567"/>
        </w:tabs>
        <w:spacing w:line="260" w:lineRule="exact"/>
        <w:contextualSpacing/>
        <w:rPr>
          <w:rFonts w:eastAsia="Times New Roman"/>
          <w:szCs w:val="20"/>
          <w:u w:val="single"/>
          <w:lang w:eastAsia="en-US"/>
        </w:rPr>
      </w:pPr>
      <w:r w:rsidRPr="000E61EB">
        <w:rPr>
          <w:rFonts w:eastAsia="Times New Roman"/>
          <w:szCs w:val="20"/>
          <w:u w:val="single"/>
          <w:lang w:eastAsia="en-US"/>
        </w:rPr>
        <w:t>Dávkovanie</w:t>
      </w:r>
    </w:p>
    <w:p w14:paraId="70CA4B41" w14:textId="77777777" w:rsidR="00F05EB9" w:rsidRPr="000E61EB" w:rsidRDefault="00F05EB9" w:rsidP="001A7D9C">
      <w:pPr>
        <w:tabs>
          <w:tab w:val="left" w:pos="567"/>
        </w:tabs>
        <w:spacing w:line="260" w:lineRule="exact"/>
        <w:contextualSpacing/>
        <w:rPr>
          <w:rFonts w:eastAsia="Times New Roman"/>
          <w:szCs w:val="20"/>
          <w:lang w:eastAsia="en-US"/>
        </w:rPr>
      </w:pPr>
    </w:p>
    <w:p w14:paraId="1BB5FDB8" w14:textId="77777777" w:rsidR="000B2022" w:rsidRPr="000E61EB" w:rsidRDefault="00770C1A" w:rsidP="001A7D9C">
      <w:pPr>
        <w:tabs>
          <w:tab w:val="left" w:pos="567"/>
        </w:tabs>
        <w:spacing w:line="260" w:lineRule="exact"/>
        <w:contextualSpacing/>
        <w:rPr>
          <w:rFonts w:eastAsia="Times New Roman"/>
          <w:szCs w:val="20"/>
          <w:lang w:eastAsia="en-US"/>
        </w:rPr>
      </w:pPr>
      <w:r w:rsidRPr="000E61EB">
        <w:rPr>
          <w:rFonts w:eastAsia="Times New Roman"/>
          <w:szCs w:val="20"/>
          <w:lang w:eastAsia="en-US"/>
        </w:rPr>
        <w:t>Pramipexol Teva Pharma tablety s predĺženým uvoľňovaním</w:t>
      </w:r>
      <w:r w:rsidR="00DA1C3D" w:rsidRPr="000E61EB">
        <w:rPr>
          <w:rFonts w:eastAsia="Times New Roman"/>
          <w:szCs w:val="20"/>
          <w:lang w:eastAsia="en-US"/>
        </w:rPr>
        <w:t xml:space="preserve"> predstavujú perorálnu formu pramipexolu, ktorá sa podáva </w:t>
      </w:r>
      <w:r w:rsidR="009F5A82" w:rsidRPr="000E61EB">
        <w:rPr>
          <w:rFonts w:eastAsia="Times New Roman"/>
          <w:szCs w:val="20"/>
          <w:lang w:eastAsia="en-US"/>
        </w:rPr>
        <w:t>jed</w:t>
      </w:r>
      <w:r w:rsidR="001B08A8" w:rsidRPr="000E61EB">
        <w:rPr>
          <w:rFonts w:eastAsia="Times New Roman"/>
          <w:szCs w:val="20"/>
          <w:lang w:eastAsia="en-US"/>
        </w:rPr>
        <w:t>e</w:t>
      </w:r>
      <w:r w:rsidR="009F5A82" w:rsidRPr="000E61EB">
        <w:rPr>
          <w:rFonts w:eastAsia="Times New Roman"/>
          <w:szCs w:val="20"/>
          <w:lang w:eastAsia="en-US"/>
        </w:rPr>
        <w:t>nkrát denne.</w:t>
      </w:r>
    </w:p>
    <w:p w14:paraId="2FD32E1F" w14:textId="77777777" w:rsidR="00D32255" w:rsidRPr="000E61EB" w:rsidRDefault="00D32255" w:rsidP="001A7D9C">
      <w:pPr>
        <w:tabs>
          <w:tab w:val="left" w:pos="567"/>
        </w:tabs>
        <w:spacing w:line="260" w:lineRule="exact"/>
        <w:contextualSpacing/>
        <w:rPr>
          <w:rFonts w:eastAsia="Times New Roman"/>
          <w:i/>
          <w:szCs w:val="20"/>
          <w:lang w:eastAsia="en-US"/>
        </w:rPr>
      </w:pPr>
    </w:p>
    <w:p w14:paraId="539D3087" w14:textId="77777777" w:rsidR="001A7D9C" w:rsidRPr="000E61EB" w:rsidRDefault="001A7D9C" w:rsidP="001A7D9C">
      <w:pPr>
        <w:contextualSpacing/>
        <w:rPr>
          <w:rFonts w:eastAsia="Times New Roman"/>
          <w:i/>
          <w:szCs w:val="20"/>
          <w:u w:val="single"/>
          <w:lang w:eastAsia="en-US"/>
        </w:rPr>
      </w:pPr>
      <w:r w:rsidRPr="000E61EB">
        <w:rPr>
          <w:rFonts w:eastAsia="Times New Roman"/>
          <w:i/>
          <w:szCs w:val="20"/>
          <w:u w:val="single"/>
          <w:lang w:eastAsia="en-US"/>
        </w:rPr>
        <w:t>Začiatok liečby</w:t>
      </w:r>
    </w:p>
    <w:p w14:paraId="505BA001" w14:textId="77777777" w:rsidR="00F54A9F" w:rsidRPr="000E61EB" w:rsidRDefault="00F54A9F" w:rsidP="001A7D9C">
      <w:pPr>
        <w:spacing w:after="200"/>
        <w:contextualSpacing/>
        <w:rPr>
          <w:rFonts w:eastAsia="Times New Roman"/>
          <w:spacing w:val="-1"/>
          <w:lang w:eastAsia="en-US"/>
        </w:rPr>
      </w:pPr>
      <w:r w:rsidRPr="000E61EB">
        <w:rPr>
          <w:rFonts w:eastAsia="Times New Roman"/>
          <w:szCs w:val="20"/>
          <w:lang w:eastAsia="en-US"/>
        </w:rPr>
        <w:t xml:space="preserve">Dávky sa majú zvyšovať postupne, a to od počiatočnej dávky 0,26 mg bázy (0,375 mg soli) denne, ktorá sa </w:t>
      </w:r>
      <w:r w:rsidRPr="000E61EB">
        <w:rPr>
          <w:rFonts w:eastAsia="Times New Roman"/>
          <w:spacing w:val="-1"/>
          <w:lang w:eastAsia="en-US"/>
        </w:rPr>
        <w:t>n</w:t>
      </w:r>
      <w:r w:rsidRPr="000E61EB">
        <w:rPr>
          <w:rFonts w:eastAsia="Times New Roman"/>
          <w:szCs w:val="20"/>
          <w:lang w:eastAsia="en-US"/>
        </w:rPr>
        <w:t>á</w:t>
      </w:r>
      <w:r w:rsidRPr="000E61EB">
        <w:rPr>
          <w:rFonts w:eastAsia="Times New Roman"/>
        </w:rPr>
        <w:t xml:space="preserve">sledne zvyšuje raz za 5 až 7 dní. Pokiaľ sa u pacientov nevyskytnú </w:t>
      </w:r>
      <w:r w:rsidR="00202F23" w:rsidRPr="000E61EB">
        <w:rPr>
          <w:spacing w:val="-1"/>
        </w:rPr>
        <w:t>netolerovateľné</w:t>
      </w:r>
      <w:r w:rsidR="00202F23" w:rsidRPr="000E61EB">
        <w:t xml:space="preserve"> </w:t>
      </w:r>
      <w:r w:rsidRPr="000E61EB">
        <w:rPr>
          <w:rFonts w:eastAsia="Times New Roman"/>
        </w:rPr>
        <w:t xml:space="preserve">nežiaduce účinky, dávka sa </w:t>
      </w:r>
      <w:r w:rsidRPr="000E61EB">
        <w:rPr>
          <w:rFonts w:eastAsia="Times New Roman"/>
          <w:szCs w:val="20"/>
          <w:lang w:eastAsia="en-US"/>
        </w:rPr>
        <w:t>má zvyšovať až do dosiahnutia maximálneho terapeutického účinku.</w:t>
      </w:r>
    </w:p>
    <w:p w14:paraId="661634F5" w14:textId="77777777" w:rsidR="004011A8" w:rsidRPr="000E61EB" w:rsidRDefault="004011A8" w:rsidP="00F5703F">
      <w:pPr>
        <w:tabs>
          <w:tab w:val="left" w:pos="567"/>
        </w:tabs>
        <w:spacing w:line="260" w:lineRule="exact"/>
        <w:rPr>
          <w:rFonts w:eastAsia="Times New Roman"/>
          <w:szCs w:val="20"/>
          <w:highlight w:val="lightGray"/>
          <w:lang w:eastAsia="en-US"/>
        </w:rPr>
      </w:pPr>
    </w:p>
    <w:tbl>
      <w:tblPr>
        <w:tblW w:w="0" w:type="auto"/>
        <w:jc w:val="center"/>
        <w:tblInd w:w="-2127" w:type="dxa"/>
        <w:tblLayout w:type="fixed"/>
        <w:tblLook w:val="04A0" w:firstRow="1" w:lastRow="0" w:firstColumn="1" w:lastColumn="0" w:noHBand="0" w:noVBand="1"/>
      </w:tblPr>
      <w:tblGrid>
        <w:gridCol w:w="1685"/>
        <w:gridCol w:w="3240"/>
        <w:gridCol w:w="2938"/>
        <w:gridCol w:w="7"/>
      </w:tblGrid>
      <w:tr w:rsidR="00102022" w:rsidRPr="000E61EB" w14:paraId="2FF6CD6B" w14:textId="77777777" w:rsidTr="00A45690">
        <w:trPr>
          <w:gridAfter w:val="1"/>
          <w:wAfter w:w="7" w:type="dxa"/>
          <w:trHeight w:val="260"/>
          <w:jc w:val="center"/>
        </w:trPr>
        <w:tc>
          <w:tcPr>
            <w:tcW w:w="7863" w:type="dxa"/>
            <w:gridSpan w:val="3"/>
            <w:tcBorders>
              <w:top w:val="single" w:sz="6" w:space="0" w:color="000000"/>
              <w:left w:val="single" w:sz="6" w:space="0" w:color="000000"/>
              <w:bottom w:val="single" w:sz="6" w:space="0" w:color="000000"/>
              <w:right w:val="single" w:sz="6" w:space="0" w:color="000000"/>
            </w:tcBorders>
            <w:vAlign w:val="center"/>
            <w:hideMark/>
          </w:tcPr>
          <w:p w14:paraId="7CFA78BC" w14:textId="77777777" w:rsidR="00102022" w:rsidRPr="000E61EB" w:rsidRDefault="00102022" w:rsidP="00B50393">
            <w:pPr>
              <w:pStyle w:val="Bezriadkovania"/>
              <w:jc w:val="center"/>
              <w:rPr>
                <w:b/>
              </w:rPr>
            </w:pPr>
            <w:r w:rsidRPr="000E61EB">
              <w:rPr>
                <w:b/>
              </w:rPr>
              <w:t>Schéma zvyšovania dávky Pramipexolu Teva Pharma</w:t>
            </w:r>
          </w:p>
        </w:tc>
      </w:tr>
      <w:tr w:rsidR="00D55924" w:rsidRPr="000E61EB" w14:paraId="7D36F883" w14:textId="77777777" w:rsidTr="00A45690">
        <w:trPr>
          <w:trHeight w:val="505"/>
          <w:jc w:val="center"/>
        </w:trPr>
        <w:tc>
          <w:tcPr>
            <w:tcW w:w="1685" w:type="dxa"/>
            <w:tcBorders>
              <w:top w:val="single" w:sz="6" w:space="0" w:color="000000"/>
              <w:left w:val="single" w:sz="6" w:space="0" w:color="000000"/>
              <w:bottom w:val="single" w:sz="6" w:space="0" w:color="000000"/>
              <w:right w:val="single" w:sz="6" w:space="0" w:color="000000"/>
            </w:tcBorders>
            <w:hideMark/>
          </w:tcPr>
          <w:p w14:paraId="2A3344EF" w14:textId="77777777" w:rsidR="00D55924" w:rsidRPr="000E61EB" w:rsidRDefault="00D55924" w:rsidP="000E4AFD">
            <w:pPr>
              <w:pStyle w:val="Bezriadkovania"/>
              <w:rPr>
                <w:b/>
              </w:rPr>
            </w:pPr>
            <w:r w:rsidRPr="000E61EB">
              <w:rPr>
                <w:b/>
              </w:rPr>
              <w:t>Týždeň</w:t>
            </w:r>
          </w:p>
        </w:tc>
        <w:tc>
          <w:tcPr>
            <w:tcW w:w="3240" w:type="dxa"/>
            <w:tcBorders>
              <w:top w:val="single" w:sz="6" w:space="0" w:color="000000"/>
              <w:left w:val="single" w:sz="6" w:space="0" w:color="000000"/>
              <w:bottom w:val="single" w:sz="6" w:space="0" w:color="000000"/>
              <w:right w:val="single" w:sz="6" w:space="0" w:color="000000"/>
            </w:tcBorders>
            <w:hideMark/>
          </w:tcPr>
          <w:p w14:paraId="0BE84E1C" w14:textId="77777777" w:rsidR="00D55924" w:rsidRPr="000E61EB" w:rsidRDefault="00D55924" w:rsidP="000E4AFD">
            <w:pPr>
              <w:pStyle w:val="Bezriadkovania"/>
              <w:rPr>
                <w:b/>
              </w:rPr>
            </w:pPr>
            <w:r w:rsidRPr="000E61EB">
              <w:rPr>
                <w:b/>
              </w:rPr>
              <w:t xml:space="preserve">Celková denná dávka (mg bázy) </w:t>
            </w:r>
          </w:p>
        </w:tc>
        <w:tc>
          <w:tcPr>
            <w:tcW w:w="2945" w:type="dxa"/>
            <w:gridSpan w:val="2"/>
            <w:tcBorders>
              <w:top w:val="single" w:sz="6" w:space="0" w:color="000000"/>
              <w:left w:val="single" w:sz="6" w:space="0" w:color="000000"/>
              <w:bottom w:val="single" w:sz="6" w:space="0" w:color="000000"/>
              <w:right w:val="single" w:sz="6" w:space="0" w:color="000000"/>
            </w:tcBorders>
            <w:hideMark/>
          </w:tcPr>
          <w:p w14:paraId="6A092E02" w14:textId="77777777" w:rsidR="00D55924" w:rsidRPr="000E61EB" w:rsidRDefault="00D55924" w:rsidP="000E4AFD">
            <w:pPr>
              <w:pStyle w:val="Bezriadkovania"/>
              <w:rPr>
                <w:b/>
              </w:rPr>
            </w:pPr>
            <w:r w:rsidRPr="000E61EB">
              <w:rPr>
                <w:b/>
              </w:rPr>
              <w:t xml:space="preserve">Celková denná dávka (mg soli) </w:t>
            </w:r>
          </w:p>
        </w:tc>
      </w:tr>
      <w:tr w:rsidR="00D55924" w:rsidRPr="000E61EB" w14:paraId="761CEE9A" w14:textId="77777777" w:rsidTr="008D6CC7">
        <w:trPr>
          <w:trHeight w:val="341"/>
          <w:jc w:val="center"/>
        </w:trPr>
        <w:tc>
          <w:tcPr>
            <w:tcW w:w="1685" w:type="dxa"/>
            <w:tcBorders>
              <w:top w:val="single" w:sz="6" w:space="0" w:color="000000"/>
              <w:left w:val="single" w:sz="6" w:space="0" w:color="000000"/>
              <w:bottom w:val="single" w:sz="6" w:space="0" w:color="000000"/>
              <w:right w:val="single" w:sz="6" w:space="0" w:color="000000"/>
            </w:tcBorders>
            <w:hideMark/>
          </w:tcPr>
          <w:p w14:paraId="40E8A81C" w14:textId="77777777" w:rsidR="00D55924" w:rsidRPr="000E61EB" w:rsidRDefault="00D55924" w:rsidP="00C00309">
            <w:pPr>
              <w:pStyle w:val="Bezriadkovania"/>
            </w:pPr>
            <w:r w:rsidRPr="000E61EB">
              <w:t>1</w:t>
            </w:r>
          </w:p>
        </w:tc>
        <w:tc>
          <w:tcPr>
            <w:tcW w:w="3240" w:type="dxa"/>
            <w:tcBorders>
              <w:top w:val="single" w:sz="6" w:space="0" w:color="000000"/>
              <w:left w:val="single" w:sz="6" w:space="0" w:color="000000"/>
              <w:bottom w:val="single" w:sz="6" w:space="0" w:color="000000"/>
              <w:right w:val="single" w:sz="6" w:space="0" w:color="000000"/>
            </w:tcBorders>
            <w:hideMark/>
          </w:tcPr>
          <w:p w14:paraId="38861104" w14:textId="77777777" w:rsidR="00D55924" w:rsidRPr="000E61EB" w:rsidRDefault="00D55924" w:rsidP="00C00309">
            <w:pPr>
              <w:pStyle w:val="Bezriadkovania"/>
            </w:pPr>
            <w:r w:rsidRPr="000E61EB">
              <w:t>0,26</w:t>
            </w:r>
          </w:p>
        </w:tc>
        <w:tc>
          <w:tcPr>
            <w:tcW w:w="2945" w:type="dxa"/>
            <w:gridSpan w:val="2"/>
            <w:tcBorders>
              <w:top w:val="single" w:sz="6" w:space="0" w:color="000000"/>
              <w:left w:val="single" w:sz="6" w:space="0" w:color="000000"/>
              <w:bottom w:val="single" w:sz="6" w:space="0" w:color="000000"/>
              <w:right w:val="single" w:sz="6" w:space="0" w:color="000000"/>
            </w:tcBorders>
            <w:hideMark/>
          </w:tcPr>
          <w:p w14:paraId="0A478DF0" w14:textId="77777777" w:rsidR="00D55924" w:rsidRPr="000E61EB" w:rsidRDefault="00D55924" w:rsidP="00C00309">
            <w:pPr>
              <w:pStyle w:val="Bezriadkovania"/>
            </w:pPr>
            <w:r w:rsidRPr="000E61EB">
              <w:t>0,375</w:t>
            </w:r>
          </w:p>
        </w:tc>
      </w:tr>
      <w:tr w:rsidR="00D55924" w:rsidRPr="000E61EB" w14:paraId="2F7E6683" w14:textId="77777777" w:rsidTr="00A45690">
        <w:trPr>
          <w:trHeight w:val="453"/>
          <w:jc w:val="center"/>
        </w:trPr>
        <w:tc>
          <w:tcPr>
            <w:tcW w:w="1685" w:type="dxa"/>
            <w:tcBorders>
              <w:top w:val="single" w:sz="6" w:space="0" w:color="000000"/>
              <w:left w:val="single" w:sz="6" w:space="0" w:color="000000"/>
              <w:bottom w:val="single" w:sz="6" w:space="0" w:color="000000"/>
              <w:right w:val="single" w:sz="6" w:space="0" w:color="000000"/>
            </w:tcBorders>
            <w:hideMark/>
          </w:tcPr>
          <w:p w14:paraId="4EFA6F8C" w14:textId="77777777" w:rsidR="00D55924" w:rsidRPr="000E61EB" w:rsidRDefault="00D55924" w:rsidP="00C00309">
            <w:pPr>
              <w:pStyle w:val="Bezriadkovania"/>
            </w:pPr>
            <w:r w:rsidRPr="000E61EB">
              <w:t>2</w:t>
            </w:r>
          </w:p>
        </w:tc>
        <w:tc>
          <w:tcPr>
            <w:tcW w:w="3240" w:type="dxa"/>
            <w:tcBorders>
              <w:top w:val="single" w:sz="6" w:space="0" w:color="000000"/>
              <w:left w:val="single" w:sz="6" w:space="0" w:color="000000"/>
              <w:bottom w:val="single" w:sz="6" w:space="0" w:color="000000"/>
              <w:right w:val="single" w:sz="6" w:space="0" w:color="000000"/>
            </w:tcBorders>
            <w:hideMark/>
          </w:tcPr>
          <w:p w14:paraId="78963362" w14:textId="77777777" w:rsidR="00D55924" w:rsidRPr="000E61EB" w:rsidRDefault="00D55924" w:rsidP="00C00309">
            <w:pPr>
              <w:pStyle w:val="Bezriadkovania"/>
            </w:pPr>
            <w:r w:rsidRPr="000E61EB">
              <w:t>0,52</w:t>
            </w:r>
          </w:p>
        </w:tc>
        <w:tc>
          <w:tcPr>
            <w:tcW w:w="2945" w:type="dxa"/>
            <w:gridSpan w:val="2"/>
            <w:tcBorders>
              <w:top w:val="single" w:sz="6" w:space="0" w:color="000000"/>
              <w:left w:val="single" w:sz="6" w:space="0" w:color="000000"/>
              <w:bottom w:val="single" w:sz="6" w:space="0" w:color="000000"/>
              <w:right w:val="single" w:sz="6" w:space="0" w:color="000000"/>
            </w:tcBorders>
            <w:hideMark/>
          </w:tcPr>
          <w:p w14:paraId="353E3B86" w14:textId="77777777" w:rsidR="00D55924" w:rsidRPr="000E61EB" w:rsidRDefault="00D55924" w:rsidP="00C00309">
            <w:pPr>
              <w:pStyle w:val="Bezriadkovania"/>
            </w:pPr>
            <w:r w:rsidRPr="000E61EB">
              <w:t>0,75</w:t>
            </w:r>
          </w:p>
        </w:tc>
      </w:tr>
      <w:tr w:rsidR="00D55924" w:rsidRPr="000E61EB" w14:paraId="44A41F8F" w14:textId="77777777" w:rsidTr="00A45690">
        <w:trPr>
          <w:trHeight w:val="453"/>
          <w:jc w:val="center"/>
        </w:trPr>
        <w:tc>
          <w:tcPr>
            <w:tcW w:w="1685" w:type="dxa"/>
            <w:tcBorders>
              <w:top w:val="single" w:sz="6" w:space="0" w:color="000000"/>
              <w:left w:val="single" w:sz="6" w:space="0" w:color="000000"/>
              <w:bottom w:val="single" w:sz="6" w:space="0" w:color="000000"/>
              <w:right w:val="single" w:sz="6" w:space="0" w:color="000000"/>
            </w:tcBorders>
            <w:hideMark/>
          </w:tcPr>
          <w:p w14:paraId="1F2F7979" w14:textId="77777777" w:rsidR="00D55924" w:rsidRPr="000E61EB" w:rsidRDefault="00D55924" w:rsidP="00C00309">
            <w:pPr>
              <w:pStyle w:val="Bezriadkovania"/>
            </w:pPr>
            <w:r w:rsidRPr="000E61EB">
              <w:t>3</w:t>
            </w:r>
          </w:p>
        </w:tc>
        <w:tc>
          <w:tcPr>
            <w:tcW w:w="3240" w:type="dxa"/>
            <w:tcBorders>
              <w:top w:val="single" w:sz="6" w:space="0" w:color="000000"/>
              <w:left w:val="single" w:sz="6" w:space="0" w:color="000000"/>
              <w:bottom w:val="single" w:sz="6" w:space="0" w:color="000000"/>
              <w:right w:val="single" w:sz="6" w:space="0" w:color="000000"/>
            </w:tcBorders>
            <w:hideMark/>
          </w:tcPr>
          <w:p w14:paraId="7B53CE2D" w14:textId="77777777" w:rsidR="00D55924" w:rsidRPr="000E61EB" w:rsidRDefault="00D55924" w:rsidP="00C00309">
            <w:pPr>
              <w:pStyle w:val="Bezriadkovania"/>
            </w:pPr>
            <w:r w:rsidRPr="000E61EB">
              <w:t>1,05</w:t>
            </w:r>
          </w:p>
        </w:tc>
        <w:tc>
          <w:tcPr>
            <w:tcW w:w="2945" w:type="dxa"/>
            <w:gridSpan w:val="2"/>
            <w:tcBorders>
              <w:top w:val="single" w:sz="6" w:space="0" w:color="000000"/>
              <w:left w:val="single" w:sz="6" w:space="0" w:color="000000"/>
              <w:bottom w:val="single" w:sz="6" w:space="0" w:color="000000"/>
              <w:right w:val="single" w:sz="6" w:space="0" w:color="000000"/>
            </w:tcBorders>
            <w:hideMark/>
          </w:tcPr>
          <w:p w14:paraId="59198F87" w14:textId="77777777" w:rsidR="00D55924" w:rsidRPr="000E61EB" w:rsidRDefault="00D55924" w:rsidP="00C00309">
            <w:pPr>
              <w:pStyle w:val="Bezriadkovania"/>
            </w:pPr>
            <w:r w:rsidRPr="000E61EB">
              <w:t>1,5</w:t>
            </w:r>
          </w:p>
        </w:tc>
      </w:tr>
    </w:tbl>
    <w:p w14:paraId="675B91E8" w14:textId="77777777" w:rsidR="006F2743" w:rsidRPr="000E61EB" w:rsidRDefault="006F2743" w:rsidP="00FF5E22">
      <w:pPr>
        <w:tabs>
          <w:tab w:val="left" w:pos="567"/>
        </w:tabs>
        <w:spacing w:line="260" w:lineRule="exact"/>
        <w:rPr>
          <w:rFonts w:eastAsia="Times New Roman"/>
          <w:szCs w:val="20"/>
          <w:highlight w:val="lightGray"/>
          <w:lang w:eastAsia="en-US"/>
        </w:rPr>
      </w:pPr>
    </w:p>
    <w:p w14:paraId="3EF94CC5" w14:textId="77777777" w:rsidR="00DA1C3D" w:rsidRPr="000E61EB" w:rsidRDefault="006F2743" w:rsidP="00FF5E22">
      <w:pPr>
        <w:tabs>
          <w:tab w:val="left" w:pos="567"/>
        </w:tabs>
        <w:spacing w:line="260" w:lineRule="exact"/>
      </w:pPr>
      <w:r w:rsidRPr="000E61EB">
        <w:rPr>
          <w:rFonts w:eastAsia="Times New Roman"/>
          <w:szCs w:val="20"/>
          <w:lang w:eastAsia="en-US"/>
        </w:rPr>
        <w:t>A</w:t>
      </w:r>
      <w:r w:rsidRPr="000E61EB">
        <w:t xml:space="preserve">k je potrebné ďalšie zvyšovanie dávky, denná dávka sa má zvyšovať </w:t>
      </w:r>
      <w:r w:rsidR="00183D11" w:rsidRPr="000E61EB">
        <w:t>p</w:t>
      </w:r>
      <w:r w:rsidRPr="000E61EB">
        <w:t xml:space="preserve">o 0,52 mg bázy (0,75 mg soli) v týždňových intervaloch až na maximálnu </w:t>
      </w:r>
      <w:r w:rsidR="00183D11" w:rsidRPr="000E61EB">
        <w:t xml:space="preserve">dennu </w:t>
      </w:r>
      <w:r w:rsidRPr="000E61EB">
        <w:t>dávku 3,15</w:t>
      </w:r>
      <w:r w:rsidR="00183D11" w:rsidRPr="000E61EB">
        <w:t> mg bázy (4,5 mg soli)</w:t>
      </w:r>
      <w:r w:rsidRPr="000E61EB">
        <w:t>. Má sa však vziať do úvahy, že pri užívaní dávok nad 1,05 mg bázy (1,5 mg soli) denne sa zvyšuje výskyt somnolencie (pozri časť 4.8).</w:t>
      </w:r>
    </w:p>
    <w:p w14:paraId="7D02F316" w14:textId="77777777" w:rsidR="00E07F6C" w:rsidRPr="000E61EB" w:rsidRDefault="00E07F6C" w:rsidP="005129BD">
      <w:pPr>
        <w:tabs>
          <w:tab w:val="left" w:pos="567"/>
        </w:tabs>
        <w:spacing w:line="260" w:lineRule="exact"/>
        <w:rPr>
          <w:rFonts w:eastAsia="Times New Roman"/>
        </w:rPr>
      </w:pPr>
    </w:p>
    <w:p w14:paraId="753484CE" w14:textId="77777777" w:rsidR="00DA1C3D" w:rsidRPr="000E61EB" w:rsidRDefault="00DA1C3D" w:rsidP="005129BD">
      <w:pPr>
        <w:tabs>
          <w:tab w:val="left" w:pos="567"/>
        </w:tabs>
        <w:spacing w:line="260" w:lineRule="exact"/>
        <w:rPr>
          <w:rFonts w:eastAsia="Times New Roman"/>
          <w:szCs w:val="20"/>
          <w:highlight w:val="lightGray"/>
          <w:lang w:eastAsia="en-US"/>
        </w:rPr>
      </w:pPr>
      <w:r w:rsidRPr="000E61EB">
        <w:rPr>
          <w:rFonts w:eastAsia="Times New Roman"/>
        </w:rPr>
        <w:t>Pacienti, ktorí už užívajú Pramipexol</w:t>
      </w:r>
      <w:r w:rsidR="00176E0F" w:rsidRPr="000E61EB">
        <w:rPr>
          <w:rFonts w:eastAsia="Times New Roman"/>
        </w:rPr>
        <w:t xml:space="preserve"> Teva</w:t>
      </w:r>
      <w:r w:rsidRPr="000E61EB">
        <w:rPr>
          <w:rFonts w:eastAsia="Times New Roman"/>
        </w:rPr>
        <w:t xml:space="preserve"> vo forme tabliet môžu</w:t>
      </w:r>
      <w:r w:rsidR="00176E0F" w:rsidRPr="000E61EB">
        <w:rPr>
          <w:rFonts w:eastAsia="Times New Roman"/>
        </w:rPr>
        <w:t xml:space="preserve"> byť okamžite prestavení </w:t>
      </w:r>
      <w:r w:rsidRPr="000E61EB">
        <w:rPr>
          <w:rFonts w:eastAsia="Times New Roman"/>
        </w:rPr>
        <w:t xml:space="preserve"> na Pramipexol </w:t>
      </w:r>
      <w:r w:rsidR="00176E0F" w:rsidRPr="000E61EB">
        <w:rPr>
          <w:rFonts w:eastAsia="Times New Roman"/>
        </w:rPr>
        <w:t xml:space="preserve">Teva </w:t>
      </w:r>
      <w:r w:rsidR="00580E05" w:rsidRPr="000E61EB">
        <w:rPr>
          <w:rFonts w:eastAsia="Times New Roman"/>
        </w:rPr>
        <w:t xml:space="preserve">Pharma </w:t>
      </w:r>
      <w:r w:rsidRPr="000E61EB">
        <w:rPr>
          <w:rFonts w:eastAsia="Times New Roman"/>
        </w:rPr>
        <w:t>tablety s predĺženým uvoľňovaním</w:t>
      </w:r>
      <w:r w:rsidR="00176E0F" w:rsidRPr="000E61EB">
        <w:rPr>
          <w:rFonts w:eastAsia="Times New Roman"/>
        </w:rPr>
        <w:t xml:space="preserve"> </w:t>
      </w:r>
      <w:r w:rsidRPr="000E61EB">
        <w:rPr>
          <w:rFonts w:eastAsia="Times New Roman"/>
        </w:rPr>
        <w:t xml:space="preserve">v rovnakej dennej dávke. Po </w:t>
      </w:r>
      <w:r w:rsidR="00176E0F" w:rsidRPr="000E61EB">
        <w:rPr>
          <w:rFonts w:eastAsia="Times New Roman"/>
        </w:rPr>
        <w:t>prestavení</w:t>
      </w:r>
      <w:r w:rsidRPr="000E61EB">
        <w:rPr>
          <w:rFonts w:eastAsia="Times New Roman"/>
        </w:rPr>
        <w:t xml:space="preserve"> na Pramipexol Teva Pharma tablety s predĺženým uvoľňovaním, dávka môže byť upravená v závislosti od odpovede pacienta na liečbu (pozri časť 5.1).</w:t>
      </w:r>
      <w:r w:rsidRPr="000E61EB">
        <w:rPr>
          <w:rFonts w:eastAsia="Times New Roman"/>
        </w:rPr>
        <w:br/>
      </w:r>
    </w:p>
    <w:p w14:paraId="7AD7CFBD" w14:textId="77777777" w:rsidR="00183D11" w:rsidRPr="000E61EB" w:rsidRDefault="00183D11" w:rsidP="005129BD">
      <w:pPr>
        <w:tabs>
          <w:tab w:val="left" w:pos="567"/>
        </w:tabs>
        <w:spacing w:line="260" w:lineRule="exact"/>
        <w:rPr>
          <w:rFonts w:eastAsia="Times New Roman"/>
          <w:i/>
          <w:szCs w:val="20"/>
          <w:u w:val="single"/>
          <w:lang w:eastAsia="en-US"/>
        </w:rPr>
      </w:pPr>
      <w:r w:rsidRPr="000E61EB">
        <w:rPr>
          <w:rFonts w:eastAsia="Times New Roman"/>
          <w:i/>
          <w:szCs w:val="20"/>
          <w:u w:val="single"/>
          <w:lang w:eastAsia="en-US"/>
        </w:rPr>
        <w:lastRenderedPageBreak/>
        <w:t>Udržiavacia liečba:</w:t>
      </w:r>
    </w:p>
    <w:p w14:paraId="44497E12" w14:textId="77777777" w:rsidR="00183D11" w:rsidRPr="000E61EB" w:rsidRDefault="00183D11" w:rsidP="005129BD">
      <w:pPr>
        <w:tabs>
          <w:tab w:val="left" w:pos="567"/>
        </w:tabs>
        <w:spacing w:line="260" w:lineRule="exact"/>
        <w:rPr>
          <w:spacing w:val="-1"/>
        </w:rPr>
      </w:pPr>
      <w:r w:rsidRPr="000E61EB">
        <w:rPr>
          <w:rFonts w:eastAsia="Times New Roman"/>
          <w:szCs w:val="20"/>
          <w:lang w:eastAsia="en-US"/>
        </w:rPr>
        <w:t>I</w:t>
      </w:r>
      <w:r w:rsidRPr="000E61EB">
        <w:rPr>
          <w:spacing w:val="-1"/>
        </w:rPr>
        <w:t>ndividuálna</w:t>
      </w:r>
      <w:r w:rsidRPr="000E61EB">
        <w:t xml:space="preserve"> </w:t>
      </w:r>
      <w:r w:rsidRPr="000E61EB">
        <w:rPr>
          <w:spacing w:val="-2"/>
        </w:rPr>
        <w:t>dávka</w:t>
      </w:r>
      <w:r w:rsidRPr="000E61EB">
        <w:t xml:space="preserve"> </w:t>
      </w:r>
      <w:r w:rsidR="00580E05" w:rsidRPr="000E61EB">
        <w:t xml:space="preserve">pramipexolu </w:t>
      </w:r>
      <w:r w:rsidRPr="000E61EB">
        <w:rPr>
          <w:spacing w:val="-2"/>
        </w:rPr>
        <w:t>má</w:t>
      </w:r>
      <w:r w:rsidRPr="000E61EB">
        <w:t xml:space="preserve"> </w:t>
      </w:r>
      <w:r w:rsidRPr="000E61EB">
        <w:rPr>
          <w:spacing w:val="-1"/>
        </w:rPr>
        <w:t>byť</w:t>
      </w:r>
      <w:r w:rsidRPr="000E61EB">
        <w:rPr>
          <w:spacing w:val="1"/>
        </w:rPr>
        <w:t xml:space="preserve"> </w:t>
      </w:r>
      <w:r w:rsidRPr="000E61EB">
        <w:t>v</w:t>
      </w:r>
      <w:r w:rsidRPr="000E61EB">
        <w:rPr>
          <w:spacing w:val="-3"/>
        </w:rPr>
        <w:t xml:space="preserve"> </w:t>
      </w:r>
      <w:r w:rsidRPr="000E61EB">
        <w:rPr>
          <w:spacing w:val="-1"/>
        </w:rPr>
        <w:t>rozmedzí</w:t>
      </w:r>
      <w:r w:rsidRPr="000E61EB">
        <w:rPr>
          <w:spacing w:val="1"/>
        </w:rPr>
        <w:t xml:space="preserve"> </w:t>
      </w:r>
      <w:r w:rsidR="00580E05" w:rsidRPr="000E61EB">
        <w:t>od 0,26</w:t>
      </w:r>
      <w:r w:rsidRPr="000E61EB">
        <w:t xml:space="preserve"> </w:t>
      </w:r>
      <w:r w:rsidRPr="000E61EB">
        <w:rPr>
          <w:spacing w:val="-1"/>
        </w:rPr>
        <w:t>mg</w:t>
      </w:r>
      <w:r w:rsidRPr="000E61EB">
        <w:rPr>
          <w:spacing w:val="-3"/>
        </w:rPr>
        <w:t xml:space="preserve"> </w:t>
      </w:r>
      <w:r w:rsidRPr="000E61EB">
        <w:t>bázy</w:t>
      </w:r>
      <w:r w:rsidRPr="000E61EB">
        <w:rPr>
          <w:spacing w:val="-3"/>
        </w:rPr>
        <w:t xml:space="preserve"> </w:t>
      </w:r>
      <w:r w:rsidRPr="000E61EB">
        <w:t xml:space="preserve">(0,375 </w:t>
      </w:r>
      <w:r w:rsidRPr="000E61EB">
        <w:rPr>
          <w:spacing w:val="-2"/>
        </w:rPr>
        <w:t>mg</w:t>
      </w:r>
      <w:r w:rsidRPr="000E61EB">
        <w:rPr>
          <w:spacing w:val="-3"/>
        </w:rPr>
        <w:t xml:space="preserve"> </w:t>
      </w:r>
      <w:r w:rsidRPr="000E61EB">
        <w:t>soli)</w:t>
      </w:r>
      <w:r w:rsidRPr="000E61EB">
        <w:rPr>
          <w:spacing w:val="1"/>
        </w:rPr>
        <w:t xml:space="preserve"> </w:t>
      </w:r>
      <w:r w:rsidRPr="000E61EB">
        <w:rPr>
          <w:spacing w:val="-1"/>
        </w:rPr>
        <w:t>maximálne</w:t>
      </w:r>
      <w:r w:rsidRPr="000E61EB">
        <w:t xml:space="preserve"> do 3,</w:t>
      </w:r>
      <w:r w:rsidR="00580E05" w:rsidRPr="000E61EB">
        <w:t>15</w:t>
      </w:r>
      <w:r w:rsidRPr="000E61EB">
        <w:t xml:space="preserve"> </w:t>
      </w:r>
      <w:r w:rsidRPr="000E61EB">
        <w:rPr>
          <w:spacing w:val="-2"/>
        </w:rPr>
        <w:t>mg</w:t>
      </w:r>
      <w:r w:rsidRPr="000E61EB">
        <w:rPr>
          <w:spacing w:val="-3"/>
        </w:rPr>
        <w:t xml:space="preserve"> </w:t>
      </w:r>
      <w:r w:rsidRPr="000E61EB">
        <w:t>bázy</w:t>
      </w:r>
      <w:r w:rsidRPr="000E61EB">
        <w:rPr>
          <w:spacing w:val="41"/>
        </w:rPr>
        <w:t xml:space="preserve"> </w:t>
      </w:r>
      <w:r w:rsidRPr="000E61EB">
        <w:t xml:space="preserve">(4,5 </w:t>
      </w:r>
      <w:r w:rsidRPr="000E61EB">
        <w:rPr>
          <w:spacing w:val="-2"/>
        </w:rPr>
        <w:t>mg</w:t>
      </w:r>
      <w:r w:rsidRPr="000E61EB">
        <w:rPr>
          <w:spacing w:val="-3"/>
        </w:rPr>
        <w:t xml:space="preserve"> </w:t>
      </w:r>
      <w:r w:rsidRPr="000E61EB">
        <w:t>soli)</w:t>
      </w:r>
      <w:r w:rsidRPr="000E61EB">
        <w:rPr>
          <w:spacing w:val="1"/>
        </w:rPr>
        <w:t xml:space="preserve"> </w:t>
      </w:r>
      <w:r w:rsidRPr="000E61EB">
        <w:rPr>
          <w:spacing w:val="-1"/>
        </w:rPr>
        <w:t>denne.</w:t>
      </w:r>
      <w:r w:rsidRPr="000E61EB">
        <w:t xml:space="preserve"> </w:t>
      </w:r>
      <w:r w:rsidRPr="000E61EB">
        <w:rPr>
          <w:spacing w:val="-1"/>
        </w:rPr>
        <w:t>Pri</w:t>
      </w:r>
      <w:r w:rsidRPr="000E61EB">
        <w:rPr>
          <w:spacing w:val="1"/>
        </w:rPr>
        <w:t xml:space="preserve"> </w:t>
      </w:r>
      <w:r w:rsidRPr="000E61EB">
        <w:rPr>
          <w:spacing w:val="-1"/>
        </w:rPr>
        <w:t>zvyšovaní</w:t>
      </w:r>
      <w:r w:rsidRPr="000E61EB">
        <w:rPr>
          <w:spacing w:val="1"/>
        </w:rPr>
        <w:t xml:space="preserve"> </w:t>
      </w:r>
      <w:r w:rsidRPr="000E61EB">
        <w:rPr>
          <w:spacing w:val="-2"/>
        </w:rPr>
        <w:t>dávky</w:t>
      </w:r>
      <w:r w:rsidRPr="000E61EB">
        <w:t xml:space="preserve"> v</w:t>
      </w:r>
      <w:r w:rsidRPr="000E61EB">
        <w:rPr>
          <w:spacing w:val="-3"/>
        </w:rPr>
        <w:t xml:space="preserve"> </w:t>
      </w:r>
      <w:r w:rsidRPr="000E61EB">
        <w:t xml:space="preserve">troch </w:t>
      </w:r>
      <w:r w:rsidRPr="000E61EB">
        <w:rPr>
          <w:spacing w:val="-1"/>
        </w:rPr>
        <w:t>pivotných</w:t>
      </w:r>
      <w:r w:rsidRPr="000E61EB">
        <w:t xml:space="preserve"> </w:t>
      </w:r>
      <w:r w:rsidRPr="000E61EB">
        <w:rPr>
          <w:spacing w:val="-1"/>
        </w:rPr>
        <w:t>štúdiách</w:t>
      </w:r>
      <w:r w:rsidRPr="000E61EB">
        <w:rPr>
          <w:spacing w:val="-3"/>
        </w:rPr>
        <w:t xml:space="preserve"> </w:t>
      </w:r>
      <w:r w:rsidRPr="000E61EB">
        <w:t xml:space="preserve">sa </w:t>
      </w:r>
      <w:r w:rsidRPr="000E61EB">
        <w:rPr>
          <w:spacing w:val="-1"/>
        </w:rPr>
        <w:t>účinnosť pozorovala</w:t>
      </w:r>
      <w:r w:rsidRPr="000E61EB">
        <w:t xml:space="preserve"> po</w:t>
      </w:r>
      <w:r w:rsidRPr="000E61EB">
        <w:rPr>
          <w:spacing w:val="55"/>
        </w:rPr>
        <w:t xml:space="preserve"> </w:t>
      </w:r>
      <w:r w:rsidRPr="000E61EB">
        <w:rPr>
          <w:spacing w:val="-1"/>
        </w:rPr>
        <w:t>dosiahnutí</w:t>
      </w:r>
      <w:r w:rsidRPr="000E61EB">
        <w:rPr>
          <w:spacing w:val="1"/>
        </w:rPr>
        <w:t xml:space="preserve"> </w:t>
      </w:r>
      <w:r w:rsidRPr="000E61EB">
        <w:rPr>
          <w:spacing w:val="-1"/>
        </w:rPr>
        <w:t>dennej</w:t>
      </w:r>
      <w:r w:rsidRPr="000E61EB">
        <w:rPr>
          <w:spacing w:val="1"/>
        </w:rPr>
        <w:t xml:space="preserve"> </w:t>
      </w:r>
      <w:r w:rsidRPr="000E61EB">
        <w:rPr>
          <w:spacing w:val="-2"/>
        </w:rPr>
        <w:t>dávky</w:t>
      </w:r>
      <w:r w:rsidRPr="000E61EB">
        <w:rPr>
          <w:spacing w:val="-3"/>
        </w:rPr>
        <w:t xml:space="preserve"> </w:t>
      </w:r>
      <w:r w:rsidRPr="000E61EB">
        <w:t>1,</w:t>
      </w:r>
      <w:r w:rsidR="00580E05" w:rsidRPr="000E61EB">
        <w:t>05</w:t>
      </w:r>
      <w:r w:rsidRPr="000E61EB">
        <w:t xml:space="preserve"> </w:t>
      </w:r>
      <w:r w:rsidRPr="000E61EB">
        <w:rPr>
          <w:spacing w:val="-1"/>
        </w:rPr>
        <w:t>mg</w:t>
      </w:r>
      <w:r w:rsidRPr="000E61EB">
        <w:rPr>
          <w:spacing w:val="-3"/>
        </w:rPr>
        <w:t xml:space="preserve"> </w:t>
      </w:r>
      <w:r w:rsidRPr="000E61EB">
        <w:t>bázy</w:t>
      </w:r>
      <w:r w:rsidRPr="000E61EB">
        <w:rPr>
          <w:spacing w:val="-3"/>
        </w:rPr>
        <w:t xml:space="preserve"> </w:t>
      </w:r>
      <w:r w:rsidRPr="000E61EB">
        <w:t xml:space="preserve">(1,5 </w:t>
      </w:r>
      <w:r w:rsidRPr="000E61EB">
        <w:rPr>
          <w:spacing w:val="-1"/>
        </w:rPr>
        <w:t>mg</w:t>
      </w:r>
      <w:r w:rsidRPr="000E61EB">
        <w:rPr>
          <w:spacing w:val="-3"/>
        </w:rPr>
        <w:t xml:space="preserve"> </w:t>
      </w:r>
      <w:r w:rsidRPr="000E61EB">
        <w:t xml:space="preserve">soli). </w:t>
      </w:r>
      <w:r w:rsidRPr="000E61EB">
        <w:rPr>
          <w:spacing w:val="-1"/>
        </w:rPr>
        <w:t>Ďalšia</w:t>
      </w:r>
      <w:r w:rsidRPr="000E61EB">
        <w:t xml:space="preserve"> </w:t>
      </w:r>
      <w:r w:rsidRPr="000E61EB">
        <w:rPr>
          <w:spacing w:val="-1"/>
        </w:rPr>
        <w:t>úprava</w:t>
      </w:r>
      <w:r w:rsidRPr="000E61EB">
        <w:t xml:space="preserve"> </w:t>
      </w:r>
      <w:r w:rsidRPr="000E61EB">
        <w:rPr>
          <w:spacing w:val="-1"/>
        </w:rPr>
        <w:t>dávkovania</w:t>
      </w:r>
      <w:r w:rsidRPr="000E61EB">
        <w:t xml:space="preserve"> by</w:t>
      </w:r>
      <w:r w:rsidRPr="000E61EB">
        <w:rPr>
          <w:spacing w:val="-3"/>
        </w:rPr>
        <w:t xml:space="preserve"> </w:t>
      </w:r>
      <w:r w:rsidRPr="000E61EB">
        <w:rPr>
          <w:spacing w:val="-1"/>
        </w:rPr>
        <w:t>mala</w:t>
      </w:r>
      <w:r w:rsidRPr="000E61EB">
        <w:t xml:space="preserve"> </w:t>
      </w:r>
      <w:r w:rsidRPr="000E61EB">
        <w:rPr>
          <w:spacing w:val="-1"/>
        </w:rPr>
        <w:t>byť</w:t>
      </w:r>
      <w:r w:rsidRPr="000E61EB">
        <w:rPr>
          <w:spacing w:val="1"/>
        </w:rPr>
        <w:t xml:space="preserve"> </w:t>
      </w:r>
      <w:r w:rsidRPr="000E61EB">
        <w:rPr>
          <w:spacing w:val="-1"/>
        </w:rPr>
        <w:t>založená</w:t>
      </w:r>
      <w:r w:rsidRPr="000E61EB">
        <w:rPr>
          <w:spacing w:val="53"/>
        </w:rPr>
        <w:t xml:space="preserve"> </w:t>
      </w:r>
      <w:r w:rsidRPr="000E61EB">
        <w:t xml:space="preserve">na </w:t>
      </w:r>
      <w:r w:rsidRPr="000E61EB">
        <w:rPr>
          <w:spacing w:val="-1"/>
        </w:rPr>
        <w:t>klinickej</w:t>
      </w:r>
      <w:r w:rsidRPr="000E61EB">
        <w:rPr>
          <w:spacing w:val="3"/>
        </w:rPr>
        <w:t xml:space="preserve"> </w:t>
      </w:r>
      <w:r w:rsidRPr="000E61EB">
        <w:rPr>
          <w:spacing w:val="-1"/>
        </w:rPr>
        <w:t>odpovedi</w:t>
      </w:r>
      <w:r w:rsidRPr="000E61EB">
        <w:rPr>
          <w:spacing w:val="1"/>
        </w:rPr>
        <w:t xml:space="preserve"> </w:t>
      </w:r>
      <w:r w:rsidRPr="000E61EB">
        <w:t xml:space="preserve">a </w:t>
      </w:r>
      <w:r w:rsidRPr="000E61EB">
        <w:rPr>
          <w:spacing w:val="-2"/>
        </w:rPr>
        <w:t xml:space="preserve">na </w:t>
      </w:r>
      <w:r w:rsidRPr="000E61EB">
        <w:rPr>
          <w:spacing w:val="-1"/>
        </w:rPr>
        <w:t>výskyte</w:t>
      </w:r>
      <w:r w:rsidRPr="000E61EB">
        <w:t xml:space="preserve"> </w:t>
      </w:r>
      <w:r w:rsidRPr="000E61EB">
        <w:rPr>
          <w:spacing w:val="-1"/>
        </w:rPr>
        <w:t>nežiaducich</w:t>
      </w:r>
      <w:r w:rsidRPr="000E61EB">
        <w:t xml:space="preserve"> </w:t>
      </w:r>
      <w:r w:rsidRPr="000E61EB">
        <w:rPr>
          <w:spacing w:val="-2"/>
        </w:rPr>
        <w:t>účinkov.</w:t>
      </w:r>
      <w:r w:rsidRPr="000E61EB">
        <w:t xml:space="preserve"> V</w:t>
      </w:r>
      <w:r w:rsidRPr="000E61EB">
        <w:rPr>
          <w:spacing w:val="1"/>
        </w:rPr>
        <w:t xml:space="preserve"> </w:t>
      </w:r>
      <w:r w:rsidRPr="000E61EB">
        <w:rPr>
          <w:spacing w:val="-1"/>
        </w:rPr>
        <w:t>klinických</w:t>
      </w:r>
      <w:r w:rsidRPr="000E61EB">
        <w:t xml:space="preserve"> </w:t>
      </w:r>
      <w:r w:rsidRPr="000E61EB">
        <w:rPr>
          <w:spacing w:val="-1"/>
        </w:rPr>
        <w:t>štúdiách</w:t>
      </w:r>
      <w:r w:rsidRPr="000E61EB">
        <w:t xml:space="preserve"> </w:t>
      </w:r>
      <w:r w:rsidRPr="000E61EB">
        <w:rPr>
          <w:spacing w:val="-1"/>
        </w:rPr>
        <w:t>bolo</w:t>
      </w:r>
      <w:r w:rsidRPr="000E61EB">
        <w:t xml:space="preserve"> </w:t>
      </w:r>
      <w:r w:rsidRPr="000E61EB">
        <w:rPr>
          <w:spacing w:val="-1"/>
        </w:rPr>
        <w:t>približne</w:t>
      </w:r>
      <w:r w:rsidRPr="000E61EB">
        <w:t xml:space="preserve"> </w:t>
      </w:r>
      <w:r w:rsidRPr="000E61EB">
        <w:rPr>
          <w:spacing w:val="-2"/>
        </w:rPr>
        <w:t>5</w:t>
      </w:r>
      <w:r w:rsidR="00C22502" w:rsidRPr="000E61EB">
        <w:rPr>
          <w:spacing w:val="-2"/>
        </w:rPr>
        <w:t xml:space="preserve"> </w:t>
      </w:r>
      <w:r w:rsidRPr="000E61EB">
        <w:rPr>
          <w:spacing w:val="-2"/>
        </w:rPr>
        <w:t>%</w:t>
      </w:r>
      <w:r w:rsidRPr="000E61EB">
        <w:rPr>
          <w:spacing w:val="75"/>
        </w:rPr>
        <w:t xml:space="preserve"> </w:t>
      </w:r>
      <w:r w:rsidRPr="000E61EB">
        <w:rPr>
          <w:spacing w:val="-1"/>
        </w:rPr>
        <w:t>pacientov</w:t>
      </w:r>
      <w:r w:rsidRPr="000E61EB">
        <w:rPr>
          <w:spacing w:val="-3"/>
        </w:rPr>
        <w:t xml:space="preserve"> </w:t>
      </w:r>
      <w:r w:rsidRPr="000E61EB">
        <w:rPr>
          <w:spacing w:val="-1"/>
        </w:rPr>
        <w:t>liečených</w:t>
      </w:r>
      <w:r w:rsidRPr="000E61EB">
        <w:t xml:space="preserve"> </w:t>
      </w:r>
      <w:r w:rsidRPr="000E61EB">
        <w:rPr>
          <w:spacing w:val="-2"/>
        </w:rPr>
        <w:t>dávkami</w:t>
      </w:r>
      <w:r w:rsidRPr="000E61EB">
        <w:rPr>
          <w:spacing w:val="3"/>
        </w:rPr>
        <w:t xml:space="preserve"> </w:t>
      </w:r>
      <w:r w:rsidRPr="000E61EB">
        <w:rPr>
          <w:spacing w:val="-1"/>
        </w:rPr>
        <w:t>menšími</w:t>
      </w:r>
      <w:r w:rsidRPr="000E61EB">
        <w:rPr>
          <w:spacing w:val="1"/>
        </w:rPr>
        <w:t xml:space="preserve"> </w:t>
      </w:r>
      <w:r w:rsidRPr="000E61EB">
        <w:t>než</w:t>
      </w:r>
      <w:r w:rsidRPr="000E61EB">
        <w:rPr>
          <w:spacing w:val="-2"/>
        </w:rPr>
        <w:t xml:space="preserve"> </w:t>
      </w:r>
      <w:r w:rsidRPr="000E61EB">
        <w:t>1,</w:t>
      </w:r>
      <w:r w:rsidR="00580E05" w:rsidRPr="000E61EB">
        <w:t>05</w:t>
      </w:r>
      <w:r w:rsidRPr="000E61EB">
        <w:t xml:space="preserve"> </w:t>
      </w:r>
      <w:r w:rsidRPr="000E61EB">
        <w:rPr>
          <w:spacing w:val="-1"/>
        </w:rPr>
        <w:t>mg</w:t>
      </w:r>
      <w:r w:rsidRPr="000E61EB">
        <w:rPr>
          <w:spacing w:val="-3"/>
        </w:rPr>
        <w:t xml:space="preserve"> </w:t>
      </w:r>
      <w:r w:rsidRPr="000E61EB">
        <w:t>bázy</w:t>
      </w:r>
      <w:r w:rsidRPr="000E61EB">
        <w:rPr>
          <w:spacing w:val="-3"/>
        </w:rPr>
        <w:t xml:space="preserve"> </w:t>
      </w:r>
      <w:r w:rsidRPr="000E61EB">
        <w:t xml:space="preserve">(1,5 </w:t>
      </w:r>
      <w:r w:rsidRPr="000E61EB">
        <w:rPr>
          <w:spacing w:val="-1"/>
        </w:rPr>
        <w:t>mg</w:t>
      </w:r>
      <w:r w:rsidRPr="000E61EB">
        <w:rPr>
          <w:spacing w:val="-3"/>
        </w:rPr>
        <w:t xml:space="preserve"> </w:t>
      </w:r>
      <w:r w:rsidRPr="000E61EB">
        <w:t xml:space="preserve">soli). </w:t>
      </w:r>
      <w:r w:rsidRPr="000E61EB">
        <w:rPr>
          <w:spacing w:val="-1"/>
        </w:rPr>
        <w:t>Pri</w:t>
      </w:r>
      <w:r w:rsidRPr="000E61EB">
        <w:rPr>
          <w:spacing w:val="-2"/>
        </w:rPr>
        <w:t xml:space="preserve"> </w:t>
      </w:r>
      <w:r w:rsidRPr="000E61EB">
        <w:rPr>
          <w:spacing w:val="-1"/>
        </w:rPr>
        <w:t>pokročilej</w:t>
      </w:r>
      <w:r w:rsidRPr="000E61EB">
        <w:rPr>
          <w:spacing w:val="3"/>
        </w:rPr>
        <w:t xml:space="preserve"> </w:t>
      </w:r>
      <w:r w:rsidRPr="000E61EB">
        <w:rPr>
          <w:spacing w:val="-1"/>
        </w:rPr>
        <w:t>Parkinsonovej</w:t>
      </w:r>
      <w:r w:rsidRPr="000E61EB">
        <w:rPr>
          <w:spacing w:val="43"/>
        </w:rPr>
        <w:t xml:space="preserve"> </w:t>
      </w:r>
      <w:r w:rsidRPr="000E61EB">
        <w:rPr>
          <w:spacing w:val="-1"/>
        </w:rPr>
        <w:t>chorobe</w:t>
      </w:r>
      <w:r w:rsidRPr="000E61EB">
        <w:t xml:space="preserve"> </w:t>
      </w:r>
      <w:r w:rsidRPr="000E61EB">
        <w:rPr>
          <w:spacing w:val="-2"/>
        </w:rPr>
        <w:t>môžu</w:t>
      </w:r>
      <w:r w:rsidRPr="000E61EB">
        <w:t xml:space="preserve"> byť</w:t>
      </w:r>
      <w:r w:rsidRPr="000E61EB">
        <w:rPr>
          <w:spacing w:val="-1"/>
        </w:rPr>
        <w:t xml:space="preserve"> </w:t>
      </w:r>
      <w:r w:rsidRPr="000E61EB">
        <w:t>dávky</w:t>
      </w:r>
      <w:r w:rsidRPr="000E61EB">
        <w:rPr>
          <w:spacing w:val="-3"/>
        </w:rPr>
        <w:t xml:space="preserve"> </w:t>
      </w:r>
      <w:r w:rsidRPr="000E61EB">
        <w:rPr>
          <w:spacing w:val="-1"/>
        </w:rPr>
        <w:t>vyššie</w:t>
      </w:r>
      <w:r w:rsidRPr="000E61EB">
        <w:t xml:space="preserve"> </w:t>
      </w:r>
      <w:r w:rsidRPr="000E61EB">
        <w:rPr>
          <w:spacing w:val="-1"/>
        </w:rPr>
        <w:t>ako</w:t>
      </w:r>
      <w:r w:rsidRPr="000E61EB">
        <w:t xml:space="preserve"> 1,</w:t>
      </w:r>
      <w:r w:rsidR="00580E05" w:rsidRPr="000E61EB">
        <w:t>05</w:t>
      </w:r>
      <w:r w:rsidRPr="000E61EB">
        <w:t xml:space="preserve"> </w:t>
      </w:r>
      <w:r w:rsidRPr="000E61EB">
        <w:rPr>
          <w:spacing w:val="-2"/>
        </w:rPr>
        <w:t>mg</w:t>
      </w:r>
      <w:r w:rsidRPr="000E61EB">
        <w:rPr>
          <w:spacing w:val="-3"/>
        </w:rPr>
        <w:t xml:space="preserve"> </w:t>
      </w:r>
      <w:r w:rsidRPr="000E61EB">
        <w:t>bázy</w:t>
      </w:r>
      <w:r w:rsidRPr="000E61EB">
        <w:rPr>
          <w:spacing w:val="-3"/>
        </w:rPr>
        <w:t xml:space="preserve"> </w:t>
      </w:r>
      <w:r w:rsidRPr="000E61EB">
        <w:t xml:space="preserve">(1,5 </w:t>
      </w:r>
      <w:r w:rsidRPr="000E61EB">
        <w:rPr>
          <w:spacing w:val="-1"/>
        </w:rPr>
        <w:t>mg</w:t>
      </w:r>
      <w:r w:rsidRPr="000E61EB">
        <w:rPr>
          <w:spacing w:val="-3"/>
        </w:rPr>
        <w:t xml:space="preserve"> </w:t>
      </w:r>
      <w:r w:rsidRPr="000E61EB">
        <w:t>soli)</w:t>
      </w:r>
      <w:r w:rsidRPr="000E61EB">
        <w:rPr>
          <w:spacing w:val="1"/>
        </w:rPr>
        <w:t xml:space="preserve"> </w:t>
      </w:r>
      <w:r w:rsidRPr="000E61EB">
        <w:rPr>
          <w:spacing w:val="-1"/>
        </w:rPr>
        <w:t>denne</w:t>
      </w:r>
      <w:r w:rsidRPr="000E61EB">
        <w:t xml:space="preserve"> </w:t>
      </w:r>
      <w:r w:rsidRPr="000E61EB">
        <w:rPr>
          <w:spacing w:val="-1"/>
        </w:rPr>
        <w:t>užitočné</w:t>
      </w:r>
      <w:r w:rsidRPr="000E61EB">
        <w:t xml:space="preserve"> u </w:t>
      </w:r>
      <w:r w:rsidRPr="000E61EB">
        <w:rPr>
          <w:spacing w:val="-1"/>
        </w:rPr>
        <w:t>pacientov,</w:t>
      </w:r>
      <w:r w:rsidRPr="000E61EB">
        <w:t xml:space="preserve"> u </w:t>
      </w:r>
      <w:r w:rsidRPr="000E61EB">
        <w:rPr>
          <w:spacing w:val="-1"/>
        </w:rPr>
        <w:t>ktorých</w:t>
      </w:r>
      <w:r w:rsidRPr="000E61EB">
        <w:rPr>
          <w:spacing w:val="45"/>
        </w:rPr>
        <w:t xml:space="preserve"> </w:t>
      </w:r>
      <w:r w:rsidRPr="000E61EB">
        <w:t xml:space="preserve">sa </w:t>
      </w:r>
      <w:r w:rsidRPr="000E61EB">
        <w:rPr>
          <w:spacing w:val="-1"/>
        </w:rPr>
        <w:t>predpokladá</w:t>
      </w:r>
      <w:r w:rsidRPr="000E61EB">
        <w:t xml:space="preserve"> </w:t>
      </w:r>
      <w:r w:rsidRPr="000E61EB">
        <w:rPr>
          <w:spacing w:val="-1"/>
        </w:rPr>
        <w:t>redukcia</w:t>
      </w:r>
      <w:r w:rsidRPr="000E61EB">
        <w:t xml:space="preserve"> </w:t>
      </w:r>
      <w:r w:rsidRPr="000E61EB">
        <w:rPr>
          <w:spacing w:val="-2"/>
        </w:rPr>
        <w:t>dávok</w:t>
      </w:r>
      <w:r w:rsidRPr="000E61EB">
        <w:rPr>
          <w:spacing w:val="-3"/>
        </w:rPr>
        <w:t xml:space="preserve"> </w:t>
      </w:r>
      <w:r w:rsidRPr="000E61EB">
        <w:rPr>
          <w:spacing w:val="-1"/>
        </w:rPr>
        <w:t>levodopy.</w:t>
      </w:r>
      <w:r w:rsidRPr="000E61EB">
        <w:t xml:space="preserve"> </w:t>
      </w:r>
      <w:r w:rsidRPr="000E61EB">
        <w:rPr>
          <w:spacing w:val="-1"/>
        </w:rPr>
        <w:t>Odporúča</w:t>
      </w:r>
      <w:r w:rsidRPr="000E61EB">
        <w:rPr>
          <w:spacing w:val="-2"/>
        </w:rPr>
        <w:t xml:space="preserve"> </w:t>
      </w:r>
      <w:r w:rsidRPr="000E61EB">
        <w:rPr>
          <w:spacing w:val="-1"/>
        </w:rPr>
        <w:t>sa,</w:t>
      </w:r>
      <w:r w:rsidRPr="000E61EB">
        <w:t xml:space="preserve"> aby</w:t>
      </w:r>
      <w:r w:rsidRPr="000E61EB">
        <w:rPr>
          <w:spacing w:val="-3"/>
        </w:rPr>
        <w:t xml:space="preserve"> </w:t>
      </w:r>
      <w:r w:rsidRPr="000E61EB">
        <w:t xml:space="preserve">sa </w:t>
      </w:r>
      <w:r w:rsidRPr="000E61EB">
        <w:rPr>
          <w:spacing w:val="-1"/>
        </w:rPr>
        <w:t>dávkovanie</w:t>
      </w:r>
      <w:r w:rsidRPr="000E61EB">
        <w:t xml:space="preserve"> </w:t>
      </w:r>
      <w:r w:rsidRPr="000E61EB">
        <w:rPr>
          <w:spacing w:val="-1"/>
        </w:rPr>
        <w:t>levodopy</w:t>
      </w:r>
      <w:r w:rsidRPr="000E61EB">
        <w:rPr>
          <w:spacing w:val="-3"/>
        </w:rPr>
        <w:t xml:space="preserve"> </w:t>
      </w:r>
      <w:r w:rsidRPr="000E61EB">
        <w:rPr>
          <w:spacing w:val="-1"/>
        </w:rPr>
        <w:t>znižovalo</w:t>
      </w:r>
      <w:r w:rsidRPr="000E61EB">
        <w:t xml:space="preserve"> tak</w:t>
      </w:r>
      <w:r w:rsidRPr="000E61EB">
        <w:rPr>
          <w:spacing w:val="71"/>
        </w:rPr>
        <w:t xml:space="preserve"> </w:t>
      </w:r>
      <w:r w:rsidRPr="000E61EB">
        <w:t xml:space="preserve">počas </w:t>
      </w:r>
      <w:r w:rsidRPr="000E61EB">
        <w:rPr>
          <w:spacing w:val="-1"/>
        </w:rPr>
        <w:t>zvyšovania</w:t>
      </w:r>
      <w:r w:rsidRPr="000E61EB">
        <w:t xml:space="preserve"> </w:t>
      </w:r>
      <w:r w:rsidRPr="000E61EB">
        <w:rPr>
          <w:spacing w:val="-1"/>
        </w:rPr>
        <w:t>dávky</w:t>
      </w:r>
      <w:r w:rsidRPr="000E61EB">
        <w:rPr>
          <w:spacing w:val="-3"/>
        </w:rPr>
        <w:t xml:space="preserve"> </w:t>
      </w:r>
      <w:r w:rsidRPr="000E61EB">
        <w:t xml:space="preserve">ako </w:t>
      </w:r>
      <w:r w:rsidRPr="000E61EB">
        <w:rPr>
          <w:spacing w:val="-1"/>
        </w:rPr>
        <w:t>aj</w:t>
      </w:r>
      <w:r w:rsidRPr="000E61EB">
        <w:rPr>
          <w:spacing w:val="3"/>
        </w:rPr>
        <w:t xml:space="preserve"> </w:t>
      </w:r>
      <w:r w:rsidRPr="000E61EB">
        <w:rPr>
          <w:spacing w:val="-1"/>
        </w:rPr>
        <w:t>pri</w:t>
      </w:r>
      <w:r w:rsidRPr="000E61EB">
        <w:rPr>
          <w:spacing w:val="-2"/>
        </w:rPr>
        <w:t xml:space="preserve"> </w:t>
      </w:r>
      <w:r w:rsidRPr="000E61EB">
        <w:rPr>
          <w:spacing w:val="-1"/>
        </w:rPr>
        <w:t>udržiavacej</w:t>
      </w:r>
      <w:r w:rsidRPr="000E61EB">
        <w:rPr>
          <w:spacing w:val="-2"/>
        </w:rPr>
        <w:t xml:space="preserve"> </w:t>
      </w:r>
      <w:r w:rsidRPr="000E61EB">
        <w:t>liečbe</w:t>
      </w:r>
      <w:r w:rsidRPr="000E61EB">
        <w:rPr>
          <w:spacing w:val="-2"/>
        </w:rPr>
        <w:t xml:space="preserve"> </w:t>
      </w:r>
      <w:r w:rsidR="00580E05" w:rsidRPr="000E61EB">
        <w:rPr>
          <w:spacing w:val="-1"/>
        </w:rPr>
        <w:t>Pramipexolom Teva Pharma</w:t>
      </w:r>
      <w:r w:rsidRPr="000E61EB">
        <w:rPr>
          <w:spacing w:val="-1"/>
        </w:rPr>
        <w:t>,</w:t>
      </w:r>
      <w:r w:rsidRPr="000E61EB">
        <w:t xml:space="preserve"> v</w:t>
      </w:r>
      <w:r w:rsidRPr="000E61EB">
        <w:rPr>
          <w:spacing w:val="-3"/>
        </w:rPr>
        <w:t xml:space="preserve"> </w:t>
      </w:r>
      <w:r w:rsidRPr="000E61EB">
        <w:rPr>
          <w:spacing w:val="-1"/>
        </w:rPr>
        <w:t>závislosti</w:t>
      </w:r>
      <w:r w:rsidRPr="000E61EB">
        <w:rPr>
          <w:spacing w:val="1"/>
        </w:rPr>
        <w:t xml:space="preserve"> </w:t>
      </w:r>
      <w:r w:rsidRPr="000E61EB">
        <w:t>od</w:t>
      </w:r>
      <w:r w:rsidRPr="000E61EB">
        <w:rPr>
          <w:spacing w:val="-5"/>
        </w:rPr>
        <w:t xml:space="preserve"> </w:t>
      </w:r>
      <w:r w:rsidRPr="000E61EB">
        <w:rPr>
          <w:spacing w:val="-1"/>
        </w:rPr>
        <w:t>odpovede</w:t>
      </w:r>
      <w:r w:rsidRPr="000E61EB">
        <w:rPr>
          <w:spacing w:val="47"/>
        </w:rPr>
        <w:t xml:space="preserve"> </w:t>
      </w:r>
      <w:r w:rsidRPr="000E61EB">
        <w:rPr>
          <w:spacing w:val="-1"/>
        </w:rPr>
        <w:t>jednotlivých</w:t>
      </w:r>
      <w:r w:rsidRPr="000E61EB">
        <w:t xml:space="preserve"> pacientov</w:t>
      </w:r>
      <w:r w:rsidRPr="000E61EB">
        <w:rPr>
          <w:spacing w:val="-3"/>
        </w:rPr>
        <w:t xml:space="preserve"> </w:t>
      </w:r>
      <w:r w:rsidRPr="000E61EB">
        <w:rPr>
          <w:spacing w:val="-1"/>
        </w:rPr>
        <w:t>(pozri</w:t>
      </w:r>
      <w:r w:rsidRPr="000E61EB">
        <w:rPr>
          <w:spacing w:val="1"/>
        </w:rPr>
        <w:t xml:space="preserve"> </w:t>
      </w:r>
      <w:r w:rsidRPr="000E61EB">
        <w:rPr>
          <w:spacing w:val="-1"/>
        </w:rPr>
        <w:t>časť 4.5).</w:t>
      </w:r>
    </w:p>
    <w:p w14:paraId="52764E7B" w14:textId="77777777" w:rsidR="009C7EBE" w:rsidRPr="000E61EB" w:rsidRDefault="009C7EBE" w:rsidP="005129BD">
      <w:pPr>
        <w:tabs>
          <w:tab w:val="left" w:pos="567"/>
        </w:tabs>
        <w:spacing w:line="260" w:lineRule="exact"/>
        <w:rPr>
          <w:spacing w:val="-1"/>
        </w:rPr>
      </w:pPr>
    </w:p>
    <w:p w14:paraId="1FADABA3" w14:textId="77777777" w:rsidR="00651D47" w:rsidRPr="000E61EB" w:rsidRDefault="00651D47" w:rsidP="009C7EBE">
      <w:pPr>
        <w:tabs>
          <w:tab w:val="left" w:pos="567"/>
        </w:tabs>
        <w:spacing w:line="260" w:lineRule="exact"/>
        <w:rPr>
          <w:i/>
          <w:spacing w:val="-1"/>
          <w:u w:val="single"/>
        </w:rPr>
      </w:pPr>
      <w:r w:rsidRPr="000E61EB">
        <w:rPr>
          <w:i/>
          <w:spacing w:val="-1"/>
          <w:u w:val="single"/>
        </w:rPr>
        <w:t>Vynechanie dávky</w:t>
      </w:r>
    </w:p>
    <w:p w14:paraId="649E55B8" w14:textId="77777777" w:rsidR="00651D47" w:rsidRPr="000E61EB" w:rsidRDefault="00651D47" w:rsidP="009C7EBE">
      <w:pPr>
        <w:tabs>
          <w:tab w:val="left" w:pos="567"/>
        </w:tabs>
        <w:spacing w:line="260" w:lineRule="exact"/>
        <w:rPr>
          <w:spacing w:val="-1"/>
        </w:rPr>
      </w:pPr>
      <w:r w:rsidRPr="000E61EB">
        <w:rPr>
          <w:spacing w:val="-1"/>
        </w:rPr>
        <w:t>Keď pacient zabudne užiť dávku, majú sa tablety Pramipexolu Teva Pharma užiť do 12 hodín po stanovenom čase. Po 12 hodinách sa má vynechaná dávka vypustiť a nasledujúca dávka sa má užiť ďalší deň v príslušnom čase.</w:t>
      </w:r>
    </w:p>
    <w:p w14:paraId="294B54F4" w14:textId="77777777" w:rsidR="00651D47" w:rsidRPr="000E61EB" w:rsidRDefault="00651D47" w:rsidP="009C7EBE">
      <w:pPr>
        <w:tabs>
          <w:tab w:val="left" w:pos="567"/>
        </w:tabs>
        <w:spacing w:line="260" w:lineRule="exact"/>
        <w:rPr>
          <w:spacing w:val="-1"/>
        </w:rPr>
      </w:pPr>
    </w:p>
    <w:p w14:paraId="4A06D7B3" w14:textId="77777777" w:rsidR="00FF6E8F" w:rsidRPr="000E61EB" w:rsidRDefault="00FF6E8F" w:rsidP="009C7EBE">
      <w:pPr>
        <w:tabs>
          <w:tab w:val="left" w:pos="567"/>
        </w:tabs>
        <w:spacing w:line="260" w:lineRule="exact"/>
        <w:rPr>
          <w:i/>
          <w:spacing w:val="-1"/>
          <w:u w:val="single"/>
        </w:rPr>
      </w:pPr>
      <w:r w:rsidRPr="000E61EB">
        <w:rPr>
          <w:i/>
          <w:spacing w:val="-1"/>
          <w:u w:val="single"/>
        </w:rPr>
        <w:t>Prerušenie liečby:</w:t>
      </w:r>
    </w:p>
    <w:p w14:paraId="038DDDAD" w14:textId="7F706F15" w:rsidR="00FF6E8F" w:rsidRPr="000E61EB" w:rsidRDefault="00FF6E8F" w:rsidP="004F728D">
      <w:pPr>
        <w:tabs>
          <w:tab w:val="left" w:pos="567"/>
        </w:tabs>
        <w:spacing w:line="260" w:lineRule="exact"/>
        <w:rPr>
          <w:spacing w:val="-1"/>
        </w:rPr>
      </w:pPr>
      <w:r w:rsidRPr="000E61EB">
        <w:rPr>
          <w:spacing w:val="-1"/>
        </w:rPr>
        <w:t>Náhle prerušenie dopam</w:t>
      </w:r>
      <w:r w:rsidR="008F2C39" w:rsidRPr="000E61EB">
        <w:rPr>
          <w:spacing w:val="-1"/>
        </w:rPr>
        <w:t>í</w:t>
      </w:r>
      <w:r w:rsidRPr="000E61EB">
        <w:rPr>
          <w:spacing w:val="-1"/>
        </w:rPr>
        <w:t>nergnej terapie môže viesť k rozvoju neuroleptického malígneho syndrómu</w:t>
      </w:r>
      <w:r w:rsidR="004F728D">
        <w:rPr>
          <w:spacing w:val="-1"/>
        </w:rPr>
        <w:t xml:space="preserve"> alebo </w:t>
      </w:r>
      <w:r w:rsidR="004F728D" w:rsidRPr="004F728D">
        <w:rPr>
          <w:spacing w:val="-1"/>
        </w:rPr>
        <w:t xml:space="preserve">abstinenčného syndrómu spôsobeného </w:t>
      </w:r>
      <w:r w:rsidR="004F728D">
        <w:rPr>
          <w:spacing w:val="-1"/>
        </w:rPr>
        <w:t>vysadením dopamínového agonistu</w:t>
      </w:r>
      <w:r w:rsidRPr="000E61EB">
        <w:rPr>
          <w:spacing w:val="-1"/>
        </w:rPr>
        <w:t xml:space="preserve"> Postupne sa má znižovať dávka pramipexolu po </w:t>
      </w:r>
      <w:r w:rsidR="00571A06" w:rsidRPr="000E61EB">
        <w:rPr>
          <w:spacing w:val="-1"/>
        </w:rPr>
        <w:t>0,52</w:t>
      </w:r>
      <w:r w:rsidRPr="000E61EB">
        <w:rPr>
          <w:spacing w:val="-1"/>
        </w:rPr>
        <w:t xml:space="preserve"> mg bázy (0,75 mg soli) denne až do dosiahnutia dennej dávky zredukovanej </w:t>
      </w:r>
      <w:r w:rsidR="00571A06" w:rsidRPr="000E61EB">
        <w:rPr>
          <w:spacing w:val="-1"/>
        </w:rPr>
        <w:t>na 0,52</w:t>
      </w:r>
      <w:r w:rsidRPr="000E61EB">
        <w:rPr>
          <w:spacing w:val="-1"/>
        </w:rPr>
        <w:t xml:space="preserve"> mg bázy (0,75 mg soli). Potom sa dávka znižuje po </w:t>
      </w:r>
      <w:r w:rsidR="00571A06" w:rsidRPr="000E61EB">
        <w:rPr>
          <w:spacing w:val="-1"/>
        </w:rPr>
        <w:t xml:space="preserve">0,26 </w:t>
      </w:r>
      <w:r w:rsidRPr="000E61EB">
        <w:rPr>
          <w:spacing w:val="-1"/>
        </w:rPr>
        <w:t>mg bázy (0,375 mg soli) denne (pozri časť 4.4).</w:t>
      </w:r>
      <w:r w:rsidR="004F728D">
        <w:rPr>
          <w:spacing w:val="-1"/>
        </w:rPr>
        <w:t xml:space="preserve"> </w:t>
      </w:r>
      <w:r w:rsidR="004F728D" w:rsidRPr="004F728D">
        <w:rPr>
          <w:spacing w:val="-1"/>
        </w:rPr>
        <w:t>Abstinenčný syndróm spôsobený vysadením dopamínového ag</w:t>
      </w:r>
      <w:r w:rsidR="004F728D">
        <w:rPr>
          <w:spacing w:val="-1"/>
        </w:rPr>
        <w:t xml:space="preserve">onistu sa môže objaviť aj počas </w:t>
      </w:r>
      <w:r w:rsidR="004F728D" w:rsidRPr="004F728D">
        <w:rPr>
          <w:spacing w:val="-1"/>
        </w:rPr>
        <w:t>postupného znižovania dávky a pred pokračovaním v postupnom zn</w:t>
      </w:r>
      <w:r w:rsidR="004F728D">
        <w:rPr>
          <w:spacing w:val="-1"/>
        </w:rPr>
        <w:t xml:space="preserve">ižovaní dávky môže byť potrebné </w:t>
      </w:r>
      <w:r w:rsidR="004F728D" w:rsidRPr="004F728D">
        <w:rPr>
          <w:spacing w:val="-1"/>
        </w:rPr>
        <w:t>dočasné zvýšenie dávky (pozri časť 4.4).</w:t>
      </w:r>
    </w:p>
    <w:p w14:paraId="747DDBAF" w14:textId="77777777" w:rsidR="00060783" w:rsidRPr="000E61EB" w:rsidRDefault="00060783" w:rsidP="00B12CB0">
      <w:pPr>
        <w:tabs>
          <w:tab w:val="left" w:pos="567"/>
        </w:tabs>
        <w:spacing w:line="260" w:lineRule="exact"/>
        <w:rPr>
          <w:spacing w:val="-1"/>
        </w:rPr>
      </w:pPr>
    </w:p>
    <w:p w14:paraId="1B61BE5D" w14:textId="77777777" w:rsidR="00060783" w:rsidRPr="000E61EB" w:rsidRDefault="00097564" w:rsidP="00B12CB0">
      <w:pPr>
        <w:tabs>
          <w:tab w:val="left" w:pos="567"/>
        </w:tabs>
        <w:spacing w:line="260" w:lineRule="exact"/>
        <w:rPr>
          <w:i/>
          <w:spacing w:val="-1"/>
          <w:u w:val="single"/>
        </w:rPr>
      </w:pPr>
      <w:r w:rsidRPr="000E61EB">
        <w:rPr>
          <w:i/>
          <w:spacing w:val="-1"/>
          <w:u w:val="single"/>
        </w:rPr>
        <w:t>P</w:t>
      </w:r>
      <w:r w:rsidR="00060783" w:rsidRPr="000E61EB">
        <w:rPr>
          <w:i/>
          <w:spacing w:val="-1"/>
          <w:u w:val="single"/>
        </w:rPr>
        <w:t>oškoden</w:t>
      </w:r>
      <w:r w:rsidRPr="000E61EB">
        <w:rPr>
          <w:i/>
          <w:spacing w:val="-1"/>
          <w:u w:val="single"/>
        </w:rPr>
        <w:t>ie</w:t>
      </w:r>
      <w:r w:rsidR="00060783" w:rsidRPr="000E61EB">
        <w:rPr>
          <w:i/>
          <w:spacing w:val="-1"/>
          <w:u w:val="single"/>
        </w:rPr>
        <w:t xml:space="preserve"> funkci</w:t>
      </w:r>
      <w:r w:rsidRPr="000E61EB">
        <w:rPr>
          <w:i/>
          <w:spacing w:val="-1"/>
          <w:u w:val="single"/>
        </w:rPr>
        <w:t>e</w:t>
      </w:r>
      <w:r w:rsidR="00060783" w:rsidRPr="000E61EB">
        <w:rPr>
          <w:i/>
          <w:spacing w:val="-1"/>
          <w:u w:val="single"/>
        </w:rPr>
        <w:t xml:space="preserve"> obličiek</w:t>
      </w:r>
    </w:p>
    <w:p w14:paraId="0FD0BDF2" w14:textId="77777777" w:rsidR="00060783" w:rsidRPr="000E61EB" w:rsidRDefault="00060783" w:rsidP="00B12CB0">
      <w:pPr>
        <w:tabs>
          <w:tab w:val="left" w:pos="567"/>
        </w:tabs>
        <w:spacing w:line="260" w:lineRule="exact"/>
        <w:rPr>
          <w:spacing w:val="-1"/>
        </w:rPr>
      </w:pPr>
      <w:r w:rsidRPr="000E61EB">
        <w:rPr>
          <w:spacing w:val="-1"/>
        </w:rPr>
        <w:t>Vylučovanie pramipexolu závisí od funkcie obličiek. Pre zahájenie liečby sa navrhuje nasledovná schéma dávkovania:</w:t>
      </w:r>
      <w:r w:rsidR="00312DA3" w:rsidRPr="000E61EB">
        <w:rPr>
          <w:spacing w:val="-1"/>
        </w:rPr>
        <w:t xml:space="preserve"> u</w:t>
      </w:r>
      <w:r w:rsidRPr="000E61EB">
        <w:rPr>
          <w:spacing w:val="-1"/>
        </w:rPr>
        <w:t xml:space="preserve"> pacientov s klírensom kreatinínu nad 50 ml/min sa nevyžaduje zníženie dennej dávky alebo frekvencie dávkovania.</w:t>
      </w:r>
    </w:p>
    <w:p w14:paraId="56139D51" w14:textId="77777777" w:rsidR="00FA2211" w:rsidRPr="000E61EB" w:rsidRDefault="00FA2211" w:rsidP="00B12CB0">
      <w:pPr>
        <w:tabs>
          <w:tab w:val="left" w:pos="567"/>
        </w:tabs>
        <w:spacing w:line="260" w:lineRule="exact"/>
        <w:rPr>
          <w:spacing w:val="-1"/>
        </w:rPr>
      </w:pPr>
    </w:p>
    <w:p w14:paraId="4987134D" w14:textId="77777777" w:rsidR="00060783" w:rsidRPr="000E61EB" w:rsidRDefault="00060783" w:rsidP="00B12CB0">
      <w:pPr>
        <w:tabs>
          <w:tab w:val="left" w:pos="567"/>
        </w:tabs>
        <w:spacing w:line="260" w:lineRule="exact"/>
        <w:rPr>
          <w:rFonts w:eastAsia="Times New Roman"/>
          <w:color w:val="777777"/>
        </w:rPr>
      </w:pPr>
      <w:r w:rsidRPr="000E61EB">
        <w:rPr>
          <w:spacing w:val="-1"/>
        </w:rPr>
        <w:t xml:space="preserve">U pacientov s hodnotami klírensu kreatinínu medzi </w:t>
      </w:r>
      <w:r w:rsidR="00E551BA" w:rsidRPr="000E61EB">
        <w:rPr>
          <w:spacing w:val="-1"/>
        </w:rPr>
        <w:t>3</w:t>
      </w:r>
      <w:r w:rsidRPr="000E61EB">
        <w:rPr>
          <w:spacing w:val="-1"/>
        </w:rPr>
        <w:t xml:space="preserve">0 a 50 ml/min sa má </w:t>
      </w:r>
      <w:r w:rsidR="004F4B7A" w:rsidRPr="000E61EB">
        <w:rPr>
          <w:spacing w:val="-1"/>
        </w:rPr>
        <w:t xml:space="preserve">liečba začať 0,26 mg </w:t>
      </w:r>
      <w:r w:rsidR="00E551BA" w:rsidRPr="000E61EB">
        <w:rPr>
          <w:spacing w:val="-1"/>
        </w:rPr>
        <w:t>Pramipexolu Teva Pharma</w:t>
      </w:r>
      <w:r w:rsidRPr="000E61EB">
        <w:rPr>
          <w:spacing w:val="-3"/>
        </w:rPr>
        <w:t xml:space="preserve"> </w:t>
      </w:r>
      <w:r w:rsidRPr="000E61EB">
        <w:rPr>
          <w:spacing w:val="-1"/>
        </w:rPr>
        <w:t>podáva</w:t>
      </w:r>
      <w:r w:rsidR="00DE5556" w:rsidRPr="000E61EB">
        <w:rPr>
          <w:spacing w:val="-1"/>
        </w:rPr>
        <w:t>ných</w:t>
      </w:r>
      <w:r w:rsidR="00810444" w:rsidRPr="000E61EB">
        <w:rPr>
          <w:spacing w:val="-1"/>
        </w:rPr>
        <w:t xml:space="preserve"> každý druhý</w:t>
      </w:r>
      <w:r w:rsidR="004F4B7A" w:rsidRPr="000E61EB">
        <w:rPr>
          <w:spacing w:val="-1"/>
        </w:rPr>
        <w:t xml:space="preserve"> deň.</w:t>
      </w:r>
      <w:r w:rsidR="001F245E" w:rsidRPr="000E61EB">
        <w:t xml:space="preserve"> Na zvýšenie dennej dávky po prvom týždni je potrebná opatrnosť a starostlivé posúdenie </w:t>
      </w:r>
      <w:r w:rsidR="001F245E" w:rsidRPr="000E61EB">
        <w:rPr>
          <w:rFonts w:eastAsia="Times New Roman"/>
          <w:color w:val="222222"/>
        </w:rPr>
        <w:t>terapeutickej odpovede a znášanlivosti po prvom týždni. Ak je potrebné ďalšie zvyšovanie dávky, tá má byť zvýšená o 0,26 mg bázy pramipexolu v týždenných intervaloch až do maximálnej dávky 1,57 mg bázy pramipexolu (2,25 mg soli) denne.</w:t>
      </w:r>
    </w:p>
    <w:p w14:paraId="5DFC59DF" w14:textId="77777777" w:rsidR="00D375BC" w:rsidRPr="000E61EB" w:rsidRDefault="00D375BC" w:rsidP="000E4AFD">
      <w:pPr>
        <w:pStyle w:val="Bezriadkovania"/>
      </w:pPr>
    </w:p>
    <w:p w14:paraId="3510A53E" w14:textId="77777777" w:rsidR="00C736D4" w:rsidRPr="000E61EB" w:rsidRDefault="00C736D4" w:rsidP="000E4AFD">
      <w:pPr>
        <w:pStyle w:val="Bezriadkovania"/>
      </w:pPr>
      <w:r w:rsidRPr="000E61EB">
        <w:t xml:space="preserve">Liečba pacientov s klírensom kreatinínu pod 30 ml/min Pramipexolom Teva Pharma tablety s predĺženým uvoľňovaním sa neodporúča, pretože pre túto skupinu pacientov nie sú k dispozícii žiadne údaje. Použitie </w:t>
      </w:r>
      <w:r w:rsidR="00063886" w:rsidRPr="000E61EB">
        <w:t>Pramipexol</w:t>
      </w:r>
      <w:r w:rsidR="00C22502" w:rsidRPr="000E61EB">
        <w:t>u</w:t>
      </w:r>
      <w:r w:rsidR="00063886" w:rsidRPr="000E61EB">
        <w:t xml:space="preserve"> Teva Pharma </w:t>
      </w:r>
      <w:r w:rsidRPr="000E61EB">
        <w:t xml:space="preserve"> </w:t>
      </w:r>
      <w:r w:rsidR="00063886" w:rsidRPr="000E61EB">
        <w:t xml:space="preserve">tablety má byť </w:t>
      </w:r>
      <w:r w:rsidR="00AB650D" w:rsidRPr="000E61EB">
        <w:t>zvá</w:t>
      </w:r>
      <w:r w:rsidR="00FC53DB" w:rsidRPr="000E61EB">
        <w:t>žené.</w:t>
      </w:r>
    </w:p>
    <w:p w14:paraId="5A9FFE35" w14:textId="77777777" w:rsidR="00D375BC" w:rsidRPr="000E61EB" w:rsidRDefault="00D375BC" w:rsidP="000E4AFD">
      <w:pPr>
        <w:pStyle w:val="Bezriadkovania"/>
      </w:pPr>
    </w:p>
    <w:p w14:paraId="46E82A6B" w14:textId="77777777" w:rsidR="006A0A1F" w:rsidRPr="000E61EB" w:rsidRDefault="006A0A1F" w:rsidP="000E4AFD">
      <w:pPr>
        <w:pStyle w:val="Bezriadkovania"/>
        <w:rPr>
          <w:color w:val="777777"/>
          <w:sz w:val="20"/>
          <w:szCs w:val="20"/>
        </w:rPr>
      </w:pPr>
      <w:r w:rsidRPr="000E61EB">
        <w:t>Ak sa funkcia obličiek zhoršuje počas udržiavacej liečby, je potrebné dodržiavať odporúčania uvedené vyššie.</w:t>
      </w:r>
    </w:p>
    <w:p w14:paraId="53B02BAD" w14:textId="77777777" w:rsidR="00D375BC" w:rsidRPr="000E61EB" w:rsidRDefault="00D375BC" w:rsidP="00C00309">
      <w:pPr>
        <w:tabs>
          <w:tab w:val="left" w:pos="567"/>
        </w:tabs>
        <w:spacing w:line="260" w:lineRule="exact"/>
        <w:rPr>
          <w:i/>
          <w:spacing w:val="-1"/>
          <w:u w:val="single"/>
        </w:rPr>
      </w:pPr>
    </w:p>
    <w:p w14:paraId="28887FC3" w14:textId="77777777" w:rsidR="00060783" w:rsidRPr="000E61EB" w:rsidRDefault="00097564" w:rsidP="00C00309">
      <w:pPr>
        <w:tabs>
          <w:tab w:val="left" w:pos="567"/>
        </w:tabs>
        <w:spacing w:line="260" w:lineRule="exact"/>
        <w:rPr>
          <w:i/>
          <w:spacing w:val="-1"/>
          <w:u w:val="single"/>
        </w:rPr>
      </w:pPr>
      <w:r w:rsidRPr="000E61EB">
        <w:rPr>
          <w:i/>
          <w:spacing w:val="-1"/>
          <w:u w:val="single"/>
        </w:rPr>
        <w:t>P</w:t>
      </w:r>
      <w:r w:rsidR="00060783" w:rsidRPr="000E61EB">
        <w:rPr>
          <w:i/>
          <w:spacing w:val="-1"/>
          <w:u w:val="single"/>
        </w:rPr>
        <w:t>oškoden</w:t>
      </w:r>
      <w:r w:rsidRPr="000E61EB">
        <w:rPr>
          <w:i/>
          <w:spacing w:val="-1"/>
          <w:u w:val="single"/>
        </w:rPr>
        <w:t>ie</w:t>
      </w:r>
      <w:r w:rsidR="00060783" w:rsidRPr="000E61EB">
        <w:rPr>
          <w:i/>
          <w:spacing w:val="-1"/>
          <w:u w:val="single"/>
        </w:rPr>
        <w:t xml:space="preserve"> </w:t>
      </w:r>
      <w:r w:rsidR="00C22502" w:rsidRPr="000E61EB">
        <w:rPr>
          <w:i/>
          <w:spacing w:val="-1"/>
          <w:u w:val="single"/>
        </w:rPr>
        <w:t xml:space="preserve">funkcie </w:t>
      </w:r>
      <w:r w:rsidR="00060783" w:rsidRPr="000E61EB">
        <w:rPr>
          <w:i/>
          <w:spacing w:val="-1"/>
          <w:u w:val="single"/>
        </w:rPr>
        <w:t>pečene</w:t>
      </w:r>
    </w:p>
    <w:p w14:paraId="179A359B" w14:textId="77777777" w:rsidR="00060783" w:rsidRPr="000E61EB" w:rsidRDefault="00060783" w:rsidP="004D1D8F">
      <w:pPr>
        <w:tabs>
          <w:tab w:val="left" w:pos="567"/>
        </w:tabs>
        <w:spacing w:line="260" w:lineRule="exact"/>
        <w:rPr>
          <w:spacing w:val="-1"/>
        </w:rPr>
      </w:pPr>
      <w:r w:rsidRPr="000E61EB">
        <w:rPr>
          <w:spacing w:val="-1"/>
        </w:rPr>
        <w:t>Úprava dávky u pacientov so zlyhaním pečene pravdepodobne nie je nevyhnutná, pretože približne 90% absorbovaného</w:t>
      </w:r>
      <w:r w:rsidRPr="000E61EB">
        <w:rPr>
          <w:spacing w:val="-3"/>
        </w:rPr>
        <w:t xml:space="preserve"> </w:t>
      </w:r>
      <w:r w:rsidRPr="000E61EB">
        <w:rPr>
          <w:spacing w:val="-1"/>
        </w:rPr>
        <w:t>liečiva</w:t>
      </w:r>
      <w:r w:rsidRPr="000E61EB">
        <w:rPr>
          <w:spacing w:val="-2"/>
        </w:rPr>
        <w:t xml:space="preserve"> </w:t>
      </w:r>
      <w:r w:rsidRPr="000E61EB">
        <w:t xml:space="preserve">sa </w:t>
      </w:r>
      <w:r w:rsidRPr="000E61EB">
        <w:rPr>
          <w:spacing w:val="-1"/>
        </w:rPr>
        <w:t>vylučuje</w:t>
      </w:r>
      <w:r w:rsidRPr="000E61EB">
        <w:t xml:space="preserve"> </w:t>
      </w:r>
      <w:r w:rsidRPr="000E61EB">
        <w:rPr>
          <w:spacing w:val="-2"/>
        </w:rPr>
        <w:t>obličkami.</w:t>
      </w:r>
      <w:r w:rsidRPr="000E61EB">
        <w:t xml:space="preserve"> </w:t>
      </w:r>
      <w:r w:rsidRPr="000E61EB">
        <w:rPr>
          <w:spacing w:val="-1"/>
        </w:rPr>
        <w:t>Možný</w:t>
      </w:r>
      <w:r w:rsidRPr="000E61EB">
        <w:t xml:space="preserve"> </w:t>
      </w:r>
      <w:r w:rsidRPr="000E61EB">
        <w:rPr>
          <w:spacing w:val="-1"/>
        </w:rPr>
        <w:t>vplyv</w:t>
      </w:r>
      <w:r w:rsidRPr="000E61EB">
        <w:rPr>
          <w:spacing w:val="-3"/>
        </w:rPr>
        <w:t xml:space="preserve"> </w:t>
      </w:r>
      <w:r w:rsidRPr="000E61EB">
        <w:rPr>
          <w:spacing w:val="-1"/>
        </w:rPr>
        <w:t>insuficiencie</w:t>
      </w:r>
      <w:r w:rsidRPr="000E61EB">
        <w:t xml:space="preserve"> </w:t>
      </w:r>
      <w:r w:rsidRPr="000E61EB">
        <w:rPr>
          <w:spacing w:val="-1"/>
        </w:rPr>
        <w:t>pečene</w:t>
      </w:r>
      <w:r w:rsidRPr="000E61EB">
        <w:t xml:space="preserve"> na</w:t>
      </w:r>
      <w:r w:rsidRPr="000E61EB">
        <w:rPr>
          <w:spacing w:val="83"/>
        </w:rPr>
        <w:t xml:space="preserve"> </w:t>
      </w:r>
      <w:r w:rsidRPr="000E61EB">
        <w:rPr>
          <w:spacing w:val="-1"/>
        </w:rPr>
        <w:t>farmakokinetiku</w:t>
      </w:r>
      <w:r w:rsidRPr="000E61EB">
        <w:t xml:space="preserve"> </w:t>
      </w:r>
      <w:r w:rsidR="00E0323B" w:rsidRPr="000E61EB">
        <w:rPr>
          <w:spacing w:val="-1"/>
        </w:rPr>
        <w:t xml:space="preserve">Pramipexolu Teva Pharma </w:t>
      </w:r>
      <w:r w:rsidRPr="000E61EB">
        <w:rPr>
          <w:spacing w:val="-1"/>
        </w:rPr>
        <w:t>sa však neskúmal.</w:t>
      </w:r>
    </w:p>
    <w:p w14:paraId="12074604" w14:textId="77777777" w:rsidR="004D1D8F" w:rsidRPr="000E61EB" w:rsidRDefault="004D1D8F" w:rsidP="00C00309">
      <w:pPr>
        <w:tabs>
          <w:tab w:val="left" w:pos="567"/>
        </w:tabs>
        <w:spacing w:line="260" w:lineRule="exact"/>
        <w:rPr>
          <w:spacing w:val="-1"/>
        </w:rPr>
      </w:pPr>
    </w:p>
    <w:p w14:paraId="3C15BE9A" w14:textId="77777777" w:rsidR="00804787" w:rsidRPr="000E61EB" w:rsidRDefault="001F629C" w:rsidP="00C00309">
      <w:pPr>
        <w:tabs>
          <w:tab w:val="left" w:pos="567"/>
        </w:tabs>
        <w:spacing w:line="260" w:lineRule="exact"/>
        <w:rPr>
          <w:i/>
          <w:spacing w:val="-1"/>
          <w:u w:val="single"/>
        </w:rPr>
      </w:pPr>
      <w:r w:rsidRPr="000E61EB">
        <w:rPr>
          <w:i/>
          <w:spacing w:val="-1"/>
          <w:u w:val="single"/>
        </w:rPr>
        <w:t>Pediatrická populácia</w:t>
      </w:r>
    </w:p>
    <w:p w14:paraId="293DE7CC" w14:textId="77777777" w:rsidR="001F629C" w:rsidRPr="000E61EB" w:rsidRDefault="001F629C" w:rsidP="00C00309">
      <w:pPr>
        <w:tabs>
          <w:tab w:val="left" w:pos="567"/>
        </w:tabs>
        <w:spacing w:line="260" w:lineRule="exact"/>
        <w:rPr>
          <w:spacing w:val="-1"/>
        </w:rPr>
      </w:pPr>
      <w:r w:rsidRPr="000E61EB">
        <w:rPr>
          <w:spacing w:val="-1"/>
        </w:rPr>
        <w:t xml:space="preserve">Bezpečnosť a účinnosť Pramipexolu Teva Pharma u detí </w:t>
      </w:r>
      <w:r w:rsidR="00187C02" w:rsidRPr="000E61EB">
        <w:rPr>
          <w:spacing w:val="-1"/>
        </w:rPr>
        <w:t xml:space="preserve">vo veku </w:t>
      </w:r>
      <w:r w:rsidRPr="000E61EB">
        <w:rPr>
          <w:spacing w:val="-1"/>
        </w:rPr>
        <w:t xml:space="preserve">do 18 rokov </w:t>
      </w:r>
      <w:r w:rsidR="00A62CA2" w:rsidRPr="000E61EB">
        <w:rPr>
          <w:spacing w:val="-1"/>
        </w:rPr>
        <w:t>neboli stanovené</w:t>
      </w:r>
      <w:r w:rsidRPr="000E61EB">
        <w:rPr>
          <w:spacing w:val="-1"/>
        </w:rPr>
        <w:t xml:space="preserve">. </w:t>
      </w:r>
      <w:r w:rsidR="00A62CA2" w:rsidRPr="000E61EB">
        <w:rPr>
          <w:spacing w:val="-1"/>
        </w:rPr>
        <w:t xml:space="preserve">Použitie </w:t>
      </w:r>
      <w:r w:rsidRPr="000E61EB">
        <w:rPr>
          <w:spacing w:val="-1"/>
        </w:rPr>
        <w:t xml:space="preserve">Pramipexolu Teva Pharma </w:t>
      </w:r>
      <w:r w:rsidR="00A62CA2" w:rsidRPr="000E61EB">
        <w:rPr>
          <w:spacing w:val="-1"/>
        </w:rPr>
        <w:t xml:space="preserve">sa netýka pediatrickej populácie pre indikáciu </w:t>
      </w:r>
      <w:r w:rsidRPr="000E61EB">
        <w:rPr>
          <w:spacing w:val="-1"/>
        </w:rPr>
        <w:t>Parkinsonov</w:t>
      </w:r>
      <w:r w:rsidR="00A62CA2" w:rsidRPr="000E61EB">
        <w:rPr>
          <w:spacing w:val="-1"/>
        </w:rPr>
        <w:t>ej</w:t>
      </w:r>
      <w:r w:rsidRPr="000E61EB">
        <w:rPr>
          <w:spacing w:val="-1"/>
        </w:rPr>
        <w:t xml:space="preserve"> chorob</w:t>
      </w:r>
      <w:r w:rsidR="00A62CA2" w:rsidRPr="000E61EB">
        <w:rPr>
          <w:spacing w:val="-1"/>
        </w:rPr>
        <w:t>y</w:t>
      </w:r>
      <w:r w:rsidRPr="000E61EB">
        <w:rPr>
          <w:spacing w:val="-1"/>
        </w:rPr>
        <w:t>.</w:t>
      </w:r>
    </w:p>
    <w:p w14:paraId="46F24C62" w14:textId="77777777" w:rsidR="00D375BC" w:rsidRPr="000E61EB" w:rsidRDefault="00D375BC" w:rsidP="000E4AFD">
      <w:pPr>
        <w:pStyle w:val="Bezriadkovania"/>
        <w:rPr>
          <w:spacing w:val="-1"/>
        </w:rPr>
      </w:pPr>
    </w:p>
    <w:p w14:paraId="58692C2F" w14:textId="77777777" w:rsidR="00F04AC5" w:rsidRPr="000E61EB" w:rsidRDefault="00F04AC5" w:rsidP="000E4AFD">
      <w:pPr>
        <w:pStyle w:val="Bezriadkovania"/>
        <w:rPr>
          <w:spacing w:val="-1"/>
          <w:u w:val="single"/>
        </w:rPr>
      </w:pPr>
      <w:r w:rsidRPr="000E61EB">
        <w:rPr>
          <w:spacing w:val="-1"/>
          <w:u w:val="single"/>
        </w:rPr>
        <w:lastRenderedPageBreak/>
        <w:t>Spôsob pod</w:t>
      </w:r>
      <w:r w:rsidR="00C22502" w:rsidRPr="000E61EB">
        <w:rPr>
          <w:spacing w:val="-1"/>
          <w:u w:val="single"/>
        </w:rPr>
        <w:t>áv</w:t>
      </w:r>
      <w:r w:rsidRPr="000E61EB">
        <w:rPr>
          <w:spacing w:val="-1"/>
          <w:u w:val="single"/>
        </w:rPr>
        <w:t>ania</w:t>
      </w:r>
    </w:p>
    <w:p w14:paraId="55D0E615" w14:textId="77777777" w:rsidR="00AF377E" w:rsidRDefault="00F04AC5" w:rsidP="000E4AFD">
      <w:pPr>
        <w:pStyle w:val="Bezriadkovania"/>
      </w:pPr>
      <w:r w:rsidRPr="000E61EB">
        <w:rPr>
          <w:spacing w:val="-1"/>
        </w:rPr>
        <w:t xml:space="preserve">Tablety sa majú prehltnúť celé a zapiť vodou, nesmú sa </w:t>
      </w:r>
      <w:r w:rsidR="00A3296C" w:rsidRPr="000E61EB">
        <w:rPr>
          <w:spacing w:val="-1"/>
        </w:rPr>
        <w:t>žuť</w:t>
      </w:r>
      <w:r w:rsidRPr="000E61EB">
        <w:rPr>
          <w:spacing w:val="-1"/>
        </w:rPr>
        <w:t>, deliť alebo drviť. Môžu sa užívať s jedlom alebo bez</w:t>
      </w:r>
      <w:r w:rsidRPr="000E61EB">
        <w:rPr>
          <w:spacing w:val="-2"/>
        </w:rPr>
        <w:t xml:space="preserve"> </w:t>
      </w:r>
      <w:r w:rsidRPr="000E61EB">
        <w:t xml:space="preserve">jedla, a mali by byť </w:t>
      </w:r>
      <w:r w:rsidR="00C22502" w:rsidRPr="000E61EB">
        <w:t xml:space="preserve">užité </w:t>
      </w:r>
      <w:r w:rsidRPr="000E61EB">
        <w:t>každý deň približne v rovnakom čase</w:t>
      </w:r>
      <w:r w:rsidR="00AF377E" w:rsidRPr="000E61EB">
        <w:t xml:space="preserve">. </w:t>
      </w:r>
    </w:p>
    <w:p w14:paraId="7EB0EF52" w14:textId="77777777" w:rsidR="00E06FDB" w:rsidRPr="00E06FDB" w:rsidRDefault="00E06FDB" w:rsidP="00843FEF"/>
    <w:p w14:paraId="0672710F" w14:textId="77777777" w:rsidR="00AF377E" w:rsidRPr="000E61EB" w:rsidRDefault="00777A1E" w:rsidP="000E4AFD">
      <w:pPr>
        <w:pStyle w:val="Bezriadkovania"/>
        <w:rPr>
          <w:b/>
          <w:bCs/>
        </w:rPr>
      </w:pPr>
      <w:r w:rsidRPr="000E61EB">
        <w:rPr>
          <w:b/>
          <w:spacing w:val="-1"/>
        </w:rPr>
        <w:t>4.3</w:t>
      </w:r>
      <w:r w:rsidRPr="000E61EB">
        <w:rPr>
          <w:b/>
          <w:spacing w:val="-1"/>
        </w:rPr>
        <w:tab/>
      </w:r>
      <w:r w:rsidR="00AF377E" w:rsidRPr="000E61EB">
        <w:rPr>
          <w:b/>
          <w:spacing w:val="-1"/>
        </w:rPr>
        <w:t>Kontraindikácie</w:t>
      </w:r>
    </w:p>
    <w:p w14:paraId="6F680E29" w14:textId="77777777" w:rsidR="00D375BC" w:rsidRPr="000E61EB" w:rsidRDefault="00D375BC" w:rsidP="000E4AFD">
      <w:pPr>
        <w:pStyle w:val="Bezriadkovania"/>
        <w:rPr>
          <w:spacing w:val="-1"/>
        </w:rPr>
      </w:pPr>
    </w:p>
    <w:p w14:paraId="05F42034" w14:textId="77777777" w:rsidR="00F70EDF" w:rsidRPr="000E61EB" w:rsidRDefault="00AF377E" w:rsidP="000E4AFD">
      <w:pPr>
        <w:pStyle w:val="Bezriadkovania"/>
      </w:pPr>
      <w:r w:rsidRPr="000E61EB">
        <w:rPr>
          <w:spacing w:val="-1"/>
        </w:rPr>
        <w:t xml:space="preserve">Precitlivenosť </w:t>
      </w:r>
      <w:r w:rsidRPr="000E61EB">
        <w:rPr>
          <w:spacing w:val="-2"/>
        </w:rPr>
        <w:t>na</w:t>
      </w:r>
      <w:r w:rsidRPr="000E61EB">
        <w:t xml:space="preserve"> </w:t>
      </w:r>
      <w:r w:rsidRPr="000E61EB">
        <w:rPr>
          <w:spacing w:val="-1"/>
        </w:rPr>
        <w:t>liečivo</w:t>
      </w:r>
      <w:r w:rsidRPr="000E61EB">
        <w:t xml:space="preserve"> </w:t>
      </w:r>
      <w:r w:rsidRPr="000E61EB">
        <w:rPr>
          <w:spacing w:val="-1"/>
        </w:rPr>
        <w:t>alebo</w:t>
      </w:r>
      <w:r w:rsidRPr="000E61EB">
        <w:t xml:space="preserve"> na </w:t>
      </w:r>
      <w:r w:rsidRPr="000E61EB">
        <w:rPr>
          <w:spacing w:val="-1"/>
        </w:rPr>
        <w:t>ktorúkoľvek</w:t>
      </w:r>
      <w:r w:rsidRPr="000E61EB">
        <w:rPr>
          <w:spacing w:val="-3"/>
        </w:rPr>
        <w:t xml:space="preserve"> </w:t>
      </w:r>
      <w:r w:rsidRPr="000E61EB">
        <w:t>z</w:t>
      </w:r>
      <w:r w:rsidRPr="000E61EB">
        <w:rPr>
          <w:spacing w:val="-2"/>
        </w:rPr>
        <w:t xml:space="preserve"> </w:t>
      </w:r>
      <w:r w:rsidRPr="000E61EB">
        <w:rPr>
          <w:spacing w:val="-1"/>
        </w:rPr>
        <w:t>pomocných</w:t>
      </w:r>
      <w:r w:rsidRPr="000E61EB">
        <w:t xml:space="preserve"> </w:t>
      </w:r>
      <w:r w:rsidRPr="000E61EB">
        <w:rPr>
          <w:spacing w:val="-1"/>
        </w:rPr>
        <w:t>látok</w:t>
      </w:r>
      <w:r w:rsidRPr="000E61EB">
        <w:rPr>
          <w:spacing w:val="-3"/>
        </w:rPr>
        <w:t xml:space="preserve"> </w:t>
      </w:r>
      <w:r w:rsidRPr="000E61EB">
        <w:rPr>
          <w:spacing w:val="-1"/>
        </w:rPr>
        <w:t>uvedených</w:t>
      </w:r>
      <w:r w:rsidRPr="000E61EB">
        <w:t xml:space="preserve"> v</w:t>
      </w:r>
      <w:r w:rsidRPr="000E61EB">
        <w:rPr>
          <w:spacing w:val="-3"/>
        </w:rPr>
        <w:t xml:space="preserve"> </w:t>
      </w:r>
      <w:r w:rsidRPr="000E61EB">
        <w:t>časti</w:t>
      </w:r>
      <w:r w:rsidRPr="000E61EB">
        <w:rPr>
          <w:spacing w:val="-2"/>
        </w:rPr>
        <w:t xml:space="preserve"> </w:t>
      </w:r>
      <w:r w:rsidRPr="000E61EB">
        <w:t>6.1.</w:t>
      </w:r>
    </w:p>
    <w:p w14:paraId="01840E30" w14:textId="77777777" w:rsidR="00D375BC" w:rsidRPr="000E61EB" w:rsidRDefault="00D375BC" w:rsidP="000E4AFD">
      <w:pPr>
        <w:pStyle w:val="Bezriadkovania"/>
        <w:rPr>
          <w:b/>
          <w:spacing w:val="-1"/>
        </w:rPr>
      </w:pPr>
    </w:p>
    <w:p w14:paraId="4220E9C1" w14:textId="77777777" w:rsidR="00F70EDF" w:rsidRPr="000E61EB" w:rsidRDefault="00B632C3" w:rsidP="000E4AFD">
      <w:pPr>
        <w:pStyle w:val="Bezriadkovania"/>
        <w:rPr>
          <w:b/>
          <w:bCs/>
        </w:rPr>
      </w:pPr>
      <w:r w:rsidRPr="000E61EB">
        <w:rPr>
          <w:b/>
          <w:spacing w:val="-1"/>
        </w:rPr>
        <w:t>4.4</w:t>
      </w:r>
      <w:r w:rsidRPr="000E61EB">
        <w:rPr>
          <w:b/>
          <w:spacing w:val="-1"/>
        </w:rPr>
        <w:tab/>
      </w:r>
      <w:r w:rsidR="00F70EDF" w:rsidRPr="000E61EB">
        <w:rPr>
          <w:b/>
          <w:spacing w:val="-1"/>
        </w:rPr>
        <w:t>Osobitné</w:t>
      </w:r>
      <w:r w:rsidR="00F70EDF" w:rsidRPr="000E61EB">
        <w:rPr>
          <w:b/>
        </w:rPr>
        <w:t xml:space="preserve"> </w:t>
      </w:r>
      <w:r w:rsidR="00F70EDF" w:rsidRPr="000E61EB">
        <w:rPr>
          <w:b/>
          <w:spacing w:val="-1"/>
        </w:rPr>
        <w:t>upozornenia</w:t>
      </w:r>
      <w:r w:rsidR="00F70EDF" w:rsidRPr="000E61EB">
        <w:rPr>
          <w:b/>
        </w:rPr>
        <w:t xml:space="preserve"> a </w:t>
      </w:r>
      <w:r w:rsidR="00F70EDF" w:rsidRPr="000E61EB">
        <w:rPr>
          <w:b/>
          <w:spacing w:val="-1"/>
        </w:rPr>
        <w:t>opatrenia</w:t>
      </w:r>
      <w:r w:rsidR="00F70EDF" w:rsidRPr="000E61EB">
        <w:rPr>
          <w:b/>
        </w:rPr>
        <w:t xml:space="preserve"> </w:t>
      </w:r>
      <w:r w:rsidR="00F70EDF" w:rsidRPr="000E61EB">
        <w:rPr>
          <w:b/>
          <w:spacing w:val="-1"/>
        </w:rPr>
        <w:t>pri</w:t>
      </w:r>
      <w:r w:rsidR="00F70EDF" w:rsidRPr="000E61EB">
        <w:rPr>
          <w:b/>
          <w:spacing w:val="1"/>
        </w:rPr>
        <w:t xml:space="preserve"> </w:t>
      </w:r>
      <w:r w:rsidR="00F70EDF" w:rsidRPr="000E61EB">
        <w:rPr>
          <w:b/>
          <w:spacing w:val="-1"/>
        </w:rPr>
        <w:t>používaní</w:t>
      </w:r>
    </w:p>
    <w:p w14:paraId="03B4724D" w14:textId="77777777" w:rsidR="00D375BC" w:rsidRPr="000E61EB" w:rsidRDefault="00D375BC" w:rsidP="000E4AFD">
      <w:pPr>
        <w:pStyle w:val="Bezriadkovania"/>
        <w:rPr>
          <w:spacing w:val="-1"/>
        </w:rPr>
      </w:pPr>
    </w:p>
    <w:p w14:paraId="3C91A31A" w14:textId="77777777" w:rsidR="00F70EDF" w:rsidRPr="000E61EB" w:rsidRDefault="00F70EDF" w:rsidP="000E4AFD">
      <w:pPr>
        <w:pStyle w:val="Bezriadkovania"/>
      </w:pPr>
      <w:r w:rsidRPr="000E61EB">
        <w:rPr>
          <w:spacing w:val="-1"/>
        </w:rPr>
        <w:t>Pri</w:t>
      </w:r>
      <w:r w:rsidRPr="000E61EB">
        <w:rPr>
          <w:spacing w:val="1"/>
        </w:rPr>
        <w:t xml:space="preserve"> </w:t>
      </w:r>
      <w:r w:rsidRPr="000E61EB">
        <w:rPr>
          <w:spacing w:val="-1"/>
        </w:rPr>
        <w:t>predpisovaní</w:t>
      </w:r>
      <w:r w:rsidRPr="000E61EB">
        <w:rPr>
          <w:spacing w:val="1"/>
        </w:rPr>
        <w:t xml:space="preserve"> </w:t>
      </w:r>
      <w:r w:rsidRPr="000E61EB">
        <w:rPr>
          <w:spacing w:val="-1"/>
        </w:rPr>
        <w:t>tabliet</w:t>
      </w:r>
      <w:r w:rsidRPr="000E61EB">
        <w:rPr>
          <w:spacing w:val="1"/>
        </w:rPr>
        <w:t xml:space="preserve"> </w:t>
      </w:r>
      <w:r w:rsidR="007E38FB" w:rsidRPr="000E61EB">
        <w:rPr>
          <w:spacing w:val="-2"/>
        </w:rPr>
        <w:t>Pramipexol Teva Pharma</w:t>
      </w:r>
      <w:r w:rsidRPr="000E61EB">
        <w:t xml:space="preserve"> </w:t>
      </w:r>
      <w:r w:rsidRPr="000E61EB">
        <w:rPr>
          <w:spacing w:val="-1"/>
        </w:rPr>
        <w:t>pacientom</w:t>
      </w:r>
      <w:r w:rsidRPr="000E61EB">
        <w:rPr>
          <w:spacing w:val="-4"/>
        </w:rPr>
        <w:t xml:space="preserve"> </w:t>
      </w:r>
      <w:r w:rsidRPr="000E61EB">
        <w:t xml:space="preserve">s </w:t>
      </w:r>
      <w:r w:rsidRPr="000E61EB">
        <w:rPr>
          <w:spacing w:val="-1"/>
        </w:rPr>
        <w:t>Parkinsonovou</w:t>
      </w:r>
      <w:r w:rsidRPr="000E61EB">
        <w:t xml:space="preserve"> </w:t>
      </w:r>
      <w:r w:rsidRPr="000E61EB">
        <w:rPr>
          <w:spacing w:val="-1"/>
        </w:rPr>
        <w:t>chorobou</w:t>
      </w:r>
      <w:r w:rsidRPr="000E61EB">
        <w:t xml:space="preserve"> a s</w:t>
      </w:r>
      <w:r w:rsidRPr="000E61EB">
        <w:rPr>
          <w:spacing w:val="-2"/>
        </w:rPr>
        <w:t xml:space="preserve"> </w:t>
      </w:r>
      <w:r w:rsidRPr="000E61EB">
        <w:rPr>
          <w:spacing w:val="-1"/>
        </w:rPr>
        <w:t>poškodením</w:t>
      </w:r>
      <w:r w:rsidRPr="000E61EB">
        <w:rPr>
          <w:spacing w:val="-4"/>
        </w:rPr>
        <w:t xml:space="preserve"> </w:t>
      </w:r>
      <w:r w:rsidR="00FD0C8B" w:rsidRPr="000E61EB">
        <w:rPr>
          <w:spacing w:val="-1"/>
        </w:rPr>
        <w:t xml:space="preserve">funkcie </w:t>
      </w:r>
      <w:r w:rsidRPr="000E61EB">
        <w:rPr>
          <w:spacing w:val="-1"/>
        </w:rPr>
        <w:t>obličiek</w:t>
      </w:r>
      <w:r w:rsidRPr="000E61EB">
        <w:rPr>
          <w:spacing w:val="-3"/>
        </w:rPr>
        <w:t xml:space="preserve"> </w:t>
      </w:r>
      <w:r w:rsidRPr="000E61EB">
        <w:t xml:space="preserve">sa </w:t>
      </w:r>
      <w:r w:rsidRPr="000E61EB">
        <w:rPr>
          <w:spacing w:val="-1"/>
        </w:rPr>
        <w:t>odporúča</w:t>
      </w:r>
      <w:r w:rsidRPr="000E61EB">
        <w:t xml:space="preserve"> </w:t>
      </w:r>
      <w:r w:rsidRPr="000E61EB">
        <w:rPr>
          <w:spacing w:val="-1"/>
        </w:rPr>
        <w:t>znížené</w:t>
      </w:r>
      <w:r w:rsidRPr="000E61EB">
        <w:t xml:space="preserve"> </w:t>
      </w:r>
      <w:r w:rsidRPr="000E61EB">
        <w:rPr>
          <w:spacing w:val="-1"/>
        </w:rPr>
        <w:t>dávkovanie</w:t>
      </w:r>
      <w:r w:rsidRPr="000E61EB">
        <w:t xml:space="preserve"> </w:t>
      </w:r>
      <w:r w:rsidRPr="000E61EB">
        <w:rPr>
          <w:spacing w:val="-1"/>
        </w:rPr>
        <w:t>podľa</w:t>
      </w:r>
      <w:r w:rsidRPr="000E61EB">
        <w:t xml:space="preserve"> </w:t>
      </w:r>
      <w:r w:rsidRPr="000E61EB">
        <w:rPr>
          <w:spacing w:val="-1"/>
        </w:rPr>
        <w:t>časti</w:t>
      </w:r>
      <w:r w:rsidRPr="000E61EB">
        <w:rPr>
          <w:spacing w:val="1"/>
        </w:rPr>
        <w:t xml:space="preserve"> </w:t>
      </w:r>
      <w:r w:rsidRPr="000E61EB">
        <w:rPr>
          <w:spacing w:val="-1"/>
        </w:rPr>
        <w:t>4.2.</w:t>
      </w:r>
    </w:p>
    <w:p w14:paraId="3A2AFFF3" w14:textId="77777777" w:rsidR="00B0239C" w:rsidRPr="000E61EB" w:rsidRDefault="00B0239C" w:rsidP="00C42B86">
      <w:pPr>
        <w:tabs>
          <w:tab w:val="left" w:pos="567"/>
        </w:tabs>
        <w:spacing w:line="260" w:lineRule="exact"/>
        <w:rPr>
          <w:spacing w:val="-1"/>
          <w:u w:val="single"/>
        </w:rPr>
      </w:pPr>
    </w:p>
    <w:p w14:paraId="1EA9EF83" w14:textId="77777777" w:rsidR="00C42B86" w:rsidRPr="000E61EB" w:rsidRDefault="00753375" w:rsidP="00C42B86">
      <w:pPr>
        <w:tabs>
          <w:tab w:val="left" w:pos="567"/>
        </w:tabs>
        <w:spacing w:line="260" w:lineRule="exact"/>
        <w:rPr>
          <w:spacing w:val="-1"/>
          <w:u w:val="single"/>
        </w:rPr>
      </w:pPr>
      <w:r w:rsidRPr="000E61EB">
        <w:rPr>
          <w:spacing w:val="-1"/>
          <w:u w:val="single"/>
        </w:rPr>
        <w:t>Halucinácie</w:t>
      </w:r>
    </w:p>
    <w:p w14:paraId="78562D15" w14:textId="77777777" w:rsidR="00753375" w:rsidRPr="000E61EB" w:rsidRDefault="00753375" w:rsidP="00C42B86">
      <w:pPr>
        <w:tabs>
          <w:tab w:val="left" w:pos="567"/>
        </w:tabs>
        <w:spacing w:line="260" w:lineRule="exact"/>
        <w:rPr>
          <w:spacing w:val="-1"/>
        </w:rPr>
      </w:pPr>
      <w:r w:rsidRPr="000E61EB">
        <w:rPr>
          <w:spacing w:val="-1"/>
        </w:rPr>
        <w:t>Pri liečbe dopamínovými agonistami a levodopou sú známym nežiaducim účinkom halucinácie. Pacienti majú byť informovaní, že sa môžu objaviť (prevažne vizuálne) halucinácie.</w:t>
      </w:r>
    </w:p>
    <w:p w14:paraId="1D0C7D2F" w14:textId="77777777" w:rsidR="00753375" w:rsidRPr="000E61EB" w:rsidRDefault="00753375" w:rsidP="000E4AFD">
      <w:pPr>
        <w:pStyle w:val="Bezriadkovania"/>
        <w:rPr>
          <w:spacing w:val="-1"/>
        </w:rPr>
      </w:pPr>
    </w:p>
    <w:p w14:paraId="032B45FA" w14:textId="77777777" w:rsidR="00753375" w:rsidRPr="000E61EB" w:rsidRDefault="00753375" w:rsidP="008C2A9F">
      <w:pPr>
        <w:tabs>
          <w:tab w:val="left" w:pos="567"/>
        </w:tabs>
        <w:spacing w:line="260" w:lineRule="exact"/>
        <w:rPr>
          <w:spacing w:val="-1"/>
          <w:u w:val="single"/>
        </w:rPr>
      </w:pPr>
      <w:r w:rsidRPr="000E61EB">
        <w:rPr>
          <w:spacing w:val="-1"/>
          <w:u w:val="single"/>
        </w:rPr>
        <w:t>Dyskinéza</w:t>
      </w:r>
    </w:p>
    <w:p w14:paraId="2E282964" w14:textId="77777777" w:rsidR="00753375" w:rsidRPr="000E61EB" w:rsidRDefault="00753375" w:rsidP="008C2A9F">
      <w:pPr>
        <w:tabs>
          <w:tab w:val="left" w:pos="567"/>
        </w:tabs>
        <w:spacing w:line="260" w:lineRule="exact"/>
        <w:rPr>
          <w:spacing w:val="-1"/>
        </w:rPr>
      </w:pPr>
      <w:r w:rsidRPr="000E61EB">
        <w:rPr>
          <w:spacing w:val="-1"/>
        </w:rPr>
        <w:t xml:space="preserve">Pri pokročilej Parkinsonovej chorobe sa pri kombinovanej liečbe s levodopou môžu počas začiatočnej titrácie dávky </w:t>
      </w:r>
      <w:r w:rsidR="00E708E5" w:rsidRPr="000E61EB">
        <w:rPr>
          <w:spacing w:val="-1"/>
        </w:rPr>
        <w:t>Pramipexolom Teva Pharma</w:t>
      </w:r>
      <w:r w:rsidRPr="000E61EB">
        <w:rPr>
          <w:spacing w:val="-1"/>
        </w:rPr>
        <w:t xml:space="preserve"> objaviť dyskinézy. Ak sa objavia, dávka levodopy sa má znížiť.</w:t>
      </w:r>
    </w:p>
    <w:p w14:paraId="55C8A331" w14:textId="77777777" w:rsidR="008C2A9F" w:rsidRPr="000E61EB" w:rsidRDefault="008C2A9F" w:rsidP="008C2A9F">
      <w:pPr>
        <w:tabs>
          <w:tab w:val="left" w:pos="567"/>
        </w:tabs>
        <w:spacing w:line="260" w:lineRule="exact"/>
        <w:rPr>
          <w:spacing w:val="-1"/>
        </w:rPr>
      </w:pPr>
    </w:p>
    <w:p w14:paraId="3AEC5D06" w14:textId="77777777" w:rsidR="00AA0AC2" w:rsidRPr="000464FE" w:rsidRDefault="00AA0AC2" w:rsidP="00AA0AC2">
      <w:pPr>
        <w:tabs>
          <w:tab w:val="left" w:pos="567"/>
        </w:tabs>
        <w:spacing w:line="260" w:lineRule="exact"/>
        <w:rPr>
          <w:spacing w:val="-1"/>
          <w:u w:val="single"/>
        </w:rPr>
      </w:pPr>
      <w:r w:rsidRPr="000464FE">
        <w:rPr>
          <w:spacing w:val="-1"/>
          <w:u w:val="single"/>
        </w:rPr>
        <w:t>Dystónia</w:t>
      </w:r>
    </w:p>
    <w:p w14:paraId="18B97D68" w14:textId="77777777" w:rsidR="00AA0AC2" w:rsidRDefault="00AA0AC2" w:rsidP="00AA0AC2">
      <w:pPr>
        <w:tabs>
          <w:tab w:val="left" w:pos="567"/>
        </w:tabs>
        <w:spacing w:line="260" w:lineRule="exact"/>
        <w:rPr>
          <w:spacing w:val="-1"/>
        </w:rPr>
      </w:pPr>
      <w:r w:rsidRPr="006F441A">
        <w:rPr>
          <w:spacing w:val="-1"/>
        </w:rPr>
        <w:t>U pacientov s Parkinsonovou chorobou je po začatí liečby alebo pri postupnom zvyšovaní dávky pramipexolu príležitostne hlásená axiálna dystónia vrátane antekolis, kamptokormie a pleurototonusu (Pisa syndróm). Aj keď príznakom Parkinsonovej choroby môže byť dystónia, príznaky u týchto pacientov sa zlepšili po znížení dávky pramipexolu alebo po jeho vysadení. Ak sa vyskytne dystónia, je potrebné preskúmať režim liečby dopamínergnými liekmi a zvážiť úpravu dávky pramipexolu.</w:t>
      </w:r>
    </w:p>
    <w:p w14:paraId="1F0CCA89" w14:textId="77777777" w:rsidR="00AA0AC2" w:rsidRPr="00EE1167" w:rsidRDefault="00AA0AC2" w:rsidP="00AA0AC2">
      <w:pPr>
        <w:tabs>
          <w:tab w:val="left" w:pos="567"/>
        </w:tabs>
        <w:spacing w:line="260" w:lineRule="exact"/>
        <w:rPr>
          <w:spacing w:val="-1"/>
        </w:rPr>
      </w:pPr>
    </w:p>
    <w:p w14:paraId="0D2972AF" w14:textId="77777777" w:rsidR="00A7624B" w:rsidRPr="000E61EB" w:rsidRDefault="00A7624B" w:rsidP="008C2A9F">
      <w:pPr>
        <w:tabs>
          <w:tab w:val="left" w:pos="567"/>
        </w:tabs>
        <w:spacing w:line="260" w:lineRule="exact"/>
        <w:rPr>
          <w:spacing w:val="-1"/>
          <w:u w:val="single"/>
        </w:rPr>
      </w:pPr>
      <w:r w:rsidRPr="000E61EB">
        <w:rPr>
          <w:spacing w:val="-1"/>
          <w:u w:val="single"/>
        </w:rPr>
        <w:t>Epizódy náhleho spánku a somnolencia</w:t>
      </w:r>
    </w:p>
    <w:p w14:paraId="0A215BED" w14:textId="77777777" w:rsidR="00A7624B" w:rsidRPr="000E61EB" w:rsidRDefault="00A7624B" w:rsidP="008C2A9F">
      <w:pPr>
        <w:tabs>
          <w:tab w:val="left" w:pos="567"/>
        </w:tabs>
        <w:spacing w:line="260" w:lineRule="exact"/>
        <w:rPr>
          <w:spacing w:val="-1"/>
        </w:rPr>
      </w:pPr>
      <w:r w:rsidRPr="000E61EB">
        <w:rPr>
          <w:spacing w:val="-1"/>
        </w:rPr>
        <w:t>Pramipexol sa spája so somnolenciou a epizódami náhleho upadnutia do spánku, obzvlášť u pacientov s Parkinsonovou chorobou. Menej často sa zaznamenalo náhle upadnutie do spánku počas bežných denných aktivít, niekedy bez toho, aby si to pacient uvedomil alebo pocítil varovné príznaky. Pacienti o tom musia byť informovaní a oboznámení s tým, že počas užívania Pramipexolu Teva Pharma musia byť opatrní počas vedenia vozidiel alebo pri obsluhe strojov. Pacienti, ktorí už mali problémy so somnolenciou a/alebo epizódami náhleho upadnutia do spánku, nesmú viesť vozidlá alebo obsluhovať stroje. Okrem toho je potrebné zvážiť zníženie dávky alebo ukončenie liečby. Keď pacienti užívajú v kombinácii s pramipexolom aj ďalšie sedatívne lieky alebo alkohol musia byť oboznámení s tým, že majú byť opatrní, kvôli možným aditívnym vedľajším účinkom (pozri časti 4.5</w:t>
      </w:r>
      <w:r w:rsidR="00C22502" w:rsidRPr="000E61EB">
        <w:rPr>
          <w:spacing w:val="-1"/>
        </w:rPr>
        <w:t>,</w:t>
      </w:r>
      <w:r w:rsidRPr="000E61EB">
        <w:rPr>
          <w:spacing w:val="-1"/>
        </w:rPr>
        <w:t xml:space="preserve"> 4.7 a 4.8).</w:t>
      </w:r>
    </w:p>
    <w:p w14:paraId="3CD036FD" w14:textId="77777777" w:rsidR="00571CC1" w:rsidRPr="000E61EB" w:rsidRDefault="00571CC1" w:rsidP="008C2A9F">
      <w:pPr>
        <w:tabs>
          <w:tab w:val="left" w:pos="567"/>
        </w:tabs>
        <w:spacing w:line="260" w:lineRule="exact"/>
        <w:rPr>
          <w:spacing w:val="-1"/>
        </w:rPr>
      </w:pPr>
    </w:p>
    <w:p w14:paraId="1ADA61FA" w14:textId="77777777" w:rsidR="00CB600C" w:rsidRPr="000E61EB" w:rsidRDefault="00CB600C" w:rsidP="008C2A9F">
      <w:pPr>
        <w:tabs>
          <w:tab w:val="left" w:pos="567"/>
        </w:tabs>
        <w:spacing w:line="260" w:lineRule="exact"/>
        <w:rPr>
          <w:spacing w:val="-1"/>
          <w:u w:val="single"/>
        </w:rPr>
      </w:pPr>
      <w:r w:rsidRPr="000E61EB">
        <w:rPr>
          <w:spacing w:val="-1"/>
          <w:u w:val="single"/>
        </w:rPr>
        <w:t>Poruchy kontroly impulzov</w:t>
      </w:r>
    </w:p>
    <w:p w14:paraId="46ED7409" w14:textId="77777777" w:rsidR="00CB600C" w:rsidRPr="000E61EB" w:rsidRDefault="00CB600C" w:rsidP="008C2A9F">
      <w:pPr>
        <w:tabs>
          <w:tab w:val="left" w:pos="567"/>
        </w:tabs>
        <w:spacing w:line="260" w:lineRule="exact"/>
        <w:rPr>
          <w:spacing w:val="-1"/>
        </w:rPr>
      </w:pPr>
      <w:r w:rsidRPr="000E61EB">
        <w:rPr>
          <w:spacing w:val="-1"/>
        </w:rPr>
        <w:t>Pacienti</w:t>
      </w:r>
      <w:r w:rsidRPr="000E61EB">
        <w:rPr>
          <w:spacing w:val="1"/>
        </w:rPr>
        <w:t xml:space="preserve"> </w:t>
      </w:r>
      <w:r w:rsidRPr="000E61EB">
        <w:rPr>
          <w:spacing w:val="-1"/>
        </w:rPr>
        <w:t>majú</w:t>
      </w:r>
      <w:r w:rsidRPr="000E61EB">
        <w:rPr>
          <w:spacing w:val="-3"/>
        </w:rPr>
        <w:t xml:space="preserve"> </w:t>
      </w:r>
      <w:r w:rsidRPr="000E61EB">
        <w:rPr>
          <w:spacing w:val="-1"/>
        </w:rPr>
        <w:t>byť pravidelne</w:t>
      </w:r>
      <w:r w:rsidRPr="000E61EB">
        <w:t xml:space="preserve"> </w:t>
      </w:r>
      <w:r w:rsidRPr="000E61EB">
        <w:rPr>
          <w:spacing w:val="-1"/>
        </w:rPr>
        <w:t>monitorovaní</w:t>
      </w:r>
      <w:r w:rsidRPr="000E61EB">
        <w:rPr>
          <w:spacing w:val="1"/>
        </w:rPr>
        <w:t xml:space="preserve"> </w:t>
      </w:r>
      <w:r w:rsidRPr="000E61EB">
        <w:t>z</w:t>
      </w:r>
      <w:r w:rsidRPr="000E61EB">
        <w:rPr>
          <w:spacing w:val="-2"/>
        </w:rPr>
        <w:t xml:space="preserve"> </w:t>
      </w:r>
      <w:r w:rsidRPr="000E61EB">
        <w:rPr>
          <w:spacing w:val="-1"/>
        </w:rPr>
        <w:t>dôvodu</w:t>
      </w:r>
      <w:r w:rsidRPr="000E61EB">
        <w:t xml:space="preserve"> vývoja</w:t>
      </w:r>
      <w:r w:rsidRPr="000E61EB">
        <w:rPr>
          <w:spacing w:val="-2"/>
        </w:rPr>
        <w:t xml:space="preserve"> </w:t>
      </w:r>
      <w:r w:rsidRPr="000E61EB">
        <w:rPr>
          <w:spacing w:val="-1"/>
        </w:rPr>
        <w:t>porúch</w:t>
      </w:r>
      <w:r w:rsidRPr="000E61EB">
        <w:t xml:space="preserve"> </w:t>
      </w:r>
      <w:r w:rsidRPr="000E61EB">
        <w:rPr>
          <w:spacing w:val="-1"/>
        </w:rPr>
        <w:t>kontroly</w:t>
      </w:r>
      <w:r w:rsidRPr="000E61EB">
        <w:rPr>
          <w:spacing w:val="-3"/>
        </w:rPr>
        <w:t xml:space="preserve"> </w:t>
      </w:r>
      <w:r w:rsidRPr="000E61EB">
        <w:rPr>
          <w:spacing w:val="-1"/>
        </w:rPr>
        <w:t>impulzov.</w:t>
      </w:r>
      <w:r w:rsidRPr="000E61EB">
        <w:t xml:space="preserve"> </w:t>
      </w:r>
      <w:r w:rsidRPr="000E61EB">
        <w:rPr>
          <w:spacing w:val="-1"/>
        </w:rPr>
        <w:t>Pacienti</w:t>
      </w:r>
      <w:r w:rsidRPr="000E61EB">
        <w:rPr>
          <w:spacing w:val="-2"/>
        </w:rPr>
        <w:t xml:space="preserve"> </w:t>
      </w:r>
      <w:r w:rsidRPr="000E61EB">
        <w:t>a</w:t>
      </w:r>
      <w:r w:rsidRPr="000E61EB">
        <w:rPr>
          <w:spacing w:val="73"/>
        </w:rPr>
        <w:t xml:space="preserve"> </w:t>
      </w:r>
      <w:r w:rsidRPr="000E61EB">
        <w:rPr>
          <w:spacing w:val="-1"/>
        </w:rPr>
        <w:t>opatrovatelia</w:t>
      </w:r>
      <w:r w:rsidRPr="000E61EB">
        <w:rPr>
          <w:spacing w:val="-2"/>
        </w:rPr>
        <w:t xml:space="preserve"> </w:t>
      </w:r>
      <w:r w:rsidRPr="000E61EB">
        <w:rPr>
          <w:spacing w:val="-1"/>
        </w:rPr>
        <w:t>majú</w:t>
      </w:r>
      <w:r w:rsidRPr="000E61EB">
        <w:rPr>
          <w:spacing w:val="-3"/>
        </w:rPr>
        <w:t xml:space="preserve"> </w:t>
      </w:r>
      <w:r w:rsidRPr="000E61EB">
        <w:rPr>
          <w:spacing w:val="-1"/>
        </w:rPr>
        <w:t>byť upovedomení,</w:t>
      </w:r>
      <w:r w:rsidRPr="000E61EB">
        <w:t xml:space="preserve"> </w:t>
      </w:r>
      <w:r w:rsidRPr="000E61EB">
        <w:rPr>
          <w:spacing w:val="-1"/>
        </w:rPr>
        <w:t>že</w:t>
      </w:r>
      <w:r w:rsidRPr="000E61EB">
        <w:t xml:space="preserve"> u </w:t>
      </w:r>
      <w:r w:rsidRPr="000E61EB">
        <w:rPr>
          <w:spacing w:val="-1"/>
        </w:rPr>
        <w:t>pacientov</w:t>
      </w:r>
      <w:r w:rsidRPr="000E61EB">
        <w:rPr>
          <w:spacing w:val="-3"/>
        </w:rPr>
        <w:t xml:space="preserve"> </w:t>
      </w:r>
      <w:r w:rsidRPr="000E61EB">
        <w:rPr>
          <w:spacing w:val="-1"/>
        </w:rPr>
        <w:t>liečených</w:t>
      </w:r>
      <w:r w:rsidRPr="000E61EB">
        <w:t xml:space="preserve"> </w:t>
      </w:r>
      <w:r w:rsidRPr="000E61EB">
        <w:rPr>
          <w:spacing w:val="-1"/>
        </w:rPr>
        <w:t>dopamínovými</w:t>
      </w:r>
      <w:r w:rsidRPr="000E61EB">
        <w:rPr>
          <w:spacing w:val="1"/>
        </w:rPr>
        <w:t xml:space="preserve"> </w:t>
      </w:r>
      <w:r w:rsidRPr="000E61EB">
        <w:rPr>
          <w:spacing w:val="-1"/>
        </w:rPr>
        <w:t>agonistmi</w:t>
      </w:r>
      <w:r w:rsidRPr="000E61EB">
        <w:rPr>
          <w:spacing w:val="1"/>
        </w:rPr>
        <w:t xml:space="preserve"> </w:t>
      </w:r>
      <w:r w:rsidRPr="000E61EB">
        <w:rPr>
          <w:spacing w:val="-1"/>
        </w:rPr>
        <w:t>vrátane</w:t>
      </w:r>
      <w:r w:rsidRPr="000E61EB">
        <w:rPr>
          <w:spacing w:val="87"/>
        </w:rPr>
        <w:t xml:space="preserve"> </w:t>
      </w:r>
      <w:r w:rsidRPr="000E61EB">
        <w:rPr>
          <w:spacing w:val="-1"/>
        </w:rPr>
        <w:t>pramipexolu,</w:t>
      </w:r>
      <w:r w:rsidRPr="000E61EB">
        <w:t xml:space="preserve"> sa</w:t>
      </w:r>
      <w:r w:rsidRPr="000E61EB">
        <w:rPr>
          <w:spacing w:val="-2"/>
        </w:rPr>
        <w:t xml:space="preserve"> môžu</w:t>
      </w:r>
      <w:r w:rsidRPr="000E61EB">
        <w:rPr>
          <w:spacing w:val="2"/>
        </w:rPr>
        <w:t xml:space="preserve"> </w:t>
      </w:r>
      <w:r w:rsidRPr="000E61EB">
        <w:rPr>
          <w:spacing w:val="-1"/>
        </w:rPr>
        <w:t>vyskytnúť behaviorálne</w:t>
      </w:r>
      <w:r w:rsidRPr="000E61EB">
        <w:t xml:space="preserve"> </w:t>
      </w:r>
      <w:r w:rsidRPr="000E61EB">
        <w:rPr>
          <w:spacing w:val="-1"/>
        </w:rPr>
        <w:t>symptómy</w:t>
      </w:r>
      <w:r w:rsidRPr="000E61EB">
        <w:rPr>
          <w:spacing w:val="-3"/>
        </w:rPr>
        <w:t xml:space="preserve"> </w:t>
      </w:r>
      <w:r w:rsidRPr="000E61EB">
        <w:t xml:space="preserve">porúch </w:t>
      </w:r>
      <w:r w:rsidRPr="000E61EB">
        <w:rPr>
          <w:spacing w:val="-1"/>
        </w:rPr>
        <w:t>kontroly</w:t>
      </w:r>
      <w:r w:rsidRPr="000E61EB">
        <w:rPr>
          <w:spacing w:val="-3"/>
        </w:rPr>
        <w:t xml:space="preserve"> </w:t>
      </w:r>
      <w:r w:rsidRPr="000E61EB">
        <w:rPr>
          <w:spacing w:val="-1"/>
        </w:rPr>
        <w:t>impulzov</w:t>
      </w:r>
      <w:r w:rsidRPr="000E61EB">
        <w:rPr>
          <w:spacing w:val="-3"/>
        </w:rPr>
        <w:t xml:space="preserve"> </w:t>
      </w:r>
      <w:r w:rsidRPr="000E61EB">
        <w:rPr>
          <w:spacing w:val="-1"/>
        </w:rPr>
        <w:t>zahŕňajúce</w:t>
      </w:r>
      <w:r w:rsidRPr="000E61EB">
        <w:rPr>
          <w:spacing w:val="77"/>
        </w:rPr>
        <w:t xml:space="preserve"> </w:t>
      </w:r>
      <w:r w:rsidRPr="000E61EB">
        <w:rPr>
          <w:spacing w:val="-1"/>
        </w:rPr>
        <w:t>patologické</w:t>
      </w:r>
      <w:r w:rsidRPr="000E61EB">
        <w:t xml:space="preserve"> </w:t>
      </w:r>
      <w:r w:rsidRPr="000E61EB">
        <w:rPr>
          <w:spacing w:val="-1"/>
        </w:rPr>
        <w:t>hráčstvo,</w:t>
      </w:r>
      <w:r w:rsidRPr="000E61EB">
        <w:t xml:space="preserve"> </w:t>
      </w:r>
      <w:r w:rsidRPr="000E61EB">
        <w:rPr>
          <w:spacing w:val="-1"/>
        </w:rPr>
        <w:t>zvýšené</w:t>
      </w:r>
      <w:r w:rsidRPr="000E61EB">
        <w:t xml:space="preserve"> </w:t>
      </w:r>
      <w:r w:rsidRPr="000E61EB">
        <w:rPr>
          <w:spacing w:val="-1"/>
        </w:rPr>
        <w:t>libido,</w:t>
      </w:r>
      <w:r w:rsidRPr="000E61EB">
        <w:t xml:space="preserve"> </w:t>
      </w:r>
      <w:r w:rsidRPr="000E61EB">
        <w:rPr>
          <w:spacing w:val="-1"/>
        </w:rPr>
        <w:t>hypersexualitu,</w:t>
      </w:r>
      <w:r w:rsidRPr="000E61EB">
        <w:rPr>
          <w:spacing w:val="-3"/>
        </w:rPr>
        <w:t xml:space="preserve"> </w:t>
      </w:r>
      <w:r w:rsidRPr="000E61EB">
        <w:rPr>
          <w:spacing w:val="-1"/>
        </w:rPr>
        <w:t>chorobné</w:t>
      </w:r>
      <w:r w:rsidRPr="000E61EB">
        <w:t xml:space="preserve"> </w:t>
      </w:r>
      <w:r w:rsidRPr="000E61EB">
        <w:rPr>
          <w:spacing w:val="-1"/>
        </w:rPr>
        <w:t>míňanie</w:t>
      </w:r>
      <w:r w:rsidRPr="000E61EB">
        <w:rPr>
          <w:spacing w:val="-2"/>
        </w:rPr>
        <w:t xml:space="preserve"> </w:t>
      </w:r>
      <w:r w:rsidRPr="000E61EB">
        <w:rPr>
          <w:spacing w:val="-1"/>
        </w:rPr>
        <w:t>alebo</w:t>
      </w:r>
      <w:r w:rsidRPr="000E61EB">
        <w:t xml:space="preserve"> </w:t>
      </w:r>
      <w:r w:rsidRPr="000E61EB">
        <w:rPr>
          <w:spacing w:val="-1"/>
        </w:rPr>
        <w:t>nakupovanie,</w:t>
      </w:r>
      <w:r w:rsidRPr="000E61EB">
        <w:t xml:space="preserve"> </w:t>
      </w:r>
      <w:r w:rsidRPr="000E61EB">
        <w:rPr>
          <w:spacing w:val="-1"/>
        </w:rPr>
        <w:t>nenásytné</w:t>
      </w:r>
      <w:r w:rsidRPr="000E61EB">
        <w:rPr>
          <w:spacing w:val="81"/>
        </w:rPr>
        <w:t xml:space="preserve"> </w:t>
      </w:r>
      <w:r w:rsidRPr="000E61EB">
        <w:rPr>
          <w:spacing w:val="-1"/>
        </w:rPr>
        <w:t>jedenie</w:t>
      </w:r>
      <w:r w:rsidRPr="000E61EB">
        <w:rPr>
          <w:spacing w:val="-2"/>
        </w:rPr>
        <w:t xml:space="preserve"> </w:t>
      </w:r>
      <w:r w:rsidRPr="000E61EB">
        <w:t xml:space="preserve">a </w:t>
      </w:r>
      <w:r w:rsidRPr="000E61EB">
        <w:rPr>
          <w:spacing w:val="-1"/>
        </w:rPr>
        <w:t>chorobné</w:t>
      </w:r>
      <w:r w:rsidRPr="000E61EB">
        <w:rPr>
          <w:spacing w:val="-2"/>
        </w:rPr>
        <w:t xml:space="preserve"> </w:t>
      </w:r>
      <w:r w:rsidRPr="000E61EB">
        <w:rPr>
          <w:spacing w:val="-1"/>
        </w:rPr>
        <w:t>jedenie.</w:t>
      </w:r>
      <w:r w:rsidRPr="000E61EB">
        <w:rPr>
          <w:spacing w:val="-4"/>
        </w:rPr>
        <w:t xml:space="preserve"> </w:t>
      </w:r>
      <w:r w:rsidRPr="000E61EB">
        <w:rPr>
          <w:spacing w:val="-1"/>
        </w:rPr>
        <w:t>Ak sa vyvinú takéto symptómy, má sa zvážiť zníženie dávky/postupné vysadenie lieku.</w:t>
      </w:r>
    </w:p>
    <w:p w14:paraId="1E894A4C" w14:textId="77777777" w:rsidR="00CB600C" w:rsidRPr="000E61EB" w:rsidRDefault="00CB600C" w:rsidP="006F0EA2">
      <w:pPr>
        <w:tabs>
          <w:tab w:val="left" w:pos="567"/>
        </w:tabs>
        <w:spacing w:line="260" w:lineRule="exact"/>
        <w:rPr>
          <w:spacing w:val="-1"/>
        </w:rPr>
      </w:pPr>
    </w:p>
    <w:p w14:paraId="13F414F6" w14:textId="77777777" w:rsidR="00CB600C" w:rsidRPr="000E61EB" w:rsidRDefault="00CB600C" w:rsidP="00375E92">
      <w:pPr>
        <w:tabs>
          <w:tab w:val="left" w:pos="567"/>
        </w:tabs>
        <w:spacing w:line="260" w:lineRule="exact"/>
        <w:rPr>
          <w:spacing w:val="-1"/>
          <w:u w:val="single"/>
        </w:rPr>
      </w:pPr>
      <w:r w:rsidRPr="000E61EB">
        <w:rPr>
          <w:spacing w:val="-1"/>
          <w:u w:val="single"/>
        </w:rPr>
        <w:t xml:space="preserve">Mánia a delírium </w:t>
      </w:r>
    </w:p>
    <w:p w14:paraId="15D4E28F" w14:textId="77777777" w:rsidR="00375E92" w:rsidRPr="000E61EB" w:rsidRDefault="00CB600C" w:rsidP="008239FE">
      <w:pPr>
        <w:tabs>
          <w:tab w:val="left" w:pos="567"/>
        </w:tabs>
        <w:spacing w:line="260" w:lineRule="exact"/>
        <w:rPr>
          <w:spacing w:val="-1"/>
        </w:rPr>
      </w:pPr>
      <w:r w:rsidRPr="000E61EB">
        <w:rPr>
          <w:spacing w:val="-1"/>
        </w:rPr>
        <w:t>M</w:t>
      </w:r>
      <w:r w:rsidRPr="000E61EB">
        <w:t>á sa pravidelne sledovať, či sa u pacientov nevyvinie mánia a delírium. Pacienti a ošetrovatelia sa majú informovať, že u pacientov liečených pramipexolom sa môže vyskytnúť mánia a delírium. Ak sa vyvinú tieto p</w:t>
      </w:r>
      <w:r w:rsidRPr="000E61EB">
        <w:rPr>
          <w:spacing w:val="-1"/>
        </w:rPr>
        <w:t>ríznaky, má sa zvážiť zníženie dávky/postupné prerušenie liečby.</w:t>
      </w:r>
    </w:p>
    <w:p w14:paraId="23043C7A" w14:textId="77777777" w:rsidR="008239FE" w:rsidRPr="000E61EB" w:rsidRDefault="008239FE" w:rsidP="00375E92">
      <w:pPr>
        <w:tabs>
          <w:tab w:val="left" w:pos="567"/>
        </w:tabs>
        <w:spacing w:line="260" w:lineRule="exact"/>
        <w:rPr>
          <w:spacing w:val="-1"/>
        </w:rPr>
      </w:pPr>
    </w:p>
    <w:p w14:paraId="7490D475" w14:textId="77777777" w:rsidR="00D34F80" w:rsidRPr="000E61EB" w:rsidRDefault="00D34F80" w:rsidP="00375E92">
      <w:pPr>
        <w:tabs>
          <w:tab w:val="left" w:pos="567"/>
        </w:tabs>
        <w:spacing w:line="260" w:lineRule="exact"/>
        <w:rPr>
          <w:spacing w:val="-1"/>
          <w:u w:val="single"/>
        </w:rPr>
      </w:pPr>
      <w:r w:rsidRPr="000E61EB">
        <w:rPr>
          <w:spacing w:val="-1"/>
          <w:u w:val="single"/>
        </w:rPr>
        <w:lastRenderedPageBreak/>
        <w:t>Pacienti so psychotickými poruchami</w:t>
      </w:r>
    </w:p>
    <w:p w14:paraId="733378EC" w14:textId="77777777" w:rsidR="00D34F80" w:rsidRDefault="00D34F80" w:rsidP="00375E92">
      <w:pPr>
        <w:tabs>
          <w:tab w:val="left" w:pos="567"/>
        </w:tabs>
        <w:spacing w:line="260" w:lineRule="exact"/>
        <w:rPr>
          <w:spacing w:val="-1"/>
        </w:rPr>
      </w:pPr>
      <w:r w:rsidRPr="000E61EB">
        <w:rPr>
          <w:spacing w:val="-1"/>
        </w:rPr>
        <w:t>Pacienti so psychotickými poruchami sa môžu liečiť agonistami dopamínu iba vtedy, ak možné prínosy prevažujú riziká. Treba sa vyhnúť súbežnému podávaniu antipsychotických liekov s pramipexolom (pozri časť 4.5).</w:t>
      </w:r>
    </w:p>
    <w:p w14:paraId="29E20231" w14:textId="77777777" w:rsidR="005826C6" w:rsidRPr="000E61EB" w:rsidRDefault="005826C6" w:rsidP="00375E92">
      <w:pPr>
        <w:tabs>
          <w:tab w:val="left" w:pos="567"/>
        </w:tabs>
        <w:spacing w:line="260" w:lineRule="exact"/>
        <w:rPr>
          <w:spacing w:val="-1"/>
        </w:rPr>
      </w:pPr>
    </w:p>
    <w:p w14:paraId="23A054CD" w14:textId="77777777" w:rsidR="00BF2DE2" w:rsidRPr="000E61EB" w:rsidRDefault="001D5343" w:rsidP="00375E92">
      <w:pPr>
        <w:tabs>
          <w:tab w:val="left" w:pos="567"/>
        </w:tabs>
        <w:spacing w:line="260" w:lineRule="exact"/>
        <w:rPr>
          <w:spacing w:val="-1"/>
          <w:u w:val="single"/>
        </w:rPr>
      </w:pPr>
      <w:r w:rsidRPr="000E61EB">
        <w:rPr>
          <w:spacing w:val="-1"/>
          <w:u w:val="single"/>
        </w:rPr>
        <w:t>Oftalmologické vyšetrenia</w:t>
      </w:r>
    </w:p>
    <w:p w14:paraId="58E1F75D" w14:textId="77777777" w:rsidR="001D5343" w:rsidRPr="000E61EB" w:rsidRDefault="001D5343" w:rsidP="00375E92">
      <w:pPr>
        <w:tabs>
          <w:tab w:val="left" w:pos="567"/>
        </w:tabs>
        <w:spacing w:line="260" w:lineRule="exact"/>
        <w:rPr>
          <w:spacing w:val="-1"/>
        </w:rPr>
      </w:pPr>
      <w:r w:rsidRPr="000E61EB">
        <w:rPr>
          <w:spacing w:val="-1"/>
        </w:rPr>
        <w:t>Odporúča sa vykonávať oftalmologické vyšetrenia, a to v pravidelných intervaloch alebo pri výskyte porúch zraku.</w:t>
      </w:r>
    </w:p>
    <w:p w14:paraId="6FDBA225" w14:textId="77777777" w:rsidR="00375E92" w:rsidRPr="000E61EB" w:rsidRDefault="00375E92" w:rsidP="00375E92">
      <w:pPr>
        <w:tabs>
          <w:tab w:val="left" w:pos="567"/>
        </w:tabs>
        <w:spacing w:line="260" w:lineRule="exact"/>
        <w:rPr>
          <w:spacing w:val="-1"/>
        </w:rPr>
      </w:pPr>
    </w:p>
    <w:p w14:paraId="57E84CD7" w14:textId="77777777" w:rsidR="001D5343" w:rsidRPr="000E61EB" w:rsidRDefault="001D5343" w:rsidP="00375E92">
      <w:pPr>
        <w:tabs>
          <w:tab w:val="left" w:pos="567"/>
        </w:tabs>
        <w:spacing w:line="260" w:lineRule="exact"/>
        <w:rPr>
          <w:spacing w:val="-1"/>
          <w:u w:val="single"/>
        </w:rPr>
      </w:pPr>
      <w:r w:rsidRPr="000E61EB">
        <w:rPr>
          <w:spacing w:val="-1"/>
          <w:u w:val="single"/>
        </w:rPr>
        <w:t>Ťažké kardiovaskulárne ochorenie</w:t>
      </w:r>
    </w:p>
    <w:p w14:paraId="05D8C76D" w14:textId="77777777" w:rsidR="001D5343" w:rsidRPr="000E61EB" w:rsidRDefault="001D5343" w:rsidP="00375E92">
      <w:pPr>
        <w:tabs>
          <w:tab w:val="left" w:pos="567"/>
        </w:tabs>
        <w:spacing w:line="260" w:lineRule="exact"/>
        <w:rPr>
          <w:spacing w:val="-1"/>
        </w:rPr>
      </w:pPr>
      <w:r w:rsidRPr="000E61EB">
        <w:rPr>
          <w:spacing w:val="-1"/>
        </w:rPr>
        <w:t>V prípade ťažkého kardiovaskulárneho ochorenia sa vyžaduje opatrnosť. Odporúča sa kontrolovať krvný tlak, hlavne na začiatku liečby, kvôli všeobecnému riziku posturálnej hypotenzie spojenej s liečbou dopamínergnými liekmi.</w:t>
      </w:r>
    </w:p>
    <w:p w14:paraId="6867429D" w14:textId="77777777" w:rsidR="00375E92" w:rsidRPr="000E61EB" w:rsidRDefault="00375E92" w:rsidP="00375E92">
      <w:pPr>
        <w:tabs>
          <w:tab w:val="left" w:pos="567"/>
        </w:tabs>
        <w:spacing w:line="260" w:lineRule="exact"/>
        <w:rPr>
          <w:spacing w:val="-1"/>
        </w:rPr>
      </w:pPr>
    </w:p>
    <w:p w14:paraId="5C736CB5" w14:textId="77777777" w:rsidR="00172813" w:rsidRPr="000E61EB" w:rsidRDefault="00172813" w:rsidP="00375E92">
      <w:pPr>
        <w:tabs>
          <w:tab w:val="left" w:pos="567"/>
        </w:tabs>
        <w:spacing w:line="260" w:lineRule="exact"/>
        <w:rPr>
          <w:spacing w:val="-1"/>
          <w:u w:val="single"/>
        </w:rPr>
      </w:pPr>
      <w:r w:rsidRPr="000E61EB">
        <w:rPr>
          <w:spacing w:val="-1"/>
          <w:u w:val="single"/>
        </w:rPr>
        <w:t>Neuroleptický malígny syndróm</w:t>
      </w:r>
    </w:p>
    <w:p w14:paraId="531E3644" w14:textId="77777777" w:rsidR="00172813" w:rsidRPr="000E61EB" w:rsidRDefault="00172813" w:rsidP="00375E92">
      <w:pPr>
        <w:tabs>
          <w:tab w:val="left" w:pos="567"/>
        </w:tabs>
        <w:spacing w:line="260" w:lineRule="exact"/>
      </w:pPr>
      <w:r w:rsidRPr="000E61EB">
        <w:rPr>
          <w:spacing w:val="-1"/>
        </w:rPr>
        <w:t>Pri náhlom ukončení liečby dopamínergnými liekmi boli hlásené príznaky svedčiace o neuroleptickom m</w:t>
      </w:r>
      <w:r w:rsidRPr="000E61EB">
        <w:t>alígnom syndróme (pozri časť 4.2).</w:t>
      </w:r>
    </w:p>
    <w:p w14:paraId="4914B8BA" w14:textId="77777777" w:rsidR="00375E92" w:rsidRPr="00C57895" w:rsidRDefault="00375E92" w:rsidP="00375E92">
      <w:pPr>
        <w:tabs>
          <w:tab w:val="left" w:pos="567"/>
        </w:tabs>
        <w:spacing w:line="260" w:lineRule="exact"/>
        <w:rPr>
          <w:spacing w:val="-1"/>
        </w:rPr>
      </w:pPr>
    </w:p>
    <w:p w14:paraId="7DDF2458" w14:textId="4C2D77C6" w:rsidR="00D01385" w:rsidRPr="005826C6" w:rsidRDefault="00D01385" w:rsidP="00D01385">
      <w:pPr>
        <w:tabs>
          <w:tab w:val="left" w:pos="567"/>
        </w:tabs>
        <w:spacing w:line="260" w:lineRule="exact"/>
        <w:rPr>
          <w:spacing w:val="-1"/>
          <w:u w:val="single"/>
        </w:rPr>
      </w:pPr>
      <w:r w:rsidRPr="005826C6">
        <w:rPr>
          <w:spacing w:val="-1"/>
          <w:u w:val="single"/>
        </w:rPr>
        <w:t>Abstinenčný syndróm spôsobený vysadením dopamínového agonistu (</w:t>
      </w:r>
      <w:r w:rsidR="005826C6" w:rsidRPr="00843FEF">
        <w:rPr>
          <w:spacing w:val="-1"/>
          <w:u w:val="single"/>
        </w:rPr>
        <w:t xml:space="preserve">Dopamine agonist withdrawal syndrome, </w:t>
      </w:r>
      <w:r w:rsidRPr="005826C6">
        <w:rPr>
          <w:spacing w:val="-1"/>
          <w:u w:val="single"/>
        </w:rPr>
        <w:t>DAWS)</w:t>
      </w:r>
    </w:p>
    <w:p w14:paraId="213410C9" w14:textId="1E37A201" w:rsidR="00D01385" w:rsidRPr="00843FEF" w:rsidRDefault="00D01385" w:rsidP="00D01385">
      <w:pPr>
        <w:tabs>
          <w:tab w:val="left" w:pos="567"/>
        </w:tabs>
        <w:spacing w:line="260" w:lineRule="exact"/>
        <w:rPr>
          <w:spacing w:val="-1"/>
        </w:rPr>
      </w:pPr>
      <w:r w:rsidRPr="00843FEF">
        <w:rPr>
          <w:spacing w:val="-1"/>
        </w:rPr>
        <w:t>DAWS bol hlásený s dopamínovými agonistami vrátane pramipexolu (pozri časť 4.8). Pri ukončení</w:t>
      </w:r>
      <w:r w:rsidR="005826C6">
        <w:rPr>
          <w:spacing w:val="-1"/>
        </w:rPr>
        <w:t xml:space="preserve"> </w:t>
      </w:r>
      <w:r w:rsidRPr="00843FEF">
        <w:rPr>
          <w:spacing w:val="-1"/>
        </w:rPr>
        <w:t>liečby u pacientov s Parkinsonovou chorobou sa majú dávky pramipexolu znižovať postupne (pozri</w:t>
      </w:r>
      <w:r w:rsidR="005826C6">
        <w:rPr>
          <w:spacing w:val="-1"/>
        </w:rPr>
        <w:t xml:space="preserve"> </w:t>
      </w:r>
      <w:r w:rsidRPr="00843FEF">
        <w:rPr>
          <w:spacing w:val="-1"/>
        </w:rPr>
        <w:t>časť 4.2). Obmedzené údaje naznačujú, že u pacientov s poruchami kontroly impulzov a pacientov,</w:t>
      </w:r>
      <w:r w:rsidR="005826C6">
        <w:rPr>
          <w:spacing w:val="-1"/>
        </w:rPr>
        <w:t xml:space="preserve"> </w:t>
      </w:r>
      <w:r w:rsidRPr="00843FEF">
        <w:rPr>
          <w:spacing w:val="-1"/>
        </w:rPr>
        <w:t>ktorí dostávajú vysoké denné dávky a/alebo vysoké kumulatívne dávky dopamínových agonistov, môže existovať vyššie riziko rozvoja DAWS. Abstinenčné príznaky môžu zahŕňať apatiu, úzkosť, depresiu, únavu, potenie a bolesť a nereagujú na levodopu. Pred postupným znižovaním dávky a ukončením liečby pramipexolom majú byť pacienti informovaní o možných abstinenčných príznakoch. Počas postupného znižovania dávky a ukončovania liečby je potrebné pacientov dôkladne sledovať. V prípade závažných a/alebo pretrvávajúcich abstinenčných príznakov sa môže zvážiť dočasné opätovné podávanie pramipexolu v najnižšej účinnej dávke.</w:t>
      </w:r>
    </w:p>
    <w:p w14:paraId="3D85767F" w14:textId="77777777" w:rsidR="00375E92" w:rsidRPr="00EE1167" w:rsidRDefault="00375E92" w:rsidP="00375E92">
      <w:pPr>
        <w:tabs>
          <w:tab w:val="left" w:pos="567"/>
        </w:tabs>
        <w:spacing w:line="260" w:lineRule="exact"/>
        <w:rPr>
          <w:spacing w:val="-1"/>
        </w:rPr>
      </w:pPr>
    </w:p>
    <w:p w14:paraId="3AFF923C" w14:textId="77777777" w:rsidR="00187C02" w:rsidRPr="000E61EB" w:rsidRDefault="006F6A43" w:rsidP="00375E92">
      <w:pPr>
        <w:tabs>
          <w:tab w:val="left" w:pos="567"/>
        </w:tabs>
        <w:spacing w:line="260" w:lineRule="exact"/>
        <w:rPr>
          <w:spacing w:val="-1"/>
          <w:u w:val="single"/>
        </w:rPr>
      </w:pPr>
      <w:r w:rsidRPr="000E61EB">
        <w:rPr>
          <w:spacing w:val="-1"/>
          <w:u w:val="single"/>
        </w:rPr>
        <w:t>Zvyšky tabliet v stolici</w:t>
      </w:r>
    </w:p>
    <w:p w14:paraId="7999D964" w14:textId="77777777" w:rsidR="00187C02" w:rsidRPr="000E61EB" w:rsidRDefault="006F6A43" w:rsidP="00375E92">
      <w:pPr>
        <w:tabs>
          <w:tab w:val="left" w:pos="567"/>
        </w:tabs>
        <w:spacing w:line="260" w:lineRule="exact"/>
        <w:rPr>
          <w:spacing w:val="-1"/>
        </w:rPr>
      </w:pPr>
      <w:r w:rsidRPr="000E61EB">
        <w:rPr>
          <w:spacing w:val="-1"/>
        </w:rPr>
        <w:t>Niektorí pacienti hlásili výskyt zvyškov tabliet v stolici, ktoré sa môžu podobať neporušeným tabletám s predĺženým uvoľňovaním Pramipexol</w:t>
      </w:r>
      <w:r w:rsidR="007C055D" w:rsidRPr="000E61EB">
        <w:rPr>
          <w:spacing w:val="-1"/>
        </w:rPr>
        <w:t>u</w:t>
      </w:r>
      <w:r w:rsidRPr="000E61EB">
        <w:rPr>
          <w:spacing w:val="-1"/>
        </w:rPr>
        <w:t> Teva Pharma.</w:t>
      </w:r>
      <w:r w:rsidR="00A43E24" w:rsidRPr="000E61EB">
        <w:rPr>
          <w:spacing w:val="-1"/>
        </w:rPr>
        <w:t xml:space="preserve"> Ak pacient ohlási takýto nález, lekár má prehodnotiť odpoveď pacienta na liečbu.</w:t>
      </w:r>
    </w:p>
    <w:p w14:paraId="1E35CA1D" w14:textId="77777777" w:rsidR="006F6A43" w:rsidRPr="000E61EB" w:rsidRDefault="006F6A43" w:rsidP="00375E92">
      <w:pPr>
        <w:tabs>
          <w:tab w:val="left" w:pos="567"/>
        </w:tabs>
        <w:spacing w:line="260" w:lineRule="exact"/>
        <w:rPr>
          <w:spacing w:val="-1"/>
        </w:rPr>
      </w:pPr>
    </w:p>
    <w:p w14:paraId="10978CE2" w14:textId="77777777" w:rsidR="00A54DFB" w:rsidRPr="000E61EB" w:rsidRDefault="00A54DFB" w:rsidP="00375E92">
      <w:pPr>
        <w:tabs>
          <w:tab w:val="left" w:pos="567"/>
        </w:tabs>
        <w:spacing w:line="260" w:lineRule="exact"/>
        <w:rPr>
          <w:b/>
          <w:spacing w:val="-1"/>
        </w:rPr>
      </w:pPr>
      <w:r w:rsidRPr="000E61EB">
        <w:rPr>
          <w:b/>
          <w:spacing w:val="-1"/>
        </w:rPr>
        <w:t>4.5</w:t>
      </w:r>
      <w:r w:rsidRPr="000E61EB">
        <w:rPr>
          <w:b/>
          <w:spacing w:val="-1"/>
        </w:rPr>
        <w:tab/>
        <w:t>Liekové a iné interakcie</w:t>
      </w:r>
    </w:p>
    <w:p w14:paraId="2104857B" w14:textId="77777777" w:rsidR="00375E92" w:rsidRPr="000E61EB" w:rsidRDefault="00375E92" w:rsidP="00375E92">
      <w:pPr>
        <w:tabs>
          <w:tab w:val="left" w:pos="567"/>
        </w:tabs>
        <w:spacing w:line="260" w:lineRule="exact"/>
        <w:rPr>
          <w:spacing w:val="-1"/>
          <w:u w:val="single"/>
        </w:rPr>
      </w:pPr>
    </w:p>
    <w:p w14:paraId="45818F2F" w14:textId="77777777" w:rsidR="00D009D7" w:rsidRPr="000E61EB" w:rsidRDefault="00D009D7" w:rsidP="00375E92">
      <w:pPr>
        <w:tabs>
          <w:tab w:val="left" w:pos="567"/>
        </w:tabs>
        <w:spacing w:line="260" w:lineRule="exact"/>
        <w:rPr>
          <w:spacing w:val="-1"/>
          <w:u w:val="single"/>
        </w:rPr>
      </w:pPr>
      <w:r w:rsidRPr="000E61EB">
        <w:rPr>
          <w:spacing w:val="-1"/>
          <w:u w:val="single"/>
        </w:rPr>
        <w:t>Väzba na plazmatické bielkoviny</w:t>
      </w:r>
    </w:p>
    <w:p w14:paraId="165ECD34" w14:textId="77777777" w:rsidR="00D009D7" w:rsidRPr="000E61EB" w:rsidRDefault="00D009D7" w:rsidP="00375E92">
      <w:pPr>
        <w:tabs>
          <w:tab w:val="left" w:pos="567"/>
        </w:tabs>
        <w:spacing w:line="260" w:lineRule="exact"/>
      </w:pPr>
      <w:r w:rsidRPr="000E61EB">
        <w:rPr>
          <w:spacing w:val="-1"/>
        </w:rPr>
        <w:t>U </w:t>
      </w:r>
      <w:r w:rsidRPr="000E61EB">
        <w:t>človeka je väzba pramipexolu na plazmatické bielkoviny veľmi nízka (&lt; 20 %) a zistila sa iba jeho zanedbateľná biotransformácia. Interakcie s inými liekmi, ktoré ovplyvňujú väzbu na plazmatické bielkoviny alebo vylučovanie biotransformáciou, sú preto nepravdepodobné. Keďže sa anticholinergiká vylučujú najmä biotransformáciou, potenciál pre interakciu je obmedzený, aj keď interakcia s anticholinergikami sa neskúmala. Nedochádza k farmakokinetickej interakcii so selegilínom a levodopou.</w:t>
      </w:r>
    </w:p>
    <w:p w14:paraId="4DF2F02C" w14:textId="77777777" w:rsidR="003604BB" w:rsidRPr="000E61EB" w:rsidRDefault="003604BB" w:rsidP="006F0EA2">
      <w:pPr>
        <w:tabs>
          <w:tab w:val="left" w:pos="567"/>
        </w:tabs>
        <w:spacing w:line="260" w:lineRule="exact"/>
        <w:rPr>
          <w:u w:val="single"/>
        </w:rPr>
      </w:pPr>
    </w:p>
    <w:p w14:paraId="7BF4AF3B" w14:textId="77777777" w:rsidR="00D009D7" w:rsidRPr="000E61EB" w:rsidRDefault="00D009D7" w:rsidP="006F0EA2">
      <w:pPr>
        <w:tabs>
          <w:tab w:val="left" w:pos="567"/>
        </w:tabs>
        <w:spacing w:line="260" w:lineRule="exact"/>
        <w:rPr>
          <w:spacing w:val="-1"/>
          <w:u w:val="single"/>
        </w:rPr>
      </w:pPr>
      <w:r w:rsidRPr="000E61EB">
        <w:rPr>
          <w:u w:val="single"/>
        </w:rPr>
        <w:t>I</w:t>
      </w:r>
      <w:r w:rsidRPr="000E61EB">
        <w:rPr>
          <w:spacing w:val="-1"/>
          <w:u w:val="single"/>
        </w:rPr>
        <w:t>nhibítory/kompetítory aktívnej renálnej eliminačnej cesty</w:t>
      </w:r>
    </w:p>
    <w:p w14:paraId="74F3762C" w14:textId="4692201C" w:rsidR="00D009D7" w:rsidRPr="000E61EB" w:rsidRDefault="00D009D7" w:rsidP="006F0EA2">
      <w:pPr>
        <w:tabs>
          <w:tab w:val="left" w:pos="567"/>
        </w:tabs>
        <w:spacing w:line="260" w:lineRule="exact"/>
        <w:rPr>
          <w:spacing w:val="-1"/>
        </w:rPr>
      </w:pPr>
      <w:r w:rsidRPr="000E61EB">
        <w:rPr>
          <w:spacing w:val="-1"/>
        </w:rPr>
        <w:t>Cimetidín znížil renálny klírens pramipexolu približne o 34 %, pravdepodobne inhibíciou renálnej tubulárnej sekrécie sprostredkovanej transportným systémom pre katióny. Lieky, ktoré sú inhibítory tejto aktívnej renálnej eliminačnej cesty alebo sú touto cestou vylučované, ako sú cimetidín, amantadín, mexiletín, zidovudín, cisplatina, chinín a proka</w:t>
      </w:r>
      <w:r w:rsidR="00712614">
        <w:rPr>
          <w:spacing w:val="-1"/>
        </w:rPr>
        <w:t>í</w:t>
      </w:r>
      <w:r w:rsidRPr="000E61EB">
        <w:rPr>
          <w:spacing w:val="-1"/>
        </w:rPr>
        <w:t>namid, preto môžu interagovať s pramipexolom, čo môže viesť k zníženému klírensu pramipexolu. Pri súbežnom podávaní týchto liekov s Pramipexolom Teva sa má zvážiť zníženie dávky pramipexolu.</w:t>
      </w:r>
    </w:p>
    <w:p w14:paraId="3B096D0C" w14:textId="77777777" w:rsidR="00D009D7" w:rsidRPr="000E61EB" w:rsidRDefault="00D009D7" w:rsidP="006F0EA2">
      <w:pPr>
        <w:tabs>
          <w:tab w:val="left" w:pos="567"/>
        </w:tabs>
        <w:spacing w:line="260" w:lineRule="exact"/>
        <w:rPr>
          <w:spacing w:val="-1"/>
        </w:rPr>
      </w:pPr>
    </w:p>
    <w:p w14:paraId="73A930F6" w14:textId="77777777" w:rsidR="00D009D7" w:rsidRPr="000E61EB" w:rsidRDefault="00D009D7" w:rsidP="006F0EA2">
      <w:pPr>
        <w:tabs>
          <w:tab w:val="left" w:pos="567"/>
        </w:tabs>
        <w:spacing w:line="260" w:lineRule="exact"/>
        <w:rPr>
          <w:spacing w:val="-1"/>
          <w:u w:val="single"/>
        </w:rPr>
      </w:pPr>
      <w:r w:rsidRPr="000E61EB">
        <w:rPr>
          <w:spacing w:val="-1"/>
          <w:u w:val="single"/>
        </w:rPr>
        <w:t>Kombinácia s levodopou</w:t>
      </w:r>
    </w:p>
    <w:p w14:paraId="3CC831C6" w14:textId="77777777" w:rsidR="00D009D7" w:rsidRPr="000E61EB" w:rsidRDefault="00D009D7" w:rsidP="006F0EA2">
      <w:pPr>
        <w:tabs>
          <w:tab w:val="left" w:pos="567"/>
        </w:tabs>
        <w:spacing w:line="260" w:lineRule="exact"/>
        <w:rPr>
          <w:spacing w:val="-1"/>
        </w:rPr>
      </w:pPr>
      <w:r w:rsidRPr="000E61EB">
        <w:rPr>
          <w:spacing w:val="-1"/>
        </w:rPr>
        <w:t>Pri podávaní Pramipexolu Teva Pharma v kombinácii s levodopou sa počas zvyšovania dávky Pramipexolu Teva Pharma odporúča znížiť dávku levodopy a dávku iných antiparkinsonských liekov ponechať nezmenenú.</w:t>
      </w:r>
    </w:p>
    <w:p w14:paraId="672A3BB0" w14:textId="77777777" w:rsidR="00D009D7" w:rsidRPr="000E61EB" w:rsidRDefault="00D009D7" w:rsidP="006F0EA2">
      <w:pPr>
        <w:tabs>
          <w:tab w:val="left" w:pos="567"/>
        </w:tabs>
        <w:spacing w:line="260" w:lineRule="exact"/>
        <w:rPr>
          <w:spacing w:val="-1"/>
        </w:rPr>
      </w:pPr>
      <w:r w:rsidRPr="000E61EB">
        <w:rPr>
          <w:spacing w:val="-1"/>
        </w:rPr>
        <w:t>Opatrnosť sa vyžaduje u pacientov, ktorí v kombinácii s pramipexolom užívajú iné sedatívne lieky alebo alkohol, kvôli ich možným aditívnym účinkom (pozri časti 4.4, 4.7 a 4.8).</w:t>
      </w:r>
    </w:p>
    <w:p w14:paraId="3E88DB5F" w14:textId="77777777" w:rsidR="00C57895" w:rsidRDefault="00C57895" w:rsidP="006F0EA2">
      <w:pPr>
        <w:tabs>
          <w:tab w:val="left" w:pos="567"/>
        </w:tabs>
        <w:spacing w:line="260" w:lineRule="exact"/>
        <w:rPr>
          <w:spacing w:val="-1"/>
          <w:u w:val="single"/>
        </w:rPr>
      </w:pPr>
    </w:p>
    <w:p w14:paraId="026E943B" w14:textId="77777777" w:rsidR="00D009D7" w:rsidRPr="000E61EB" w:rsidRDefault="00D009D7" w:rsidP="006F0EA2">
      <w:pPr>
        <w:tabs>
          <w:tab w:val="left" w:pos="567"/>
        </w:tabs>
        <w:spacing w:line="260" w:lineRule="exact"/>
        <w:rPr>
          <w:spacing w:val="-1"/>
          <w:u w:val="single"/>
        </w:rPr>
      </w:pPr>
      <w:r w:rsidRPr="000E61EB">
        <w:rPr>
          <w:spacing w:val="-1"/>
          <w:u w:val="single"/>
        </w:rPr>
        <w:t>Antipsychotické lieky</w:t>
      </w:r>
    </w:p>
    <w:p w14:paraId="673942FE" w14:textId="77777777" w:rsidR="00D009D7" w:rsidRPr="000E61EB" w:rsidRDefault="00D009D7" w:rsidP="006F0EA2">
      <w:pPr>
        <w:tabs>
          <w:tab w:val="left" w:pos="567"/>
        </w:tabs>
        <w:spacing w:line="260" w:lineRule="exact"/>
        <w:rPr>
          <w:spacing w:val="-1"/>
        </w:rPr>
      </w:pPr>
      <w:r w:rsidRPr="000E61EB">
        <w:rPr>
          <w:spacing w:val="-1"/>
        </w:rPr>
        <w:t>Treba sa vyhnúť súbežnému podávaniu antipsychotických liekov s pramipexolom (pozri časť 4.4), napr. ak je možné očakávať antagonistický účinok.</w:t>
      </w:r>
    </w:p>
    <w:p w14:paraId="1ACC06E2" w14:textId="77777777" w:rsidR="006F0EA2" w:rsidRPr="000E61EB" w:rsidRDefault="006F0EA2" w:rsidP="006F0EA2">
      <w:pPr>
        <w:tabs>
          <w:tab w:val="left" w:pos="567"/>
        </w:tabs>
        <w:spacing w:line="260" w:lineRule="exact"/>
        <w:rPr>
          <w:spacing w:val="-1"/>
        </w:rPr>
      </w:pPr>
    </w:p>
    <w:p w14:paraId="2030D934" w14:textId="77777777" w:rsidR="00A22CF8" w:rsidRPr="000E61EB" w:rsidRDefault="00A22CF8" w:rsidP="006F0EA2">
      <w:pPr>
        <w:tabs>
          <w:tab w:val="left" w:pos="567"/>
        </w:tabs>
        <w:spacing w:line="260" w:lineRule="exact"/>
        <w:rPr>
          <w:b/>
          <w:spacing w:val="-1"/>
        </w:rPr>
      </w:pPr>
      <w:r w:rsidRPr="000E61EB">
        <w:rPr>
          <w:b/>
          <w:spacing w:val="-1"/>
        </w:rPr>
        <w:t>4.6</w:t>
      </w:r>
      <w:r w:rsidRPr="000E61EB">
        <w:rPr>
          <w:b/>
          <w:spacing w:val="-1"/>
        </w:rPr>
        <w:tab/>
        <w:t>Fert</w:t>
      </w:r>
      <w:r w:rsidR="00F524BD" w:rsidRPr="000E61EB">
        <w:rPr>
          <w:b/>
          <w:spacing w:val="-1"/>
        </w:rPr>
        <w:t>i</w:t>
      </w:r>
      <w:r w:rsidRPr="000E61EB">
        <w:rPr>
          <w:b/>
          <w:spacing w:val="-1"/>
        </w:rPr>
        <w:t>lita, gravidita a laktácia</w:t>
      </w:r>
    </w:p>
    <w:p w14:paraId="0D097636" w14:textId="77777777" w:rsidR="00A22CF8" w:rsidRPr="000E61EB" w:rsidRDefault="00A22CF8" w:rsidP="006F0EA2">
      <w:pPr>
        <w:tabs>
          <w:tab w:val="left" w:pos="567"/>
        </w:tabs>
        <w:spacing w:line="260" w:lineRule="exact"/>
        <w:rPr>
          <w:spacing w:val="-1"/>
        </w:rPr>
      </w:pPr>
    </w:p>
    <w:p w14:paraId="3F08B2AF" w14:textId="77777777" w:rsidR="00A22CF8" w:rsidRPr="000E61EB" w:rsidRDefault="00A22CF8" w:rsidP="006F0EA2">
      <w:pPr>
        <w:tabs>
          <w:tab w:val="left" w:pos="567"/>
        </w:tabs>
        <w:spacing w:line="260" w:lineRule="exact"/>
        <w:rPr>
          <w:spacing w:val="-1"/>
          <w:u w:val="single"/>
        </w:rPr>
      </w:pPr>
      <w:r w:rsidRPr="000E61EB">
        <w:rPr>
          <w:spacing w:val="-1"/>
          <w:u w:val="single"/>
        </w:rPr>
        <w:t>Gravidita</w:t>
      </w:r>
    </w:p>
    <w:p w14:paraId="4BBBBED6" w14:textId="77777777" w:rsidR="00A22CF8" w:rsidRPr="000E61EB" w:rsidRDefault="00A22CF8" w:rsidP="006F0EA2">
      <w:pPr>
        <w:tabs>
          <w:tab w:val="left" w:pos="567"/>
        </w:tabs>
        <w:spacing w:line="260" w:lineRule="exact"/>
        <w:rPr>
          <w:spacing w:val="-1"/>
        </w:rPr>
      </w:pPr>
      <w:r w:rsidRPr="000E61EB">
        <w:rPr>
          <w:spacing w:val="-1"/>
        </w:rPr>
        <w:t xml:space="preserve">Vplyv na graviditu a laktáciu sa u ľudí neskúmal. Pramipexol nebol teratogénny u potkanov a králikov, ale bol embryotoxický u potkanov, keď sa podával v dávkach toxických pre samicu (pozri časť 5.3). Pramipexol Teva </w:t>
      </w:r>
      <w:r w:rsidR="00A43E24" w:rsidRPr="000E61EB">
        <w:rPr>
          <w:spacing w:val="-1"/>
        </w:rPr>
        <w:t xml:space="preserve">Pharma </w:t>
      </w:r>
      <w:r w:rsidRPr="000E61EB">
        <w:rPr>
          <w:spacing w:val="-1"/>
        </w:rPr>
        <w:t xml:space="preserve">sa má užívať počas gravidity iba v nevyhnutých prípadoch, t.j. ak potenciálny prínos </w:t>
      </w:r>
      <w:r w:rsidR="00491856" w:rsidRPr="000E61EB">
        <w:t>preváži</w:t>
      </w:r>
      <w:r w:rsidR="00491856" w:rsidRPr="000E61EB" w:rsidDel="00491856">
        <w:rPr>
          <w:spacing w:val="-1"/>
        </w:rPr>
        <w:t xml:space="preserve"> </w:t>
      </w:r>
      <w:r w:rsidRPr="000E61EB">
        <w:rPr>
          <w:spacing w:val="-1"/>
        </w:rPr>
        <w:t>možné riziko pre plod.</w:t>
      </w:r>
    </w:p>
    <w:p w14:paraId="7C94FAB8" w14:textId="77777777" w:rsidR="006F0EA2" w:rsidRPr="000E61EB" w:rsidRDefault="006F0EA2" w:rsidP="006F0EA2">
      <w:pPr>
        <w:tabs>
          <w:tab w:val="left" w:pos="567"/>
        </w:tabs>
        <w:spacing w:line="260" w:lineRule="exact"/>
        <w:rPr>
          <w:spacing w:val="-1"/>
        </w:rPr>
      </w:pPr>
    </w:p>
    <w:p w14:paraId="7A636305" w14:textId="77777777" w:rsidR="00A22CF8" w:rsidRPr="000E61EB" w:rsidRDefault="00A22CF8" w:rsidP="006F0EA2">
      <w:pPr>
        <w:tabs>
          <w:tab w:val="left" w:pos="567"/>
        </w:tabs>
        <w:spacing w:line="260" w:lineRule="exact"/>
        <w:rPr>
          <w:spacing w:val="-1"/>
          <w:u w:val="single"/>
        </w:rPr>
      </w:pPr>
      <w:r w:rsidRPr="000E61EB">
        <w:rPr>
          <w:spacing w:val="-1"/>
          <w:u w:val="single"/>
        </w:rPr>
        <w:t>Dojčenie</w:t>
      </w:r>
    </w:p>
    <w:p w14:paraId="51DAB286" w14:textId="77777777" w:rsidR="00A22CF8" w:rsidRPr="000E61EB" w:rsidRDefault="00A22CF8" w:rsidP="006F0EA2">
      <w:pPr>
        <w:tabs>
          <w:tab w:val="left" w:pos="567"/>
        </w:tabs>
        <w:spacing w:line="260" w:lineRule="exact"/>
        <w:rPr>
          <w:spacing w:val="-1"/>
        </w:rPr>
      </w:pPr>
      <w:r w:rsidRPr="000E61EB">
        <w:rPr>
          <w:spacing w:val="-1"/>
        </w:rPr>
        <w:t xml:space="preserve">Keďže liečba pramipexolom u ľudí inhibuje vylučovanie prolaktínu, očakáva sa aj inhibícia laktácie. Vylučovanie pramipexolu do materského mlieka sa u žien neskúmalo. U potkanov bola koncentrácia rádioaktivity súvisiacej s liečivom vyššia v materskom mlieku ako v plazme. Nie sú k dispozícii údaje u ľudí, a preto sa Pramipexol Teva </w:t>
      </w:r>
      <w:r w:rsidR="001F6DF1" w:rsidRPr="000E61EB">
        <w:rPr>
          <w:spacing w:val="-1"/>
        </w:rPr>
        <w:t xml:space="preserve">Pharma </w:t>
      </w:r>
      <w:r w:rsidRPr="000E61EB">
        <w:rPr>
          <w:spacing w:val="-1"/>
        </w:rPr>
        <w:t>nemá užívať počas dojčenia. Ak je však jeho použitie nevyhnutné, dojčenie sa má prerušiť.</w:t>
      </w:r>
    </w:p>
    <w:p w14:paraId="4DFF9452" w14:textId="77777777" w:rsidR="006F0EA2" w:rsidRPr="000E61EB" w:rsidRDefault="006F0EA2" w:rsidP="006F0EA2">
      <w:pPr>
        <w:tabs>
          <w:tab w:val="left" w:pos="567"/>
        </w:tabs>
        <w:spacing w:line="260" w:lineRule="exact"/>
        <w:rPr>
          <w:spacing w:val="-1"/>
        </w:rPr>
      </w:pPr>
    </w:p>
    <w:p w14:paraId="60E9FF3B" w14:textId="77777777" w:rsidR="00A22CF8" w:rsidRPr="000E61EB" w:rsidRDefault="00A22CF8" w:rsidP="006F0EA2">
      <w:pPr>
        <w:tabs>
          <w:tab w:val="left" w:pos="567"/>
        </w:tabs>
        <w:spacing w:line="260" w:lineRule="exact"/>
        <w:rPr>
          <w:spacing w:val="-1"/>
          <w:u w:val="single"/>
        </w:rPr>
      </w:pPr>
      <w:r w:rsidRPr="000E61EB">
        <w:rPr>
          <w:spacing w:val="-1"/>
          <w:u w:val="single"/>
        </w:rPr>
        <w:t>Fertilita</w:t>
      </w:r>
    </w:p>
    <w:p w14:paraId="0BF1546D" w14:textId="77777777" w:rsidR="00CB5AA9" w:rsidRPr="000E61EB" w:rsidRDefault="00A22CF8" w:rsidP="006F0EA2">
      <w:pPr>
        <w:tabs>
          <w:tab w:val="left" w:pos="567"/>
        </w:tabs>
        <w:spacing w:line="260" w:lineRule="exact"/>
        <w:rPr>
          <w:spacing w:val="-1"/>
        </w:rPr>
      </w:pPr>
      <w:r w:rsidRPr="000E61EB">
        <w:rPr>
          <w:spacing w:val="-1"/>
        </w:rPr>
        <w:t>Neboli vykonané žiadne štúdie o vplyve na fertilitu u ľudí. V štúdiách na zvieratách, pramipexol</w:t>
      </w:r>
    </w:p>
    <w:p w14:paraId="444092D8" w14:textId="77777777" w:rsidR="00A22CF8" w:rsidRPr="000E61EB" w:rsidRDefault="00CB5AA9" w:rsidP="006F0EA2">
      <w:pPr>
        <w:tabs>
          <w:tab w:val="left" w:pos="567"/>
        </w:tabs>
        <w:spacing w:line="260" w:lineRule="exact"/>
        <w:rPr>
          <w:spacing w:val="-1"/>
        </w:rPr>
      </w:pPr>
      <w:r w:rsidRPr="000E61EB">
        <w:rPr>
          <w:spacing w:val="-1"/>
        </w:rPr>
        <w:t>o</w:t>
      </w:r>
      <w:r w:rsidR="00A22CF8" w:rsidRPr="000E61EB">
        <w:rPr>
          <w:spacing w:val="-1"/>
        </w:rPr>
        <w:t>vplyvnil estrálne cykly a znížil fertilitu samičiek, tak ako sa očakávalo u dopamínového agonistu.</w:t>
      </w:r>
    </w:p>
    <w:p w14:paraId="7C4E399D" w14:textId="77777777" w:rsidR="00A22CF8" w:rsidRPr="000E61EB" w:rsidRDefault="00A22CF8" w:rsidP="006F0EA2">
      <w:pPr>
        <w:tabs>
          <w:tab w:val="left" w:pos="567"/>
        </w:tabs>
        <w:spacing w:line="260" w:lineRule="exact"/>
        <w:rPr>
          <w:spacing w:val="-1"/>
        </w:rPr>
      </w:pPr>
      <w:r w:rsidRPr="000E61EB">
        <w:rPr>
          <w:spacing w:val="-1"/>
        </w:rPr>
        <w:t>Tieto štúdie nepreukázali priame alebo nepriame škodlivé účinky vzhľadom na samčiu fertilitu.</w:t>
      </w:r>
    </w:p>
    <w:p w14:paraId="6005315F" w14:textId="77777777" w:rsidR="00A22CF8" w:rsidRPr="000E61EB" w:rsidRDefault="00A22CF8" w:rsidP="006F0EA2">
      <w:pPr>
        <w:tabs>
          <w:tab w:val="left" w:pos="567"/>
        </w:tabs>
        <w:spacing w:line="260" w:lineRule="exact"/>
        <w:rPr>
          <w:spacing w:val="-1"/>
        </w:rPr>
      </w:pPr>
    </w:p>
    <w:p w14:paraId="4243F4BC" w14:textId="77777777" w:rsidR="00A22CF8" w:rsidRPr="000E61EB" w:rsidRDefault="00A22CF8" w:rsidP="000E4AFD">
      <w:pPr>
        <w:pStyle w:val="Bezriadkovania"/>
        <w:rPr>
          <w:b/>
        </w:rPr>
      </w:pPr>
      <w:r w:rsidRPr="000E61EB">
        <w:rPr>
          <w:b/>
        </w:rPr>
        <w:t>4.7</w:t>
      </w:r>
      <w:r w:rsidRPr="000E61EB">
        <w:rPr>
          <w:b/>
        </w:rPr>
        <w:tab/>
      </w:r>
      <w:r w:rsidRPr="000E61EB">
        <w:rPr>
          <w:b/>
          <w:noProof/>
        </w:rPr>
        <w:t>Ovplyvnenie schopnosti viesť vozidlá a obsluhovať stroje</w:t>
      </w:r>
    </w:p>
    <w:p w14:paraId="4410A75D" w14:textId="77777777" w:rsidR="008449E2" w:rsidRPr="000E61EB" w:rsidRDefault="008449E2" w:rsidP="000E4AFD">
      <w:pPr>
        <w:pStyle w:val="Bezriadkovania"/>
      </w:pPr>
    </w:p>
    <w:p w14:paraId="11B7B7C1" w14:textId="77777777" w:rsidR="005826C6" w:rsidRDefault="008577A1" w:rsidP="000E4AFD">
      <w:pPr>
        <w:pStyle w:val="Bezriadkovania"/>
      </w:pPr>
      <w:r w:rsidRPr="000E61EB">
        <w:t>Pramipexol Teva</w:t>
      </w:r>
      <w:r w:rsidR="002C7348" w:rsidRPr="000E61EB">
        <w:t xml:space="preserve"> Pharma</w:t>
      </w:r>
      <w:r w:rsidRPr="000E61EB">
        <w:t xml:space="preserve"> môže mať veľký vplyv na schopnosť viesť vozidlá a o</w:t>
      </w:r>
      <w:r w:rsidR="00F277BE" w:rsidRPr="000E61EB">
        <w:t>bsluhovať stroje.</w:t>
      </w:r>
      <w:r w:rsidRPr="000E61EB">
        <w:t>Môžu sa vysky</w:t>
      </w:r>
      <w:r w:rsidR="00F277BE" w:rsidRPr="000E61EB">
        <w:t>tnúť halucinácie a somnolencia.</w:t>
      </w:r>
      <w:r w:rsidR="00491856" w:rsidRPr="000E61EB">
        <w:t xml:space="preserve"> </w:t>
      </w:r>
    </w:p>
    <w:p w14:paraId="39D17490" w14:textId="77777777" w:rsidR="005826C6" w:rsidRDefault="005826C6" w:rsidP="000E4AFD">
      <w:pPr>
        <w:pStyle w:val="Bezriadkovania"/>
      </w:pPr>
    </w:p>
    <w:p w14:paraId="4DF1772C" w14:textId="5011114C" w:rsidR="008577A1" w:rsidRPr="000E61EB" w:rsidRDefault="008577A1" w:rsidP="000E4AFD">
      <w:pPr>
        <w:pStyle w:val="Bezriadkovania"/>
      </w:pPr>
      <w:r w:rsidRPr="000E61EB">
        <w:t xml:space="preserve">Pacienti, u ktorých sa počas liečby Pramipexolom Teva </w:t>
      </w:r>
      <w:r w:rsidR="002C7348" w:rsidRPr="000E61EB">
        <w:t xml:space="preserve">Pharma </w:t>
      </w:r>
      <w:r w:rsidRPr="000E61EB">
        <w:t>vyskytne somnolencia a/alebo epizódy náhleho upadnutia do spánku, musia byť informovaní, že nesmú viesť vozidlo alebo sa zapájať do činností, v ktorých by narušená bdelosť mohla pre nich alebo pre ostatné osoby predstavovať riziko závažného zranenia alebo úmrtia (napr. obsluha strojov),</w:t>
      </w:r>
      <w:r w:rsidRPr="000E61EB">
        <w:rPr>
          <w:lang w:eastAsia="en-GB"/>
        </w:rPr>
        <w:t xml:space="preserve"> a to až dovtedy, kým u nich takéto opakované epizódy a somnolencia neustúpia (pozri aj časti 4.4, 4.5 a 4.8).</w:t>
      </w:r>
    </w:p>
    <w:p w14:paraId="4375AB66" w14:textId="77777777" w:rsidR="008449E2" w:rsidRPr="000E61EB" w:rsidRDefault="008449E2" w:rsidP="000E4AFD">
      <w:pPr>
        <w:pStyle w:val="Bezriadkovania"/>
        <w:rPr>
          <w:rFonts w:eastAsia="Times New Roman"/>
          <w:b/>
          <w:noProof/>
        </w:rPr>
      </w:pPr>
    </w:p>
    <w:p w14:paraId="143D4EC9" w14:textId="77777777" w:rsidR="00601F8E" w:rsidRPr="000E61EB" w:rsidRDefault="00601F8E" w:rsidP="000E4AFD">
      <w:pPr>
        <w:pStyle w:val="Bezriadkovania"/>
        <w:rPr>
          <w:rFonts w:eastAsia="Times New Roman"/>
          <w:b/>
          <w:noProof/>
        </w:rPr>
      </w:pPr>
      <w:r w:rsidRPr="000E61EB">
        <w:rPr>
          <w:rFonts w:eastAsia="Times New Roman"/>
          <w:b/>
          <w:noProof/>
        </w:rPr>
        <w:t>4.8</w:t>
      </w:r>
      <w:r w:rsidRPr="000E61EB">
        <w:rPr>
          <w:rFonts w:eastAsia="Times New Roman"/>
          <w:b/>
          <w:noProof/>
        </w:rPr>
        <w:tab/>
        <w:t>Nežiaduce účinky</w:t>
      </w:r>
    </w:p>
    <w:p w14:paraId="0F04299F" w14:textId="77777777" w:rsidR="008449E2" w:rsidRPr="000E61EB" w:rsidRDefault="008449E2" w:rsidP="000E4AFD">
      <w:pPr>
        <w:pStyle w:val="Bezriadkovania"/>
        <w:rPr>
          <w:lang w:eastAsia="es-ES"/>
        </w:rPr>
      </w:pPr>
    </w:p>
    <w:p w14:paraId="29D115EB" w14:textId="77777777" w:rsidR="00200789" w:rsidRPr="00C57895" w:rsidRDefault="00200789" w:rsidP="00D40716">
      <w:pPr>
        <w:pStyle w:val="Bezriadkovania"/>
      </w:pPr>
      <w:r w:rsidRPr="000E61EB">
        <w:t>Z</w:t>
      </w:r>
      <w:r w:rsidRPr="000E61EB">
        <w:rPr>
          <w:spacing w:val="-3"/>
        </w:rPr>
        <w:t xml:space="preserve"> </w:t>
      </w:r>
      <w:r w:rsidRPr="000E61EB">
        <w:rPr>
          <w:spacing w:val="-1"/>
        </w:rPr>
        <w:t>analýzy</w:t>
      </w:r>
      <w:r w:rsidRPr="000E61EB">
        <w:t xml:space="preserve"> </w:t>
      </w:r>
      <w:r w:rsidRPr="000E61EB">
        <w:rPr>
          <w:spacing w:val="-1"/>
        </w:rPr>
        <w:t>združených</w:t>
      </w:r>
      <w:r w:rsidRPr="000E61EB">
        <w:t xml:space="preserve"> </w:t>
      </w:r>
      <w:r w:rsidRPr="000E61EB">
        <w:rPr>
          <w:spacing w:val="-1"/>
        </w:rPr>
        <w:t>placebom</w:t>
      </w:r>
      <w:r w:rsidRPr="000E61EB">
        <w:rPr>
          <w:spacing w:val="-4"/>
        </w:rPr>
        <w:t xml:space="preserve"> </w:t>
      </w:r>
      <w:r w:rsidRPr="000E61EB">
        <w:rPr>
          <w:spacing w:val="-1"/>
        </w:rPr>
        <w:t>kontrolovaných</w:t>
      </w:r>
      <w:r w:rsidRPr="000E61EB">
        <w:t xml:space="preserve"> </w:t>
      </w:r>
      <w:r w:rsidRPr="000E61EB">
        <w:rPr>
          <w:spacing w:val="-1"/>
        </w:rPr>
        <w:t>štúdií</w:t>
      </w:r>
      <w:r w:rsidRPr="000E61EB">
        <w:rPr>
          <w:spacing w:val="1"/>
        </w:rPr>
        <w:t xml:space="preserve"> </w:t>
      </w:r>
      <w:r w:rsidRPr="000E61EB">
        <w:rPr>
          <w:spacing w:val="-1"/>
        </w:rPr>
        <w:t>vyplýva,</w:t>
      </w:r>
      <w:r w:rsidRPr="000E61EB">
        <w:t xml:space="preserve"> </w:t>
      </w:r>
      <w:r w:rsidRPr="000E61EB">
        <w:rPr>
          <w:spacing w:val="-1"/>
        </w:rPr>
        <w:t>že</w:t>
      </w:r>
      <w:r w:rsidRPr="000E61EB">
        <w:t xml:space="preserve"> pri</w:t>
      </w:r>
      <w:r w:rsidRPr="000E61EB">
        <w:rPr>
          <w:spacing w:val="1"/>
        </w:rPr>
        <w:t xml:space="preserve"> </w:t>
      </w:r>
      <w:r w:rsidRPr="000E61EB">
        <w:rPr>
          <w:spacing w:val="-1"/>
        </w:rPr>
        <w:t>porovnaní</w:t>
      </w:r>
      <w:r w:rsidRPr="000E61EB">
        <w:rPr>
          <w:spacing w:val="-2"/>
        </w:rPr>
        <w:t xml:space="preserve"> </w:t>
      </w:r>
      <w:r w:rsidRPr="000E61EB">
        <w:rPr>
          <w:spacing w:val="-1"/>
        </w:rPr>
        <w:t>celkovo</w:t>
      </w:r>
      <w:r w:rsidRPr="000E61EB">
        <w:t xml:space="preserve"> 1</w:t>
      </w:r>
      <w:r w:rsidRPr="000E61EB">
        <w:rPr>
          <w:spacing w:val="-2"/>
        </w:rPr>
        <w:t xml:space="preserve"> 778</w:t>
      </w:r>
      <w:r w:rsidRPr="000E61EB">
        <w:rPr>
          <w:spacing w:val="59"/>
        </w:rPr>
        <w:t xml:space="preserve"> </w:t>
      </w:r>
      <w:r w:rsidRPr="000E61EB">
        <w:rPr>
          <w:spacing w:val="-1"/>
        </w:rPr>
        <w:t>pacientov</w:t>
      </w:r>
      <w:r w:rsidRPr="000E61EB">
        <w:rPr>
          <w:spacing w:val="-3"/>
        </w:rPr>
        <w:t xml:space="preserve"> </w:t>
      </w:r>
      <w:r w:rsidRPr="000E61EB">
        <w:t xml:space="preserve">s </w:t>
      </w:r>
      <w:r w:rsidRPr="000E61EB">
        <w:rPr>
          <w:spacing w:val="-1"/>
        </w:rPr>
        <w:t>Parkinsonovou</w:t>
      </w:r>
      <w:r w:rsidRPr="000E61EB">
        <w:t xml:space="preserve"> </w:t>
      </w:r>
      <w:r w:rsidRPr="000E61EB">
        <w:rPr>
          <w:spacing w:val="-1"/>
        </w:rPr>
        <w:t>chorobou</w:t>
      </w:r>
      <w:r w:rsidRPr="000E61EB">
        <w:t xml:space="preserve"> </w:t>
      </w:r>
      <w:r w:rsidRPr="000E61EB">
        <w:rPr>
          <w:spacing w:val="-1"/>
        </w:rPr>
        <w:t>užívajúcich</w:t>
      </w:r>
      <w:r w:rsidRPr="000E61EB">
        <w:rPr>
          <w:spacing w:val="-3"/>
        </w:rPr>
        <w:t xml:space="preserve"> </w:t>
      </w:r>
      <w:r w:rsidRPr="000E61EB">
        <w:rPr>
          <w:spacing w:val="-1"/>
        </w:rPr>
        <w:t>pramipexol</w:t>
      </w:r>
      <w:r w:rsidRPr="000E61EB">
        <w:rPr>
          <w:spacing w:val="1"/>
        </w:rPr>
        <w:t xml:space="preserve"> </w:t>
      </w:r>
      <w:r w:rsidRPr="000E61EB">
        <w:t>a</w:t>
      </w:r>
      <w:r w:rsidRPr="000E61EB">
        <w:rPr>
          <w:spacing w:val="-1"/>
        </w:rPr>
        <w:t xml:space="preserve"> </w:t>
      </w:r>
      <w:r w:rsidRPr="000E61EB">
        <w:t>1</w:t>
      </w:r>
      <w:r w:rsidRPr="000E61EB">
        <w:rPr>
          <w:spacing w:val="-3"/>
        </w:rPr>
        <w:t xml:space="preserve"> </w:t>
      </w:r>
      <w:r w:rsidRPr="000E61EB">
        <w:t xml:space="preserve">297 </w:t>
      </w:r>
      <w:r w:rsidRPr="000E61EB">
        <w:rPr>
          <w:spacing w:val="-1"/>
        </w:rPr>
        <w:t>pacientov</w:t>
      </w:r>
      <w:r w:rsidRPr="000E61EB">
        <w:rPr>
          <w:spacing w:val="-3"/>
        </w:rPr>
        <w:t xml:space="preserve"> </w:t>
      </w:r>
      <w:r w:rsidRPr="000E61EB">
        <w:rPr>
          <w:spacing w:val="-1"/>
        </w:rPr>
        <w:t>užívajúcich</w:t>
      </w:r>
      <w:r w:rsidRPr="000E61EB">
        <w:t xml:space="preserve"> </w:t>
      </w:r>
      <w:r w:rsidRPr="000E61EB">
        <w:rPr>
          <w:spacing w:val="-1"/>
        </w:rPr>
        <w:t>placebo</w:t>
      </w:r>
      <w:r w:rsidRPr="000E61EB">
        <w:rPr>
          <w:spacing w:val="81"/>
        </w:rPr>
        <w:t xml:space="preserve"> </w:t>
      </w:r>
      <w:r w:rsidRPr="000E61EB">
        <w:t>boli</w:t>
      </w:r>
      <w:r w:rsidRPr="000E61EB">
        <w:rPr>
          <w:spacing w:val="1"/>
        </w:rPr>
        <w:t xml:space="preserve"> </w:t>
      </w:r>
      <w:r w:rsidRPr="000E61EB">
        <w:t>v</w:t>
      </w:r>
      <w:r w:rsidRPr="000E61EB">
        <w:rPr>
          <w:spacing w:val="-3"/>
        </w:rPr>
        <w:t xml:space="preserve"> </w:t>
      </w:r>
      <w:r w:rsidRPr="000E61EB">
        <w:rPr>
          <w:spacing w:val="-1"/>
        </w:rPr>
        <w:t>oboch</w:t>
      </w:r>
      <w:r w:rsidRPr="000E61EB">
        <w:t xml:space="preserve"> </w:t>
      </w:r>
      <w:r w:rsidRPr="000E61EB">
        <w:rPr>
          <w:spacing w:val="-1"/>
        </w:rPr>
        <w:t>skupinách</w:t>
      </w:r>
      <w:r w:rsidRPr="000E61EB">
        <w:t xml:space="preserve"> </w:t>
      </w:r>
      <w:r w:rsidRPr="000E61EB">
        <w:rPr>
          <w:spacing w:val="-2"/>
        </w:rPr>
        <w:t>často</w:t>
      </w:r>
      <w:r w:rsidRPr="000E61EB">
        <w:t xml:space="preserve"> </w:t>
      </w:r>
      <w:r w:rsidRPr="000E61EB">
        <w:rPr>
          <w:spacing w:val="-1"/>
        </w:rPr>
        <w:t>hlásené</w:t>
      </w:r>
      <w:r w:rsidRPr="000E61EB">
        <w:rPr>
          <w:spacing w:val="-2"/>
        </w:rPr>
        <w:t xml:space="preserve"> </w:t>
      </w:r>
      <w:r w:rsidRPr="000E61EB">
        <w:rPr>
          <w:spacing w:val="-1"/>
        </w:rPr>
        <w:t>nežiaduce</w:t>
      </w:r>
      <w:r w:rsidRPr="000E61EB">
        <w:t xml:space="preserve"> </w:t>
      </w:r>
      <w:r w:rsidRPr="000E61EB">
        <w:rPr>
          <w:spacing w:val="-2"/>
        </w:rPr>
        <w:t>účinky.</w:t>
      </w:r>
      <w:r w:rsidRPr="000E61EB">
        <w:t xml:space="preserve"> 67%</w:t>
      </w:r>
      <w:r w:rsidRPr="000E61EB">
        <w:rPr>
          <w:spacing w:val="1"/>
        </w:rPr>
        <w:t xml:space="preserve"> </w:t>
      </w:r>
      <w:r w:rsidRPr="000E61EB">
        <w:rPr>
          <w:spacing w:val="-1"/>
        </w:rPr>
        <w:t>pacientov</w:t>
      </w:r>
      <w:r w:rsidRPr="000E61EB">
        <w:rPr>
          <w:spacing w:val="-3"/>
        </w:rPr>
        <w:t xml:space="preserve"> </w:t>
      </w:r>
      <w:r w:rsidRPr="000E61EB">
        <w:rPr>
          <w:spacing w:val="-1"/>
        </w:rPr>
        <w:t>užívajúcich</w:t>
      </w:r>
      <w:r w:rsidRPr="000E61EB">
        <w:t xml:space="preserve"> </w:t>
      </w:r>
      <w:r w:rsidRPr="000E61EB">
        <w:rPr>
          <w:spacing w:val="-1"/>
        </w:rPr>
        <w:t>pramipexol</w:t>
      </w:r>
      <w:r w:rsidRPr="000E61EB">
        <w:rPr>
          <w:spacing w:val="1"/>
        </w:rPr>
        <w:t xml:space="preserve"> </w:t>
      </w:r>
      <w:r w:rsidRPr="000E61EB">
        <w:t xml:space="preserve">a </w:t>
      </w:r>
      <w:r w:rsidRPr="000E61EB">
        <w:rPr>
          <w:spacing w:val="-1"/>
        </w:rPr>
        <w:t>54%</w:t>
      </w:r>
      <w:r w:rsidRPr="000E61EB">
        <w:rPr>
          <w:spacing w:val="85"/>
        </w:rPr>
        <w:t xml:space="preserve"> </w:t>
      </w:r>
      <w:r w:rsidRPr="000E61EB">
        <w:rPr>
          <w:spacing w:val="-1"/>
        </w:rPr>
        <w:t>pacientov</w:t>
      </w:r>
      <w:r w:rsidRPr="000E61EB">
        <w:rPr>
          <w:spacing w:val="-3"/>
        </w:rPr>
        <w:t xml:space="preserve"> </w:t>
      </w:r>
      <w:r w:rsidRPr="000E61EB">
        <w:rPr>
          <w:spacing w:val="-1"/>
        </w:rPr>
        <w:t>užívajúcich</w:t>
      </w:r>
      <w:r w:rsidRPr="000E61EB">
        <w:t xml:space="preserve"> </w:t>
      </w:r>
      <w:r w:rsidRPr="000E61EB">
        <w:rPr>
          <w:spacing w:val="-1"/>
        </w:rPr>
        <w:t>placebo</w:t>
      </w:r>
      <w:r w:rsidRPr="000E61EB">
        <w:t xml:space="preserve"> </w:t>
      </w:r>
      <w:r w:rsidRPr="000E61EB">
        <w:rPr>
          <w:spacing w:val="-1"/>
        </w:rPr>
        <w:t>nahlásilo</w:t>
      </w:r>
      <w:r w:rsidRPr="000E61EB">
        <w:rPr>
          <w:spacing w:val="-3"/>
        </w:rPr>
        <w:t xml:space="preserve"> </w:t>
      </w:r>
      <w:r w:rsidRPr="000E61EB">
        <w:rPr>
          <w:spacing w:val="-1"/>
        </w:rPr>
        <w:t>aspoň</w:t>
      </w:r>
      <w:r w:rsidRPr="000E61EB">
        <w:rPr>
          <w:spacing w:val="-3"/>
        </w:rPr>
        <w:t xml:space="preserve"> </w:t>
      </w:r>
      <w:r w:rsidRPr="000E61EB">
        <w:t xml:space="preserve">jeden </w:t>
      </w:r>
      <w:r w:rsidRPr="000E61EB">
        <w:rPr>
          <w:spacing w:val="-1"/>
        </w:rPr>
        <w:t>nežiaduci</w:t>
      </w:r>
      <w:r w:rsidRPr="000E61EB">
        <w:rPr>
          <w:spacing w:val="-2"/>
        </w:rPr>
        <w:t xml:space="preserve"> </w:t>
      </w:r>
      <w:r w:rsidRPr="000E61EB">
        <w:rPr>
          <w:spacing w:val="-1"/>
        </w:rPr>
        <w:t>účinok.</w:t>
      </w:r>
    </w:p>
    <w:p w14:paraId="5542A22D" w14:textId="77777777" w:rsidR="00200789" w:rsidRPr="000E61EB" w:rsidRDefault="00200789" w:rsidP="00C57895"/>
    <w:p w14:paraId="441FC9C1" w14:textId="1EE48B71" w:rsidR="00EE1167" w:rsidRPr="00B20DF2" w:rsidRDefault="00EE1167" w:rsidP="00EE1167">
      <w:r w:rsidRPr="00B20DF2">
        <w:t xml:space="preserve">Väčšina nežiaducich </w:t>
      </w:r>
      <w:r w:rsidR="00AA0AC2">
        <w:t>účinkov</w:t>
      </w:r>
      <w:r w:rsidRPr="00B20DF2">
        <w:t xml:space="preserve"> zvyčajne začína</w:t>
      </w:r>
      <w:r>
        <w:t xml:space="preserve"> </w:t>
      </w:r>
      <w:r w:rsidRPr="00B20DF2">
        <w:t>na začiatku liečby a väčšina z nich má tendenciu vymiznúť aj pri pokračovaní liečby.</w:t>
      </w:r>
    </w:p>
    <w:p w14:paraId="17E764F6" w14:textId="77777777" w:rsidR="00200789" w:rsidRPr="00EE1167" w:rsidRDefault="00200789" w:rsidP="000E4AFD">
      <w:pPr>
        <w:pStyle w:val="Bezriadkovania"/>
      </w:pPr>
    </w:p>
    <w:p w14:paraId="446BDB56" w14:textId="49A6BBAA" w:rsidR="00034557" w:rsidRPr="000E61EB" w:rsidRDefault="00034557" w:rsidP="000E4AFD">
      <w:pPr>
        <w:pStyle w:val="Bezriadkovania"/>
      </w:pPr>
      <w:r w:rsidRPr="000E61EB">
        <w:lastRenderedPageBreak/>
        <w:t>V rámci tried orgánových systémov sú nežiaduce reakcie uvedené podľa frekvencie výskytu (počet pacientov, u ktorých sa očakáva výskyt reakcie) s použitím nasledujúcich kategórií: veľmi časté (≥ 1/10); časté (≥ 1/100</w:t>
      </w:r>
      <w:r w:rsidR="00491856" w:rsidRPr="000E61EB">
        <w:t xml:space="preserve"> až</w:t>
      </w:r>
      <w:r w:rsidRPr="000E61EB">
        <w:t xml:space="preserve"> &lt; 1/10); menej časté (≥ 1/1 000</w:t>
      </w:r>
      <w:r w:rsidR="00491856" w:rsidRPr="000E61EB">
        <w:t xml:space="preserve"> až</w:t>
      </w:r>
      <w:r w:rsidRPr="000E61EB">
        <w:t xml:space="preserve"> &lt; 1/100); zriedkavé (≥ 1/10 000</w:t>
      </w:r>
      <w:r w:rsidR="00491856" w:rsidRPr="000E61EB">
        <w:t xml:space="preserve"> až</w:t>
      </w:r>
      <w:r w:rsidRPr="000E61EB">
        <w:t xml:space="preserve"> &lt; 1/1 000</w:t>
      </w:r>
      <w:r w:rsidRPr="00EE1167">
        <w:t>)</w:t>
      </w:r>
      <w:r w:rsidR="00EE1167">
        <w:t>, neznáme (</w:t>
      </w:r>
      <w:r w:rsidR="00EE1167" w:rsidRPr="002E0961">
        <w:rPr>
          <w:spacing w:val="-1"/>
        </w:rPr>
        <w:t xml:space="preserve"> z dostupných údajov</w:t>
      </w:r>
      <w:r w:rsidR="00EE1167">
        <w:rPr>
          <w:spacing w:val="-1"/>
        </w:rPr>
        <w:t>).</w:t>
      </w:r>
    </w:p>
    <w:p w14:paraId="78CA5DB0" w14:textId="77777777" w:rsidR="003F2991" w:rsidRPr="000E61EB" w:rsidRDefault="003F2991" w:rsidP="007172A6">
      <w:pPr>
        <w:pStyle w:val="Bezriadkovania"/>
        <w:tabs>
          <w:tab w:val="left" w:pos="0"/>
        </w:tabs>
      </w:pPr>
    </w:p>
    <w:p w14:paraId="067914EA" w14:textId="246A095B" w:rsidR="00090CEA" w:rsidRPr="000E61EB" w:rsidRDefault="00034557" w:rsidP="007172A6">
      <w:pPr>
        <w:pStyle w:val="Bezriadkovania"/>
        <w:tabs>
          <w:tab w:val="left" w:pos="0"/>
        </w:tabs>
      </w:pPr>
      <w:r w:rsidRPr="000E61EB">
        <w:t>Najč</w:t>
      </w:r>
      <w:r w:rsidR="00630E1F" w:rsidRPr="000E61EB">
        <w:t>astejšie (≥ 5 %) hlásené nežiad</w:t>
      </w:r>
      <w:r w:rsidR="005826C6">
        <w:t>u</w:t>
      </w:r>
      <w:r w:rsidRPr="000E61EB">
        <w:t>ce reakcie na liek u pacientov s Parkinsonovou chorobou, ktoré sa vyskytovali častejšie pri liečbe pramipexolom než pri placebe, boli nauzea, dyskinéza, hypotenzia, závraty, somnolencia, insomnia, zápcha, halucinácie, bolesť hlavy a únava. Výskyt somnolencie sa zvyšuje pri dávkach vyšších ako 1,5 mg</w:t>
      </w:r>
      <w:r w:rsidRPr="000E61EB">
        <w:rPr>
          <w:bCs/>
          <w:iCs/>
          <w:color w:val="000000"/>
        </w:rPr>
        <w:t xml:space="preserve"> soli pramipexolu </w:t>
      </w:r>
      <w:r w:rsidRPr="000E61EB">
        <w:t>(po</w:t>
      </w:r>
      <w:r w:rsidR="00630E1F" w:rsidRPr="000E61EB">
        <w:t>zri časť 4.2). Častejšia nežiad</w:t>
      </w:r>
      <w:r w:rsidR="005826C6">
        <w:t>u</w:t>
      </w:r>
      <w:r w:rsidRPr="000E61EB">
        <w:t>ca reakcia na liek pri kombinácii s levodopou bola dyskinéza. Na začiatku liečby sa môže vyskytnúť hypotenzia, najmä ak sa dávka pramipexolu zvyšuje príliš rýchlo.</w:t>
      </w:r>
    </w:p>
    <w:p w14:paraId="6E23FEBE" w14:textId="77777777" w:rsidR="003F2991" w:rsidRPr="000E61EB" w:rsidRDefault="003F2991" w:rsidP="003F2991"/>
    <w:tbl>
      <w:tblPr>
        <w:tblW w:w="0" w:type="auto"/>
        <w:jc w:val="center"/>
        <w:tblLayout w:type="fixed"/>
        <w:tblCellMar>
          <w:left w:w="0" w:type="dxa"/>
          <w:right w:w="0" w:type="dxa"/>
        </w:tblCellMar>
        <w:tblLook w:val="01E0" w:firstRow="1" w:lastRow="1" w:firstColumn="1" w:lastColumn="1" w:noHBand="0" w:noVBand="0"/>
      </w:tblPr>
      <w:tblGrid>
        <w:gridCol w:w="3156"/>
        <w:gridCol w:w="5592"/>
      </w:tblGrid>
      <w:tr w:rsidR="00D73B32" w:rsidRPr="000E61EB" w14:paraId="44F58BBD" w14:textId="77777777" w:rsidTr="00531A38">
        <w:trPr>
          <w:trHeight w:hRule="exact" w:val="262"/>
          <w:jc w:val="center"/>
        </w:trPr>
        <w:tc>
          <w:tcPr>
            <w:tcW w:w="3156" w:type="dxa"/>
            <w:tcBorders>
              <w:top w:val="single" w:sz="5" w:space="0" w:color="000000"/>
              <w:left w:val="single" w:sz="5" w:space="0" w:color="000000"/>
              <w:bottom w:val="single" w:sz="5" w:space="0" w:color="000000"/>
              <w:right w:val="single" w:sz="4" w:space="0" w:color="auto"/>
            </w:tcBorders>
            <w:shd w:val="clear" w:color="auto" w:fill="auto"/>
          </w:tcPr>
          <w:p w14:paraId="75F09F87" w14:textId="77777777" w:rsidR="00D73B32" w:rsidRPr="000E61EB" w:rsidRDefault="00D73B32" w:rsidP="00791DC6">
            <w:pPr>
              <w:pStyle w:val="Bezriadkovania"/>
              <w:widowControl w:val="0"/>
              <w:rPr>
                <w:rFonts w:eastAsia="Times New Roman"/>
                <w:lang w:eastAsia="en-US"/>
              </w:rPr>
            </w:pPr>
            <w:r w:rsidRPr="000E61EB">
              <w:rPr>
                <w:spacing w:val="-1"/>
                <w:lang w:eastAsia="en-US"/>
              </w:rPr>
              <w:t>Systém</w:t>
            </w:r>
            <w:r w:rsidRPr="000E61EB">
              <w:rPr>
                <w:spacing w:val="-4"/>
                <w:lang w:eastAsia="en-US"/>
              </w:rPr>
              <w:t xml:space="preserve"> </w:t>
            </w:r>
            <w:r w:rsidRPr="000E61EB">
              <w:rPr>
                <w:spacing w:val="-1"/>
                <w:lang w:eastAsia="en-US"/>
              </w:rPr>
              <w:t>orgánovej</w:t>
            </w:r>
            <w:r w:rsidRPr="000E61EB">
              <w:rPr>
                <w:spacing w:val="3"/>
                <w:lang w:eastAsia="en-US"/>
              </w:rPr>
              <w:t xml:space="preserve"> </w:t>
            </w:r>
            <w:r w:rsidRPr="000E61EB">
              <w:rPr>
                <w:spacing w:val="-1"/>
                <w:lang w:eastAsia="en-US"/>
              </w:rPr>
              <w:t>klasifikácie</w:t>
            </w:r>
          </w:p>
        </w:tc>
        <w:tc>
          <w:tcPr>
            <w:tcW w:w="5592" w:type="dxa"/>
            <w:tcBorders>
              <w:top w:val="single" w:sz="6" w:space="0" w:color="000000"/>
              <w:left w:val="single" w:sz="4" w:space="0" w:color="auto"/>
              <w:bottom w:val="single" w:sz="6" w:space="0" w:color="000000"/>
              <w:right w:val="single" w:sz="6" w:space="0" w:color="000000"/>
            </w:tcBorders>
            <w:shd w:val="clear" w:color="auto" w:fill="auto"/>
          </w:tcPr>
          <w:p w14:paraId="2B24FC73" w14:textId="77777777" w:rsidR="00D73B32" w:rsidRPr="000E61EB" w:rsidRDefault="00D73B32" w:rsidP="00791DC6">
            <w:pPr>
              <w:pStyle w:val="Bezriadkovania"/>
              <w:widowControl w:val="0"/>
              <w:rPr>
                <w:rFonts w:eastAsia="Times New Roman"/>
                <w:lang w:eastAsia="en-US"/>
              </w:rPr>
            </w:pPr>
            <w:r w:rsidRPr="000E61EB">
              <w:rPr>
                <w:spacing w:val="-1"/>
                <w:lang w:eastAsia="en-US"/>
              </w:rPr>
              <w:t>Nežiaduci</w:t>
            </w:r>
            <w:r w:rsidRPr="000E61EB">
              <w:rPr>
                <w:spacing w:val="-2"/>
                <w:lang w:eastAsia="en-US"/>
              </w:rPr>
              <w:t xml:space="preserve"> </w:t>
            </w:r>
            <w:r w:rsidRPr="000E61EB">
              <w:rPr>
                <w:spacing w:val="-1"/>
                <w:lang w:eastAsia="en-US"/>
              </w:rPr>
              <w:t>účinok</w:t>
            </w:r>
          </w:p>
        </w:tc>
      </w:tr>
      <w:tr w:rsidR="00D73B32" w:rsidRPr="000E61EB" w14:paraId="35934FDB" w14:textId="77777777" w:rsidTr="00531A38">
        <w:trPr>
          <w:trHeight w:hRule="exact" w:val="264"/>
          <w:jc w:val="center"/>
        </w:trPr>
        <w:tc>
          <w:tcPr>
            <w:tcW w:w="8748" w:type="dxa"/>
            <w:gridSpan w:val="2"/>
            <w:tcBorders>
              <w:top w:val="single" w:sz="5" w:space="0" w:color="000000"/>
              <w:left w:val="single" w:sz="5" w:space="0" w:color="000000"/>
              <w:bottom w:val="single" w:sz="5" w:space="0" w:color="000000"/>
              <w:right w:val="single" w:sz="5" w:space="0" w:color="000000"/>
            </w:tcBorders>
            <w:shd w:val="clear" w:color="auto" w:fill="auto"/>
          </w:tcPr>
          <w:p w14:paraId="1AFEA1D6" w14:textId="77777777" w:rsidR="00D73B32" w:rsidRPr="000E61EB" w:rsidRDefault="00D73B32" w:rsidP="00791DC6">
            <w:pPr>
              <w:pStyle w:val="Bezriadkovania"/>
              <w:widowControl w:val="0"/>
              <w:rPr>
                <w:rFonts w:eastAsia="Times New Roman"/>
                <w:b/>
                <w:lang w:eastAsia="en-US"/>
              </w:rPr>
            </w:pPr>
            <w:r w:rsidRPr="000E61EB">
              <w:rPr>
                <w:b/>
                <w:spacing w:val="-1"/>
                <w:lang w:eastAsia="en-US"/>
              </w:rPr>
              <w:t>Infekcie</w:t>
            </w:r>
            <w:r w:rsidRPr="000E61EB">
              <w:rPr>
                <w:b/>
                <w:lang w:eastAsia="en-US"/>
              </w:rPr>
              <w:t xml:space="preserve"> a </w:t>
            </w:r>
            <w:r w:rsidRPr="000E61EB">
              <w:rPr>
                <w:b/>
                <w:spacing w:val="-1"/>
                <w:lang w:eastAsia="en-US"/>
              </w:rPr>
              <w:t>nákazy</w:t>
            </w:r>
          </w:p>
        </w:tc>
      </w:tr>
      <w:tr w:rsidR="00D73B32" w:rsidRPr="000E61EB" w14:paraId="7A324BAB" w14:textId="77777777" w:rsidTr="00531A38">
        <w:trPr>
          <w:trHeight w:hRule="exact" w:val="264"/>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tcPr>
          <w:p w14:paraId="6F6B587A" w14:textId="77777777" w:rsidR="00D73B32" w:rsidRPr="000E61EB" w:rsidRDefault="00D73B32" w:rsidP="00791DC6">
            <w:pPr>
              <w:pStyle w:val="Bezriadkovania"/>
              <w:widowControl w:val="0"/>
              <w:rPr>
                <w:rFonts w:eastAsia="Times New Roman"/>
                <w:lang w:eastAsia="en-US"/>
              </w:rPr>
            </w:pPr>
            <w:r w:rsidRPr="000E61EB">
              <w:rPr>
                <w:spacing w:val="-1"/>
                <w:lang w:eastAsia="en-US"/>
              </w:rPr>
              <w:t>Menej</w:t>
            </w:r>
            <w:r w:rsidRPr="000E61EB">
              <w:rPr>
                <w:spacing w:val="1"/>
                <w:lang w:eastAsia="en-US"/>
              </w:rPr>
              <w:t xml:space="preserve"> </w:t>
            </w:r>
            <w:r w:rsidRPr="000E61EB">
              <w:rPr>
                <w:spacing w:val="-1"/>
                <w:lang w:eastAsia="en-US"/>
              </w:rPr>
              <w:t>časté</w:t>
            </w:r>
          </w:p>
        </w:tc>
        <w:tc>
          <w:tcPr>
            <w:tcW w:w="5592" w:type="dxa"/>
            <w:tcBorders>
              <w:top w:val="single" w:sz="5" w:space="0" w:color="000000"/>
              <w:left w:val="single" w:sz="5" w:space="0" w:color="000000"/>
              <w:bottom w:val="single" w:sz="5" w:space="0" w:color="000000"/>
              <w:right w:val="single" w:sz="5" w:space="0" w:color="000000"/>
            </w:tcBorders>
            <w:shd w:val="clear" w:color="auto" w:fill="auto"/>
          </w:tcPr>
          <w:p w14:paraId="042E2AF2" w14:textId="77777777" w:rsidR="00D73B32" w:rsidRPr="000E61EB" w:rsidRDefault="00D73B32" w:rsidP="00791DC6">
            <w:pPr>
              <w:pStyle w:val="Bezriadkovania"/>
              <w:widowControl w:val="0"/>
              <w:rPr>
                <w:rFonts w:eastAsia="Times New Roman"/>
                <w:lang w:eastAsia="en-US"/>
              </w:rPr>
            </w:pPr>
            <w:r w:rsidRPr="000E61EB">
              <w:rPr>
                <w:spacing w:val="-1"/>
                <w:lang w:eastAsia="en-US"/>
              </w:rPr>
              <w:t>pneumónia</w:t>
            </w:r>
          </w:p>
        </w:tc>
      </w:tr>
      <w:tr w:rsidR="00D73B32" w:rsidRPr="000E61EB" w14:paraId="3C5B5DDD" w14:textId="77777777" w:rsidTr="00531A38">
        <w:trPr>
          <w:trHeight w:hRule="exact" w:val="244"/>
          <w:jc w:val="center"/>
        </w:trPr>
        <w:tc>
          <w:tcPr>
            <w:tcW w:w="8748" w:type="dxa"/>
            <w:gridSpan w:val="2"/>
            <w:tcBorders>
              <w:top w:val="single" w:sz="5" w:space="0" w:color="000000"/>
              <w:left w:val="single" w:sz="5" w:space="0" w:color="000000"/>
              <w:bottom w:val="single" w:sz="4" w:space="0" w:color="auto"/>
              <w:right w:val="single" w:sz="5" w:space="0" w:color="000000"/>
            </w:tcBorders>
            <w:shd w:val="clear" w:color="auto" w:fill="auto"/>
          </w:tcPr>
          <w:p w14:paraId="768DE371" w14:textId="77777777" w:rsidR="00D73B32" w:rsidRPr="000E61EB" w:rsidRDefault="00D73B32" w:rsidP="00791DC6">
            <w:pPr>
              <w:pStyle w:val="Bezriadkovania"/>
              <w:widowControl w:val="0"/>
              <w:rPr>
                <w:rFonts w:eastAsia="Times New Roman"/>
                <w:b/>
                <w:lang w:eastAsia="en-US"/>
              </w:rPr>
            </w:pPr>
            <w:r w:rsidRPr="000E61EB">
              <w:rPr>
                <w:b/>
                <w:spacing w:val="-1"/>
                <w:lang w:eastAsia="en-US"/>
              </w:rPr>
              <w:t>Poruchy</w:t>
            </w:r>
            <w:r w:rsidRPr="000E61EB">
              <w:rPr>
                <w:b/>
                <w:spacing w:val="-3"/>
                <w:lang w:eastAsia="en-US"/>
              </w:rPr>
              <w:t xml:space="preserve"> </w:t>
            </w:r>
            <w:r w:rsidRPr="000E61EB">
              <w:rPr>
                <w:b/>
                <w:spacing w:val="-1"/>
                <w:lang w:eastAsia="en-US"/>
              </w:rPr>
              <w:t>endokrinného</w:t>
            </w:r>
            <w:r w:rsidRPr="000E61EB">
              <w:rPr>
                <w:b/>
                <w:spacing w:val="-3"/>
                <w:lang w:eastAsia="en-US"/>
              </w:rPr>
              <w:t xml:space="preserve"> </w:t>
            </w:r>
            <w:r w:rsidRPr="000E61EB">
              <w:rPr>
                <w:b/>
                <w:spacing w:val="-2"/>
                <w:lang w:eastAsia="en-US"/>
              </w:rPr>
              <w:t>systému</w:t>
            </w:r>
          </w:p>
        </w:tc>
      </w:tr>
      <w:tr w:rsidR="00D73B32" w:rsidRPr="000E61EB" w14:paraId="3C4F560D" w14:textId="77777777" w:rsidTr="00531A38">
        <w:trPr>
          <w:trHeight w:hRule="exact" w:val="281"/>
          <w:jc w:val="center"/>
        </w:trPr>
        <w:tc>
          <w:tcPr>
            <w:tcW w:w="3156" w:type="dxa"/>
            <w:tcBorders>
              <w:top w:val="single" w:sz="4" w:space="0" w:color="auto"/>
              <w:left w:val="single" w:sz="6" w:space="0" w:color="000000"/>
              <w:bottom w:val="single" w:sz="6" w:space="0" w:color="000000"/>
              <w:right w:val="single" w:sz="6" w:space="0" w:color="000000"/>
            </w:tcBorders>
            <w:shd w:val="clear" w:color="auto" w:fill="auto"/>
          </w:tcPr>
          <w:p w14:paraId="182CABD9" w14:textId="77777777" w:rsidR="00D73B32" w:rsidRPr="000E61EB" w:rsidRDefault="00D73B32" w:rsidP="00791DC6">
            <w:pPr>
              <w:pStyle w:val="Bezriadkovania"/>
              <w:widowControl w:val="0"/>
              <w:rPr>
                <w:rFonts w:eastAsia="Times New Roman"/>
                <w:lang w:eastAsia="en-US"/>
              </w:rPr>
            </w:pPr>
            <w:r w:rsidRPr="000E61EB">
              <w:rPr>
                <w:spacing w:val="-1"/>
                <w:lang w:eastAsia="en-US"/>
              </w:rPr>
              <w:t>Menej</w:t>
            </w:r>
            <w:r w:rsidRPr="000E61EB">
              <w:rPr>
                <w:spacing w:val="1"/>
                <w:lang w:eastAsia="en-US"/>
              </w:rPr>
              <w:t xml:space="preserve"> </w:t>
            </w:r>
            <w:r w:rsidRPr="000E61EB">
              <w:rPr>
                <w:spacing w:val="-1"/>
                <w:lang w:eastAsia="en-US"/>
              </w:rPr>
              <w:t>časté</w:t>
            </w:r>
          </w:p>
        </w:tc>
        <w:tc>
          <w:tcPr>
            <w:tcW w:w="5592" w:type="dxa"/>
            <w:tcBorders>
              <w:top w:val="single" w:sz="4" w:space="0" w:color="auto"/>
              <w:left w:val="single" w:sz="6" w:space="0" w:color="000000"/>
              <w:bottom w:val="single" w:sz="6" w:space="0" w:color="000000"/>
              <w:right w:val="single" w:sz="6" w:space="0" w:color="000000"/>
            </w:tcBorders>
            <w:shd w:val="clear" w:color="auto" w:fill="auto"/>
          </w:tcPr>
          <w:p w14:paraId="04C95F08" w14:textId="77777777" w:rsidR="00D73B32" w:rsidRPr="000E61EB" w:rsidRDefault="00D73B32" w:rsidP="00791DC6">
            <w:pPr>
              <w:pStyle w:val="Bezriadkovania"/>
              <w:widowControl w:val="0"/>
              <w:rPr>
                <w:rFonts w:eastAsia="Times New Roman"/>
                <w:sz w:val="14"/>
                <w:szCs w:val="14"/>
                <w:lang w:eastAsia="en-US"/>
              </w:rPr>
            </w:pPr>
            <w:r w:rsidRPr="000E61EB">
              <w:rPr>
                <w:spacing w:val="-1"/>
                <w:lang w:eastAsia="en-US"/>
              </w:rPr>
              <w:t>neprimeraná sekrécia</w:t>
            </w:r>
            <w:r w:rsidRPr="000E61EB">
              <w:rPr>
                <w:lang w:eastAsia="en-US"/>
              </w:rPr>
              <w:t xml:space="preserve"> </w:t>
            </w:r>
            <w:r w:rsidRPr="000E61EB">
              <w:rPr>
                <w:spacing w:val="-1"/>
                <w:lang w:eastAsia="en-US"/>
              </w:rPr>
              <w:t>antidiuretického</w:t>
            </w:r>
            <w:r w:rsidRPr="000E61EB">
              <w:rPr>
                <w:lang w:eastAsia="en-US"/>
              </w:rPr>
              <w:t xml:space="preserve"> </w:t>
            </w:r>
            <w:r w:rsidRPr="000E61EB">
              <w:rPr>
                <w:spacing w:val="-2"/>
                <w:lang w:eastAsia="en-US"/>
              </w:rPr>
              <w:t>hormónu</w:t>
            </w:r>
            <w:r w:rsidRPr="000E61EB">
              <w:rPr>
                <w:spacing w:val="-2"/>
                <w:position w:val="10"/>
                <w:sz w:val="14"/>
                <w:lang w:eastAsia="en-US"/>
              </w:rPr>
              <w:t>1</w:t>
            </w:r>
          </w:p>
        </w:tc>
      </w:tr>
      <w:tr w:rsidR="00D73B32" w:rsidRPr="000E61EB" w14:paraId="3822ED07" w14:textId="77777777" w:rsidTr="00531A38">
        <w:trPr>
          <w:trHeight w:hRule="exact" w:val="262"/>
          <w:jc w:val="center"/>
        </w:trPr>
        <w:tc>
          <w:tcPr>
            <w:tcW w:w="8748" w:type="dxa"/>
            <w:gridSpan w:val="2"/>
            <w:tcBorders>
              <w:top w:val="single" w:sz="6" w:space="0" w:color="000000"/>
              <w:left w:val="single" w:sz="5" w:space="0" w:color="000000"/>
              <w:bottom w:val="single" w:sz="5" w:space="0" w:color="000000"/>
              <w:right w:val="single" w:sz="5" w:space="0" w:color="000000"/>
            </w:tcBorders>
            <w:shd w:val="clear" w:color="auto" w:fill="auto"/>
          </w:tcPr>
          <w:p w14:paraId="4AA507A4" w14:textId="77777777" w:rsidR="00D73B32" w:rsidRPr="000E61EB" w:rsidRDefault="00D73B32" w:rsidP="00791DC6">
            <w:pPr>
              <w:pStyle w:val="Bezriadkovania"/>
              <w:widowControl w:val="0"/>
              <w:rPr>
                <w:rFonts w:eastAsia="Times New Roman"/>
                <w:b/>
                <w:lang w:eastAsia="en-US"/>
              </w:rPr>
            </w:pPr>
            <w:r w:rsidRPr="000E61EB">
              <w:rPr>
                <w:b/>
                <w:spacing w:val="-1"/>
                <w:lang w:eastAsia="en-US"/>
              </w:rPr>
              <w:t>Psychické</w:t>
            </w:r>
            <w:r w:rsidRPr="000E61EB">
              <w:rPr>
                <w:b/>
                <w:lang w:eastAsia="en-US"/>
              </w:rPr>
              <w:t xml:space="preserve"> </w:t>
            </w:r>
            <w:r w:rsidRPr="000E61EB">
              <w:rPr>
                <w:b/>
                <w:spacing w:val="-1"/>
                <w:lang w:eastAsia="en-US"/>
              </w:rPr>
              <w:t>poruchy</w:t>
            </w:r>
          </w:p>
        </w:tc>
      </w:tr>
      <w:tr w:rsidR="00D73B32" w:rsidRPr="000E61EB" w14:paraId="0FD10EDF" w14:textId="77777777" w:rsidTr="006939EE">
        <w:trPr>
          <w:trHeight w:hRule="exact" w:val="747"/>
          <w:jc w:val="center"/>
        </w:trPr>
        <w:tc>
          <w:tcPr>
            <w:tcW w:w="3156" w:type="dxa"/>
            <w:tcBorders>
              <w:top w:val="single" w:sz="5" w:space="0" w:color="000000"/>
              <w:left w:val="single" w:sz="5" w:space="0" w:color="000000"/>
              <w:bottom w:val="single" w:sz="4" w:space="0" w:color="000000"/>
              <w:right w:val="single" w:sz="5" w:space="0" w:color="000000"/>
            </w:tcBorders>
            <w:shd w:val="clear" w:color="auto" w:fill="auto"/>
          </w:tcPr>
          <w:p w14:paraId="2EEC0634" w14:textId="77777777" w:rsidR="00D73B32" w:rsidRPr="000E61EB" w:rsidRDefault="00D73B32" w:rsidP="00791DC6">
            <w:pPr>
              <w:pStyle w:val="Bezriadkovania"/>
              <w:widowControl w:val="0"/>
              <w:rPr>
                <w:rFonts w:eastAsia="Times New Roman"/>
                <w:lang w:eastAsia="en-US"/>
              </w:rPr>
            </w:pPr>
            <w:r w:rsidRPr="000E61EB">
              <w:rPr>
                <w:lang w:eastAsia="en-US"/>
              </w:rPr>
              <w:t>Časté</w:t>
            </w:r>
          </w:p>
        </w:tc>
        <w:tc>
          <w:tcPr>
            <w:tcW w:w="5592" w:type="dxa"/>
            <w:tcBorders>
              <w:top w:val="single" w:sz="5" w:space="0" w:color="000000"/>
              <w:left w:val="single" w:sz="5" w:space="0" w:color="000000"/>
              <w:bottom w:val="single" w:sz="4" w:space="0" w:color="000000"/>
              <w:right w:val="single" w:sz="5" w:space="0" w:color="000000"/>
            </w:tcBorders>
            <w:shd w:val="clear" w:color="auto" w:fill="auto"/>
          </w:tcPr>
          <w:p w14:paraId="2FB6B882" w14:textId="77777777" w:rsidR="00D73B32" w:rsidRPr="000E61EB" w:rsidRDefault="00D73B32" w:rsidP="00791DC6">
            <w:pPr>
              <w:pStyle w:val="Bezriadkovania"/>
              <w:widowControl w:val="0"/>
              <w:rPr>
                <w:rFonts w:eastAsia="Times New Roman"/>
                <w:lang w:eastAsia="en-US"/>
              </w:rPr>
            </w:pPr>
            <w:r w:rsidRPr="000E61EB">
              <w:rPr>
                <w:spacing w:val="-1"/>
                <w:lang w:eastAsia="en-US"/>
              </w:rPr>
              <w:t>abnormálne</w:t>
            </w:r>
            <w:r w:rsidRPr="000E61EB">
              <w:rPr>
                <w:spacing w:val="-2"/>
                <w:lang w:eastAsia="en-US"/>
              </w:rPr>
              <w:t xml:space="preserve"> </w:t>
            </w:r>
            <w:r w:rsidRPr="000E61EB">
              <w:rPr>
                <w:spacing w:val="-1"/>
                <w:lang w:eastAsia="en-US"/>
              </w:rPr>
              <w:t>sny,</w:t>
            </w:r>
            <w:r w:rsidRPr="000E61EB">
              <w:rPr>
                <w:lang w:eastAsia="en-US"/>
              </w:rPr>
              <w:t xml:space="preserve"> </w:t>
            </w:r>
            <w:r w:rsidRPr="000E61EB">
              <w:rPr>
                <w:spacing w:val="-1"/>
                <w:lang w:eastAsia="en-US"/>
              </w:rPr>
              <w:t>príznaky</w:t>
            </w:r>
            <w:r w:rsidRPr="000E61EB">
              <w:rPr>
                <w:spacing w:val="-3"/>
                <w:lang w:eastAsia="en-US"/>
              </w:rPr>
              <w:t xml:space="preserve"> </w:t>
            </w:r>
            <w:r w:rsidRPr="000E61EB">
              <w:rPr>
                <w:lang w:eastAsia="en-US"/>
              </w:rPr>
              <w:t>poruchy</w:t>
            </w:r>
            <w:r w:rsidRPr="000E61EB">
              <w:rPr>
                <w:spacing w:val="-3"/>
                <w:lang w:eastAsia="en-US"/>
              </w:rPr>
              <w:t xml:space="preserve"> </w:t>
            </w:r>
            <w:r w:rsidRPr="000E61EB">
              <w:rPr>
                <w:spacing w:val="-1"/>
                <w:lang w:eastAsia="en-US"/>
              </w:rPr>
              <w:t>správania-impulzívne</w:t>
            </w:r>
            <w:r w:rsidRPr="000E61EB">
              <w:rPr>
                <w:lang w:eastAsia="en-US"/>
              </w:rPr>
              <w:t xml:space="preserve"> a</w:t>
            </w:r>
            <w:r w:rsidRPr="000E61EB">
              <w:rPr>
                <w:spacing w:val="43"/>
                <w:lang w:eastAsia="en-US"/>
              </w:rPr>
              <w:t xml:space="preserve"> </w:t>
            </w:r>
            <w:r w:rsidRPr="000E61EB">
              <w:rPr>
                <w:spacing w:val="-1"/>
                <w:lang w:eastAsia="en-US"/>
              </w:rPr>
              <w:t>kompulzívne</w:t>
            </w:r>
            <w:r w:rsidRPr="000E61EB">
              <w:rPr>
                <w:lang w:eastAsia="en-US"/>
              </w:rPr>
              <w:t xml:space="preserve"> </w:t>
            </w:r>
            <w:r w:rsidRPr="000E61EB">
              <w:rPr>
                <w:spacing w:val="-1"/>
                <w:lang w:eastAsia="en-US"/>
              </w:rPr>
              <w:t>správanie,</w:t>
            </w:r>
            <w:r w:rsidRPr="000E61EB">
              <w:rPr>
                <w:lang w:eastAsia="en-US"/>
              </w:rPr>
              <w:t xml:space="preserve"> </w:t>
            </w:r>
            <w:r w:rsidRPr="000E61EB">
              <w:rPr>
                <w:spacing w:val="-1"/>
                <w:lang w:eastAsia="en-US"/>
              </w:rPr>
              <w:t>zmätenosť,</w:t>
            </w:r>
            <w:r w:rsidRPr="000E61EB">
              <w:rPr>
                <w:lang w:eastAsia="en-US"/>
              </w:rPr>
              <w:t xml:space="preserve"> </w:t>
            </w:r>
            <w:r w:rsidRPr="000E61EB">
              <w:rPr>
                <w:spacing w:val="-1"/>
                <w:lang w:eastAsia="en-US"/>
              </w:rPr>
              <w:t>halucinácie,</w:t>
            </w:r>
            <w:r w:rsidRPr="000E61EB">
              <w:rPr>
                <w:lang w:eastAsia="en-US"/>
              </w:rPr>
              <w:t xml:space="preserve"> </w:t>
            </w:r>
            <w:r w:rsidRPr="000E61EB">
              <w:rPr>
                <w:spacing w:val="-1"/>
                <w:lang w:eastAsia="en-US"/>
              </w:rPr>
              <w:t>nespavosť</w:t>
            </w:r>
          </w:p>
        </w:tc>
      </w:tr>
      <w:tr w:rsidR="00D73B32" w:rsidRPr="000E61EB" w14:paraId="50592337" w14:textId="77777777" w:rsidTr="006939EE">
        <w:trPr>
          <w:trHeight w:hRule="exact" w:val="787"/>
          <w:jc w:val="center"/>
        </w:trPr>
        <w:tc>
          <w:tcPr>
            <w:tcW w:w="3156" w:type="dxa"/>
            <w:tcBorders>
              <w:top w:val="single" w:sz="4" w:space="0" w:color="000000"/>
              <w:left w:val="single" w:sz="6" w:space="0" w:color="000000"/>
              <w:bottom w:val="single" w:sz="6" w:space="0" w:color="000000"/>
              <w:right w:val="single" w:sz="6" w:space="0" w:color="000000"/>
            </w:tcBorders>
            <w:shd w:val="clear" w:color="auto" w:fill="auto"/>
          </w:tcPr>
          <w:p w14:paraId="62344AF7" w14:textId="77777777" w:rsidR="00D73B32" w:rsidRPr="000E61EB" w:rsidRDefault="00D73B32" w:rsidP="00791DC6">
            <w:pPr>
              <w:pStyle w:val="Bezriadkovania"/>
              <w:widowControl w:val="0"/>
              <w:rPr>
                <w:rFonts w:eastAsia="Times New Roman"/>
                <w:lang w:eastAsia="en-US"/>
              </w:rPr>
            </w:pPr>
            <w:r w:rsidRPr="000E61EB">
              <w:rPr>
                <w:spacing w:val="-1"/>
                <w:lang w:eastAsia="en-US"/>
              </w:rPr>
              <w:t>Menej</w:t>
            </w:r>
            <w:r w:rsidRPr="000E61EB">
              <w:rPr>
                <w:spacing w:val="1"/>
                <w:lang w:eastAsia="en-US"/>
              </w:rPr>
              <w:t xml:space="preserve"> </w:t>
            </w:r>
            <w:r w:rsidRPr="000E61EB">
              <w:rPr>
                <w:spacing w:val="-1"/>
                <w:lang w:eastAsia="en-US"/>
              </w:rPr>
              <w:t>časté</w:t>
            </w:r>
          </w:p>
        </w:tc>
        <w:tc>
          <w:tcPr>
            <w:tcW w:w="5592" w:type="dxa"/>
            <w:tcBorders>
              <w:top w:val="single" w:sz="4" w:space="0" w:color="000000"/>
              <w:left w:val="single" w:sz="6" w:space="0" w:color="000000"/>
              <w:bottom w:val="single" w:sz="6" w:space="0" w:color="000000"/>
              <w:right w:val="single" w:sz="6" w:space="0" w:color="000000"/>
            </w:tcBorders>
            <w:shd w:val="clear" w:color="auto" w:fill="auto"/>
          </w:tcPr>
          <w:p w14:paraId="0B2CCA4A" w14:textId="77777777" w:rsidR="00D73B32" w:rsidRPr="000E61EB" w:rsidRDefault="00D73B32" w:rsidP="006939EE">
            <w:pPr>
              <w:pStyle w:val="Bezriadkovania"/>
              <w:widowControl w:val="0"/>
              <w:rPr>
                <w:rFonts w:eastAsia="Times New Roman"/>
                <w:lang w:eastAsia="en-US"/>
              </w:rPr>
            </w:pPr>
            <w:r w:rsidRPr="000E61EB">
              <w:rPr>
                <w:spacing w:val="-1"/>
                <w:lang w:eastAsia="en-US"/>
              </w:rPr>
              <w:t>nadmerné prejedanie</w:t>
            </w:r>
            <w:r w:rsidRPr="000E61EB">
              <w:rPr>
                <w:lang w:eastAsia="en-US"/>
              </w:rPr>
              <w:t xml:space="preserve"> </w:t>
            </w:r>
            <w:r w:rsidRPr="000E61EB">
              <w:rPr>
                <w:spacing w:val="-1"/>
                <w:lang w:eastAsia="en-US"/>
              </w:rPr>
              <w:t>sa</w:t>
            </w:r>
            <w:r w:rsidRPr="000E61EB">
              <w:rPr>
                <w:spacing w:val="-1"/>
                <w:position w:val="10"/>
                <w:sz w:val="14"/>
                <w:lang w:eastAsia="en-US"/>
              </w:rPr>
              <w:t>1</w:t>
            </w:r>
            <w:r w:rsidRPr="000E61EB">
              <w:rPr>
                <w:spacing w:val="-1"/>
                <w:lang w:eastAsia="en-US"/>
              </w:rPr>
              <w:t>,</w:t>
            </w:r>
            <w:r w:rsidRPr="000E61EB">
              <w:rPr>
                <w:lang w:eastAsia="en-US"/>
              </w:rPr>
              <w:t xml:space="preserve"> </w:t>
            </w:r>
            <w:r w:rsidRPr="000E61EB">
              <w:rPr>
                <w:spacing w:val="-1"/>
                <w:lang w:eastAsia="en-US"/>
              </w:rPr>
              <w:t>chorobné</w:t>
            </w:r>
            <w:r w:rsidRPr="000E61EB">
              <w:rPr>
                <w:lang w:eastAsia="en-US"/>
              </w:rPr>
              <w:t xml:space="preserve"> </w:t>
            </w:r>
            <w:r w:rsidRPr="000E61EB">
              <w:rPr>
                <w:spacing w:val="-1"/>
                <w:lang w:eastAsia="en-US"/>
              </w:rPr>
              <w:t>nakupovanie,</w:t>
            </w:r>
            <w:r w:rsidRPr="000E61EB">
              <w:rPr>
                <w:spacing w:val="-3"/>
                <w:lang w:eastAsia="en-US"/>
              </w:rPr>
              <w:t xml:space="preserve"> </w:t>
            </w:r>
            <w:r w:rsidR="006939EE" w:rsidRPr="000E61EB">
              <w:t>falošné predstavy,</w:t>
            </w:r>
            <w:r w:rsidR="006939EE" w:rsidRPr="000E61EB" w:rsidDel="006939EE">
              <w:rPr>
                <w:spacing w:val="-1"/>
                <w:lang w:eastAsia="en-US"/>
              </w:rPr>
              <w:t xml:space="preserve"> </w:t>
            </w:r>
            <w:r w:rsidRPr="000E61EB">
              <w:rPr>
                <w:spacing w:val="-1"/>
                <w:lang w:eastAsia="en-US"/>
              </w:rPr>
              <w:t>hyperfágia</w:t>
            </w:r>
            <w:r w:rsidRPr="000E61EB">
              <w:rPr>
                <w:spacing w:val="-1"/>
                <w:position w:val="10"/>
                <w:sz w:val="14"/>
                <w:lang w:eastAsia="en-US"/>
              </w:rPr>
              <w:t>1</w:t>
            </w:r>
            <w:r w:rsidRPr="000E61EB">
              <w:rPr>
                <w:spacing w:val="-1"/>
                <w:lang w:eastAsia="en-US"/>
              </w:rPr>
              <w:t>, hypersexualita,</w:t>
            </w:r>
            <w:r w:rsidRPr="000E61EB">
              <w:rPr>
                <w:lang w:eastAsia="en-US"/>
              </w:rPr>
              <w:t xml:space="preserve"> </w:t>
            </w:r>
            <w:r w:rsidRPr="000E61EB">
              <w:rPr>
                <w:spacing w:val="-1"/>
                <w:lang w:eastAsia="en-US"/>
              </w:rPr>
              <w:t>poruchy</w:t>
            </w:r>
            <w:r w:rsidRPr="000E61EB">
              <w:rPr>
                <w:spacing w:val="-3"/>
                <w:lang w:eastAsia="en-US"/>
              </w:rPr>
              <w:t xml:space="preserve"> </w:t>
            </w:r>
            <w:r w:rsidRPr="000E61EB">
              <w:rPr>
                <w:lang w:eastAsia="en-US"/>
              </w:rPr>
              <w:t xml:space="preserve">libida, </w:t>
            </w:r>
            <w:r w:rsidRPr="000E61EB">
              <w:rPr>
                <w:spacing w:val="-1"/>
                <w:lang w:eastAsia="en-US"/>
              </w:rPr>
              <w:t>paranoja,</w:t>
            </w:r>
            <w:r w:rsidRPr="000E61EB">
              <w:rPr>
                <w:spacing w:val="39"/>
                <w:lang w:eastAsia="en-US"/>
              </w:rPr>
              <w:t xml:space="preserve"> </w:t>
            </w:r>
            <w:r w:rsidRPr="000E61EB">
              <w:rPr>
                <w:spacing w:val="-1"/>
                <w:lang w:eastAsia="en-US"/>
              </w:rPr>
              <w:t>patologické</w:t>
            </w:r>
            <w:r w:rsidRPr="000E61EB">
              <w:rPr>
                <w:lang w:eastAsia="en-US"/>
              </w:rPr>
              <w:t xml:space="preserve"> </w:t>
            </w:r>
            <w:r w:rsidRPr="000E61EB">
              <w:rPr>
                <w:spacing w:val="-1"/>
                <w:lang w:eastAsia="en-US"/>
              </w:rPr>
              <w:t>hráčstvo,</w:t>
            </w:r>
            <w:r w:rsidRPr="000E61EB">
              <w:rPr>
                <w:lang w:eastAsia="en-US"/>
              </w:rPr>
              <w:t xml:space="preserve"> </w:t>
            </w:r>
            <w:r w:rsidRPr="000E61EB">
              <w:rPr>
                <w:spacing w:val="-1"/>
                <w:lang w:eastAsia="en-US"/>
              </w:rPr>
              <w:t>nepokoj</w:t>
            </w:r>
            <w:r w:rsidR="00957449" w:rsidRPr="000E61EB">
              <w:rPr>
                <w:spacing w:val="-1"/>
                <w:lang w:eastAsia="en-US"/>
              </w:rPr>
              <w:t>, delírium</w:t>
            </w:r>
          </w:p>
        </w:tc>
      </w:tr>
      <w:tr w:rsidR="00957449" w:rsidRPr="000E61EB" w14:paraId="6008C0A8" w14:textId="77777777" w:rsidTr="00491856">
        <w:trPr>
          <w:trHeight w:hRule="exact" w:val="287"/>
          <w:jc w:val="center"/>
        </w:trPr>
        <w:tc>
          <w:tcPr>
            <w:tcW w:w="3156" w:type="dxa"/>
            <w:tcBorders>
              <w:top w:val="single" w:sz="6" w:space="0" w:color="000000"/>
              <w:left w:val="single" w:sz="5" w:space="0" w:color="000000"/>
              <w:bottom w:val="single" w:sz="5" w:space="0" w:color="000000"/>
              <w:right w:val="single" w:sz="5" w:space="0" w:color="000000"/>
            </w:tcBorders>
            <w:shd w:val="clear" w:color="auto" w:fill="auto"/>
          </w:tcPr>
          <w:p w14:paraId="06A8E6E0" w14:textId="77777777" w:rsidR="00AE40E8" w:rsidRPr="000E61EB" w:rsidRDefault="00957449" w:rsidP="00791DC6">
            <w:pPr>
              <w:pStyle w:val="Bezriadkovania"/>
              <w:widowControl w:val="0"/>
              <w:rPr>
                <w:spacing w:val="-1"/>
                <w:lang w:eastAsia="en-US"/>
              </w:rPr>
            </w:pPr>
            <w:r w:rsidRPr="000E61EB">
              <w:rPr>
                <w:spacing w:val="-1"/>
                <w:lang w:eastAsia="en-US"/>
              </w:rPr>
              <w:t>Zriedkavé</w:t>
            </w:r>
          </w:p>
        </w:tc>
        <w:tc>
          <w:tcPr>
            <w:tcW w:w="5592" w:type="dxa"/>
            <w:tcBorders>
              <w:top w:val="single" w:sz="6" w:space="0" w:color="000000"/>
              <w:left w:val="single" w:sz="5" w:space="0" w:color="000000"/>
              <w:bottom w:val="single" w:sz="5" w:space="0" w:color="000000"/>
              <w:right w:val="single" w:sz="5" w:space="0" w:color="000000"/>
            </w:tcBorders>
            <w:shd w:val="clear" w:color="auto" w:fill="auto"/>
          </w:tcPr>
          <w:p w14:paraId="18ADD673" w14:textId="77777777" w:rsidR="00957449" w:rsidRPr="000E61EB" w:rsidRDefault="00630E1F" w:rsidP="00791DC6">
            <w:pPr>
              <w:pStyle w:val="Bezriadkovania"/>
              <w:widowControl w:val="0"/>
              <w:rPr>
                <w:spacing w:val="-1"/>
                <w:lang w:eastAsia="en-US"/>
              </w:rPr>
            </w:pPr>
            <w:r w:rsidRPr="000E61EB">
              <w:rPr>
                <w:spacing w:val="-1"/>
                <w:lang w:eastAsia="en-US"/>
              </w:rPr>
              <w:t>Má</w:t>
            </w:r>
            <w:r w:rsidR="00957449" w:rsidRPr="000E61EB">
              <w:rPr>
                <w:spacing w:val="-1"/>
                <w:lang w:eastAsia="en-US"/>
              </w:rPr>
              <w:t xml:space="preserve">nia </w:t>
            </w:r>
          </w:p>
        </w:tc>
      </w:tr>
      <w:tr w:rsidR="00D73B32" w:rsidRPr="000E61EB" w14:paraId="3E49B397" w14:textId="77777777" w:rsidTr="00531A38">
        <w:trPr>
          <w:trHeight w:hRule="exact" w:val="262"/>
          <w:jc w:val="center"/>
        </w:trPr>
        <w:tc>
          <w:tcPr>
            <w:tcW w:w="8748" w:type="dxa"/>
            <w:gridSpan w:val="2"/>
            <w:tcBorders>
              <w:top w:val="single" w:sz="5" w:space="0" w:color="000000"/>
              <w:left w:val="single" w:sz="5" w:space="0" w:color="000000"/>
              <w:bottom w:val="single" w:sz="5" w:space="0" w:color="000000"/>
              <w:right w:val="single" w:sz="5" w:space="0" w:color="000000"/>
            </w:tcBorders>
            <w:shd w:val="clear" w:color="auto" w:fill="auto"/>
          </w:tcPr>
          <w:p w14:paraId="4AD3E6CA" w14:textId="77777777" w:rsidR="00D73B32" w:rsidRPr="000E61EB" w:rsidRDefault="00D73B32" w:rsidP="00791DC6">
            <w:pPr>
              <w:pStyle w:val="Bezriadkovania"/>
              <w:widowControl w:val="0"/>
              <w:rPr>
                <w:rFonts w:eastAsia="Times New Roman"/>
                <w:b/>
                <w:lang w:eastAsia="en-US"/>
              </w:rPr>
            </w:pPr>
            <w:r w:rsidRPr="000E61EB">
              <w:rPr>
                <w:b/>
                <w:spacing w:val="-1"/>
                <w:lang w:eastAsia="en-US"/>
              </w:rPr>
              <w:t>Poruchy</w:t>
            </w:r>
            <w:r w:rsidRPr="000E61EB">
              <w:rPr>
                <w:b/>
                <w:spacing w:val="-3"/>
                <w:lang w:eastAsia="en-US"/>
              </w:rPr>
              <w:t xml:space="preserve"> </w:t>
            </w:r>
            <w:r w:rsidRPr="000E61EB">
              <w:rPr>
                <w:b/>
                <w:spacing w:val="-1"/>
                <w:lang w:eastAsia="en-US"/>
              </w:rPr>
              <w:t>nervového</w:t>
            </w:r>
            <w:r w:rsidRPr="000E61EB">
              <w:rPr>
                <w:b/>
                <w:lang w:eastAsia="en-US"/>
              </w:rPr>
              <w:t xml:space="preserve"> </w:t>
            </w:r>
            <w:r w:rsidRPr="000E61EB">
              <w:rPr>
                <w:b/>
                <w:spacing w:val="-2"/>
                <w:lang w:eastAsia="en-US"/>
              </w:rPr>
              <w:t>systému</w:t>
            </w:r>
          </w:p>
        </w:tc>
      </w:tr>
      <w:tr w:rsidR="00D73B32" w:rsidRPr="000E61EB" w14:paraId="2743C6F3" w14:textId="77777777" w:rsidTr="00531A38">
        <w:trPr>
          <w:trHeight w:hRule="exact" w:val="264"/>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tcPr>
          <w:p w14:paraId="2C7B8A63" w14:textId="77777777" w:rsidR="00D73B32" w:rsidRPr="000E61EB" w:rsidRDefault="00D73B32" w:rsidP="00791DC6">
            <w:pPr>
              <w:pStyle w:val="Bezriadkovania"/>
              <w:widowControl w:val="0"/>
              <w:rPr>
                <w:rFonts w:eastAsia="Times New Roman"/>
                <w:lang w:eastAsia="en-US"/>
              </w:rPr>
            </w:pPr>
            <w:r w:rsidRPr="000E61EB">
              <w:rPr>
                <w:spacing w:val="-1"/>
                <w:lang w:eastAsia="en-US"/>
              </w:rPr>
              <w:t>Veľmi</w:t>
            </w:r>
            <w:r w:rsidRPr="000E61EB">
              <w:rPr>
                <w:spacing w:val="1"/>
                <w:lang w:eastAsia="en-US"/>
              </w:rPr>
              <w:t xml:space="preserve"> </w:t>
            </w:r>
            <w:r w:rsidRPr="000E61EB">
              <w:rPr>
                <w:spacing w:val="-1"/>
                <w:lang w:eastAsia="en-US"/>
              </w:rPr>
              <w:t>časté</w:t>
            </w:r>
          </w:p>
        </w:tc>
        <w:tc>
          <w:tcPr>
            <w:tcW w:w="5592" w:type="dxa"/>
            <w:tcBorders>
              <w:top w:val="single" w:sz="5" w:space="0" w:color="000000"/>
              <w:left w:val="single" w:sz="5" w:space="0" w:color="000000"/>
              <w:bottom w:val="single" w:sz="5" w:space="0" w:color="000000"/>
              <w:right w:val="single" w:sz="5" w:space="0" w:color="000000"/>
            </w:tcBorders>
            <w:shd w:val="clear" w:color="auto" w:fill="auto"/>
          </w:tcPr>
          <w:p w14:paraId="1A78CC56" w14:textId="77777777" w:rsidR="00D73B32" w:rsidRPr="000E61EB" w:rsidRDefault="00D73B32" w:rsidP="00791DC6">
            <w:pPr>
              <w:pStyle w:val="Bezriadkovania"/>
              <w:widowControl w:val="0"/>
              <w:rPr>
                <w:rFonts w:eastAsia="Times New Roman"/>
                <w:lang w:eastAsia="en-US"/>
              </w:rPr>
            </w:pPr>
            <w:r w:rsidRPr="000E61EB">
              <w:rPr>
                <w:spacing w:val="-1"/>
                <w:lang w:eastAsia="en-US"/>
              </w:rPr>
              <w:t>závraty,</w:t>
            </w:r>
            <w:r w:rsidRPr="000E61EB">
              <w:rPr>
                <w:lang w:eastAsia="en-US"/>
              </w:rPr>
              <w:t xml:space="preserve"> </w:t>
            </w:r>
            <w:r w:rsidRPr="000E61EB">
              <w:rPr>
                <w:spacing w:val="-1"/>
                <w:lang w:eastAsia="en-US"/>
              </w:rPr>
              <w:t>dyskinéza,</w:t>
            </w:r>
            <w:r w:rsidRPr="000E61EB">
              <w:rPr>
                <w:lang w:eastAsia="en-US"/>
              </w:rPr>
              <w:t xml:space="preserve"> </w:t>
            </w:r>
            <w:r w:rsidRPr="000E61EB">
              <w:rPr>
                <w:spacing w:val="-1"/>
                <w:lang w:eastAsia="en-US"/>
              </w:rPr>
              <w:t>somnolencia</w:t>
            </w:r>
          </w:p>
        </w:tc>
      </w:tr>
      <w:tr w:rsidR="00D73B32" w:rsidRPr="000E61EB" w14:paraId="66441004" w14:textId="77777777" w:rsidTr="00531A38">
        <w:trPr>
          <w:trHeight w:hRule="exact" w:val="262"/>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tcPr>
          <w:p w14:paraId="6E342B98" w14:textId="77777777" w:rsidR="00D73B32" w:rsidRPr="000E61EB" w:rsidRDefault="00D73B32" w:rsidP="00791DC6">
            <w:pPr>
              <w:pStyle w:val="Bezriadkovania"/>
              <w:widowControl w:val="0"/>
              <w:rPr>
                <w:rFonts w:eastAsia="Times New Roman"/>
                <w:lang w:eastAsia="en-US"/>
              </w:rPr>
            </w:pPr>
            <w:r w:rsidRPr="000E61EB">
              <w:rPr>
                <w:lang w:eastAsia="en-US"/>
              </w:rPr>
              <w:t>Časté</w:t>
            </w:r>
          </w:p>
        </w:tc>
        <w:tc>
          <w:tcPr>
            <w:tcW w:w="5592" w:type="dxa"/>
            <w:tcBorders>
              <w:top w:val="single" w:sz="5" w:space="0" w:color="000000"/>
              <w:left w:val="single" w:sz="5" w:space="0" w:color="000000"/>
              <w:bottom w:val="single" w:sz="5" w:space="0" w:color="000000"/>
              <w:right w:val="single" w:sz="5" w:space="0" w:color="000000"/>
            </w:tcBorders>
            <w:shd w:val="clear" w:color="auto" w:fill="auto"/>
          </w:tcPr>
          <w:p w14:paraId="627965D2" w14:textId="77777777" w:rsidR="00D73B32" w:rsidRPr="000E61EB" w:rsidRDefault="00D73B32" w:rsidP="00791DC6">
            <w:pPr>
              <w:pStyle w:val="Bezriadkovania"/>
              <w:widowControl w:val="0"/>
              <w:rPr>
                <w:rFonts w:eastAsia="Times New Roman"/>
                <w:lang w:eastAsia="en-US"/>
              </w:rPr>
            </w:pPr>
            <w:r w:rsidRPr="000E61EB">
              <w:rPr>
                <w:lang w:eastAsia="en-US"/>
              </w:rPr>
              <w:t>bolesť</w:t>
            </w:r>
            <w:r w:rsidRPr="000E61EB">
              <w:rPr>
                <w:spacing w:val="-3"/>
                <w:lang w:eastAsia="en-US"/>
              </w:rPr>
              <w:t xml:space="preserve"> </w:t>
            </w:r>
            <w:r w:rsidRPr="000E61EB">
              <w:rPr>
                <w:spacing w:val="-1"/>
                <w:lang w:eastAsia="en-US"/>
              </w:rPr>
              <w:t>hlavy</w:t>
            </w:r>
          </w:p>
        </w:tc>
      </w:tr>
      <w:tr w:rsidR="00D73B32" w:rsidRPr="000E61EB" w14:paraId="4F6BF61F" w14:textId="77777777" w:rsidTr="00531A38">
        <w:trPr>
          <w:trHeight w:hRule="exact" w:val="264"/>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tcPr>
          <w:p w14:paraId="5C27446A" w14:textId="77777777" w:rsidR="00D73B32" w:rsidRPr="000E61EB" w:rsidRDefault="00D73B32" w:rsidP="00791DC6">
            <w:pPr>
              <w:pStyle w:val="Bezriadkovania"/>
              <w:widowControl w:val="0"/>
              <w:rPr>
                <w:rFonts w:eastAsia="Times New Roman"/>
                <w:lang w:eastAsia="en-US"/>
              </w:rPr>
            </w:pPr>
            <w:r w:rsidRPr="000E61EB">
              <w:rPr>
                <w:spacing w:val="-1"/>
                <w:lang w:eastAsia="en-US"/>
              </w:rPr>
              <w:t>Menej</w:t>
            </w:r>
            <w:r w:rsidRPr="000E61EB">
              <w:rPr>
                <w:spacing w:val="1"/>
                <w:lang w:eastAsia="en-US"/>
              </w:rPr>
              <w:t xml:space="preserve"> </w:t>
            </w:r>
            <w:r w:rsidRPr="000E61EB">
              <w:rPr>
                <w:spacing w:val="-1"/>
                <w:lang w:eastAsia="en-US"/>
              </w:rPr>
              <w:t>časté</w:t>
            </w:r>
          </w:p>
        </w:tc>
        <w:tc>
          <w:tcPr>
            <w:tcW w:w="5592" w:type="dxa"/>
            <w:tcBorders>
              <w:top w:val="single" w:sz="5" w:space="0" w:color="000000"/>
              <w:left w:val="single" w:sz="5" w:space="0" w:color="000000"/>
              <w:bottom w:val="single" w:sz="5" w:space="0" w:color="000000"/>
              <w:right w:val="single" w:sz="5" w:space="0" w:color="000000"/>
            </w:tcBorders>
            <w:shd w:val="clear" w:color="auto" w:fill="auto"/>
          </w:tcPr>
          <w:p w14:paraId="697883FA" w14:textId="77777777" w:rsidR="00D73B32" w:rsidRPr="000E61EB" w:rsidRDefault="00D73B32" w:rsidP="00791DC6">
            <w:pPr>
              <w:pStyle w:val="Bezriadkovania"/>
              <w:widowControl w:val="0"/>
              <w:rPr>
                <w:rFonts w:eastAsia="Times New Roman"/>
                <w:lang w:eastAsia="en-US"/>
              </w:rPr>
            </w:pPr>
            <w:r w:rsidRPr="000E61EB">
              <w:rPr>
                <w:spacing w:val="-1"/>
                <w:lang w:eastAsia="en-US"/>
              </w:rPr>
              <w:t>amnézia, hyperkinéza,</w:t>
            </w:r>
            <w:r w:rsidRPr="000E61EB">
              <w:rPr>
                <w:lang w:eastAsia="en-US"/>
              </w:rPr>
              <w:t xml:space="preserve"> </w:t>
            </w:r>
            <w:r w:rsidRPr="000E61EB">
              <w:rPr>
                <w:spacing w:val="-1"/>
                <w:lang w:eastAsia="en-US"/>
              </w:rPr>
              <w:t>epizódy</w:t>
            </w:r>
            <w:r w:rsidRPr="000E61EB">
              <w:rPr>
                <w:spacing w:val="-3"/>
                <w:lang w:eastAsia="en-US"/>
              </w:rPr>
              <w:t xml:space="preserve"> </w:t>
            </w:r>
            <w:r w:rsidRPr="000E61EB">
              <w:rPr>
                <w:lang w:eastAsia="en-US"/>
              </w:rPr>
              <w:t>náhleho</w:t>
            </w:r>
            <w:r w:rsidRPr="000E61EB">
              <w:rPr>
                <w:spacing w:val="-3"/>
                <w:lang w:eastAsia="en-US"/>
              </w:rPr>
              <w:t xml:space="preserve"> </w:t>
            </w:r>
            <w:r w:rsidRPr="000E61EB">
              <w:rPr>
                <w:spacing w:val="-1"/>
                <w:lang w:eastAsia="en-US"/>
              </w:rPr>
              <w:t>spánku,</w:t>
            </w:r>
            <w:r w:rsidRPr="000E61EB">
              <w:rPr>
                <w:lang w:eastAsia="en-US"/>
              </w:rPr>
              <w:t xml:space="preserve"> </w:t>
            </w:r>
            <w:r w:rsidRPr="000E61EB">
              <w:rPr>
                <w:spacing w:val="-1"/>
                <w:lang w:eastAsia="en-US"/>
              </w:rPr>
              <w:t>synkopa</w:t>
            </w:r>
          </w:p>
        </w:tc>
      </w:tr>
      <w:tr w:rsidR="00D73B32" w:rsidRPr="000E61EB" w14:paraId="22C20A77" w14:textId="77777777" w:rsidTr="00531A38">
        <w:trPr>
          <w:trHeight w:hRule="exact" w:val="264"/>
          <w:jc w:val="center"/>
        </w:trPr>
        <w:tc>
          <w:tcPr>
            <w:tcW w:w="8748" w:type="dxa"/>
            <w:gridSpan w:val="2"/>
            <w:tcBorders>
              <w:top w:val="single" w:sz="5" w:space="0" w:color="000000"/>
              <w:left w:val="single" w:sz="5" w:space="0" w:color="000000"/>
              <w:bottom w:val="single" w:sz="5" w:space="0" w:color="000000"/>
              <w:right w:val="single" w:sz="5" w:space="0" w:color="000000"/>
            </w:tcBorders>
            <w:shd w:val="clear" w:color="auto" w:fill="auto"/>
          </w:tcPr>
          <w:p w14:paraId="7BCDD71A" w14:textId="77777777" w:rsidR="00D73B32" w:rsidRPr="000E61EB" w:rsidRDefault="00D73B32" w:rsidP="00791DC6">
            <w:pPr>
              <w:pStyle w:val="Bezriadkovania"/>
              <w:widowControl w:val="0"/>
              <w:rPr>
                <w:rFonts w:eastAsia="Times New Roman"/>
                <w:b/>
                <w:lang w:eastAsia="en-US"/>
              </w:rPr>
            </w:pPr>
            <w:r w:rsidRPr="000E61EB">
              <w:rPr>
                <w:b/>
                <w:spacing w:val="-1"/>
                <w:lang w:eastAsia="en-US"/>
              </w:rPr>
              <w:t>Poruchy</w:t>
            </w:r>
            <w:r w:rsidRPr="000E61EB">
              <w:rPr>
                <w:b/>
                <w:spacing w:val="-3"/>
                <w:lang w:eastAsia="en-US"/>
              </w:rPr>
              <w:t xml:space="preserve"> </w:t>
            </w:r>
            <w:r w:rsidRPr="000E61EB">
              <w:rPr>
                <w:b/>
                <w:spacing w:val="-1"/>
                <w:lang w:eastAsia="en-US"/>
              </w:rPr>
              <w:t>oka</w:t>
            </w:r>
          </w:p>
        </w:tc>
      </w:tr>
      <w:tr w:rsidR="00D73B32" w:rsidRPr="000E61EB" w14:paraId="71E4CD2F" w14:textId="77777777" w:rsidTr="00531A38">
        <w:trPr>
          <w:trHeight w:hRule="exact" w:val="516"/>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tcPr>
          <w:p w14:paraId="09184130" w14:textId="77777777" w:rsidR="00D73B32" w:rsidRPr="000E61EB" w:rsidRDefault="00D73B32" w:rsidP="00791DC6">
            <w:pPr>
              <w:pStyle w:val="Bezriadkovania"/>
              <w:widowControl w:val="0"/>
              <w:rPr>
                <w:rFonts w:eastAsia="Times New Roman"/>
                <w:lang w:eastAsia="en-US"/>
              </w:rPr>
            </w:pPr>
            <w:r w:rsidRPr="000E61EB">
              <w:rPr>
                <w:lang w:eastAsia="en-US"/>
              </w:rPr>
              <w:t>Časté</w:t>
            </w:r>
          </w:p>
        </w:tc>
        <w:tc>
          <w:tcPr>
            <w:tcW w:w="5592" w:type="dxa"/>
            <w:tcBorders>
              <w:top w:val="single" w:sz="5" w:space="0" w:color="000000"/>
              <w:left w:val="single" w:sz="5" w:space="0" w:color="000000"/>
              <w:bottom w:val="single" w:sz="5" w:space="0" w:color="000000"/>
              <w:right w:val="single" w:sz="5" w:space="0" w:color="000000"/>
            </w:tcBorders>
            <w:shd w:val="clear" w:color="auto" w:fill="auto"/>
          </w:tcPr>
          <w:p w14:paraId="02898CA2" w14:textId="77777777" w:rsidR="00D73B32" w:rsidRPr="000E61EB" w:rsidRDefault="00D73B32" w:rsidP="00791DC6">
            <w:pPr>
              <w:pStyle w:val="Bezriadkovania"/>
              <w:widowControl w:val="0"/>
              <w:rPr>
                <w:rFonts w:eastAsia="Times New Roman"/>
                <w:lang w:eastAsia="en-US"/>
              </w:rPr>
            </w:pPr>
            <w:r w:rsidRPr="000E61EB">
              <w:rPr>
                <w:lang w:eastAsia="en-US"/>
              </w:rPr>
              <w:t>poruchy</w:t>
            </w:r>
            <w:r w:rsidRPr="000E61EB">
              <w:rPr>
                <w:spacing w:val="-3"/>
                <w:lang w:eastAsia="en-US"/>
              </w:rPr>
              <w:t xml:space="preserve"> </w:t>
            </w:r>
            <w:r w:rsidRPr="000E61EB">
              <w:rPr>
                <w:spacing w:val="-1"/>
                <w:lang w:eastAsia="en-US"/>
              </w:rPr>
              <w:t>videnia</w:t>
            </w:r>
            <w:r w:rsidRPr="000E61EB">
              <w:rPr>
                <w:lang w:eastAsia="en-US"/>
              </w:rPr>
              <w:t xml:space="preserve"> </w:t>
            </w:r>
            <w:r w:rsidRPr="000E61EB">
              <w:rPr>
                <w:spacing w:val="-1"/>
                <w:lang w:eastAsia="en-US"/>
              </w:rPr>
              <w:t>zahŕňajúce</w:t>
            </w:r>
            <w:r w:rsidRPr="000E61EB">
              <w:rPr>
                <w:spacing w:val="-2"/>
                <w:lang w:eastAsia="en-US"/>
              </w:rPr>
              <w:t xml:space="preserve"> </w:t>
            </w:r>
            <w:r w:rsidRPr="000E61EB">
              <w:rPr>
                <w:lang w:eastAsia="en-US"/>
              </w:rPr>
              <w:t>dvojité</w:t>
            </w:r>
            <w:r w:rsidRPr="000E61EB">
              <w:rPr>
                <w:spacing w:val="-2"/>
                <w:lang w:eastAsia="en-US"/>
              </w:rPr>
              <w:t xml:space="preserve"> </w:t>
            </w:r>
            <w:r w:rsidRPr="000E61EB">
              <w:rPr>
                <w:spacing w:val="-1"/>
                <w:lang w:eastAsia="en-US"/>
              </w:rPr>
              <w:t>videnie,</w:t>
            </w:r>
            <w:r w:rsidRPr="000E61EB">
              <w:rPr>
                <w:lang w:eastAsia="en-US"/>
              </w:rPr>
              <w:t xml:space="preserve"> </w:t>
            </w:r>
            <w:r w:rsidRPr="000E61EB">
              <w:rPr>
                <w:spacing w:val="-1"/>
                <w:lang w:eastAsia="en-US"/>
              </w:rPr>
              <w:t>rozmazané</w:t>
            </w:r>
            <w:r w:rsidRPr="000E61EB">
              <w:rPr>
                <w:spacing w:val="23"/>
                <w:lang w:eastAsia="en-US"/>
              </w:rPr>
              <w:t xml:space="preserve"> </w:t>
            </w:r>
            <w:r w:rsidRPr="000E61EB">
              <w:rPr>
                <w:spacing w:val="-1"/>
                <w:lang w:eastAsia="en-US"/>
              </w:rPr>
              <w:t>videnie</w:t>
            </w:r>
            <w:r w:rsidRPr="000E61EB">
              <w:rPr>
                <w:spacing w:val="-2"/>
                <w:lang w:eastAsia="en-US"/>
              </w:rPr>
              <w:t xml:space="preserve"> </w:t>
            </w:r>
            <w:r w:rsidRPr="000E61EB">
              <w:rPr>
                <w:lang w:eastAsia="en-US"/>
              </w:rPr>
              <w:t xml:space="preserve">a </w:t>
            </w:r>
            <w:r w:rsidRPr="000E61EB">
              <w:rPr>
                <w:spacing w:val="-1"/>
                <w:lang w:eastAsia="en-US"/>
              </w:rPr>
              <w:t>obmedzenú</w:t>
            </w:r>
            <w:r w:rsidRPr="000E61EB">
              <w:rPr>
                <w:lang w:eastAsia="en-US"/>
              </w:rPr>
              <w:t xml:space="preserve"> </w:t>
            </w:r>
            <w:r w:rsidRPr="000E61EB">
              <w:rPr>
                <w:spacing w:val="-2"/>
                <w:lang w:eastAsia="en-US"/>
              </w:rPr>
              <w:t>zrakovú</w:t>
            </w:r>
            <w:r w:rsidRPr="000E61EB">
              <w:rPr>
                <w:lang w:eastAsia="en-US"/>
              </w:rPr>
              <w:t xml:space="preserve"> ostrosť</w:t>
            </w:r>
          </w:p>
        </w:tc>
      </w:tr>
      <w:tr w:rsidR="00D73B32" w:rsidRPr="000E61EB" w14:paraId="33DA793F" w14:textId="77777777" w:rsidTr="006939EE">
        <w:trPr>
          <w:trHeight w:hRule="exact" w:val="244"/>
          <w:jc w:val="center"/>
        </w:trPr>
        <w:tc>
          <w:tcPr>
            <w:tcW w:w="8748" w:type="dxa"/>
            <w:gridSpan w:val="2"/>
            <w:tcBorders>
              <w:top w:val="single" w:sz="5" w:space="0" w:color="000000"/>
              <w:left w:val="single" w:sz="5" w:space="0" w:color="000000"/>
              <w:bottom w:val="single" w:sz="4" w:space="0" w:color="000000"/>
              <w:right w:val="single" w:sz="5" w:space="0" w:color="000000"/>
            </w:tcBorders>
            <w:shd w:val="clear" w:color="auto" w:fill="auto"/>
          </w:tcPr>
          <w:p w14:paraId="71A075F7" w14:textId="77777777" w:rsidR="00D73B32" w:rsidRPr="000E61EB" w:rsidRDefault="00D73B32" w:rsidP="00791DC6">
            <w:pPr>
              <w:pStyle w:val="Bezriadkovania"/>
              <w:widowControl w:val="0"/>
              <w:rPr>
                <w:rFonts w:eastAsia="Times New Roman"/>
                <w:b/>
                <w:lang w:eastAsia="en-US"/>
              </w:rPr>
            </w:pPr>
            <w:r w:rsidRPr="000E61EB">
              <w:rPr>
                <w:b/>
                <w:spacing w:val="-1"/>
                <w:lang w:eastAsia="en-US"/>
              </w:rPr>
              <w:t>Poruchy</w:t>
            </w:r>
            <w:r w:rsidRPr="000E61EB">
              <w:rPr>
                <w:b/>
                <w:spacing w:val="-5"/>
                <w:lang w:eastAsia="en-US"/>
              </w:rPr>
              <w:t xml:space="preserve"> </w:t>
            </w:r>
            <w:r w:rsidRPr="000E61EB">
              <w:rPr>
                <w:b/>
                <w:spacing w:val="-1"/>
                <w:lang w:eastAsia="en-US"/>
              </w:rPr>
              <w:t>srdca</w:t>
            </w:r>
            <w:r w:rsidRPr="000E61EB">
              <w:rPr>
                <w:b/>
                <w:spacing w:val="-2"/>
                <w:lang w:eastAsia="en-US"/>
              </w:rPr>
              <w:t xml:space="preserve"> </w:t>
            </w:r>
            <w:r w:rsidRPr="000E61EB">
              <w:rPr>
                <w:b/>
                <w:lang w:eastAsia="en-US"/>
              </w:rPr>
              <w:t xml:space="preserve">a </w:t>
            </w:r>
            <w:r w:rsidRPr="000E61EB">
              <w:rPr>
                <w:b/>
                <w:spacing w:val="-1"/>
                <w:lang w:eastAsia="en-US"/>
              </w:rPr>
              <w:t>srdcovej</w:t>
            </w:r>
            <w:r w:rsidRPr="000E61EB">
              <w:rPr>
                <w:b/>
                <w:spacing w:val="3"/>
                <w:lang w:eastAsia="en-US"/>
              </w:rPr>
              <w:t xml:space="preserve"> </w:t>
            </w:r>
            <w:r w:rsidRPr="000E61EB">
              <w:rPr>
                <w:b/>
                <w:spacing w:val="-1"/>
                <w:lang w:eastAsia="en-US"/>
              </w:rPr>
              <w:t>činnosti</w:t>
            </w:r>
          </w:p>
        </w:tc>
      </w:tr>
      <w:tr w:rsidR="00D73B32" w:rsidRPr="000E61EB" w14:paraId="420F1687" w14:textId="77777777" w:rsidTr="006939EE">
        <w:trPr>
          <w:trHeight w:hRule="exact" w:val="281"/>
          <w:jc w:val="center"/>
        </w:trPr>
        <w:tc>
          <w:tcPr>
            <w:tcW w:w="3156" w:type="dxa"/>
            <w:tcBorders>
              <w:top w:val="single" w:sz="4" w:space="0" w:color="000000"/>
              <w:left w:val="single" w:sz="6" w:space="0" w:color="000000"/>
              <w:bottom w:val="single" w:sz="6" w:space="0" w:color="000000"/>
              <w:right w:val="single" w:sz="6" w:space="0" w:color="000000"/>
            </w:tcBorders>
            <w:shd w:val="clear" w:color="auto" w:fill="auto"/>
          </w:tcPr>
          <w:p w14:paraId="5F6A2ABF" w14:textId="77777777" w:rsidR="00D73B32" w:rsidRPr="000E61EB" w:rsidRDefault="00D73B32" w:rsidP="00791DC6">
            <w:pPr>
              <w:pStyle w:val="Bezriadkovania"/>
              <w:widowControl w:val="0"/>
              <w:rPr>
                <w:rFonts w:eastAsia="Times New Roman"/>
                <w:lang w:eastAsia="en-US"/>
              </w:rPr>
            </w:pPr>
            <w:r w:rsidRPr="000E61EB">
              <w:rPr>
                <w:spacing w:val="-1"/>
                <w:lang w:eastAsia="en-US"/>
              </w:rPr>
              <w:t>Menej</w:t>
            </w:r>
            <w:r w:rsidRPr="000E61EB">
              <w:rPr>
                <w:spacing w:val="1"/>
                <w:lang w:eastAsia="en-US"/>
              </w:rPr>
              <w:t xml:space="preserve"> </w:t>
            </w:r>
            <w:r w:rsidRPr="000E61EB">
              <w:rPr>
                <w:spacing w:val="-1"/>
                <w:lang w:eastAsia="en-US"/>
              </w:rPr>
              <w:t>časté</w:t>
            </w:r>
          </w:p>
        </w:tc>
        <w:tc>
          <w:tcPr>
            <w:tcW w:w="5592" w:type="dxa"/>
            <w:tcBorders>
              <w:top w:val="single" w:sz="4" w:space="0" w:color="000000"/>
              <w:left w:val="single" w:sz="6" w:space="0" w:color="000000"/>
              <w:bottom w:val="single" w:sz="6" w:space="0" w:color="000000"/>
              <w:right w:val="single" w:sz="6" w:space="0" w:color="000000"/>
            </w:tcBorders>
            <w:shd w:val="clear" w:color="auto" w:fill="auto"/>
          </w:tcPr>
          <w:p w14:paraId="06F6B875" w14:textId="77777777" w:rsidR="00D73B32" w:rsidRPr="000E61EB" w:rsidRDefault="00D73B32" w:rsidP="00791DC6">
            <w:pPr>
              <w:pStyle w:val="Bezriadkovania"/>
              <w:widowControl w:val="0"/>
              <w:rPr>
                <w:rFonts w:eastAsia="Times New Roman"/>
                <w:sz w:val="14"/>
                <w:szCs w:val="14"/>
                <w:lang w:eastAsia="en-US"/>
              </w:rPr>
            </w:pPr>
            <w:r w:rsidRPr="000E61EB">
              <w:rPr>
                <w:spacing w:val="-1"/>
                <w:lang w:eastAsia="en-US"/>
              </w:rPr>
              <w:t>srdcové zlyhanie</w:t>
            </w:r>
            <w:r w:rsidRPr="000E61EB">
              <w:rPr>
                <w:spacing w:val="-1"/>
                <w:position w:val="10"/>
                <w:sz w:val="14"/>
                <w:lang w:eastAsia="en-US"/>
              </w:rPr>
              <w:t>1</w:t>
            </w:r>
          </w:p>
        </w:tc>
      </w:tr>
      <w:tr w:rsidR="00D73B32" w:rsidRPr="000E61EB" w14:paraId="4A0A9C3B" w14:textId="77777777" w:rsidTr="006939EE">
        <w:trPr>
          <w:trHeight w:hRule="exact" w:val="262"/>
          <w:jc w:val="center"/>
        </w:trPr>
        <w:tc>
          <w:tcPr>
            <w:tcW w:w="8748" w:type="dxa"/>
            <w:gridSpan w:val="2"/>
            <w:tcBorders>
              <w:top w:val="single" w:sz="6" w:space="0" w:color="000000"/>
              <w:left w:val="single" w:sz="5" w:space="0" w:color="000000"/>
              <w:bottom w:val="single" w:sz="5" w:space="0" w:color="000000"/>
              <w:right w:val="single" w:sz="5" w:space="0" w:color="000000"/>
            </w:tcBorders>
            <w:shd w:val="clear" w:color="auto" w:fill="auto"/>
          </w:tcPr>
          <w:p w14:paraId="57E01175" w14:textId="77777777" w:rsidR="00D73B32" w:rsidRPr="000E61EB" w:rsidRDefault="00D73B32" w:rsidP="00791DC6">
            <w:pPr>
              <w:pStyle w:val="Bezriadkovania"/>
              <w:widowControl w:val="0"/>
              <w:rPr>
                <w:rFonts w:eastAsia="Times New Roman"/>
                <w:b/>
                <w:lang w:eastAsia="en-US"/>
              </w:rPr>
            </w:pPr>
            <w:r w:rsidRPr="000E61EB">
              <w:rPr>
                <w:b/>
                <w:spacing w:val="-1"/>
                <w:lang w:eastAsia="en-US"/>
              </w:rPr>
              <w:t>Poruchy</w:t>
            </w:r>
            <w:r w:rsidRPr="000E61EB">
              <w:rPr>
                <w:b/>
                <w:spacing w:val="-3"/>
                <w:lang w:eastAsia="en-US"/>
              </w:rPr>
              <w:t xml:space="preserve"> </w:t>
            </w:r>
            <w:r w:rsidRPr="000E61EB">
              <w:rPr>
                <w:b/>
                <w:spacing w:val="-1"/>
                <w:lang w:eastAsia="en-US"/>
              </w:rPr>
              <w:t>ciev</w:t>
            </w:r>
          </w:p>
        </w:tc>
      </w:tr>
      <w:tr w:rsidR="00D73B32" w:rsidRPr="000E61EB" w14:paraId="052CAB33" w14:textId="77777777" w:rsidTr="00531A38">
        <w:trPr>
          <w:trHeight w:hRule="exact" w:val="264"/>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tcPr>
          <w:p w14:paraId="14185E66" w14:textId="77777777" w:rsidR="00D73B32" w:rsidRPr="000E61EB" w:rsidRDefault="00D73B32" w:rsidP="00791DC6">
            <w:pPr>
              <w:pStyle w:val="Bezriadkovania"/>
              <w:widowControl w:val="0"/>
              <w:rPr>
                <w:rFonts w:eastAsia="Times New Roman"/>
                <w:lang w:eastAsia="en-US"/>
              </w:rPr>
            </w:pPr>
            <w:r w:rsidRPr="000E61EB">
              <w:rPr>
                <w:lang w:eastAsia="en-US"/>
              </w:rPr>
              <w:t>Časté</w:t>
            </w:r>
          </w:p>
        </w:tc>
        <w:tc>
          <w:tcPr>
            <w:tcW w:w="5592" w:type="dxa"/>
            <w:tcBorders>
              <w:top w:val="single" w:sz="5" w:space="0" w:color="000000"/>
              <w:left w:val="single" w:sz="5" w:space="0" w:color="000000"/>
              <w:bottom w:val="single" w:sz="5" w:space="0" w:color="000000"/>
              <w:right w:val="single" w:sz="5" w:space="0" w:color="000000"/>
            </w:tcBorders>
            <w:shd w:val="clear" w:color="auto" w:fill="auto"/>
          </w:tcPr>
          <w:p w14:paraId="05EA362A" w14:textId="77777777" w:rsidR="00D73B32" w:rsidRPr="000E61EB" w:rsidRDefault="00D73B32" w:rsidP="00791DC6">
            <w:pPr>
              <w:pStyle w:val="Bezriadkovania"/>
              <w:widowControl w:val="0"/>
              <w:rPr>
                <w:rFonts w:eastAsia="Times New Roman"/>
                <w:lang w:eastAsia="en-US"/>
              </w:rPr>
            </w:pPr>
            <w:r w:rsidRPr="000E61EB">
              <w:rPr>
                <w:spacing w:val="-1"/>
                <w:lang w:eastAsia="en-US"/>
              </w:rPr>
              <w:t>hypotenzia</w:t>
            </w:r>
          </w:p>
        </w:tc>
      </w:tr>
      <w:tr w:rsidR="00D73B32" w:rsidRPr="000E61EB" w14:paraId="14EC3D62" w14:textId="77777777" w:rsidTr="00531A38">
        <w:trPr>
          <w:trHeight w:hRule="exact" w:val="262"/>
          <w:jc w:val="center"/>
        </w:trPr>
        <w:tc>
          <w:tcPr>
            <w:tcW w:w="8748" w:type="dxa"/>
            <w:gridSpan w:val="2"/>
            <w:tcBorders>
              <w:top w:val="single" w:sz="5" w:space="0" w:color="000000"/>
              <w:left w:val="single" w:sz="5" w:space="0" w:color="000000"/>
              <w:bottom w:val="single" w:sz="5" w:space="0" w:color="000000"/>
              <w:right w:val="single" w:sz="5" w:space="0" w:color="000000"/>
            </w:tcBorders>
            <w:shd w:val="clear" w:color="auto" w:fill="auto"/>
          </w:tcPr>
          <w:p w14:paraId="1DB07103" w14:textId="77777777" w:rsidR="00D73B32" w:rsidRPr="000E61EB" w:rsidRDefault="00D73B32" w:rsidP="00791DC6">
            <w:pPr>
              <w:pStyle w:val="Bezriadkovania"/>
              <w:widowControl w:val="0"/>
              <w:rPr>
                <w:rFonts w:eastAsia="Times New Roman"/>
                <w:b/>
                <w:lang w:eastAsia="en-US"/>
              </w:rPr>
            </w:pPr>
            <w:r w:rsidRPr="000E61EB">
              <w:rPr>
                <w:b/>
                <w:spacing w:val="-1"/>
                <w:lang w:eastAsia="en-US"/>
              </w:rPr>
              <w:t>Poruchy</w:t>
            </w:r>
            <w:r w:rsidRPr="000E61EB">
              <w:rPr>
                <w:b/>
                <w:spacing w:val="-3"/>
                <w:lang w:eastAsia="en-US"/>
              </w:rPr>
              <w:t xml:space="preserve"> </w:t>
            </w:r>
            <w:r w:rsidRPr="000E61EB">
              <w:rPr>
                <w:b/>
                <w:spacing w:val="-1"/>
                <w:lang w:eastAsia="en-US"/>
              </w:rPr>
              <w:t>dýchacej</w:t>
            </w:r>
            <w:r w:rsidRPr="000E61EB">
              <w:rPr>
                <w:b/>
                <w:spacing w:val="1"/>
                <w:lang w:eastAsia="en-US"/>
              </w:rPr>
              <w:t xml:space="preserve"> </w:t>
            </w:r>
            <w:r w:rsidRPr="000E61EB">
              <w:rPr>
                <w:b/>
                <w:spacing w:val="-2"/>
                <w:lang w:eastAsia="en-US"/>
              </w:rPr>
              <w:t>sústavy,</w:t>
            </w:r>
            <w:r w:rsidRPr="000E61EB">
              <w:rPr>
                <w:b/>
                <w:spacing w:val="2"/>
                <w:lang w:eastAsia="en-US"/>
              </w:rPr>
              <w:t xml:space="preserve"> </w:t>
            </w:r>
            <w:r w:rsidRPr="000E61EB">
              <w:rPr>
                <w:b/>
                <w:spacing w:val="-1"/>
                <w:lang w:eastAsia="en-US"/>
              </w:rPr>
              <w:t>hrudníka</w:t>
            </w:r>
            <w:r w:rsidRPr="000E61EB">
              <w:rPr>
                <w:b/>
                <w:lang w:eastAsia="en-US"/>
              </w:rPr>
              <w:t xml:space="preserve"> a </w:t>
            </w:r>
            <w:r w:rsidRPr="000E61EB">
              <w:rPr>
                <w:b/>
                <w:spacing w:val="-1"/>
                <w:lang w:eastAsia="en-US"/>
              </w:rPr>
              <w:t>mediastína</w:t>
            </w:r>
          </w:p>
        </w:tc>
      </w:tr>
      <w:tr w:rsidR="00D73B32" w:rsidRPr="000E61EB" w14:paraId="43A38FFF" w14:textId="77777777" w:rsidTr="00531A38">
        <w:trPr>
          <w:trHeight w:hRule="exact" w:val="264"/>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tcPr>
          <w:p w14:paraId="45FBA268" w14:textId="77777777" w:rsidR="00D73B32" w:rsidRPr="000E61EB" w:rsidRDefault="00D73B32" w:rsidP="00791DC6">
            <w:pPr>
              <w:pStyle w:val="Bezriadkovania"/>
              <w:widowControl w:val="0"/>
              <w:rPr>
                <w:rFonts w:eastAsia="Times New Roman"/>
                <w:lang w:eastAsia="en-US"/>
              </w:rPr>
            </w:pPr>
            <w:r w:rsidRPr="000E61EB">
              <w:rPr>
                <w:spacing w:val="-1"/>
                <w:lang w:eastAsia="en-US"/>
              </w:rPr>
              <w:t>Menej</w:t>
            </w:r>
            <w:r w:rsidRPr="000E61EB">
              <w:rPr>
                <w:spacing w:val="1"/>
                <w:lang w:eastAsia="en-US"/>
              </w:rPr>
              <w:t xml:space="preserve"> </w:t>
            </w:r>
            <w:r w:rsidRPr="000E61EB">
              <w:rPr>
                <w:spacing w:val="-1"/>
                <w:lang w:eastAsia="en-US"/>
              </w:rPr>
              <w:t>časté</w:t>
            </w:r>
          </w:p>
        </w:tc>
        <w:tc>
          <w:tcPr>
            <w:tcW w:w="5592" w:type="dxa"/>
            <w:tcBorders>
              <w:top w:val="single" w:sz="5" w:space="0" w:color="000000"/>
              <w:left w:val="single" w:sz="5" w:space="0" w:color="000000"/>
              <w:bottom w:val="single" w:sz="5" w:space="0" w:color="000000"/>
              <w:right w:val="single" w:sz="5" w:space="0" w:color="000000"/>
            </w:tcBorders>
            <w:shd w:val="clear" w:color="auto" w:fill="auto"/>
          </w:tcPr>
          <w:p w14:paraId="61924666" w14:textId="77777777" w:rsidR="00D73B32" w:rsidRPr="000E61EB" w:rsidRDefault="00D73B32" w:rsidP="00791DC6">
            <w:pPr>
              <w:pStyle w:val="Bezriadkovania"/>
              <w:widowControl w:val="0"/>
              <w:rPr>
                <w:rFonts w:eastAsia="Times New Roman"/>
                <w:lang w:eastAsia="en-US"/>
              </w:rPr>
            </w:pPr>
            <w:r w:rsidRPr="000E61EB">
              <w:rPr>
                <w:spacing w:val="-1"/>
                <w:lang w:eastAsia="en-US"/>
              </w:rPr>
              <w:t>dyspnoe,</w:t>
            </w:r>
            <w:r w:rsidRPr="000E61EB">
              <w:rPr>
                <w:lang w:eastAsia="en-US"/>
              </w:rPr>
              <w:t xml:space="preserve"> </w:t>
            </w:r>
            <w:r w:rsidRPr="000E61EB">
              <w:rPr>
                <w:spacing w:val="-2"/>
                <w:lang w:eastAsia="en-US"/>
              </w:rPr>
              <w:t>štikútka</w:t>
            </w:r>
          </w:p>
        </w:tc>
      </w:tr>
      <w:tr w:rsidR="00D73B32" w:rsidRPr="000E61EB" w14:paraId="1BC86AFD" w14:textId="77777777" w:rsidTr="00531A38">
        <w:trPr>
          <w:trHeight w:hRule="exact" w:val="264"/>
          <w:jc w:val="center"/>
        </w:trPr>
        <w:tc>
          <w:tcPr>
            <w:tcW w:w="8748" w:type="dxa"/>
            <w:gridSpan w:val="2"/>
            <w:tcBorders>
              <w:top w:val="single" w:sz="5" w:space="0" w:color="000000"/>
              <w:left w:val="single" w:sz="5" w:space="0" w:color="000000"/>
              <w:bottom w:val="single" w:sz="5" w:space="0" w:color="000000"/>
              <w:right w:val="single" w:sz="5" w:space="0" w:color="000000"/>
            </w:tcBorders>
            <w:shd w:val="clear" w:color="auto" w:fill="auto"/>
          </w:tcPr>
          <w:p w14:paraId="74D7F46A" w14:textId="77777777" w:rsidR="00D73B32" w:rsidRPr="000E61EB" w:rsidRDefault="00D73B32" w:rsidP="00791DC6">
            <w:pPr>
              <w:pStyle w:val="Bezriadkovania"/>
              <w:widowControl w:val="0"/>
              <w:rPr>
                <w:rFonts w:eastAsia="Times New Roman"/>
                <w:b/>
                <w:lang w:eastAsia="en-US"/>
              </w:rPr>
            </w:pPr>
            <w:r w:rsidRPr="000E61EB">
              <w:rPr>
                <w:b/>
                <w:spacing w:val="-1"/>
                <w:lang w:eastAsia="en-US"/>
              </w:rPr>
              <w:t>Poruchy</w:t>
            </w:r>
            <w:r w:rsidRPr="000E61EB">
              <w:rPr>
                <w:b/>
                <w:spacing w:val="-3"/>
                <w:lang w:eastAsia="en-US"/>
              </w:rPr>
              <w:t xml:space="preserve"> </w:t>
            </w:r>
            <w:r w:rsidRPr="000E61EB">
              <w:rPr>
                <w:b/>
                <w:spacing w:val="-1"/>
                <w:lang w:eastAsia="en-US"/>
              </w:rPr>
              <w:t>gastrointestinálneho</w:t>
            </w:r>
            <w:r w:rsidRPr="000E61EB">
              <w:rPr>
                <w:b/>
                <w:lang w:eastAsia="en-US"/>
              </w:rPr>
              <w:t xml:space="preserve"> </w:t>
            </w:r>
            <w:r w:rsidRPr="000E61EB">
              <w:rPr>
                <w:b/>
                <w:spacing w:val="-1"/>
                <w:lang w:eastAsia="en-US"/>
              </w:rPr>
              <w:t>traktu</w:t>
            </w:r>
          </w:p>
        </w:tc>
      </w:tr>
      <w:tr w:rsidR="00D73B32" w:rsidRPr="000E61EB" w14:paraId="44528C06" w14:textId="77777777" w:rsidTr="00531A38">
        <w:trPr>
          <w:trHeight w:hRule="exact" w:val="262"/>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tcPr>
          <w:p w14:paraId="72BD35B6" w14:textId="77777777" w:rsidR="00D73B32" w:rsidRPr="000E61EB" w:rsidRDefault="00D73B32" w:rsidP="00791DC6">
            <w:pPr>
              <w:pStyle w:val="Bezriadkovania"/>
              <w:widowControl w:val="0"/>
              <w:rPr>
                <w:rFonts w:eastAsia="Times New Roman"/>
                <w:lang w:eastAsia="en-US"/>
              </w:rPr>
            </w:pPr>
            <w:r w:rsidRPr="000E61EB">
              <w:rPr>
                <w:spacing w:val="-1"/>
                <w:lang w:eastAsia="en-US"/>
              </w:rPr>
              <w:t>Veľmi</w:t>
            </w:r>
            <w:r w:rsidRPr="000E61EB">
              <w:rPr>
                <w:spacing w:val="1"/>
                <w:lang w:eastAsia="en-US"/>
              </w:rPr>
              <w:t xml:space="preserve"> </w:t>
            </w:r>
            <w:r w:rsidRPr="000E61EB">
              <w:rPr>
                <w:spacing w:val="-1"/>
                <w:lang w:eastAsia="en-US"/>
              </w:rPr>
              <w:t>časté</w:t>
            </w:r>
          </w:p>
        </w:tc>
        <w:tc>
          <w:tcPr>
            <w:tcW w:w="5592" w:type="dxa"/>
            <w:tcBorders>
              <w:top w:val="single" w:sz="5" w:space="0" w:color="000000"/>
              <w:left w:val="single" w:sz="5" w:space="0" w:color="000000"/>
              <w:bottom w:val="single" w:sz="5" w:space="0" w:color="000000"/>
              <w:right w:val="single" w:sz="5" w:space="0" w:color="000000"/>
            </w:tcBorders>
            <w:shd w:val="clear" w:color="auto" w:fill="auto"/>
          </w:tcPr>
          <w:p w14:paraId="5FC28419" w14:textId="77777777" w:rsidR="00D73B32" w:rsidRPr="000E61EB" w:rsidRDefault="00D73B32" w:rsidP="00791DC6">
            <w:pPr>
              <w:pStyle w:val="Bezriadkovania"/>
              <w:widowControl w:val="0"/>
              <w:rPr>
                <w:rFonts w:eastAsia="Times New Roman"/>
                <w:lang w:eastAsia="en-US"/>
              </w:rPr>
            </w:pPr>
            <w:r w:rsidRPr="000E61EB">
              <w:rPr>
                <w:spacing w:val="-1"/>
                <w:lang w:eastAsia="en-US"/>
              </w:rPr>
              <w:t>nauzea</w:t>
            </w:r>
          </w:p>
        </w:tc>
      </w:tr>
      <w:tr w:rsidR="00D73B32" w:rsidRPr="000E61EB" w14:paraId="38D299C7" w14:textId="77777777" w:rsidTr="00531A38">
        <w:trPr>
          <w:trHeight w:hRule="exact" w:val="264"/>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tcPr>
          <w:p w14:paraId="2DD28CF6" w14:textId="77777777" w:rsidR="00D73B32" w:rsidRPr="000E61EB" w:rsidRDefault="00D73B32" w:rsidP="00791DC6">
            <w:pPr>
              <w:pStyle w:val="Bezriadkovania"/>
              <w:widowControl w:val="0"/>
              <w:rPr>
                <w:rFonts w:eastAsia="Times New Roman"/>
                <w:lang w:eastAsia="en-US"/>
              </w:rPr>
            </w:pPr>
            <w:r w:rsidRPr="000E61EB">
              <w:rPr>
                <w:lang w:eastAsia="en-US"/>
              </w:rPr>
              <w:t>Časté</w:t>
            </w:r>
          </w:p>
        </w:tc>
        <w:tc>
          <w:tcPr>
            <w:tcW w:w="5592" w:type="dxa"/>
            <w:tcBorders>
              <w:top w:val="single" w:sz="5" w:space="0" w:color="000000"/>
              <w:left w:val="single" w:sz="5" w:space="0" w:color="000000"/>
              <w:bottom w:val="single" w:sz="5" w:space="0" w:color="000000"/>
              <w:right w:val="single" w:sz="5" w:space="0" w:color="000000"/>
            </w:tcBorders>
            <w:shd w:val="clear" w:color="auto" w:fill="auto"/>
          </w:tcPr>
          <w:p w14:paraId="0176777D" w14:textId="77777777" w:rsidR="00D73B32" w:rsidRPr="000E61EB" w:rsidRDefault="00D73B32" w:rsidP="00791DC6">
            <w:pPr>
              <w:pStyle w:val="Bezriadkovania"/>
              <w:widowControl w:val="0"/>
              <w:rPr>
                <w:rFonts w:eastAsia="Times New Roman"/>
                <w:lang w:eastAsia="en-US"/>
              </w:rPr>
            </w:pPr>
            <w:r w:rsidRPr="000E61EB">
              <w:rPr>
                <w:spacing w:val="-1"/>
                <w:lang w:eastAsia="en-US"/>
              </w:rPr>
              <w:t>zápcha,</w:t>
            </w:r>
            <w:r w:rsidRPr="000E61EB">
              <w:rPr>
                <w:lang w:eastAsia="en-US"/>
              </w:rPr>
              <w:t xml:space="preserve"> </w:t>
            </w:r>
            <w:r w:rsidRPr="000E61EB">
              <w:rPr>
                <w:spacing w:val="-1"/>
                <w:lang w:eastAsia="en-US"/>
              </w:rPr>
              <w:t>vracanie</w:t>
            </w:r>
          </w:p>
        </w:tc>
      </w:tr>
      <w:tr w:rsidR="00D73B32" w:rsidRPr="000E61EB" w14:paraId="0CE2A414" w14:textId="77777777" w:rsidTr="00531A38">
        <w:trPr>
          <w:trHeight w:hRule="exact" w:val="262"/>
          <w:jc w:val="center"/>
        </w:trPr>
        <w:tc>
          <w:tcPr>
            <w:tcW w:w="8748" w:type="dxa"/>
            <w:gridSpan w:val="2"/>
            <w:tcBorders>
              <w:top w:val="single" w:sz="5" w:space="0" w:color="000000"/>
              <w:left w:val="single" w:sz="5" w:space="0" w:color="000000"/>
              <w:bottom w:val="single" w:sz="5" w:space="0" w:color="000000"/>
              <w:right w:val="single" w:sz="5" w:space="0" w:color="000000"/>
            </w:tcBorders>
            <w:shd w:val="clear" w:color="auto" w:fill="auto"/>
          </w:tcPr>
          <w:p w14:paraId="026236F2" w14:textId="77777777" w:rsidR="00D73B32" w:rsidRPr="000E61EB" w:rsidRDefault="00D73B32" w:rsidP="00791DC6">
            <w:pPr>
              <w:pStyle w:val="Bezriadkovania"/>
              <w:widowControl w:val="0"/>
              <w:rPr>
                <w:rFonts w:eastAsia="Times New Roman"/>
                <w:b/>
                <w:lang w:eastAsia="en-US"/>
              </w:rPr>
            </w:pPr>
            <w:r w:rsidRPr="000E61EB">
              <w:rPr>
                <w:b/>
                <w:spacing w:val="-1"/>
                <w:lang w:eastAsia="en-US"/>
              </w:rPr>
              <w:t>Poruchy</w:t>
            </w:r>
            <w:r w:rsidRPr="000E61EB">
              <w:rPr>
                <w:b/>
                <w:spacing w:val="-3"/>
                <w:lang w:eastAsia="en-US"/>
              </w:rPr>
              <w:t xml:space="preserve"> </w:t>
            </w:r>
            <w:r w:rsidRPr="000E61EB">
              <w:rPr>
                <w:b/>
                <w:spacing w:val="-2"/>
                <w:lang w:eastAsia="en-US"/>
              </w:rPr>
              <w:t>kože</w:t>
            </w:r>
            <w:r w:rsidRPr="000E61EB">
              <w:rPr>
                <w:b/>
                <w:lang w:eastAsia="en-US"/>
              </w:rPr>
              <w:t xml:space="preserve"> a </w:t>
            </w:r>
            <w:r w:rsidRPr="000E61EB">
              <w:rPr>
                <w:b/>
                <w:spacing w:val="-1"/>
                <w:lang w:eastAsia="en-US"/>
              </w:rPr>
              <w:t>podkožného</w:t>
            </w:r>
            <w:r w:rsidRPr="000E61EB">
              <w:rPr>
                <w:b/>
                <w:lang w:eastAsia="en-US"/>
              </w:rPr>
              <w:t xml:space="preserve"> </w:t>
            </w:r>
            <w:r w:rsidRPr="000E61EB">
              <w:rPr>
                <w:b/>
                <w:spacing w:val="-1"/>
                <w:lang w:eastAsia="en-US"/>
              </w:rPr>
              <w:t>tkaniva</w:t>
            </w:r>
          </w:p>
        </w:tc>
      </w:tr>
      <w:tr w:rsidR="00D73B32" w:rsidRPr="000E61EB" w14:paraId="769BCABA" w14:textId="77777777" w:rsidTr="00531A38">
        <w:trPr>
          <w:trHeight w:hRule="exact" w:val="264"/>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tcPr>
          <w:p w14:paraId="6DBD55A7" w14:textId="77777777" w:rsidR="00D73B32" w:rsidRPr="000E61EB" w:rsidRDefault="00D73B32" w:rsidP="00791DC6">
            <w:pPr>
              <w:pStyle w:val="Bezriadkovania"/>
              <w:widowControl w:val="0"/>
              <w:rPr>
                <w:rFonts w:eastAsia="Times New Roman"/>
                <w:lang w:eastAsia="en-US"/>
              </w:rPr>
            </w:pPr>
            <w:r w:rsidRPr="000E61EB">
              <w:rPr>
                <w:spacing w:val="-1"/>
                <w:lang w:eastAsia="en-US"/>
              </w:rPr>
              <w:t>Menej</w:t>
            </w:r>
            <w:r w:rsidRPr="000E61EB">
              <w:rPr>
                <w:spacing w:val="1"/>
                <w:lang w:eastAsia="en-US"/>
              </w:rPr>
              <w:t xml:space="preserve"> </w:t>
            </w:r>
            <w:r w:rsidRPr="000E61EB">
              <w:rPr>
                <w:spacing w:val="-1"/>
                <w:lang w:eastAsia="en-US"/>
              </w:rPr>
              <w:t>časté</w:t>
            </w:r>
          </w:p>
        </w:tc>
        <w:tc>
          <w:tcPr>
            <w:tcW w:w="5592" w:type="dxa"/>
            <w:tcBorders>
              <w:top w:val="single" w:sz="5" w:space="0" w:color="000000"/>
              <w:left w:val="single" w:sz="5" w:space="0" w:color="000000"/>
              <w:bottom w:val="single" w:sz="5" w:space="0" w:color="000000"/>
              <w:right w:val="single" w:sz="5" w:space="0" w:color="000000"/>
            </w:tcBorders>
            <w:shd w:val="clear" w:color="auto" w:fill="auto"/>
          </w:tcPr>
          <w:p w14:paraId="138BD5F5" w14:textId="77777777" w:rsidR="00D73B32" w:rsidRPr="000E61EB" w:rsidRDefault="00D73B32" w:rsidP="00791DC6">
            <w:pPr>
              <w:pStyle w:val="Bezriadkovania"/>
              <w:widowControl w:val="0"/>
              <w:rPr>
                <w:rFonts w:eastAsia="Times New Roman"/>
                <w:lang w:eastAsia="en-US"/>
              </w:rPr>
            </w:pPr>
            <w:r w:rsidRPr="000E61EB">
              <w:rPr>
                <w:spacing w:val="-1"/>
                <w:lang w:eastAsia="en-US"/>
              </w:rPr>
              <w:t>precitlivenosť,</w:t>
            </w:r>
            <w:r w:rsidRPr="000E61EB">
              <w:rPr>
                <w:lang w:eastAsia="en-US"/>
              </w:rPr>
              <w:t xml:space="preserve"> </w:t>
            </w:r>
            <w:r w:rsidRPr="000E61EB">
              <w:rPr>
                <w:spacing w:val="-1"/>
                <w:lang w:eastAsia="en-US"/>
              </w:rPr>
              <w:t>svrbenie,</w:t>
            </w:r>
            <w:r w:rsidRPr="000E61EB">
              <w:rPr>
                <w:lang w:eastAsia="en-US"/>
              </w:rPr>
              <w:t xml:space="preserve"> </w:t>
            </w:r>
            <w:r w:rsidRPr="000E61EB">
              <w:rPr>
                <w:spacing w:val="-2"/>
                <w:lang w:eastAsia="en-US"/>
              </w:rPr>
              <w:t>vyrážka</w:t>
            </w:r>
          </w:p>
        </w:tc>
      </w:tr>
      <w:tr w:rsidR="00D73B32" w:rsidRPr="000E61EB" w14:paraId="6465FC8A" w14:textId="77777777" w:rsidTr="00531A38">
        <w:trPr>
          <w:trHeight w:hRule="exact" w:val="262"/>
          <w:jc w:val="center"/>
        </w:trPr>
        <w:tc>
          <w:tcPr>
            <w:tcW w:w="8748" w:type="dxa"/>
            <w:gridSpan w:val="2"/>
            <w:tcBorders>
              <w:top w:val="single" w:sz="5" w:space="0" w:color="000000"/>
              <w:left w:val="single" w:sz="5" w:space="0" w:color="000000"/>
              <w:bottom w:val="single" w:sz="5" w:space="0" w:color="000000"/>
              <w:right w:val="single" w:sz="5" w:space="0" w:color="000000"/>
            </w:tcBorders>
            <w:shd w:val="clear" w:color="auto" w:fill="auto"/>
          </w:tcPr>
          <w:p w14:paraId="51BD40A6" w14:textId="77777777" w:rsidR="00D73B32" w:rsidRPr="000E61EB" w:rsidRDefault="00D73B32" w:rsidP="00791DC6">
            <w:pPr>
              <w:pStyle w:val="Bezriadkovania"/>
              <w:widowControl w:val="0"/>
              <w:rPr>
                <w:rFonts w:eastAsia="Times New Roman"/>
                <w:b/>
                <w:lang w:eastAsia="en-US"/>
              </w:rPr>
            </w:pPr>
            <w:r w:rsidRPr="000E61EB">
              <w:rPr>
                <w:b/>
                <w:spacing w:val="-1"/>
                <w:lang w:eastAsia="en-US"/>
              </w:rPr>
              <w:t>Celkové</w:t>
            </w:r>
            <w:r w:rsidRPr="000E61EB">
              <w:rPr>
                <w:b/>
                <w:lang w:eastAsia="en-US"/>
              </w:rPr>
              <w:t xml:space="preserve"> poruchy</w:t>
            </w:r>
            <w:r w:rsidRPr="000E61EB">
              <w:rPr>
                <w:b/>
                <w:spacing w:val="-3"/>
                <w:lang w:eastAsia="en-US"/>
              </w:rPr>
              <w:t xml:space="preserve"> </w:t>
            </w:r>
            <w:r w:rsidRPr="000E61EB">
              <w:rPr>
                <w:b/>
                <w:lang w:eastAsia="en-US"/>
              </w:rPr>
              <w:t xml:space="preserve">a </w:t>
            </w:r>
            <w:r w:rsidRPr="000E61EB">
              <w:rPr>
                <w:b/>
                <w:spacing w:val="-1"/>
                <w:lang w:eastAsia="en-US"/>
              </w:rPr>
              <w:t>reakcie</w:t>
            </w:r>
            <w:r w:rsidRPr="000E61EB">
              <w:rPr>
                <w:b/>
                <w:spacing w:val="-2"/>
                <w:lang w:eastAsia="en-US"/>
              </w:rPr>
              <w:t xml:space="preserve"> </w:t>
            </w:r>
            <w:r w:rsidRPr="000E61EB">
              <w:rPr>
                <w:b/>
                <w:lang w:eastAsia="en-US"/>
              </w:rPr>
              <w:t xml:space="preserve">v </w:t>
            </w:r>
            <w:r w:rsidRPr="000E61EB">
              <w:rPr>
                <w:b/>
                <w:spacing w:val="-1"/>
                <w:lang w:eastAsia="en-US"/>
              </w:rPr>
              <w:t>mieste</w:t>
            </w:r>
            <w:r w:rsidRPr="000E61EB">
              <w:rPr>
                <w:b/>
                <w:lang w:eastAsia="en-US"/>
              </w:rPr>
              <w:t xml:space="preserve"> </w:t>
            </w:r>
            <w:r w:rsidRPr="000E61EB">
              <w:rPr>
                <w:b/>
                <w:spacing w:val="-1"/>
                <w:lang w:eastAsia="en-US"/>
              </w:rPr>
              <w:t>podania</w:t>
            </w:r>
          </w:p>
        </w:tc>
      </w:tr>
      <w:tr w:rsidR="00D73B32" w:rsidRPr="000E61EB" w14:paraId="49A10CD0" w14:textId="77777777" w:rsidTr="00531A38">
        <w:trPr>
          <w:trHeight w:hRule="exact" w:val="264"/>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tcPr>
          <w:p w14:paraId="37962AFA" w14:textId="77777777" w:rsidR="00D73B32" w:rsidRPr="000E61EB" w:rsidRDefault="00D73B32" w:rsidP="00791DC6">
            <w:pPr>
              <w:pStyle w:val="Bezriadkovania"/>
              <w:widowControl w:val="0"/>
              <w:rPr>
                <w:rFonts w:eastAsia="Times New Roman"/>
                <w:lang w:eastAsia="en-US"/>
              </w:rPr>
            </w:pPr>
            <w:r w:rsidRPr="000E61EB">
              <w:rPr>
                <w:lang w:eastAsia="en-US"/>
              </w:rPr>
              <w:t>Časté</w:t>
            </w:r>
          </w:p>
        </w:tc>
        <w:tc>
          <w:tcPr>
            <w:tcW w:w="5592" w:type="dxa"/>
            <w:tcBorders>
              <w:top w:val="single" w:sz="5" w:space="0" w:color="000000"/>
              <w:left w:val="single" w:sz="5" w:space="0" w:color="000000"/>
              <w:bottom w:val="single" w:sz="5" w:space="0" w:color="000000"/>
              <w:right w:val="single" w:sz="5" w:space="0" w:color="000000"/>
            </w:tcBorders>
            <w:shd w:val="clear" w:color="auto" w:fill="auto"/>
          </w:tcPr>
          <w:p w14:paraId="16FB816E" w14:textId="77777777" w:rsidR="00D73B32" w:rsidRPr="000E61EB" w:rsidRDefault="00D73B32" w:rsidP="00791DC6">
            <w:pPr>
              <w:pStyle w:val="Bezriadkovania"/>
              <w:widowControl w:val="0"/>
              <w:rPr>
                <w:rFonts w:eastAsia="Times New Roman"/>
                <w:lang w:eastAsia="en-US"/>
              </w:rPr>
            </w:pPr>
            <w:r w:rsidRPr="000E61EB">
              <w:rPr>
                <w:spacing w:val="-1"/>
                <w:lang w:eastAsia="en-US"/>
              </w:rPr>
              <w:t>únava,</w:t>
            </w:r>
            <w:r w:rsidRPr="000E61EB">
              <w:rPr>
                <w:lang w:eastAsia="en-US"/>
              </w:rPr>
              <w:t xml:space="preserve"> </w:t>
            </w:r>
            <w:r w:rsidRPr="000E61EB">
              <w:rPr>
                <w:spacing w:val="-1"/>
                <w:lang w:eastAsia="en-US"/>
              </w:rPr>
              <w:t>periférny</w:t>
            </w:r>
            <w:r w:rsidRPr="000E61EB">
              <w:rPr>
                <w:spacing w:val="-3"/>
                <w:lang w:eastAsia="en-US"/>
              </w:rPr>
              <w:t xml:space="preserve"> </w:t>
            </w:r>
            <w:r w:rsidRPr="000E61EB">
              <w:rPr>
                <w:lang w:eastAsia="en-US"/>
              </w:rPr>
              <w:t>opuch</w:t>
            </w:r>
          </w:p>
        </w:tc>
      </w:tr>
      <w:tr w:rsidR="00EE1167" w:rsidRPr="00EE1167" w14:paraId="2DAABA5D" w14:textId="77777777" w:rsidTr="00C57895">
        <w:trPr>
          <w:trHeight w:hRule="exact" w:val="743"/>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tcPr>
          <w:p w14:paraId="1015415B" w14:textId="77777777" w:rsidR="00EE1167" w:rsidRPr="00EE1167" w:rsidRDefault="00EE1167" w:rsidP="00EE1167">
            <w:pPr>
              <w:pStyle w:val="Bezriadkovania"/>
              <w:widowControl w:val="0"/>
              <w:rPr>
                <w:lang w:eastAsia="en-US"/>
              </w:rPr>
            </w:pPr>
            <w:r>
              <w:rPr>
                <w:lang w:val="en-US" w:eastAsia="en-US"/>
              </w:rPr>
              <w:t>Neznáme</w:t>
            </w:r>
          </w:p>
        </w:tc>
        <w:tc>
          <w:tcPr>
            <w:tcW w:w="5592" w:type="dxa"/>
            <w:tcBorders>
              <w:top w:val="single" w:sz="5" w:space="0" w:color="000000"/>
              <w:left w:val="single" w:sz="5" w:space="0" w:color="000000"/>
              <w:bottom w:val="single" w:sz="5" w:space="0" w:color="000000"/>
              <w:right w:val="single" w:sz="5" w:space="0" w:color="000000"/>
            </w:tcBorders>
            <w:shd w:val="clear" w:color="auto" w:fill="auto"/>
          </w:tcPr>
          <w:p w14:paraId="1A78F70F" w14:textId="77777777" w:rsidR="00EE1167" w:rsidRPr="00EE1167" w:rsidRDefault="00EE1167" w:rsidP="00EE1167">
            <w:pPr>
              <w:pStyle w:val="Bezriadkovania"/>
              <w:widowControl w:val="0"/>
              <w:rPr>
                <w:spacing w:val="-1"/>
                <w:lang w:eastAsia="en-US"/>
              </w:rPr>
            </w:pPr>
            <w:r w:rsidRPr="00051ECC">
              <w:rPr>
                <w:spacing w:val="-1"/>
                <w:lang w:val="en-US" w:eastAsia="en-US"/>
              </w:rPr>
              <w:t>abstinen</w:t>
            </w:r>
            <w:r>
              <w:rPr>
                <w:spacing w:val="-1"/>
                <w:lang w:val="en-US" w:eastAsia="en-US"/>
              </w:rPr>
              <w:t xml:space="preserve">čný syndróm spôsobený vysadením </w:t>
            </w:r>
            <w:r w:rsidRPr="00051ECC">
              <w:rPr>
                <w:spacing w:val="-1"/>
                <w:lang w:val="en-US" w:eastAsia="en-US"/>
              </w:rPr>
              <w:t>dopamínového agonistu zahŕňajúci apatiu, úzkosť, depresiu, únavu, potenie a bolesť</w:t>
            </w:r>
          </w:p>
        </w:tc>
      </w:tr>
      <w:tr w:rsidR="00D73B32" w:rsidRPr="000E61EB" w14:paraId="2A661244" w14:textId="77777777" w:rsidTr="00531A38">
        <w:trPr>
          <w:trHeight w:hRule="exact" w:val="264"/>
          <w:jc w:val="center"/>
        </w:trPr>
        <w:tc>
          <w:tcPr>
            <w:tcW w:w="8748" w:type="dxa"/>
            <w:gridSpan w:val="2"/>
            <w:tcBorders>
              <w:top w:val="single" w:sz="5" w:space="0" w:color="000000"/>
              <w:left w:val="single" w:sz="5" w:space="0" w:color="000000"/>
              <w:bottom w:val="single" w:sz="5" w:space="0" w:color="000000"/>
              <w:right w:val="single" w:sz="5" w:space="0" w:color="000000"/>
            </w:tcBorders>
            <w:shd w:val="clear" w:color="auto" w:fill="auto"/>
          </w:tcPr>
          <w:p w14:paraId="427555B6" w14:textId="77777777" w:rsidR="00D73B32" w:rsidRPr="000E61EB" w:rsidRDefault="00D73B32" w:rsidP="00791DC6">
            <w:pPr>
              <w:pStyle w:val="Bezriadkovania"/>
              <w:widowControl w:val="0"/>
              <w:rPr>
                <w:rFonts w:eastAsia="Times New Roman"/>
                <w:b/>
                <w:lang w:eastAsia="en-US"/>
              </w:rPr>
            </w:pPr>
            <w:r w:rsidRPr="000E61EB">
              <w:rPr>
                <w:b/>
                <w:spacing w:val="-1"/>
                <w:lang w:eastAsia="en-US"/>
              </w:rPr>
              <w:t>Laborátórne</w:t>
            </w:r>
            <w:r w:rsidRPr="000E61EB">
              <w:rPr>
                <w:b/>
                <w:lang w:eastAsia="en-US"/>
              </w:rPr>
              <w:t xml:space="preserve"> a</w:t>
            </w:r>
            <w:r w:rsidRPr="000E61EB">
              <w:rPr>
                <w:b/>
                <w:spacing w:val="-2"/>
                <w:lang w:eastAsia="en-US"/>
              </w:rPr>
              <w:t xml:space="preserve"> </w:t>
            </w:r>
            <w:r w:rsidRPr="000E61EB">
              <w:rPr>
                <w:b/>
                <w:spacing w:val="-1"/>
                <w:lang w:eastAsia="en-US"/>
              </w:rPr>
              <w:t>funkčné</w:t>
            </w:r>
            <w:r w:rsidRPr="000E61EB">
              <w:rPr>
                <w:b/>
                <w:lang w:eastAsia="en-US"/>
              </w:rPr>
              <w:t xml:space="preserve"> </w:t>
            </w:r>
            <w:r w:rsidRPr="000E61EB">
              <w:rPr>
                <w:b/>
                <w:spacing w:val="-1"/>
                <w:lang w:eastAsia="en-US"/>
              </w:rPr>
              <w:t>vyšetrenia</w:t>
            </w:r>
          </w:p>
        </w:tc>
      </w:tr>
      <w:tr w:rsidR="00D73B32" w:rsidRPr="000E61EB" w14:paraId="1AB6073A" w14:textId="77777777" w:rsidTr="00531A38">
        <w:trPr>
          <w:trHeight w:hRule="exact" w:val="262"/>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tcPr>
          <w:p w14:paraId="28D78ACE" w14:textId="77777777" w:rsidR="00D73B32" w:rsidRPr="000E61EB" w:rsidRDefault="00D73B32" w:rsidP="00791DC6">
            <w:pPr>
              <w:pStyle w:val="Bezriadkovania"/>
              <w:widowControl w:val="0"/>
              <w:rPr>
                <w:rFonts w:eastAsia="Times New Roman"/>
                <w:lang w:eastAsia="en-US"/>
              </w:rPr>
            </w:pPr>
            <w:r w:rsidRPr="000E61EB">
              <w:rPr>
                <w:lang w:eastAsia="en-US"/>
              </w:rPr>
              <w:t>Časté</w:t>
            </w:r>
          </w:p>
        </w:tc>
        <w:tc>
          <w:tcPr>
            <w:tcW w:w="5592" w:type="dxa"/>
            <w:tcBorders>
              <w:top w:val="single" w:sz="5" w:space="0" w:color="000000"/>
              <w:left w:val="single" w:sz="5" w:space="0" w:color="000000"/>
              <w:bottom w:val="single" w:sz="5" w:space="0" w:color="000000"/>
              <w:right w:val="single" w:sz="5" w:space="0" w:color="000000"/>
            </w:tcBorders>
            <w:shd w:val="clear" w:color="auto" w:fill="auto"/>
          </w:tcPr>
          <w:p w14:paraId="6FF4BAFA" w14:textId="77777777" w:rsidR="00D73B32" w:rsidRPr="000E61EB" w:rsidRDefault="00D73B32" w:rsidP="00791DC6">
            <w:pPr>
              <w:pStyle w:val="Bezriadkovania"/>
              <w:widowControl w:val="0"/>
              <w:rPr>
                <w:rFonts w:eastAsia="Times New Roman"/>
                <w:lang w:eastAsia="en-US"/>
              </w:rPr>
            </w:pPr>
            <w:r w:rsidRPr="000E61EB">
              <w:rPr>
                <w:spacing w:val="-1"/>
                <w:lang w:eastAsia="en-US"/>
              </w:rPr>
              <w:t>zníženie</w:t>
            </w:r>
            <w:r w:rsidRPr="000E61EB">
              <w:rPr>
                <w:lang w:eastAsia="en-US"/>
              </w:rPr>
              <w:t xml:space="preserve"> </w:t>
            </w:r>
            <w:r w:rsidRPr="000E61EB">
              <w:rPr>
                <w:spacing w:val="-1"/>
                <w:lang w:eastAsia="en-US"/>
              </w:rPr>
              <w:t>telesnej</w:t>
            </w:r>
            <w:r w:rsidRPr="000E61EB">
              <w:rPr>
                <w:spacing w:val="1"/>
                <w:lang w:eastAsia="en-US"/>
              </w:rPr>
              <w:t xml:space="preserve"> </w:t>
            </w:r>
            <w:r w:rsidRPr="000E61EB">
              <w:rPr>
                <w:spacing w:val="-1"/>
                <w:lang w:eastAsia="en-US"/>
              </w:rPr>
              <w:t>hmotnosti</w:t>
            </w:r>
            <w:r w:rsidRPr="000E61EB">
              <w:rPr>
                <w:spacing w:val="-3"/>
                <w:lang w:eastAsia="en-US"/>
              </w:rPr>
              <w:t xml:space="preserve"> </w:t>
            </w:r>
            <w:r w:rsidRPr="000E61EB">
              <w:rPr>
                <w:spacing w:val="-1"/>
                <w:lang w:eastAsia="en-US"/>
              </w:rPr>
              <w:t>vrátane</w:t>
            </w:r>
            <w:r w:rsidRPr="000E61EB">
              <w:rPr>
                <w:lang w:eastAsia="en-US"/>
              </w:rPr>
              <w:t xml:space="preserve"> </w:t>
            </w:r>
            <w:r w:rsidRPr="000E61EB">
              <w:rPr>
                <w:spacing w:val="-1"/>
                <w:lang w:eastAsia="en-US"/>
              </w:rPr>
              <w:t>zníženej</w:t>
            </w:r>
            <w:r w:rsidRPr="000E61EB">
              <w:rPr>
                <w:spacing w:val="1"/>
                <w:lang w:eastAsia="en-US"/>
              </w:rPr>
              <w:t xml:space="preserve"> </w:t>
            </w:r>
            <w:r w:rsidRPr="000E61EB">
              <w:rPr>
                <w:spacing w:val="-1"/>
                <w:lang w:eastAsia="en-US"/>
              </w:rPr>
              <w:t>chuti</w:t>
            </w:r>
            <w:r w:rsidRPr="000E61EB">
              <w:rPr>
                <w:spacing w:val="1"/>
                <w:lang w:eastAsia="en-US"/>
              </w:rPr>
              <w:t xml:space="preserve"> </w:t>
            </w:r>
            <w:r w:rsidRPr="000E61EB">
              <w:rPr>
                <w:lang w:eastAsia="en-US"/>
              </w:rPr>
              <w:t>do</w:t>
            </w:r>
            <w:r w:rsidRPr="000E61EB">
              <w:rPr>
                <w:spacing w:val="-4"/>
                <w:lang w:eastAsia="en-US"/>
              </w:rPr>
              <w:t xml:space="preserve"> </w:t>
            </w:r>
            <w:r w:rsidRPr="000E61EB">
              <w:rPr>
                <w:lang w:eastAsia="en-US"/>
              </w:rPr>
              <w:t>jedla</w:t>
            </w:r>
          </w:p>
        </w:tc>
      </w:tr>
      <w:tr w:rsidR="00D73B32" w:rsidRPr="000E61EB" w14:paraId="69D8FDBD" w14:textId="77777777" w:rsidTr="00531A38">
        <w:trPr>
          <w:trHeight w:hRule="exact" w:val="264"/>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tcPr>
          <w:p w14:paraId="54400008" w14:textId="77777777" w:rsidR="00D73B32" w:rsidRPr="000E61EB" w:rsidRDefault="00D73B32" w:rsidP="00791DC6">
            <w:pPr>
              <w:pStyle w:val="Bezriadkovania"/>
              <w:widowControl w:val="0"/>
              <w:rPr>
                <w:rFonts w:eastAsia="Times New Roman"/>
                <w:lang w:eastAsia="en-US"/>
              </w:rPr>
            </w:pPr>
            <w:r w:rsidRPr="000E61EB">
              <w:rPr>
                <w:spacing w:val="-1"/>
                <w:lang w:eastAsia="en-US"/>
              </w:rPr>
              <w:t>Menej</w:t>
            </w:r>
            <w:r w:rsidRPr="000E61EB">
              <w:rPr>
                <w:spacing w:val="1"/>
                <w:lang w:eastAsia="en-US"/>
              </w:rPr>
              <w:t xml:space="preserve"> </w:t>
            </w:r>
            <w:r w:rsidRPr="000E61EB">
              <w:rPr>
                <w:spacing w:val="-1"/>
                <w:lang w:eastAsia="en-US"/>
              </w:rPr>
              <w:t>časté</w:t>
            </w:r>
          </w:p>
        </w:tc>
        <w:tc>
          <w:tcPr>
            <w:tcW w:w="5592" w:type="dxa"/>
            <w:tcBorders>
              <w:top w:val="single" w:sz="5" w:space="0" w:color="000000"/>
              <w:left w:val="single" w:sz="5" w:space="0" w:color="000000"/>
              <w:bottom w:val="single" w:sz="5" w:space="0" w:color="000000"/>
              <w:right w:val="single" w:sz="5" w:space="0" w:color="000000"/>
            </w:tcBorders>
            <w:shd w:val="clear" w:color="auto" w:fill="auto"/>
          </w:tcPr>
          <w:p w14:paraId="364E0315" w14:textId="77777777" w:rsidR="00D73B32" w:rsidRPr="000E61EB" w:rsidRDefault="00D73B32" w:rsidP="00791DC6">
            <w:pPr>
              <w:pStyle w:val="Bezriadkovania"/>
              <w:widowControl w:val="0"/>
              <w:rPr>
                <w:rFonts w:eastAsia="Times New Roman"/>
                <w:lang w:eastAsia="en-US"/>
              </w:rPr>
            </w:pPr>
            <w:r w:rsidRPr="000E61EB">
              <w:rPr>
                <w:spacing w:val="-1"/>
                <w:lang w:eastAsia="en-US"/>
              </w:rPr>
              <w:t>zvýšenie</w:t>
            </w:r>
            <w:r w:rsidRPr="000E61EB">
              <w:rPr>
                <w:lang w:eastAsia="en-US"/>
              </w:rPr>
              <w:t xml:space="preserve"> </w:t>
            </w:r>
            <w:r w:rsidRPr="000E61EB">
              <w:rPr>
                <w:spacing w:val="-1"/>
                <w:lang w:eastAsia="en-US"/>
              </w:rPr>
              <w:t>telesnej</w:t>
            </w:r>
            <w:r w:rsidRPr="000E61EB">
              <w:rPr>
                <w:spacing w:val="1"/>
                <w:lang w:eastAsia="en-US"/>
              </w:rPr>
              <w:t xml:space="preserve"> </w:t>
            </w:r>
            <w:r w:rsidRPr="000E61EB">
              <w:rPr>
                <w:spacing w:val="-1"/>
                <w:lang w:eastAsia="en-US"/>
              </w:rPr>
              <w:t>hmotnosti</w:t>
            </w:r>
          </w:p>
        </w:tc>
      </w:tr>
    </w:tbl>
    <w:p w14:paraId="448B35F1" w14:textId="77777777" w:rsidR="00301345" w:rsidRPr="000E61EB" w:rsidRDefault="00301345" w:rsidP="000E4AFD">
      <w:pPr>
        <w:pStyle w:val="Bezriadkovania"/>
        <w:rPr>
          <w:sz w:val="20"/>
          <w:szCs w:val="20"/>
        </w:rPr>
      </w:pPr>
      <w:r w:rsidRPr="000E61EB">
        <w:rPr>
          <w:sz w:val="20"/>
          <w:szCs w:val="20"/>
          <w:vertAlign w:val="superscript"/>
        </w:rPr>
        <w:t>1</w:t>
      </w:r>
      <w:r w:rsidRPr="000E61EB">
        <w:rPr>
          <w:sz w:val="20"/>
          <w:szCs w:val="20"/>
        </w:rPr>
        <w:t xml:space="preserve"> Tento nežiaduci účinok sa zistil na základe skúseností po uvedení lieku na trh. S 95 % istotou nie je kategória frekvencie výskytu vyššia ako menej častá, ale môže to byť aj menej. Presné stanovenie frekvencie </w:t>
      </w:r>
      <w:r w:rsidRPr="000E61EB">
        <w:rPr>
          <w:sz w:val="20"/>
          <w:szCs w:val="20"/>
        </w:rPr>
        <w:lastRenderedPageBreak/>
        <w:t>výskytu nie je možné, keďže nežiaduci účinok sa nevyskytol v databáze 2762 pacientov klinickej štúdie, ktorí trpeli Parkinsonovou chorobou a boli liečení pramipexolom.</w:t>
      </w:r>
    </w:p>
    <w:p w14:paraId="2BA1492D" w14:textId="77777777" w:rsidR="00501C1A" w:rsidRPr="000E61EB" w:rsidRDefault="00501C1A" w:rsidP="009553A8">
      <w:pPr>
        <w:tabs>
          <w:tab w:val="left" w:pos="567"/>
        </w:tabs>
        <w:spacing w:line="260" w:lineRule="exact"/>
        <w:rPr>
          <w:rFonts w:eastAsia="Times New Roman"/>
          <w:color w:val="000000"/>
          <w:u w:val="single"/>
          <w:lang w:eastAsia="es-ES"/>
        </w:rPr>
      </w:pPr>
    </w:p>
    <w:p w14:paraId="65810907" w14:textId="77777777" w:rsidR="00301345" w:rsidRPr="000E61EB" w:rsidRDefault="00301345" w:rsidP="009553A8">
      <w:pPr>
        <w:tabs>
          <w:tab w:val="left" w:pos="567"/>
        </w:tabs>
        <w:spacing w:line="260" w:lineRule="exact"/>
        <w:rPr>
          <w:spacing w:val="-1"/>
          <w:u w:val="single"/>
        </w:rPr>
      </w:pPr>
      <w:r w:rsidRPr="000E61EB">
        <w:rPr>
          <w:rFonts w:eastAsia="Times New Roman"/>
          <w:color w:val="000000"/>
          <w:u w:val="single"/>
          <w:lang w:eastAsia="es-ES"/>
        </w:rPr>
        <w:t>S</w:t>
      </w:r>
      <w:r w:rsidRPr="000E61EB">
        <w:rPr>
          <w:spacing w:val="-1"/>
          <w:u w:val="single"/>
        </w:rPr>
        <w:t>omnolencia</w:t>
      </w:r>
    </w:p>
    <w:p w14:paraId="22444EE6" w14:textId="77777777" w:rsidR="00301345" w:rsidRPr="000E61EB" w:rsidRDefault="00301345" w:rsidP="009553A8">
      <w:pPr>
        <w:tabs>
          <w:tab w:val="left" w:pos="567"/>
        </w:tabs>
        <w:spacing w:line="260" w:lineRule="exact"/>
        <w:rPr>
          <w:spacing w:val="-1"/>
        </w:rPr>
      </w:pPr>
      <w:r w:rsidRPr="000E61EB">
        <w:rPr>
          <w:spacing w:val="-1"/>
        </w:rPr>
        <w:t>Liečba pramipexolom je často spojená so somnolenciou a menej často je spojená s nadmernou ospalosťou počas dňa a epizódami náhleho upadnutia do spánku (pozri tiež časť 4.4).</w:t>
      </w:r>
    </w:p>
    <w:p w14:paraId="3193A2F9" w14:textId="77777777" w:rsidR="00301345" w:rsidRPr="000E61EB" w:rsidRDefault="00301345" w:rsidP="009553A8">
      <w:pPr>
        <w:tabs>
          <w:tab w:val="left" w:pos="567"/>
        </w:tabs>
        <w:spacing w:line="260" w:lineRule="exact"/>
        <w:rPr>
          <w:spacing w:val="-1"/>
        </w:rPr>
      </w:pPr>
    </w:p>
    <w:p w14:paraId="07E006FF" w14:textId="77777777" w:rsidR="00301345" w:rsidRPr="000E61EB" w:rsidRDefault="00301345" w:rsidP="009553A8">
      <w:pPr>
        <w:tabs>
          <w:tab w:val="left" w:pos="567"/>
        </w:tabs>
        <w:spacing w:line="260" w:lineRule="exact"/>
        <w:rPr>
          <w:spacing w:val="-1"/>
          <w:u w:val="single"/>
        </w:rPr>
      </w:pPr>
      <w:r w:rsidRPr="000E61EB">
        <w:rPr>
          <w:spacing w:val="-1"/>
          <w:u w:val="single"/>
        </w:rPr>
        <w:t>Poruchy libida</w:t>
      </w:r>
    </w:p>
    <w:p w14:paraId="387924A0" w14:textId="77777777" w:rsidR="00301345" w:rsidRPr="000E61EB" w:rsidRDefault="00301345" w:rsidP="009553A8">
      <w:pPr>
        <w:tabs>
          <w:tab w:val="left" w:pos="567"/>
        </w:tabs>
        <w:spacing w:line="260" w:lineRule="exact"/>
        <w:rPr>
          <w:spacing w:val="-1"/>
        </w:rPr>
      </w:pPr>
      <w:r w:rsidRPr="000E61EB">
        <w:rPr>
          <w:spacing w:val="-1"/>
        </w:rPr>
        <w:t>Pramipexol sa môže menej často spájať s poruchami libida (zvýšenie alebo zníženie).</w:t>
      </w:r>
    </w:p>
    <w:p w14:paraId="1A7EEC9D" w14:textId="77777777" w:rsidR="009553A8" w:rsidRPr="000E61EB" w:rsidRDefault="009553A8" w:rsidP="009553A8">
      <w:pPr>
        <w:tabs>
          <w:tab w:val="left" w:pos="567"/>
        </w:tabs>
        <w:spacing w:line="260" w:lineRule="exact"/>
        <w:rPr>
          <w:spacing w:val="-1"/>
        </w:rPr>
      </w:pPr>
    </w:p>
    <w:p w14:paraId="1247F863" w14:textId="77777777" w:rsidR="00301345" w:rsidRPr="000E61EB" w:rsidRDefault="00301345" w:rsidP="009553A8">
      <w:pPr>
        <w:tabs>
          <w:tab w:val="left" w:pos="567"/>
        </w:tabs>
        <w:spacing w:line="260" w:lineRule="exact"/>
        <w:rPr>
          <w:spacing w:val="-1"/>
          <w:u w:val="single"/>
        </w:rPr>
      </w:pPr>
      <w:r w:rsidRPr="000E61EB">
        <w:rPr>
          <w:spacing w:val="-1"/>
          <w:u w:val="single"/>
        </w:rPr>
        <w:t>Poruchy kontroly impulzov</w:t>
      </w:r>
    </w:p>
    <w:p w14:paraId="6E10AE07" w14:textId="77777777" w:rsidR="00301345" w:rsidRPr="000E61EB" w:rsidRDefault="00301345" w:rsidP="009553A8">
      <w:pPr>
        <w:tabs>
          <w:tab w:val="left" w:pos="567"/>
        </w:tabs>
        <w:spacing w:line="260" w:lineRule="exact"/>
        <w:rPr>
          <w:spacing w:val="-1"/>
        </w:rPr>
      </w:pPr>
      <w:r w:rsidRPr="000E61EB">
        <w:rPr>
          <w:spacing w:val="-1"/>
        </w:rPr>
        <w:t>U pacientov liečených agonistami dopamínu, vrátane Pramipexolu Teva, sa môžu vyskytnúť patologické hráčstvo, zvýšené libido a hypersexualitu, chorobné miňanie alebo nakupovanie, nenasytné jedenie a chorobné jedenie (pozri časť 4.4).</w:t>
      </w:r>
    </w:p>
    <w:p w14:paraId="10F12800" w14:textId="77777777" w:rsidR="0066429A" w:rsidRPr="000E61EB" w:rsidRDefault="0066429A" w:rsidP="009553A8">
      <w:pPr>
        <w:tabs>
          <w:tab w:val="left" w:pos="567"/>
        </w:tabs>
        <w:spacing w:line="260" w:lineRule="exact"/>
        <w:rPr>
          <w:spacing w:val="-1"/>
        </w:rPr>
      </w:pPr>
    </w:p>
    <w:p w14:paraId="0E983962" w14:textId="77777777" w:rsidR="00301345" w:rsidRPr="000E61EB" w:rsidRDefault="00301345" w:rsidP="009553A8">
      <w:pPr>
        <w:tabs>
          <w:tab w:val="left" w:pos="567"/>
        </w:tabs>
        <w:spacing w:line="260" w:lineRule="exact"/>
        <w:rPr>
          <w:spacing w:val="-1"/>
        </w:rPr>
      </w:pPr>
      <w:r w:rsidRPr="000E61EB">
        <w:rPr>
          <w:spacing w:val="-1"/>
        </w:rPr>
        <w:t>V prierezovej, retrospektívnej, skríningovej a prípadovej kontrolovanej štúdii zahŕňajúcej 3 090 pacientov s Parkinsonovou chorobou sa zistilo, že 13,6 % zo všetkých pacientov, ktorí boli liečení dopamínergnými alebo inými než dopamínergnými liekmi, malo počas ostatných šiestich mesiacov príznaky impulzívnej poruchy. Medzi pozorované prejavy patrili patologické hráčstvo, kompulzívne nakupovanie, prejedanie sa a kompulzívne sexuálne správanie (hypersexualita). Možné nezávislé rizikové faktory vzniku impulzívnych porúch zahŕňali dopamínergné lieky a vyššie dávky dopamínergných liekov, mladší vek (</w:t>
      </w:r>
      <w:r w:rsidRPr="00D51176">
        <w:rPr>
          <w:spacing w:val="-1"/>
        </w:rPr>
        <w:sym w:font="Symbol" w:char="F0A3"/>
      </w:r>
      <w:r w:rsidRPr="00D51176">
        <w:rPr>
          <w:spacing w:val="-1"/>
        </w:rPr>
        <w:t> 65 rokov), rodinný stav </w:t>
      </w:r>
      <w:r w:rsidRPr="00D51176">
        <w:rPr>
          <w:spacing w:val="-1"/>
        </w:rPr>
        <w:noBreakHyphen/>
        <w:t> slobodný a pacientom hlásené patologické hráčstvo v rodinnej</w:t>
      </w:r>
      <w:r w:rsidRPr="000E61EB">
        <w:rPr>
          <w:spacing w:val="-1"/>
        </w:rPr>
        <w:t xml:space="preserve"> anamnéze.</w:t>
      </w:r>
    </w:p>
    <w:p w14:paraId="00DE0C9E" w14:textId="77777777" w:rsidR="009553A8" w:rsidRPr="000E61EB" w:rsidRDefault="009553A8" w:rsidP="009553A8">
      <w:pPr>
        <w:tabs>
          <w:tab w:val="left" w:pos="567"/>
        </w:tabs>
        <w:spacing w:line="260" w:lineRule="exact"/>
        <w:rPr>
          <w:spacing w:val="-1"/>
        </w:rPr>
      </w:pPr>
    </w:p>
    <w:p w14:paraId="09BC594E" w14:textId="77777777" w:rsidR="00EE1167" w:rsidRPr="00843FEF" w:rsidRDefault="00EE1167" w:rsidP="00EE1167">
      <w:pPr>
        <w:tabs>
          <w:tab w:val="left" w:pos="567"/>
        </w:tabs>
        <w:spacing w:line="260" w:lineRule="exact"/>
        <w:rPr>
          <w:spacing w:val="-1"/>
          <w:u w:val="single"/>
        </w:rPr>
      </w:pPr>
      <w:r w:rsidRPr="00843FEF">
        <w:rPr>
          <w:spacing w:val="-1"/>
          <w:u w:val="single"/>
        </w:rPr>
        <w:t>Abstinenčný syndróm spôsobený vysadením dopamínového agonistu</w:t>
      </w:r>
    </w:p>
    <w:p w14:paraId="19BABECF" w14:textId="1C7A53FC" w:rsidR="00EE1167" w:rsidRPr="009553A8" w:rsidRDefault="00EE1167" w:rsidP="00EE1167">
      <w:pPr>
        <w:tabs>
          <w:tab w:val="left" w:pos="567"/>
        </w:tabs>
        <w:spacing w:line="260" w:lineRule="exact"/>
        <w:rPr>
          <w:spacing w:val="-1"/>
        </w:rPr>
      </w:pPr>
      <w:r w:rsidRPr="00051ECC">
        <w:rPr>
          <w:spacing w:val="-1"/>
        </w:rPr>
        <w:t xml:space="preserve">Pri znižovaní dávky alebo </w:t>
      </w:r>
      <w:r w:rsidR="00AA0AC2">
        <w:rPr>
          <w:spacing w:val="-1"/>
        </w:rPr>
        <w:t>ukončení</w:t>
      </w:r>
      <w:r w:rsidRPr="00051ECC">
        <w:rPr>
          <w:spacing w:val="-1"/>
        </w:rPr>
        <w:t xml:space="preserve"> podávania dopamínových agonistov</w:t>
      </w:r>
      <w:r w:rsidR="00AA0AC2">
        <w:rPr>
          <w:spacing w:val="-1"/>
        </w:rPr>
        <w:t>,</w:t>
      </w:r>
      <w:r w:rsidRPr="00051ECC">
        <w:rPr>
          <w:spacing w:val="-1"/>
        </w:rPr>
        <w:t xml:space="preserve"> vrátane pramipexolu</w:t>
      </w:r>
      <w:r w:rsidR="00AA0AC2">
        <w:rPr>
          <w:spacing w:val="-1"/>
        </w:rPr>
        <w:t>,</w:t>
      </w:r>
      <w:r w:rsidRPr="00051ECC">
        <w:rPr>
          <w:spacing w:val="-1"/>
        </w:rPr>
        <w:t xml:space="preserve"> sa môžu vyskytnúť iné ako motorické nežiaduce účinky. Príznaky zahŕňajú apatiu, úzkosť, depresiu, únavu, potenie a bolesť (pozri časť 4.4).</w:t>
      </w:r>
    </w:p>
    <w:p w14:paraId="2C36CAE4" w14:textId="77777777" w:rsidR="00EE1167" w:rsidRPr="00447612" w:rsidRDefault="00EE1167" w:rsidP="009553A8">
      <w:pPr>
        <w:tabs>
          <w:tab w:val="left" w:pos="567"/>
        </w:tabs>
        <w:spacing w:line="260" w:lineRule="exact"/>
        <w:rPr>
          <w:spacing w:val="-1"/>
        </w:rPr>
      </w:pPr>
    </w:p>
    <w:p w14:paraId="6196BCB9" w14:textId="77777777" w:rsidR="000E4AFD" w:rsidRPr="000E61EB" w:rsidRDefault="000E4AFD" w:rsidP="009553A8">
      <w:pPr>
        <w:tabs>
          <w:tab w:val="left" w:pos="567"/>
        </w:tabs>
        <w:spacing w:line="260" w:lineRule="exact"/>
        <w:rPr>
          <w:spacing w:val="-1"/>
          <w:u w:val="single"/>
        </w:rPr>
      </w:pPr>
      <w:r w:rsidRPr="000E61EB">
        <w:rPr>
          <w:spacing w:val="-1"/>
          <w:u w:val="single"/>
        </w:rPr>
        <w:t>Srdcové zlyhanie</w:t>
      </w:r>
    </w:p>
    <w:p w14:paraId="6ED2EF4E" w14:textId="77777777" w:rsidR="000E4AFD" w:rsidRPr="000E61EB" w:rsidRDefault="000E4AFD" w:rsidP="009553A8">
      <w:pPr>
        <w:tabs>
          <w:tab w:val="left" w:pos="567"/>
        </w:tabs>
        <w:spacing w:line="260" w:lineRule="exact"/>
        <w:rPr>
          <w:spacing w:val="-1"/>
        </w:rPr>
      </w:pPr>
      <w:r w:rsidRPr="000E61EB">
        <w:rPr>
          <w:spacing w:val="-1"/>
        </w:rPr>
        <w:t>V klinických štúdiách a na základe skúseností po uvedení lieku na trh u pacientov liečených</w:t>
      </w:r>
    </w:p>
    <w:p w14:paraId="2D33706F" w14:textId="77777777" w:rsidR="000E4AFD" w:rsidRPr="000E61EB" w:rsidRDefault="000E4AFD" w:rsidP="009553A8">
      <w:pPr>
        <w:tabs>
          <w:tab w:val="left" w:pos="567"/>
        </w:tabs>
        <w:spacing w:line="260" w:lineRule="exact"/>
        <w:rPr>
          <w:spacing w:val="-1"/>
        </w:rPr>
      </w:pPr>
      <w:r w:rsidRPr="000E61EB">
        <w:rPr>
          <w:spacing w:val="-1"/>
        </w:rPr>
        <w:t>pramipexolom bolo hlásené srdcové zlyhanie. Vo farmakoepidemiologickej štúdii sa užívanie</w:t>
      </w:r>
    </w:p>
    <w:p w14:paraId="296D17C9" w14:textId="77777777" w:rsidR="000E4AFD" w:rsidRPr="000E61EB" w:rsidRDefault="000E4AFD" w:rsidP="009553A8">
      <w:pPr>
        <w:tabs>
          <w:tab w:val="left" w:pos="567"/>
        </w:tabs>
        <w:spacing w:line="260" w:lineRule="exact"/>
        <w:rPr>
          <w:spacing w:val="-1"/>
        </w:rPr>
      </w:pPr>
      <w:r w:rsidRPr="000E61EB">
        <w:rPr>
          <w:spacing w:val="-1"/>
        </w:rPr>
        <w:t xml:space="preserve">pramipexolu spájalo so zvýšeným rizikom výskytu srdcového zlyhania </w:t>
      </w:r>
      <w:r w:rsidR="0066429A" w:rsidRPr="000E61EB">
        <w:rPr>
          <w:spacing w:val="-1"/>
        </w:rPr>
        <w:t xml:space="preserve">v porovnaní s pacientami, ktorí </w:t>
      </w:r>
      <w:r w:rsidRPr="000E61EB">
        <w:rPr>
          <w:spacing w:val="-1"/>
        </w:rPr>
        <w:t>neužívali pramipexol (zistená miera rizika 1,86; 95 % Cl, 1,21-2,85).</w:t>
      </w:r>
    </w:p>
    <w:p w14:paraId="59363C1B" w14:textId="77777777" w:rsidR="000E4AFD" w:rsidRPr="000E61EB" w:rsidRDefault="000E4AFD" w:rsidP="009553A8">
      <w:pPr>
        <w:tabs>
          <w:tab w:val="left" w:pos="567"/>
        </w:tabs>
        <w:spacing w:line="260" w:lineRule="exact"/>
        <w:rPr>
          <w:spacing w:val="-1"/>
        </w:rPr>
      </w:pPr>
    </w:p>
    <w:p w14:paraId="10ACB998" w14:textId="12F5B084" w:rsidR="000E4AFD" w:rsidRPr="000E61EB" w:rsidRDefault="00630E1F" w:rsidP="009553A8">
      <w:pPr>
        <w:tabs>
          <w:tab w:val="left" w:pos="567"/>
        </w:tabs>
        <w:spacing w:line="260" w:lineRule="exact"/>
        <w:rPr>
          <w:spacing w:val="-1"/>
          <w:u w:val="single"/>
        </w:rPr>
      </w:pPr>
      <w:r w:rsidRPr="000E61EB">
        <w:rPr>
          <w:spacing w:val="-1"/>
          <w:u w:val="single"/>
        </w:rPr>
        <w:t>Hlásenie podozrení na nežiad</w:t>
      </w:r>
      <w:r w:rsidR="005826C6">
        <w:rPr>
          <w:spacing w:val="-1"/>
          <w:u w:val="single"/>
        </w:rPr>
        <w:t>u</w:t>
      </w:r>
      <w:r w:rsidR="000E4AFD" w:rsidRPr="000E61EB">
        <w:rPr>
          <w:spacing w:val="-1"/>
          <w:u w:val="single"/>
        </w:rPr>
        <w:t>ce reakcie</w:t>
      </w:r>
    </w:p>
    <w:p w14:paraId="4D58B144" w14:textId="61BAA1D3" w:rsidR="000E4AFD" w:rsidRPr="00D51176" w:rsidRDefault="000E4AFD" w:rsidP="009553A8">
      <w:pPr>
        <w:tabs>
          <w:tab w:val="left" w:pos="567"/>
        </w:tabs>
        <w:spacing w:line="260" w:lineRule="exact"/>
        <w:rPr>
          <w:spacing w:val="-1"/>
        </w:rPr>
      </w:pPr>
      <w:r w:rsidRPr="000E61EB">
        <w:rPr>
          <w:spacing w:val="-1"/>
        </w:rPr>
        <w:t>Hl</w:t>
      </w:r>
      <w:r w:rsidR="00630E1F" w:rsidRPr="000E61EB">
        <w:rPr>
          <w:spacing w:val="-1"/>
        </w:rPr>
        <w:t>ásenie podozrení na nežiad</w:t>
      </w:r>
      <w:r w:rsidR="005826C6">
        <w:rPr>
          <w:spacing w:val="-1"/>
        </w:rPr>
        <w:t>u</w:t>
      </w:r>
      <w:r w:rsidRPr="000E61EB">
        <w:rPr>
          <w:spacing w:val="-1"/>
        </w:rPr>
        <w:t>ce reakcie po registrácii lieku je dôležité. Umožňuje priebežné monitorovanie pomeru prínosu a rizika lieku. Od zdravotníckych pracovníkov sa vyžaduje, aby hlásili</w:t>
      </w:r>
      <w:r w:rsidR="00630E1F" w:rsidRPr="000E61EB">
        <w:rPr>
          <w:spacing w:val="-1"/>
        </w:rPr>
        <w:t xml:space="preserve"> akékoľvek podozrenia na nežiad</w:t>
      </w:r>
      <w:r w:rsidR="005826C6">
        <w:rPr>
          <w:spacing w:val="-1"/>
        </w:rPr>
        <w:t>u</w:t>
      </w:r>
      <w:r w:rsidRPr="000E61EB">
        <w:rPr>
          <w:spacing w:val="-1"/>
        </w:rPr>
        <w:t xml:space="preserve">ce reakcie </w:t>
      </w:r>
      <w:r w:rsidR="005E2CF1" w:rsidRPr="000E61EB">
        <w:rPr>
          <w:spacing w:val="-1"/>
        </w:rPr>
        <w:t>na</w:t>
      </w:r>
      <w:r w:rsidRPr="000E61EB">
        <w:rPr>
          <w:spacing w:val="-1"/>
        </w:rPr>
        <w:t xml:space="preserve"> </w:t>
      </w:r>
      <w:r w:rsidRPr="000E61EB">
        <w:rPr>
          <w:spacing w:val="-1"/>
          <w:highlight w:val="lightGray"/>
        </w:rPr>
        <w:t>národné</w:t>
      </w:r>
      <w:r w:rsidR="005E2CF1" w:rsidRPr="000E61EB">
        <w:rPr>
          <w:spacing w:val="-1"/>
          <w:highlight w:val="lightGray"/>
        </w:rPr>
        <w:t xml:space="preserve"> centrum</w:t>
      </w:r>
      <w:r w:rsidRPr="000E61EB">
        <w:rPr>
          <w:spacing w:val="-1"/>
          <w:highlight w:val="lightGray"/>
        </w:rPr>
        <w:t xml:space="preserve"> hlásenia uvedené v</w:t>
      </w:r>
      <w:r w:rsidR="005E2CF1" w:rsidRPr="000E61EB">
        <w:rPr>
          <w:spacing w:val="-1"/>
          <w:highlight w:val="lightGray"/>
        </w:rPr>
        <w:t> </w:t>
      </w:r>
      <w:hyperlink r:id="rId9" w:history="1">
        <w:r w:rsidRPr="000E61EB">
          <w:rPr>
            <w:spacing w:val="-1"/>
            <w:highlight w:val="lightGray"/>
          </w:rPr>
          <w:t>Prílohe</w:t>
        </w:r>
        <w:r w:rsidR="005E2CF1" w:rsidRPr="000E61EB">
          <w:rPr>
            <w:spacing w:val="-1"/>
            <w:highlight w:val="lightGray"/>
          </w:rPr>
          <w:t> </w:t>
        </w:r>
        <w:r w:rsidRPr="000E61EB">
          <w:rPr>
            <w:spacing w:val="-1"/>
            <w:highlight w:val="lightGray"/>
          </w:rPr>
          <w:t>V</w:t>
        </w:r>
      </w:hyperlink>
      <w:r w:rsidRPr="00D51176">
        <w:rPr>
          <w:spacing w:val="-1"/>
        </w:rPr>
        <w:t>.</w:t>
      </w:r>
    </w:p>
    <w:p w14:paraId="5E956E9E" w14:textId="77777777" w:rsidR="00F578A9" w:rsidRPr="000E61EB" w:rsidRDefault="00F578A9" w:rsidP="009553A8">
      <w:pPr>
        <w:tabs>
          <w:tab w:val="left" w:pos="567"/>
        </w:tabs>
        <w:spacing w:line="260" w:lineRule="exact"/>
        <w:rPr>
          <w:spacing w:val="-1"/>
        </w:rPr>
      </w:pPr>
    </w:p>
    <w:p w14:paraId="25C19956" w14:textId="77777777" w:rsidR="000E4AFD" w:rsidRPr="000E61EB" w:rsidRDefault="000E4AFD" w:rsidP="00F578A9">
      <w:pPr>
        <w:pStyle w:val="Bezriadkovania"/>
        <w:rPr>
          <w:b/>
        </w:rPr>
      </w:pPr>
      <w:r w:rsidRPr="000E61EB">
        <w:rPr>
          <w:b/>
        </w:rPr>
        <w:t>4.9</w:t>
      </w:r>
      <w:r w:rsidRPr="000E61EB">
        <w:rPr>
          <w:b/>
        </w:rPr>
        <w:tab/>
        <w:t>Predávkovanie</w:t>
      </w:r>
    </w:p>
    <w:p w14:paraId="0F244E57" w14:textId="77777777" w:rsidR="006C193E" w:rsidRPr="000E61EB" w:rsidRDefault="006C193E" w:rsidP="00F578A9">
      <w:pPr>
        <w:pStyle w:val="Bezriadkovania"/>
      </w:pPr>
    </w:p>
    <w:p w14:paraId="7EDE07C3" w14:textId="77777777" w:rsidR="000E4AFD" w:rsidRPr="000E61EB" w:rsidRDefault="000E4AFD" w:rsidP="006C193E">
      <w:pPr>
        <w:tabs>
          <w:tab w:val="left" w:pos="567"/>
        </w:tabs>
        <w:spacing w:line="260" w:lineRule="exact"/>
        <w:rPr>
          <w:spacing w:val="-1"/>
        </w:rPr>
      </w:pPr>
      <w:r w:rsidRPr="000E61EB">
        <w:t>Nie sú klinické skúsenosti s masívnym predávkovaním. Očakávajú sa nežiaduce reakcie, ktoré súvisia s farmakologickým profilom agonistu dopamínu, vrátane nauzey, dávenia, hyperkinézy, halucinácií, agitovanosti a hypotenzie. Antidotum proti predávkovaniu agonistom dopamínu nie je známe. Ak sú prítomné prejavy stimulácie centrálneho nervového systému, môže byť indikované podanie neuroleptika. Liečba p</w:t>
      </w:r>
      <w:r w:rsidRPr="000E61EB">
        <w:rPr>
          <w:spacing w:val="-1"/>
        </w:rPr>
        <w:t>redávkovania môže vyžadovať všeobecné podporné opatrenia, vrátane výplachu žalúdka, vnútrožilového podania tekutín, podania aktívneho uhlia a monitorovania elektrokardiogramu.</w:t>
      </w:r>
    </w:p>
    <w:p w14:paraId="26DCD1D5" w14:textId="77777777" w:rsidR="000E4AFD" w:rsidRPr="000E61EB" w:rsidRDefault="000E4AFD" w:rsidP="006C193E">
      <w:pPr>
        <w:tabs>
          <w:tab w:val="left" w:pos="567"/>
        </w:tabs>
        <w:spacing w:line="260" w:lineRule="exact"/>
        <w:rPr>
          <w:spacing w:val="-1"/>
        </w:rPr>
      </w:pPr>
    </w:p>
    <w:p w14:paraId="006A93F3" w14:textId="77777777" w:rsidR="000E4AFD" w:rsidRPr="000E61EB" w:rsidRDefault="000E4AFD" w:rsidP="006C193E">
      <w:pPr>
        <w:tabs>
          <w:tab w:val="left" w:pos="567"/>
        </w:tabs>
        <w:spacing w:line="260" w:lineRule="exact"/>
        <w:rPr>
          <w:spacing w:val="-1"/>
        </w:rPr>
      </w:pPr>
    </w:p>
    <w:p w14:paraId="13BA9444" w14:textId="77777777" w:rsidR="000E4AFD" w:rsidRPr="000E61EB" w:rsidRDefault="000E4AFD" w:rsidP="00F578A9">
      <w:pPr>
        <w:pStyle w:val="Bezriadkovania"/>
        <w:rPr>
          <w:b/>
        </w:rPr>
      </w:pPr>
      <w:r w:rsidRPr="000E61EB">
        <w:rPr>
          <w:b/>
        </w:rPr>
        <w:t>5.</w:t>
      </w:r>
      <w:r w:rsidRPr="000E61EB">
        <w:rPr>
          <w:b/>
        </w:rPr>
        <w:tab/>
        <w:t>FARMAKOLOGICKÉ VLASTNOSTI</w:t>
      </w:r>
    </w:p>
    <w:p w14:paraId="77D6B703" w14:textId="77777777" w:rsidR="00F578A9" w:rsidRPr="000E61EB" w:rsidRDefault="00F578A9" w:rsidP="00F578A9">
      <w:pPr>
        <w:pStyle w:val="Bezriadkovania"/>
      </w:pPr>
    </w:p>
    <w:p w14:paraId="0337F048" w14:textId="77777777" w:rsidR="000E4AFD" w:rsidRPr="000E61EB" w:rsidRDefault="000E4AFD" w:rsidP="00F578A9">
      <w:pPr>
        <w:pStyle w:val="Bezriadkovania"/>
        <w:rPr>
          <w:b/>
          <w:noProof/>
        </w:rPr>
      </w:pPr>
      <w:r w:rsidRPr="000E61EB">
        <w:rPr>
          <w:b/>
        </w:rPr>
        <w:lastRenderedPageBreak/>
        <w:t>5.1</w:t>
      </w:r>
      <w:r w:rsidRPr="000E61EB">
        <w:rPr>
          <w:b/>
        </w:rPr>
        <w:tab/>
      </w:r>
      <w:r w:rsidRPr="000E61EB">
        <w:rPr>
          <w:b/>
          <w:noProof/>
        </w:rPr>
        <w:t>Farmakodynamické vlastnosti</w:t>
      </w:r>
    </w:p>
    <w:p w14:paraId="1409B188" w14:textId="77777777" w:rsidR="002C7A82" w:rsidRPr="000E61EB" w:rsidRDefault="002C7A82" w:rsidP="002C7A82">
      <w:pPr>
        <w:tabs>
          <w:tab w:val="left" w:pos="567"/>
        </w:tabs>
        <w:spacing w:line="260" w:lineRule="exact"/>
      </w:pPr>
    </w:p>
    <w:p w14:paraId="52EC6ACD" w14:textId="77777777" w:rsidR="000E4AFD" w:rsidRPr="000E61EB" w:rsidRDefault="000E4AFD" w:rsidP="00F578A9">
      <w:pPr>
        <w:pStyle w:val="Bezriadkovania"/>
      </w:pPr>
      <w:r w:rsidRPr="000E61EB">
        <w:t>Farmakoterapeutická skupina: antiparkinsonikum, agonisty dopamínu, ATC kód N04BC05</w:t>
      </w:r>
      <w:r w:rsidR="00334A75" w:rsidRPr="000E61EB">
        <w:t>.</w:t>
      </w:r>
    </w:p>
    <w:p w14:paraId="52CA1463" w14:textId="77777777" w:rsidR="00B45E9D" w:rsidRPr="000E61EB" w:rsidRDefault="00B45E9D" w:rsidP="00F578A9">
      <w:pPr>
        <w:pStyle w:val="PIbodytext"/>
        <w:rPr>
          <w:rFonts w:eastAsia="Calibri"/>
          <w:noProof w:val="0"/>
          <w:szCs w:val="22"/>
          <w:lang w:val="sk-SK" w:eastAsia="sk-SK"/>
        </w:rPr>
      </w:pPr>
    </w:p>
    <w:p w14:paraId="2D7CF29B" w14:textId="77777777" w:rsidR="006C193E" w:rsidRPr="000E61EB" w:rsidRDefault="000C7708" w:rsidP="006C193E">
      <w:pPr>
        <w:tabs>
          <w:tab w:val="left" w:pos="567"/>
        </w:tabs>
        <w:spacing w:line="260" w:lineRule="exact"/>
        <w:rPr>
          <w:spacing w:val="-1"/>
          <w:u w:val="single"/>
        </w:rPr>
      </w:pPr>
      <w:r w:rsidRPr="000E61EB">
        <w:rPr>
          <w:u w:val="single"/>
        </w:rPr>
        <w:t xml:space="preserve">Mechanizmus </w:t>
      </w:r>
      <w:r w:rsidR="006C193E" w:rsidRPr="000E61EB">
        <w:rPr>
          <w:spacing w:val="-1"/>
          <w:u w:val="single"/>
        </w:rPr>
        <w:t>účinku</w:t>
      </w:r>
    </w:p>
    <w:p w14:paraId="485BFE08" w14:textId="77777777" w:rsidR="00B95C86" w:rsidRDefault="000E4AFD" w:rsidP="006C193E">
      <w:pPr>
        <w:tabs>
          <w:tab w:val="left" w:pos="567"/>
        </w:tabs>
        <w:spacing w:line="260" w:lineRule="exact"/>
        <w:rPr>
          <w:spacing w:val="-1"/>
        </w:rPr>
      </w:pPr>
      <w:r w:rsidRPr="000E61EB">
        <w:rPr>
          <w:spacing w:val="-1"/>
        </w:rPr>
        <w:t>Pramipexol je agonista dopamínu, ktorý sa s vysokou selektivitou a špecificitou viaže na D2</w:t>
      </w:r>
      <w:r w:rsidRPr="000E61EB">
        <w:rPr>
          <w:spacing w:val="-1"/>
        </w:rPr>
        <w:noBreakHyphen/>
        <w:t>podskupinu dopamínových receptorov, v rámci ktorej má preferenčnú afinitu k receptorovému podtypu D3 a vykazuje plnú vnútornú aktivitu.</w:t>
      </w:r>
      <w:r w:rsidR="00A67EF2" w:rsidRPr="000E61EB">
        <w:rPr>
          <w:spacing w:val="-1"/>
        </w:rPr>
        <w:t xml:space="preserve"> </w:t>
      </w:r>
    </w:p>
    <w:p w14:paraId="2D73F994" w14:textId="0C2D6136" w:rsidR="000E4AFD" w:rsidRPr="000E61EB" w:rsidRDefault="000E4AFD" w:rsidP="006C193E">
      <w:pPr>
        <w:tabs>
          <w:tab w:val="left" w:pos="567"/>
        </w:tabs>
        <w:spacing w:line="260" w:lineRule="exact"/>
        <w:rPr>
          <w:spacing w:val="-1"/>
        </w:rPr>
      </w:pPr>
      <w:r w:rsidRPr="000E61EB">
        <w:rPr>
          <w:spacing w:val="-1"/>
        </w:rPr>
        <w:t>Pramipexol zmierňuje parkinsonovské motorické deficity stimuláciou dopamínových receptorov v stri</w:t>
      </w:r>
      <w:r w:rsidR="00084EAE" w:rsidRPr="000E61EB">
        <w:rPr>
          <w:spacing w:val="-1"/>
        </w:rPr>
        <w:t>a</w:t>
      </w:r>
      <w:r w:rsidRPr="000E61EB">
        <w:rPr>
          <w:spacing w:val="-1"/>
        </w:rPr>
        <w:t>te. Štúdie na zvieratách preukázali, že pramipexol inhibuje syntézu, uvoľňovanie a premenu dopamínu.</w:t>
      </w:r>
    </w:p>
    <w:p w14:paraId="553A715D" w14:textId="77777777" w:rsidR="00B45E9D" w:rsidRPr="000E61EB" w:rsidRDefault="00B45E9D" w:rsidP="006C193E">
      <w:pPr>
        <w:tabs>
          <w:tab w:val="left" w:pos="567"/>
        </w:tabs>
        <w:spacing w:line="260" w:lineRule="exact"/>
        <w:rPr>
          <w:spacing w:val="-1"/>
        </w:rPr>
      </w:pPr>
    </w:p>
    <w:p w14:paraId="3E1BEB61" w14:textId="77777777" w:rsidR="000E4AFD" w:rsidRPr="000E61EB" w:rsidRDefault="000E4AFD" w:rsidP="006C193E">
      <w:pPr>
        <w:tabs>
          <w:tab w:val="left" w:pos="567"/>
        </w:tabs>
        <w:spacing w:line="260" w:lineRule="exact"/>
        <w:rPr>
          <w:spacing w:val="-1"/>
          <w:u w:val="single"/>
        </w:rPr>
      </w:pPr>
      <w:r w:rsidRPr="000E61EB">
        <w:rPr>
          <w:spacing w:val="-1"/>
          <w:u w:val="single"/>
        </w:rPr>
        <w:t>Farmakodynamické účinky</w:t>
      </w:r>
    </w:p>
    <w:p w14:paraId="5021C5F9" w14:textId="77777777" w:rsidR="000E4AFD" w:rsidRPr="000E61EB" w:rsidRDefault="000E4AFD" w:rsidP="006C193E">
      <w:pPr>
        <w:tabs>
          <w:tab w:val="left" w:pos="567"/>
        </w:tabs>
        <w:spacing w:line="260" w:lineRule="exact"/>
        <w:rPr>
          <w:spacing w:val="-1"/>
        </w:rPr>
      </w:pPr>
      <w:r w:rsidRPr="000E61EB">
        <w:rPr>
          <w:spacing w:val="-1"/>
        </w:rPr>
        <w:t>U zdravých dobrovoľníkov sa zistil pokles hladín prolaktínu závislý od dávky. V klinickej štúdii so zdravými dobrovoľníkmi, kde boli tablety pramipexolu s predlženým uvoľňovaním titrované rýchlejšie (každé 3 dni) ako bolo odporúčané až do 3,15 mg bázy pramipexolu (4,5 mg soli) denne, sa pozorovalo zvýšenie krvného tlaku a tepovej frekvencie. Takýto účinok sa nepozoroval u pacientov v štúdiach.</w:t>
      </w:r>
    </w:p>
    <w:p w14:paraId="3AB4C437" w14:textId="77777777" w:rsidR="00B45E9D" w:rsidRPr="000E61EB" w:rsidRDefault="00B45E9D" w:rsidP="006C193E">
      <w:pPr>
        <w:tabs>
          <w:tab w:val="left" w:pos="567"/>
        </w:tabs>
        <w:spacing w:line="260" w:lineRule="exact"/>
        <w:rPr>
          <w:spacing w:val="-1"/>
        </w:rPr>
      </w:pPr>
    </w:p>
    <w:p w14:paraId="43D834E4" w14:textId="77777777" w:rsidR="000E4AFD" w:rsidRPr="000E61EB" w:rsidRDefault="000E4AFD" w:rsidP="006C193E">
      <w:pPr>
        <w:tabs>
          <w:tab w:val="left" w:pos="567"/>
        </w:tabs>
        <w:spacing w:line="260" w:lineRule="exact"/>
        <w:rPr>
          <w:spacing w:val="-1"/>
          <w:u w:val="single"/>
        </w:rPr>
      </w:pPr>
      <w:r w:rsidRPr="000E61EB">
        <w:rPr>
          <w:spacing w:val="-1"/>
          <w:u w:val="single"/>
        </w:rPr>
        <w:t>Klinická účinnosť a bezpečnosť pri Parkinsonovej chorobe</w:t>
      </w:r>
    </w:p>
    <w:p w14:paraId="5871F089" w14:textId="77777777" w:rsidR="000E4AFD" w:rsidRPr="000E61EB" w:rsidRDefault="000E4AFD" w:rsidP="006C193E">
      <w:pPr>
        <w:tabs>
          <w:tab w:val="left" w:pos="567"/>
        </w:tabs>
        <w:spacing w:line="260" w:lineRule="exact"/>
        <w:rPr>
          <w:spacing w:val="-1"/>
        </w:rPr>
      </w:pPr>
      <w:r w:rsidRPr="000E61EB">
        <w:rPr>
          <w:spacing w:val="-1"/>
        </w:rPr>
        <w:t>U pacientov užívajúcich pramipexol sa zmiernili znaky a príznaky idiopatickej Parkinsonovej choroby. Placebom kontrolované klinické štúdie zahrňovali približne 1 800 pacientov liečených s pramipexolom v štádiu I–V podľa Hoehna a Yahra. Okrem nich bolo približne 1 000 pacientov v pokročilejších štádiách, ktorí užívali súčasne liečbu levodopu a trpeli motorickými komplikáciami.</w:t>
      </w:r>
    </w:p>
    <w:p w14:paraId="26258C37" w14:textId="77777777" w:rsidR="003061B8" w:rsidRPr="000E61EB" w:rsidRDefault="003061B8" w:rsidP="006C193E">
      <w:pPr>
        <w:tabs>
          <w:tab w:val="left" w:pos="567"/>
        </w:tabs>
        <w:spacing w:line="260" w:lineRule="exact"/>
        <w:rPr>
          <w:spacing w:val="-1"/>
        </w:rPr>
      </w:pPr>
    </w:p>
    <w:p w14:paraId="0980E8A9" w14:textId="77777777" w:rsidR="000E4AFD" w:rsidRPr="000E61EB" w:rsidRDefault="000E4AFD" w:rsidP="006C193E">
      <w:pPr>
        <w:tabs>
          <w:tab w:val="left" w:pos="567"/>
        </w:tabs>
        <w:spacing w:line="260" w:lineRule="exact"/>
        <w:rPr>
          <w:spacing w:val="-1"/>
        </w:rPr>
      </w:pPr>
      <w:r w:rsidRPr="000E61EB">
        <w:rPr>
          <w:spacing w:val="-1"/>
        </w:rPr>
        <w:t>Pri liečbe skorých a pokročilých štádií Parkinsonovej choroby sa účinnosť pramipexolu v kontrolovaných klinických štúdiách zachovala počas približne šiestich mesiacov. V následných otvorených štúdiách trvajúcich viac ako tri roky sa nepreukázal pokles účinnosti.</w:t>
      </w:r>
    </w:p>
    <w:p w14:paraId="316A443B" w14:textId="77777777" w:rsidR="008C1884" w:rsidRPr="000E61EB" w:rsidRDefault="008C1884" w:rsidP="00063A93">
      <w:pPr>
        <w:tabs>
          <w:tab w:val="left" w:pos="567"/>
        </w:tabs>
        <w:spacing w:line="260" w:lineRule="exact"/>
        <w:rPr>
          <w:spacing w:val="-1"/>
        </w:rPr>
      </w:pPr>
    </w:p>
    <w:p w14:paraId="54C8650C" w14:textId="77777777" w:rsidR="000E4AFD" w:rsidRPr="000E61EB" w:rsidRDefault="000E4AFD" w:rsidP="00063A93">
      <w:pPr>
        <w:tabs>
          <w:tab w:val="left" w:pos="567"/>
        </w:tabs>
        <w:spacing w:line="260" w:lineRule="exact"/>
        <w:rPr>
          <w:spacing w:val="-1"/>
        </w:rPr>
      </w:pPr>
      <w:r w:rsidRPr="000E61EB">
        <w:rPr>
          <w:spacing w:val="-1"/>
        </w:rPr>
        <w:t>V kontrolovanej, dvojito zaslepenej klinickej štúdii trvajúcej 2 roky počiatočná liečba pramipexolom v porovnaní s počiatočnou liečbou levodopou významne oddialila nástup motorických komplikácií a znížila ich výskyt. Toto oddialenie nástupu motorických komplikácií pri pramipexole sa má zvážiť oproti väčšiemu zlepšeniu motorických funkcií pri levodope (hodnotenému priemernou zmenou skóre Jednotnej hodnotiacej škály pre Parkinsonovu chorobu (United Parkinson’s Disease Rating Scale, UPDRS)). Počas fázy zvyšovania dávky bol celkový výskyt halucinácií a somnolencie zvyčajne vyšší v skupine liečenej pramipexolom. Počas udržiavacej fázy sa však nezistil žiadny významný rozdiel. Tieto skutočnosti sa majú zvážiť pri začatí liečby pramipexolom u pacientov s Parkinsonovou chorobou.</w:t>
      </w:r>
    </w:p>
    <w:p w14:paraId="26D9607E" w14:textId="77777777" w:rsidR="001C2C4B" w:rsidRPr="000E61EB" w:rsidRDefault="0024500F" w:rsidP="00063A93">
      <w:pPr>
        <w:tabs>
          <w:tab w:val="left" w:pos="567"/>
        </w:tabs>
        <w:spacing w:line="260" w:lineRule="exact"/>
        <w:rPr>
          <w:spacing w:val="-1"/>
        </w:rPr>
      </w:pPr>
      <w:r w:rsidRPr="000E61EB">
        <w:rPr>
          <w:spacing w:val="-1"/>
        </w:rPr>
        <w:t xml:space="preserve"> </w:t>
      </w:r>
    </w:p>
    <w:p w14:paraId="7C578129" w14:textId="77777777" w:rsidR="00341B14" w:rsidRPr="000E61EB" w:rsidRDefault="001C2C4B" w:rsidP="00063A93">
      <w:pPr>
        <w:tabs>
          <w:tab w:val="left" w:pos="567"/>
        </w:tabs>
        <w:spacing w:line="260" w:lineRule="exact"/>
        <w:rPr>
          <w:spacing w:val="-1"/>
        </w:rPr>
      </w:pPr>
      <w:r w:rsidRPr="000E61EB">
        <w:rPr>
          <w:spacing w:val="-1"/>
        </w:rPr>
        <w:t>Bezpečnosť a účinnosť pramipexolu tablety s predĺženým uvoľňovaním pri liečbe Parkinsonovej choroby bola vyhodnocovaná v nadnárodnom programe vývoja lieku, ktorý pozostával z troch randomizovaných kontrolovaných štúdií. Dve štúdie boli vykonané u pacientov s včasnou Parkinsonovou chorobou a jedna štúdia bola vykonaná u pacientov s pokročilou Parkinsonovou chorobou.</w:t>
      </w:r>
    </w:p>
    <w:p w14:paraId="4402F55C" w14:textId="77777777" w:rsidR="00341B14" w:rsidRPr="000E61EB" w:rsidRDefault="00341B14" w:rsidP="00063A93">
      <w:pPr>
        <w:tabs>
          <w:tab w:val="left" w:pos="567"/>
        </w:tabs>
        <w:spacing w:line="260" w:lineRule="exact"/>
        <w:rPr>
          <w:spacing w:val="-1"/>
        </w:rPr>
      </w:pPr>
    </w:p>
    <w:p w14:paraId="408BA0D1" w14:textId="77777777" w:rsidR="00341B14" w:rsidRPr="000E61EB" w:rsidRDefault="00390728" w:rsidP="00063A93">
      <w:pPr>
        <w:tabs>
          <w:tab w:val="left" w:pos="567"/>
        </w:tabs>
        <w:spacing w:line="260" w:lineRule="exact"/>
        <w:rPr>
          <w:spacing w:val="-1"/>
        </w:rPr>
      </w:pPr>
      <w:r w:rsidRPr="000E61EB">
        <w:rPr>
          <w:spacing w:val="-1"/>
        </w:rPr>
        <w:t>Výhoda</w:t>
      </w:r>
      <w:r w:rsidR="001C2C4B" w:rsidRPr="000E61EB">
        <w:rPr>
          <w:spacing w:val="-1"/>
        </w:rPr>
        <w:t xml:space="preserve"> </w:t>
      </w:r>
      <w:r w:rsidR="00DC2393" w:rsidRPr="000E61EB">
        <w:rPr>
          <w:spacing w:val="-1"/>
        </w:rPr>
        <w:t>p</w:t>
      </w:r>
      <w:r w:rsidR="001C2C4B" w:rsidRPr="000E61EB">
        <w:rPr>
          <w:spacing w:val="-1"/>
        </w:rPr>
        <w:t xml:space="preserve">ramipexolu </w:t>
      </w:r>
      <w:r w:rsidR="00F6133B" w:rsidRPr="000E61EB">
        <w:rPr>
          <w:spacing w:val="-1"/>
        </w:rPr>
        <w:t xml:space="preserve">tablety </w:t>
      </w:r>
      <w:r w:rsidR="001C2C4B" w:rsidRPr="000E61EB">
        <w:rPr>
          <w:spacing w:val="-1"/>
        </w:rPr>
        <w:t xml:space="preserve">s predĺženým uvoľňovaním oproti placebu sa preukázala </w:t>
      </w:r>
      <w:r w:rsidRPr="000E61EB">
        <w:rPr>
          <w:spacing w:val="-1"/>
        </w:rPr>
        <w:t xml:space="preserve">po 18 týždňoch liečby </w:t>
      </w:r>
      <w:r w:rsidR="001C2C4B" w:rsidRPr="000E61EB">
        <w:rPr>
          <w:spacing w:val="-1"/>
        </w:rPr>
        <w:t>na primárn</w:t>
      </w:r>
      <w:r w:rsidR="00F22AAE" w:rsidRPr="000E61EB">
        <w:rPr>
          <w:spacing w:val="-1"/>
        </w:rPr>
        <w:t>om</w:t>
      </w:r>
      <w:r w:rsidR="001C2C4B" w:rsidRPr="000E61EB">
        <w:rPr>
          <w:spacing w:val="-1"/>
        </w:rPr>
        <w:t xml:space="preserve"> (UPDRS </w:t>
      </w:r>
      <w:r w:rsidRPr="000E61EB">
        <w:rPr>
          <w:spacing w:val="-1"/>
        </w:rPr>
        <w:t>škály časti</w:t>
      </w:r>
      <w:r w:rsidR="001C2C4B" w:rsidRPr="000E61EB">
        <w:rPr>
          <w:spacing w:val="-1"/>
        </w:rPr>
        <w:t xml:space="preserve"> II + III skóre) </w:t>
      </w:r>
      <w:r w:rsidR="002504D1" w:rsidRPr="000E61EB">
        <w:rPr>
          <w:spacing w:val="-1"/>
        </w:rPr>
        <w:t>aj</w:t>
      </w:r>
      <w:r w:rsidRPr="000E61EB">
        <w:rPr>
          <w:spacing w:val="-1"/>
        </w:rPr>
        <w:t xml:space="preserve"> </w:t>
      </w:r>
      <w:r w:rsidR="00146F8D" w:rsidRPr="000E61EB">
        <w:rPr>
          <w:spacing w:val="-1"/>
        </w:rPr>
        <w:t>kľučov</w:t>
      </w:r>
      <w:r w:rsidR="00F22AAE" w:rsidRPr="000E61EB">
        <w:rPr>
          <w:spacing w:val="-1"/>
        </w:rPr>
        <w:t>om</w:t>
      </w:r>
      <w:r w:rsidR="00146F8D" w:rsidRPr="000E61EB">
        <w:rPr>
          <w:spacing w:val="-1"/>
        </w:rPr>
        <w:t xml:space="preserve"> </w:t>
      </w:r>
      <w:r w:rsidR="001C2C4B" w:rsidRPr="000E61EB">
        <w:rPr>
          <w:spacing w:val="-1"/>
        </w:rPr>
        <w:t>sekundárn</w:t>
      </w:r>
      <w:r w:rsidR="00F22AAE" w:rsidRPr="000E61EB">
        <w:rPr>
          <w:spacing w:val="-1"/>
        </w:rPr>
        <w:t>om</w:t>
      </w:r>
      <w:r w:rsidR="001C2C4B" w:rsidRPr="000E61EB">
        <w:rPr>
          <w:spacing w:val="-1"/>
        </w:rPr>
        <w:t xml:space="preserve"> (CGI-I a PGI-I</w:t>
      </w:r>
      <w:r w:rsidR="00A07AFC" w:rsidRPr="000E61EB">
        <w:rPr>
          <w:spacing w:val="-1"/>
        </w:rPr>
        <w:t xml:space="preserve"> </w:t>
      </w:r>
      <w:r w:rsidR="00A07AFC" w:rsidRPr="000E61EB">
        <w:t>s odpoveďou na liečbu</w:t>
      </w:r>
      <w:r w:rsidR="001C2C4B" w:rsidRPr="000E61EB">
        <w:rPr>
          <w:spacing w:val="-1"/>
        </w:rPr>
        <w:t xml:space="preserve">) </w:t>
      </w:r>
      <w:r w:rsidR="006B6188" w:rsidRPr="000E61EB">
        <w:rPr>
          <w:spacing w:val="-1"/>
        </w:rPr>
        <w:t>konečnom stave účinnosti</w:t>
      </w:r>
      <w:r w:rsidR="002504D1" w:rsidRPr="000E61EB">
        <w:rPr>
          <w:spacing w:val="-1"/>
        </w:rPr>
        <w:t xml:space="preserve"> </w:t>
      </w:r>
      <w:r w:rsidR="001C2C4B" w:rsidRPr="000E61EB">
        <w:rPr>
          <w:spacing w:val="-1"/>
        </w:rPr>
        <w:t>v dvojito zaslepenej placebom kontrolovanej štúdii zahŕňajúcej celkovo 539 pacientov s Parkinsonovou chorobou</w:t>
      </w:r>
      <w:r w:rsidR="006B6188" w:rsidRPr="000E61EB">
        <w:rPr>
          <w:spacing w:val="-1"/>
        </w:rPr>
        <w:t xml:space="preserve"> v ranom štádiu</w:t>
      </w:r>
      <w:r w:rsidR="001C2C4B" w:rsidRPr="000E61EB">
        <w:rPr>
          <w:spacing w:val="-1"/>
        </w:rPr>
        <w:t>.</w:t>
      </w:r>
      <w:r w:rsidR="003A1D74" w:rsidRPr="000E61EB">
        <w:rPr>
          <w:spacing w:val="-1"/>
        </w:rPr>
        <w:t xml:space="preserve"> Zachovanie </w:t>
      </w:r>
      <w:r w:rsidR="001C2C4B" w:rsidRPr="000E61EB">
        <w:rPr>
          <w:spacing w:val="-1"/>
        </w:rPr>
        <w:t xml:space="preserve">účinnosti bolo preukázané u pacientov liečených po dobu 33 týždňov. </w:t>
      </w:r>
      <w:r w:rsidR="003A7575" w:rsidRPr="000E61EB">
        <w:rPr>
          <w:spacing w:val="-1"/>
        </w:rPr>
        <w:t>Pramipexol t</w:t>
      </w:r>
      <w:r w:rsidR="001C2C4B" w:rsidRPr="000E61EB">
        <w:rPr>
          <w:spacing w:val="-1"/>
        </w:rPr>
        <w:t xml:space="preserve">ablety s predĺženým uvoľňovaním </w:t>
      </w:r>
      <w:r w:rsidR="00FE555B" w:rsidRPr="000E61EB">
        <w:rPr>
          <w:spacing w:val="-1"/>
        </w:rPr>
        <w:t>ne</w:t>
      </w:r>
      <w:r w:rsidR="001C2C4B" w:rsidRPr="000E61EB">
        <w:rPr>
          <w:spacing w:val="-1"/>
        </w:rPr>
        <w:t xml:space="preserve">boli </w:t>
      </w:r>
      <w:r w:rsidR="00FE555B" w:rsidRPr="000E61EB">
        <w:t>horšie</w:t>
      </w:r>
      <w:r w:rsidR="00FE555B" w:rsidRPr="000E61EB" w:rsidDel="00FE555B">
        <w:rPr>
          <w:spacing w:val="-1"/>
        </w:rPr>
        <w:t xml:space="preserve"> </w:t>
      </w:r>
      <w:r w:rsidR="003A7575" w:rsidRPr="000E61EB">
        <w:rPr>
          <w:spacing w:val="-1"/>
        </w:rPr>
        <w:t>voči</w:t>
      </w:r>
      <w:r w:rsidR="001C2C4B" w:rsidRPr="000E61EB">
        <w:rPr>
          <w:spacing w:val="-1"/>
        </w:rPr>
        <w:t xml:space="preserve"> pramipexolu</w:t>
      </w:r>
      <w:r w:rsidR="003A7575" w:rsidRPr="000E61EB">
        <w:rPr>
          <w:spacing w:val="-1"/>
        </w:rPr>
        <w:t xml:space="preserve"> v tabl</w:t>
      </w:r>
      <w:r w:rsidR="001C2C4B" w:rsidRPr="000E61EB">
        <w:rPr>
          <w:spacing w:val="-1"/>
        </w:rPr>
        <w:t>et</w:t>
      </w:r>
      <w:r w:rsidR="003A7575" w:rsidRPr="000E61EB">
        <w:rPr>
          <w:spacing w:val="-1"/>
        </w:rPr>
        <w:t>ách</w:t>
      </w:r>
      <w:r w:rsidR="001C2C4B" w:rsidRPr="000E61EB">
        <w:rPr>
          <w:spacing w:val="-1"/>
        </w:rPr>
        <w:t xml:space="preserve"> s okamžitým uvoľňovaním, ako </w:t>
      </w:r>
      <w:r w:rsidR="003A7575" w:rsidRPr="000E61EB">
        <w:rPr>
          <w:spacing w:val="-1"/>
        </w:rPr>
        <w:t xml:space="preserve">to bolo vyhodnotené v 33 týždni podľa </w:t>
      </w:r>
      <w:r w:rsidR="001C2C4B" w:rsidRPr="000E61EB">
        <w:rPr>
          <w:spacing w:val="-1"/>
        </w:rPr>
        <w:t xml:space="preserve">PDRS </w:t>
      </w:r>
      <w:r w:rsidR="00174E40" w:rsidRPr="000E61EB">
        <w:rPr>
          <w:spacing w:val="-1"/>
        </w:rPr>
        <w:t>škály časti</w:t>
      </w:r>
      <w:r w:rsidR="001C2C4B" w:rsidRPr="000E61EB">
        <w:rPr>
          <w:spacing w:val="-1"/>
        </w:rPr>
        <w:t xml:space="preserve"> II + III skóre.</w:t>
      </w:r>
    </w:p>
    <w:p w14:paraId="47A535F6" w14:textId="77777777" w:rsidR="00341B14" w:rsidRPr="000E61EB" w:rsidRDefault="00341B14" w:rsidP="00063A93">
      <w:pPr>
        <w:tabs>
          <w:tab w:val="left" w:pos="567"/>
        </w:tabs>
        <w:spacing w:line="260" w:lineRule="exact"/>
        <w:rPr>
          <w:spacing w:val="-1"/>
        </w:rPr>
      </w:pPr>
    </w:p>
    <w:p w14:paraId="2813F583" w14:textId="77777777" w:rsidR="00341B14" w:rsidRPr="000E61EB" w:rsidRDefault="001C2C4B" w:rsidP="00063A93">
      <w:pPr>
        <w:tabs>
          <w:tab w:val="left" w:pos="567"/>
        </w:tabs>
        <w:spacing w:line="260" w:lineRule="exact"/>
        <w:rPr>
          <w:spacing w:val="-1"/>
        </w:rPr>
      </w:pPr>
      <w:r w:rsidRPr="000E61EB">
        <w:rPr>
          <w:spacing w:val="-1"/>
        </w:rPr>
        <w:lastRenderedPageBreak/>
        <w:t>V dvojito zaslepenej, placebom kontrolovanej štúdii zahŕňajúcej celkovo 517 pacientov s Parkinsonovou chorobou</w:t>
      </w:r>
      <w:r w:rsidR="00A975AA" w:rsidRPr="000E61EB">
        <w:rPr>
          <w:spacing w:val="-1"/>
        </w:rPr>
        <w:t xml:space="preserve"> v pokročilom </w:t>
      </w:r>
      <w:r w:rsidR="00FE555B" w:rsidRPr="000E61EB">
        <w:rPr>
          <w:spacing w:val="-1"/>
        </w:rPr>
        <w:t>š</w:t>
      </w:r>
      <w:r w:rsidR="00A975AA" w:rsidRPr="000E61EB">
        <w:rPr>
          <w:spacing w:val="-1"/>
        </w:rPr>
        <w:t>tádiu</w:t>
      </w:r>
      <w:r w:rsidRPr="000E61EB">
        <w:rPr>
          <w:spacing w:val="-1"/>
        </w:rPr>
        <w:t>, ktorí</w:t>
      </w:r>
      <w:r w:rsidR="00D61072" w:rsidRPr="000E61EB">
        <w:rPr>
          <w:spacing w:val="-1"/>
        </w:rPr>
        <w:t xml:space="preserve"> súčasne</w:t>
      </w:r>
      <w:r w:rsidRPr="000E61EB">
        <w:rPr>
          <w:spacing w:val="-1"/>
        </w:rPr>
        <w:t xml:space="preserve"> </w:t>
      </w:r>
      <w:r w:rsidR="00D61072" w:rsidRPr="000E61EB">
        <w:rPr>
          <w:spacing w:val="-1"/>
        </w:rPr>
        <w:t>užívali</w:t>
      </w:r>
      <w:r w:rsidRPr="000E61EB">
        <w:rPr>
          <w:spacing w:val="-1"/>
        </w:rPr>
        <w:t xml:space="preserve"> levodopu</w:t>
      </w:r>
      <w:r w:rsidR="00D61072" w:rsidRPr="000E61EB">
        <w:rPr>
          <w:spacing w:val="-1"/>
        </w:rPr>
        <w:t xml:space="preserve"> </w:t>
      </w:r>
      <w:r w:rsidRPr="000E61EB">
        <w:rPr>
          <w:spacing w:val="-1"/>
        </w:rPr>
        <w:t xml:space="preserve"> </w:t>
      </w:r>
      <w:r w:rsidR="002F0953" w:rsidRPr="000E61EB">
        <w:rPr>
          <w:spacing w:val="-1"/>
        </w:rPr>
        <w:t xml:space="preserve">sa po 18 týždňoch liečby preukázala výhoda </w:t>
      </w:r>
      <w:r w:rsidR="00DC2393" w:rsidRPr="000E61EB">
        <w:rPr>
          <w:spacing w:val="-1"/>
        </w:rPr>
        <w:t>p</w:t>
      </w:r>
      <w:r w:rsidRPr="000E61EB">
        <w:rPr>
          <w:spacing w:val="-1"/>
        </w:rPr>
        <w:t>ramipexol</w:t>
      </w:r>
      <w:r w:rsidR="002F0953" w:rsidRPr="000E61EB">
        <w:rPr>
          <w:spacing w:val="-1"/>
        </w:rPr>
        <w:t>u s</w:t>
      </w:r>
      <w:r w:rsidRPr="000E61EB">
        <w:rPr>
          <w:spacing w:val="-1"/>
        </w:rPr>
        <w:t xml:space="preserve"> predĺženým uvoľňovaním oproti placebu  </w:t>
      </w:r>
      <w:r w:rsidR="00373715" w:rsidRPr="000E61EB">
        <w:rPr>
          <w:spacing w:val="-1"/>
        </w:rPr>
        <w:t xml:space="preserve">na </w:t>
      </w:r>
      <w:r w:rsidRPr="000E61EB">
        <w:rPr>
          <w:spacing w:val="-1"/>
        </w:rPr>
        <w:t>primárn</w:t>
      </w:r>
      <w:r w:rsidR="00373715" w:rsidRPr="000E61EB">
        <w:rPr>
          <w:spacing w:val="-1"/>
        </w:rPr>
        <w:t>om</w:t>
      </w:r>
      <w:r w:rsidRPr="000E61EB">
        <w:rPr>
          <w:spacing w:val="-1"/>
        </w:rPr>
        <w:t xml:space="preserve"> (UPDRS </w:t>
      </w:r>
      <w:r w:rsidR="00373715" w:rsidRPr="000E61EB">
        <w:rPr>
          <w:spacing w:val="-1"/>
        </w:rPr>
        <w:t>škály č</w:t>
      </w:r>
      <w:r w:rsidRPr="000E61EB">
        <w:rPr>
          <w:spacing w:val="-1"/>
        </w:rPr>
        <w:t>asti II + III) a</w:t>
      </w:r>
      <w:r w:rsidR="00373715" w:rsidRPr="000E61EB">
        <w:rPr>
          <w:spacing w:val="-1"/>
        </w:rPr>
        <w:t> kľ</w:t>
      </w:r>
      <w:r w:rsidR="00FE555B" w:rsidRPr="000E61EB">
        <w:rPr>
          <w:spacing w:val="-1"/>
        </w:rPr>
        <w:t>ú</w:t>
      </w:r>
      <w:r w:rsidR="00373715" w:rsidRPr="000E61EB">
        <w:rPr>
          <w:spacing w:val="-1"/>
        </w:rPr>
        <w:t xml:space="preserve">čovom </w:t>
      </w:r>
      <w:r w:rsidRPr="000E61EB">
        <w:rPr>
          <w:spacing w:val="-1"/>
        </w:rPr>
        <w:t>sekundárn</w:t>
      </w:r>
      <w:r w:rsidR="00373715" w:rsidRPr="000E61EB">
        <w:rPr>
          <w:spacing w:val="-1"/>
        </w:rPr>
        <w:t>om</w:t>
      </w:r>
      <w:r w:rsidRPr="000E61EB">
        <w:rPr>
          <w:spacing w:val="-1"/>
        </w:rPr>
        <w:t xml:space="preserve"> (off-time) </w:t>
      </w:r>
      <w:r w:rsidR="00373715" w:rsidRPr="000E61EB">
        <w:rPr>
          <w:spacing w:val="-1"/>
        </w:rPr>
        <w:t xml:space="preserve">konečnom stave </w:t>
      </w:r>
      <w:r w:rsidRPr="000E61EB">
        <w:rPr>
          <w:spacing w:val="-1"/>
        </w:rPr>
        <w:t>účinnos</w:t>
      </w:r>
      <w:r w:rsidR="00FE555B" w:rsidRPr="000E61EB">
        <w:rPr>
          <w:spacing w:val="-1"/>
        </w:rPr>
        <w:t>t</w:t>
      </w:r>
      <w:r w:rsidR="00373715" w:rsidRPr="000E61EB">
        <w:rPr>
          <w:spacing w:val="-1"/>
        </w:rPr>
        <w:t>i</w:t>
      </w:r>
      <w:r w:rsidRPr="000E61EB">
        <w:rPr>
          <w:spacing w:val="-1"/>
        </w:rPr>
        <w:t>.</w:t>
      </w:r>
    </w:p>
    <w:p w14:paraId="20BE5F95" w14:textId="77777777" w:rsidR="00341B14" w:rsidRPr="000E61EB" w:rsidRDefault="00341B14" w:rsidP="00063A93">
      <w:pPr>
        <w:tabs>
          <w:tab w:val="left" w:pos="567"/>
        </w:tabs>
        <w:spacing w:line="260" w:lineRule="exact"/>
        <w:rPr>
          <w:spacing w:val="-1"/>
        </w:rPr>
      </w:pPr>
    </w:p>
    <w:p w14:paraId="4265AB6C" w14:textId="77777777" w:rsidR="00341B14" w:rsidRPr="000E61EB" w:rsidRDefault="001C2C4B" w:rsidP="00063A93">
      <w:pPr>
        <w:tabs>
          <w:tab w:val="left" w:pos="567"/>
        </w:tabs>
        <w:spacing w:line="260" w:lineRule="exact"/>
        <w:rPr>
          <w:spacing w:val="-1"/>
        </w:rPr>
      </w:pPr>
      <w:r w:rsidRPr="000E61EB">
        <w:rPr>
          <w:spacing w:val="-1"/>
        </w:rPr>
        <w:t xml:space="preserve">Účinnosť a znášanlivosť </w:t>
      </w:r>
      <w:r w:rsidR="00CB0B34" w:rsidRPr="000E61EB">
        <w:rPr>
          <w:spacing w:val="-1"/>
        </w:rPr>
        <w:t xml:space="preserve">okamžitého </w:t>
      </w:r>
      <w:r w:rsidR="00A9686C" w:rsidRPr="000E61EB">
        <w:rPr>
          <w:spacing w:val="-1"/>
        </w:rPr>
        <w:t>prestavenia</w:t>
      </w:r>
      <w:r w:rsidRPr="000E61EB">
        <w:rPr>
          <w:spacing w:val="-1"/>
        </w:rPr>
        <w:t xml:space="preserve"> z </w:t>
      </w:r>
      <w:r w:rsidR="00DC2393" w:rsidRPr="000E61EB">
        <w:rPr>
          <w:spacing w:val="-1"/>
        </w:rPr>
        <w:t>p</w:t>
      </w:r>
      <w:r w:rsidRPr="000E61EB">
        <w:rPr>
          <w:spacing w:val="-1"/>
        </w:rPr>
        <w:t xml:space="preserve">ramipexolu </w:t>
      </w:r>
      <w:r w:rsidR="00CB0B34" w:rsidRPr="000E61EB">
        <w:rPr>
          <w:spacing w:val="-1"/>
        </w:rPr>
        <w:t xml:space="preserve">tablety </w:t>
      </w:r>
      <w:r w:rsidRPr="000E61EB">
        <w:rPr>
          <w:spacing w:val="-1"/>
        </w:rPr>
        <w:t xml:space="preserve">na </w:t>
      </w:r>
      <w:r w:rsidR="00DC2393" w:rsidRPr="000E61EB">
        <w:rPr>
          <w:spacing w:val="-1"/>
        </w:rPr>
        <w:t>p</w:t>
      </w:r>
      <w:r w:rsidRPr="000E61EB">
        <w:rPr>
          <w:spacing w:val="-1"/>
        </w:rPr>
        <w:t>ramipexol tablety s predĺženým uvoľňovaním v</w:t>
      </w:r>
      <w:r w:rsidR="00D620D5" w:rsidRPr="000E61EB">
        <w:rPr>
          <w:spacing w:val="-1"/>
        </w:rPr>
        <w:t> tej istej</w:t>
      </w:r>
      <w:r w:rsidRPr="000E61EB">
        <w:rPr>
          <w:spacing w:val="-1"/>
        </w:rPr>
        <w:t xml:space="preserve"> dennej dávke sa hodnotili v dvojito </w:t>
      </w:r>
      <w:r w:rsidR="00FE555B" w:rsidRPr="000E61EB">
        <w:rPr>
          <w:spacing w:val="-1"/>
        </w:rPr>
        <w:t>za</w:t>
      </w:r>
      <w:r w:rsidRPr="000E61EB">
        <w:rPr>
          <w:spacing w:val="-1"/>
        </w:rPr>
        <w:t>slepe</w:t>
      </w:r>
      <w:r w:rsidR="00FE555B" w:rsidRPr="000E61EB">
        <w:rPr>
          <w:spacing w:val="-1"/>
        </w:rPr>
        <w:t>ne</w:t>
      </w:r>
      <w:r w:rsidRPr="000E61EB">
        <w:rPr>
          <w:spacing w:val="-1"/>
        </w:rPr>
        <w:t>j klinickej štúdii u pacientov s Parkinsonovou chorobou</w:t>
      </w:r>
      <w:r w:rsidR="00D620D5" w:rsidRPr="000E61EB">
        <w:rPr>
          <w:spacing w:val="-1"/>
        </w:rPr>
        <w:t xml:space="preserve"> v ranom štádiu</w:t>
      </w:r>
      <w:r w:rsidRPr="000E61EB">
        <w:rPr>
          <w:spacing w:val="-1"/>
        </w:rPr>
        <w:t>.</w:t>
      </w:r>
    </w:p>
    <w:p w14:paraId="516E3556" w14:textId="77777777" w:rsidR="00341B14" w:rsidRPr="000E61EB" w:rsidRDefault="00341B14" w:rsidP="00063A93">
      <w:pPr>
        <w:tabs>
          <w:tab w:val="left" w:pos="567"/>
        </w:tabs>
        <w:spacing w:line="260" w:lineRule="exact"/>
        <w:rPr>
          <w:spacing w:val="-1"/>
        </w:rPr>
      </w:pPr>
    </w:p>
    <w:p w14:paraId="0C00FBB0" w14:textId="77777777" w:rsidR="008D5861" w:rsidRPr="000E61EB" w:rsidRDefault="001C2C4B" w:rsidP="00063A93">
      <w:pPr>
        <w:tabs>
          <w:tab w:val="left" w:pos="567"/>
        </w:tabs>
        <w:spacing w:line="260" w:lineRule="exact"/>
        <w:rPr>
          <w:spacing w:val="-1"/>
        </w:rPr>
      </w:pPr>
      <w:r w:rsidRPr="000E61EB">
        <w:rPr>
          <w:spacing w:val="-1"/>
        </w:rPr>
        <w:t xml:space="preserve">Účinnosť </w:t>
      </w:r>
      <w:r w:rsidR="008D5861" w:rsidRPr="000E61EB">
        <w:rPr>
          <w:spacing w:val="-1"/>
        </w:rPr>
        <w:t>sa udrž</w:t>
      </w:r>
      <w:r w:rsidR="00077720" w:rsidRPr="000E61EB">
        <w:rPr>
          <w:spacing w:val="-1"/>
        </w:rPr>
        <w:t>avala</w:t>
      </w:r>
      <w:r w:rsidRPr="000E61EB">
        <w:rPr>
          <w:spacing w:val="-1"/>
        </w:rPr>
        <w:t xml:space="preserve"> v 87 zo 103 pacientov</w:t>
      </w:r>
      <w:r w:rsidR="00077720" w:rsidRPr="000E61EB">
        <w:rPr>
          <w:spacing w:val="-1"/>
        </w:rPr>
        <w:t xml:space="preserve">, ktoré prešli </w:t>
      </w:r>
      <w:r w:rsidRPr="000E61EB">
        <w:rPr>
          <w:spacing w:val="-1"/>
        </w:rPr>
        <w:t xml:space="preserve">na </w:t>
      </w:r>
      <w:r w:rsidR="00DC2393" w:rsidRPr="000E61EB">
        <w:rPr>
          <w:spacing w:val="-1"/>
        </w:rPr>
        <w:t>p</w:t>
      </w:r>
      <w:r w:rsidRPr="000E61EB">
        <w:rPr>
          <w:spacing w:val="-1"/>
        </w:rPr>
        <w:t>ramipexol tablety s predĺženým uvoľňovaním. Z týchto 87 pacientov, 82,8% nezmenilo svoju dávku, 13,8% zvýš</w:t>
      </w:r>
      <w:r w:rsidR="00723E8C" w:rsidRPr="000E61EB">
        <w:rPr>
          <w:spacing w:val="-1"/>
        </w:rPr>
        <w:t xml:space="preserve">ilo a 3,4% znížili svoju dávku. </w:t>
      </w:r>
      <w:r w:rsidRPr="000E61EB">
        <w:rPr>
          <w:spacing w:val="-1"/>
        </w:rPr>
        <w:t xml:space="preserve">V polovici </w:t>
      </w:r>
      <w:r w:rsidR="008D5861" w:rsidRPr="000E61EB">
        <w:rPr>
          <w:spacing w:val="-1"/>
        </w:rPr>
        <w:t xml:space="preserve">zo </w:t>
      </w:r>
      <w:r w:rsidRPr="000E61EB">
        <w:rPr>
          <w:spacing w:val="-1"/>
        </w:rPr>
        <w:t xml:space="preserve">16 pacientov, </w:t>
      </w:r>
      <w:r w:rsidR="008D5861" w:rsidRPr="000E61EB">
        <w:rPr>
          <w:spacing w:val="-1"/>
        </w:rPr>
        <w:t>ktorí nesplnili kritérium udržania účinnosti podľa škály UPDRS časť II+III, sa zmena základnej línie nepovažovala za klinický významnú.</w:t>
      </w:r>
    </w:p>
    <w:p w14:paraId="1CC44171" w14:textId="77777777" w:rsidR="00341B14" w:rsidRPr="000E61EB" w:rsidRDefault="00341B14" w:rsidP="00063A93">
      <w:pPr>
        <w:tabs>
          <w:tab w:val="left" w:pos="567"/>
        </w:tabs>
        <w:spacing w:line="260" w:lineRule="exact"/>
        <w:rPr>
          <w:spacing w:val="-1"/>
        </w:rPr>
      </w:pPr>
    </w:p>
    <w:p w14:paraId="300F4FDD" w14:textId="77777777" w:rsidR="009E0463" w:rsidRPr="000E61EB" w:rsidRDefault="009E0463" w:rsidP="00063A93">
      <w:pPr>
        <w:tabs>
          <w:tab w:val="left" w:pos="567"/>
        </w:tabs>
        <w:spacing w:line="260" w:lineRule="exact"/>
        <w:rPr>
          <w:spacing w:val="-1"/>
        </w:rPr>
      </w:pPr>
      <w:r w:rsidRPr="000E61EB">
        <w:rPr>
          <w:spacing w:val="-1"/>
        </w:rPr>
        <w:t xml:space="preserve">Iba u jedného pacienta, ktorý prešiel na </w:t>
      </w:r>
      <w:r w:rsidR="00DC2393" w:rsidRPr="000E61EB">
        <w:rPr>
          <w:spacing w:val="-1"/>
        </w:rPr>
        <w:t>p</w:t>
      </w:r>
      <w:r w:rsidRPr="000E61EB">
        <w:rPr>
          <w:spacing w:val="-1"/>
        </w:rPr>
        <w:t xml:space="preserve">ramipexol tablety s predĺženým uvoľňovaním sa zaznamenal nežiaduci účinok spojený s </w:t>
      </w:r>
      <w:r w:rsidR="00FE555B" w:rsidRPr="000E61EB">
        <w:rPr>
          <w:spacing w:val="-1"/>
        </w:rPr>
        <w:t>u</w:t>
      </w:r>
      <w:r w:rsidRPr="000E61EB">
        <w:rPr>
          <w:spacing w:val="-1"/>
        </w:rPr>
        <w:t>žívaním lieku, čo viedlo k ukončeniu liečby.</w:t>
      </w:r>
    </w:p>
    <w:p w14:paraId="56779385" w14:textId="77777777" w:rsidR="00DC2393" w:rsidRPr="000E61EB" w:rsidRDefault="00DC2393" w:rsidP="00063A93">
      <w:pPr>
        <w:tabs>
          <w:tab w:val="left" w:pos="567"/>
        </w:tabs>
        <w:spacing w:line="260" w:lineRule="exact"/>
        <w:rPr>
          <w:spacing w:val="-1"/>
        </w:rPr>
      </w:pPr>
    </w:p>
    <w:p w14:paraId="44634509" w14:textId="77777777" w:rsidR="000E4AFD" w:rsidRPr="000E61EB" w:rsidRDefault="005E2CF1" w:rsidP="00063A93">
      <w:pPr>
        <w:tabs>
          <w:tab w:val="left" w:pos="567"/>
        </w:tabs>
        <w:spacing w:line="260" w:lineRule="exact"/>
        <w:rPr>
          <w:spacing w:val="-1"/>
          <w:u w:val="single"/>
        </w:rPr>
      </w:pPr>
      <w:r w:rsidRPr="000E61EB">
        <w:rPr>
          <w:spacing w:val="-1"/>
          <w:u w:val="single"/>
        </w:rPr>
        <w:t>Pediatrická populácia</w:t>
      </w:r>
    </w:p>
    <w:p w14:paraId="2F5C3D71" w14:textId="77777777" w:rsidR="000E4AFD" w:rsidRPr="000E61EB" w:rsidRDefault="000E4AFD" w:rsidP="00063A93">
      <w:pPr>
        <w:tabs>
          <w:tab w:val="left" w:pos="567"/>
        </w:tabs>
        <w:spacing w:line="260" w:lineRule="exact"/>
        <w:rPr>
          <w:spacing w:val="-1"/>
        </w:rPr>
      </w:pPr>
      <w:r w:rsidRPr="000E61EB">
        <w:rPr>
          <w:spacing w:val="-1"/>
        </w:rPr>
        <w:t>Európska agentúra</w:t>
      </w:r>
      <w:r w:rsidR="005E2CF1" w:rsidRPr="000E61EB">
        <w:rPr>
          <w:spacing w:val="-1"/>
        </w:rPr>
        <w:t xml:space="preserve"> pre lieky</w:t>
      </w:r>
      <w:r w:rsidRPr="000E61EB">
        <w:rPr>
          <w:spacing w:val="-1"/>
        </w:rPr>
        <w:t xml:space="preserve"> udelila výnimku z povinnosti predložiť výsledky štúdií </w:t>
      </w:r>
      <w:r w:rsidR="005E2CF1" w:rsidRPr="000E61EB">
        <w:rPr>
          <w:spacing w:val="-1"/>
        </w:rPr>
        <w:t>s </w:t>
      </w:r>
      <w:r w:rsidR="00DC2393" w:rsidRPr="000E61EB">
        <w:rPr>
          <w:spacing w:val="-1"/>
        </w:rPr>
        <w:t>p</w:t>
      </w:r>
      <w:r w:rsidRPr="000E61EB">
        <w:rPr>
          <w:spacing w:val="-1"/>
        </w:rPr>
        <w:t>ramipexol</w:t>
      </w:r>
      <w:r w:rsidR="005E2CF1" w:rsidRPr="000E61EB">
        <w:rPr>
          <w:spacing w:val="-1"/>
        </w:rPr>
        <w:t>om</w:t>
      </w:r>
      <w:r w:rsidRPr="000E61EB">
        <w:rPr>
          <w:spacing w:val="-1"/>
        </w:rPr>
        <w:t xml:space="preserve"> </w:t>
      </w:r>
      <w:r w:rsidR="005E2CF1" w:rsidRPr="000E61EB">
        <w:rPr>
          <w:spacing w:val="-1"/>
        </w:rPr>
        <w:t>vo</w:t>
      </w:r>
      <w:r w:rsidRPr="000E61EB">
        <w:rPr>
          <w:spacing w:val="-1"/>
        </w:rPr>
        <w:t xml:space="preserve"> všetk</w:t>
      </w:r>
      <w:r w:rsidR="005E2CF1" w:rsidRPr="000E61EB">
        <w:rPr>
          <w:spacing w:val="-1"/>
        </w:rPr>
        <w:t>ých</w:t>
      </w:r>
      <w:r w:rsidRPr="000E61EB">
        <w:rPr>
          <w:spacing w:val="-1"/>
        </w:rPr>
        <w:t xml:space="preserve"> podskupin</w:t>
      </w:r>
      <w:r w:rsidR="005E2CF1" w:rsidRPr="000E61EB">
        <w:rPr>
          <w:spacing w:val="-1"/>
        </w:rPr>
        <w:t>ách pediatrickej populácie</w:t>
      </w:r>
      <w:r w:rsidRPr="000E61EB">
        <w:rPr>
          <w:spacing w:val="-1"/>
        </w:rPr>
        <w:t xml:space="preserve"> s Parkinsonovou chorobou (</w:t>
      </w:r>
      <w:r w:rsidR="005E2CF1" w:rsidRPr="000E61EB">
        <w:rPr>
          <w:spacing w:val="-1"/>
        </w:rPr>
        <w:t xml:space="preserve">informácie o použití v pediatrickej populácii, </w:t>
      </w:r>
      <w:r w:rsidRPr="000E61EB">
        <w:rPr>
          <w:spacing w:val="-1"/>
        </w:rPr>
        <w:t>pozri ča</w:t>
      </w:r>
      <w:r w:rsidR="005E2CF1" w:rsidRPr="000E61EB">
        <w:rPr>
          <w:spacing w:val="-1"/>
        </w:rPr>
        <w:t>s</w:t>
      </w:r>
      <w:r w:rsidRPr="000E61EB">
        <w:rPr>
          <w:spacing w:val="-1"/>
        </w:rPr>
        <w:t>ť 4.2</w:t>
      </w:r>
      <w:r w:rsidR="0037170D" w:rsidRPr="000E61EB">
        <w:rPr>
          <w:spacing w:val="-1"/>
        </w:rPr>
        <w:t>).</w:t>
      </w:r>
    </w:p>
    <w:p w14:paraId="00ADE35C" w14:textId="77777777" w:rsidR="00B45E9D" w:rsidRPr="000E61EB" w:rsidRDefault="00B45E9D" w:rsidP="00063A93">
      <w:pPr>
        <w:tabs>
          <w:tab w:val="left" w:pos="567"/>
        </w:tabs>
        <w:spacing w:line="260" w:lineRule="exact"/>
        <w:rPr>
          <w:spacing w:val="-1"/>
        </w:rPr>
      </w:pPr>
    </w:p>
    <w:p w14:paraId="29F7E297" w14:textId="77777777" w:rsidR="000E4AFD" w:rsidRPr="000E61EB" w:rsidRDefault="000E4AFD" w:rsidP="00F578A9">
      <w:pPr>
        <w:pStyle w:val="Bezriadkovania"/>
        <w:rPr>
          <w:b/>
        </w:rPr>
      </w:pPr>
      <w:r w:rsidRPr="000E61EB">
        <w:rPr>
          <w:b/>
        </w:rPr>
        <w:t>5.2</w:t>
      </w:r>
      <w:r w:rsidRPr="000E61EB">
        <w:rPr>
          <w:b/>
        </w:rPr>
        <w:tab/>
        <w:t>Farmakokinetické vlastnosti</w:t>
      </w:r>
    </w:p>
    <w:p w14:paraId="25BC8E1B" w14:textId="77777777" w:rsidR="00B45E9D" w:rsidRPr="000E61EB" w:rsidRDefault="00B45E9D" w:rsidP="00B45E9D"/>
    <w:p w14:paraId="4DA45938" w14:textId="77777777" w:rsidR="000E4AFD" w:rsidRPr="000E61EB" w:rsidRDefault="000E4AFD" w:rsidP="00B45E9D">
      <w:pPr>
        <w:pStyle w:val="Bezriadkovania"/>
        <w:rPr>
          <w:u w:val="single"/>
        </w:rPr>
      </w:pPr>
      <w:r w:rsidRPr="000E61EB">
        <w:rPr>
          <w:u w:val="single"/>
        </w:rPr>
        <w:t>Absorpcia</w:t>
      </w:r>
    </w:p>
    <w:p w14:paraId="34FF8C67" w14:textId="77777777" w:rsidR="00670505" w:rsidRPr="000E61EB" w:rsidRDefault="000E4AFD" w:rsidP="00F578A9">
      <w:pPr>
        <w:pStyle w:val="Bezriadkovania"/>
      </w:pPr>
      <w:r w:rsidRPr="000E61EB">
        <w:t>Pramipexol sa po perorálnom podaní rýchlo a úplne absorbuje. Absolútna biologická dostupnosť je viac ako 90 %</w:t>
      </w:r>
      <w:r w:rsidR="00670505" w:rsidRPr="000E61EB">
        <w:t>.</w:t>
      </w:r>
    </w:p>
    <w:p w14:paraId="4ABA1F7D" w14:textId="77777777" w:rsidR="00BD7C39" w:rsidRPr="000E61EB" w:rsidRDefault="00BD7C39" w:rsidP="007172A6">
      <w:pPr>
        <w:pStyle w:val="Zkladntext"/>
        <w:ind w:left="0" w:right="701"/>
        <w:rPr>
          <w:lang w:val="sk-SK"/>
        </w:rPr>
      </w:pPr>
    </w:p>
    <w:p w14:paraId="6156D09B" w14:textId="77777777" w:rsidR="00915DCB" w:rsidRPr="000E61EB" w:rsidRDefault="00915DCB" w:rsidP="00A100E9">
      <w:pPr>
        <w:pStyle w:val="Zkladntext"/>
        <w:ind w:left="0" w:right="701"/>
        <w:rPr>
          <w:lang w:val="sk-SK"/>
        </w:rPr>
      </w:pPr>
      <w:r w:rsidRPr="000E61EB">
        <w:rPr>
          <w:lang w:val="sk-SK"/>
        </w:rPr>
        <w:t>Vo</w:t>
      </w:r>
      <w:r w:rsidRPr="000E61EB">
        <w:rPr>
          <w:spacing w:val="-3"/>
          <w:lang w:val="sk-SK"/>
        </w:rPr>
        <w:t xml:space="preserve"> </w:t>
      </w:r>
      <w:r w:rsidRPr="000E61EB">
        <w:rPr>
          <w:lang w:val="sk-SK"/>
        </w:rPr>
        <w:t>fáze I</w:t>
      </w:r>
      <w:r w:rsidRPr="000E61EB">
        <w:rPr>
          <w:spacing w:val="-2"/>
          <w:lang w:val="sk-SK"/>
        </w:rPr>
        <w:t xml:space="preserve"> </w:t>
      </w:r>
      <w:r w:rsidRPr="000E61EB">
        <w:rPr>
          <w:lang w:val="sk-SK"/>
        </w:rPr>
        <w:t>klinickej</w:t>
      </w:r>
      <w:r w:rsidRPr="000E61EB">
        <w:rPr>
          <w:spacing w:val="1"/>
          <w:lang w:val="sk-SK"/>
        </w:rPr>
        <w:t xml:space="preserve"> </w:t>
      </w:r>
      <w:r w:rsidRPr="000E61EB">
        <w:rPr>
          <w:lang w:val="sk-SK"/>
        </w:rPr>
        <w:t>štúdie,</w:t>
      </w:r>
      <w:r w:rsidRPr="000E61EB">
        <w:rPr>
          <w:spacing w:val="-3"/>
          <w:lang w:val="sk-SK"/>
        </w:rPr>
        <w:t xml:space="preserve"> </w:t>
      </w:r>
      <w:r w:rsidRPr="000E61EB">
        <w:rPr>
          <w:lang w:val="sk-SK"/>
        </w:rPr>
        <w:t>v</w:t>
      </w:r>
      <w:r w:rsidRPr="000E61EB">
        <w:rPr>
          <w:spacing w:val="-3"/>
          <w:lang w:val="sk-SK"/>
        </w:rPr>
        <w:t xml:space="preserve"> </w:t>
      </w:r>
      <w:r w:rsidRPr="000E61EB">
        <w:rPr>
          <w:lang w:val="sk-SK"/>
        </w:rPr>
        <w:t>ktorej</w:t>
      </w:r>
      <w:r w:rsidRPr="000E61EB">
        <w:rPr>
          <w:spacing w:val="1"/>
          <w:lang w:val="sk-SK"/>
        </w:rPr>
        <w:t xml:space="preserve"> </w:t>
      </w:r>
      <w:r w:rsidRPr="000E61EB">
        <w:rPr>
          <w:lang w:val="sk-SK"/>
        </w:rPr>
        <w:t>sa hodnotili</w:t>
      </w:r>
      <w:r w:rsidRPr="000E61EB">
        <w:rPr>
          <w:spacing w:val="1"/>
          <w:lang w:val="sk-SK"/>
        </w:rPr>
        <w:t xml:space="preserve"> </w:t>
      </w:r>
      <w:r w:rsidRPr="000E61EB">
        <w:rPr>
          <w:lang w:val="sk-SK"/>
        </w:rPr>
        <w:t>pramipexol</w:t>
      </w:r>
      <w:r w:rsidRPr="000E61EB">
        <w:rPr>
          <w:spacing w:val="1"/>
          <w:lang w:val="sk-SK"/>
        </w:rPr>
        <w:t xml:space="preserve"> </w:t>
      </w:r>
      <w:r w:rsidRPr="000E61EB">
        <w:rPr>
          <w:lang w:val="sk-SK"/>
        </w:rPr>
        <w:t>tablety</w:t>
      </w:r>
      <w:r w:rsidRPr="000E61EB">
        <w:rPr>
          <w:spacing w:val="-3"/>
          <w:lang w:val="sk-SK"/>
        </w:rPr>
        <w:t xml:space="preserve"> </w:t>
      </w:r>
      <w:r w:rsidRPr="000E61EB">
        <w:rPr>
          <w:lang w:val="sk-SK"/>
        </w:rPr>
        <w:t>s okamžitým</w:t>
      </w:r>
      <w:r w:rsidRPr="000E61EB">
        <w:rPr>
          <w:spacing w:val="-4"/>
          <w:lang w:val="sk-SK"/>
        </w:rPr>
        <w:t xml:space="preserve"> </w:t>
      </w:r>
      <w:r w:rsidRPr="000E61EB">
        <w:rPr>
          <w:lang w:val="sk-SK"/>
        </w:rPr>
        <w:t>uvoľňovaním</w:t>
      </w:r>
      <w:r w:rsidRPr="000E61EB">
        <w:rPr>
          <w:spacing w:val="-4"/>
          <w:lang w:val="sk-SK"/>
        </w:rPr>
        <w:t xml:space="preserve"> </w:t>
      </w:r>
      <w:r w:rsidRPr="000E61EB">
        <w:rPr>
          <w:lang w:val="sk-SK"/>
        </w:rPr>
        <w:t>a</w:t>
      </w:r>
      <w:r w:rsidRPr="000E61EB">
        <w:rPr>
          <w:spacing w:val="71"/>
          <w:lang w:val="sk-SK"/>
        </w:rPr>
        <w:t xml:space="preserve"> </w:t>
      </w:r>
      <w:r w:rsidRPr="000E61EB">
        <w:rPr>
          <w:lang w:val="sk-SK"/>
        </w:rPr>
        <w:t>s tablety</w:t>
      </w:r>
      <w:r w:rsidRPr="000E61EB">
        <w:rPr>
          <w:spacing w:val="-3"/>
          <w:lang w:val="sk-SK"/>
        </w:rPr>
        <w:t xml:space="preserve"> </w:t>
      </w:r>
      <w:r w:rsidR="00481B18" w:rsidRPr="000E61EB">
        <w:rPr>
          <w:spacing w:val="-3"/>
          <w:lang w:val="sk-SK"/>
        </w:rPr>
        <w:t xml:space="preserve">s </w:t>
      </w:r>
      <w:r w:rsidRPr="000E61EB">
        <w:rPr>
          <w:lang w:val="sk-SK"/>
        </w:rPr>
        <w:t>predĺženým</w:t>
      </w:r>
      <w:r w:rsidRPr="000E61EB">
        <w:rPr>
          <w:spacing w:val="-4"/>
          <w:lang w:val="sk-SK"/>
        </w:rPr>
        <w:t xml:space="preserve"> </w:t>
      </w:r>
      <w:r w:rsidRPr="000E61EB">
        <w:rPr>
          <w:lang w:val="sk-SK"/>
        </w:rPr>
        <w:t>uvoľňovaním</w:t>
      </w:r>
      <w:r w:rsidRPr="000E61EB">
        <w:rPr>
          <w:spacing w:val="-4"/>
          <w:lang w:val="sk-SK"/>
        </w:rPr>
        <w:t xml:space="preserve"> </w:t>
      </w:r>
      <w:r w:rsidRPr="000E61EB">
        <w:rPr>
          <w:lang w:val="sk-SK"/>
        </w:rPr>
        <w:t>užívané nalačno boli</w:t>
      </w:r>
      <w:r w:rsidRPr="000E61EB">
        <w:rPr>
          <w:spacing w:val="1"/>
          <w:lang w:val="sk-SK"/>
        </w:rPr>
        <w:t xml:space="preserve"> </w:t>
      </w:r>
      <w:r w:rsidRPr="000E61EB">
        <w:rPr>
          <w:lang w:val="sk-SK"/>
        </w:rPr>
        <w:t>minimálne a</w:t>
      </w:r>
      <w:r w:rsidRPr="000E61EB">
        <w:rPr>
          <w:spacing w:val="-2"/>
          <w:lang w:val="sk-SK"/>
        </w:rPr>
        <w:t xml:space="preserve"> </w:t>
      </w:r>
      <w:r w:rsidRPr="000E61EB">
        <w:rPr>
          <w:lang w:val="sk-SK"/>
        </w:rPr>
        <w:t>maximálne plazmatické</w:t>
      </w:r>
    </w:p>
    <w:p w14:paraId="5A8DAE1D" w14:textId="77777777" w:rsidR="00915DCB" w:rsidRPr="000E61EB" w:rsidRDefault="00915DCB" w:rsidP="007172A6">
      <w:pPr>
        <w:pStyle w:val="Zkladntext"/>
        <w:spacing w:before="5" w:line="252" w:lineRule="exact"/>
        <w:ind w:left="0" w:right="164"/>
        <w:rPr>
          <w:lang w:val="sk-SK"/>
        </w:rPr>
      </w:pPr>
      <w:r w:rsidRPr="000E61EB">
        <w:rPr>
          <w:spacing w:val="-1"/>
          <w:lang w:val="sk-SK"/>
        </w:rPr>
        <w:t xml:space="preserve">koncentrácie </w:t>
      </w:r>
      <w:r w:rsidRPr="000E61EB">
        <w:rPr>
          <w:spacing w:val="2"/>
          <w:lang w:val="sk-SK"/>
        </w:rPr>
        <w:t>(C</w:t>
      </w:r>
      <w:r w:rsidRPr="000E61EB">
        <w:rPr>
          <w:spacing w:val="2"/>
          <w:position w:val="-2"/>
          <w:sz w:val="14"/>
          <w:lang w:val="sk-SK"/>
        </w:rPr>
        <w:t>min</w:t>
      </w:r>
      <w:r w:rsidRPr="000E61EB">
        <w:rPr>
          <w:spacing w:val="2"/>
          <w:lang w:val="sk-SK"/>
        </w:rPr>
        <w:t>,</w:t>
      </w:r>
      <w:r w:rsidRPr="000E61EB">
        <w:rPr>
          <w:lang w:val="sk-SK"/>
        </w:rPr>
        <w:t xml:space="preserve"> </w:t>
      </w:r>
      <w:r w:rsidRPr="000E61EB">
        <w:rPr>
          <w:spacing w:val="4"/>
          <w:lang w:val="sk-SK"/>
        </w:rPr>
        <w:t>C</w:t>
      </w:r>
      <w:r w:rsidRPr="000E61EB">
        <w:rPr>
          <w:spacing w:val="4"/>
          <w:position w:val="-2"/>
          <w:sz w:val="14"/>
          <w:lang w:val="sk-SK"/>
        </w:rPr>
        <w:t>max</w:t>
      </w:r>
      <w:r w:rsidRPr="000E61EB">
        <w:rPr>
          <w:spacing w:val="4"/>
          <w:lang w:val="sk-SK"/>
        </w:rPr>
        <w:t>)</w:t>
      </w:r>
      <w:r w:rsidRPr="000E61EB">
        <w:rPr>
          <w:spacing w:val="1"/>
          <w:lang w:val="sk-SK"/>
        </w:rPr>
        <w:t xml:space="preserve"> </w:t>
      </w:r>
      <w:r w:rsidRPr="000E61EB">
        <w:rPr>
          <w:lang w:val="sk-SK"/>
        </w:rPr>
        <w:t>a</w:t>
      </w:r>
      <w:r w:rsidRPr="000E61EB">
        <w:rPr>
          <w:spacing w:val="-1"/>
          <w:lang w:val="sk-SK"/>
        </w:rPr>
        <w:t xml:space="preserve"> plocha</w:t>
      </w:r>
      <w:r w:rsidRPr="000E61EB">
        <w:rPr>
          <w:lang w:val="sk-SK"/>
        </w:rPr>
        <w:t xml:space="preserve"> pod </w:t>
      </w:r>
      <w:r w:rsidRPr="000E61EB">
        <w:rPr>
          <w:spacing w:val="-2"/>
          <w:lang w:val="sk-SK"/>
        </w:rPr>
        <w:t>krivkou</w:t>
      </w:r>
      <w:r w:rsidRPr="000E61EB">
        <w:rPr>
          <w:spacing w:val="-1"/>
          <w:lang w:val="sk-SK"/>
        </w:rPr>
        <w:t xml:space="preserve"> (AUC)</w:t>
      </w:r>
      <w:r w:rsidRPr="000E61EB">
        <w:rPr>
          <w:spacing w:val="-2"/>
          <w:lang w:val="sk-SK"/>
        </w:rPr>
        <w:t xml:space="preserve"> </w:t>
      </w:r>
      <w:r w:rsidRPr="000E61EB">
        <w:rPr>
          <w:spacing w:val="-1"/>
          <w:lang w:val="sk-SK"/>
        </w:rPr>
        <w:t>rovnaké</w:t>
      </w:r>
      <w:r w:rsidRPr="000E61EB">
        <w:rPr>
          <w:lang w:val="sk-SK"/>
        </w:rPr>
        <w:t xml:space="preserve"> pri</w:t>
      </w:r>
      <w:r w:rsidRPr="000E61EB">
        <w:rPr>
          <w:spacing w:val="-3"/>
          <w:lang w:val="sk-SK"/>
        </w:rPr>
        <w:t xml:space="preserve"> </w:t>
      </w:r>
      <w:r w:rsidRPr="000E61EB">
        <w:rPr>
          <w:spacing w:val="-1"/>
          <w:lang w:val="sk-SK"/>
        </w:rPr>
        <w:t>tej</w:t>
      </w:r>
      <w:r w:rsidRPr="000E61EB">
        <w:rPr>
          <w:spacing w:val="1"/>
          <w:lang w:val="sk-SK"/>
        </w:rPr>
        <w:t xml:space="preserve"> </w:t>
      </w:r>
      <w:r w:rsidRPr="000E61EB">
        <w:rPr>
          <w:spacing w:val="-1"/>
          <w:lang w:val="sk-SK"/>
        </w:rPr>
        <w:t>istej</w:t>
      </w:r>
      <w:r w:rsidRPr="000E61EB">
        <w:rPr>
          <w:spacing w:val="1"/>
          <w:lang w:val="sk-SK"/>
        </w:rPr>
        <w:t xml:space="preserve"> </w:t>
      </w:r>
      <w:r w:rsidRPr="000E61EB">
        <w:rPr>
          <w:spacing w:val="-1"/>
          <w:lang w:val="sk-SK"/>
        </w:rPr>
        <w:t>dennej</w:t>
      </w:r>
      <w:r w:rsidRPr="000E61EB">
        <w:rPr>
          <w:spacing w:val="-3"/>
          <w:lang w:val="sk-SK"/>
        </w:rPr>
        <w:t xml:space="preserve"> </w:t>
      </w:r>
      <w:r w:rsidRPr="000E61EB">
        <w:rPr>
          <w:spacing w:val="-2"/>
          <w:lang w:val="sk-SK"/>
        </w:rPr>
        <w:t>dávke</w:t>
      </w:r>
      <w:r w:rsidRPr="000E61EB">
        <w:rPr>
          <w:lang w:val="sk-SK"/>
        </w:rPr>
        <w:t xml:space="preserve"> </w:t>
      </w:r>
      <w:r w:rsidR="00481B18" w:rsidRPr="000E61EB">
        <w:rPr>
          <w:lang w:val="sk-SK"/>
        </w:rPr>
        <w:t>pramipexol</w:t>
      </w:r>
      <w:r w:rsidRPr="000E61EB">
        <w:rPr>
          <w:spacing w:val="67"/>
          <w:lang w:val="sk-SK"/>
        </w:rPr>
        <w:t xml:space="preserve"> </w:t>
      </w:r>
      <w:r w:rsidR="00481B18" w:rsidRPr="000E61EB">
        <w:rPr>
          <w:spacing w:val="-1"/>
          <w:lang w:val="sk-SK"/>
        </w:rPr>
        <w:t>tabli</w:t>
      </w:r>
      <w:r w:rsidRPr="000E61EB">
        <w:rPr>
          <w:spacing w:val="-1"/>
          <w:lang w:val="sk-SK"/>
        </w:rPr>
        <w:t>et</w:t>
      </w:r>
      <w:r w:rsidRPr="000E61EB">
        <w:rPr>
          <w:spacing w:val="1"/>
          <w:lang w:val="sk-SK"/>
        </w:rPr>
        <w:t xml:space="preserve"> </w:t>
      </w:r>
      <w:r w:rsidRPr="000E61EB">
        <w:rPr>
          <w:lang w:val="sk-SK"/>
        </w:rPr>
        <w:t>s</w:t>
      </w:r>
      <w:r w:rsidRPr="000E61EB">
        <w:rPr>
          <w:spacing w:val="-3"/>
          <w:lang w:val="sk-SK"/>
        </w:rPr>
        <w:t xml:space="preserve"> </w:t>
      </w:r>
      <w:r w:rsidRPr="000E61EB">
        <w:rPr>
          <w:spacing w:val="-1"/>
          <w:lang w:val="sk-SK"/>
        </w:rPr>
        <w:t>predĺženým</w:t>
      </w:r>
      <w:r w:rsidRPr="000E61EB">
        <w:rPr>
          <w:spacing w:val="-4"/>
          <w:lang w:val="sk-SK"/>
        </w:rPr>
        <w:t xml:space="preserve"> </w:t>
      </w:r>
      <w:r w:rsidRPr="000E61EB">
        <w:rPr>
          <w:spacing w:val="-1"/>
          <w:lang w:val="sk-SK"/>
        </w:rPr>
        <w:t>uvoľňovaním</w:t>
      </w:r>
      <w:r w:rsidRPr="000E61EB">
        <w:rPr>
          <w:spacing w:val="-4"/>
          <w:lang w:val="sk-SK"/>
        </w:rPr>
        <w:t xml:space="preserve"> </w:t>
      </w:r>
      <w:r w:rsidRPr="000E61EB">
        <w:rPr>
          <w:spacing w:val="-1"/>
          <w:lang w:val="sk-SK"/>
        </w:rPr>
        <w:t>podávaných</w:t>
      </w:r>
      <w:r w:rsidRPr="000E61EB">
        <w:rPr>
          <w:lang w:val="sk-SK"/>
        </w:rPr>
        <w:t xml:space="preserve"> raz</w:t>
      </w:r>
      <w:r w:rsidRPr="000E61EB">
        <w:rPr>
          <w:spacing w:val="-2"/>
          <w:lang w:val="sk-SK"/>
        </w:rPr>
        <w:t xml:space="preserve"> </w:t>
      </w:r>
      <w:r w:rsidRPr="000E61EB">
        <w:rPr>
          <w:lang w:val="sk-SK"/>
        </w:rPr>
        <w:t>denne a</w:t>
      </w:r>
      <w:r w:rsidRPr="000E61EB">
        <w:rPr>
          <w:spacing w:val="-2"/>
          <w:lang w:val="sk-SK"/>
        </w:rPr>
        <w:t xml:space="preserve"> </w:t>
      </w:r>
      <w:r w:rsidR="00481B18" w:rsidRPr="000E61EB">
        <w:rPr>
          <w:lang w:val="sk-SK"/>
        </w:rPr>
        <w:t>pramipexol</w:t>
      </w:r>
      <w:r w:rsidRPr="000E61EB">
        <w:rPr>
          <w:spacing w:val="-3"/>
          <w:lang w:val="sk-SK"/>
        </w:rPr>
        <w:t xml:space="preserve"> </w:t>
      </w:r>
      <w:r w:rsidRPr="000E61EB">
        <w:rPr>
          <w:spacing w:val="-1"/>
          <w:lang w:val="sk-SK"/>
        </w:rPr>
        <w:t>tabliet</w:t>
      </w:r>
      <w:r w:rsidRPr="000E61EB">
        <w:rPr>
          <w:spacing w:val="1"/>
          <w:lang w:val="sk-SK"/>
        </w:rPr>
        <w:t xml:space="preserve"> </w:t>
      </w:r>
      <w:r w:rsidRPr="000E61EB">
        <w:rPr>
          <w:spacing w:val="-2"/>
          <w:lang w:val="sk-SK"/>
        </w:rPr>
        <w:t>podávaných</w:t>
      </w:r>
      <w:r w:rsidRPr="000E61EB">
        <w:rPr>
          <w:lang w:val="sk-SK"/>
        </w:rPr>
        <w:t xml:space="preserve"> </w:t>
      </w:r>
      <w:r w:rsidRPr="000E61EB">
        <w:rPr>
          <w:spacing w:val="-1"/>
          <w:lang w:val="sk-SK"/>
        </w:rPr>
        <w:t>trikrát</w:t>
      </w:r>
      <w:r w:rsidRPr="000E61EB">
        <w:rPr>
          <w:spacing w:val="89"/>
          <w:lang w:val="sk-SK"/>
        </w:rPr>
        <w:t xml:space="preserve"> </w:t>
      </w:r>
      <w:r w:rsidRPr="000E61EB">
        <w:rPr>
          <w:lang w:val="sk-SK"/>
        </w:rPr>
        <w:t>denne.</w:t>
      </w:r>
    </w:p>
    <w:p w14:paraId="085D6648" w14:textId="77777777" w:rsidR="00D24EE0" w:rsidRPr="000E61EB" w:rsidRDefault="00D24EE0" w:rsidP="00D24EE0">
      <w:pPr>
        <w:pStyle w:val="Zkladntext"/>
        <w:ind w:left="0" w:right="165"/>
        <w:rPr>
          <w:rFonts w:eastAsia="Calibri"/>
          <w:lang w:val="sk-SK"/>
        </w:rPr>
      </w:pPr>
    </w:p>
    <w:p w14:paraId="0229802C" w14:textId="77777777" w:rsidR="00DB4D8D" w:rsidRPr="000E61EB" w:rsidRDefault="00DB4D8D" w:rsidP="00DB4D8D">
      <w:pPr>
        <w:pStyle w:val="Zkladntext"/>
        <w:ind w:left="0" w:right="165"/>
        <w:rPr>
          <w:lang w:val="sk-SK"/>
        </w:rPr>
      </w:pPr>
      <w:r w:rsidRPr="000E61EB">
        <w:rPr>
          <w:spacing w:val="-1"/>
          <w:lang w:val="sk-SK"/>
        </w:rPr>
        <w:t>Podávanie</w:t>
      </w:r>
      <w:r w:rsidRPr="000E61EB">
        <w:rPr>
          <w:spacing w:val="-2"/>
          <w:lang w:val="sk-SK"/>
        </w:rPr>
        <w:t xml:space="preserve"> </w:t>
      </w:r>
      <w:r w:rsidR="00FA307E" w:rsidRPr="000E61EB">
        <w:rPr>
          <w:spacing w:val="-1"/>
          <w:lang w:val="sk-SK"/>
        </w:rPr>
        <w:t>Pramipexolu</w:t>
      </w:r>
      <w:r w:rsidRPr="000E61EB">
        <w:rPr>
          <w:spacing w:val="-3"/>
          <w:lang w:val="sk-SK"/>
        </w:rPr>
        <w:t xml:space="preserve"> </w:t>
      </w:r>
      <w:r w:rsidRPr="000E61EB">
        <w:rPr>
          <w:spacing w:val="-1"/>
          <w:lang w:val="sk-SK"/>
        </w:rPr>
        <w:t>tabliet</w:t>
      </w:r>
      <w:r w:rsidRPr="000E61EB">
        <w:rPr>
          <w:spacing w:val="1"/>
          <w:lang w:val="sk-SK"/>
        </w:rPr>
        <w:t xml:space="preserve"> </w:t>
      </w:r>
      <w:r w:rsidRPr="000E61EB">
        <w:rPr>
          <w:lang w:val="sk-SK"/>
        </w:rPr>
        <w:t>s</w:t>
      </w:r>
      <w:r w:rsidRPr="000E61EB">
        <w:rPr>
          <w:spacing w:val="-1"/>
          <w:lang w:val="sk-SK"/>
        </w:rPr>
        <w:t xml:space="preserve"> predĺženým</w:t>
      </w:r>
      <w:r w:rsidRPr="000E61EB">
        <w:rPr>
          <w:spacing w:val="-4"/>
          <w:lang w:val="sk-SK"/>
        </w:rPr>
        <w:t xml:space="preserve"> </w:t>
      </w:r>
      <w:r w:rsidRPr="000E61EB">
        <w:rPr>
          <w:spacing w:val="-1"/>
          <w:lang w:val="sk-SK"/>
        </w:rPr>
        <w:t>uvoľňovaním</w:t>
      </w:r>
      <w:r w:rsidRPr="000E61EB">
        <w:rPr>
          <w:spacing w:val="-4"/>
          <w:lang w:val="sk-SK"/>
        </w:rPr>
        <w:t xml:space="preserve"> </w:t>
      </w:r>
      <w:r w:rsidRPr="000E61EB">
        <w:rPr>
          <w:lang w:val="sk-SK"/>
        </w:rPr>
        <w:t>raz</w:t>
      </w:r>
      <w:r w:rsidRPr="000E61EB">
        <w:rPr>
          <w:spacing w:val="-2"/>
          <w:lang w:val="sk-SK"/>
        </w:rPr>
        <w:t xml:space="preserve"> </w:t>
      </w:r>
      <w:r w:rsidRPr="000E61EB">
        <w:rPr>
          <w:lang w:val="sk-SK"/>
        </w:rPr>
        <w:t xml:space="preserve">denne </w:t>
      </w:r>
      <w:r w:rsidRPr="000E61EB">
        <w:rPr>
          <w:spacing w:val="-1"/>
          <w:lang w:val="sk-SK"/>
        </w:rPr>
        <w:t>spôsobuje</w:t>
      </w:r>
      <w:r w:rsidRPr="000E61EB">
        <w:rPr>
          <w:spacing w:val="-2"/>
          <w:lang w:val="sk-SK"/>
        </w:rPr>
        <w:t xml:space="preserve"> menej</w:t>
      </w:r>
      <w:r w:rsidRPr="000E61EB">
        <w:rPr>
          <w:spacing w:val="3"/>
          <w:lang w:val="sk-SK"/>
        </w:rPr>
        <w:t xml:space="preserve"> </w:t>
      </w:r>
      <w:r w:rsidRPr="000E61EB">
        <w:rPr>
          <w:spacing w:val="-1"/>
          <w:lang w:val="sk-SK"/>
        </w:rPr>
        <w:t>časté</w:t>
      </w:r>
      <w:r w:rsidRPr="000E61EB">
        <w:rPr>
          <w:lang w:val="sk-SK"/>
        </w:rPr>
        <w:t xml:space="preserve"> </w:t>
      </w:r>
      <w:r w:rsidRPr="000E61EB">
        <w:rPr>
          <w:spacing w:val="-1"/>
          <w:lang w:val="sk-SK"/>
        </w:rPr>
        <w:t>výkyvy</w:t>
      </w:r>
      <w:r w:rsidRPr="000E61EB">
        <w:rPr>
          <w:spacing w:val="71"/>
          <w:lang w:val="sk-SK"/>
        </w:rPr>
        <w:t xml:space="preserve"> </w:t>
      </w:r>
      <w:r w:rsidRPr="000E61EB">
        <w:rPr>
          <w:spacing w:val="-1"/>
          <w:lang w:val="sk-SK"/>
        </w:rPr>
        <w:t>plazmatickej</w:t>
      </w:r>
      <w:r w:rsidRPr="000E61EB">
        <w:rPr>
          <w:spacing w:val="3"/>
          <w:lang w:val="sk-SK"/>
        </w:rPr>
        <w:t xml:space="preserve"> </w:t>
      </w:r>
      <w:r w:rsidRPr="000E61EB">
        <w:rPr>
          <w:spacing w:val="-1"/>
          <w:lang w:val="sk-SK"/>
        </w:rPr>
        <w:t>koncentrácie</w:t>
      </w:r>
      <w:r w:rsidRPr="000E61EB">
        <w:rPr>
          <w:spacing w:val="-2"/>
          <w:lang w:val="sk-SK"/>
        </w:rPr>
        <w:t xml:space="preserve"> </w:t>
      </w:r>
      <w:r w:rsidRPr="000E61EB">
        <w:rPr>
          <w:spacing w:val="-1"/>
          <w:lang w:val="sk-SK"/>
        </w:rPr>
        <w:t>pramipexolu</w:t>
      </w:r>
      <w:r w:rsidRPr="000E61EB">
        <w:rPr>
          <w:lang w:val="sk-SK"/>
        </w:rPr>
        <w:t xml:space="preserve"> v</w:t>
      </w:r>
      <w:r w:rsidRPr="000E61EB">
        <w:rPr>
          <w:spacing w:val="-4"/>
          <w:lang w:val="sk-SK"/>
        </w:rPr>
        <w:t xml:space="preserve"> </w:t>
      </w:r>
      <w:r w:rsidRPr="000E61EB">
        <w:rPr>
          <w:spacing w:val="-1"/>
          <w:lang w:val="sk-SK"/>
        </w:rPr>
        <w:t>priebehu</w:t>
      </w:r>
      <w:r w:rsidRPr="000E61EB">
        <w:rPr>
          <w:spacing w:val="-3"/>
          <w:lang w:val="sk-SK"/>
        </w:rPr>
        <w:t xml:space="preserve"> </w:t>
      </w:r>
      <w:r w:rsidRPr="000E61EB">
        <w:rPr>
          <w:lang w:val="sk-SK"/>
        </w:rPr>
        <w:t>24</w:t>
      </w:r>
      <w:r w:rsidRPr="000E61EB">
        <w:rPr>
          <w:spacing w:val="-3"/>
          <w:lang w:val="sk-SK"/>
        </w:rPr>
        <w:t xml:space="preserve"> </w:t>
      </w:r>
      <w:r w:rsidRPr="000E61EB">
        <w:rPr>
          <w:lang w:val="sk-SK"/>
        </w:rPr>
        <w:t>hodín v</w:t>
      </w:r>
      <w:r w:rsidRPr="000E61EB">
        <w:rPr>
          <w:spacing w:val="-3"/>
          <w:lang w:val="sk-SK"/>
        </w:rPr>
        <w:t xml:space="preserve"> </w:t>
      </w:r>
      <w:r w:rsidRPr="000E61EB">
        <w:rPr>
          <w:spacing w:val="-1"/>
          <w:lang w:val="sk-SK"/>
        </w:rPr>
        <w:t>porovnaní</w:t>
      </w:r>
      <w:r w:rsidRPr="000E61EB">
        <w:rPr>
          <w:spacing w:val="1"/>
          <w:lang w:val="sk-SK"/>
        </w:rPr>
        <w:t xml:space="preserve"> </w:t>
      </w:r>
      <w:r w:rsidRPr="000E61EB">
        <w:rPr>
          <w:lang w:val="sk-SK"/>
        </w:rPr>
        <w:t xml:space="preserve">s </w:t>
      </w:r>
      <w:r w:rsidRPr="000E61EB">
        <w:rPr>
          <w:spacing w:val="-1"/>
          <w:lang w:val="sk-SK"/>
        </w:rPr>
        <w:t>podávaním</w:t>
      </w:r>
      <w:r w:rsidRPr="000E61EB">
        <w:rPr>
          <w:spacing w:val="-4"/>
          <w:lang w:val="sk-SK"/>
        </w:rPr>
        <w:t xml:space="preserve"> </w:t>
      </w:r>
      <w:r w:rsidRPr="000E61EB">
        <w:rPr>
          <w:spacing w:val="-1"/>
          <w:lang w:val="sk-SK"/>
        </w:rPr>
        <w:t>pramipexolu</w:t>
      </w:r>
      <w:r w:rsidRPr="000E61EB">
        <w:rPr>
          <w:spacing w:val="71"/>
          <w:lang w:val="sk-SK"/>
        </w:rPr>
        <w:t xml:space="preserve"> </w:t>
      </w:r>
      <w:r w:rsidRPr="000E61EB">
        <w:rPr>
          <w:spacing w:val="-1"/>
          <w:lang w:val="sk-SK"/>
        </w:rPr>
        <w:t>tabliet</w:t>
      </w:r>
      <w:r w:rsidRPr="000E61EB">
        <w:rPr>
          <w:spacing w:val="1"/>
          <w:lang w:val="sk-SK"/>
        </w:rPr>
        <w:t xml:space="preserve"> </w:t>
      </w:r>
      <w:r w:rsidRPr="000E61EB">
        <w:rPr>
          <w:lang w:val="sk-SK"/>
        </w:rPr>
        <w:t>s</w:t>
      </w:r>
      <w:r w:rsidRPr="000E61EB">
        <w:rPr>
          <w:spacing w:val="-3"/>
          <w:lang w:val="sk-SK"/>
        </w:rPr>
        <w:t xml:space="preserve"> </w:t>
      </w:r>
      <w:r w:rsidRPr="000E61EB">
        <w:rPr>
          <w:spacing w:val="-1"/>
          <w:lang w:val="sk-SK"/>
        </w:rPr>
        <w:t>okamžitým</w:t>
      </w:r>
      <w:r w:rsidRPr="000E61EB">
        <w:rPr>
          <w:spacing w:val="-4"/>
          <w:lang w:val="sk-SK"/>
        </w:rPr>
        <w:t xml:space="preserve"> </w:t>
      </w:r>
      <w:r w:rsidRPr="000E61EB">
        <w:rPr>
          <w:spacing w:val="-1"/>
          <w:lang w:val="sk-SK"/>
        </w:rPr>
        <w:t>uvolňovaním</w:t>
      </w:r>
      <w:r w:rsidRPr="000E61EB">
        <w:rPr>
          <w:spacing w:val="-4"/>
          <w:lang w:val="sk-SK"/>
        </w:rPr>
        <w:t xml:space="preserve"> </w:t>
      </w:r>
      <w:r w:rsidRPr="000E61EB">
        <w:rPr>
          <w:spacing w:val="-1"/>
          <w:lang w:val="sk-SK"/>
        </w:rPr>
        <w:t>trikrát</w:t>
      </w:r>
      <w:r w:rsidRPr="000E61EB">
        <w:rPr>
          <w:spacing w:val="1"/>
          <w:lang w:val="sk-SK"/>
        </w:rPr>
        <w:t xml:space="preserve"> </w:t>
      </w:r>
      <w:r w:rsidRPr="000E61EB">
        <w:rPr>
          <w:spacing w:val="-1"/>
          <w:lang w:val="sk-SK"/>
        </w:rPr>
        <w:t>denne.</w:t>
      </w:r>
    </w:p>
    <w:p w14:paraId="0D26CB50" w14:textId="77777777" w:rsidR="00DB4D8D" w:rsidRPr="000E61EB" w:rsidRDefault="00DB4D8D" w:rsidP="00D24EE0">
      <w:pPr>
        <w:pStyle w:val="Zkladntext"/>
        <w:ind w:left="0" w:right="165"/>
        <w:rPr>
          <w:rFonts w:eastAsia="Calibri"/>
          <w:lang w:val="sk-SK"/>
        </w:rPr>
      </w:pPr>
    </w:p>
    <w:p w14:paraId="24527FCD" w14:textId="77777777" w:rsidR="00A37AFE" w:rsidRPr="000E61EB" w:rsidRDefault="00A37AFE" w:rsidP="007172A6">
      <w:pPr>
        <w:pStyle w:val="Zkladntext"/>
        <w:spacing w:before="48"/>
        <w:ind w:left="0" w:right="108"/>
        <w:rPr>
          <w:lang w:val="sk-SK"/>
        </w:rPr>
      </w:pPr>
      <w:r w:rsidRPr="000E61EB">
        <w:rPr>
          <w:spacing w:val="-1"/>
          <w:lang w:val="sk-SK"/>
        </w:rPr>
        <w:t>Maximálne</w:t>
      </w:r>
      <w:r w:rsidRPr="000E61EB">
        <w:rPr>
          <w:spacing w:val="-2"/>
          <w:lang w:val="sk-SK"/>
        </w:rPr>
        <w:t xml:space="preserve"> </w:t>
      </w:r>
      <w:r w:rsidRPr="000E61EB">
        <w:rPr>
          <w:spacing w:val="-1"/>
          <w:lang w:val="sk-SK"/>
        </w:rPr>
        <w:t>plazmatické</w:t>
      </w:r>
      <w:r w:rsidRPr="000E61EB">
        <w:rPr>
          <w:lang w:val="sk-SK"/>
        </w:rPr>
        <w:t xml:space="preserve"> </w:t>
      </w:r>
      <w:r w:rsidRPr="000E61EB">
        <w:rPr>
          <w:spacing w:val="-1"/>
          <w:lang w:val="sk-SK"/>
        </w:rPr>
        <w:t>koncentrácie</w:t>
      </w:r>
      <w:r w:rsidRPr="000E61EB">
        <w:rPr>
          <w:spacing w:val="-2"/>
          <w:lang w:val="sk-SK"/>
        </w:rPr>
        <w:t xml:space="preserve"> </w:t>
      </w:r>
      <w:r w:rsidRPr="000E61EB">
        <w:rPr>
          <w:lang w:val="sk-SK"/>
        </w:rPr>
        <w:t xml:space="preserve">sa </w:t>
      </w:r>
      <w:r w:rsidRPr="000E61EB">
        <w:rPr>
          <w:spacing w:val="-1"/>
          <w:lang w:val="sk-SK"/>
        </w:rPr>
        <w:t>objavia</w:t>
      </w:r>
      <w:r w:rsidRPr="000E61EB">
        <w:rPr>
          <w:spacing w:val="-2"/>
          <w:lang w:val="sk-SK"/>
        </w:rPr>
        <w:t xml:space="preserve"> </w:t>
      </w:r>
      <w:r w:rsidRPr="000E61EB">
        <w:rPr>
          <w:spacing w:val="-1"/>
          <w:lang w:val="sk-SK"/>
        </w:rPr>
        <w:t>približne</w:t>
      </w:r>
      <w:r w:rsidRPr="000E61EB">
        <w:rPr>
          <w:lang w:val="sk-SK"/>
        </w:rPr>
        <w:t xml:space="preserve"> 6 hodín</w:t>
      </w:r>
      <w:r w:rsidRPr="000E61EB">
        <w:rPr>
          <w:spacing w:val="-3"/>
          <w:lang w:val="sk-SK"/>
        </w:rPr>
        <w:t xml:space="preserve"> </w:t>
      </w:r>
      <w:r w:rsidRPr="000E61EB">
        <w:rPr>
          <w:lang w:val="sk-SK"/>
        </w:rPr>
        <w:t xml:space="preserve">po </w:t>
      </w:r>
      <w:r w:rsidRPr="000E61EB">
        <w:rPr>
          <w:spacing w:val="-1"/>
          <w:lang w:val="sk-SK"/>
        </w:rPr>
        <w:t>podaní</w:t>
      </w:r>
      <w:r w:rsidRPr="000E61EB">
        <w:rPr>
          <w:spacing w:val="-2"/>
          <w:lang w:val="sk-SK"/>
        </w:rPr>
        <w:t xml:space="preserve"> </w:t>
      </w:r>
      <w:r w:rsidRPr="000E61EB">
        <w:rPr>
          <w:lang w:val="sk-SK"/>
        </w:rPr>
        <w:t>pramipexol</w:t>
      </w:r>
      <w:r w:rsidR="00E17C0F" w:rsidRPr="000E61EB">
        <w:rPr>
          <w:lang w:val="sk-SK"/>
        </w:rPr>
        <w:t>u</w:t>
      </w:r>
      <w:r w:rsidRPr="000E61EB">
        <w:rPr>
          <w:spacing w:val="-3"/>
          <w:lang w:val="sk-SK"/>
        </w:rPr>
        <w:t xml:space="preserve"> </w:t>
      </w:r>
      <w:r w:rsidRPr="000E61EB">
        <w:rPr>
          <w:spacing w:val="-1"/>
          <w:lang w:val="sk-SK"/>
        </w:rPr>
        <w:t>tabliet</w:t>
      </w:r>
    </w:p>
    <w:p w14:paraId="0BFDADBD" w14:textId="77777777" w:rsidR="00A37AFE" w:rsidRPr="000E61EB" w:rsidRDefault="00A37AFE" w:rsidP="007172A6">
      <w:pPr>
        <w:pStyle w:val="Zkladntext"/>
        <w:spacing w:before="1"/>
        <w:ind w:left="0" w:right="189"/>
        <w:rPr>
          <w:spacing w:val="-1"/>
          <w:lang w:val="sk-SK"/>
        </w:rPr>
      </w:pPr>
      <w:r w:rsidRPr="000E61EB">
        <w:rPr>
          <w:lang w:val="sk-SK"/>
        </w:rPr>
        <w:t xml:space="preserve">s </w:t>
      </w:r>
      <w:r w:rsidRPr="000E61EB">
        <w:rPr>
          <w:spacing w:val="-1"/>
          <w:lang w:val="sk-SK"/>
        </w:rPr>
        <w:t>predĺženým</w:t>
      </w:r>
      <w:r w:rsidRPr="000E61EB">
        <w:rPr>
          <w:spacing w:val="-4"/>
          <w:lang w:val="sk-SK"/>
        </w:rPr>
        <w:t xml:space="preserve"> </w:t>
      </w:r>
      <w:r w:rsidRPr="000E61EB">
        <w:rPr>
          <w:spacing w:val="-1"/>
          <w:lang w:val="sk-SK"/>
        </w:rPr>
        <w:t>uvoľňovaním</w:t>
      </w:r>
      <w:r w:rsidRPr="000E61EB">
        <w:rPr>
          <w:spacing w:val="-2"/>
          <w:lang w:val="sk-SK"/>
        </w:rPr>
        <w:t xml:space="preserve"> </w:t>
      </w:r>
      <w:r w:rsidRPr="000E61EB">
        <w:rPr>
          <w:lang w:val="sk-SK"/>
        </w:rPr>
        <w:t>raz</w:t>
      </w:r>
      <w:r w:rsidRPr="000E61EB">
        <w:rPr>
          <w:spacing w:val="-2"/>
          <w:lang w:val="sk-SK"/>
        </w:rPr>
        <w:t xml:space="preserve"> </w:t>
      </w:r>
      <w:r w:rsidRPr="000E61EB">
        <w:rPr>
          <w:lang w:val="sk-SK"/>
        </w:rPr>
        <w:t>denne.</w:t>
      </w:r>
      <w:r w:rsidRPr="000E61EB">
        <w:rPr>
          <w:spacing w:val="-3"/>
          <w:lang w:val="sk-SK"/>
        </w:rPr>
        <w:t xml:space="preserve"> </w:t>
      </w:r>
      <w:r w:rsidRPr="000E61EB">
        <w:rPr>
          <w:spacing w:val="-1"/>
          <w:lang w:val="sk-SK"/>
        </w:rPr>
        <w:t>Rovnovážny</w:t>
      </w:r>
      <w:r w:rsidRPr="000E61EB">
        <w:rPr>
          <w:spacing w:val="-3"/>
          <w:lang w:val="sk-SK"/>
        </w:rPr>
        <w:t xml:space="preserve"> </w:t>
      </w:r>
      <w:r w:rsidRPr="000E61EB">
        <w:rPr>
          <w:lang w:val="sk-SK"/>
        </w:rPr>
        <w:t>stav</w:t>
      </w:r>
      <w:r w:rsidRPr="000E61EB">
        <w:rPr>
          <w:spacing w:val="-3"/>
          <w:lang w:val="sk-SK"/>
        </w:rPr>
        <w:t xml:space="preserve"> </w:t>
      </w:r>
      <w:r w:rsidRPr="000E61EB">
        <w:rPr>
          <w:lang w:val="sk-SK"/>
        </w:rPr>
        <w:t>plochy</w:t>
      </w:r>
      <w:r w:rsidRPr="000E61EB">
        <w:rPr>
          <w:spacing w:val="-3"/>
          <w:lang w:val="sk-SK"/>
        </w:rPr>
        <w:t xml:space="preserve"> </w:t>
      </w:r>
      <w:r w:rsidRPr="000E61EB">
        <w:rPr>
          <w:lang w:val="sk-SK"/>
        </w:rPr>
        <w:t xml:space="preserve">pod </w:t>
      </w:r>
      <w:r w:rsidRPr="000E61EB">
        <w:rPr>
          <w:spacing w:val="-2"/>
          <w:lang w:val="sk-SK"/>
        </w:rPr>
        <w:t>krivkou</w:t>
      </w:r>
      <w:r w:rsidRPr="000E61EB">
        <w:rPr>
          <w:lang w:val="sk-SK"/>
        </w:rPr>
        <w:t xml:space="preserve"> sa </w:t>
      </w:r>
      <w:r w:rsidRPr="000E61EB">
        <w:rPr>
          <w:spacing w:val="-1"/>
          <w:lang w:val="sk-SK"/>
        </w:rPr>
        <w:t>dosiahne</w:t>
      </w:r>
      <w:r w:rsidRPr="000E61EB">
        <w:rPr>
          <w:lang w:val="sk-SK"/>
        </w:rPr>
        <w:t xml:space="preserve"> </w:t>
      </w:r>
      <w:r w:rsidRPr="000E61EB">
        <w:rPr>
          <w:spacing w:val="-1"/>
          <w:lang w:val="sk-SK"/>
        </w:rPr>
        <w:t>najneskôr</w:t>
      </w:r>
      <w:r w:rsidRPr="000E61EB">
        <w:rPr>
          <w:spacing w:val="1"/>
          <w:lang w:val="sk-SK"/>
        </w:rPr>
        <w:t xml:space="preserve"> </w:t>
      </w:r>
      <w:r w:rsidRPr="000E61EB">
        <w:rPr>
          <w:lang w:val="sk-SK"/>
        </w:rPr>
        <w:t>po</w:t>
      </w:r>
      <w:r w:rsidRPr="000E61EB">
        <w:rPr>
          <w:spacing w:val="67"/>
          <w:lang w:val="sk-SK"/>
        </w:rPr>
        <w:t xml:space="preserve"> </w:t>
      </w:r>
      <w:r w:rsidRPr="000E61EB">
        <w:rPr>
          <w:lang w:val="sk-SK"/>
        </w:rPr>
        <w:t>5 dňoch</w:t>
      </w:r>
      <w:r w:rsidRPr="000E61EB">
        <w:rPr>
          <w:spacing w:val="-3"/>
          <w:lang w:val="sk-SK"/>
        </w:rPr>
        <w:t xml:space="preserve"> </w:t>
      </w:r>
      <w:r w:rsidRPr="000E61EB">
        <w:rPr>
          <w:spacing w:val="-1"/>
          <w:lang w:val="sk-SK"/>
        </w:rPr>
        <w:t>súvislého</w:t>
      </w:r>
      <w:r w:rsidRPr="000E61EB">
        <w:rPr>
          <w:lang w:val="sk-SK"/>
        </w:rPr>
        <w:t xml:space="preserve"> </w:t>
      </w:r>
      <w:r w:rsidRPr="000E61EB">
        <w:rPr>
          <w:spacing w:val="-1"/>
          <w:lang w:val="sk-SK"/>
        </w:rPr>
        <w:t>užívania.</w:t>
      </w:r>
    </w:p>
    <w:p w14:paraId="1DFEE0D3" w14:textId="77777777" w:rsidR="00634748" w:rsidRPr="000E61EB" w:rsidRDefault="00634748" w:rsidP="00A37AFE">
      <w:pPr>
        <w:pStyle w:val="Zkladntext"/>
        <w:spacing w:before="1"/>
        <w:ind w:right="189"/>
        <w:rPr>
          <w:spacing w:val="-1"/>
          <w:lang w:val="sk-SK"/>
        </w:rPr>
      </w:pPr>
    </w:p>
    <w:p w14:paraId="5603C07A" w14:textId="77777777" w:rsidR="00634748" w:rsidRPr="000E61EB" w:rsidRDefault="00634748" w:rsidP="007172A6">
      <w:pPr>
        <w:pStyle w:val="Zkladntext"/>
        <w:ind w:left="0" w:right="700"/>
        <w:jc w:val="both"/>
        <w:rPr>
          <w:lang w:val="sk-SK"/>
        </w:rPr>
      </w:pPr>
      <w:r w:rsidRPr="000E61EB">
        <w:rPr>
          <w:spacing w:val="-1"/>
          <w:lang w:val="sk-SK"/>
        </w:rPr>
        <w:t>Súčasné</w:t>
      </w:r>
      <w:r w:rsidRPr="000E61EB">
        <w:rPr>
          <w:lang w:val="sk-SK"/>
        </w:rPr>
        <w:t xml:space="preserve"> </w:t>
      </w:r>
      <w:r w:rsidRPr="000E61EB">
        <w:rPr>
          <w:spacing w:val="-1"/>
          <w:lang w:val="sk-SK"/>
        </w:rPr>
        <w:t>podávanie</w:t>
      </w:r>
      <w:r w:rsidRPr="000E61EB">
        <w:rPr>
          <w:lang w:val="sk-SK"/>
        </w:rPr>
        <w:t xml:space="preserve"> s</w:t>
      </w:r>
      <w:r w:rsidRPr="000E61EB">
        <w:rPr>
          <w:spacing w:val="-2"/>
          <w:lang w:val="sk-SK"/>
        </w:rPr>
        <w:t xml:space="preserve"> </w:t>
      </w:r>
      <w:r w:rsidRPr="000E61EB">
        <w:rPr>
          <w:spacing w:val="-1"/>
          <w:lang w:val="sk-SK"/>
        </w:rPr>
        <w:t>jedlom</w:t>
      </w:r>
      <w:r w:rsidRPr="000E61EB">
        <w:rPr>
          <w:spacing w:val="-2"/>
          <w:lang w:val="sk-SK"/>
        </w:rPr>
        <w:t xml:space="preserve"> vo</w:t>
      </w:r>
      <w:r w:rsidRPr="000E61EB">
        <w:rPr>
          <w:spacing w:val="2"/>
          <w:lang w:val="sk-SK"/>
        </w:rPr>
        <w:t xml:space="preserve"> </w:t>
      </w:r>
      <w:r w:rsidRPr="000E61EB">
        <w:rPr>
          <w:spacing w:val="-1"/>
          <w:lang w:val="sk-SK"/>
        </w:rPr>
        <w:t>všeobecnosti</w:t>
      </w:r>
      <w:r w:rsidRPr="000E61EB">
        <w:rPr>
          <w:spacing w:val="1"/>
          <w:lang w:val="sk-SK"/>
        </w:rPr>
        <w:t xml:space="preserve"> </w:t>
      </w:r>
      <w:r w:rsidRPr="000E61EB">
        <w:rPr>
          <w:spacing w:val="-1"/>
          <w:lang w:val="sk-SK"/>
        </w:rPr>
        <w:t>neovplyvňuje</w:t>
      </w:r>
      <w:r w:rsidRPr="000E61EB">
        <w:rPr>
          <w:spacing w:val="-2"/>
          <w:lang w:val="sk-SK"/>
        </w:rPr>
        <w:t xml:space="preserve"> </w:t>
      </w:r>
      <w:r w:rsidRPr="000E61EB">
        <w:rPr>
          <w:spacing w:val="-1"/>
          <w:lang w:val="sk-SK"/>
        </w:rPr>
        <w:t>biologickú</w:t>
      </w:r>
      <w:r w:rsidRPr="000E61EB">
        <w:rPr>
          <w:lang w:val="sk-SK"/>
        </w:rPr>
        <w:t xml:space="preserve"> </w:t>
      </w:r>
      <w:r w:rsidRPr="000E61EB">
        <w:rPr>
          <w:spacing w:val="-1"/>
          <w:lang w:val="sk-SK"/>
        </w:rPr>
        <w:t>dostupnosť pramipexolu.</w:t>
      </w:r>
      <w:r w:rsidRPr="000E61EB">
        <w:rPr>
          <w:spacing w:val="73"/>
          <w:lang w:val="sk-SK"/>
        </w:rPr>
        <w:t xml:space="preserve"> </w:t>
      </w:r>
      <w:r w:rsidRPr="000E61EB">
        <w:rPr>
          <w:spacing w:val="-1"/>
          <w:lang w:val="sk-SK"/>
        </w:rPr>
        <w:t>Konzumácia</w:t>
      </w:r>
      <w:r w:rsidRPr="000E61EB">
        <w:rPr>
          <w:lang w:val="sk-SK"/>
        </w:rPr>
        <w:t xml:space="preserve"> </w:t>
      </w:r>
      <w:r w:rsidRPr="000E61EB">
        <w:rPr>
          <w:spacing w:val="-1"/>
          <w:lang w:val="sk-SK"/>
        </w:rPr>
        <w:t>potravín</w:t>
      </w:r>
      <w:r w:rsidRPr="000E61EB">
        <w:rPr>
          <w:spacing w:val="-3"/>
          <w:lang w:val="sk-SK"/>
        </w:rPr>
        <w:t xml:space="preserve"> </w:t>
      </w:r>
      <w:r w:rsidRPr="000E61EB">
        <w:rPr>
          <w:lang w:val="sk-SK"/>
        </w:rPr>
        <w:t xml:space="preserve">s </w:t>
      </w:r>
      <w:r w:rsidRPr="000E61EB">
        <w:rPr>
          <w:spacing w:val="-1"/>
          <w:lang w:val="sk-SK"/>
        </w:rPr>
        <w:t>vysokým</w:t>
      </w:r>
      <w:r w:rsidRPr="000E61EB">
        <w:rPr>
          <w:spacing w:val="-4"/>
          <w:lang w:val="sk-SK"/>
        </w:rPr>
        <w:t xml:space="preserve"> </w:t>
      </w:r>
      <w:r w:rsidRPr="000E61EB">
        <w:rPr>
          <w:lang w:val="sk-SK"/>
        </w:rPr>
        <w:t>obsahom</w:t>
      </w:r>
      <w:r w:rsidRPr="000E61EB">
        <w:rPr>
          <w:spacing w:val="-4"/>
          <w:lang w:val="sk-SK"/>
        </w:rPr>
        <w:t xml:space="preserve"> </w:t>
      </w:r>
      <w:r w:rsidRPr="000E61EB">
        <w:rPr>
          <w:spacing w:val="-1"/>
          <w:lang w:val="sk-SK"/>
        </w:rPr>
        <w:t>tuku</w:t>
      </w:r>
      <w:r w:rsidRPr="000E61EB">
        <w:rPr>
          <w:lang w:val="sk-SK"/>
        </w:rPr>
        <w:t xml:space="preserve"> </w:t>
      </w:r>
      <w:r w:rsidRPr="000E61EB">
        <w:rPr>
          <w:spacing w:val="-1"/>
          <w:lang w:val="sk-SK"/>
        </w:rPr>
        <w:t>zvyšuje</w:t>
      </w:r>
      <w:r w:rsidRPr="000E61EB">
        <w:rPr>
          <w:lang w:val="sk-SK"/>
        </w:rPr>
        <w:t xml:space="preserve"> u </w:t>
      </w:r>
      <w:r w:rsidRPr="000E61EB">
        <w:rPr>
          <w:spacing w:val="-1"/>
          <w:lang w:val="sk-SK"/>
        </w:rPr>
        <w:t>zdravých</w:t>
      </w:r>
      <w:r w:rsidRPr="000E61EB">
        <w:rPr>
          <w:lang w:val="sk-SK"/>
        </w:rPr>
        <w:t xml:space="preserve"> </w:t>
      </w:r>
      <w:r w:rsidRPr="000E61EB">
        <w:rPr>
          <w:spacing w:val="-1"/>
          <w:lang w:val="sk-SK"/>
        </w:rPr>
        <w:t>dobrovoľníkov</w:t>
      </w:r>
      <w:r w:rsidRPr="000E61EB">
        <w:rPr>
          <w:spacing w:val="-3"/>
          <w:lang w:val="sk-SK"/>
        </w:rPr>
        <w:t xml:space="preserve"> </w:t>
      </w:r>
      <w:r w:rsidRPr="000E61EB">
        <w:rPr>
          <w:spacing w:val="-1"/>
          <w:lang w:val="sk-SK"/>
        </w:rPr>
        <w:t>plazmatickú</w:t>
      </w:r>
      <w:r w:rsidRPr="000E61EB">
        <w:rPr>
          <w:spacing w:val="69"/>
          <w:lang w:val="sk-SK"/>
        </w:rPr>
        <w:t xml:space="preserve"> </w:t>
      </w:r>
      <w:r w:rsidRPr="000E61EB">
        <w:rPr>
          <w:spacing w:val="-1"/>
          <w:lang w:val="sk-SK"/>
        </w:rPr>
        <w:t xml:space="preserve">koncentráciu </w:t>
      </w:r>
      <w:r w:rsidRPr="000E61EB">
        <w:rPr>
          <w:spacing w:val="2"/>
          <w:lang w:val="sk-SK"/>
        </w:rPr>
        <w:t>(C</w:t>
      </w:r>
      <w:r w:rsidRPr="000E61EB">
        <w:rPr>
          <w:spacing w:val="2"/>
          <w:position w:val="-2"/>
          <w:sz w:val="14"/>
          <w:lang w:val="sk-SK"/>
        </w:rPr>
        <w:t>max</w:t>
      </w:r>
      <w:r w:rsidRPr="000E61EB">
        <w:rPr>
          <w:spacing w:val="2"/>
          <w:lang w:val="sk-SK"/>
        </w:rPr>
        <w:t>)</w:t>
      </w:r>
      <w:r w:rsidRPr="000E61EB">
        <w:rPr>
          <w:spacing w:val="1"/>
          <w:lang w:val="sk-SK"/>
        </w:rPr>
        <w:t xml:space="preserve"> </w:t>
      </w:r>
      <w:r w:rsidRPr="000E61EB">
        <w:rPr>
          <w:lang w:val="sk-SK"/>
        </w:rPr>
        <w:t>asi</w:t>
      </w:r>
      <w:r w:rsidRPr="000E61EB">
        <w:rPr>
          <w:spacing w:val="1"/>
          <w:lang w:val="sk-SK"/>
        </w:rPr>
        <w:t xml:space="preserve"> </w:t>
      </w:r>
      <w:r w:rsidRPr="000E61EB">
        <w:rPr>
          <w:lang w:val="sk-SK"/>
        </w:rPr>
        <w:t xml:space="preserve">o </w:t>
      </w:r>
      <w:r w:rsidRPr="000E61EB">
        <w:rPr>
          <w:spacing w:val="-1"/>
          <w:lang w:val="sk-SK"/>
        </w:rPr>
        <w:t>24</w:t>
      </w:r>
      <w:r w:rsidR="00E17C0F" w:rsidRPr="000E61EB">
        <w:rPr>
          <w:spacing w:val="-1"/>
          <w:lang w:val="sk-SK"/>
        </w:rPr>
        <w:t xml:space="preserve"> </w:t>
      </w:r>
      <w:r w:rsidRPr="000E61EB">
        <w:rPr>
          <w:spacing w:val="-1"/>
          <w:lang w:val="sk-SK"/>
        </w:rPr>
        <w:t>%</w:t>
      </w:r>
      <w:r w:rsidRPr="000E61EB">
        <w:rPr>
          <w:spacing w:val="1"/>
          <w:lang w:val="sk-SK"/>
        </w:rPr>
        <w:t xml:space="preserve"> </w:t>
      </w:r>
      <w:r w:rsidRPr="000E61EB">
        <w:rPr>
          <w:lang w:val="sk-SK"/>
        </w:rPr>
        <w:t xml:space="preserve">po </w:t>
      </w:r>
      <w:r w:rsidRPr="000E61EB">
        <w:rPr>
          <w:spacing w:val="-1"/>
          <w:lang w:val="sk-SK"/>
        </w:rPr>
        <w:t>podaní</w:t>
      </w:r>
      <w:r w:rsidRPr="000E61EB">
        <w:rPr>
          <w:spacing w:val="-3"/>
          <w:lang w:val="sk-SK"/>
        </w:rPr>
        <w:t xml:space="preserve"> </w:t>
      </w:r>
      <w:r w:rsidRPr="000E61EB">
        <w:rPr>
          <w:spacing w:val="-1"/>
          <w:lang w:val="sk-SK"/>
        </w:rPr>
        <w:t>jednej</w:t>
      </w:r>
      <w:r w:rsidRPr="000E61EB">
        <w:rPr>
          <w:spacing w:val="1"/>
          <w:lang w:val="sk-SK"/>
        </w:rPr>
        <w:t xml:space="preserve"> </w:t>
      </w:r>
      <w:r w:rsidRPr="000E61EB">
        <w:rPr>
          <w:spacing w:val="-2"/>
          <w:lang w:val="sk-SK"/>
        </w:rPr>
        <w:t>dávky</w:t>
      </w:r>
      <w:r w:rsidRPr="000E61EB">
        <w:rPr>
          <w:lang w:val="sk-SK"/>
        </w:rPr>
        <w:t xml:space="preserve"> a</w:t>
      </w:r>
      <w:r w:rsidRPr="000E61EB">
        <w:rPr>
          <w:spacing w:val="-1"/>
          <w:lang w:val="sk-SK"/>
        </w:rPr>
        <w:t xml:space="preserve"> asi</w:t>
      </w:r>
      <w:r w:rsidRPr="000E61EB">
        <w:rPr>
          <w:spacing w:val="1"/>
          <w:lang w:val="sk-SK"/>
        </w:rPr>
        <w:t xml:space="preserve"> </w:t>
      </w:r>
      <w:r w:rsidRPr="000E61EB">
        <w:rPr>
          <w:lang w:val="sk-SK"/>
        </w:rPr>
        <w:t xml:space="preserve">o </w:t>
      </w:r>
      <w:r w:rsidRPr="000E61EB">
        <w:rPr>
          <w:spacing w:val="-1"/>
          <w:lang w:val="sk-SK"/>
        </w:rPr>
        <w:t>20</w:t>
      </w:r>
      <w:r w:rsidR="00E17C0F" w:rsidRPr="000E61EB">
        <w:rPr>
          <w:spacing w:val="-1"/>
          <w:lang w:val="sk-SK"/>
        </w:rPr>
        <w:t xml:space="preserve"> </w:t>
      </w:r>
      <w:r w:rsidRPr="000E61EB">
        <w:rPr>
          <w:spacing w:val="-1"/>
          <w:lang w:val="sk-SK"/>
        </w:rPr>
        <w:t>%</w:t>
      </w:r>
      <w:r w:rsidRPr="000E61EB">
        <w:rPr>
          <w:spacing w:val="1"/>
          <w:lang w:val="sk-SK"/>
        </w:rPr>
        <w:t xml:space="preserve"> </w:t>
      </w:r>
      <w:r w:rsidRPr="000E61EB">
        <w:rPr>
          <w:lang w:val="sk-SK"/>
        </w:rPr>
        <w:t>po</w:t>
      </w:r>
      <w:r w:rsidRPr="000E61EB">
        <w:rPr>
          <w:spacing w:val="-4"/>
          <w:lang w:val="sk-SK"/>
        </w:rPr>
        <w:t xml:space="preserve"> </w:t>
      </w:r>
      <w:r w:rsidRPr="000E61EB">
        <w:rPr>
          <w:spacing w:val="-1"/>
          <w:lang w:val="sk-SK"/>
        </w:rPr>
        <w:t>podaní</w:t>
      </w:r>
      <w:r w:rsidRPr="000E61EB">
        <w:rPr>
          <w:spacing w:val="1"/>
          <w:lang w:val="sk-SK"/>
        </w:rPr>
        <w:t xml:space="preserve"> </w:t>
      </w:r>
      <w:r w:rsidRPr="000E61EB">
        <w:rPr>
          <w:spacing w:val="-2"/>
          <w:lang w:val="sk-SK"/>
        </w:rPr>
        <w:t>opakovanej</w:t>
      </w:r>
      <w:r w:rsidRPr="000E61EB">
        <w:rPr>
          <w:spacing w:val="3"/>
          <w:lang w:val="sk-SK"/>
        </w:rPr>
        <w:t xml:space="preserve"> </w:t>
      </w:r>
      <w:r w:rsidRPr="000E61EB">
        <w:rPr>
          <w:spacing w:val="-2"/>
          <w:lang w:val="sk-SK"/>
        </w:rPr>
        <w:t>dávky</w:t>
      </w:r>
    </w:p>
    <w:p w14:paraId="68FBE4E4" w14:textId="77777777" w:rsidR="00634748" w:rsidRPr="000E61EB" w:rsidRDefault="00634748" w:rsidP="007172A6">
      <w:pPr>
        <w:pStyle w:val="Zkladntext"/>
        <w:spacing w:line="239" w:lineRule="exact"/>
        <w:ind w:left="0"/>
        <w:rPr>
          <w:lang w:val="sk-SK"/>
        </w:rPr>
      </w:pPr>
      <w:r w:rsidRPr="000E61EB">
        <w:rPr>
          <w:lang w:val="sk-SK"/>
        </w:rPr>
        <w:t xml:space="preserve">a </w:t>
      </w:r>
      <w:r w:rsidRPr="000E61EB">
        <w:rPr>
          <w:spacing w:val="-1"/>
          <w:lang w:val="sk-SK"/>
        </w:rPr>
        <w:t>spôsobuje</w:t>
      </w:r>
      <w:r w:rsidRPr="000E61EB">
        <w:rPr>
          <w:lang w:val="sk-SK"/>
        </w:rPr>
        <w:t xml:space="preserve"> </w:t>
      </w:r>
      <w:r w:rsidRPr="000E61EB">
        <w:rPr>
          <w:spacing w:val="-1"/>
          <w:lang w:val="sk-SK"/>
        </w:rPr>
        <w:t>asi</w:t>
      </w:r>
      <w:r w:rsidRPr="000E61EB">
        <w:rPr>
          <w:spacing w:val="1"/>
          <w:lang w:val="sk-SK"/>
        </w:rPr>
        <w:t xml:space="preserve"> </w:t>
      </w:r>
      <w:r w:rsidRPr="000E61EB">
        <w:rPr>
          <w:spacing w:val="-1"/>
          <w:lang w:val="sk-SK"/>
        </w:rPr>
        <w:t>2-hodinové</w:t>
      </w:r>
      <w:r w:rsidRPr="000E61EB">
        <w:rPr>
          <w:spacing w:val="-2"/>
          <w:lang w:val="sk-SK"/>
        </w:rPr>
        <w:t xml:space="preserve"> </w:t>
      </w:r>
      <w:r w:rsidRPr="000E61EB">
        <w:rPr>
          <w:spacing w:val="-1"/>
          <w:lang w:val="sk-SK"/>
        </w:rPr>
        <w:t>oneskorenie</w:t>
      </w:r>
      <w:r w:rsidRPr="000E61EB">
        <w:rPr>
          <w:lang w:val="sk-SK"/>
        </w:rPr>
        <w:t xml:space="preserve"> v</w:t>
      </w:r>
      <w:r w:rsidRPr="000E61EB">
        <w:rPr>
          <w:spacing w:val="-3"/>
          <w:lang w:val="sk-SK"/>
        </w:rPr>
        <w:t xml:space="preserve"> </w:t>
      </w:r>
      <w:r w:rsidRPr="000E61EB">
        <w:rPr>
          <w:spacing w:val="-1"/>
          <w:lang w:val="sk-SK"/>
        </w:rPr>
        <w:t>dosiahnutí</w:t>
      </w:r>
      <w:r w:rsidRPr="000E61EB">
        <w:rPr>
          <w:spacing w:val="-2"/>
          <w:lang w:val="sk-SK"/>
        </w:rPr>
        <w:t xml:space="preserve"> </w:t>
      </w:r>
      <w:r w:rsidRPr="000E61EB">
        <w:rPr>
          <w:spacing w:val="-1"/>
          <w:lang w:val="sk-SK"/>
        </w:rPr>
        <w:t>maximálnej</w:t>
      </w:r>
      <w:r w:rsidRPr="000E61EB">
        <w:rPr>
          <w:spacing w:val="1"/>
          <w:lang w:val="sk-SK"/>
        </w:rPr>
        <w:t xml:space="preserve"> </w:t>
      </w:r>
      <w:r w:rsidRPr="000E61EB">
        <w:rPr>
          <w:spacing w:val="-1"/>
          <w:lang w:val="sk-SK"/>
        </w:rPr>
        <w:t>koncentrácie.</w:t>
      </w:r>
      <w:r w:rsidRPr="000E61EB">
        <w:rPr>
          <w:spacing w:val="-3"/>
          <w:lang w:val="sk-SK"/>
        </w:rPr>
        <w:t xml:space="preserve"> </w:t>
      </w:r>
      <w:r w:rsidRPr="000E61EB">
        <w:rPr>
          <w:spacing w:val="-2"/>
          <w:lang w:val="sk-SK"/>
        </w:rPr>
        <w:t>Celkovú</w:t>
      </w:r>
      <w:r w:rsidRPr="000E61EB">
        <w:rPr>
          <w:lang w:val="sk-SK"/>
        </w:rPr>
        <w:t xml:space="preserve"> plochu pod</w:t>
      </w:r>
    </w:p>
    <w:p w14:paraId="2288FBD0" w14:textId="77777777" w:rsidR="00634748" w:rsidRPr="000E61EB" w:rsidRDefault="00634748" w:rsidP="007172A6">
      <w:pPr>
        <w:pStyle w:val="Zkladntext"/>
        <w:ind w:left="0" w:right="165"/>
        <w:rPr>
          <w:lang w:val="sk-SK"/>
        </w:rPr>
      </w:pPr>
      <w:r w:rsidRPr="000E61EB">
        <w:rPr>
          <w:spacing w:val="-1"/>
          <w:lang w:val="sk-SK"/>
        </w:rPr>
        <w:t>krivkou (AUC)</w:t>
      </w:r>
      <w:r w:rsidRPr="000E61EB">
        <w:rPr>
          <w:spacing w:val="1"/>
          <w:lang w:val="sk-SK"/>
        </w:rPr>
        <w:t xml:space="preserve"> </w:t>
      </w:r>
      <w:r w:rsidRPr="000E61EB">
        <w:rPr>
          <w:spacing w:val="-1"/>
          <w:lang w:val="sk-SK"/>
        </w:rPr>
        <w:t>neovplyvnil</w:t>
      </w:r>
      <w:r w:rsidRPr="000E61EB">
        <w:rPr>
          <w:spacing w:val="1"/>
          <w:lang w:val="sk-SK"/>
        </w:rPr>
        <w:t xml:space="preserve"> </w:t>
      </w:r>
      <w:r w:rsidRPr="000E61EB">
        <w:rPr>
          <w:spacing w:val="-1"/>
          <w:lang w:val="sk-SK"/>
        </w:rPr>
        <w:t>príjem</w:t>
      </w:r>
      <w:r w:rsidRPr="000E61EB">
        <w:rPr>
          <w:spacing w:val="-4"/>
          <w:lang w:val="sk-SK"/>
        </w:rPr>
        <w:t xml:space="preserve"> </w:t>
      </w:r>
      <w:r w:rsidRPr="000E61EB">
        <w:rPr>
          <w:spacing w:val="-1"/>
          <w:lang w:val="sk-SK"/>
        </w:rPr>
        <w:t>potravy.</w:t>
      </w:r>
      <w:r w:rsidRPr="000E61EB">
        <w:rPr>
          <w:lang w:val="sk-SK"/>
        </w:rPr>
        <w:t xml:space="preserve"> </w:t>
      </w:r>
      <w:r w:rsidRPr="000E61EB">
        <w:rPr>
          <w:spacing w:val="-1"/>
          <w:lang w:val="sk-SK"/>
        </w:rPr>
        <w:t xml:space="preserve">Zvýšená </w:t>
      </w:r>
      <w:r w:rsidRPr="000E61EB">
        <w:rPr>
          <w:spacing w:val="2"/>
          <w:lang w:val="sk-SK"/>
        </w:rPr>
        <w:t>C</w:t>
      </w:r>
      <w:r w:rsidRPr="000E61EB">
        <w:rPr>
          <w:spacing w:val="2"/>
          <w:position w:val="-2"/>
          <w:sz w:val="14"/>
          <w:lang w:val="sk-SK"/>
        </w:rPr>
        <w:t>max</w:t>
      </w:r>
      <w:r w:rsidRPr="000E61EB">
        <w:rPr>
          <w:spacing w:val="29"/>
          <w:position w:val="-2"/>
          <w:sz w:val="14"/>
          <w:lang w:val="sk-SK"/>
        </w:rPr>
        <w:t xml:space="preserve"> </w:t>
      </w:r>
      <w:r w:rsidRPr="000E61EB">
        <w:rPr>
          <w:lang w:val="sk-SK"/>
        </w:rPr>
        <w:t xml:space="preserve">sa </w:t>
      </w:r>
      <w:r w:rsidRPr="000E61EB">
        <w:rPr>
          <w:spacing w:val="-1"/>
          <w:lang w:val="sk-SK"/>
        </w:rPr>
        <w:t>nepovažuje</w:t>
      </w:r>
      <w:r w:rsidRPr="000E61EB">
        <w:rPr>
          <w:lang w:val="sk-SK"/>
        </w:rPr>
        <w:t xml:space="preserve"> </w:t>
      </w:r>
      <w:r w:rsidRPr="000E61EB">
        <w:rPr>
          <w:spacing w:val="-1"/>
          <w:lang w:val="sk-SK"/>
        </w:rPr>
        <w:t>za</w:t>
      </w:r>
      <w:r w:rsidRPr="000E61EB">
        <w:rPr>
          <w:lang w:val="sk-SK"/>
        </w:rPr>
        <w:t xml:space="preserve"> </w:t>
      </w:r>
      <w:r w:rsidRPr="000E61EB">
        <w:rPr>
          <w:spacing w:val="-2"/>
          <w:lang w:val="sk-SK"/>
        </w:rPr>
        <w:t>klinicky</w:t>
      </w:r>
      <w:r w:rsidRPr="000E61EB">
        <w:rPr>
          <w:spacing w:val="-1"/>
          <w:lang w:val="sk-SK"/>
        </w:rPr>
        <w:t xml:space="preserve"> významnú.</w:t>
      </w:r>
      <w:r w:rsidRPr="000E61EB">
        <w:rPr>
          <w:lang w:val="sk-SK"/>
        </w:rPr>
        <w:t xml:space="preserve"> Vo</w:t>
      </w:r>
      <w:r w:rsidRPr="000E61EB">
        <w:rPr>
          <w:spacing w:val="69"/>
          <w:lang w:val="sk-SK"/>
        </w:rPr>
        <w:t xml:space="preserve"> </w:t>
      </w:r>
      <w:r w:rsidRPr="000E61EB">
        <w:rPr>
          <w:spacing w:val="-1"/>
          <w:lang w:val="sk-SK"/>
        </w:rPr>
        <w:t>fáze</w:t>
      </w:r>
      <w:r w:rsidRPr="000E61EB">
        <w:rPr>
          <w:lang w:val="sk-SK"/>
        </w:rPr>
        <w:t xml:space="preserve"> </w:t>
      </w:r>
      <w:r w:rsidRPr="000E61EB">
        <w:rPr>
          <w:spacing w:val="-2"/>
          <w:lang w:val="sk-SK"/>
        </w:rPr>
        <w:t>III</w:t>
      </w:r>
      <w:r w:rsidRPr="000E61EB">
        <w:rPr>
          <w:spacing w:val="1"/>
          <w:lang w:val="sk-SK"/>
        </w:rPr>
        <w:t xml:space="preserve"> </w:t>
      </w:r>
      <w:r w:rsidRPr="000E61EB">
        <w:rPr>
          <w:spacing w:val="-1"/>
          <w:lang w:val="sk-SK"/>
        </w:rPr>
        <w:t>klinických</w:t>
      </w:r>
      <w:r w:rsidRPr="000E61EB">
        <w:rPr>
          <w:lang w:val="sk-SK"/>
        </w:rPr>
        <w:t xml:space="preserve"> štúdií, </w:t>
      </w:r>
      <w:r w:rsidRPr="000E61EB">
        <w:rPr>
          <w:spacing w:val="-1"/>
          <w:lang w:val="sk-SK"/>
        </w:rPr>
        <w:t>ktoré</w:t>
      </w:r>
      <w:r w:rsidRPr="000E61EB">
        <w:rPr>
          <w:lang w:val="sk-SK"/>
        </w:rPr>
        <w:t xml:space="preserve"> </w:t>
      </w:r>
      <w:r w:rsidRPr="000E61EB">
        <w:rPr>
          <w:spacing w:val="-1"/>
          <w:lang w:val="sk-SK"/>
        </w:rPr>
        <w:t>určovali</w:t>
      </w:r>
      <w:r w:rsidRPr="000E61EB">
        <w:rPr>
          <w:spacing w:val="1"/>
          <w:lang w:val="sk-SK"/>
        </w:rPr>
        <w:t xml:space="preserve"> </w:t>
      </w:r>
      <w:r w:rsidRPr="000E61EB">
        <w:rPr>
          <w:spacing w:val="-1"/>
          <w:lang w:val="sk-SK"/>
        </w:rPr>
        <w:t xml:space="preserve">bezpečnosť </w:t>
      </w:r>
      <w:r w:rsidRPr="000E61EB">
        <w:rPr>
          <w:lang w:val="sk-SK"/>
        </w:rPr>
        <w:t xml:space="preserve">a </w:t>
      </w:r>
      <w:r w:rsidRPr="000E61EB">
        <w:rPr>
          <w:spacing w:val="-1"/>
          <w:lang w:val="sk-SK"/>
        </w:rPr>
        <w:t>účinnosť pramipexol</w:t>
      </w:r>
      <w:r w:rsidR="00E17C0F" w:rsidRPr="000E61EB">
        <w:rPr>
          <w:spacing w:val="-1"/>
          <w:lang w:val="sk-SK"/>
        </w:rPr>
        <w:t>u</w:t>
      </w:r>
      <w:r w:rsidRPr="000E61EB">
        <w:rPr>
          <w:lang w:val="sk-SK"/>
        </w:rPr>
        <w:t xml:space="preserve"> </w:t>
      </w:r>
      <w:r w:rsidRPr="000E61EB">
        <w:rPr>
          <w:spacing w:val="-1"/>
          <w:lang w:val="sk-SK"/>
        </w:rPr>
        <w:t>tabliet</w:t>
      </w:r>
      <w:r w:rsidRPr="000E61EB">
        <w:rPr>
          <w:spacing w:val="1"/>
          <w:lang w:val="sk-SK"/>
        </w:rPr>
        <w:t xml:space="preserve"> </w:t>
      </w:r>
      <w:r w:rsidRPr="000E61EB">
        <w:rPr>
          <w:lang w:val="sk-SK"/>
        </w:rPr>
        <w:t>s</w:t>
      </w:r>
      <w:r w:rsidRPr="000E61EB">
        <w:rPr>
          <w:spacing w:val="-3"/>
          <w:lang w:val="sk-SK"/>
        </w:rPr>
        <w:t xml:space="preserve"> </w:t>
      </w:r>
      <w:r w:rsidRPr="000E61EB">
        <w:rPr>
          <w:spacing w:val="-1"/>
          <w:lang w:val="sk-SK"/>
        </w:rPr>
        <w:t>predĺženým</w:t>
      </w:r>
      <w:r w:rsidRPr="000E61EB">
        <w:rPr>
          <w:spacing w:val="55"/>
          <w:lang w:val="sk-SK"/>
        </w:rPr>
        <w:t xml:space="preserve"> </w:t>
      </w:r>
      <w:r w:rsidRPr="000E61EB">
        <w:rPr>
          <w:spacing w:val="-1"/>
          <w:lang w:val="sk-SK"/>
        </w:rPr>
        <w:t>uvoľňovaním,</w:t>
      </w:r>
      <w:r w:rsidRPr="000E61EB">
        <w:rPr>
          <w:lang w:val="sk-SK"/>
        </w:rPr>
        <w:t xml:space="preserve"> boli pacienti poučení, aby užívali skúšaný liek bez ohľadu na konzumované potraviny.</w:t>
      </w:r>
    </w:p>
    <w:p w14:paraId="7C310D23" w14:textId="77777777" w:rsidR="00634748" w:rsidRPr="000E61EB" w:rsidRDefault="00634748" w:rsidP="007172A6">
      <w:pPr>
        <w:pStyle w:val="Zkladntext"/>
        <w:ind w:left="0" w:right="165"/>
        <w:rPr>
          <w:lang w:val="sk-SK"/>
        </w:rPr>
      </w:pPr>
    </w:p>
    <w:p w14:paraId="00D1E8DC" w14:textId="77777777" w:rsidR="00634748" w:rsidRPr="000E61EB" w:rsidRDefault="00634748" w:rsidP="007172A6">
      <w:pPr>
        <w:pStyle w:val="Zkladntext"/>
        <w:ind w:left="0" w:right="165"/>
        <w:rPr>
          <w:lang w:val="sk-SK"/>
        </w:rPr>
      </w:pPr>
      <w:r w:rsidRPr="000E61EB">
        <w:rPr>
          <w:lang w:val="sk-SK"/>
        </w:rPr>
        <w:t xml:space="preserve">Keďže telesná hmotnosť nemá žiadny dopad na AUC, nezistil sa žiaden vplyv na distribučný objem a tým aj na maximálnu koncentráciu Cmax.Telesná hmotnoť znížená o o 30 kg </w:t>
      </w:r>
      <w:r w:rsidR="004F1E42" w:rsidRPr="000E61EB">
        <w:rPr>
          <w:lang w:val="sk-SK"/>
        </w:rPr>
        <w:t>v</w:t>
      </w:r>
      <w:r w:rsidRPr="000E61EB">
        <w:rPr>
          <w:lang w:val="sk-SK"/>
        </w:rPr>
        <w:t>edie k zvýšeniu Cmax o 45%. Vo fáze III klinických štúdií pacientov s Parkinsonovou chorobou nebol zistený</w:t>
      </w:r>
      <w:r w:rsidR="004F1E42" w:rsidRPr="000E61EB">
        <w:rPr>
          <w:lang w:val="sk-SK"/>
        </w:rPr>
        <w:t xml:space="preserve"> žiadny klinicky význa</w:t>
      </w:r>
      <w:r w:rsidRPr="000E61EB">
        <w:rPr>
          <w:lang w:val="sk-SK"/>
        </w:rPr>
        <w:t xml:space="preserve">mný vplyv telesnej hmotnosti na terapeutický účinok a znášanlivosť </w:t>
      </w:r>
      <w:r w:rsidR="00383F22" w:rsidRPr="000E61EB">
        <w:rPr>
          <w:lang w:val="sk-SK"/>
        </w:rPr>
        <w:t>pramipexol</w:t>
      </w:r>
      <w:r w:rsidR="00E17C0F" w:rsidRPr="000E61EB">
        <w:rPr>
          <w:lang w:val="sk-SK"/>
        </w:rPr>
        <w:t>u</w:t>
      </w:r>
      <w:r w:rsidR="00383F22" w:rsidRPr="000E61EB">
        <w:rPr>
          <w:lang w:val="sk-SK"/>
        </w:rPr>
        <w:t xml:space="preserve"> </w:t>
      </w:r>
      <w:r w:rsidRPr="000E61EB">
        <w:rPr>
          <w:lang w:val="sk-SK"/>
        </w:rPr>
        <w:t>tabliet s predĺženým uvoľňovaním.</w:t>
      </w:r>
    </w:p>
    <w:p w14:paraId="0FDEFE31" w14:textId="77777777" w:rsidR="00634748" w:rsidRPr="000E61EB" w:rsidRDefault="00634748" w:rsidP="007172A6">
      <w:pPr>
        <w:pStyle w:val="Zkladntext"/>
        <w:ind w:left="0" w:right="165"/>
        <w:rPr>
          <w:lang w:val="sk-SK"/>
        </w:rPr>
      </w:pPr>
    </w:p>
    <w:p w14:paraId="78CA4F1A" w14:textId="77777777" w:rsidR="00634748" w:rsidRPr="000E61EB" w:rsidRDefault="00634748" w:rsidP="007172A6">
      <w:pPr>
        <w:pStyle w:val="Zkladntext"/>
        <w:ind w:left="0" w:right="165"/>
        <w:rPr>
          <w:lang w:val="sk-SK"/>
        </w:rPr>
      </w:pPr>
      <w:r w:rsidRPr="000E61EB">
        <w:rPr>
          <w:lang w:val="sk-SK"/>
        </w:rPr>
        <w:t>Pramipexol preukazuje lineárnu kinetiku a malú variabilitu plazmatických hladín medzi jednotlivými pacientami.</w:t>
      </w:r>
    </w:p>
    <w:p w14:paraId="044991B9" w14:textId="77777777" w:rsidR="00634748" w:rsidRPr="000E61EB" w:rsidRDefault="00634748" w:rsidP="007172A6">
      <w:pPr>
        <w:pStyle w:val="Zkladntext"/>
        <w:ind w:left="0" w:right="165"/>
        <w:rPr>
          <w:lang w:val="sk-SK"/>
        </w:rPr>
      </w:pPr>
    </w:p>
    <w:p w14:paraId="1568060E" w14:textId="77777777" w:rsidR="000E4AFD" w:rsidRPr="000E61EB" w:rsidRDefault="000E4AFD" w:rsidP="007172A6">
      <w:pPr>
        <w:pStyle w:val="Zkladntext"/>
        <w:ind w:left="0" w:right="165"/>
        <w:rPr>
          <w:u w:val="single"/>
          <w:lang w:val="sk-SK"/>
        </w:rPr>
      </w:pPr>
      <w:r w:rsidRPr="000E61EB">
        <w:rPr>
          <w:u w:val="single"/>
          <w:lang w:val="sk-SK"/>
        </w:rPr>
        <w:t>Distribúcia</w:t>
      </w:r>
    </w:p>
    <w:p w14:paraId="52BD0221" w14:textId="77777777" w:rsidR="000E4AFD" w:rsidRPr="000E61EB" w:rsidRDefault="000E4AFD" w:rsidP="007172A6">
      <w:pPr>
        <w:pStyle w:val="Zkladntext"/>
        <w:ind w:left="0" w:right="165"/>
        <w:rPr>
          <w:lang w:val="sk-SK"/>
        </w:rPr>
      </w:pPr>
      <w:r w:rsidRPr="00843FEF">
        <w:rPr>
          <w:lang w:val="sk-SK"/>
        </w:rPr>
        <w:t>U ľudí je väzba pramipexolu na bielkoviny veľmi nízka (&lt; 20 %) a distribučný objem je veľký (400 l).</w:t>
      </w:r>
      <w:r w:rsidRPr="000E61EB">
        <w:rPr>
          <w:lang w:val="sk-SK"/>
        </w:rPr>
        <w:t xml:space="preserve"> U potkanov sa zistili vysoké koncentrácie v mozgovom tkanive (približne 8</w:t>
      </w:r>
      <w:r w:rsidRPr="000E61EB">
        <w:rPr>
          <w:lang w:val="sk-SK"/>
        </w:rPr>
        <w:noBreakHyphen/>
        <w:t>násobne vyššie ako v plazme).</w:t>
      </w:r>
    </w:p>
    <w:p w14:paraId="38078AEC" w14:textId="77777777" w:rsidR="00C37847" w:rsidRPr="000E61EB" w:rsidRDefault="00C37847" w:rsidP="007172A6">
      <w:pPr>
        <w:pStyle w:val="Zkladntext"/>
        <w:ind w:left="0" w:right="165"/>
        <w:rPr>
          <w:lang w:val="sk-SK"/>
        </w:rPr>
      </w:pPr>
    </w:p>
    <w:p w14:paraId="14695EE5" w14:textId="77777777" w:rsidR="000E4AFD" w:rsidRPr="000E61EB" w:rsidRDefault="000E4AFD" w:rsidP="007172A6">
      <w:pPr>
        <w:pStyle w:val="Zkladntext"/>
        <w:ind w:left="0" w:right="165"/>
        <w:rPr>
          <w:u w:val="single"/>
          <w:lang w:val="sk-SK"/>
        </w:rPr>
      </w:pPr>
      <w:r w:rsidRPr="000E61EB">
        <w:rPr>
          <w:u w:val="single"/>
          <w:lang w:val="sk-SK"/>
        </w:rPr>
        <w:t>Biotransformácia</w:t>
      </w:r>
    </w:p>
    <w:p w14:paraId="296A44E5" w14:textId="77777777" w:rsidR="000E4AFD" w:rsidRDefault="000E4AFD" w:rsidP="007172A6">
      <w:pPr>
        <w:pStyle w:val="Zkladntext"/>
        <w:ind w:left="0" w:right="165"/>
        <w:rPr>
          <w:lang w:val="sk-SK"/>
        </w:rPr>
      </w:pPr>
      <w:r w:rsidRPr="00843FEF">
        <w:rPr>
          <w:lang w:val="sk-SK"/>
        </w:rPr>
        <w:t>Pramipexol sa u človeka me</w:t>
      </w:r>
      <w:r w:rsidR="006C13E1" w:rsidRPr="00843FEF">
        <w:rPr>
          <w:lang w:val="sk-SK"/>
        </w:rPr>
        <w:t>tabolizuje iba v malom rozsahu.</w:t>
      </w:r>
    </w:p>
    <w:p w14:paraId="43F70219" w14:textId="77777777" w:rsidR="00B95C86" w:rsidRPr="00843FEF" w:rsidRDefault="00B95C86" w:rsidP="007172A6">
      <w:pPr>
        <w:pStyle w:val="Zkladntext"/>
        <w:ind w:left="0" w:right="165"/>
        <w:rPr>
          <w:lang w:val="sk-SK"/>
        </w:rPr>
      </w:pPr>
    </w:p>
    <w:p w14:paraId="2C8A11DF" w14:textId="77777777" w:rsidR="000E4AFD" w:rsidRPr="000E61EB" w:rsidRDefault="000E4AFD" w:rsidP="007172A6">
      <w:pPr>
        <w:pStyle w:val="Zkladntext"/>
        <w:ind w:left="0" w:right="165"/>
        <w:rPr>
          <w:u w:val="single"/>
          <w:lang w:val="sk-SK"/>
        </w:rPr>
      </w:pPr>
      <w:r w:rsidRPr="000E61EB">
        <w:rPr>
          <w:u w:val="single"/>
          <w:lang w:val="sk-SK"/>
        </w:rPr>
        <w:t>Eliminácia</w:t>
      </w:r>
    </w:p>
    <w:p w14:paraId="47DC4FFC" w14:textId="77777777" w:rsidR="000E4AFD" w:rsidRPr="000E61EB" w:rsidRDefault="000E4AFD" w:rsidP="00F578A9">
      <w:pPr>
        <w:pStyle w:val="Bezriadkovania"/>
      </w:pPr>
      <w:r w:rsidRPr="000E61EB">
        <w:t>Hlavná cesta vylučovania je renálna exkrécia pramipexolu v nezmenenej forme. Približne 90 % 14C</w:t>
      </w:r>
      <w:r w:rsidRPr="000E61EB">
        <w:noBreakHyphen/>
        <w:t>značenej dávky sa vylúči obličkami, zatiaľ čo menej ako 2 % sa vylúčia stolicou. Celkový klírens pramipexolu je približne 500 ml/min a renálny klírens je približne 400 ml/min. Eliminačný polčas (t½) sa pohybuje od 8 hodín u mladých pacientov do 12 hodín u starších pacientov.</w:t>
      </w:r>
    </w:p>
    <w:p w14:paraId="69F54452" w14:textId="77777777" w:rsidR="00B45E9D" w:rsidRPr="000E61EB" w:rsidRDefault="00B45E9D" w:rsidP="00B45E9D">
      <w:pPr>
        <w:pStyle w:val="Bezriadkovania"/>
      </w:pPr>
    </w:p>
    <w:p w14:paraId="014AEC76" w14:textId="77777777" w:rsidR="000E4AFD" w:rsidRPr="000E61EB" w:rsidRDefault="000E4AFD" w:rsidP="00F578A9">
      <w:pPr>
        <w:pStyle w:val="Bezriadkovania"/>
        <w:rPr>
          <w:b/>
        </w:rPr>
      </w:pPr>
      <w:r w:rsidRPr="000E61EB">
        <w:rPr>
          <w:b/>
        </w:rPr>
        <w:t>5.3</w:t>
      </w:r>
      <w:r w:rsidRPr="000E61EB">
        <w:rPr>
          <w:b/>
        </w:rPr>
        <w:tab/>
        <w:t>Predklinické údaje o</w:t>
      </w:r>
      <w:r w:rsidR="00B45E9D" w:rsidRPr="000E61EB">
        <w:rPr>
          <w:b/>
        </w:rPr>
        <w:t> </w:t>
      </w:r>
      <w:r w:rsidRPr="000E61EB">
        <w:rPr>
          <w:b/>
        </w:rPr>
        <w:t>bezpečnosti</w:t>
      </w:r>
    </w:p>
    <w:p w14:paraId="325E2935" w14:textId="77777777" w:rsidR="00B45E9D" w:rsidRPr="000E61EB" w:rsidRDefault="00B45E9D" w:rsidP="00B45E9D">
      <w:pPr>
        <w:pStyle w:val="Bezriadkovania"/>
      </w:pPr>
    </w:p>
    <w:p w14:paraId="615FB4E3" w14:textId="77777777" w:rsidR="000E4AFD" w:rsidRPr="000E61EB" w:rsidRDefault="000E4AFD" w:rsidP="00F578A9">
      <w:pPr>
        <w:pStyle w:val="Bezriadkovania"/>
      </w:pPr>
      <w:r w:rsidRPr="000E61EB">
        <w:t xml:space="preserve">Štúdie toxicity po opakovanom podávaní ukázali, že pramipexol má vplyv na systémové funkcie, hlavne na funkcie </w:t>
      </w:r>
      <w:smartTag w:uri="urn:schemas-microsoft-com:office:smarttags" w:element="stockticker">
        <w:r w:rsidRPr="000E61EB">
          <w:t>CNS</w:t>
        </w:r>
      </w:smartTag>
      <w:r w:rsidRPr="000E61EB">
        <w:t xml:space="preserve"> a samičieho reprodukčného systému, pravdepodobne v dôsledku zosilneného farmakodynamického účinku pramipexolu.</w:t>
      </w:r>
    </w:p>
    <w:p w14:paraId="2FAB5D9E" w14:textId="77777777" w:rsidR="00C37847" w:rsidRPr="000E61EB" w:rsidRDefault="00C37847" w:rsidP="00C37847"/>
    <w:p w14:paraId="5C333CD4" w14:textId="77777777" w:rsidR="000E4AFD" w:rsidRPr="000E61EB" w:rsidRDefault="000E4AFD" w:rsidP="00F578A9">
      <w:pPr>
        <w:pStyle w:val="Bezriadkovania"/>
      </w:pPr>
      <w:r w:rsidRPr="000E61EB">
        <w:t>U miniprasiat sa zaznamenal pokles diastolického a systolického krvného tlaku a srdcovej frekvencie a u opíc sa zistil sklon k hypotenznému účinku.</w:t>
      </w:r>
    </w:p>
    <w:p w14:paraId="34B18754" w14:textId="77777777" w:rsidR="00C37847" w:rsidRPr="000E61EB" w:rsidRDefault="00C37847" w:rsidP="00C37847"/>
    <w:p w14:paraId="19A17417" w14:textId="77777777" w:rsidR="00C37847" w:rsidRPr="000E61EB" w:rsidRDefault="000E4AFD" w:rsidP="00F578A9">
      <w:pPr>
        <w:pStyle w:val="Bezriadkovania"/>
      </w:pPr>
      <w:r w:rsidRPr="000E61EB">
        <w:t xml:space="preserve">Možný vplyv pramipexolu na reprodukčnú funkciu sa skúmal u potkanov a králikov. Pramipexol nebol teratogénny u potkanov a králikov, ale bol embryotoxický u potkanov, keď sa podával v dávkach toxických pre samicu. </w:t>
      </w:r>
    </w:p>
    <w:p w14:paraId="61EF5046" w14:textId="77777777" w:rsidR="00C37847" w:rsidRPr="000E61EB" w:rsidRDefault="00C37847" w:rsidP="00F578A9">
      <w:pPr>
        <w:pStyle w:val="Bezriadkovania"/>
      </w:pPr>
    </w:p>
    <w:p w14:paraId="34E776EE" w14:textId="77777777" w:rsidR="000E4AFD" w:rsidRPr="000E61EB" w:rsidRDefault="000E4AFD" w:rsidP="00F578A9">
      <w:pPr>
        <w:pStyle w:val="Bezriadkovania"/>
      </w:pPr>
      <w:r w:rsidRPr="000E61EB">
        <w:t>Vzhľadom na výber živočíšnych druhov a obmedzené skúmané parametre nie sú nežiaduce účinky pramipexolu na graviditu a samčiu fertilitu úplne objasnené.</w:t>
      </w:r>
    </w:p>
    <w:p w14:paraId="2ECA58B6" w14:textId="77777777" w:rsidR="008916B0" w:rsidRPr="000E61EB" w:rsidRDefault="008916B0" w:rsidP="008916B0"/>
    <w:p w14:paraId="23BA0633" w14:textId="77777777" w:rsidR="000E4AFD" w:rsidRPr="000E61EB" w:rsidRDefault="000E4AFD" w:rsidP="00F578A9">
      <w:pPr>
        <w:pStyle w:val="Bezriadkovania"/>
      </w:pPr>
      <w:r w:rsidRPr="000E61EB">
        <w:t xml:space="preserve">Oneskorenie sexuálneho vývoja (t.j. oddelenie predkožky a vaginálne otvorenie) bolo pozorované u potkanov. Vplyv na človeka je neznámy. </w:t>
      </w:r>
    </w:p>
    <w:p w14:paraId="328CA254" w14:textId="77777777" w:rsidR="008916B0" w:rsidRPr="000E61EB" w:rsidRDefault="008916B0" w:rsidP="008916B0"/>
    <w:p w14:paraId="583C3526" w14:textId="77777777" w:rsidR="006C13E1" w:rsidRPr="000E61EB" w:rsidRDefault="000E4AFD" w:rsidP="00F578A9">
      <w:pPr>
        <w:pStyle w:val="Bezriadkovania"/>
      </w:pPr>
      <w:r w:rsidRPr="000E61EB">
        <w:t>Pramipexol nebol genotoxický. V štúdii karcinogenity sa u samcov potkanov vyvinula hyperplázia Leydigových buniek a adenómy, čo sa vysvetľuje inhibičným účinkom pramipexolu na prolaktín. Tento nález nie je pre človeka klinicky významný. Rovnaká štúdia taktiež preukázala, že podávanie pramipexolu v dávkach 2 mg/kg (soli) a vyšších bolo spojené s degeneráciou sietnice u albínskych potkanov. Tento nález sa nepozoroval u pigmentovaných potkanov, ani v 2</w:t>
      </w:r>
      <w:r w:rsidRPr="000E61EB">
        <w:noBreakHyphen/>
        <w:t>ročnej štúdii karcinogenity na albínskych myšiach ani u žiadneho iné</w:t>
      </w:r>
      <w:r w:rsidR="006C13E1" w:rsidRPr="000E61EB">
        <w:t>ho skúmaného živočíšneho druhu.</w:t>
      </w:r>
    </w:p>
    <w:p w14:paraId="18CFDB55" w14:textId="77777777" w:rsidR="008916B0" w:rsidRPr="000E61EB" w:rsidRDefault="008916B0" w:rsidP="008916B0"/>
    <w:p w14:paraId="791E0E43" w14:textId="77777777" w:rsidR="006C13E1" w:rsidRPr="000E61EB" w:rsidRDefault="006C13E1" w:rsidP="00B45E9D">
      <w:pPr>
        <w:pStyle w:val="Bezriadkovania"/>
      </w:pPr>
    </w:p>
    <w:p w14:paraId="11161DFF" w14:textId="77777777" w:rsidR="000E4AFD" w:rsidRPr="000E61EB" w:rsidRDefault="000E4AFD" w:rsidP="00F578A9">
      <w:pPr>
        <w:pStyle w:val="Bezriadkovania"/>
        <w:rPr>
          <w:b/>
        </w:rPr>
      </w:pPr>
      <w:r w:rsidRPr="000E61EB">
        <w:rPr>
          <w:b/>
        </w:rPr>
        <w:t>6.</w:t>
      </w:r>
      <w:r w:rsidRPr="000E61EB">
        <w:rPr>
          <w:b/>
        </w:rPr>
        <w:tab/>
        <w:t>FARMACEUTICKÉ INFORMÁCIE</w:t>
      </w:r>
    </w:p>
    <w:p w14:paraId="18898AA5" w14:textId="77777777" w:rsidR="000E4AFD" w:rsidRPr="000E61EB" w:rsidRDefault="000E4AFD" w:rsidP="00F578A9">
      <w:pPr>
        <w:pStyle w:val="Bezriadkovania"/>
      </w:pPr>
    </w:p>
    <w:p w14:paraId="6F988899" w14:textId="77777777" w:rsidR="000E4AFD" w:rsidRPr="000E61EB" w:rsidRDefault="000E4AFD" w:rsidP="00F578A9">
      <w:pPr>
        <w:pStyle w:val="Bezriadkovania"/>
        <w:rPr>
          <w:b/>
        </w:rPr>
      </w:pPr>
      <w:r w:rsidRPr="000E61EB">
        <w:rPr>
          <w:b/>
        </w:rPr>
        <w:t>6.1</w:t>
      </w:r>
      <w:bookmarkStart w:id="0" w:name="_GoBack"/>
      <w:bookmarkEnd w:id="0"/>
      <w:r w:rsidRPr="000E61EB">
        <w:rPr>
          <w:b/>
        </w:rPr>
        <w:tab/>
        <w:t>Zoznam pomocných látok</w:t>
      </w:r>
    </w:p>
    <w:p w14:paraId="49BD3950" w14:textId="77777777" w:rsidR="000E4AFD" w:rsidRPr="000E61EB" w:rsidRDefault="000E4AFD" w:rsidP="00F578A9">
      <w:pPr>
        <w:pStyle w:val="Bezriadkovania"/>
      </w:pPr>
    </w:p>
    <w:p w14:paraId="7B4C82E8" w14:textId="77777777" w:rsidR="00341B14" w:rsidRPr="000E61EB" w:rsidRDefault="00D51176" w:rsidP="007172A6">
      <w:r w:rsidRPr="000E61EB">
        <w:t>h</w:t>
      </w:r>
      <w:r w:rsidR="00164A5A" w:rsidRPr="000E61EB">
        <w:t>ypromelóza</w:t>
      </w:r>
    </w:p>
    <w:p w14:paraId="4146FE1C" w14:textId="4FDF0620" w:rsidR="00341B14" w:rsidRPr="000E61EB" w:rsidRDefault="00F905BE" w:rsidP="007172A6">
      <w:r w:rsidRPr="000E61EB">
        <w:t>b</w:t>
      </w:r>
      <w:r w:rsidR="00164A5A" w:rsidRPr="000E61EB">
        <w:t>ezvod</w:t>
      </w:r>
      <w:r w:rsidR="00511062" w:rsidRPr="000E61EB">
        <w:t>ý hydrog</w:t>
      </w:r>
      <w:r w:rsidR="00B95C86">
        <w:t>e</w:t>
      </w:r>
      <w:r w:rsidR="00511062" w:rsidRPr="000E61EB">
        <w:t>nfosforečnan vápenatý</w:t>
      </w:r>
    </w:p>
    <w:p w14:paraId="5B8F4D84" w14:textId="39FAD7BC" w:rsidR="00341B14" w:rsidRPr="000E61EB" w:rsidRDefault="00164A5A" w:rsidP="007172A6">
      <w:r w:rsidRPr="000E61EB">
        <w:t>stearát</w:t>
      </w:r>
      <w:r w:rsidR="00B95C86">
        <w:t xml:space="preserve"> horečnatý</w:t>
      </w:r>
    </w:p>
    <w:p w14:paraId="239D9686" w14:textId="77777777" w:rsidR="00164A5A" w:rsidRPr="000E61EB" w:rsidRDefault="00A70A7B" w:rsidP="007172A6">
      <w:r w:rsidRPr="000E61EB">
        <w:t xml:space="preserve">bezvodý </w:t>
      </w:r>
      <w:r w:rsidR="00F905BE" w:rsidRPr="000E61EB">
        <w:t>k</w:t>
      </w:r>
      <w:r w:rsidR="00164A5A" w:rsidRPr="000E61EB">
        <w:t>oloidný oxid kremičitý</w:t>
      </w:r>
    </w:p>
    <w:p w14:paraId="6FA456C9" w14:textId="77777777" w:rsidR="000E4AFD" w:rsidRPr="000E61EB" w:rsidRDefault="000E4AFD" w:rsidP="007172A6"/>
    <w:p w14:paraId="0EA2617F" w14:textId="77777777" w:rsidR="000E4AFD" w:rsidRPr="000E61EB" w:rsidRDefault="000E4AFD" w:rsidP="00F578A9">
      <w:pPr>
        <w:pStyle w:val="Bezriadkovania"/>
        <w:rPr>
          <w:b/>
        </w:rPr>
      </w:pPr>
      <w:r w:rsidRPr="000E61EB">
        <w:rPr>
          <w:b/>
        </w:rPr>
        <w:t>6.2</w:t>
      </w:r>
      <w:r w:rsidRPr="000E61EB">
        <w:rPr>
          <w:b/>
        </w:rPr>
        <w:tab/>
        <w:t>Inkompatibility</w:t>
      </w:r>
    </w:p>
    <w:p w14:paraId="0682FE03" w14:textId="77777777" w:rsidR="000E4AFD" w:rsidRPr="000E61EB" w:rsidRDefault="000E4AFD" w:rsidP="00F578A9">
      <w:pPr>
        <w:pStyle w:val="Bezriadkovania"/>
      </w:pPr>
    </w:p>
    <w:p w14:paraId="6A576765" w14:textId="77777777" w:rsidR="000E4AFD" w:rsidRPr="000E61EB" w:rsidRDefault="000E4AFD" w:rsidP="00F578A9">
      <w:pPr>
        <w:pStyle w:val="Bezriadkovania"/>
      </w:pPr>
      <w:r w:rsidRPr="000E61EB">
        <w:t>Neaplikovateľné.</w:t>
      </w:r>
    </w:p>
    <w:p w14:paraId="36267146" w14:textId="77777777" w:rsidR="000E4AFD" w:rsidRPr="000E61EB" w:rsidRDefault="000E4AFD" w:rsidP="00F578A9">
      <w:pPr>
        <w:pStyle w:val="Bezriadkovania"/>
      </w:pPr>
    </w:p>
    <w:p w14:paraId="7BD44D43" w14:textId="77777777" w:rsidR="000E4AFD" w:rsidRPr="000E61EB" w:rsidRDefault="000E4AFD" w:rsidP="00F578A9">
      <w:pPr>
        <w:pStyle w:val="Bezriadkovania"/>
        <w:rPr>
          <w:b/>
        </w:rPr>
      </w:pPr>
      <w:r w:rsidRPr="000E61EB">
        <w:rPr>
          <w:b/>
        </w:rPr>
        <w:t>6.3</w:t>
      </w:r>
      <w:r w:rsidRPr="000E61EB">
        <w:rPr>
          <w:b/>
        </w:rPr>
        <w:tab/>
        <w:t>Čas použiteľnosti</w:t>
      </w:r>
    </w:p>
    <w:p w14:paraId="1AA50472" w14:textId="77777777" w:rsidR="000E4AFD" w:rsidRPr="000E61EB" w:rsidRDefault="000E4AFD" w:rsidP="00F578A9">
      <w:pPr>
        <w:pStyle w:val="Bezriadkovania"/>
      </w:pPr>
    </w:p>
    <w:p w14:paraId="47A83BB1" w14:textId="77777777" w:rsidR="000E4AFD" w:rsidRPr="000E61EB" w:rsidRDefault="00F91B64" w:rsidP="00F578A9">
      <w:pPr>
        <w:pStyle w:val="Bezriadkovania"/>
      </w:pPr>
      <w:r w:rsidRPr="000E61EB">
        <w:t>3 roky</w:t>
      </w:r>
    </w:p>
    <w:p w14:paraId="1C06CA92" w14:textId="77777777" w:rsidR="000E4AFD" w:rsidRPr="000E61EB" w:rsidRDefault="000E4AFD" w:rsidP="00F578A9">
      <w:pPr>
        <w:pStyle w:val="Bezriadkovania"/>
      </w:pPr>
    </w:p>
    <w:p w14:paraId="4B9611A3" w14:textId="77777777" w:rsidR="000E4AFD" w:rsidRPr="000E61EB" w:rsidRDefault="000E4AFD" w:rsidP="00B45E9D">
      <w:pPr>
        <w:pStyle w:val="Bezriadkovania"/>
        <w:rPr>
          <w:b/>
        </w:rPr>
      </w:pPr>
      <w:r w:rsidRPr="000E61EB">
        <w:rPr>
          <w:b/>
        </w:rPr>
        <w:t>6.4</w:t>
      </w:r>
      <w:r w:rsidRPr="000E61EB">
        <w:rPr>
          <w:b/>
        </w:rPr>
        <w:tab/>
        <w:t>Špeciálne upozornenia na uchovávanie</w:t>
      </w:r>
    </w:p>
    <w:p w14:paraId="572F88CF" w14:textId="77777777" w:rsidR="000E4AFD" w:rsidRPr="000E61EB" w:rsidRDefault="000E4AFD" w:rsidP="00B45E9D">
      <w:pPr>
        <w:pStyle w:val="Bezriadkovania"/>
      </w:pPr>
    </w:p>
    <w:p w14:paraId="55A04AEF" w14:textId="77777777" w:rsidR="00954952" w:rsidRPr="000E61EB" w:rsidRDefault="00954952" w:rsidP="00A93B75">
      <w:pPr>
        <w:pStyle w:val="Zkladntext"/>
        <w:spacing w:line="252" w:lineRule="exact"/>
        <w:ind w:left="0"/>
        <w:rPr>
          <w:lang w:val="sk-SK"/>
        </w:rPr>
      </w:pPr>
      <w:r w:rsidRPr="000E61EB">
        <w:rPr>
          <w:lang w:val="sk-SK"/>
        </w:rPr>
        <w:t>Tento</w:t>
      </w:r>
      <w:r w:rsidRPr="000E61EB">
        <w:rPr>
          <w:spacing w:val="-3"/>
          <w:lang w:val="sk-SK"/>
        </w:rPr>
        <w:t xml:space="preserve"> </w:t>
      </w:r>
      <w:r w:rsidRPr="000E61EB">
        <w:rPr>
          <w:spacing w:val="-1"/>
          <w:lang w:val="sk-SK"/>
        </w:rPr>
        <w:t>liek</w:t>
      </w:r>
      <w:r w:rsidRPr="000E61EB">
        <w:rPr>
          <w:spacing w:val="-3"/>
          <w:lang w:val="sk-SK"/>
        </w:rPr>
        <w:t xml:space="preserve"> </w:t>
      </w:r>
      <w:r w:rsidRPr="000E61EB">
        <w:rPr>
          <w:spacing w:val="-1"/>
          <w:lang w:val="sk-SK"/>
        </w:rPr>
        <w:t>nevyžaduje</w:t>
      </w:r>
      <w:r w:rsidRPr="000E61EB">
        <w:rPr>
          <w:spacing w:val="-2"/>
          <w:lang w:val="sk-SK"/>
        </w:rPr>
        <w:t xml:space="preserve"> </w:t>
      </w:r>
      <w:r w:rsidRPr="000E61EB">
        <w:rPr>
          <w:spacing w:val="-1"/>
          <w:lang w:val="sk-SK"/>
        </w:rPr>
        <w:t>žiadne</w:t>
      </w:r>
      <w:r w:rsidRPr="000E61EB">
        <w:rPr>
          <w:lang w:val="sk-SK"/>
        </w:rPr>
        <w:t xml:space="preserve"> </w:t>
      </w:r>
      <w:r w:rsidRPr="000E61EB">
        <w:rPr>
          <w:spacing w:val="-1"/>
          <w:lang w:val="sk-SK"/>
        </w:rPr>
        <w:t>zvláštne</w:t>
      </w:r>
      <w:r w:rsidRPr="000E61EB">
        <w:rPr>
          <w:spacing w:val="-2"/>
          <w:lang w:val="sk-SK"/>
        </w:rPr>
        <w:t xml:space="preserve"> </w:t>
      </w:r>
      <w:r w:rsidRPr="000E61EB">
        <w:rPr>
          <w:spacing w:val="-1"/>
          <w:lang w:val="sk-SK"/>
        </w:rPr>
        <w:t>podmienky</w:t>
      </w:r>
      <w:r w:rsidRPr="000E61EB">
        <w:rPr>
          <w:spacing w:val="-3"/>
          <w:lang w:val="sk-SK"/>
        </w:rPr>
        <w:t xml:space="preserve"> </w:t>
      </w:r>
      <w:r w:rsidR="00E17C0F" w:rsidRPr="000E61EB">
        <w:rPr>
          <w:spacing w:val="-3"/>
          <w:lang w:val="sk-SK"/>
        </w:rPr>
        <w:t xml:space="preserve">na </w:t>
      </w:r>
      <w:r w:rsidRPr="000E61EB">
        <w:rPr>
          <w:spacing w:val="-1"/>
          <w:lang w:val="sk-SK"/>
        </w:rPr>
        <w:t>uchovávan</w:t>
      </w:r>
      <w:r w:rsidR="00E17C0F" w:rsidRPr="000E61EB">
        <w:rPr>
          <w:spacing w:val="-1"/>
          <w:lang w:val="sk-SK"/>
        </w:rPr>
        <w:t>ie</w:t>
      </w:r>
      <w:r w:rsidRPr="000E61EB">
        <w:rPr>
          <w:spacing w:val="-1"/>
          <w:lang w:val="sk-SK"/>
        </w:rPr>
        <w:t>.</w:t>
      </w:r>
    </w:p>
    <w:p w14:paraId="01679595" w14:textId="77777777" w:rsidR="000E4AFD" w:rsidRPr="000E61EB" w:rsidRDefault="000E4AFD" w:rsidP="00B45E9D">
      <w:pPr>
        <w:pStyle w:val="Bezriadkovania"/>
      </w:pPr>
    </w:p>
    <w:p w14:paraId="2354AC52" w14:textId="77777777" w:rsidR="00C57895" w:rsidRDefault="00C57895" w:rsidP="00B45E9D">
      <w:pPr>
        <w:pStyle w:val="Bezriadkovania"/>
        <w:rPr>
          <w:b/>
        </w:rPr>
      </w:pPr>
    </w:p>
    <w:p w14:paraId="7DE23809" w14:textId="77777777" w:rsidR="000E4AFD" w:rsidRPr="000E61EB" w:rsidRDefault="000E4AFD" w:rsidP="00B45E9D">
      <w:pPr>
        <w:pStyle w:val="Bezriadkovania"/>
        <w:rPr>
          <w:b/>
        </w:rPr>
      </w:pPr>
      <w:r w:rsidRPr="000E61EB">
        <w:rPr>
          <w:b/>
        </w:rPr>
        <w:t>6.5</w:t>
      </w:r>
      <w:r w:rsidRPr="000E61EB">
        <w:rPr>
          <w:b/>
        </w:rPr>
        <w:tab/>
        <w:t>Druh obalu a obsah balenia</w:t>
      </w:r>
    </w:p>
    <w:p w14:paraId="6A8CB957" w14:textId="77777777" w:rsidR="00683D15" w:rsidRPr="000E61EB" w:rsidRDefault="00683D15" w:rsidP="00683D15"/>
    <w:p w14:paraId="33AF1E97" w14:textId="77777777" w:rsidR="00683D15" w:rsidRPr="000E61EB" w:rsidRDefault="00C12A80" w:rsidP="00A93B75">
      <w:r w:rsidRPr="000E61EB">
        <w:t>OPA/hliník/PVC-hliníkové blistre</w:t>
      </w:r>
      <w:r w:rsidR="00683D15" w:rsidRPr="000E61EB">
        <w:t>: 10, 30 a 100</w:t>
      </w:r>
      <w:r w:rsidR="00E17C0F" w:rsidRPr="000E61EB">
        <w:t xml:space="preserve"> tabliet s predĺženým uvoľňovaním</w:t>
      </w:r>
      <w:r w:rsidR="00683D15" w:rsidRPr="000E61EB">
        <w:t>.</w:t>
      </w:r>
    </w:p>
    <w:p w14:paraId="6035547B" w14:textId="77777777" w:rsidR="00651D10" w:rsidRPr="000E61EB" w:rsidRDefault="00DF6C7C" w:rsidP="00A93B75">
      <w:r w:rsidRPr="000E61EB">
        <w:t xml:space="preserve">Na trh nemusia byť uvedené všetky </w:t>
      </w:r>
      <w:r w:rsidR="005E2CF1" w:rsidRPr="000E61EB">
        <w:t xml:space="preserve">veľkosti </w:t>
      </w:r>
      <w:r w:rsidRPr="000E61EB">
        <w:t>balenia.</w:t>
      </w:r>
    </w:p>
    <w:p w14:paraId="78F6D36A" w14:textId="77777777" w:rsidR="00A93B75" w:rsidRPr="000E61EB" w:rsidRDefault="00A93B75" w:rsidP="00A93B75"/>
    <w:p w14:paraId="30197674" w14:textId="77777777" w:rsidR="00651D10" w:rsidRPr="000E61EB" w:rsidRDefault="00651D10" w:rsidP="00651D10">
      <w:pPr>
        <w:pStyle w:val="Nadpis1"/>
        <w:numPr>
          <w:ilvl w:val="1"/>
          <w:numId w:val="8"/>
        </w:numPr>
        <w:tabs>
          <w:tab w:val="left" w:pos="682"/>
        </w:tabs>
        <w:ind w:hanging="1041"/>
        <w:rPr>
          <w:b w:val="0"/>
          <w:bCs w:val="0"/>
          <w:lang w:val="sk-SK"/>
        </w:rPr>
      </w:pPr>
      <w:r w:rsidRPr="000E61EB">
        <w:rPr>
          <w:spacing w:val="-1"/>
          <w:lang w:val="sk-SK"/>
        </w:rPr>
        <w:t>Špeciálne</w:t>
      </w:r>
      <w:r w:rsidRPr="000E61EB">
        <w:rPr>
          <w:lang w:val="sk-SK"/>
        </w:rPr>
        <w:t xml:space="preserve"> </w:t>
      </w:r>
      <w:r w:rsidRPr="000E61EB">
        <w:rPr>
          <w:spacing w:val="-1"/>
          <w:lang w:val="sk-SK"/>
        </w:rPr>
        <w:t>opatrenia</w:t>
      </w:r>
      <w:r w:rsidRPr="000E61EB">
        <w:rPr>
          <w:spacing w:val="-3"/>
          <w:lang w:val="sk-SK"/>
        </w:rPr>
        <w:t xml:space="preserve"> </w:t>
      </w:r>
      <w:r w:rsidRPr="000E61EB">
        <w:rPr>
          <w:spacing w:val="-1"/>
          <w:lang w:val="sk-SK"/>
        </w:rPr>
        <w:t>na</w:t>
      </w:r>
      <w:r w:rsidRPr="000E61EB">
        <w:rPr>
          <w:lang w:val="sk-SK"/>
        </w:rPr>
        <w:t xml:space="preserve"> </w:t>
      </w:r>
      <w:r w:rsidRPr="000E61EB">
        <w:rPr>
          <w:spacing w:val="-1"/>
          <w:lang w:val="sk-SK"/>
        </w:rPr>
        <w:t>likvidáciu</w:t>
      </w:r>
    </w:p>
    <w:p w14:paraId="5BE21E2D" w14:textId="77777777" w:rsidR="00EE4757" w:rsidRPr="000E61EB" w:rsidRDefault="00EE4757" w:rsidP="00EE4757">
      <w:pPr>
        <w:pStyle w:val="Zkladntext"/>
        <w:ind w:left="0"/>
        <w:rPr>
          <w:b/>
          <w:bCs/>
          <w:sz w:val="21"/>
          <w:szCs w:val="21"/>
          <w:lang w:val="sk-SK"/>
        </w:rPr>
      </w:pPr>
    </w:p>
    <w:p w14:paraId="0CAC7C9E" w14:textId="77777777" w:rsidR="00651D10" w:rsidRPr="000E61EB" w:rsidRDefault="00651D10" w:rsidP="00EE4757">
      <w:pPr>
        <w:pStyle w:val="Zkladntext"/>
        <w:ind w:left="0"/>
        <w:rPr>
          <w:spacing w:val="-1"/>
          <w:lang w:val="sk-SK"/>
        </w:rPr>
      </w:pPr>
      <w:r w:rsidRPr="000E61EB">
        <w:rPr>
          <w:spacing w:val="-1"/>
          <w:lang w:val="sk-SK"/>
        </w:rPr>
        <w:t>Žiadne</w:t>
      </w:r>
      <w:r w:rsidRPr="000E61EB">
        <w:rPr>
          <w:lang w:val="sk-SK"/>
        </w:rPr>
        <w:t xml:space="preserve"> </w:t>
      </w:r>
      <w:r w:rsidRPr="000E61EB">
        <w:rPr>
          <w:spacing w:val="-1"/>
          <w:lang w:val="sk-SK"/>
        </w:rPr>
        <w:t>zvláštne</w:t>
      </w:r>
      <w:r w:rsidRPr="000E61EB">
        <w:rPr>
          <w:lang w:val="sk-SK"/>
        </w:rPr>
        <w:t xml:space="preserve"> </w:t>
      </w:r>
      <w:r w:rsidRPr="000E61EB">
        <w:rPr>
          <w:spacing w:val="-1"/>
          <w:lang w:val="sk-SK"/>
        </w:rPr>
        <w:t>požiadavky</w:t>
      </w:r>
      <w:r w:rsidR="00E17C0F" w:rsidRPr="000E61EB">
        <w:rPr>
          <w:spacing w:val="-1"/>
          <w:lang w:val="sk-SK"/>
        </w:rPr>
        <w:t>.</w:t>
      </w:r>
    </w:p>
    <w:p w14:paraId="50356BD3" w14:textId="77777777" w:rsidR="005E2CF1" w:rsidRPr="000E61EB" w:rsidRDefault="005E2CF1" w:rsidP="00EE4757">
      <w:pPr>
        <w:pStyle w:val="Zkladntext"/>
        <w:ind w:left="0"/>
        <w:rPr>
          <w:spacing w:val="-1"/>
          <w:lang w:val="sk-SK"/>
        </w:rPr>
      </w:pPr>
    </w:p>
    <w:p w14:paraId="2C7660DC" w14:textId="77777777" w:rsidR="005E2CF1" w:rsidRPr="000E61EB" w:rsidRDefault="005E2CF1" w:rsidP="00EE4757">
      <w:pPr>
        <w:pStyle w:val="Zkladntext"/>
        <w:ind w:left="0"/>
        <w:rPr>
          <w:lang w:val="sk-SK"/>
        </w:rPr>
      </w:pPr>
      <w:r w:rsidRPr="000E61EB">
        <w:rPr>
          <w:lang w:val="sk-SK"/>
        </w:rPr>
        <w:t>Všetok nepoužitý liek alebo odpad vzniknutý z lieku sa má zlikvidovať v súlade s národnými požiadavkami.</w:t>
      </w:r>
    </w:p>
    <w:p w14:paraId="546E9E47" w14:textId="77777777" w:rsidR="00651D10" w:rsidRPr="000E61EB" w:rsidRDefault="00651D10" w:rsidP="00651D10">
      <w:pPr>
        <w:spacing w:before="4"/>
        <w:rPr>
          <w:rFonts w:eastAsia="Times New Roman"/>
        </w:rPr>
      </w:pPr>
    </w:p>
    <w:p w14:paraId="32BAF923" w14:textId="77777777" w:rsidR="00E17C0F" w:rsidRPr="000E61EB" w:rsidRDefault="00E17C0F" w:rsidP="00651D10">
      <w:pPr>
        <w:spacing w:before="4"/>
        <w:rPr>
          <w:rFonts w:eastAsia="Times New Roman"/>
        </w:rPr>
      </w:pPr>
    </w:p>
    <w:p w14:paraId="49F48A68" w14:textId="77777777" w:rsidR="00651D10" w:rsidRPr="000E61EB" w:rsidRDefault="00651D10" w:rsidP="00EE4757">
      <w:pPr>
        <w:pStyle w:val="Nadpis1"/>
        <w:numPr>
          <w:ilvl w:val="0"/>
          <w:numId w:val="9"/>
        </w:numPr>
        <w:tabs>
          <w:tab w:val="left" w:pos="682"/>
        </w:tabs>
        <w:ind w:hanging="1041"/>
        <w:rPr>
          <w:b w:val="0"/>
          <w:bCs w:val="0"/>
          <w:lang w:val="sk-SK"/>
        </w:rPr>
      </w:pPr>
      <w:r w:rsidRPr="000E61EB">
        <w:rPr>
          <w:spacing w:val="-1"/>
          <w:lang w:val="sk-SK"/>
        </w:rPr>
        <w:t xml:space="preserve">DRŽITEĽ ROZHODNUTIA </w:t>
      </w:r>
      <w:r w:rsidRPr="000E61EB">
        <w:rPr>
          <w:lang w:val="sk-SK"/>
        </w:rPr>
        <w:t>O</w:t>
      </w:r>
      <w:r w:rsidRPr="000E61EB">
        <w:rPr>
          <w:spacing w:val="1"/>
          <w:lang w:val="sk-SK"/>
        </w:rPr>
        <w:t xml:space="preserve"> </w:t>
      </w:r>
      <w:r w:rsidRPr="000E61EB">
        <w:rPr>
          <w:spacing w:val="-2"/>
          <w:lang w:val="sk-SK"/>
        </w:rPr>
        <w:t>REGISTRÁCII</w:t>
      </w:r>
    </w:p>
    <w:p w14:paraId="456E97B1" w14:textId="77777777" w:rsidR="00AD6023" w:rsidRPr="000E61EB" w:rsidRDefault="00AD6023" w:rsidP="00AD6023">
      <w:pPr>
        <w:pStyle w:val="Nadpis1"/>
        <w:tabs>
          <w:tab w:val="left" w:pos="682"/>
        </w:tabs>
        <w:ind w:left="0" w:firstLine="0"/>
        <w:rPr>
          <w:b w:val="0"/>
          <w:bCs w:val="0"/>
          <w:lang w:val="sk-SK"/>
        </w:rPr>
      </w:pPr>
    </w:p>
    <w:p w14:paraId="3EBE27F5" w14:textId="77777777" w:rsidR="00AD6023" w:rsidRPr="000E61EB" w:rsidRDefault="00AD6023" w:rsidP="00AD6023">
      <w:pPr>
        <w:jc w:val="both"/>
      </w:pPr>
      <w:r w:rsidRPr="000E61EB">
        <w:t xml:space="preserve">TEVA Pharmaceuticals Slovakia s.r.o., </w:t>
      </w:r>
    </w:p>
    <w:p w14:paraId="200FC6DC" w14:textId="77777777" w:rsidR="00AD6023" w:rsidRPr="000E61EB" w:rsidRDefault="00AD6023" w:rsidP="00AD6023">
      <w:pPr>
        <w:jc w:val="both"/>
      </w:pPr>
      <w:r w:rsidRPr="000E61EB">
        <w:t>Teslova 26, 821 0</w:t>
      </w:r>
      <w:r w:rsidR="00D630A2" w:rsidRPr="000E61EB">
        <w:t>2</w:t>
      </w:r>
      <w:r w:rsidRPr="000E61EB">
        <w:t xml:space="preserve"> Bratislava,</w:t>
      </w:r>
      <w:r w:rsidR="00A100E9" w:rsidRPr="000E61EB">
        <w:t xml:space="preserve"> </w:t>
      </w:r>
      <w:r w:rsidRPr="000E61EB">
        <w:t>Slovenská republika</w:t>
      </w:r>
    </w:p>
    <w:p w14:paraId="184CAC22" w14:textId="77777777" w:rsidR="00AD6023" w:rsidRPr="000E61EB" w:rsidRDefault="00AD6023" w:rsidP="00AD6023">
      <w:pPr>
        <w:pStyle w:val="Nadpis1"/>
        <w:tabs>
          <w:tab w:val="left" w:pos="682"/>
        </w:tabs>
        <w:ind w:left="0" w:firstLine="0"/>
        <w:rPr>
          <w:rFonts w:eastAsia="Calibri"/>
          <w:b w:val="0"/>
          <w:bCs w:val="0"/>
          <w:lang w:val="sk-SK"/>
        </w:rPr>
      </w:pPr>
    </w:p>
    <w:p w14:paraId="50744F65" w14:textId="77777777" w:rsidR="00651D10" w:rsidRPr="000E61EB" w:rsidRDefault="00651D10" w:rsidP="00683D15"/>
    <w:p w14:paraId="1916B4A1" w14:textId="77777777" w:rsidR="00343279" w:rsidRPr="000E61EB" w:rsidRDefault="00343279" w:rsidP="00343279">
      <w:pPr>
        <w:rPr>
          <w:b/>
          <w:noProof/>
        </w:rPr>
      </w:pPr>
      <w:r w:rsidRPr="000E61EB">
        <w:rPr>
          <w:b/>
        </w:rPr>
        <w:t>8.</w:t>
      </w:r>
      <w:r w:rsidRPr="000E61EB">
        <w:rPr>
          <w:b/>
        </w:rPr>
        <w:tab/>
      </w:r>
      <w:r w:rsidRPr="000E61EB">
        <w:rPr>
          <w:b/>
          <w:noProof/>
        </w:rPr>
        <w:t>REGISTRAČNÉ ČÍSLO(A)</w:t>
      </w:r>
    </w:p>
    <w:p w14:paraId="171C3D49" w14:textId="77777777" w:rsidR="00343279" w:rsidRPr="000E61EB" w:rsidRDefault="00343279" w:rsidP="00343279">
      <w:pPr>
        <w:rPr>
          <w:b/>
        </w:rPr>
      </w:pPr>
    </w:p>
    <w:p w14:paraId="3167E739" w14:textId="77777777" w:rsidR="0090559C" w:rsidRPr="000E61EB" w:rsidRDefault="0090559C" w:rsidP="0090559C">
      <w:pPr>
        <w:rPr>
          <w:b/>
        </w:rPr>
      </w:pPr>
      <w:r w:rsidRPr="000E61EB">
        <w:t xml:space="preserve">Pramipexol Teva </w:t>
      </w:r>
      <w:r w:rsidRPr="000E61EB">
        <w:rPr>
          <w:rFonts w:eastAsia="Times New Roman"/>
          <w:lang w:eastAsia="en-US"/>
        </w:rPr>
        <w:t>Pharma</w:t>
      </w:r>
      <w:r w:rsidRPr="000E61EB">
        <w:t xml:space="preserve"> 0,26 mg - 27/0074/15-S</w:t>
      </w:r>
    </w:p>
    <w:p w14:paraId="7A1E370B" w14:textId="77777777" w:rsidR="0090559C" w:rsidRPr="000E61EB" w:rsidRDefault="0090559C" w:rsidP="0090559C">
      <w:pPr>
        <w:rPr>
          <w:b/>
          <w:highlight w:val="lightGray"/>
        </w:rPr>
      </w:pPr>
      <w:r w:rsidRPr="000E61EB">
        <w:rPr>
          <w:rFonts w:eastAsia="Times New Roman"/>
          <w:highlight w:val="lightGray"/>
          <w:lang w:eastAsia="en-US"/>
        </w:rPr>
        <w:t>Pramipexol</w:t>
      </w:r>
      <w:r w:rsidRPr="000E61EB">
        <w:rPr>
          <w:highlight w:val="lightGray"/>
        </w:rPr>
        <w:t xml:space="preserve"> Teva Pharma 0,52 mg - 27/0075/15-S</w:t>
      </w:r>
    </w:p>
    <w:p w14:paraId="743289D1" w14:textId="77777777" w:rsidR="0090559C" w:rsidRPr="000E61EB" w:rsidRDefault="0090559C" w:rsidP="0090559C">
      <w:pPr>
        <w:tabs>
          <w:tab w:val="left" w:pos="7500"/>
        </w:tabs>
        <w:rPr>
          <w:highlight w:val="lightGray"/>
        </w:rPr>
      </w:pPr>
      <w:r w:rsidRPr="000E61EB">
        <w:rPr>
          <w:rFonts w:eastAsia="Times New Roman"/>
          <w:highlight w:val="lightGray"/>
          <w:lang w:eastAsia="en-US"/>
        </w:rPr>
        <w:t>Pramipexol</w:t>
      </w:r>
      <w:r w:rsidRPr="000E61EB">
        <w:rPr>
          <w:highlight w:val="lightGray"/>
        </w:rPr>
        <w:t xml:space="preserve"> Teva Pharma 1,05 mg - 27/0076/15-S</w:t>
      </w:r>
    </w:p>
    <w:p w14:paraId="51DE1B9F" w14:textId="77777777" w:rsidR="0090559C" w:rsidRPr="000E61EB" w:rsidRDefault="0090559C" w:rsidP="0090559C">
      <w:pPr>
        <w:tabs>
          <w:tab w:val="left" w:pos="7500"/>
        </w:tabs>
        <w:rPr>
          <w:highlight w:val="lightGray"/>
        </w:rPr>
      </w:pPr>
      <w:r w:rsidRPr="000E61EB">
        <w:rPr>
          <w:rFonts w:eastAsia="Times New Roman"/>
          <w:highlight w:val="lightGray"/>
          <w:lang w:eastAsia="en-US"/>
        </w:rPr>
        <w:t>Pramipexol</w:t>
      </w:r>
      <w:r w:rsidRPr="000E61EB">
        <w:rPr>
          <w:highlight w:val="lightGray"/>
        </w:rPr>
        <w:t xml:space="preserve"> Teva Pharma 2,1 mg - 27/0077/15-S</w:t>
      </w:r>
    </w:p>
    <w:p w14:paraId="50D696FA" w14:textId="77777777" w:rsidR="0090559C" w:rsidRPr="000E61EB" w:rsidRDefault="0090559C" w:rsidP="0090559C">
      <w:pPr>
        <w:tabs>
          <w:tab w:val="left" w:pos="7500"/>
        </w:tabs>
        <w:rPr>
          <w:highlight w:val="lightGray"/>
        </w:rPr>
      </w:pPr>
      <w:r w:rsidRPr="000E61EB">
        <w:rPr>
          <w:rFonts w:eastAsia="Times New Roman"/>
          <w:highlight w:val="lightGray"/>
          <w:lang w:eastAsia="en-US"/>
        </w:rPr>
        <w:t>Pramipexol</w:t>
      </w:r>
      <w:r w:rsidRPr="000E61EB">
        <w:rPr>
          <w:highlight w:val="lightGray"/>
        </w:rPr>
        <w:t xml:space="preserve"> Teva Pharma 2,62 mg - 27/0078/15-S </w:t>
      </w:r>
    </w:p>
    <w:p w14:paraId="536AC418" w14:textId="77777777" w:rsidR="0090559C" w:rsidRPr="000E61EB" w:rsidRDefault="0090559C" w:rsidP="00343279">
      <w:pPr>
        <w:rPr>
          <w:b/>
        </w:rPr>
      </w:pPr>
    </w:p>
    <w:p w14:paraId="41F1AD4D" w14:textId="77777777" w:rsidR="0090559C" w:rsidRPr="000E61EB" w:rsidRDefault="0090559C" w:rsidP="00343279">
      <w:pPr>
        <w:rPr>
          <w:b/>
        </w:rPr>
      </w:pPr>
    </w:p>
    <w:p w14:paraId="6F9241FB" w14:textId="77777777" w:rsidR="00343279" w:rsidRPr="000E61EB" w:rsidRDefault="00343279" w:rsidP="00343279">
      <w:pPr>
        <w:rPr>
          <w:b/>
        </w:rPr>
      </w:pPr>
      <w:r w:rsidRPr="000E61EB">
        <w:rPr>
          <w:b/>
        </w:rPr>
        <w:t>9.</w:t>
      </w:r>
      <w:r w:rsidRPr="000E61EB">
        <w:rPr>
          <w:b/>
        </w:rPr>
        <w:tab/>
      </w:r>
      <w:r w:rsidRPr="000E61EB">
        <w:rPr>
          <w:b/>
          <w:noProof/>
        </w:rPr>
        <w:t>DÁTUM PRVEJ REGISTRÁCIE/PREDĹŽENIA REGISTRÁCIE</w:t>
      </w:r>
    </w:p>
    <w:p w14:paraId="58FA204F" w14:textId="77777777" w:rsidR="00AD6023" w:rsidRPr="000E61EB" w:rsidRDefault="00AD6023" w:rsidP="00B45E9D">
      <w:pPr>
        <w:pStyle w:val="Bezriadkovania"/>
        <w:rPr>
          <w:color w:val="000000"/>
        </w:rPr>
      </w:pPr>
    </w:p>
    <w:p w14:paraId="0EB666B8" w14:textId="67332687" w:rsidR="00301345" w:rsidRPr="000E61EB" w:rsidRDefault="00343279" w:rsidP="00B45E9D">
      <w:pPr>
        <w:pStyle w:val="Bezriadkovania"/>
        <w:rPr>
          <w:color w:val="000000"/>
        </w:rPr>
      </w:pPr>
      <w:r w:rsidRPr="000E61EB">
        <w:rPr>
          <w:color w:val="000000"/>
        </w:rPr>
        <w:t>Dátum prvej registrácie</w:t>
      </w:r>
      <w:r w:rsidR="00F75A8E" w:rsidRPr="000E61EB">
        <w:rPr>
          <w:color w:val="000000"/>
        </w:rPr>
        <w:t>:</w:t>
      </w:r>
      <w:r w:rsidR="00D86349" w:rsidRPr="000E61EB">
        <w:rPr>
          <w:color w:val="000000"/>
        </w:rPr>
        <w:t xml:space="preserve"> 06.</w:t>
      </w:r>
      <w:r w:rsidR="00B95C86">
        <w:rPr>
          <w:color w:val="000000"/>
        </w:rPr>
        <w:t xml:space="preserve"> marca </w:t>
      </w:r>
      <w:r w:rsidR="00D86349" w:rsidRPr="000E61EB">
        <w:rPr>
          <w:color w:val="000000"/>
        </w:rPr>
        <w:t>2015</w:t>
      </w:r>
    </w:p>
    <w:p w14:paraId="068F6987" w14:textId="64FD13D6" w:rsidR="00343279" w:rsidRPr="000E61EB" w:rsidRDefault="00B95C86" w:rsidP="00343279">
      <w:r>
        <w:t>Dátum posledného predĺženia registrácie: 30. októbra 2019</w:t>
      </w:r>
    </w:p>
    <w:p w14:paraId="46D01ADD" w14:textId="77777777" w:rsidR="00E17C0F" w:rsidRDefault="00E17C0F" w:rsidP="00343279"/>
    <w:p w14:paraId="16C45819" w14:textId="77777777" w:rsidR="00B95C86" w:rsidRPr="000E61EB" w:rsidRDefault="00B95C86" w:rsidP="00343279"/>
    <w:p w14:paraId="38A35A51" w14:textId="77777777" w:rsidR="00763AFB" w:rsidRPr="000E61EB" w:rsidRDefault="00343279" w:rsidP="00511062">
      <w:pPr>
        <w:rPr>
          <w:b/>
          <w:noProof/>
        </w:rPr>
      </w:pPr>
      <w:r w:rsidRPr="000E61EB">
        <w:rPr>
          <w:b/>
        </w:rPr>
        <w:t>10.</w:t>
      </w:r>
      <w:r w:rsidRPr="000E61EB">
        <w:rPr>
          <w:b/>
        </w:rPr>
        <w:tab/>
      </w:r>
      <w:r w:rsidR="005274C6" w:rsidRPr="000E61EB">
        <w:rPr>
          <w:b/>
          <w:noProof/>
        </w:rPr>
        <w:t>DÁTUM REVÍZIE TEXTU</w:t>
      </w:r>
    </w:p>
    <w:p w14:paraId="6DCC9A95" w14:textId="77777777" w:rsidR="00E17C0F" w:rsidRPr="000E61EB" w:rsidRDefault="00E17C0F" w:rsidP="00511062">
      <w:pPr>
        <w:rPr>
          <w:b/>
          <w:noProof/>
        </w:rPr>
      </w:pPr>
    </w:p>
    <w:p w14:paraId="5D533911" w14:textId="085B307C" w:rsidR="00E17C0F" w:rsidRPr="000E61EB" w:rsidRDefault="00B95C86" w:rsidP="00511062">
      <w:r>
        <w:rPr>
          <w:noProof/>
        </w:rPr>
        <w:t>07/</w:t>
      </w:r>
      <w:r w:rsidR="00F77CF8">
        <w:rPr>
          <w:noProof/>
        </w:rPr>
        <w:t>20</w:t>
      </w:r>
      <w:r w:rsidR="00625EAD">
        <w:rPr>
          <w:noProof/>
        </w:rPr>
        <w:t>20</w:t>
      </w:r>
    </w:p>
    <w:sectPr w:rsidR="00E17C0F" w:rsidRPr="000E61EB" w:rsidSect="00C57895">
      <w:headerReference w:type="default" r:id="rId10"/>
      <w:footerReference w:type="default" r:id="rId11"/>
      <w:headerReference w:type="first" r:id="rId12"/>
      <w:pgSz w:w="11906" w:h="16838"/>
      <w:pgMar w:top="1417" w:right="1196" w:bottom="1417"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9D983" w14:textId="77777777" w:rsidR="00B242D8" w:rsidRDefault="00B242D8" w:rsidP="001579E3">
      <w:r>
        <w:separator/>
      </w:r>
    </w:p>
  </w:endnote>
  <w:endnote w:type="continuationSeparator" w:id="0">
    <w:p w14:paraId="67485FA5" w14:textId="77777777" w:rsidR="00B242D8" w:rsidRDefault="00B242D8" w:rsidP="001579E3">
      <w:r>
        <w:continuationSeparator/>
      </w:r>
    </w:p>
  </w:endnote>
  <w:endnote w:type="continuationNotice" w:id="1">
    <w:p w14:paraId="73FA586B" w14:textId="77777777" w:rsidR="00B242D8" w:rsidRDefault="00B24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097221"/>
      <w:docPartObj>
        <w:docPartGallery w:val="Page Numbers (Bottom of Page)"/>
        <w:docPartUnique/>
      </w:docPartObj>
    </w:sdtPr>
    <w:sdtEndPr>
      <w:rPr>
        <w:sz w:val="18"/>
        <w:szCs w:val="18"/>
      </w:rPr>
    </w:sdtEndPr>
    <w:sdtContent>
      <w:p w14:paraId="21D6F89F" w14:textId="714923A2" w:rsidR="00AB4175" w:rsidRDefault="00AB4175" w:rsidP="00843FEF">
        <w:pPr>
          <w:pStyle w:val="Pta"/>
          <w:jc w:val="center"/>
        </w:pPr>
        <w:r w:rsidRPr="00C57895">
          <w:rPr>
            <w:sz w:val="18"/>
            <w:szCs w:val="18"/>
          </w:rPr>
          <w:fldChar w:fldCharType="begin"/>
        </w:r>
        <w:r w:rsidRPr="00C57895">
          <w:rPr>
            <w:sz w:val="18"/>
            <w:szCs w:val="18"/>
          </w:rPr>
          <w:instrText>PAGE   \* MERGEFORMAT</w:instrText>
        </w:r>
        <w:r w:rsidRPr="00C57895">
          <w:rPr>
            <w:sz w:val="18"/>
            <w:szCs w:val="18"/>
          </w:rPr>
          <w:fldChar w:fldCharType="separate"/>
        </w:r>
        <w:r w:rsidR="00843FEF">
          <w:rPr>
            <w:noProof/>
            <w:sz w:val="18"/>
            <w:szCs w:val="18"/>
          </w:rPr>
          <w:t>12</w:t>
        </w:r>
        <w:r w:rsidRPr="00C57895">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2FF55" w14:textId="77777777" w:rsidR="00B242D8" w:rsidRDefault="00B242D8" w:rsidP="001579E3">
      <w:r>
        <w:separator/>
      </w:r>
    </w:p>
  </w:footnote>
  <w:footnote w:type="continuationSeparator" w:id="0">
    <w:p w14:paraId="4713E071" w14:textId="77777777" w:rsidR="00B242D8" w:rsidRDefault="00B242D8" w:rsidP="001579E3">
      <w:r>
        <w:continuationSeparator/>
      </w:r>
    </w:p>
  </w:footnote>
  <w:footnote w:type="continuationNotice" w:id="1">
    <w:p w14:paraId="7D85CF28" w14:textId="77777777" w:rsidR="00B242D8" w:rsidRDefault="00B242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86327" w14:textId="1554CD00" w:rsidR="009A7CBC" w:rsidRDefault="00AB4175">
    <w:pPr>
      <w:pStyle w:val="Hlavika"/>
    </w:pPr>
    <w:r w:rsidRPr="00EB22CF">
      <w:rPr>
        <w:sz w:val="18"/>
        <w:szCs w:val="18"/>
      </w:rPr>
      <w:t xml:space="preserve">Príloha č. </w:t>
    </w:r>
    <w:r>
      <w:rPr>
        <w:sz w:val="18"/>
        <w:szCs w:val="18"/>
      </w:rPr>
      <w:t>1</w:t>
    </w:r>
    <w:r w:rsidRPr="00EB22CF">
      <w:rPr>
        <w:sz w:val="18"/>
        <w:szCs w:val="18"/>
      </w:rPr>
      <w:t xml:space="preserve"> k notifikácii o zmene, ev.</w:t>
    </w:r>
    <w:r w:rsidR="00E06FDB">
      <w:rPr>
        <w:sz w:val="18"/>
        <w:szCs w:val="18"/>
      </w:rPr>
      <w:t xml:space="preserve"> </w:t>
    </w:r>
    <w:r w:rsidRPr="00EB22CF">
      <w:rPr>
        <w:sz w:val="18"/>
        <w:szCs w:val="18"/>
      </w:rPr>
      <w:t xml:space="preserve">č.: </w:t>
    </w:r>
    <w:r w:rsidR="00E06FDB">
      <w:rPr>
        <w:sz w:val="18"/>
        <w:szCs w:val="18"/>
      </w:rPr>
      <w:t>2020/02249-ZIB</w:t>
    </w:r>
    <w:r>
      <w:rP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8D28A" w14:textId="329FFBBA" w:rsidR="001579E3" w:rsidRPr="00EB22CF" w:rsidRDefault="001579E3" w:rsidP="001579E3">
    <w:pPr>
      <w:pStyle w:val="Hlavika"/>
      <w:rPr>
        <w:sz w:val="18"/>
        <w:szCs w:val="18"/>
      </w:rPr>
    </w:pPr>
    <w:r w:rsidRPr="00EB22CF">
      <w:rPr>
        <w:sz w:val="18"/>
        <w:szCs w:val="18"/>
      </w:rPr>
      <w:t xml:space="preserve">Príloha č. </w:t>
    </w:r>
    <w:r w:rsidR="009A7CBC">
      <w:rPr>
        <w:sz w:val="18"/>
        <w:szCs w:val="18"/>
      </w:rPr>
      <w:t>1</w:t>
    </w:r>
    <w:r w:rsidRPr="00EB22CF">
      <w:rPr>
        <w:sz w:val="18"/>
        <w:szCs w:val="18"/>
      </w:rPr>
      <w:t xml:space="preserve"> k notifikácii o zmene, ev.č.: </w:t>
    </w:r>
  </w:p>
  <w:p w14:paraId="5D51A1B7" w14:textId="77777777" w:rsidR="001579E3" w:rsidRDefault="001579E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69E"/>
    <w:multiLevelType w:val="multilevel"/>
    <w:tmpl w:val="1BB08C9C"/>
    <w:lvl w:ilvl="0">
      <w:start w:val="1"/>
      <w:numFmt w:val="decimal"/>
      <w:lvlText w:val="%1."/>
      <w:lvlJc w:val="left"/>
      <w:pPr>
        <w:ind w:left="684" w:hanging="567"/>
      </w:pPr>
      <w:rPr>
        <w:rFonts w:ascii="Times New Roman" w:eastAsia="Times New Roman" w:hAnsi="Times New Roman" w:hint="default"/>
        <w:b/>
        <w:bCs/>
        <w:sz w:val="22"/>
        <w:szCs w:val="22"/>
      </w:rPr>
    </w:lvl>
    <w:lvl w:ilvl="1">
      <w:start w:val="2"/>
      <w:numFmt w:val="decimal"/>
      <w:lvlText w:val="%2."/>
      <w:lvlJc w:val="left"/>
      <w:pPr>
        <w:ind w:left="118"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1734" w:hanging="567"/>
      </w:pPr>
      <w:rPr>
        <w:rFonts w:hint="default"/>
      </w:rPr>
    </w:lvl>
    <w:lvl w:ilvl="4">
      <w:start w:val="1"/>
      <w:numFmt w:val="bullet"/>
      <w:lvlText w:val="•"/>
      <w:lvlJc w:val="left"/>
      <w:pPr>
        <w:ind w:left="2785" w:hanging="567"/>
      </w:pPr>
      <w:rPr>
        <w:rFonts w:hint="default"/>
      </w:rPr>
    </w:lvl>
    <w:lvl w:ilvl="5">
      <w:start w:val="1"/>
      <w:numFmt w:val="bullet"/>
      <w:lvlText w:val="•"/>
      <w:lvlJc w:val="left"/>
      <w:pPr>
        <w:ind w:left="3835" w:hanging="567"/>
      </w:pPr>
      <w:rPr>
        <w:rFonts w:hint="default"/>
      </w:rPr>
    </w:lvl>
    <w:lvl w:ilvl="6">
      <w:start w:val="1"/>
      <w:numFmt w:val="bullet"/>
      <w:lvlText w:val="•"/>
      <w:lvlJc w:val="left"/>
      <w:pPr>
        <w:ind w:left="4885" w:hanging="567"/>
      </w:pPr>
      <w:rPr>
        <w:rFonts w:hint="default"/>
      </w:rPr>
    </w:lvl>
    <w:lvl w:ilvl="7">
      <w:start w:val="1"/>
      <w:numFmt w:val="bullet"/>
      <w:lvlText w:val="•"/>
      <w:lvlJc w:val="left"/>
      <w:pPr>
        <w:ind w:left="5935" w:hanging="567"/>
      </w:pPr>
      <w:rPr>
        <w:rFonts w:hint="default"/>
      </w:rPr>
    </w:lvl>
    <w:lvl w:ilvl="8">
      <w:start w:val="1"/>
      <w:numFmt w:val="bullet"/>
      <w:lvlText w:val="•"/>
      <w:lvlJc w:val="left"/>
      <w:pPr>
        <w:ind w:left="6986" w:hanging="567"/>
      </w:pPr>
      <w:rPr>
        <w:rFonts w:hint="default"/>
      </w:rPr>
    </w:lvl>
  </w:abstractNum>
  <w:abstractNum w:abstractNumId="1">
    <w:nsid w:val="05F546ED"/>
    <w:multiLevelType w:val="hybridMultilevel"/>
    <w:tmpl w:val="8688A28A"/>
    <w:lvl w:ilvl="0" w:tplc="C60A1726">
      <w:start w:val="7"/>
      <w:numFmt w:val="decimal"/>
      <w:lvlText w:val="%1."/>
      <w:lvlJc w:val="left"/>
      <w:pPr>
        <w:ind w:left="1041" w:hanging="360"/>
      </w:pPr>
      <w:rPr>
        <w:rFonts w:hint="default"/>
        <w:b/>
      </w:rPr>
    </w:lvl>
    <w:lvl w:ilvl="1" w:tplc="041B0019" w:tentative="1">
      <w:start w:val="1"/>
      <w:numFmt w:val="lowerLetter"/>
      <w:lvlText w:val="%2."/>
      <w:lvlJc w:val="left"/>
      <w:pPr>
        <w:ind w:left="1761" w:hanging="360"/>
      </w:pPr>
    </w:lvl>
    <w:lvl w:ilvl="2" w:tplc="041B001B" w:tentative="1">
      <w:start w:val="1"/>
      <w:numFmt w:val="lowerRoman"/>
      <w:lvlText w:val="%3."/>
      <w:lvlJc w:val="right"/>
      <w:pPr>
        <w:ind w:left="2481" w:hanging="180"/>
      </w:pPr>
    </w:lvl>
    <w:lvl w:ilvl="3" w:tplc="041B000F" w:tentative="1">
      <w:start w:val="1"/>
      <w:numFmt w:val="decimal"/>
      <w:lvlText w:val="%4."/>
      <w:lvlJc w:val="left"/>
      <w:pPr>
        <w:ind w:left="3201" w:hanging="360"/>
      </w:pPr>
    </w:lvl>
    <w:lvl w:ilvl="4" w:tplc="041B0019" w:tentative="1">
      <w:start w:val="1"/>
      <w:numFmt w:val="lowerLetter"/>
      <w:lvlText w:val="%5."/>
      <w:lvlJc w:val="left"/>
      <w:pPr>
        <w:ind w:left="3921" w:hanging="360"/>
      </w:pPr>
    </w:lvl>
    <w:lvl w:ilvl="5" w:tplc="041B001B" w:tentative="1">
      <w:start w:val="1"/>
      <w:numFmt w:val="lowerRoman"/>
      <w:lvlText w:val="%6."/>
      <w:lvlJc w:val="right"/>
      <w:pPr>
        <w:ind w:left="4641" w:hanging="180"/>
      </w:pPr>
    </w:lvl>
    <w:lvl w:ilvl="6" w:tplc="041B000F" w:tentative="1">
      <w:start w:val="1"/>
      <w:numFmt w:val="decimal"/>
      <w:lvlText w:val="%7."/>
      <w:lvlJc w:val="left"/>
      <w:pPr>
        <w:ind w:left="5361" w:hanging="360"/>
      </w:pPr>
    </w:lvl>
    <w:lvl w:ilvl="7" w:tplc="041B0019" w:tentative="1">
      <w:start w:val="1"/>
      <w:numFmt w:val="lowerLetter"/>
      <w:lvlText w:val="%8."/>
      <w:lvlJc w:val="left"/>
      <w:pPr>
        <w:ind w:left="6081" w:hanging="360"/>
      </w:pPr>
    </w:lvl>
    <w:lvl w:ilvl="8" w:tplc="041B001B" w:tentative="1">
      <w:start w:val="1"/>
      <w:numFmt w:val="lowerRoman"/>
      <w:lvlText w:val="%9."/>
      <w:lvlJc w:val="right"/>
      <w:pPr>
        <w:ind w:left="6801" w:hanging="180"/>
      </w:pPr>
    </w:lvl>
  </w:abstractNum>
  <w:abstractNum w:abstractNumId="2">
    <w:nsid w:val="069416FE"/>
    <w:multiLevelType w:val="hybridMultilevel"/>
    <w:tmpl w:val="42A8A23A"/>
    <w:lvl w:ilvl="0" w:tplc="11E026A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1B588B"/>
    <w:multiLevelType w:val="multilevel"/>
    <w:tmpl w:val="33F478E0"/>
    <w:lvl w:ilvl="0">
      <w:start w:val="4"/>
      <w:numFmt w:val="decimal"/>
      <w:lvlText w:val="%1"/>
      <w:lvlJc w:val="left"/>
      <w:pPr>
        <w:ind w:left="360" w:hanging="360"/>
      </w:pPr>
      <w:rPr>
        <w:rFonts w:hint="default"/>
        <w:b/>
      </w:rPr>
    </w:lvl>
    <w:lvl w:ilvl="1">
      <w:start w:val="4"/>
      <w:numFmt w:val="decimal"/>
      <w:lvlText w:val="%1.%2"/>
      <w:lvlJc w:val="left"/>
      <w:pPr>
        <w:ind w:left="1044" w:hanging="360"/>
      </w:pPr>
      <w:rPr>
        <w:rFonts w:hint="default"/>
        <w:b/>
      </w:rPr>
    </w:lvl>
    <w:lvl w:ilvl="2">
      <w:start w:val="1"/>
      <w:numFmt w:val="decimal"/>
      <w:lvlText w:val="%1.%2.%3"/>
      <w:lvlJc w:val="left"/>
      <w:pPr>
        <w:ind w:left="2088" w:hanging="720"/>
      </w:pPr>
      <w:rPr>
        <w:rFonts w:hint="default"/>
        <w:b/>
      </w:rPr>
    </w:lvl>
    <w:lvl w:ilvl="3">
      <w:start w:val="1"/>
      <w:numFmt w:val="decimal"/>
      <w:lvlText w:val="%1.%2.%3.%4"/>
      <w:lvlJc w:val="left"/>
      <w:pPr>
        <w:ind w:left="2772" w:hanging="720"/>
      </w:pPr>
      <w:rPr>
        <w:rFonts w:hint="default"/>
        <w:b/>
      </w:rPr>
    </w:lvl>
    <w:lvl w:ilvl="4">
      <w:start w:val="1"/>
      <w:numFmt w:val="decimal"/>
      <w:lvlText w:val="%1.%2.%3.%4.%5"/>
      <w:lvlJc w:val="left"/>
      <w:pPr>
        <w:ind w:left="3816" w:hanging="1080"/>
      </w:pPr>
      <w:rPr>
        <w:rFonts w:hint="default"/>
        <w:b/>
      </w:rPr>
    </w:lvl>
    <w:lvl w:ilvl="5">
      <w:start w:val="1"/>
      <w:numFmt w:val="decimal"/>
      <w:lvlText w:val="%1.%2.%3.%4.%5.%6"/>
      <w:lvlJc w:val="left"/>
      <w:pPr>
        <w:ind w:left="4500" w:hanging="1080"/>
      </w:pPr>
      <w:rPr>
        <w:rFonts w:hint="default"/>
        <w:b/>
      </w:rPr>
    </w:lvl>
    <w:lvl w:ilvl="6">
      <w:start w:val="1"/>
      <w:numFmt w:val="decimal"/>
      <w:lvlText w:val="%1.%2.%3.%4.%5.%6.%7"/>
      <w:lvlJc w:val="left"/>
      <w:pPr>
        <w:ind w:left="5544" w:hanging="1440"/>
      </w:pPr>
      <w:rPr>
        <w:rFonts w:hint="default"/>
        <w:b/>
      </w:rPr>
    </w:lvl>
    <w:lvl w:ilvl="7">
      <w:start w:val="1"/>
      <w:numFmt w:val="decimal"/>
      <w:lvlText w:val="%1.%2.%3.%4.%5.%6.%7.%8"/>
      <w:lvlJc w:val="left"/>
      <w:pPr>
        <w:ind w:left="6228" w:hanging="1440"/>
      </w:pPr>
      <w:rPr>
        <w:rFonts w:hint="default"/>
        <w:b/>
      </w:rPr>
    </w:lvl>
    <w:lvl w:ilvl="8">
      <w:start w:val="1"/>
      <w:numFmt w:val="decimal"/>
      <w:lvlText w:val="%1.%2.%3.%4.%5.%6.%7.%8.%9"/>
      <w:lvlJc w:val="left"/>
      <w:pPr>
        <w:ind w:left="6912" w:hanging="1440"/>
      </w:pPr>
      <w:rPr>
        <w:rFonts w:hint="default"/>
        <w:b/>
      </w:rPr>
    </w:lvl>
  </w:abstractNum>
  <w:abstractNum w:abstractNumId="4">
    <w:nsid w:val="200347CC"/>
    <w:multiLevelType w:val="multilevel"/>
    <w:tmpl w:val="45986344"/>
    <w:lvl w:ilvl="0">
      <w:start w:val="6"/>
      <w:numFmt w:val="decimal"/>
      <w:lvlText w:val="%1"/>
      <w:lvlJc w:val="left"/>
      <w:pPr>
        <w:ind w:left="360" w:hanging="360"/>
      </w:pPr>
      <w:rPr>
        <w:rFonts w:hint="default"/>
        <w:b/>
      </w:rPr>
    </w:lvl>
    <w:lvl w:ilvl="1">
      <w:start w:val="6"/>
      <w:numFmt w:val="decimal"/>
      <w:lvlText w:val="%1.%2"/>
      <w:lvlJc w:val="left"/>
      <w:pPr>
        <w:ind w:left="1041" w:hanging="360"/>
      </w:pPr>
      <w:rPr>
        <w:rFonts w:hint="default"/>
        <w:b/>
      </w:rPr>
    </w:lvl>
    <w:lvl w:ilvl="2">
      <w:start w:val="1"/>
      <w:numFmt w:val="decimal"/>
      <w:lvlText w:val="%1.%2.%3"/>
      <w:lvlJc w:val="left"/>
      <w:pPr>
        <w:ind w:left="2082" w:hanging="720"/>
      </w:pPr>
      <w:rPr>
        <w:rFonts w:hint="default"/>
        <w:b/>
      </w:rPr>
    </w:lvl>
    <w:lvl w:ilvl="3">
      <w:start w:val="1"/>
      <w:numFmt w:val="decimal"/>
      <w:lvlText w:val="%1.%2.%3.%4"/>
      <w:lvlJc w:val="left"/>
      <w:pPr>
        <w:ind w:left="2763" w:hanging="720"/>
      </w:pPr>
      <w:rPr>
        <w:rFonts w:hint="default"/>
        <w:b/>
      </w:rPr>
    </w:lvl>
    <w:lvl w:ilvl="4">
      <w:start w:val="1"/>
      <w:numFmt w:val="decimal"/>
      <w:lvlText w:val="%1.%2.%3.%4.%5"/>
      <w:lvlJc w:val="left"/>
      <w:pPr>
        <w:ind w:left="3804" w:hanging="1080"/>
      </w:pPr>
      <w:rPr>
        <w:rFonts w:hint="default"/>
        <w:b/>
      </w:rPr>
    </w:lvl>
    <w:lvl w:ilvl="5">
      <w:start w:val="1"/>
      <w:numFmt w:val="decimal"/>
      <w:lvlText w:val="%1.%2.%3.%4.%5.%6"/>
      <w:lvlJc w:val="left"/>
      <w:pPr>
        <w:ind w:left="4485" w:hanging="1080"/>
      </w:pPr>
      <w:rPr>
        <w:rFonts w:hint="default"/>
        <w:b/>
      </w:rPr>
    </w:lvl>
    <w:lvl w:ilvl="6">
      <w:start w:val="1"/>
      <w:numFmt w:val="decimal"/>
      <w:lvlText w:val="%1.%2.%3.%4.%5.%6.%7"/>
      <w:lvlJc w:val="left"/>
      <w:pPr>
        <w:ind w:left="5526" w:hanging="1440"/>
      </w:pPr>
      <w:rPr>
        <w:rFonts w:hint="default"/>
        <w:b/>
      </w:rPr>
    </w:lvl>
    <w:lvl w:ilvl="7">
      <w:start w:val="1"/>
      <w:numFmt w:val="decimal"/>
      <w:lvlText w:val="%1.%2.%3.%4.%5.%6.%7.%8"/>
      <w:lvlJc w:val="left"/>
      <w:pPr>
        <w:ind w:left="6207" w:hanging="1440"/>
      </w:pPr>
      <w:rPr>
        <w:rFonts w:hint="default"/>
        <w:b/>
      </w:rPr>
    </w:lvl>
    <w:lvl w:ilvl="8">
      <w:start w:val="1"/>
      <w:numFmt w:val="decimal"/>
      <w:lvlText w:val="%1.%2.%3.%4.%5.%6.%7.%8.%9"/>
      <w:lvlJc w:val="left"/>
      <w:pPr>
        <w:ind w:left="6888" w:hanging="1440"/>
      </w:pPr>
      <w:rPr>
        <w:rFonts w:hint="default"/>
        <w:b/>
      </w:rPr>
    </w:lvl>
  </w:abstractNum>
  <w:abstractNum w:abstractNumId="5">
    <w:nsid w:val="300E4D88"/>
    <w:multiLevelType w:val="multilevel"/>
    <w:tmpl w:val="1BB08C9C"/>
    <w:lvl w:ilvl="0">
      <w:start w:val="1"/>
      <w:numFmt w:val="decimal"/>
      <w:lvlText w:val="%1."/>
      <w:lvlJc w:val="left"/>
      <w:pPr>
        <w:ind w:left="684" w:hanging="567"/>
      </w:pPr>
      <w:rPr>
        <w:rFonts w:ascii="Times New Roman" w:eastAsia="Times New Roman" w:hAnsi="Times New Roman" w:hint="default"/>
        <w:b/>
        <w:bCs/>
        <w:sz w:val="22"/>
        <w:szCs w:val="22"/>
      </w:rPr>
    </w:lvl>
    <w:lvl w:ilvl="1">
      <w:start w:val="2"/>
      <w:numFmt w:val="decimal"/>
      <w:lvlText w:val="%2."/>
      <w:lvlJc w:val="left"/>
      <w:pPr>
        <w:ind w:left="118"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1734" w:hanging="567"/>
      </w:pPr>
      <w:rPr>
        <w:rFonts w:hint="default"/>
      </w:rPr>
    </w:lvl>
    <w:lvl w:ilvl="4">
      <w:start w:val="1"/>
      <w:numFmt w:val="bullet"/>
      <w:lvlText w:val="•"/>
      <w:lvlJc w:val="left"/>
      <w:pPr>
        <w:ind w:left="2785" w:hanging="567"/>
      </w:pPr>
      <w:rPr>
        <w:rFonts w:hint="default"/>
      </w:rPr>
    </w:lvl>
    <w:lvl w:ilvl="5">
      <w:start w:val="1"/>
      <w:numFmt w:val="bullet"/>
      <w:lvlText w:val="•"/>
      <w:lvlJc w:val="left"/>
      <w:pPr>
        <w:ind w:left="3835" w:hanging="567"/>
      </w:pPr>
      <w:rPr>
        <w:rFonts w:hint="default"/>
      </w:rPr>
    </w:lvl>
    <w:lvl w:ilvl="6">
      <w:start w:val="1"/>
      <w:numFmt w:val="bullet"/>
      <w:lvlText w:val="•"/>
      <w:lvlJc w:val="left"/>
      <w:pPr>
        <w:ind w:left="4885" w:hanging="567"/>
      </w:pPr>
      <w:rPr>
        <w:rFonts w:hint="default"/>
      </w:rPr>
    </w:lvl>
    <w:lvl w:ilvl="7">
      <w:start w:val="1"/>
      <w:numFmt w:val="bullet"/>
      <w:lvlText w:val="•"/>
      <w:lvlJc w:val="left"/>
      <w:pPr>
        <w:ind w:left="5935" w:hanging="567"/>
      </w:pPr>
      <w:rPr>
        <w:rFonts w:hint="default"/>
      </w:rPr>
    </w:lvl>
    <w:lvl w:ilvl="8">
      <w:start w:val="1"/>
      <w:numFmt w:val="bullet"/>
      <w:lvlText w:val="•"/>
      <w:lvlJc w:val="left"/>
      <w:pPr>
        <w:ind w:left="6986" w:hanging="567"/>
      </w:pPr>
      <w:rPr>
        <w:rFonts w:hint="default"/>
      </w:rPr>
    </w:lvl>
  </w:abstractNum>
  <w:abstractNum w:abstractNumId="6">
    <w:nsid w:val="51074E55"/>
    <w:multiLevelType w:val="multilevel"/>
    <w:tmpl w:val="A3D25CDA"/>
    <w:lvl w:ilvl="0">
      <w:start w:val="4"/>
      <w:numFmt w:val="decimal"/>
      <w:lvlText w:val="%1"/>
      <w:lvlJc w:val="left"/>
      <w:pPr>
        <w:ind w:left="360" w:hanging="360"/>
      </w:pPr>
      <w:rPr>
        <w:rFonts w:hint="default"/>
        <w:b/>
      </w:rPr>
    </w:lvl>
    <w:lvl w:ilvl="1">
      <w:start w:val="1"/>
      <w:numFmt w:val="decimal"/>
      <w:lvlText w:val="%1.%2"/>
      <w:lvlJc w:val="left"/>
      <w:pPr>
        <w:ind w:left="1044" w:hanging="360"/>
      </w:pPr>
      <w:rPr>
        <w:rFonts w:hint="default"/>
        <w:b/>
      </w:rPr>
    </w:lvl>
    <w:lvl w:ilvl="2">
      <w:start w:val="1"/>
      <w:numFmt w:val="decimal"/>
      <w:lvlText w:val="%1.%2.%3"/>
      <w:lvlJc w:val="left"/>
      <w:pPr>
        <w:ind w:left="2088" w:hanging="720"/>
      </w:pPr>
      <w:rPr>
        <w:rFonts w:hint="default"/>
        <w:b/>
      </w:rPr>
    </w:lvl>
    <w:lvl w:ilvl="3">
      <w:start w:val="1"/>
      <w:numFmt w:val="decimal"/>
      <w:lvlText w:val="%1.%2.%3.%4"/>
      <w:lvlJc w:val="left"/>
      <w:pPr>
        <w:ind w:left="2772" w:hanging="720"/>
      </w:pPr>
      <w:rPr>
        <w:rFonts w:hint="default"/>
        <w:b/>
      </w:rPr>
    </w:lvl>
    <w:lvl w:ilvl="4">
      <w:start w:val="1"/>
      <w:numFmt w:val="decimal"/>
      <w:lvlText w:val="%1.%2.%3.%4.%5"/>
      <w:lvlJc w:val="left"/>
      <w:pPr>
        <w:ind w:left="3816" w:hanging="1080"/>
      </w:pPr>
      <w:rPr>
        <w:rFonts w:hint="default"/>
        <w:b/>
      </w:rPr>
    </w:lvl>
    <w:lvl w:ilvl="5">
      <w:start w:val="1"/>
      <w:numFmt w:val="decimal"/>
      <w:lvlText w:val="%1.%2.%3.%4.%5.%6"/>
      <w:lvlJc w:val="left"/>
      <w:pPr>
        <w:ind w:left="4500" w:hanging="1080"/>
      </w:pPr>
      <w:rPr>
        <w:rFonts w:hint="default"/>
        <w:b/>
      </w:rPr>
    </w:lvl>
    <w:lvl w:ilvl="6">
      <w:start w:val="1"/>
      <w:numFmt w:val="decimal"/>
      <w:lvlText w:val="%1.%2.%3.%4.%5.%6.%7"/>
      <w:lvlJc w:val="left"/>
      <w:pPr>
        <w:ind w:left="5544" w:hanging="1440"/>
      </w:pPr>
      <w:rPr>
        <w:rFonts w:hint="default"/>
        <w:b/>
      </w:rPr>
    </w:lvl>
    <w:lvl w:ilvl="7">
      <w:start w:val="1"/>
      <w:numFmt w:val="decimal"/>
      <w:lvlText w:val="%1.%2.%3.%4.%5.%6.%7.%8"/>
      <w:lvlJc w:val="left"/>
      <w:pPr>
        <w:ind w:left="6228" w:hanging="1440"/>
      </w:pPr>
      <w:rPr>
        <w:rFonts w:hint="default"/>
        <w:b/>
      </w:rPr>
    </w:lvl>
    <w:lvl w:ilvl="8">
      <w:start w:val="1"/>
      <w:numFmt w:val="decimal"/>
      <w:lvlText w:val="%1.%2.%3.%4.%5.%6.%7.%8.%9"/>
      <w:lvlJc w:val="left"/>
      <w:pPr>
        <w:ind w:left="6912" w:hanging="1440"/>
      </w:pPr>
      <w:rPr>
        <w:rFonts w:hint="default"/>
        <w:b/>
      </w:rPr>
    </w:lvl>
  </w:abstractNum>
  <w:abstractNum w:abstractNumId="7">
    <w:nsid w:val="68611540"/>
    <w:multiLevelType w:val="multilevel"/>
    <w:tmpl w:val="CF50E584"/>
    <w:lvl w:ilvl="0">
      <w:start w:val="4"/>
      <w:numFmt w:val="decimal"/>
      <w:lvlText w:val="%1"/>
      <w:lvlJc w:val="left"/>
      <w:pPr>
        <w:ind w:left="360" w:hanging="360"/>
      </w:pPr>
      <w:rPr>
        <w:rFonts w:hint="default"/>
        <w:b/>
      </w:rPr>
    </w:lvl>
    <w:lvl w:ilvl="1">
      <w:start w:val="1"/>
      <w:numFmt w:val="decimal"/>
      <w:lvlText w:val="%1.%2"/>
      <w:lvlJc w:val="left"/>
      <w:pPr>
        <w:ind w:left="-89" w:hanging="360"/>
      </w:pPr>
      <w:rPr>
        <w:rFonts w:hint="default"/>
        <w:b/>
      </w:rPr>
    </w:lvl>
    <w:lvl w:ilvl="2">
      <w:start w:val="1"/>
      <w:numFmt w:val="decimal"/>
      <w:lvlText w:val="%1.%2.%3"/>
      <w:lvlJc w:val="left"/>
      <w:pPr>
        <w:ind w:left="-178" w:hanging="720"/>
      </w:pPr>
      <w:rPr>
        <w:rFonts w:hint="default"/>
        <w:b/>
      </w:rPr>
    </w:lvl>
    <w:lvl w:ilvl="3">
      <w:start w:val="1"/>
      <w:numFmt w:val="decimal"/>
      <w:lvlText w:val="%1.%2.%3.%4"/>
      <w:lvlJc w:val="left"/>
      <w:pPr>
        <w:ind w:left="-627" w:hanging="720"/>
      </w:pPr>
      <w:rPr>
        <w:rFonts w:hint="default"/>
        <w:b/>
      </w:rPr>
    </w:lvl>
    <w:lvl w:ilvl="4">
      <w:start w:val="1"/>
      <w:numFmt w:val="decimal"/>
      <w:lvlText w:val="%1.%2.%3.%4.%5"/>
      <w:lvlJc w:val="left"/>
      <w:pPr>
        <w:ind w:left="-716" w:hanging="1080"/>
      </w:pPr>
      <w:rPr>
        <w:rFonts w:hint="default"/>
        <w:b/>
      </w:rPr>
    </w:lvl>
    <w:lvl w:ilvl="5">
      <w:start w:val="1"/>
      <w:numFmt w:val="decimal"/>
      <w:lvlText w:val="%1.%2.%3.%4.%5.%6"/>
      <w:lvlJc w:val="left"/>
      <w:pPr>
        <w:ind w:left="-1165" w:hanging="1080"/>
      </w:pPr>
      <w:rPr>
        <w:rFonts w:hint="default"/>
        <w:b/>
      </w:rPr>
    </w:lvl>
    <w:lvl w:ilvl="6">
      <w:start w:val="1"/>
      <w:numFmt w:val="decimal"/>
      <w:lvlText w:val="%1.%2.%3.%4.%5.%6.%7"/>
      <w:lvlJc w:val="left"/>
      <w:pPr>
        <w:ind w:left="-1254" w:hanging="1440"/>
      </w:pPr>
      <w:rPr>
        <w:rFonts w:hint="default"/>
        <w:b/>
      </w:rPr>
    </w:lvl>
    <w:lvl w:ilvl="7">
      <w:start w:val="1"/>
      <w:numFmt w:val="decimal"/>
      <w:lvlText w:val="%1.%2.%3.%4.%5.%6.%7.%8"/>
      <w:lvlJc w:val="left"/>
      <w:pPr>
        <w:ind w:left="-1703" w:hanging="1440"/>
      </w:pPr>
      <w:rPr>
        <w:rFonts w:hint="default"/>
        <w:b/>
      </w:rPr>
    </w:lvl>
    <w:lvl w:ilvl="8">
      <w:start w:val="1"/>
      <w:numFmt w:val="decimal"/>
      <w:lvlText w:val="%1.%2.%3.%4.%5.%6.%7.%8.%9"/>
      <w:lvlJc w:val="left"/>
      <w:pPr>
        <w:ind w:left="-2152" w:hanging="1440"/>
      </w:pPr>
      <w:rPr>
        <w:rFonts w:hint="default"/>
        <w:b/>
      </w:rPr>
    </w:lvl>
  </w:abstractNum>
  <w:abstractNum w:abstractNumId="8">
    <w:nsid w:val="793B17D5"/>
    <w:multiLevelType w:val="multilevel"/>
    <w:tmpl w:val="F17EFBA6"/>
    <w:lvl w:ilvl="0">
      <w:start w:val="1"/>
      <w:numFmt w:val="decimal"/>
      <w:lvlText w:val="%1."/>
      <w:lvlJc w:val="left"/>
      <w:pPr>
        <w:ind w:left="682" w:hanging="567"/>
      </w:pPr>
      <w:rPr>
        <w:rFonts w:ascii="Times New Roman" w:eastAsia="Times New Roman" w:hAnsi="Times New Roman" w:hint="default"/>
        <w:b/>
        <w:bCs/>
        <w:sz w:val="22"/>
        <w:szCs w:val="22"/>
      </w:rPr>
    </w:lvl>
    <w:lvl w:ilvl="1">
      <w:start w:val="1"/>
      <w:numFmt w:val="decimal"/>
      <w:lvlText w:val="%1.%2"/>
      <w:lvlJc w:val="left"/>
      <w:pPr>
        <w:ind w:left="115" w:hanging="567"/>
      </w:pPr>
      <w:rPr>
        <w:rFonts w:ascii="Times New Roman" w:eastAsia="Times New Roman" w:hAnsi="Times New Roman" w:hint="default"/>
        <w:b/>
        <w:bCs/>
        <w:sz w:val="22"/>
        <w:szCs w:val="22"/>
      </w:rPr>
    </w:lvl>
    <w:lvl w:ilvl="2">
      <w:start w:val="1"/>
      <w:numFmt w:val="bullet"/>
      <w:lvlText w:val="•"/>
      <w:lvlJc w:val="left"/>
      <w:pPr>
        <w:ind w:left="682" w:hanging="567"/>
      </w:pPr>
      <w:rPr>
        <w:rFonts w:hint="default"/>
      </w:rPr>
    </w:lvl>
    <w:lvl w:ilvl="3">
      <w:start w:val="1"/>
      <w:numFmt w:val="bullet"/>
      <w:lvlText w:val="•"/>
      <w:lvlJc w:val="left"/>
      <w:pPr>
        <w:ind w:left="682" w:hanging="567"/>
      </w:pPr>
      <w:rPr>
        <w:rFonts w:hint="default"/>
      </w:rPr>
    </w:lvl>
    <w:lvl w:ilvl="4">
      <w:start w:val="1"/>
      <w:numFmt w:val="bullet"/>
      <w:lvlText w:val="•"/>
      <w:lvlJc w:val="left"/>
      <w:pPr>
        <w:ind w:left="1860" w:hanging="567"/>
      </w:pPr>
      <w:rPr>
        <w:rFonts w:hint="default"/>
      </w:rPr>
    </w:lvl>
    <w:lvl w:ilvl="5">
      <w:start w:val="1"/>
      <w:numFmt w:val="bullet"/>
      <w:lvlText w:val="•"/>
      <w:lvlJc w:val="left"/>
      <w:pPr>
        <w:ind w:left="3037" w:hanging="567"/>
      </w:pPr>
      <w:rPr>
        <w:rFonts w:hint="default"/>
      </w:rPr>
    </w:lvl>
    <w:lvl w:ilvl="6">
      <w:start w:val="1"/>
      <w:numFmt w:val="bullet"/>
      <w:lvlText w:val="•"/>
      <w:lvlJc w:val="left"/>
      <w:pPr>
        <w:ind w:left="4215" w:hanging="567"/>
      </w:pPr>
      <w:rPr>
        <w:rFonts w:hint="default"/>
      </w:rPr>
    </w:lvl>
    <w:lvl w:ilvl="7">
      <w:start w:val="1"/>
      <w:numFmt w:val="bullet"/>
      <w:lvlText w:val="•"/>
      <w:lvlJc w:val="left"/>
      <w:pPr>
        <w:ind w:left="5393" w:hanging="567"/>
      </w:pPr>
      <w:rPr>
        <w:rFonts w:hint="default"/>
      </w:rPr>
    </w:lvl>
    <w:lvl w:ilvl="8">
      <w:start w:val="1"/>
      <w:numFmt w:val="bullet"/>
      <w:lvlText w:val="•"/>
      <w:lvlJc w:val="left"/>
      <w:pPr>
        <w:ind w:left="6570" w:hanging="567"/>
      </w:pPr>
      <w:rPr>
        <w:rFonts w:hint="default"/>
      </w:rPr>
    </w:lvl>
  </w:abstractNum>
  <w:num w:numId="1">
    <w:abstractNumId w:val="2"/>
  </w:num>
  <w:num w:numId="2">
    <w:abstractNumId w:val="0"/>
  </w:num>
  <w:num w:numId="3">
    <w:abstractNumId w:val="7"/>
  </w:num>
  <w:num w:numId="4">
    <w:abstractNumId w:val="5"/>
  </w:num>
  <w:num w:numId="5">
    <w:abstractNumId w:val="6"/>
  </w:num>
  <w:num w:numId="6">
    <w:abstractNumId w:val="3"/>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28F8"/>
    <w:rsid w:val="0000327F"/>
    <w:rsid w:val="00016DFF"/>
    <w:rsid w:val="0002260A"/>
    <w:rsid w:val="00034557"/>
    <w:rsid w:val="00036357"/>
    <w:rsid w:val="00060783"/>
    <w:rsid w:val="00063886"/>
    <w:rsid w:val="00063A93"/>
    <w:rsid w:val="00077720"/>
    <w:rsid w:val="00084EAE"/>
    <w:rsid w:val="00085E7B"/>
    <w:rsid w:val="00090CEA"/>
    <w:rsid w:val="00097564"/>
    <w:rsid w:val="000B2022"/>
    <w:rsid w:val="000C1346"/>
    <w:rsid w:val="000C7708"/>
    <w:rsid w:val="000D0720"/>
    <w:rsid w:val="000D7B90"/>
    <w:rsid w:val="000E4263"/>
    <w:rsid w:val="000E4AFD"/>
    <w:rsid w:val="000E61EB"/>
    <w:rsid w:val="000F519B"/>
    <w:rsid w:val="00102022"/>
    <w:rsid w:val="00107BE0"/>
    <w:rsid w:val="00125AD0"/>
    <w:rsid w:val="00127D2D"/>
    <w:rsid w:val="00146F8D"/>
    <w:rsid w:val="001517DB"/>
    <w:rsid w:val="001532C6"/>
    <w:rsid w:val="00153B74"/>
    <w:rsid w:val="001579E3"/>
    <w:rsid w:val="00164A5A"/>
    <w:rsid w:val="001671FC"/>
    <w:rsid w:val="00172813"/>
    <w:rsid w:val="00174E40"/>
    <w:rsid w:val="00176E0F"/>
    <w:rsid w:val="00183D11"/>
    <w:rsid w:val="00187C02"/>
    <w:rsid w:val="0019193F"/>
    <w:rsid w:val="001A7D9C"/>
    <w:rsid w:val="001B08A8"/>
    <w:rsid w:val="001B57BB"/>
    <w:rsid w:val="001B6D79"/>
    <w:rsid w:val="001C2C4B"/>
    <w:rsid w:val="001C4614"/>
    <w:rsid w:val="001D5343"/>
    <w:rsid w:val="001D5A91"/>
    <w:rsid w:val="001F245E"/>
    <w:rsid w:val="001F56A6"/>
    <w:rsid w:val="001F629C"/>
    <w:rsid w:val="001F6DF1"/>
    <w:rsid w:val="00200789"/>
    <w:rsid w:val="00202F23"/>
    <w:rsid w:val="00202F77"/>
    <w:rsid w:val="002129EE"/>
    <w:rsid w:val="00217118"/>
    <w:rsid w:val="00241571"/>
    <w:rsid w:val="0024500F"/>
    <w:rsid w:val="00246A69"/>
    <w:rsid w:val="002504D1"/>
    <w:rsid w:val="00254C1D"/>
    <w:rsid w:val="002721C9"/>
    <w:rsid w:val="00295089"/>
    <w:rsid w:val="002B1E8F"/>
    <w:rsid w:val="002B39E3"/>
    <w:rsid w:val="002C7348"/>
    <w:rsid w:val="002C7A82"/>
    <w:rsid w:val="002F0953"/>
    <w:rsid w:val="002F29B6"/>
    <w:rsid w:val="002F6F54"/>
    <w:rsid w:val="00301345"/>
    <w:rsid w:val="003061B8"/>
    <w:rsid w:val="00310D7B"/>
    <w:rsid w:val="00312DA3"/>
    <w:rsid w:val="003314A0"/>
    <w:rsid w:val="00334A75"/>
    <w:rsid w:val="00341B14"/>
    <w:rsid w:val="00343279"/>
    <w:rsid w:val="003604BB"/>
    <w:rsid w:val="003706BA"/>
    <w:rsid w:val="0037170D"/>
    <w:rsid w:val="00373715"/>
    <w:rsid w:val="00375E92"/>
    <w:rsid w:val="00383F22"/>
    <w:rsid w:val="00390728"/>
    <w:rsid w:val="003A1D74"/>
    <w:rsid w:val="003A7575"/>
    <w:rsid w:val="003E0C59"/>
    <w:rsid w:val="003E4C66"/>
    <w:rsid w:val="003F1C41"/>
    <w:rsid w:val="003F2991"/>
    <w:rsid w:val="003F66AE"/>
    <w:rsid w:val="004011A8"/>
    <w:rsid w:val="00403EE8"/>
    <w:rsid w:val="00431244"/>
    <w:rsid w:val="004366F9"/>
    <w:rsid w:val="00442C8F"/>
    <w:rsid w:val="00447612"/>
    <w:rsid w:val="00460E38"/>
    <w:rsid w:val="00481B18"/>
    <w:rsid w:val="00483704"/>
    <w:rsid w:val="00491856"/>
    <w:rsid w:val="004A2F9B"/>
    <w:rsid w:val="004B3EA7"/>
    <w:rsid w:val="004C6139"/>
    <w:rsid w:val="004C75F8"/>
    <w:rsid w:val="004D1D8F"/>
    <w:rsid w:val="004F1E42"/>
    <w:rsid w:val="004F4B7A"/>
    <w:rsid w:val="004F728D"/>
    <w:rsid w:val="00501C1A"/>
    <w:rsid w:val="00503C34"/>
    <w:rsid w:val="00505C89"/>
    <w:rsid w:val="00510360"/>
    <w:rsid w:val="00511062"/>
    <w:rsid w:val="005129BD"/>
    <w:rsid w:val="005136BB"/>
    <w:rsid w:val="00523ECA"/>
    <w:rsid w:val="005274C6"/>
    <w:rsid w:val="00531A38"/>
    <w:rsid w:val="00542C37"/>
    <w:rsid w:val="005527F4"/>
    <w:rsid w:val="00557D41"/>
    <w:rsid w:val="00571A06"/>
    <w:rsid w:val="00571CC1"/>
    <w:rsid w:val="00574745"/>
    <w:rsid w:val="00580E05"/>
    <w:rsid w:val="005826C6"/>
    <w:rsid w:val="005947B7"/>
    <w:rsid w:val="005B2093"/>
    <w:rsid w:val="005C264C"/>
    <w:rsid w:val="005E17EF"/>
    <w:rsid w:val="005E2CF1"/>
    <w:rsid w:val="005F1CB4"/>
    <w:rsid w:val="005F5DDB"/>
    <w:rsid w:val="00601F8E"/>
    <w:rsid w:val="00603E0F"/>
    <w:rsid w:val="00625EAD"/>
    <w:rsid w:val="00630E1F"/>
    <w:rsid w:val="00634748"/>
    <w:rsid w:val="00651D10"/>
    <w:rsid w:val="00651D47"/>
    <w:rsid w:val="0066429A"/>
    <w:rsid w:val="0066528D"/>
    <w:rsid w:val="00670505"/>
    <w:rsid w:val="00673DE0"/>
    <w:rsid w:val="00683D15"/>
    <w:rsid w:val="006939EE"/>
    <w:rsid w:val="006A0A1F"/>
    <w:rsid w:val="006B5310"/>
    <w:rsid w:val="006B6188"/>
    <w:rsid w:val="006C13E1"/>
    <w:rsid w:val="006C193E"/>
    <w:rsid w:val="006C7448"/>
    <w:rsid w:val="006E7CA0"/>
    <w:rsid w:val="006F0EA2"/>
    <w:rsid w:val="006F2743"/>
    <w:rsid w:val="006F6A43"/>
    <w:rsid w:val="00701129"/>
    <w:rsid w:val="00712614"/>
    <w:rsid w:val="0071443C"/>
    <w:rsid w:val="007172A6"/>
    <w:rsid w:val="00723E8C"/>
    <w:rsid w:val="00724CC4"/>
    <w:rsid w:val="00740DAB"/>
    <w:rsid w:val="00746851"/>
    <w:rsid w:val="00753375"/>
    <w:rsid w:val="00763AFB"/>
    <w:rsid w:val="00770C1A"/>
    <w:rsid w:val="00773E54"/>
    <w:rsid w:val="00776685"/>
    <w:rsid w:val="00777A1E"/>
    <w:rsid w:val="007919F7"/>
    <w:rsid w:val="00791DC6"/>
    <w:rsid w:val="007A3C2F"/>
    <w:rsid w:val="007C055D"/>
    <w:rsid w:val="007E38FB"/>
    <w:rsid w:val="0080284E"/>
    <w:rsid w:val="00804787"/>
    <w:rsid w:val="008071A2"/>
    <w:rsid w:val="00810444"/>
    <w:rsid w:val="00810B20"/>
    <w:rsid w:val="008239FE"/>
    <w:rsid w:val="00843FEF"/>
    <w:rsid w:val="008449E2"/>
    <w:rsid w:val="00846E12"/>
    <w:rsid w:val="00850C2E"/>
    <w:rsid w:val="0085346B"/>
    <w:rsid w:val="008534E1"/>
    <w:rsid w:val="0085515F"/>
    <w:rsid w:val="008577A1"/>
    <w:rsid w:val="00861B67"/>
    <w:rsid w:val="008628F8"/>
    <w:rsid w:val="0086617E"/>
    <w:rsid w:val="00881042"/>
    <w:rsid w:val="0088481A"/>
    <w:rsid w:val="008916B0"/>
    <w:rsid w:val="008A2768"/>
    <w:rsid w:val="008A3FCE"/>
    <w:rsid w:val="008A7945"/>
    <w:rsid w:val="008B552A"/>
    <w:rsid w:val="008C1884"/>
    <w:rsid w:val="008C2A9F"/>
    <w:rsid w:val="008D0FD8"/>
    <w:rsid w:val="008D5861"/>
    <w:rsid w:val="008D6A40"/>
    <w:rsid w:val="008D6CC7"/>
    <w:rsid w:val="008F2C39"/>
    <w:rsid w:val="008F3D87"/>
    <w:rsid w:val="00900509"/>
    <w:rsid w:val="0090559C"/>
    <w:rsid w:val="00912AF0"/>
    <w:rsid w:val="00915DCB"/>
    <w:rsid w:val="0094551D"/>
    <w:rsid w:val="00947F6A"/>
    <w:rsid w:val="00954952"/>
    <w:rsid w:val="009553A8"/>
    <w:rsid w:val="00957449"/>
    <w:rsid w:val="0095781B"/>
    <w:rsid w:val="009641F8"/>
    <w:rsid w:val="00980E52"/>
    <w:rsid w:val="0099341D"/>
    <w:rsid w:val="009A1ED4"/>
    <w:rsid w:val="009A7CBC"/>
    <w:rsid w:val="009B1CFF"/>
    <w:rsid w:val="009B242E"/>
    <w:rsid w:val="009B7A9A"/>
    <w:rsid w:val="009C0C5B"/>
    <w:rsid w:val="009C7EBE"/>
    <w:rsid w:val="009D3E76"/>
    <w:rsid w:val="009E0463"/>
    <w:rsid w:val="009E0DE8"/>
    <w:rsid w:val="009E4EE0"/>
    <w:rsid w:val="009F5A82"/>
    <w:rsid w:val="009F74A2"/>
    <w:rsid w:val="00A07AFC"/>
    <w:rsid w:val="00A100E9"/>
    <w:rsid w:val="00A14F64"/>
    <w:rsid w:val="00A22CF8"/>
    <w:rsid w:val="00A23F9C"/>
    <w:rsid w:val="00A3296C"/>
    <w:rsid w:val="00A35F2A"/>
    <w:rsid w:val="00A37AFE"/>
    <w:rsid w:val="00A43E24"/>
    <w:rsid w:val="00A45690"/>
    <w:rsid w:val="00A4615E"/>
    <w:rsid w:val="00A47EAE"/>
    <w:rsid w:val="00A54DFB"/>
    <w:rsid w:val="00A62CA2"/>
    <w:rsid w:val="00A650E5"/>
    <w:rsid w:val="00A6661D"/>
    <w:rsid w:val="00A67EF2"/>
    <w:rsid w:val="00A70A7B"/>
    <w:rsid w:val="00A7624B"/>
    <w:rsid w:val="00A861E2"/>
    <w:rsid w:val="00A93B75"/>
    <w:rsid w:val="00A9686C"/>
    <w:rsid w:val="00A975AA"/>
    <w:rsid w:val="00AA0AC2"/>
    <w:rsid w:val="00AA3CF5"/>
    <w:rsid w:val="00AB4175"/>
    <w:rsid w:val="00AB650D"/>
    <w:rsid w:val="00AC2B7C"/>
    <w:rsid w:val="00AD6023"/>
    <w:rsid w:val="00AE40E8"/>
    <w:rsid w:val="00AF03D8"/>
    <w:rsid w:val="00AF377E"/>
    <w:rsid w:val="00B0239C"/>
    <w:rsid w:val="00B1126D"/>
    <w:rsid w:val="00B12CB0"/>
    <w:rsid w:val="00B22A00"/>
    <w:rsid w:val="00B242D8"/>
    <w:rsid w:val="00B2561E"/>
    <w:rsid w:val="00B27E94"/>
    <w:rsid w:val="00B33433"/>
    <w:rsid w:val="00B44A83"/>
    <w:rsid w:val="00B45E9D"/>
    <w:rsid w:val="00B50393"/>
    <w:rsid w:val="00B632C3"/>
    <w:rsid w:val="00B841C8"/>
    <w:rsid w:val="00B95C86"/>
    <w:rsid w:val="00BA29C2"/>
    <w:rsid w:val="00BB3114"/>
    <w:rsid w:val="00BC3858"/>
    <w:rsid w:val="00BD7C39"/>
    <w:rsid w:val="00BF2DE2"/>
    <w:rsid w:val="00C00309"/>
    <w:rsid w:val="00C12A80"/>
    <w:rsid w:val="00C16870"/>
    <w:rsid w:val="00C22502"/>
    <w:rsid w:val="00C26EE3"/>
    <w:rsid w:val="00C37847"/>
    <w:rsid w:val="00C42B86"/>
    <w:rsid w:val="00C5296D"/>
    <w:rsid w:val="00C57895"/>
    <w:rsid w:val="00C6734B"/>
    <w:rsid w:val="00C736D4"/>
    <w:rsid w:val="00C81E72"/>
    <w:rsid w:val="00CB0B34"/>
    <w:rsid w:val="00CB44EA"/>
    <w:rsid w:val="00CB5AA9"/>
    <w:rsid w:val="00CB600C"/>
    <w:rsid w:val="00CC428E"/>
    <w:rsid w:val="00D009D7"/>
    <w:rsid w:val="00D01385"/>
    <w:rsid w:val="00D24EE0"/>
    <w:rsid w:val="00D269BF"/>
    <w:rsid w:val="00D32255"/>
    <w:rsid w:val="00D34F80"/>
    <w:rsid w:val="00D375BC"/>
    <w:rsid w:val="00D40716"/>
    <w:rsid w:val="00D45592"/>
    <w:rsid w:val="00D46165"/>
    <w:rsid w:val="00D50C81"/>
    <w:rsid w:val="00D51176"/>
    <w:rsid w:val="00D549C4"/>
    <w:rsid w:val="00D55924"/>
    <w:rsid w:val="00D578B5"/>
    <w:rsid w:val="00D61072"/>
    <w:rsid w:val="00D620D5"/>
    <w:rsid w:val="00D630A2"/>
    <w:rsid w:val="00D73B32"/>
    <w:rsid w:val="00D86349"/>
    <w:rsid w:val="00DA1C3D"/>
    <w:rsid w:val="00DA238C"/>
    <w:rsid w:val="00DA7CB1"/>
    <w:rsid w:val="00DB042F"/>
    <w:rsid w:val="00DB2E41"/>
    <w:rsid w:val="00DB4D8D"/>
    <w:rsid w:val="00DC2393"/>
    <w:rsid w:val="00DC4272"/>
    <w:rsid w:val="00DE5556"/>
    <w:rsid w:val="00DE5612"/>
    <w:rsid w:val="00DF6C7C"/>
    <w:rsid w:val="00E0323B"/>
    <w:rsid w:val="00E06FDB"/>
    <w:rsid w:val="00E07F6C"/>
    <w:rsid w:val="00E17C0F"/>
    <w:rsid w:val="00E22C28"/>
    <w:rsid w:val="00E43A67"/>
    <w:rsid w:val="00E51C4D"/>
    <w:rsid w:val="00E551BA"/>
    <w:rsid w:val="00E61EEE"/>
    <w:rsid w:val="00E64A8D"/>
    <w:rsid w:val="00E708E5"/>
    <w:rsid w:val="00EC1424"/>
    <w:rsid w:val="00ED48DE"/>
    <w:rsid w:val="00EE1167"/>
    <w:rsid w:val="00EE3B13"/>
    <w:rsid w:val="00EE4757"/>
    <w:rsid w:val="00EF7DD0"/>
    <w:rsid w:val="00F04AC5"/>
    <w:rsid w:val="00F05EB9"/>
    <w:rsid w:val="00F1397C"/>
    <w:rsid w:val="00F20CDC"/>
    <w:rsid w:val="00F2270B"/>
    <w:rsid w:val="00F22AAE"/>
    <w:rsid w:val="00F2440F"/>
    <w:rsid w:val="00F24561"/>
    <w:rsid w:val="00F250CE"/>
    <w:rsid w:val="00F277BE"/>
    <w:rsid w:val="00F3301C"/>
    <w:rsid w:val="00F376F4"/>
    <w:rsid w:val="00F37E79"/>
    <w:rsid w:val="00F524BD"/>
    <w:rsid w:val="00F53E20"/>
    <w:rsid w:val="00F54A9F"/>
    <w:rsid w:val="00F5703F"/>
    <w:rsid w:val="00F578A9"/>
    <w:rsid w:val="00F6133B"/>
    <w:rsid w:val="00F70EDF"/>
    <w:rsid w:val="00F71ABE"/>
    <w:rsid w:val="00F75A8E"/>
    <w:rsid w:val="00F77CF8"/>
    <w:rsid w:val="00F905BE"/>
    <w:rsid w:val="00F91B64"/>
    <w:rsid w:val="00F933B3"/>
    <w:rsid w:val="00FA2211"/>
    <w:rsid w:val="00FA307E"/>
    <w:rsid w:val="00FC53DB"/>
    <w:rsid w:val="00FD0C8B"/>
    <w:rsid w:val="00FD2F4F"/>
    <w:rsid w:val="00FE555B"/>
    <w:rsid w:val="00FF4240"/>
    <w:rsid w:val="00FF5E22"/>
    <w:rsid w:val="00FF6C43"/>
    <w:rsid w:val="00FF6E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042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right="706"/>
    </w:pPr>
    <w:rPr>
      <w:sz w:val="22"/>
      <w:szCs w:val="22"/>
    </w:rPr>
  </w:style>
  <w:style w:type="paragraph" w:styleId="Nadpis1">
    <w:name w:val="heading 1"/>
    <w:basedOn w:val="Normlny"/>
    <w:link w:val="Nadpis1Char"/>
    <w:uiPriority w:val="1"/>
    <w:qFormat/>
    <w:rsid w:val="00F04AC5"/>
    <w:pPr>
      <w:widowControl w:val="0"/>
      <w:ind w:left="684" w:hanging="566"/>
      <w:outlineLvl w:val="0"/>
    </w:pPr>
    <w:rPr>
      <w:rFonts w:eastAsia="Times New Roman"/>
      <w:b/>
      <w:bCs/>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liases w:val="Times New Roman 11 moje"/>
    <w:basedOn w:val="Normlny"/>
    <w:next w:val="Normlny"/>
    <w:uiPriority w:val="1"/>
    <w:qFormat/>
    <w:rsid w:val="006E7CA0"/>
  </w:style>
  <w:style w:type="character" w:customStyle="1" w:styleId="hps">
    <w:name w:val="hps"/>
    <w:rsid w:val="00DA1C3D"/>
  </w:style>
  <w:style w:type="paragraph" w:styleId="Zkladntext">
    <w:name w:val="Body Text"/>
    <w:basedOn w:val="Normlny"/>
    <w:link w:val="ZkladntextChar"/>
    <w:uiPriority w:val="1"/>
    <w:qFormat/>
    <w:rsid w:val="00183D11"/>
    <w:pPr>
      <w:widowControl w:val="0"/>
      <w:ind w:left="118"/>
    </w:pPr>
    <w:rPr>
      <w:rFonts w:eastAsia="Times New Roman"/>
      <w:lang w:val="en-US" w:eastAsia="en-US"/>
    </w:rPr>
  </w:style>
  <w:style w:type="character" w:customStyle="1" w:styleId="ZkladntextChar">
    <w:name w:val="Základný text Char"/>
    <w:link w:val="Zkladntext"/>
    <w:uiPriority w:val="1"/>
    <w:rsid w:val="00183D11"/>
    <w:rPr>
      <w:rFonts w:ascii="Times New Roman" w:eastAsia="Times New Roman" w:hAnsi="Times New Roman"/>
      <w:sz w:val="22"/>
      <w:szCs w:val="22"/>
      <w:lang w:val="en-US" w:eastAsia="en-US"/>
    </w:rPr>
  </w:style>
  <w:style w:type="character" w:customStyle="1" w:styleId="Nadpis1Char">
    <w:name w:val="Nadpis 1 Char"/>
    <w:link w:val="Nadpis1"/>
    <w:uiPriority w:val="1"/>
    <w:rsid w:val="00F04AC5"/>
    <w:rPr>
      <w:rFonts w:ascii="Times New Roman" w:eastAsia="Times New Roman" w:hAnsi="Times New Roman"/>
      <w:b/>
      <w:bCs/>
      <w:sz w:val="22"/>
      <w:szCs w:val="22"/>
      <w:lang w:val="en-US" w:eastAsia="en-US"/>
    </w:rPr>
  </w:style>
  <w:style w:type="paragraph" w:customStyle="1" w:styleId="PIsubheadingnonum1">
    <w:name w:val="PI subheading nonum1"/>
    <w:basedOn w:val="Normlny"/>
    <w:next w:val="Normlny"/>
    <w:link w:val="PIsubheadingnonum1Char"/>
    <w:rsid w:val="00CB600C"/>
    <w:rPr>
      <w:rFonts w:eastAsia="Times New Roman"/>
      <w:noProof/>
      <w:szCs w:val="24"/>
      <w:u w:val="single"/>
      <w:lang w:val="en-GB" w:eastAsia="en-US"/>
    </w:rPr>
  </w:style>
  <w:style w:type="character" w:customStyle="1" w:styleId="PIsubheadingnonum1Char">
    <w:name w:val="PI subheading nonum1 Char"/>
    <w:link w:val="PIsubheadingnonum1"/>
    <w:rsid w:val="00CB600C"/>
    <w:rPr>
      <w:rFonts w:ascii="Times New Roman" w:eastAsia="Times New Roman" w:hAnsi="Times New Roman"/>
      <w:noProof/>
      <w:sz w:val="22"/>
      <w:szCs w:val="24"/>
      <w:u w:val="single"/>
      <w:lang w:val="en-GB" w:eastAsia="en-US"/>
    </w:rPr>
  </w:style>
  <w:style w:type="paragraph" w:styleId="Normlnywebov">
    <w:name w:val="Normal (Web)"/>
    <w:basedOn w:val="Normlny"/>
    <w:rsid w:val="00CB600C"/>
    <w:pPr>
      <w:spacing w:before="100" w:beforeAutospacing="1" w:after="63"/>
    </w:pPr>
    <w:rPr>
      <w:rFonts w:eastAsia="Times New Roman"/>
      <w:color w:val="000000"/>
      <w:sz w:val="24"/>
      <w:szCs w:val="24"/>
      <w:lang w:val="es-ES" w:eastAsia="es-ES"/>
    </w:rPr>
  </w:style>
  <w:style w:type="table" w:customStyle="1" w:styleId="TableNormal">
    <w:name w:val="Table Normal"/>
    <w:uiPriority w:val="2"/>
    <w:semiHidden/>
    <w:unhideWhenUsed/>
    <w:qFormat/>
    <w:rsid w:val="00D73B32"/>
    <w:pPr>
      <w:widowControl w:val="0"/>
      <w:ind w:right="706"/>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73B32"/>
    <w:pPr>
      <w:widowControl w:val="0"/>
    </w:pPr>
    <w:rPr>
      <w:rFonts w:ascii="Calibri" w:hAnsi="Calibri"/>
      <w:lang w:val="en-US"/>
    </w:rPr>
  </w:style>
  <w:style w:type="character" w:styleId="Hypertextovprepojenie">
    <w:name w:val="Hyperlink"/>
    <w:rsid w:val="000E4AFD"/>
    <w:rPr>
      <w:color w:val="0000FF"/>
      <w:u w:val="single"/>
    </w:rPr>
  </w:style>
  <w:style w:type="paragraph" w:customStyle="1" w:styleId="PIbodytext">
    <w:name w:val="PI body text"/>
    <w:link w:val="PIbodytextChar"/>
    <w:rsid w:val="000E4AFD"/>
    <w:pPr>
      <w:ind w:right="706"/>
    </w:pPr>
    <w:rPr>
      <w:rFonts w:eastAsia="Times New Roman"/>
      <w:noProof/>
      <w:sz w:val="22"/>
      <w:szCs w:val="24"/>
      <w:lang w:val="en-GB" w:eastAsia="en-US"/>
    </w:rPr>
  </w:style>
  <w:style w:type="character" w:customStyle="1" w:styleId="PIbodytextChar">
    <w:name w:val="PI body text Char"/>
    <w:link w:val="PIbodytext"/>
    <w:rsid w:val="000E4AFD"/>
    <w:rPr>
      <w:rFonts w:eastAsia="Times New Roman"/>
      <w:noProof/>
      <w:sz w:val="22"/>
      <w:szCs w:val="24"/>
      <w:lang w:val="en-GB" w:eastAsia="en-US" w:bidi="ar-SA"/>
    </w:rPr>
  </w:style>
  <w:style w:type="character" w:customStyle="1" w:styleId="atn">
    <w:name w:val="atn"/>
    <w:rsid w:val="001C2C4B"/>
  </w:style>
  <w:style w:type="paragraph" w:styleId="Odsekzoznamu">
    <w:name w:val="List Paragraph"/>
    <w:basedOn w:val="Normlny"/>
    <w:uiPriority w:val="34"/>
    <w:qFormat/>
    <w:rsid w:val="00343279"/>
    <w:pPr>
      <w:ind w:left="708"/>
    </w:pPr>
  </w:style>
  <w:style w:type="paragraph" w:styleId="Textbubliny">
    <w:name w:val="Balloon Text"/>
    <w:basedOn w:val="Normlny"/>
    <w:link w:val="TextbublinyChar"/>
    <w:uiPriority w:val="99"/>
    <w:semiHidden/>
    <w:unhideWhenUsed/>
    <w:rsid w:val="003706BA"/>
    <w:rPr>
      <w:rFonts w:ascii="Tahoma" w:hAnsi="Tahoma" w:cs="Tahoma"/>
      <w:sz w:val="16"/>
      <w:szCs w:val="16"/>
    </w:rPr>
  </w:style>
  <w:style w:type="character" w:customStyle="1" w:styleId="TextbublinyChar">
    <w:name w:val="Text bubliny Char"/>
    <w:link w:val="Textbubliny"/>
    <w:uiPriority w:val="99"/>
    <w:semiHidden/>
    <w:rsid w:val="003706BA"/>
    <w:rPr>
      <w:rFonts w:ascii="Tahoma" w:hAnsi="Tahoma" w:cs="Tahoma"/>
      <w:sz w:val="16"/>
      <w:szCs w:val="16"/>
    </w:rPr>
  </w:style>
  <w:style w:type="paragraph" w:styleId="Revzia">
    <w:name w:val="Revision"/>
    <w:hidden/>
    <w:uiPriority w:val="99"/>
    <w:semiHidden/>
    <w:rsid w:val="00246A69"/>
    <w:rPr>
      <w:sz w:val="22"/>
      <w:szCs w:val="22"/>
    </w:rPr>
  </w:style>
  <w:style w:type="character" w:styleId="Odkaznakomentr">
    <w:name w:val="annotation reference"/>
    <w:uiPriority w:val="99"/>
    <w:semiHidden/>
    <w:unhideWhenUsed/>
    <w:rsid w:val="00A62CA2"/>
    <w:rPr>
      <w:sz w:val="16"/>
      <w:szCs w:val="16"/>
    </w:rPr>
  </w:style>
  <w:style w:type="paragraph" w:styleId="Textkomentra">
    <w:name w:val="annotation text"/>
    <w:basedOn w:val="Normlny"/>
    <w:link w:val="TextkomentraChar"/>
    <w:uiPriority w:val="99"/>
    <w:semiHidden/>
    <w:unhideWhenUsed/>
    <w:rsid w:val="00A62CA2"/>
    <w:rPr>
      <w:sz w:val="20"/>
      <w:szCs w:val="20"/>
    </w:rPr>
  </w:style>
  <w:style w:type="character" w:customStyle="1" w:styleId="TextkomentraChar">
    <w:name w:val="Text komentára Char"/>
    <w:basedOn w:val="Predvolenpsmoodseku"/>
    <w:link w:val="Textkomentra"/>
    <w:uiPriority w:val="99"/>
    <w:semiHidden/>
    <w:rsid w:val="00A62CA2"/>
  </w:style>
  <w:style w:type="paragraph" w:styleId="Predmetkomentra">
    <w:name w:val="annotation subject"/>
    <w:basedOn w:val="Textkomentra"/>
    <w:next w:val="Textkomentra"/>
    <w:link w:val="PredmetkomentraChar"/>
    <w:uiPriority w:val="99"/>
    <w:semiHidden/>
    <w:unhideWhenUsed/>
    <w:rsid w:val="00A62CA2"/>
    <w:rPr>
      <w:b/>
      <w:bCs/>
    </w:rPr>
  </w:style>
  <w:style w:type="character" w:customStyle="1" w:styleId="PredmetkomentraChar">
    <w:name w:val="Predmet komentára Char"/>
    <w:link w:val="Predmetkomentra"/>
    <w:uiPriority w:val="99"/>
    <w:semiHidden/>
    <w:rsid w:val="00A62CA2"/>
    <w:rPr>
      <w:b/>
      <w:bCs/>
    </w:rPr>
  </w:style>
  <w:style w:type="paragraph" w:styleId="Hlavika">
    <w:name w:val="header"/>
    <w:basedOn w:val="Normlny"/>
    <w:link w:val="HlavikaChar"/>
    <w:uiPriority w:val="99"/>
    <w:unhideWhenUsed/>
    <w:rsid w:val="001579E3"/>
    <w:pPr>
      <w:tabs>
        <w:tab w:val="center" w:pos="4536"/>
        <w:tab w:val="right" w:pos="9072"/>
      </w:tabs>
    </w:pPr>
  </w:style>
  <w:style w:type="character" w:customStyle="1" w:styleId="HlavikaChar">
    <w:name w:val="Hlavička Char"/>
    <w:link w:val="Hlavika"/>
    <w:uiPriority w:val="99"/>
    <w:rsid w:val="001579E3"/>
    <w:rPr>
      <w:sz w:val="22"/>
      <w:szCs w:val="22"/>
    </w:rPr>
  </w:style>
  <w:style w:type="paragraph" w:styleId="Pta">
    <w:name w:val="footer"/>
    <w:basedOn w:val="Normlny"/>
    <w:link w:val="PtaChar"/>
    <w:uiPriority w:val="99"/>
    <w:unhideWhenUsed/>
    <w:rsid w:val="001579E3"/>
    <w:pPr>
      <w:tabs>
        <w:tab w:val="center" w:pos="4536"/>
        <w:tab w:val="right" w:pos="9072"/>
      </w:tabs>
    </w:pPr>
  </w:style>
  <w:style w:type="character" w:customStyle="1" w:styleId="PtaChar">
    <w:name w:val="Päta Char"/>
    <w:link w:val="Pta"/>
    <w:uiPriority w:val="99"/>
    <w:rsid w:val="001579E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right="706"/>
    </w:pPr>
    <w:rPr>
      <w:sz w:val="22"/>
      <w:szCs w:val="22"/>
    </w:rPr>
  </w:style>
  <w:style w:type="paragraph" w:styleId="Nadpis1">
    <w:name w:val="heading 1"/>
    <w:basedOn w:val="Normlny"/>
    <w:link w:val="Nadpis1Char"/>
    <w:uiPriority w:val="1"/>
    <w:qFormat/>
    <w:rsid w:val="00F04AC5"/>
    <w:pPr>
      <w:widowControl w:val="0"/>
      <w:ind w:left="684" w:hanging="566"/>
      <w:outlineLvl w:val="0"/>
    </w:pPr>
    <w:rPr>
      <w:rFonts w:eastAsia="Times New Roman"/>
      <w:b/>
      <w:bCs/>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liases w:val="Times New Roman 11 moje"/>
    <w:basedOn w:val="Normlny"/>
    <w:next w:val="Normlny"/>
    <w:uiPriority w:val="1"/>
    <w:qFormat/>
    <w:rsid w:val="006E7CA0"/>
  </w:style>
  <w:style w:type="character" w:customStyle="1" w:styleId="hps">
    <w:name w:val="hps"/>
    <w:rsid w:val="00DA1C3D"/>
  </w:style>
  <w:style w:type="paragraph" w:styleId="Zkladntext">
    <w:name w:val="Body Text"/>
    <w:basedOn w:val="Normlny"/>
    <w:link w:val="ZkladntextChar"/>
    <w:uiPriority w:val="1"/>
    <w:qFormat/>
    <w:rsid w:val="00183D11"/>
    <w:pPr>
      <w:widowControl w:val="0"/>
      <w:ind w:left="118"/>
    </w:pPr>
    <w:rPr>
      <w:rFonts w:eastAsia="Times New Roman"/>
      <w:lang w:val="en-US" w:eastAsia="en-US"/>
    </w:rPr>
  </w:style>
  <w:style w:type="character" w:customStyle="1" w:styleId="ZkladntextChar">
    <w:name w:val="Základný text Char"/>
    <w:link w:val="Zkladntext"/>
    <w:uiPriority w:val="1"/>
    <w:rsid w:val="00183D11"/>
    <w:rPr>
      <w:rFonts w:ascii="Times New Roman" w:eastAsia="Times New Roman" w:hAnsi="Times New Roman"/>
      <w:sz w:val="22"/>
      <w:szCs w:val="22"/>
      <w:lang w:val="en-US" w:eastAsia="en-US"/>
    </w:rPr>
  </w:style>
  <w:style w:type="character" w:customStyle="1" w:styleId="Nadpis1Char">
    <w:name w:val="Nadpis 1 Char"/>
    <w:link w:val="Nadpis1"/>
    <w:uiPriority w:val="1"/>
    <w:rsid w:val="00F04AC5"/>
    <w:rPr>
      <w:rFonts w:ascii="Times New Roman" w:eastAsia="Times New Roman" w:hAnsi="Times New Roman"/>
      <w:b/>
      <w:bCs/>
      <w:sz w:val="22"/>
      <w:szCs w:val="22"/>
      <w:lang w:val="en-US" w:eastAsia="en-US"/>
    </w:rPr>
  </w:style>
  <w:style w:type="paragraph" w:customStyle="1" w:styleId="PIsubheadingnonum1">
    <w:name w:val="PI subheading nonum1"/>
    <w:basedOn w:val="Normlny"/>
    <w:next w:val="Normlny"/>
    <w:link w:val="PIsubheadingnonum1Char"/>
    <w:rsid w:val="00CB600C"/>
    <w:rPr>
      <w:rFonts w:eastAsia="Times New Roman"/>
      <w:noProof/>
      <w:szCs w:val="24"/>
      <w:u w:val="single"/>
      <w:lang w:val="en-GB" w:eastAsia="en-US"/>
    </w:rPr>
  </w:style>
  <w:style w:type="character" w:customStyle="1" w:styleId="PIsubheadingnonum1Char">
    <w:name w:val="PI subheading nonum1 Char"/>
    <w:link w:val="PIsubheadingnonum1"/>
    <w:rsid w:val="00CB600C"/>
    <w:rPr>
      <w:rFonts w:ascii="Times New Roman" w:eastAsia="Times New Roman" w:hAnsi="Times New Roman"/>
      <w:noProof/>
      <w:sz w:val="22"/>
      <w:szCs w:val="24"/>
      <w:u w:val="single"/>
      <w:lang w:val="en-GB" w:eastAsia="en-US"/>
    </w:rPr>
  </w:style>
  <w:style w:type="paragraph" w:styleId="Normlnywebov">
    <w:name w:val="Normal (Web)"/>
    <w:basedOn w:val="Normlny"/>
    <w:rsid w:val="00CB600C"/>
    <w:pPr>
      <w:spacing w:before="100" w:beforeAutospacing="1" w:after="63"/>
    </w:pPr>
    <w:rPr>
      <w:rFonts w:eastAsia="Times New Roman"/>
      <w:color w:val="000000"/>
      <w:sz w:val="24"/>
      <w:szCs w:val="24"/>
      <w:lang w:val="es-ES" w:eastAsia="es-ES"/>
    </w:rPr>
  </w:style>
  <w:style w:type="table" w:customStyle="1" w:styleId="TableNormal">
    <w:name w:val="Table Normal"/>
    <w:uiPriority w:val="2"/>
    <w:semiHidden/>
    <w:unhideWhenUsed/>
    <w:qFormat/>
    <w:rsid w:val="00D73B32"/>
    <w:pPr>
      <w:widowControl w:val="0"/>
      <w:ind w:right="706"/>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73B32"/>
    <w:pPr>
      <w:widowControl w:val="0"/>
    </w:pPr>
    <w:rPr>
      <w:rFonts w:ascii="Calibri" w:hAnsi="Calibri"/>
      <w:lang w:val="en-US"/>
    </w:rPr>
  </w:style>
  <w:style w:type="character" w:styleId="Hypertextovprepojenie">
    <w:name w:val="Hyperlink"/>
    <w:rsid w:val="000E4AFD"/>
    <w:rPr>
      <w:color w:val="0000FF"/>
      <w:u w:val="single"/>
    </w:rPr>
  </w:style>
  <w:style w:type="paragraph" w:customStyle="1" w:styleId="PIbodytext">
    <w:name w:val="PI body text"/>
    <w:link w:val="PIbodytextChar"/>
    <w:rsid w:val="000E4AFD"/>
    <w:pPr>
      <w:ind w:right="706"/>
    </w:pPr>
    <w:rPr>
      <w:rFonts w:eastAsia="Times New Roman"/>
      <w:noProof/>
      <w:sz w:val="22"/>
      <w:szCs w:val="24"/>
      <w:lang w:val="en-GB" w:eastAsia="en-US"/>
    </w:rPr>
  </w:style>
  <w:style w:type="character" w:customStyle="1" w:styleId="PIbodytextChar">
    <w:name w:val="PI body text Char"/>
    <w:link w:val="PIbodytext"/>
    <w:rsid w:val="000E4AFD"/>
    <w:rPr>
      <w:rFonts w:eastAsia="Times New Roman"/>
      <w:noProof/>
      <w:sz w:val="22"/>
      <w:szCs w:val="24"/>
      <w:lang w:val="en-GB" w:eastAsia="en-US" w:bidi="ar-SA"/>
    </w:rPr>
  </w:style>
  <w:style w:type="character" w:customStyle="1" w:styleId="atn">
    <w:name w:val="atn"/>
    <w:rsid w:val="001C2C4B"/>
  </w:style>
  <w:style w:type="paragraph" w:styleId="Odsekzoznamu">
    <w:name w:val="List Paragraph"/>
    <w:basedOn w:val="Normlny"/>
    <w:uiPriority w:val="34"/>
    <w:qFormat/>
    <w:rsid w:val="00343279"/>
    <w:pPr>
      <w:ind w:left="708"/>
    </w:pPr>
  </w:style>
  <w:style w:type="paragraph" w:styleId="Textbubliny">
    <w:name w:val="Balloon Text"/>
    <w:basedOn w:val="Normlny"/>
    <w:link w:val="TextbublinyChar"/>
    <w:uiPriority w:val="99"/>
    <w:semiHidden/>
    <w:unhideWhenUsed/>
    <w:rsid w:val="003706BA"/>
    <w:rPr>
      <w:rFonts w:ascii="Tahoma" w:hAnsi="Tahoma" w:cs="Tahoma"/>
      <w:sz w:val="16"/>
      <w:szCs w:val="16"/>
    </w:rPr>
  </w:style>
  <w:style w:type="character" w:customStyle="1" w:styleId="TextbublinyChar">
    <w:name w:val="Text bubliny Char"/>
    <w:link w:val="Textbubliny"/>
    <w:uiPriority w:val="99"/>
    <w:semiHidden/>
    <w:rsid w:val="003706BA"/>
    <w:rPr>
      <w:rFonts w:ascii="Tahoma" w:hAnsi="Tahoma" w:cs="Tahoma"/>
      <w:sz w:val="16"/>
      <w:szCs w:val="16"/>
    </w:rPr>
  </w:style>
  <w:style w:type="paragraph" w:styleId="Revzia">
    <w:name w:val="Revision"/>
    <w:hidden/>
    <w:uiPriority w:val="99"/>
    <w:semiHidden/>
    <w:rsid w:val="00246A69"/>
    <w:rPr>
      <w:sz w:val="22"/>
      <w:szCs w:val="22"/>
    </w:rPr>
  </w:style>
  <w:style w:type="character" w:styleId="Odkaznakomentr">
    <w:name w:val="annotation reference"/>
    <w:uiPriority w:val="99"/>
    <w:semiHidden/>
    <w:unhideWhenUsed/>
    <w:rsid w:val="00A62CA2"/>
    <w:rPr>
      <w:sz w:val="16"/>
      <w:szCs w:val="16"/>
    </w:rPr>
  </w:style>
  <w:style w:type="paragraph" w:styleId="Textkomentra">
    <w:name w:val="annotation text"/>
    <w:basedOn w:val="Normlny"/>
    <w:link w:val="TextkomentraChar"/>
    <w:uiPriority w:val="99"/>
    <w:semiHidden/>
    <w:unhideWhenUsed/>
    <w:rsid w:val="00A62CA2"/>
    <w:rPr>
      <w:sz w:val="20"/>
      <w:szCs w:val="20"/>
    </w:rPr>
  </w:style>
  <w:style w:type="character" w:customStyle="1" w:styleId="TextkomentraChar">
    <w:name w:val="Text komentára Char"/>
    <w:basedOn w:val="Predvolenpsmoodseku"/>
    <w:link w:val="Textkomentra"/>
    <w:uiPriority w:val="99"/>
    <w:semiHidden/>
    <w:rsid w:val="00A62CA2"/>
  </w:style>
  <w:style w:type="paragraph" w:styleId="Predmetkomentra">
    <w:name w:val="annotation subject"/>
    <w:basedOn w:val="Textkomentra"/>
    <w:next w:val="Textkomentra"/>
    <w:link w:val="PredmetkomentraChar"/>
    <w:uiPriority w:val="99"/>
    <w:semiHidden/>
    <w:unhideWhenUsed/>
    <w:rsid w:val="00A62CA2"/>
    <w:rPr>
      <w:b/>
      <w:bCs/>
    </w:rPr>
  </w:style>
  <w:style w:type="character" w:customStyle="1" w:styleId="PredmetkomentraChar">
    <w:name w:val="Predmet komentára Char"/>
    <w:link w:val="Predmetkomentra"/>
    <w:uiPriority w:val="99"/>
    <w:semiHidden/>
    <w:rsid w:val="00A62CA2"/>
    <w:rPr>
      <w:b/>
      <w:bCs/>
    </w:rPr>
  </w:style>
  <w:style w:type="paragraph" w:styleId="Hlavika">
    <w:name w:val="header"/>
    <w:basedOn w:val="Normlny"/>
    <w:link w:val="HlavikaChar"/>
    <w:uiPriority w:val="99"/>
    <w:unhideWhenUsed/>
    <w:rsid w:val="001579E3"/>
    <w:pPr>
      <w:tabs>
        <w:tab w:val="center" w:pos="4536"/>
        <w:tab w:val="right" w:pos="9072"/>
      </w:tabs>
    </w:pPr>
  </w:style>
  <w:style w:type="character" w:customStyle="1" w:styleId="HlavikaChar">
    <w:name w:val="Hlavička Char"/>
    <w:link w:val="Hlavika"/>
    <w:uiPriority w:val="99"/>
    <w:rsid w:val="001579E3"/>
    <w:rPr>
      <w:sz w:val="22"/>
      <w:szCs w:val="22"/>
    </w:rPr>
  </w:style>
  <w:style w:type="paragraph" w:styleId="Pta">
    <w:name w:val="footer"/>
    <w:basedOn w:val="Normlny"/>
    <w:link w:val="PtaChar"/>
    <w:uiPriority w:val="99"/>
    <w:unhideWhenUsed/>
    <w:rsid w:val="001579E3"/>
    <w:pPr>
      <w:tabs>
        <w:tab w:val="center" w:pos="4536"/>
        <w:tab w:val="right" w:pos="9072"/>
      </w:tabs>
    </w:pPr>
  </w:style>
  <w:style w:type="character" w:customStyle="1" w:styleId="PtaChar">
    <w:name w:val="Päta Char"/>
    <w:link w:val="Pta"/>
    <w:uiPriority w:val="99"/>
    <w:rsid w:val="001579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2031">
      <w:bodyDiv w:val="1"/>
      <w:marLeft w:val="0"/>
      <w:marRight w:val="0"/>
      <w:marTop w:val="0"/>
      <w:marBottom w:val="0"/>
      <w:divBdr>
        <w:top w:val="none" w:sz="0" w:space="0" w:color="auto"/>
        <w:left w:val="none" w:sz="0" w:space="0" w:color="auto"/>
        <w:bottom w:val="none" w:sz="0" w:space="0" w:color="auto"/>
        <w:right w:val="none" w:sz="0" w:space="0" w:color="auto"/>
      </w:divBdr>
    </w:div>
    <w:div w:id="148981457">
      <w:bodyDiv w:val="1"/>
      <w:marLeft w:val="0"/>
      <w:marRight w:val="0"/>
      <w:marTop w:val="0"/>
      <w:marBottom w:val="0"/>
      <w:divBdr>
        <w:top w:val="none" w:sz="0" w:space="0" w:color="auto"/>
        <w:left w:val="none" w:sz="0" w:space="0" w:color="auto"/>
        <w:bottom w:val="none" w:sz="0" w:space="0" w:color="auto"/>
        <w:right w:val="none" w:sz="0" w:space="0" w:color="auto"/>
      </w:divBdr>
    </w:div>
    <w:div w:id="206727580">
      <w:bodyDiv w:val="1"/>
      <w:marLeft w:val="0"/>
      <w:marRight w:val="0"/>
      <w:marTop w:val="0"/>
      <w:marBottom w:val="0"/>
      <w:divBdr>
        <w:top w:val="none" w:sz="0" w:space="0" w:color="auto"/>
        <w:left w:val="none" w:sz="0" w:space="0" w:color="auto"/>
        <w:bottom w:val="none" w:sz="0" w:space="0" w:color="auto"/>
        <w:right w:val="none" w:sz="0" w:space="0" w:color="auto"/>
      </w:divBdr>
    </w:div>
    <w:div w:id="232931291">
      <w:bodyDiv w:val="1"/>
      <w:marLeft w:val="0"/>
      <w:marRight w:val="0"/>
      <w:marTop w:val="0"/>
      <w:marBottom w:val="0"/>
      <w:divBdr>
        <w:top w:val="none" w:sz="0" w:space="0" w:color="auto"/>
        <w:left w:val="none" w:sz="0" w:space="0" w:color="auto"/>
        <w:bottom w:val="none" w:sz="0" w:space="0" w:color="auto"/>
        <w:right w:val="none" w:sz="0" w:space="0" w:color="auto"/>
      </w:divBdr>
      <w:divsChild>
        <w:div w:id="1335914961">
          <w:marLeft w:val="0"/>
          <w:marRight w:val="0"/>
          <w:marTop w:val="0"/>
          <w:marBottom w:val="0"/>
          <w:divBdr>
            <w:top w:val="none" w:sz="0" w:space="0" w:color="auto"/>
            <w:left w:val="none" w:sz="0" w:space="0" w:color="auto"/>
            <w:bottom w:val="none" w:sz="0" w:space="0" w:color="auto"/>
            <w:right w:val="none" w:sz="0" w:space="0" w:color="auto"/>
          </w:divBdr>
          <w:divsChild>
            <w:div w:id="810948411">
              <w:marLeft w:val="0"/>
              <w:marRight w:val="0"/>
              <w:marTop w:val="0"/>
              <w:marBottom w:val="0"/>
              <w:divBdr>
                <w:top w:val="none" w:sz="0" w:space="0" w:color="auto"/>
                <w:left w:val="none" w:sz="0" w:space="0" w:color="auto"/>
                <w:bottom w:val="none" w:sz="0" w:space="0" w:color="auto"/>
                <w:right w:val="none" w:sz="0" w:space="0" w:color="auto"/>
              </w:divBdr>
              <w:divsChild>
                <w:div w:id="608927524">
                  <w:marLeft w:val="0"/>
                  <w:marRight w:val="0"/>
                  <w:marTop w:val="0"/>
                  <w:marBottom w:val="0"/>
                  <w:divBdr>
                    <w:top w:val="none" w:sz="0" w:space="0" w:color="auto"/>
                    <w:left w:val="none" w:sz="0" w:space="0" w:color="auto"/>
                    <w:bottom w:val="none" w:sz="0" w:space="0" w:color="auto"/>
                    <w:right w:val="none" w:sz="0" w:space="0" w:color="auto"/>
                  </w:divBdr>
                  <w:divsChild>
                    <w:div w:id="1145659413">
                      <w:marLeft w:val="0"/>
                      <w:marRight w:val="0"/>
                      <w:marTop w:val="0"/>
                      <w:marBottom w:val="0"/>
                      <w:divBdr>
                        <w:top w:val="none" w:sz="0" w:space="0" w:color="auto"/>
                        <w:left w:val="none" w:sz="0" w:space="0" w:color="auto"/>
                        <w:bottom w:val="none" w:sz="0" w:space="0" w:color="auto"/>
                        <w:right w:val="none" w:sz="0" w:space="0" w:color="auto"/>
                      </w:divBdr>
                      <w:divsChild>
                        <w:div w:id="407966019">
                          <w:marLeft w:val="0"/>
                          <w:marRight w:val="0"/>
                          <w:marTop w:val="0"/>
                          <w:marBottom w:val="0"/>
                          <w:divBdr>
                            <w:top w:val="none" w:sz="0" w:space="0" w:color="auto"/>
                            <w:left w:val="none" w:sz="0" w:space="0" w:color="auto"/>
                            <w:bottom w:val="none" w:sz="0" w:space="0" w:color="auto"/>
                            <w:right w:val="none" w:sz="0" w:space="0" w:color="auto"/>
                          </w:divBdr>
                          <w:divsChild>
                            <w:div w:id="1388843553">
                              <w:marLeft w:val="0"/>
                              <w:marRight w:val="0"/>
                              <w:marTop w:val="0"/>
                              <w:marBottom w:val="0"/>
                              <w:divBdr>
                                <w:top w:val="none" w:sz="0" w:space="0" w:color="auto"/>
                                <w:left w:val="none" w:sz="0" w:space="0" w:color="auto"/>
                                <w:bottom w:val="none" w:sz="0" w:space="0" w:color="auto"/>
                                <w:right w:val="none" w:sz="0" w:space="0" w:color="auto"/>
                              </w:divBdr>
                              <w:divsChild>
                                <w:div w:id="985620015">
                                  <w:marLeft w:val="0"/>
                                  <w:marRight w:val="0"/>
                                  <w:marTop w:val="0"/>
                                  <w:marBottom w:val="0"/>
                                  <w:divBdr>
                                    <w:top w:val="none" w:sz="0" w:space="0" w:color="auto"/>
                                    <w:left w:val="none" w:sz="0" w:space="0" w:color="auto"/>
                                    <w:bottom w:val="none" w:sz="0" w:space="0" w:color="auto"/>
                                    <w:right w:val="none" w:sz="0" w:space="0" w:color="auto"/>
                                  </w:divBdr>
                                  <w:divsChild>
                                    <w:div w:id="4407342">
                                      <w:marLeft w:val="60"/>
                                      <w:marRight w:val="0"/>
                                      <w:marTop w:val="0"/>
                                      <w:marBottom w:val="0"/>
                                      <w:divBdr>
                                        <w:top w:val="none" w:sz="0" w:space="0" w:color="auto"/>
                                        <w:left w:val="none" w:sz="0" w:space="0" w:color="auto"/>
                                        <w:bottom w:val="none" w:sz="0" w:space="0" w:color="auto"/>
                                        <w:right w:val="none" w:sz="0" w:space="0" w:color="auto"/>
                                      </w:divBdr>
                                      <w:divsChild>
                                        <w:div w:id="663777558">
                                          <w:marLeft w:val="0"/>
                                          <w:marRight w:val="0"/>
                                          <w:marTop w:val="0"/>
                                          <w:marBottom w:val="0"/>
                                          <w:divBdr>
                                            <w:top w:val="none" w:sz="0" w:space="0" w:color="auto"/>
                                            <w:left w:val="none" w:sz="0" w:space="0" w:color="auto"/>
                                            <w:bottom w:val="none" w:sz="0" w:space="0" w:color="auto"/>
                                            <w:right w:val="none" w:sz="0" w:space="0" w:color="auto"/>
                                          </w:divBdr>
                                          <w:divsChild>
                                            <w:div w:id="1104689140">
                                              <w:marLeft w:val="0"/>
                                              <w:marRight w:val="0"/>
                                              <w:marTop w:val="0"/>
                                              <w:marBottom w:val="120"/>
                                              <w:divBdr>
                                                <w:top w:val="single" w:sz="6" w:space="0" w:color="F5F5F5"/>
                                                <w:left w:val="single" w:sz="6" w:space="0" w:color="F5F5F5"/>
                                                <w:bottom w:val="single" w:sz="6" w:space="0" w:color="F5F5F5"/>
                                                <w:right w:val="single" w:sz="6" w:space="0" w:color="F5F5F5"/>
                                              </w:divBdr>
                                              <w:divsChild>
                                                <w:div w:id="139075314">
                                                  <w:marLeft w:val="0"/>
                                                  <w:marRight w:val="0"/>
                                                  <w:marTop w:val="0"/>
                                                  <w:marBottom w:val="0"/>
                                                  <w:divBdr>
                                                    <w:top w:val="none" w:sz="0" w:space="0" w:color="auto"/>
                                                    <w:left w:val="none" w:sz="0" w:space="0" w:color="auto"/>
                                                    <w:bottom w:val="none" w:sz="0" w:space="0" w:color="auto"/>
                                                    <w:right w:val="none" w:sz="0" w:space="0" w:color="auto"/>
                                                  </w:divBdr>
                                                  <w:divsChild>
                                                    <w:div w:id="471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980301">
      <w:bodyDiv w:val="1"/>
      <w:marLeft w:val="0"/>
      <w:marRight w:val="0"/>
      <w:marTop w:val="0"/>
      <w:marBottom w:val="0"/>
      <w:divBdr>
        <w:top w:val="none" w:sz="0" w:space="0" w:color="auto"/>
        <w:left w:val="none" w:sz="0" w:space="0" w:color="auto"/>
        <w:bottom w:val="none" w:sz="0" w:space="0" w:color="auto"/>
        <w:right w:val="none" w:sz="0" w:space="0" w:color="auto"/>
      </w:divBdr>
      <w:divsChild>
        <w:div w:id="1270702267">
          <w:marLeft w:val="0"/>
          <w:marRight w:val="0"/>
          <w:marTop w:val="0"/>
          <w:marBottom w:val="0"/>
          <w:divBdr>
            <w:top w:val="none" w:sz="0" w:space="0" w:color="auto"/>
            <w:left w:val="none" w:sz="0" w:space="0" w:color="auto"/>
            <w:bottom w:val="none" w:sz="0" w:space="0" w:color="auto"/>
            <w:right w:val="none" w:sz="0" w:space="0" w:color="auto"/>
          </w:divBdr>
          <w:divsChild>
            <w:div w:id="904923032">
              <w:marLeft w:val="0"/>
              <w:marRight w:val="0"/>
              <w:marTop w:val="0"/>
              <w:marBottom w:val="0"/>
              <w:divBdr>
                <w:top w:val="none" w:sz="0" w:space="0" w:color="auto"/>
                <w:left w:val="none" w:sz="0" w:space="0" w:color="auto"/>
                <w:bottom w:val="none" w:sz="0" w:space="0" w:color="auto"/>
                <w:right w:val="none" w:sz="0" w:space="0" w:color="auto"/>
              </w:divBdr>
              <w:divsChild>
                <w:div w:id="945580508">
                  <w:marLeft w:val="0"/>
                  <w:marRight w:val="0"/>
                  <w:marTop w:val="0"/>
                  <w:marBottom w:val="0"/>
                  <w:divBdr>
                    <w:top w:val="none" w:sz="0" w:space="0" w:color="auto"/>
                    <w:left w:val="none" w:sz="0" w:space="0" w:color="auto"/>
                    <w:bottom w:val="none" w:sz="0" w:space="0" w:color="auto"/>
                    <w:right w:val="none" w:sz="0" w:space="0" w:color="auto"/>
                  </w:divBdr>
                  <w:divsChild>
                    <w:div w:id="1300845011">
                      <w:marLeft w:val="0"/>
                      <w:marRight w:val="0"/>
                      <w:marTop w:val="0"/>
                      <w:marBottom w:val="0"/>
                      <w:divBdr>
                        <w:top w:val="none" w:sz="0" w:space="0" w:color="auto"/>
                        <w:left w:val="none" w:sz="0" w:space="0" w:color="auto"/>
                        <w:bottom w:val="none" w:sz="0" w:space="0" w:color="auto"/>
                        <w:right w:val="none" w:sz="0" w:space="0" w:color="auto"/>
                      </w:divBdr>
                      <w:divsChild>
                        <w:div w:id="633948637">
                          <w:marLeft w:val="0"/>
                          <w:marRight w:val="0"/>
                          <w:marTop w:val="0"/>
                          <w:marBottom w:val="0"/>
                          <w:divBdr>
                            <w:top w:val="none" w:sz="0" w:space="0" w:color="auto"/>
                            <w:left w:val="none" w:sz="0" w:space="0" w:color="auto"/>
                            <w:bottom w:val="none" w:sz="0" w:space="0" w:color="auto"/>
                            <w:right w:val="none" w:sz="0" w:space="0" w:color="auto"/>
                          </w:divBdr>
                          <w:divsChild>
                            <w:div w:id="643512225">
                              <w:marLeft w:val="0"/>
                              <w:marRight w:val="0"/>
                              <w:marTop w:val="0"/>
                              <w:marBottom w:val="0"/>
                              <w:divBdr>
                                <w:top w:val="none" w:sz="0" w:space="0" w:color="auto"/>
                                <w:left w:val="none" w:sz="0" w:space="0" w:color="auto"/>
                                <w:bottom w:val="none" w:sz="0" w:space="0" w:color="auto"/>
                                <w:right w:val="none" w:sz="0" w:space="0" w:color="auto"/>
                              </w:divBdr>
                              <w:divsChild>
                                <w:div w:id="1076056147">
                                  <w:marLeft w:val="0"/>
                                  <w:marRight w:val="0"/>
                                  <w:marTop w:val="0"/>
                                  <w:marBottom w:val="0"/>
                                  <w:divBdr>
                                    <w:top w:val="none" w:sz="0" w:space="0" w:color="auto"/>
                                    <w:left w:val="none" w:sz="0" w:space="0" w:color="auto"/>
                                    <w:bottom w:val="none" w:sz="0" w:space="0" w:color="auto"/>
                                    <w:right w:val="none" w:sz="0" w:space="0" w:color="auto"/>
                                  </w:divBdr>
                                  <w:divsChild>
                                    <w:div w:id="301231340">
                                      <w:marLeft w:val="60"/>
                                      <w:marRight w:val="0"/>
                                      <w:marTop w:val="0"/>
                                      <w:marBottom w:val="0"/>
                                      <w:divBdr>
                                        <w:top w:val="none" w:sz="0" w:space="0" w:color="auto"/>
                                        <w:left w:val="none" w:sz="0" w:space="0" w:color="auto"/>
                                        <w:bottom w:val="none" w:sz="0" w:space="0" w:color="auto"/>
                                        <w:right w:val="none" w:sz="0" w:space="0" w:color="auto"/>
                                      </w:divBdr>
                                      <w:divsChild>
                                        <w:div w:id="1468628020">
                                          <w:marLeft w:val="0"/>
                                          <w:marRight w:val="0"/>
                                          <w:marTop w:val="0"/>
                                          <w:marBottom w:val="0"/>
                                          <w:divBdr>
                                            <w:top w:val="none" w:sz="0" w:space="0" w:color="auto"/>
                                            <w:left w:val="none" w:sz="0" w:space="0" w:color="auto"/>
                                            <w:bottom w:val="none" w:sz="0" w:space="0" w:color="auto"/>
                                            <w:right w:val="none" w:sz="0" w:space="0" w:color="auto"/>
                                          </w:divBdr>
                                          <w:divsChild>
                                            <w:div w:id="294944002">
                                              <w:marLeft w:val="0"/>
                                              <w:marRight w:val="0"/>
                                              <w:marTop w:val="0"/>
                                              <w:marBottom w:val="120"/>
                                              <w:divBdr>
                                                <w:top w:val="single" w:sz="6" w:space="0" w:color="F5F5F5"/>
                                                <w:left w:val="single" w:sz="6" w:space="0" w:color="F5F5F5"/>
                                                <w:bottom w:val="single" w:sz="6" w:space="0" w:color="F5F5F5"/>
                                                <w:right w:val="single" w:sz="6" w:space="0" w:color="F5F5F5"/>
                                              </w:divBdr>
                                              <w:divsChild>
                                                <w:div w:id="2103453452">
                                                  <w:marLeft w:val="0"/>
                                                  <w:marRight w:val="0"/>
                                                  <w:marTop w:val="0"/>
                                                  <w:marBottom w:val="0"/>
                                                  <w:divBdr>
                                                    <w:top w:val="none" w:sz="0" w:space="0" w:color="auto"/>
                                                    <w:left w:val="none" w:sz="0" w:space="0" w:color="auto"/>
                                                    <w:bottom w:val="none" w:sz="0" w:space="0" w:color="auto"/>
                                                    <w:right w:val="none" w:sz="0" w:space="0" w:color="auto"/>
                                                  </w:divBdr>
                                                  <w:divsChild>
                                                    <w:div w:id="138749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0147289">
      <w:bodyDiv w:val="1"/>
      <w:marLeft w:val="0"/>
      <w:marRight w:val="0"/>
      <w:marTop w:val="0"/>
      <w:marBottom w:val="0"/>
      <w:divBdr>
        <w:top w:val="none" w:sz="0" w:space="0" w:color="auto"/>
        <w:left w:val="none" w:sz="0" w:space="0" w:color="auto"/>
        <w:bottom w:val="none" w:sz="0" w:space="0" w:color="auto"/>
        <w:right w:val="none" w:sz="0" w:space="0" w:color="auto"/>
      </w:divBdr>
      <w:divsChild>
        <w:div w:id="172695421">
          <w:marLeft w:val="0"/>
          <w:marRight w:val="0"/>
          <w:marTop w:val="0"/>
          <w:marBottom w:val="0"/>
          <w:divBdr>
            <w:top w:val="none" w:sz="0" w:space="0" w:color="auto"/>
            <w:left w:val="none" w:sz="0" w:space="0" w:color="auto"/>
            <w:bottom w:val="none" w:sz="0" w:space="0" w:color="auto"/>
            <w:right w:val="none" w:sz="0" w:space="0" w:color="auto"/>
          </w:divBdr>
          <w:divsChild>
            <w:div w:id="1645893061">
              <w:marLeft w:val="0"/>
              <w:marRight w:val="0"/>
              <w:marTop w:val="0"/>
              <w:marBottom w:val="0"/>
              <w:divBdr>
                <w:top w:val="none" w:sz="0" w:space="0" w:color="auto"/>
                <w:left w:val="none" w:sz="0" w:space="0" w:color="auto"/>
                <w:bottom w:val="none" w:sz="0" w:space="0" w:color="auto"/>
                <w:right w:val="none" w:sz="0" w:space="0" w:color="auto"/>
              </w:divBdr>
              <w:divsChild>
                <w:div w:id="1347176462">
                  <w:marLeft w:val="0"/>
                  <w:marRight w:val="0"/>
                  <w:marTop w:val="0"/>
                  <w:marBottom w:val="0"/>
                  <w:divBdr>
                    <w:top w:val="none" w:sz="0" w:space="0" w:color="auto"/>
                    <w:left w:val="none" w:sz="0" w:space="0" w:color="auto"/>
                    <w:bottom w:val="none" w:sz="0" w:space="0" w:color="auto"/>
                    <w:right w:val="none" w:sz="0" w:space="0" w:color="auto"/>
                  </w:divBdr>
                  <w:divsChild>
                    <w:div w:id="1293748834">
                      <w:marLeft w:val="0"/>
                      <w:marRight w:val="0"/>
                      <w:marTop w:val="0"/>
                      <w:marBottom w:val="0"/>
                      <w:divBdr>
                        <w:top w:val="none" w:sz="0" w:space="0" w:color="auto"/>
                        <w:left w:val="none" w:sz="0" w:space="0" w:color="auto"/>
                        <w:bottom w:val="none" w:sz="0" w:space="0" w:color="auto"/>
                        <w:right w:val="none" w:sz="0" w:space="0" w:color="auto"/>
                      </w:divBdr>
                      <w:divsChild>
                        <w:div w:id="2105374714">
                          <w:marLeft w:val="0"/>
                          <w:marRight w:val="0"/>
                          <w:marTop w:val="0"/>
                          <w:marBottom w:val="0"/>
                          <w:divBdr>
                            <w:top w:val="none" w:sz="0" w:space="0" w:color="auto"/>
                            <w:left w:val="none" w:sz="0" w:space="0" w:color="auto"/>
                            <w:bottom w:val="none" w:sz="0" w:space="0" w:color="auto"/>
                            <w:right w:val="none" w:sz="0" w:space="0" w:color="auto"/>
                          </w:divBdr>
                          <w:divsChild>
                            <w:div w:id="1949504733">
                              <w:marLeft w:val="0"/>
                              <w:marRight w:val="0"/>
                              <w:marTop w:val="0"/>
                              <w:marBottom w:val="0"/>
                              <w:divBdr>
                                <w:top w:val="none" w:sz="0" w:space="0" w:color="auto"/>
                                <w:left w:val="none" w:sz="0" w:space="0" w:color="auto"/>
                                <w:bottom w:val="none" w:sz="0" w:space="0" w:color="auto"/>
                                <w:right w:val="none" w:sz="0" w:space="0" w:color="auto"/>
                              </w:divBdr>
                              <w:divsChild>
                                <w:div w:id="586036874">
                                  <w:marLeft w:val="0"/>
                                  <w:marRight w:val="0"/>
                                  <w:marTop w:val="0"/>
                                  <w:marBottom w:val="0"/>
                                  <w:divBdr>
                                    <w:top w:val="none" w:sz="0" w:space="0" w:color="auto"/>
                                    <w:left w:val="none" w:sz="0" w:space="0" w:color="auto"/>
                                    <w:bottom w:val="none" w:sz="0" w:space="0" w:color="auto"/>
                                    <w:right w:val="none" w:sz="0" w:space="0" w:color="auto"/>
                                  </w:divBdr>
                                  <w:divsChild>
                                    <w:div w:id="804156915">
                                      <w:marLeft w:val="60"/>
                                      <w:marRight w:val="0"/>
                                      <w:marTop w:val="0"/>
                                      <w:marBottom w:val="0"/>
                                      <w:divBdr>
                                        <w:top w:val="none" w:sz="0" w:space="0" w:color="auto"/>
                                        <w:left w:val="none" w:sz="0" w:space="0" w:color="auto"/>
                                        <w:bottom w:val="none" w:sz="0" w:space="0" w:color="auto"/>
                                        <w:right w:val="none" w:sz="0" w:space="0" w:color="auto"/>
                                      </w:divBdr>
                                      <w:divsChild>
                                        <w:div w:id="141310748">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120"/>
                                              <w:divBdr>
                                                <w:top w:val="single" w:sz="6" w:space="0" w:color="F5F5F5"/>
                                                <w:left w:val="single" w:sz="6" w:space="0" w:color="F5F5F5"/>
                                                <w:bottom w:val="single" w:sz="6" w:space="0" w:color="F5F5F5"/>
                                                <w:right w:val="single" w:sz="6" w:space="0" w:color="F5F5F5"/>
                                              </w:divBdr>
                                              <w:divsChild>
                                                <w:div w:id="1132210200">
                                                  <w:marLeft w:val="0"/>
                                                  <w:marRight w:val="0"/>
                                                  <w:marTop w:val="0"/>
                                                  <w:marBottom w:val="0"/>
                                                  <w:divBdr>
                                                    <w:top w:val="none" w:sz="0" w:space="0" w:color="auto"/>
                                                    <w:left w:val="none" w:sz="0" w:space="0" w:color="auto"/>
                                                    <w:bottom w:val="none" w:sz="0" w:space="0" w:color="auto"/>
                                                    <w:right w:val="none" w:sz="0" w:space="0" w:color="auto"/>
                                                  </w:divBdr>
                                                  <w:divsChild>
                                                    <w:div w:id="9416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052112">
      <w:bodyDiv w:val="1"/>
      <w:marLeft w:val="0"/>
      <w:marRight w:val="0"/>
      <w:marTop w:val="0"/>
      <w:marBottom w:val="0"/>
      <w:divBdr>
        <w:top w:val="none" w:sz="0" w:space="0" w:color="auto"/>
        <w:left w:val="none" w:sz="0" w:space="0" w:color="auto"/>
        <w:bottom w:val="none" w:sz="0" w:space="0" w:color="auto"/>
        <w:right w:val="none" w:sz="0" w:space="0" w:color="auto"/>
      </w:divBdr>
    </w:div>
    <w:div w:id="912812054">
      <w:bodyDiv w:val="1"/>
      <w:marLeft w:val="0"/>
      <w:marRight w:val="0"/>
      <w:marTop w:val="0"/>
      <w:marBottom w:val="0"/>
      <w:divBdr>
        <w:top w:val="none" w:sz="0" w:space="0" w:color="auto"/>
        <w:left w:val="none" w:sz="0" w:space="0" w:color="auto"/>
        <w:bottom w:val="none" w:sz="0" w:space="0" w:color="auto"/>
        <w:right w:val="none" w:sz="0" w:space="0" w:color="auto"/>
      </w:divBdr>
    </w:div>
    <w:div w:id="1043335262">
      <w:bodyDiv w:val="1"/>
      <w:marLeft w:val="0"/>
      <w:marRight w:val="0"/>
      <w:marTop w:val="0"/>
      <w:marBottom w:val="0"/>
      <w:divBdr>
        <w:top w:val="none" w:sz="0" w:space="0" w:color="auto"/>
        <w:left w:val="none" w:sz="0" w:space="0" w:color="auto"/>
        <w:bottom w:val="none" w:sz="0" w:space="0" w:color="auto"/>
        <w:right w:val="none" w:sz="0" w:space="0" w:color="auto"/>
      </w:divBdr>
      <w:divsChild>
        <w:div w:id="399593436">
          <w:marLeft w:val="0"/>
          <w:marRight w:val="0"/>
          <w:marTop w:val="0"/>
          <w:marBottom w:val="0"/>
          <w:divBdr>
            <w:top w:val="none" w:sz="0" w:space="0" w:color="auto"/>
            <w:left w:val="none" w:sz="0" w:space="0" w:color="auto"/>
            <w:bottom w:val="none" w:sz="0" w:space="0" w:color="auto"/>
            <w:right w:val="none" w:sz="0" w:space="0" w:color="auto"/>
          </w:divBdr>
          <w:divsChild>
            <w:div w:id="1084649744">
              <w:marLeft w:val="0"/>
              <w:marRight w:val="0"/>
              <w:marTop w:val="0"/>
              <w:marBottom w:val="0"/>
              <w:divBdr>
                <w:top w:val="none" w:sz="0" w:space="0" w:color="auto"/>
                <w:left w:val="none" w:sz="0" w:space="0" w:color="auto"/>
                <w:bottom w:val="none" w:sz="0" w:space="0" w:color="auto"/>
                <w:right w:val="none" w:sz="0" w:space="0" w:color="auto"/>
              </w:divBdr>
              <w:divsChild>
                <w:div w:id="789670944">
                  <w:marLeft w:val="0"/>
                  <w:marRight w:val="0"/>
                  <w:marTop w:val="0"/>
                  <w:marBottom w:val="0"/>
                  <w:divBdr>
                    <w:top w:val="none" w:sz="0" w:space="0" w:color="auto"/>
                    <w:left w:val="none" w:sz="0" w:space="0" w:color="auto"/>
                    <w:bottom w:val="none" w:sz="0" w:space="0" w:color="auto"/>
                    <w:right w:val="none" w:sz="0" w:space="0" w:color="auto"/>
                  </w:divBdr>
                  <w:divsChild>
                    <w:div w:id="1919905220">
                      <w:marLeft w:val="0"/>
                      <w:marRight w:val="0"/>
                      <w:marTop w:val="0"/>
                      <w:marBottom w:val="0"/>
                      <w:divBdr>
                        <w:top w:val="none" w:sz="0" w:space="0" w:color="auto"/>
                        <w:left w:val="none" w:sz="0" w:space="0" w:color="auto"/>
                        <w:bottom w:val="none" w:sz="0" w:space="0" w:color="auto"/>
                        <w:right w:val="none" w:sz="0" w:space="0" w:color="auto"/>
                      </w:divBdr>
                      <w:divsChild>
                        <w:div w:id="734939814">
                          <w:marLeft w:val="0"/>
                          <w:marRight w:val="0"/>
                          <w:marTop w:val="0"/>
                          <w:marBottom w:val="0"/>
                          <w:divBdr>
                            <w:top w:val="none" w:sz="0" w:space="0" w:color="auto"/>
                            <w:left w:val="none" w:sz="0" w:space="0" w:color="auto"/>
                            <w:bottom w:val="none" w:sz="0" w:space="0" w:color="auto"/>
                            <w:right w:val="none" w:sz="0" w:space="0" w:color="auto"/>
                          </w:divBdr>
                          <w:divsChild>
                            <w:div w:id="1775588042">
                              <w:marLeft w:val="0"/>
                              <w:marRight w:val="0"/>
                              <w:marTop w:val="0"/>
                              <w:marBottom w:val="0"/>
                              <w:divBdr>
                                <w:top w:val="none" w:sz="0" w:space="0" w:color="auto"/>
                                <w:left w:val="none" w:sz="0" w:space="0" w:color="auto"/>
                                <w:bottom w:val="none" w:sz="0" w:space="0" w:color="auto"/>
                                <w:right w:val="none" w:sz="0" w:space="0" w:color="auto"/>
                              </w:divBdr>
                              <w:divsChild>
                                <w:div w:id="898243905">
                                  <w:marLeft w:val="0"/>
                                  <w:marRight w:val="0"/>
                                  <w:marTop w:val="0"/>
                                  <w:marBottom w:val="0"/>
                                  <w:divBdr>
                                    <w:top w:val="none" w:sz="0" w:space="0" w:color="auto"/>
                                    <w:left w:val="none" w:sz="0" w:space="0" w:color="auto"/>
                                    <w:bottom w:val="none" w:sz="0" w:space="0" w:color="auto"/>
                                    <w:right w:val="none" w:sz="0" w:space="0" w:color="auto"/>
                                  </w:divBdr>
                                  <w:divsChild>
                                    <w:div w:id="93061728">
                                      <w:marLeft w:val="60"/>
                                      <w:marRight w:val="0"/>
                                      <w:marTop w:val="0"/>
                                      <w:marBottom w:val="0"/>
                                      <w:divBdr>
                                        <w:top w:val="none" w:sz="0" w:space="0" w:color="auto"/>
                                        <w:left w:val="none" w:sz="0" w:space="0" w:color="auto"/>
                                        <w:bottom w:val="none" w:sz="0" w:space="0" w:color="auto"/>
                                        <w:right w:val="none" w:sz="0" w:space="0" w:color="auto"/>
                                      </w:divBdr>
                                      <w:divsChild>
                                        <w:div w:id="478809639">
                                          <w:marLeft w:val="0"/>
                                          <w:marRight w:val="0"/>
                                          <w:marTop w:val="0"/>
                                          <w:marBottom w:val="0"/>
                                          <w:divBdr>
                                            <w:top w:val="none" w:sz="0" w:space="0" w:color="auto"/>
                                            <w:left w:val="none" w:sz="0" w:space="0" w:color="auto"/>
                                            <w:bottom w:val="none" w:sz="0" w:space="0" w:color="auto"/>
                                            <w:right w:val="none" w:sz="0" w:space="0" w:color="auto"/>
                                          </w:divBdr>
                                          <w:divsChild>
                                            <w:div w:id="507642857">
                                              <w:marLeft w:val="0"/>
                                              <w:marRight w:val="0"/>
                                              <w:marTop w:val="0"/>
                                              <w:marBottom w:val="120"/>
                                              <w:divBdr>
                                                <w:top w:val="single" w:sz="6" w:space="0" w:color="F5F5F5"/>
                                                <w:left w:val="single" w:sz="6" w:space="0" w:color="F5F5F5"/>
                                                <w:bottom w:val="single" w:sz="6" w:space="0" w:color="F5F5F5"/>
                                                <w:right w:val="single" w:sz="6" w:space="0" w:color="F5F5F5"/>
                                              </w:divBdr>
                                              <w:divsChild>
                                                <w:div w:id="1045527705">
                                                  <w:marLeft w:val="0"/>
                                                  <w:marRight w:val="0"/>
                                                  <w:marTop w:val="0"/>
                                                  <w:marBottom w:val="0"/>
                                                  <w:divBdr>
                                                    <w:top w:val="none" w:sz="0" w:space="0" w:color="auto"/>
                                                    <w:left w:val="none" w:sz="0" w:space="0" w:color="auto"/>
                                                    <w:bottom w:val="none" w:sz="0" w:space="0" w:color="auto"/>
                                                    <w:right w:val="none" w:sz="0" w:space="0" w:color="auto"/>
                                                  </w:divBdr>
                                                  <w:divsChild>
                                                    <w:div w:id="2630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9225090">
      <w:bodyDiv w:val="1"/>
      <w:marLeft w:val="0"/>
      <w:marRight w:val="0"/>
      <w:marTop w:val="0"/>
      <w:marBottom w:val="0"/>
      <w:divBdr>
        <w:top w:val="none" w:sz="0" w:space="0" w:color="auto"/>
        <w:left w:val="none" w:sz="0" w:space="0" w:color="auto"/>
        <w:bottom w:val="none" w:sz="0" w:space="0" w:color="auto"/>
        <w:right w:val="none" w:sz="0" w:space="0" w:color="auto"/>
      </w:divBdr>
    </w:div>
    <w:div w:id="1291983694">
      <w:bodyDiv w:val="1"/>
      <w:marLeft w:val="0"/>
      <w:marRight w:val="0"/>
      <w:marTop w:val="0"/>
      <w:marBottom w:val="0"/>
      <w:divBdr>
        <w:top w:val="none" w:sz="0" w:space="0" w:color="auto"/>
        <w:left w:val="none" w:sz="0" w:space="0" w:color="auto"/>
        <w:bottom w:val="none" w:sz="0" w:space="0" w:color="auto"/>
        <w:right w:val="none" w:sz="0" w:space="0" w:color="auto"/>
      </w:divBdr>
    </w:div>
    <w:div w:id="1409229459">
      <w:bodyDiv w:val="1"/>
      <w:marLeft w:val="0"/>
      <w:marRight w:val="0"/>
      <w:marTop w:val="0"/>
      <w:marBottom w:val="0"/>
      <w:divBdr>
        <w:top w:val="none" w:sz="0" w:space="0" w:color="auto"/>
        <w:left w:val="none" w:sz="0" w:space="0" w:color="auto"/>
        <w:bottom w:val="none" w:sz="0" w:space="0" w:color="auto"/>
        <w:right w:val="none" w:sz="0" w:space="0" w:color="auto"/>
      </w:divBdr>
    </w:div>
    <w:div w:id="1488746030">
      <w:bodyDiv w:val="1"/>
      <w:marLeft w:val="0"/>
      <w:marRight w:val="0"/>
      <w:marTop w:val="0"/>
      <w:marBottom w:val="0"/>
      <w:divBdr>
        <w:top w:val="none" w:sz="0" w:space="0" w:color="auto"/>
        <w:left w:val="none" w:sz="0" w:space="0" w:color="auto"/>
        <w:bottom w:val="none" w:sz="0" w:space="0" w:color="auto"/>
        <w:right w:val="none" w:sz="0" w:space="0" w:color="auto"/>
      </w:divBdr>
      <w:divsChild>
        <w:div w:id="1687516364">
          <w:marLeft w:val="0"/>
          <w:marRight w:val="0"/>
          <w:marTop w:val="0"/>
          <w:marBottom w:val="0"/>
          <w:divBdr>
            <w:top w:val="none" w:sz="0" w:space="0" w:color="auto"/>
            <w:left w:val="none" w:sz="0" w:space="0" w:color="auto"/>
            <w:bottom w:val="none" w:sz="0" w:space="0" w:color="auto"/>
            <w:right w:val="none" w:sz="0" w:space="0" w:color="auto"/>
          </w:divBdr>
          <w:divsChild>
            <w:div w:id="1082795370">
              <w:marLeft w:val="0"/>
              <w:marRight w:val="0"/>
              <w:marTop w:val="0"/>
              <w:marBottom w:val="0"/>
              <w:divBdr>
                <w:top w:val="none" w:sz="0" w:space="0" w:color="auto"/>
                <w:left w:val="none" w:sz="0" w:space="0" w:color="auto"/>
                <w:bottom w:val="none" w:sz="0" w:space="0" w:color="auto"/>
                <w:right w:val="none" w:sz="0" w:space="0" w:color="auto"/>
              </w:divBdr>
              <w:divsChild>
                <w:div w:id="217202597">
                  <w:marLeft w:val="0"/>
                  <w:marRight w:val="0"/>
                  <w:marTop w:val="0"/>
                  <w:marBottom w:val="0"/>
                  <w:divBdr>
                    <w:top w:val="none" w:sz="0" w:space="0" w:color="auto"/>
                    <w:left w:val="none" w:sz="0" w:space="0" w:color="auto"/>
                    <w:bottom w:val="none" w:sz="0" w:space="0" w:color="auto"/>
                    <w:right w:val="none" w:sz="0" w:space="0" w:color="auto"/>
                  </w:divBdr>
                  <w:divsChild>
                    <w:div w:id="593979256">
                      <w:marLeft w:val="0"/>
                      <w:marRight w:val="0"/>
                      <w:marTop w:val="0"/>
                      <w:marBottom w:val="0"/>
                      <w:divBdr>
                        <w:top w:val="none" w:sz="0" w:space="0" w:color="auto"/>
                        <w:left w:val="none" w:sz="0" w:space="0" w:color="auto"/>
                        <w:bottom w:val="none" w:sz="0" w:space="0" w:color="auto"/>
                        <w:right w:val="none" w:sz="0" w:space="0" w:color="auto"/>
                      </w:divBdr>
                      <w:divsChild>
                        <w:div w:id="813060252">
                          <w:marLeft w:val="0"/>
                          <w:marRight w:val="0"/>
                          <w:marTop w:val="0"/>
                          <w:marBottom w:val="0"/>
                          <w:divBdr>
                            <w:top w:val="none" w:sz="0" w:space="0" w:color="auto"/>
                            <w:left w:val="none" w:sz="0" w:space="0" w:color="auto"/>
                            <w:bottom w:val="none" w:sz="0" w:space="0" w:color="auto"/>
                            <w:right w:val="none" w:sz="0" w:space="0" w:color="auto"/>
                          </w:divBdr>
                          <w:divsChild>
                            <w:div w:id="1476336463">
                              <w:marLeft w:val="0"/>
                              <w:marRight w:val="0"/>
                              <w:marTop w:val="0"/>
                              <w:marBottom w:val="0"/>
                              <w:divBdr>
                                <w:top w:val="none" w:sz="0" w:space="0" w:color="auto"/>
                                <w:left w:val="none" w:sz="0" w:space="0" w:color="auto"/>
                                <w:bottom w:val="none" w:sz="0" w:space="0" w:color="auto"/>
                                <w:right w:val="none" w:sz="0" w:space="0" w:color="auto"/>
                              </w:divBdr>
                              <w:divsChild>
                                <w:div w:id="1635985656">
                                  <w:marLeft w:val="0"/>
                                  <w:marRight w:val="0"/>
                                  <w:marTop w:val="0"/>
                                  <w:marBottom w:val="0"/>
                                  <w:divBdr>
                                    <w:top w:val="none" w:sz="0" w:space="0" w:color="auto"/>
                                    <w:left w:val="none" w:sz="0" w:space="0" w:color="auto"/>
                                    <w:bottom w:val="none" w:sz="0" w:space="0" w:color="auto"/>
                                    <w:right w:val="none" w:sz="0" w:space="0" w:color="auto"/>
                                  </w:divBdr>
                                  <w:divsChild>
                                    <w:div w:id="813369647">
                                      <w:marLeft w:val="60"/>
                                      <w:marRight w:val="0"/>
                                      <w:marTop w:val="0"/>
                                      <w:marBottom w:val="0"/>
                                      <w:divBdr>
                                        <w:top w:val="none" w:sz="0" w:space="0" w:color="auto"/>
                                        <w:left w:val="none" w:sz="0" w:space="0" w:color="auto"/>
                                        <w:bottom w:val="none" w:sz="0" w:space="0" w:color="auto"/>
                                        <w:right w:val="none" w:sz="0" w:space="0" w:color="auto"/>
                                      </w:divBdr>
                                      <w:divsChild>
                                        <w:div w:id="1711226842">
                                          <w:marLeft w:val="0"/>
                                          <w:marRight w:val="0"/>
                                          <w:marTop w:val="0"/>
                                          <w:marBottom w:val="0"/>
                                          <w:divBdr>
                                            <w:top w:val="none" w:sz="0" w:space="0" w:color="auto"/>
                                            <w:left w:val="none" w:sz="0" w:space="0" w:color="auto"/>
                                            <w:bottom w:val="none" w:sz="0" w:space="0" w:color="auto"/>
                                            <w:right w:val="none" w:sz="0" w:space="0" w:color="auto"/>
                                          </w:divBdr>
                                          <w:divsChild>
                                            <w:div w:id="913779561">
                                              <w:marLeft w:val="0"/>
                                              <w:marRight w:val="0"/>
                                              <w:marTop w:val="0"/>
                                              <w:marBottom w:val="120"/>
                                              <w:divBdr>
                                                <w:top w:val="single" w:sz="6" w:space="0" w:color="F5F5F5"/>
                                                <w:left w:val="single" w:sz="6" w:space="0" w:color="F5F5F5"/>
                                                <w:bottom w:val="single" w:sz="6" w:space="0" w:color="F5F5F5"/>
                                                <w:right w:val="single" w:sz="6" w:space="0" w:color="F5F5F5"/>
                                              </w:divBdr>
                                              <w:divsChild>
                                                <w:div w:id="558633039">
                                                  <w:marLeft w:val="0"/>
                                                  <w:marRight w:val="0"/>
                                                  <w:marTop w:val="0"/>
                                                  <w:marBottom w:val="0"/>
                                                  <w:divBdr>
                                                    <w:top w:val="none" w:sz="0" w:space="0" w:color="auto"/>
                                                    <w:left w:val="none" w:sz="0" w:space="0" w:color="auto"/>
                                                    <w:bottom w:val="none" w:sz="0" w:space="0" w:color="auto"/>
                                                    <w:right w:val="none" w:sz="0" w:space="0" w:color="auto"/>
                                                  </w:divBdr>
                                                  <w:divsChild>
                                                    <w:div w:id="10126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0652591">
      <w:bodyDiv w:val="1"/>
      <w:marLeft w:val="0"/>
      <w:marRight w:val="0"/>
      <w:marTop w:val="0"/>
      <w:marBottom w:val="0"/>
      <w:divBdr>
        <w:top w:val="none" w:sz="0" w:space="0" w:color="auto"/>
        <w:left w:val="none" w:sz="0" w:space="0" w:color="auto"/>
        <w:bottom w:val="none" w:sz="0" w:space="0" w:color="auto"/>
        <w:right w:val="none" w:sz="0" w:space="0" w:color="auto"/>
      </w:divBdr>
      <w:divsChild>
        <w:div w:id="950548917">
          <w:marLeft w:val="0"/>
          <w:marRight w:val="0"/>
          <w:marTop w:val="0"/>
          <w:marBottom w:val="0"/>
          <w:divBdr>
            <w:top w:val="none" w:sz="0" w:space="0" w:color="auto"/>
            <w:left w:val="none" w:sz="0" w:space="0" w:color="auto"/>
            <w:bottom w:val="none" w:sz="0" w:space="0" w:color="auto"/>
            <w:right w:val="none" w:sz="0" w:space="0" w:color="auto"/>
          </w:divBdr>
          <w:divsChild>
            <w:div w:id="898708952">
              <w:marLeft w:val="0"/>
              <w:marRight w:val="0"/>
              <w:marTop w:val="0"/>
              <w:marBottom w:val="0"/>
              <w:divBdr>
                <w:top w:val="none" w:sz="0" w:space="0" w:color="auto"/>
                <w:left w:val="none" w:sz="0" w:space="0" w:color="auto"/>
                <w:bottom w:val="none" w:sz="0" w:space="0" w:color="auto"/>
                <w:right w:val="none" w:sz="0" w:space="0" w:color="auto"/>
              </w:divBdr>
              <w:divsChild>
                <w:div w:id="1573198421">
                  <w:marLeft w:val="0"/>
                  <w:marRight w:val="0"/>
                  <w:marTop w:val="0"/>
                  <w:marBottom w:val="0"/>
                  <w:divBdr>
                    <w:top w:val="none" w:sz="0" w:space="0" w:color="auto"/>
                    <w:left w:val="none" w:sz="0" w:space="0" w:color="auto"/>
                    <w:bottom w:val="none" w:sz="0" w:space="0" w:color="auto"/>
                    <w:right w:val="none" w:sz="0" w:space="0" w:color="auto"/>
                  </w:divBdr>
                  <w:divsChild>
                    <w:div w:id="354615632">
                      <w:marLeft w:val="0"/>
                      <w:marRight w:val="0"/>
                      <w:marTop w:val="0"/>
                      <w:marBottom w:val="0"/>
                      <w:divBdr>
                        <w:top w:val="none" w:sz="0" w:space="0" w:color="auto"/>
                        <w:left w:val="none" w:sz="0" w:space="0" w:color="auto"/>
                        <w:bottom w:val="none" w:sz="0" w:space="0" w:color="auto"/>
                        <w:right w:val="none" w:sz="0" w:space="0" w:color="auto"/>
                      </w:divBdr>
                      <w:divsChild>
                        <w:div w:id="1463961559">
                          <w:marLeft w:val="0"/>
                          <w:marRight w:val="0"/>
                          <w:marTop w:val="0"/>
                          <w:marBottom w:val="0"/>
                          <w:divBdr>
                            <w:top w:val="none" w:sz="0" w:space="0" w:color="auto"/>
                            <w:left w:val="none" w:sz="0" w:space="0" w:color="auto"/>
                            <w:bottom w:val="none" w:sz="0" w:space="0" w:color="auto"/>
                            <w:right w:val="none" w:sz="0" w:space="0" w:color="auto"/>
                          </w:divBdr>
                          <w:divsChild>
                            <w:div w:id="1002774983">
                              <w:marLeft w:val="0"/>
                              <w:marRight w:val="0"/>
                              <w:marTop w:val="0"/>
                              <w:marBottom w:val="0"/>
                              <w:divBdr>
                                <w:top w:val="none" w:sz="0" w:space="0" w:color="auto"/>
                                <w:left w:val="none" w:sz="0" w:space="0" w:color="auto"/>
                                <w:bottom w:val="none" w:sz="0" w:space="0" w:color="auto"/>
                                <w:right w:val="none" w:sz="0" w:space="0" w:color="auto"/>
                              </w:divBdr>
                              <w:divsChild>
                                <w:div w:id="2128422739">
                                  <w:marLeft w:val="0"/>
                                  <w:marRight w:val="0"/>
                                  <w:marTop w:val="0"/>
                                  <w:marBottom w:val="0"/>
                                  <w:divBdr>
                                    <w:top w:val="none" w:sz="0" w:space="0" w:color="auto"/>
                                    <w:left w:val="none" w:sz="0" w:space="0" w:color="auto"/>
                                    <w:bottom w:val="none" w:sz="0" w:space="0" w:color="auto"/>
                                    <w:right w:val="none" w:sz="0" w:space="0" w:color="auto"/>
                                  </w:divBdr>
                                  <w:divsChild>
                                    <w:div w:id="697316586">
                                      <w:marLeft w:val="60"/>
                                      <w:marRight w:val="0"/>
                                      <w:marTop w:val="0"/>
                                      <w:marBottom w:val="0"/>
                                      <w:divBdr>
                                        <w:top w:val="none" w:sz="0" w:space="0" w:color="auto"/>
                                        <w:left w:val="none" w:sz="0" w:space="0" w:color="auto"/>
                                        <w:bottom w:val="none" w:sz="0" w:space="0" w:color="auto"/>
                                        <w:right w:val="none" w:sz="0" w:space="0" w:color="auto"/>
                                      </w:divBdr>
                                      <w:divsChild>
                                        <w:div w:id="1487553058">
                                          <w:marLeft w:val="0"/>
                                          <w:marRight w:val="0"/>
                                          <w:marTop w:val="0"/>
                                          <w:marBottom w:val="0"/>
                                          <w:divBdr>
                                            <w:top w:val="none" w:sz="0" w:space="0" w:color="auto"/>
                                            <w:left w:val="none" w:sz="0" w:space="0" w:color="auto"/>
                                            <w:bottom w:val="none" w:sz="0" w:space="0" w:color="auto"/>
                                            <w:right w:val="none" w:sz="0" w:space="0" w:color="auto"/>
                                          </w:divBdr>
                                          <w:divsChild>
                                            <w:div w:id="21905952">
                                              <w:marLeft w:val="0"/>
                                              <w:marRight w:val="0"/>
                                              <w:marTop w:val="0"/>
                                              <w:marBottom w:val="120"/>
                                              <w:divBdr>
                                                <w:top w:val="single" w:sz="6" w:space="0" w:color="F5F5F5"/>
                                                <w:left w:val="single" w:sz="6" w:space="0" w:color="F5F5F5"/>
                                                <w:bottom w:val="single" w:sz="6" w:space="0" w:color="F5F5F5"/>
                                                <w:right w:val="single" w:sz="6" w:space="0" w:color="F5F5F5"/>
                                              </w:divBdr>
                                              <w:divsChild>
                                                <w:div w:id="1718430479">
                                                  <w:marLeft w:val="0"/>
                                                  <w:marRight w:val="0"/>
                                                  <w:marTop w:val="0"/>
                                                  <w:marBottom w:val="0"/>
                                                  <w:divBdr>
                                                    <w:top w:val="none" w:sz="0" w:space="0" w:color="auto"/>
                                                    <w:left w:val="none" w:sz="0" w:space="0" w:color="auto"/>
                                                    <w:bottom w:val="none" w:sz="0" w:space="0" w:color="auto"/>
                                                    <w:right w:val="none" w:sz="0" w:space="0" w:color="auto"/>
                                                  </w:divBdr>
                                                  <w:divsChild>
                                                    <w:div w:id="6156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329141">
      <w:bodyDiv w:val="1"/>
      <w:marLeft w:val="0"/>
      <w:marRight w:val="0"/>
      <w:marTop w:val="0"/>
      <w:marBottom w:val="0"/>
      <w:divBdr>
        <w:top w:val="none" w:sz="0" w:space="0" w:color="auto"/>
        <w:left w:val="none" w:sz="0" w:space="0" w:color="auto"/>
        <w:bottom w:val="none" w:sz="0" w:space="0" w:color="auto"/>
        <w:right w:val="none" w:sz="0" w:space="0" w:color="auto"/>
      </w:divBdr>
      <w:divsChild>
        <w:div w:id="276959539">
          <w:marLeft w:val="0"/>
          <w:marRight w:val="0"/>
          <w:marTop w:val="0"/>
          <w:marBottom w:val="0"/>
          <w:divBdr>
            <w:top w:val="none" w:sz="0" w:space="0" w:color="auto"/>
            <w:left w:val="none" w:sz="0" w:space="0" w:color="auto"/>
            <w:bottom w:val="none" w:sz="0" w:space="0" w:color="auto"/>
            <w:right w:val="none" w:sz="0" w:space="0" w:color="auto"/>
          </w:divBdr>
          <w:divsChild>
            <w:div w:id="1260412198">
              <w:marLeft w:val="0"/>
              <w:marRight w:val="0"/>
              <w:marTop w:val="0"/>
              <w:marBottom w:val="0"/>
              <w:divBdr>
                <w:top w:val="none" w:sz="0" w:space="0" w:color="auto"/>
                <w:left w:val="none" w:sz="0" w:space="0" w:color="auto"/>
                <w:bottom w:val="none" w:sz="0" w:space="0" w:color="auto"/>
                <w:right w:val="none" w:sz="0" w:space="0" w:color="auto"/>
              </w:divBdr>
              <w:divsChild>
                <w:div w:id="2118593517">
                  <w:marLeft w:val="0"/>
                  <w:marRight w:val="0"/>
                  <w:marTop w:val="0"/>
                  <w:marBottom w:val="0"/>
                  <w:divBdr>
                    <w:top w:val="none" w:sz="0" w:space="0" w:color="auto"/>
                    <w:left w:val="none" w:sz="0" w:space="0" w:color="auto"/>
                    <w:bottom w:val="none" w:sz="0" w:space="0" w:color="auto"/>
                    <w:right w:val="none" w:sz="0" w:space="0" w:color="auto"/>
                  </w:divBdr>
                  <w:divsChild>
                    <w:div w:id="1599752297">
                      <w:marLeft w:val="0"/>
                      <w:marRight w:val="0"/>
                      <w:marTop w:val="0"/>
                      <w:marBottom w:val="0"/>
                      <w:divBdr>
                        <w:top w:val="none" w:sz="0" w:space="0" w:color="auto"/>
                        <w:left w:val="none" w:sz="0" w:space="0" w:color="auto"/>
                        <w:bottom w:val="none" w:sz="0" w:space="0" w:color="auto"/>
                        <w:right w:val="none" w:sz="0" w:space="0" w:color="auto"/>
                      </w:divBdr>
                      <w:divsChild>
                        <w:div w:id="395204987">
                          <w:marLeft w:val="0"/>
                          <w:marRight w:val="0"/>
                          <w:marTop w:val="0"/>
                          <w:marBottom w:val="0"/>
                          <w:divBdr>
                            <w:top w:val="none" w:sz="0" w:space="0" w:color="auto"/>
                            <w:left w:val="none" w:sz="0" w:space="0" w:color="auto"/>
                            <w:bottom w:val="none" w:sz="0" w:space="0" w:color="auto"/>
                            <w:right w:val="none" w:sz="0" w:space="0" w:color="auto"/>
                          </w:divBdr>
                          <w:divsChild>
                            <w:div w:id="495346108">
                              <w:marLeft w:val="0"/>
                              <w:marRight w:val="0"/>
                              <w:marTop w:val="0"/>
                              <w:marBottom w:val="0"/>
                              <w:divBdr>
                                <w:top w:val="none" w:sz="0" w:space="0" w:color="auto"/>
                                <w:left w:val="none" w:sz="0" w:space="0" w:color="auto"/>
                                <w:bottom w:val="none" w:sz="0" w:space="0" w:color="auto"/>
                                <w:right w:val="none" w:sz="0" w:space="0" w:color="auto"/>
                              </w:divBdr>
                              <w:divsChild>
                                <w:div w:id="970475732">
                                  <w:marLeft w:val="0"/>
                                  <w:marRight w:val="0"/>
                                  <w:marTop w:val="0"/>
                                  <w:marBottom w:val="0"/>
                                  <w:divBdr>
                                    <w:top w:val="none" w:sz="0" w:space="0" w:color="auto"/>
                                    <w:left w:val="none" w:sz="0" w:space="0" w:color="auto"/>
                                    <w:bottom w:val="none" w:sz="0" w:space="0" w:color="auto"/>
                                    <w:right w:val="none" w:sz="0" w:space="0" w:color="auto"/>
                                  </w:divBdr>
                                  <w:divsChild>
                                    <w:div w:id="1365519017">
                                      <w:marLeft w:val="60"/>
                                      <w:marRight w:val="0"/>
                                      <w:marTop w:val="0"/>
                                      <w:marBottom w:val="0"/>
                                      <w:divBdr>
                                        <w:top w:val="none" w:sz="0" w:space="0" w:color="auto"/>
                                        <w:left w:val="none" w:sz="0" w:space="0" w:color="auto"/>
                                        <w:bottom w:val="none" w:sz="0" w:space="0" w:color="auto"/>
                                        <w:right w:val="none" w:sz="0" w:space="0" w:color="auto"/>
                                      </w:divBdr>
                                      <w:divsChild>
                                        <w:div w:id="1160779022">
                                          <w:marLeft w:val="0"/>
                                          <w:marRight w:val="0"/>
                                          <w:marTop w:val="0"/>
                                          <w:marBottom w:val="0"/>
                                          <w:divBdr>
                                            <w:top w:val="none" w:sz="0" w:space="0" w:color="auto"/>
                                            <w:left w:val="none" w:sz="0" w:space="0" w:color="auto"/>
                                            <w:bottom w:val="none" w:sz="0" w:space="0" w:color="auto"/>
                                            <w:right w:val="none" w:sz="0" w:space="0" w:color="auto"/>
                                          </w:divBdr>
                                          <w:divsChild>
                                            <w:div w:id="2036494963">
                                              <w:marLeft w:val="0"/>
                                              <w:marRight w:val="0"/>
                                              <w:marTop w:val="0"/>
                                              <w:marBottom w:val="120"/>
                                              <w:divBdr>
                                                <w:top w:val="single" w:sz="6" w:space="0" w:color="F5F5F5"/>
                                                <w:left w:val="single" w:sz="6" w:space="0" w:color="F5F5F5"/>
                                                <w:bottom w:val="single" w:sz="6" w:space="0" w:color="F5F5F5"/>
                                                <w:right w:val="single" w:sz="6" w:space="0" w:color="F5F5F5"/>
                                              </w:divBdr>
                                              <w:divsChild>
                                                <w:div w:id="719012188">
                                                  <w:marLeft w:val="0"/>
                                                  <w:marRight w:val="0"/>
                                                  <w:marTop w:val="0"/>
                                                  <w:marBottom w:val="0"/>
                                                  <w:divBdr>
                                                    <w:top w:val="none" w:sz="0" w:space="0" w:color="auto"/>
                                                    <w:left w:val="none" w:sz="0" w:space="0" w:color="auto"/>
                                                    <w:bottom w:val="none" w:sz="0" w:space="0" w:color="auto"/>
                                                    <w:right w:val="none" w:sz="0" w:space="0" w:color="auto"/>
                                                  </w:divBdr>
                                                  <w:divsChild>
                                                    <w:div w:id="920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733970">
      <w:bodyDiv w:val="1"/>
      <w:marLeft w:val="0"/>
      <w:marRight w:val="0"/>
      <w:marTop w:val="0"/>
      <w:marBottom w:val="0"/>
      <w:divBdr>
        <w:top w:val="none" w:sz="0" w:space="0" w:color="auto"/>
        <w:left w:val="none" w:sz="0" w:space="0" w:color="auto"/>
        <w:bottom w:val="none" w:sz="0" w:space="0" w:color="auto"/>
        <w:right w:val="none" w:sz="0" w:space="0" w:color="auto"/>
      </w:divBdr>
      <w:divsChild>
        <w:div w:id="2082092465">
          <w:marLeft w:val="0"/>
          <w:marRight w:val="0"/>
          <w:marTop w:val="0"/>
          <w:marBottom w:val="0"/>
          <w:divBdr>
            <w:top w:val="none" w:sz="0" w:space="0" w:color="auto"/>
            <w:left w:val="none" w:sz="0" w:space="0" w:color="auto"/>
            <w:bottom w:val="none" w:sz="0" w:space="0" w:color="auto"/>
            <w:right w:val="none" w:sz="0" w:space="0" w:color="auto"/>
          </w:divBdr>
          <w:divsChild>
            <w:div w:id="1576550845">
              <w:marLeft w:val="0"/>
              <w:marRight w:val="0"/>
              <w:marTop w:val="0"/>
              <w:marBottom w:val="0"/>
              <w:divBdr>
                <w:top w:val="none" w:sz="0" w:space="0" w:color="auto"/>
                <w:left w:val="none" w:sz="0" w:space="0" w:color="auto"/>
                <w:bottom w:val="none" w:sz="0" w:space="0" w:color="auto"/>
                <w:right w:val="none" w:sz="0" w:space="0" w:color="auto"/>
              </w:divBdr>
              <w:divsChild>
                <w:div w:id="781417233">
                  <w:marLeft w:val="0"/>
                  <w:marRight w:val="0"/>
                  <w:marTop w:val="0"/>
                  <w:marBottom w:val="0"/>
                  <w:divBdr>
                    <w:top w:val="none" w:sz="0" w:space="0" w:color="auto"/>
                    <w:left w:val="none" w:sz="0" w:space="0" w:color="auto"/>
                    <w:bottom w:val="none" w:sz="0" w:space="0" w:color="auto"/>
                    <w:right w:val="none" w:sz="0" w:space="0" w:color="auto"/>
                  </w:divBdr>
                  <w:divsChild>
                    <w:div w:id="2023820073">
                      <w:marLeft w:val="0"/>
                      <w:marRight w:val="0"/>
                      <w:marTop w:val="0"/>
                      <w:marBottom w:val="0"/>
                      <w:divBdr>
                        <w:top w:val="none" w:sz="0" w:space="0" w:color="auto"/>
                        <w:left w:val="none" w:sz="0" w:space="0" w:color="auto"/>
                        <w:bottom w:val="none" w:sz="0" w:space="0" w:color="auto"/>
                        <w:right w:val="none" w:sz="0" w:space="0" w:color="auto"/>
                      </w:divBdr>
                      <w:divsChild>
                        <w:div w:id="1232698083">
                          <w:marLeft w:val="0"/>
                          <w:marRight w:val="0"/>
                          <w:marTop w:val="0"/>
                          <w:marBottom w:val="0"/>
                          <w:divBdr>
                            <w:top w:val="none" w:sz="0" w:space="0" w:color="auto"/>
                            <w:left w:val="none" w:sz="0" w:space="0" w:color="auto"/>
                            <w:bottom w:val="none" w:sz="0" w:space="0" w:color="auto"/>
                            <w:right w:val="none" w:sz="0" w:space="0" w:color="auto"/>
                          </w:divBdr>
                          <w:divsChild>
                            <w:div w:id="1256477217">
                              <w:marLeft w:val="0"/>
                              <w:marRight w:val="0"/>
                              <w:marTop w:val="0"/>
                              <w:marBottom w:val="0"/>
                              <w:divBdr>
                                <w:top w:val="none" w:sz="0" w:space="0" w:color="auto"/>
                                <w:left w:val="none" w:sz="0" w:space="0" w:color="auto"/>
                                <w:bottom w:val="none" w:sz="0" w:space="0" w:color="auto"/>
                                <w:right w:val="none" w:sz="0" w:space="0" w:color="auto"/>
                              </w:divBdr>
                              <w:divsChild>
                                <w:div w:id="401678096">
                                  <w:marLeft w:val="0"/>
                                  <w:marRight w:val="0"/>
                                  <w:marTop w:val="0"/>
                                  <w:marBottom w:val="0"/>
                                  <w:divBdr>
                                    <w:top w:val="none" w:sz="0" w:space="0" w:color="auto"/>
                                    <w:left w:val="none" w:sz="0" w:space="0" w:color="auto"/>
                                    <w:bottom w:val="none" w:sz="0" w:space="0" w:color="auto"/>
                                    <w:right w:val="none" w:sz="0" w:space="0" w:color="auto"/>
                                  </w:divBdr>
                                  <w:divsChild>
                                    <w:div w:id="291834441">
                                      <w:marLeft w:val="60"/>
                                      <w:marRight w:val="0"/>
                                      <w:marTop w:val="0"/>
                                      <w:marBottom w:val="0"/>
                                      <w:divBdr>
                                        <w:top w:val="none" w:sz="0" w:space="0" w:color="auto"/>
                                        <w:left w:val="none" w:sz="0" w:space="0" w:color="auto"/>
                                        <w:bottom w:val="none" w:sz="0" w:space="0" w:color="auto"/>
                                        <w:right w:val="none" w:sz="0" w:space="0" w:color="auto"/>
                                      </w:divBdr>
                                      <w:divsChild>
                                        <w:div w:id="1994022812">
                                          <w:marLeft w:val="0"/>
                                          <w:marRight w:val="0"/>
                                          <w:marTop w:val="0"/>
                                          <w:marBottom w:val="0"/>
                                          <w:divBdr>
                                            <w:top w:val="none" w:sz="0" w:space="0" w:color="auto"/>
                                            <w:left w:val="none" w:sz="0" w:space="0" w:color="auto"/>
                                            <w:bottom w:val="none" w:sz="0" w:space="0" w:color="auto"/>
                                            <w:right w:val="none" w:sz="0" w:space="0" w:color="auto"/>
                                          </w:divBdr>
                                          <w:divsChild>
                                            <w:div w:id="1474760681">
                                              <w:marLeft w:val="0"/>
                                              <w:marRight w:val="0"/>
                                              <w:marTop w:val="0"/>
                                              <w:marBottom w:val="120"/>
                                              <w:divBdr>
                                                <w:top w:val="single" w:sz="6" w:space="0" w:color="F5F5F5"/>
                                                <w:left w:val="single" w:sz="6" w:space="0" w:color="F5F5F5"/>
                                                <w:bottom w:val="single" w:sz="6" w:space="0" w:color="F5F5F5"/>
                                                <w:right w:val="single" w:sz="6" w:space="0" w:color="F5F5F5"/>
                                              </w:divBdr>
                                              <w:divsChild>
                                                <w:div w:id="454564898">
                                                  <w:marLeft w:val="0"/>
                                                  <w:marRight w:val="0"/>
                                                  <w:marTop w:val="0"/>
                                                  <w:marBottom w:val="0"/>
                                                  <w:divBdr>
                                                    <w:top w:val="none" w:sz="0" w:space="0" w:color="auto"/>
                                                    <w:left w:val="none" w:sz="0" w:space="0" w:color="auto"/>
                                                    <w:bottom w:val="none" w:sz="0" w:space="0" w:color="auto"/>
                                                    <w:right w:val="none" w:sz="0" w:space="0" w:color="auto"/>
                                                  </w:divBdr>
                                                  <w:divsChild>
                                                    <w:div w:id="566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2956996">
      <w:bodyDiv w:val="1"/>
      <w:marLeft w:val="0"/>
      <w:marRight w:val="0"/>
      <w:marTop w:val="0"/>
      <w:marBottom w:val="0"/>
      <w:divBdr>
        <w:top w:val="none" w:sz="0" w:space="0" w:color="auto"/>
        <w:left w:val="none" w:sz="0" w:space="0" w:color="auto"/>
        <w:bottom w:val="none" w:sz="0" w:space="0" w:color="auto"/>
        <w:right w:val="none" w:sz="0" w:space="0" w:color="auto"/>
      </w:divBdr>
    </w:div>
    <w:div w:id="20594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B6A61-BFCC-4EFA-A43E-A4FEAC84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4863</Words>
  <Characters>27720</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Teva</Company>
  <LinksUpToDate>false</LinksUpToDate>
  <CharactersWithSpaces>32518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Vitka Valaskova</dc:creator>
  <cp:lastModifiedBy>Miroslava Slahúčková</cp:lastModifiedBy>
  <cp:revision>2</cp:revision>
  <cp:lastPrinted>2018-03-20T14:56:00Z</cp:lastPrinted>
  <dcterms:created xsi:type="dcterms:W3CDTF">2020-07-07T12:55:00Z</dcterms:created>
  <dcterms:modified xsi:type="dcterms:W3CDTF">2020-07-07T12:55:00Z</dcterms:modified>
</cp:coreProperties>
</file>