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C10902D" w14:textId="77777777" w:rsidR="009005B5" w:rsidRDefault="009005B5" w:rsidP="00370DBB">
      <w:pPr>
        <w:jc w:val="center"/>
        <w:rPr>
          <w:b/>
          <w:sz w:val="22"/>
          <w:szCs w:val="22"/>
        </w:rPr>
      </w:pPr>
      <w:bookmarkStart w:id="0" w:name="_GoBack"/>
      <w:bookmarkEnd w:id="0"/>
    </w:p>
    <w:p w14:paraId="7277CBA3" w14:textId="77777777" w:rsidR="00E70820" w:rsidRPr="00B048EB" w:rsidRDefault="00E70820" w:rsidP="00370DBB">
      <w:pPr>
        <w:jc w:val="center"/>
        <w:rPr>
          <w:b/>
          <w:sz w:val="22"/>
          <w:szCs w:val="22"/>
        </w:rPr>
      </w:pPr>
      <w:r w:rsidRPr="00B048EB">
        <w:rPr>
          <w:b/>
          <w:sz w:val="22"/>
          <w:szCs w:val="22"/>
        </w:rPr>
        <w:t>SÚHRN CHARAKTERISTICKÝCH VLASTNOSTÍ LIEKU</w:t>
      </w:r>
    </w:p>
    <w:p w14:paraId="78CC1C61" w14:textId="77777777" w:rsidR="00E70820" w:rsidRPr="00B048EB" w:rsidRDefault="00E70820" w:rsidP="00370DBB">
      <w:pPr>
        <w:rPr>
          <w:b/>
          <w:caps/>
          <w:sz w:val="22"/>
          <w:szCs w:val="22"/>
        </w:rPr>
      </w:pPr>
    </w:p>
    <w:p w14:paraId="4969B24B" w14:textId="77777777" w:rsidR="00E70820" w:rsidRPr="00B048EB" w:rsidRDefault="00E70820" w:rsidP="00DE5A3E">
      <w:pPr>
        <w:keepNext/>
        <w:tabs>
          <w:tab w:val="left" w:pos="567"/>
        </w:tabs>
        <w:rPr>
          <w:b/>
          <w:caps/>
          <w:sz w:val="22"/>
          <w:szCs w:val="22"/>
        </w:rPr>
      </w:pPr>
    </w:p>
    <w:p w14:paraId="76E9C73A" w14:textId="77777777" w:rsidR="00FA71B4" w:rsidRPr="00B048EB" w:rsidRDefault="00FA71B4" w:rsidP="00DE5A3E">
      <w:pPr>
        <w:keepNext/>
        <w:numPr>
          <w:ilvl w:val="0"/>
          <w:numId w:val="2"/>
        </w:numPr>
        <w:tabs>
          <w:tab w:val="left" w:pos="567"/>
        </w:tabs>
        <w:ind w:left="567" w:hanging="567"/>
        <w:rPr>
          <w:b/>
          <w:caps/>
          <w:sz w:val="22"/>
          <w:szCs w:val="22"/>
        </w:rPr>
      </w:pPr>
      <w:r w:rsidRPr="00B048EB">
        <w:rPr>
          <w:b/>
          <w:caps/>
          <w:sz w:val="22"/>
          <w:szCs w:val="22"/>
        </w:rPr>
        <w:t>Názov lieku</w:t>
      </w:r>
    </w:p>
    <w:p w14:paraId="018CF010" w14:textId="77777777" w:rsidR="00FA71B4" w:rsidRPr="00DE5A3E" w:rsidRDefault="00FA71B4" w:rsidP="00DE5A3E">
      <w:pPr>
        <w:keepNext/>
        <w:tabs>
          <w:tab w:val="left" w:pos="567"/>
        </w:tabs>
        <w:ind w:left="567" w:hanging="567"/>
        <w:rPr>
          <w:caps/>
          <w:sz w:val="22"/>
          <w:szCs w:val="22"/>
        </w:rPr>
      </w:pPr>
    </w:p>
    <w:p w14:paraId="16E2502F" w14:textId="0D2F64EB" w:rsidR="00FA71B4" w:rsidRPr="00B048EB" w:rsidRDefault="00FA71B4" w:rsidP="000F2C6E">
      <w:pPr>
        <w:tabs>
          <w:tab w:val="left" w:pos="567"/>
        </w:tabs>
        <w:ind w:left="567" w:hanging="567"/>
        <w:rPr>
          <w:bCs/>
          <w:sz w:val="22"/>
          <w:szCs w:val="22"/>
        </w:rPr>
      </w:pPr>
      <w:r w:rsidRPr="00B048EB">
        <w:rPr>
          <w:bCs/>
          <w:sz w:val="22"/>
          <w:szCs w:val="22"/>
        </w:rPr>
        <w:t>C</w:t>
      </w:r>
      <w:r w:rsidRPr="00B048EB">
        <w:rPr>
          <w:bCs/>
          <w:caps/>
          <w:sz w:val="22"/>
          <w:szCs w:val="22"/>
        </w:rPr>
        <w:t>elEbrex</w:t>
      </w:r>
      <w:r w:rsidRPr="00B048EB">
        <w:rPr>
          <w:sz w:val="22"/>
          <w:szCs w:val="22"/>
        </w:rPr>
        <w:t> </w:t>
      </w:r>
      <w:r w:rsidRPr="00B048EB">
        <w:rPr>
          <w:bCs/>
          <w:caps/>
          <w:sz w:val="22"/>
          <w:szCs w:val="22"/>
        </w:rPr>
        <w:t>100 </w:t>
      </w:r>
      <w:r w:rsidRPr="00B048EB">
        <w:rPr>
          <w:bCs/>
          <w:sz w:val="22"/>
          <w:szCs w:val="22"/>
        </w:rPr>
        <w:t>mg</w:t>
      </w:r>
    </w:p>
    <w:p w14:paraId="032AE1A9" w14:textId="6E3F3AE0" w:rsidR="00FA71B4" w:rsidRPr="00B048EB" w:rsidRDefault="00FA71B4" w:rsidP="000F2C6E">
      <w:pPr>
        <w:tabs>
          <w:tab w:val="left" w:pos="567"/>
        </w:tabs>
        <w:ind w:left="567" w:hanging="567"/>
        <w:rPr>
          <w:bCs/>
          <w:sz w:val="22"/>
          <w:szCs w:val="22"/>
        </w:rPr>
      </w:pPr>
      <w:r w:rsidRPr="00B048EB">
        <w:rPr>
          <w:bCs/>
          <w:sz w:val="22"/>
          <w:szCs w:val="22"/>
        </w:rPr>
        <w:t>C</w:t>
      </w:r>
      <w:r w:rsidRPr="00B048EB">
        <w:rPr>
          <w:bCs/>
          <w:caps/>
          <w:sz w:val="22"/>
          <w:szCs w:val="22"/>
        </w:rPr>
        <w:t>elEbrex</w:t>
      </w:r>
      <w:r w:rsidRPr="00B048EB">
        <w:rPr>
          <w:sz w:val="22"/>
          <w:szCs w:val="22"/>
        </w:rPr>
        <w:t> </w:t>
      </w:r>
      <w:r w:rsidRPr="00B048EB">
        <w:rPr>
          <w:bCs/>
          <w:caps/>
          <w:sz w:val="22"/>
          <w:szCs w:val="22"/>
        </w:rPr>
        <w:t>200 </w:t>
      </w:r>
      <w:r w:rsidRPr="00B048EB">
        <w:rPr>
          <w:bCs/>
          <w:sz w:val="22"/>
          <w:szCs w:val="22"/>
        </w:rPr>
        <w:t>mg</w:t>
      </w:r>
    </w:p>
    <w:p w14:paraId="1F1FD36C" w14:textId="77777777" w:rsidR="00FA71B4" w:rsidRPr="00B048EB" w:rsidRDefault="00FA71B4" w:rsidP="000F2C6E">
      <w:pPr>
        <w:tabs>
          <w:tab w:val="left" w:pos="567"/>
        </w:tabs>
        <w:ind w:left="567" w:hanging="567"/>
        <w:rPr>
          <w:sz w:val="22"/>
          <w:szCs w:val="22"/>
        </w:rPr>
      </w:pPr>
      <w:r w:rsidRPr="00B048EB">
        <w:rPr>
          <w:sz w:val="22"/>
          <w:szCs w:val="22"/>
        </w:rPr>
        <w:t>tvrd</w:t>
      </w:r>
      <w:r w:rsidR="003B7A77" w:rsidRPr="00B048EB">
        <w:rPr>
          <w:sz w:val="22"/>
          <w:szCs w:val="22"/>
        </w:rPr>
        <w:t>é</w:t>
      </w:r>
      <w:r w:rsidRPr="00B048EB">
        <w:rPr>
          <w:sz w:val="22"/>
          <w:szCs w:val="22"/>
        </w:rPr>
        <w:t xml:space="preserve"> kapsuly</w:t>
      </w:r>
    </w:p>
    <w:p w14:paraId="22FE88DA" w14:textId="77777777" w:rsidR="00FA71B4" w:rsidRPr="00B048EB" w:rsidRDefault="00FA71B4" w:rsidP="00934323">
      <w:pPr>
        <w:tabs>
          <w:tab w:val="left" w:pos="567"/>
        </w:tabs>
        <w:ind w:left="567" w:hanging="567"/>
        <w:rPr>
          <w:sz w:val="22"/>
          <w:szCs w:val="22"/>
        </w:rPr>
      </w:pPr>
    </w:p>
    <w:p w14:paraId="19D4E548" w14:textId="77777777" w:rsidR="00FA71B4" w:rsidRPr="00B048EB" w:rsidRDefault="00FA71B4" w:rsidP="00934323">
      <w:pPr>
        <w:tabs>
          <w:tab w:val="left" w:pos="567"/>
        </w:tabs>
        <w:ind w:left="567" w:hanging="567"/>
        <w:rPr>
          <w:sz w:val="22"/>
          <w:szCs w:val="22"/>
        </w:rPr>
      </w:pPr>
    </w:p>
    <w:p w14:paraId="176CC154" w14:textId="0AC2835D" w:rsidR="00FA71B4" w:rsidRPr="00B048EB" w:rsidRDefault="00FA71B4" w:rsidP="00DE5A3E">
      <w:pPr>
        <w:keepNext/>
        <w:numPr>
          <w:ilvl w:val="0"/>
          <w:numId w:val="2"/>
        </w:numPr>
        <w:tabs>
          <w:tab w:val="left" w:pos="567"/>
        </w:tabs>
        <w:ind w:left="567" w:hanging="567"/>
        <w:rPr>
          <w:b/>
          <w:caps/>
          <w:sz w:val="22"/>
          <w:szCs w:val="22"/>
        </w:rPr>
      </w:pPr>
      <w:r w:rsidRPr="00B048EB">
        <w:rPr>
          <w:b/>
          <w:caps/>
          <w:sz w:val="22"/>
          <w:szCs w:val="22"/>
        </w:rPr>
        <w:t>Kvalitatívne a</w:t>
      </w:r>
      <w:r w:rsidR="00731C93">
        <w:rPr>
          <w:b/>
          <w:caps/>
          <w:sz w:val="22"/>
          <w:szCs w:val="22"/>
        </w:rPr>
        <w:t> </w:t>
      </w:r>
      <w:r w:rsidRPr="00B048EB">
        <w:rPr>
          <w:b/>
          <w:caps/>
          <w:sz w:val="22"/>
          <w:szCs w:val="22"/>
        </w:rPr>
        <w:t xml:space="preserve">kvantitatívne zloženie </w:t>
      </w:r>
    </w:p>
    <w:p w14:paraId="42417E42" w14:textId="77777777" w:rsidR="00FA71B4" w:rsidRPr="00B048EB" w:rsidRDefault="00FA71B4" w:rsidP="00DE5A3E">
      <w:pPr>
        <w:keepNext/>
        <w:tabs>
          <w:tab w:val="left" w:pos="567"/>
        </w:tabs>
        <w:ind w:left="567" w:hanging="567"/>
        <w:rPr>
          <w:b/>
          <w:caps/>
          <w:sz w:val="22"/>
          <w:szCs w:val="22"/>
        </w:rPr>
      </w:pPr>
    </w:p>
    <w:p w14:paraId="659577CA" w14:textId="42D9C031" w:rsidR="00FA71B4" w:rsidRPr="00B048EB" w:rsidRDefault="009005B5" w:rsidP="001F5C55">
      <w:pPr>
        <w:tabs>
          <w:tab w:val="left" w:pos="567"/>
        </w:tabs>
        <w:ind w:left="567" w:hanging="567"/>
        <w:rPr>
          <w:sz w:val="22"/>
          <w:szCs w:val="22"/>
        </w:rPr>
      </w:pPr>
      <w:r w:rsidRPr="00B048EB">
        <w:rPr>
          <w:sz w:val="22"/>
          <w:szCs w:val="22"/>
        </w:rPr>
        <w:t>Jedna</w:t>
      </w:r>
      <w:r w:rsidR="00FA71B4" w:rsidRPr="00B048EB">
        <w:rPr>
          <w:sz w:val="22"/>
          <w:szCs w:val="22"/>
        </w:rPr>
        <w:t xml:space="preserve"> </w:t>
      </w:r>
      <w:r w:rsidR="006E48B1" w:rsidRPr="00B048EB">
        <w:rPr>
          <w:sz w:val="22"/>
          <w:szCs w:val="22"/>
        </w:rPr>
        <w:t xml:space="preserve">tvrdá </w:t>
      </w:r>
      <w:r w:rsidR="00FA71B4" w:rsidRPr="00B048EB">
        <w:rPr>
          <w:sz w:val="22"/>
          <w:szCs w:val="22"/>
        </w:rPr>
        <w:t xml:space="preserve">kapsula obsahuje </w:t>
      </w:r>
      <w:r w:rsidR="00FA71B4" w:rsidRPr="00B048EB">
        <w:rPr>
          <w:bCs/>
          <w:sz w:val="22"/>
          <w:szCs w:val="22"/>
        </w:rPr>
        <w:t>100 mg alebo 200 mg</w:t>
      </w:r>
      <w:r w:rsidR="00143844" w:rsidRPr="00143844">
        <w:rPr>
          <w:sz w:val="22"/>
          <w:szCs w:val="22"/>
        </w:rPr>
        <w:t xml:space="preserve"> </w:t>
      </w:r>
      <w:r w:rsidR="00143844" w:rsidRPr="00B048EB">
        <w:rPr>
          <w:sz w:val="22"/>
          <w:szCs w:val="22"/>
        </w:rPr>
        <w:t>celekoxib</w:t>
      </w:r>
      <w:r w:rsidR="00143844">
        <w:rPr>
          <w:sz w:val="22"/>
          <w:szCs w:val="22"/>
        </w:rPr>
        <w:t>u</w:t>
      </w:r>
      <w:r w:rsidR="00FA71B4" w:rsidRPr="00B048EB">
        <w:rPr>
          <w:sz w:val="22"/>
          <w:szCs w:val="22"/>
        </w:rPr>
        <w:t>.</w:t>
      </w:r>
    </w:p>
    <w:p w14:paraId="32215F65" w14:textId="77777777" w:rsidR="00FA71B4" w:rsidRPr="00B048EB" w:rsidRDefault="00FA71B4" w:rsidP="00F31FEF">
      <w:pPr>
        <w:tabs>
          <w:tab w:val="left" w:pos="567"/>
        </w:tabs>
        <w:ind w:left="567" w:hanging="567"/>
        <w:rPr>
          <w:sz w:val="22"/>
          <w:szCs w:val="22"/>
        </w:rPr>
      </w:pPr>
    </w:p>
    <w:p w14:paraId="45556575" w14:textId="77777777" w:rsidR="00C4074B" w:rsidRPr="00B048EB" w:rsidRDefault="00FA71B4" w:rsidP="00DE5A3E">
      <w:pPr>
        <w:pStyle w:val="EMEAEnBodyText"/>
        <w:keepNext/>
        <w:widowControl w:val="0"/>
        <w:tabs>
          <w:tab w:val="left" w:pos="0"/>
        </w:tabs>
        <w:spacing w:before="0" w:after="0"/>
        <w:ind w:left="567" w:hanging="567"/>
        <w:jc w:val="left"/>
        <w:rPr>
          <w:szCs w:val="22"/>
          <w:lang w:val="sk-SK"/>
        </w:rPr>
      </w:pPr>
      <w:r w:rsidRPr="00B048EB">
        <w:rPr>
          <w:szCs w:val="22"/>
          <w:u w:val="single"/>
          <w:lang w:val="sk-SK"/>
        </w:rPr>
        <w:t>Pomocné látky so známym účinkom</w:t>
      </w:r>
    </w:p>
    <w:p w14:paraId="78220315" w14:textId="77777777" w:rsidR="00FA71B4" w:rsidRPr="00B048EB" w:rsidRDefault="00FA71B4" w:rsidP="00370DBB">
      <w:pPr>
        <w:pStyle w:val="EMEAEnBodyText"/>
        <w:tabs>
          <w:tab w:val="left" w:pos="0"/>
        </w:tabs>
        <w:autoSpaceDE w:val="0"/>
        <w:spacing w:before="0" w:after="0"/>
        <w:jc w:val="left"/>
        <w:rPr>
          <w:szCs w:val="22"/>
          <w:lang w:val="sk-SK"/>
        </w:rPr>
      </w:pPr>
      <w:r w:rsidRPr="00B048EB">
        <w:rPr>
          <w:szCs w:val="22"/>
          <w:lang w:val="sk-SK"/>
        </w:rPr>
        <w:t>monohydrát laktózy</w:t>
      </w:r>
      <w:r w:rsidR="00827050" w:rsidRPr="00B048EB">
        <w:rPr>
          <w:szCs w:val="22"/>
          <w:lang w:val="sk-SK"/>
        </w:rPr>
        <w:t xml:space="preserve"> (</w:t>
      </w:r>
      <w:r w:rsidR="0023428A">
        <w:rPr>
          <w:szCs w:val="22"/>
          <w:lang w:val="sk-SK"/>
        </w:rPr>
        <w:t>každá</w:t>
      </w:r>
      <w:r w:rsidR="008F2463">
        <w:rPr>
          <w:szCs w:val="22"/>
          <w:lang w:val="sk-SK"/>
        </w:rPr>
        <w:t xml:space="preserve"> kapsula obsahuje </w:t>
      </w:r>
      <w:r w:rsidR="00827050" w:rsidRPr="00B048EB">
        <w:rPr>
          <w:szCs w:val="22"/>
          <w:lang w:val="sk-SK"/>
        </w:rPr>
        <w:t xml:space="preserve">149,7 mg </w:t>
      </w:r>
      <w:r w:rsidR="008F2463">
        <w:rPr>
          <w:szCs w:val="22"/>
          <w:lang w:val="sk-SK"/>
        </w:rPr>
        <w:t xml:space="preserve">monohydrátu laktózy </w:t>
      </w:r>
      <w:r w:rsidR="00827050" w:rsidRPr="00B048EB">
        <w:rPr>
          <w:szCs w:val="22"/>
          <w:lang w:val="sk-SK"/>
        </w:rPr>
        <w:t xml:space="preserve">v </w:t>
      </w:r>
      <w:r w:rsidR="000E2670" w:rsidRPr="00B048EB">
        <w:rPr>
          <w:szCs w:val="22"/>
          <w:lang w:val="sk-SK"/>
        </w:rPr>
        <w:t>CELEBREXE</w:t>
      </w:r>
      <w:r w:rsidR="00827050" w:rsidRPr="00B048EB">
        <w:rPr>
          <w:szCs w:val="22"/>
          <w:lang w:val="sk-SK"/>
        </w:rPr>
        <w:t xml:space="preserve"> 100 mg a 49,8</w:t>
      </w:r>
      <w:r w:rsidR="003C2340" w:rsidRPr="00B048EB">
        <w:rPr>
          <w:szCs w:val="22"/>
          <w:lang w:val="sk-SK"/>
        </w:rPr>
        <w:t> </w:t>
      </w:r>
      <w:r w:rsidR="00827050" w:rsidRPr="00B048EB">
        <w:rPr>
          <w:szCs w:val="22"/>
          <w:lang w:val="sk-SK"/>
        </w:rPr>
        <w:t xml:space="preserve">mg </w:t>
      </w:r>
      <w:r w:rsidR="008F2463">
        <w:rPr>
          <w:szCs w:val="22"/>
          <w:lang w:val="sk-SK"/>
        </w:rPr>
        <w:t xml:space="preserve">monohydrátu laktózy </w:t>
      </w:r>
      <w:r w:rsidR="00827050" w:rsidRPr="00B048EB">
        <w:rPr>
          <w:szCs w:val="22"/>
          <w:lang w:val="sk-SK"/>
        </w:rPr>
        <w:t>v</w:t>
      </w:r>
      <w:r w:rsidR="003C2340" w:rsidRPr="00B048EB">
        <w:rPr>
          <w:szCs w:val="22"/>
          <w:lang w:val="sk-SK"/>
        </w:rPr>
        <w:t> </w:t>
      </w:r>
      <w:r w:rsidR="000E2670" w:rsidRPr="00B048EB">
        <w:rPr>
          <w:szCs w:val="22"/>
          <w:lang w:val="sk-SK"/>
        </w:rPr>
        <w:t>CELEBREXE</w:t>
      </w:r>
      <w:r w:rsidR="00827050" w:rsidRPr="00B048EB">
        <w:rPr>
          <w:szCs w:val="22"/>
          <w:lang w:val="sk-SK"/>
        </w:rPr>
        <w:t xml:space="preserve"> 200 mg</w:t>
      </w:r>
      <w:r w:rsidR="008F2463">
        <w:rPr>
          <w:szCs w:val="22"/>
          <w:lang w:val="sk-SK"/>
        </w:rPr>
        <w:t>, pozri časť 4.4</w:t>
      </w:r>
      <w:r w:rsidR="00827050" w:rsidRPr="00B048EB">
        <w:rPr>
          <w:szCs w:val="22"/>
          <w:lang w:val="sk-SK"/>
        </w:rPr>
        <w:t>)</w:t>
      </w:r>
    </w:p>
    <w:p w14:paraId="4BDD24B4" w14:textId="77777777" w:rsidR="00FA71B4" w:rsidRPr="00B048EB" w:rsidRDefault="00FA71B4" w:rsidP="000F2C6E">
      <w:pPr>
        <w:tabs>
          <w:tab w:val="left" w:pos="567"/>
        </w:tabs>
        <w:ind w:left="567" w:hanging="567"/>
        <w:rPr>
          <w:sz w:val="22"/>
          <w:szCs w:val="22"/>
        </w:rPr>
      </w:pPr>
    </w:p>
    <w:p w14:paraId="7DD5F2C4" w14:textId="77777777" w:rsidR="00FA71B4" w:rsidRPr="00B048EB" w:rsidRDefault="00FA71B4" w:rsidP="000F2C6E">
      <w:pPr>
        <w:tabs>
          <w:tab w:val="left" w:pos="567"/>
        </w:tabs>
        <w:ind w:left="567" w:hanging="567"/>
        <w:rPr>
          <w:sz w:val="22"/>
          <w:szCs w:val="22"/>
        </w:rPr>
      </w:pPr>
      <w:r w:rsidRPr="00B048EB">
        <w:rPr>
          <w:sz w:val="22"/>
          <w:szCs w:val="22"/>
        </w:rPr>
        <w:t>Úplný zoznam pomocných látok, pozri časť 6.1.</w:t>
      </w:r>
    </w:p>
    <w:p w14:paraId="13CF4031" w14:textId="77777777" w:rsidR="00FA71B4" w:rsidRPr="00B048EB" w:rsidRDefault="00FA71B4" w:rsidP="000F2C6E">
      <w:pPr>
        <w:tabs>
          <w:tab w:val="left" w:pos="567"/>
        </w:tabs>
        <w:rPr>
          <w:b/>
          <w:sz w:val="22"/>
          <w:szCs w:val="22"/>
        </w:rPr>
      </w:pPr>
    </w:p>
    <w:p w14:paraId="10DE5C5D" w14:textId="77777777" w:rsidR="00FA71B4" w:rsidRPr="00B048EB" w:rsidRDefault="00FA71B4" w:rsidP="000F2C6E">
      <w:pPr>
        <w:tabs>
          <w:tab w:val="left" w:pos="567"/>
        </w:tabs>
        <w:rPr>
          <w:b/>
          <w:sz w:val="22"/>
          <w:szCs w:val="22"/>
        </w:rPr>
      </w:pPr>
    </w:p>
    <w:p w14:paraId="3D8A16FB" w14:textId="77777777" w:rsidR="00FA71B4" w:rsidRPr="00B048EB" w:rsidRDefault="00FA71B4" w:rsidP="00DE5A3E">
      <w:pPr>
        <w:keepNext/>
        <w:numPr>
          <w:ilvl w:val="0"/>
          <w:numId w:val="4"/>
        </w:numPr>
        <w:tabs>
          <w:tab w:val="left" w:pos="567"/>
        </w:tabs>
        <w:ind w:left="567" w:hanging="567"/>
        <w:rPr>
          <w:b/>
          <w:caps/>
          <w:sz w:val="22"/>
          <w:szCs w:val="22"/>
        </w:rPr>
      </w:pPr>
      <w:r w:rsidRPr="00B048EB">
        <w:rPr>
          <w:b/>
          <w:caps/>
          <w:sz w:val="22"/>
          <w:szCs w:val="22"/>
        </w:rPr>
        <w:t>Lieková forma</w:t>
      </w:r>
    </w:p>
    <w:p w14:paraId="75A061B0" w14:textId="77777777" w:rsidR="00FA71B4" w:rsidRPr="00B048EB" w:rsidRDefault="00FA71B4" w:rsidP="00DE5A3E">
      <w:pPr>
        <w:keepNext/>
        <w:tabs>
          <w:tab w:val="left" w:pos="567"/>
        </w:tabs>
        <w:ind w:left="567" w:hanging="567"/>
        <w:rPr>
          <w:b/>
          <w:caps/>
          <w:sz w:val="22"/>
          <w:szCs w:val="22"/>
        </w:rPr>
      </w:pPr>
    </w:p>
    <w:p w14:paraId="24D09A38" w14:textId="36AEF610" w:rsidR="00FA71B4" w:rsidRPr="00B048EB" w:rsidRDefault="00FA71B4" w:rsidP="000F2C6E">
      <w:pPr>
        <w:tabs>
          <w:tab w:val="left" w:pos="567"/>
        </w:tabs>
        <w:ind w:left="567" w:hanging="567"/>
        <w:rPr>
          <w:bCs/>
          <w:sz w:val="22"/>
          <w:szCs w:val="22"/>
        </w:rPr>
      </w:pPr>
      <w:r w:rsidRPr="00B048EB">
        <w:rPr>
          <w:bCs/>
          <w:sz w:val="22"/>
          <w:szCs w:val="22"/>
        </w:rPr>
        <w:t>Tvrdá kapsula</w:t>
      </w:r>
    </w:p>
    <w:p w14:paraId="71B924CA" w14:textId="77777777" w:rsidR="00FA71B4" w:rsidRPr="00B048EB" w:rsidRDefault="00FA71B4" w:rsidP="00934323">
      <w:pPr>
        <w:tabs>
          <w:tab w:val="left" w:pos="567"/>
        </w:tabs>
        <w:ind w:left="567" w:hanging="567"/>
        <w:rPr>
          <w:sz w:val="22"/>
          <w:szCs w:val="22"/>
        </w:rPr>
      </w:pPr>
    </w:p>
    <w:p w14:paraId="66C56067" w14:textId="31228FC5" w:rsidR="00FA71B4" w:rsidRPr="00B048EB" w:rsidRDefault="000E2670" w:rsidP="00934323">
      <w:pPr>
        <w:tabs>
          <w:tab w:val="left" w:pos="0"/>
        </w:tabs>
        <w:rPr>
          <w:sz w:val="22"/>
          <w:szCs w:val="22"/>
        </w:rPr>
      </w:pPr>
      <w:r w:rsidRPr="00DE5A3E">
        <w:rPr>
          <w:sz w:val="22"/>
        </w:rPr>
        <w:t>CELEBREX</w:t>
      </w:r>
      <w:r w:rsidR="00FA71B4" w:rsidRPr="00DE5A3E">
        <w:rPr>
          <w:sz w:val="22"/>
        </w:rPr>
        <w:t> 1</w:t>
      </w:r>
      <w:r w:rsidR="00FA71B4" w:rsidRPr="00DE5A3E">
        <w:rPr>
          <w:caps/>
          <w:sz w:val="22"/>
        </w:rPr>
        <w:t>00 </w:t>
      </w:r>
      <w:r w:rsidR="00FA71B4" w:rsidRPr="00DE5A3E">
        <w:rPr>
          <w:sz w:val="22"/>
        </w:rPr>
        <w:t>mg:</w:t>
      </w:r>
      <w:r w:rsidR="00FA71B4" w:rsidRPr="004A4C5E">
        <w:rPr>
          <w:sz w:val="22"/>
          <w:szCs w:val="22"/>
        </w:rPr>
        <w:t xml:space="preserve"> </w:t>
      </w:r>
      <w:r w:rsidR="00143844">
        <w:rPr>
          <w:sz w:val="22"/>
          <w:szCs w:val="22"/>
        </w:rPr>
        <w:t>n</w:t>
      </w:r>
      <w:r w:rsidR="00FA71B4" w:rsidRPr="00B048EB">
        <w:rPr>
          <w:sz w:val="22"/>
          <w:szCs w:val="22"/>
        </w:rPr>
        <w:t>epriehľadné biele kapsuly s dvoma modrými pruhmi označené nápisom 7767</w:t>
      </w:r>
      <w:r w:rsidR="00731C93">
        <w:rPr>
          <w:sz w:val="22"/>
          <w:szCs w:val="22"/>
        </w:rPr>
        <w:t xml:space="preserve"> </w:t>
      </w:r>
      <w:r w:rsidR="00FA71B4" w:rsidRPr="00B048EB">
        <w:rPr>
          <w:sz w:val="22"/>
          <w:szCs w:val="22"/>
        </w:rPr>
        <w:t>a</w:t>
      </w:r>
      <w:r w:rsidR="003C2340" w:rsidRPr="00B048EB">
        <w:rPr>
          <w:sz w:val="22"/>
          <w:szCs w:val="22"/>
        </w:rPr>
        <w:t> </w:t>
      </w:r>
      <w:r w:rsidR="00FA71B4" w:rsidRPr="00B048EB">
        <w:rPr>
          <w:sz w:val="22"/>
          <w:szCs w:val="22"/>
        </w:rPr>
        <w:t>100.</w:t>
      </w:r>
    </w:p>
    <w:p w14:paraId="3D10358C" w14:textId="77777777" w:rsidR="009005B5" w:rsidRPr="00B048EB" w:rsidRDefault="009005B5" w:rsidP="00934323">
      <w:pPr>
        <w:tabs>
          <w:tab w:val="left" w:pos="0"/>
        </w:tabs>
        <w:rPr>
          <w:sz w:val="22"/>
          <w:szCs w:val="22"/>
        </w:rPr>
      </w:pPr>
    </w:p>
    <w:p w14:paraId="31E30571" w14:textId="07CF8551" w:rsidR="00FA71B4" w:rsidRPr="00B048EB" w:rsidRDefault="000E2670" w:rsidP="00934323">
      <w:pPr>
        <w:tabs>
          <w:tab w:val="left" w:pos="0"/>
        </w:tabs>
        <w:rPr>
          <w:sz w:val="22"/>
          <w:szCs w:val="22"/>
        </w:rPr>
      </w:pPr>
      <w:r w:rsidRPr="00DE5A3E">
        <w:rPr>
          <w:sz w:val="22"/>
        </w:rPr>
        <w:t>CELEBREX</w:t>
      </w:r>
      <w:r w:rsidR="00FA71B4" w:rsidRPr="00DE5A3E">
        <w:rPr>
          <w:sz w:val="22"/>
        </w:rPr>
        <w:t> </w:t>
      </w:r>
      <w:r w:rsidR="00FA71B4" w:rsidRPr="00DE5A3E">
        <w:rPr>
          <w:caps/>
          <w:sz w:val="22"/>
        </w:rPr>
        <w:t>200 </w:t>
      </w:r>
      <w:r w:rsidR="00FA71B4" w:rsidRPr="00DE5A3E">
        <w:rPr>
          <w:sz w:val="22"/>
        </w:rPr>
        <w:t>mg:</w:t>
      </w:r>
      <w:r w:rsidR="00FA71B4" w:rsidRPr="00B048EB">
        <w:rPr>
          <w:sz w:val="22"/>
          <w:szCs w:val="22"/>
        </w:rPr>
        <w:t xml:space="preserve"> </w:t>
      </w:r>
      <w:r w:rsidR="00264EC7">
        <w:rPr>
          <w:sz w:val="22"/>
          <w:szCs w:val="22"/>
        </w:rPr>
        <w:t>n</w:t>
      </w:r>
      <w:r w:rsidR="00264EC7" w:rsidRPr="00B048EB">
        <w:rPr>
          <w:sz w:val="22"/>
          <w:szCs w:val="22"/>
        </w:rPr>
        <w:t xml:space="preserve">epriehľadné </w:t>
      </w:r>
      <w:r w:rsidR="00FA71B4" w:rsidRPr="00B048EB">
        <w:rPr>
          <w:sz w:val="22"/>
          <w:szCs w:val="22"/>
        </w:rPr>
        <w:t>biele kapsuly s dvoma zlatými pruhmi označené nápisom 7767 a</w:t>
      </w:r>
      <w:r w:rsidRPr="00B048EB">
        <w:rPr>
          <w:sz w:val="22"/>
          <w:szCs w:val="22"/>
        </w:rPr>
        <w:t> </w:t>
      </w:r>
      <w:r w:rsidR="00FA71B4" w:rsidRPr="00B048EB">
        <w:rPr>
          <w:sz w:val="22"/>
          <w:szCs w:val="22"/>
        </w:rPr>
        <w:t>200.</w:t>
      </w:r>
    </w:p>
    <w:p w14:paraId="6D5481C3" w14:textId="77777777" w:rsidR="00FA71B4" w:rsidRPr="00B048EB" w:rsidRDefault="00FA71B4" w:rsidP="001F5C55">
      <w:pPr>
        <w:tabs>
          <w:tab w:val="left" w:pos="567"/>
        </w:tabs>
        <w:rPr>
          <w:b/>
          <w:sz w:val="22"/>
          <w:szCs w:val="22"/>
        </w:rPr>
      </w:pPr>
    </w:p>
    <w:p w14:paraId="5E02FB24" w14:textId="77777777" w:rsidR="00FA71B4" w:rsidRPr="00B048EB" w:rsidRDefault="00FA71B4" w:rsidP="001F5C55">
      <w:pPr>
        <w:tabs>
          <w:tab w:val="left" w:pos="567"/>
        </w:tabs>
        <w:rPr>
          <w:b/>
          <w:sz w:val="22"/>
          <w:szCs w:val="22"/>
        </w:rPr>
      </w:pPr>
    </w:p>
    <w:p w14:paraId="33698419" w14:textId="77777777" w:rsidR="00FA71B4" w:rsidRPr="00B048EB" w:rsidRDefault="00FA71B4" w:rsidP="00DE5A3E">
      <w:pPr>
        <w:keepNext/>
        <w:numPr>
          <w:ilvl w:val="0"/>
          <w:numId w:val="4"/>
        </w:numPr>
        <w:tabs>
          <w:tab w:val="left" w:pos="567"/>
        </w:tabs>
        <w:ind w:left="567" w:hanging="567"/>
        <w:rPr>
          <w:b/>
          <w:caps/>
          <w:sz w:val="22"/>
          <w:szCs w:val="22"/>
        </w:rPr>
      </w:pPr>
      <w:r w:rsidRPr="00B048EB">
        <w:rPr>
          <w:b/>
          <w:caps/>
          <w:sz w:val="22"/>
          <w:szCs w:val="22"/>
        </w:rPr>
        <w:t>Klinické údaje</w:t>
      </w:r>
    </w:p>
    <w:p w14:paraId="71FD7BC2" w14:textId="77777777" w:rsidR="00FA71B4" w:rsidRPr="00B048EB" w:rsidRDefault="00FA71B4" w:rsidP="00DE5A3E">
      <w:pPr>
        <w:keepNext/>
        <w:tabs>
          <w:tab w:val="left" w:pos="567"/>
        </w:tabs>
        <w:ind w:left="567" w:hanging="567"/>
        <w:rPr>
          <w:b/>
          <w:caps/>
          <w:sz w:val="22"/>
          <w:szCs w:val="22"/>
        </w:rPr>
      </w:pPr>
    </w:p>
    <w:p w14:paraId="2481C906" w14:textId="77777777" w:rsidR="00FA71B4" w:rsidRPr="00B048EB" w:rsidRDefault="00FA71B4" w:rsidP="00DE5A3E">
      <w:pPr>
        <w:keepNext/>
        <w:tabs>
          <w:tab w:val="left" w:pos="567"/>
        </w:tabs>
        <w:ind w:left="567" w:hanging="567"/>
        <w:rPr>
          <w:b/>
          <w:sz w:val="22"/>
          <w:szCs w:val="22"/>
        </w:rPr>
      </w:pPr>
      <w:r w:rsidRPr="00B048EB">
        <w:rPr>
          <w:b/>
          <w:caps/>
          <w:sz w:val="22"/>
          <w:szCs w:val="22"/>
        </w:rPr>
        <w:t>4.1</w:t>
      </w:r>
      <w:r w:rsidRPr="00B048EB">
        <w:rPr>
          <w:b/>
          <w:caps/>
          <w:sz w:val="22"/>
          <w:szCs w:val="22"/>
        </w:rPr>
        <w:tab/>
        <w:t>T</w:t>
      </w:r>
      <w:r w:rsidRPr="00B048EB">
        <w:rPr>
          <w:b/>
          <w:sz w:val="22"/>
          <w:szCs w:val="22"/>
        </w:rPr>
        <w:t>erapeutické indikácie</w:t>
      </w:r>
    </w:p>
    <w:p w14:paraId="2209B549" w14:textId="77777777" w:rsidR="00FA71B4" w:rsidRPr="00B048EB" w:rsidRDefault="00FA71B4" w:rsidP="00DE5A3E">
      <w:pPr>
        <w:keepNext/>
        <w:tabs>
          <w:tab w:val="left" w:pos="567"/>
        </w:tabs>
        <w:ind w:left="567" w:hanging="567"/>
        <w:rPr>
          <w:b/>
          <w:sz w:val="22"/>
          <w:szCs w:val="22"/>
        </w:rPr>
      </w:pPr>
    </w:p>
    <w:p w14:paraId="697C7DA5" w14:textId="77777777" w:rsidR="00FA71B4" w:rsidRPr="00B048EB" w:rsidRDefault="00FA71B4" w:rsidP="00F31FEF">
      <w:pPr>
        <w:tabs>
          <w:tab w:val="left" w:pos="567"/>
        </w:tabs>
        <w:rPr>
          <w:sz w:val="22"/>
          <w:szCs w:val="22"/>
        </w:rPr>
      </w:pPr>
      <w:r w:rsidRPr="00B048EB">
        <w:rPr>
          <w:sz w:val="22"/>
          <w:szCs w:val="22"/>
        </w:rPr>
        <w:t>Symptomatická úľava pri liečbe osteoartrózy, reumatoidnej artritídy</w:t>
      </w:r>
      <w:r w:rsidR="007C099B" w:rsidRPr="00B048EB">
        <w:rPr>
          <w:sz w:val="22"/>
          <w:szCs w:val="22"/>
        </w:rPr>
        <w:t xml:space="preserve"> </w:t>
      </w:r>
      <w:r w:rsidRPr="00B048EB">
        <w:rPr>
          <w:sz w:val="22"/>
          <w:szCs w:val="22"/>
        </w:rPr>
        <w:t>a ankylozujúcej spondylitídy.</w:t>
      </w:r>
    </w:p>
    <w:p w14:paraId="67ED11C2" w14:textId="77777777" w:rsidR="00FA71B4" w:rsidRPr="00B048EB" w:rsidRDefault="00FA71B4" w:rsidP="00F31FEF">
      <w:pPr>
        <w:tabs>
          <w:tab w:val="left" w:pos="567"/>
        </w:tabs>
        <w:ind w:left="567" w:hanging="567"/>
        <w:rPr>
          <w:sz w:val="22"/>
          <w:szCs w:val="22"/>
        </w:rPr>
      </w:pPr>
    </w:p>
    <w:p w14:paraId="0CCF321F" w14:textId="35787653" w:rsidR="00FA71B4" w:rsidRPr="00B048EB" w:rsidRDefault="00FA71B4" w:rsidP="00370DBB">
      <w:pPr>
        <w:tabs>
          <w:tab w:val="left" w:pos="0"/>
        </w:tabs>
        <w:rPr>
          <w:sz w:val="22"/>
          <w:szCs w:val="22"/>
        </w:rPr>
      </w:pPr>
      <w:r w:rsidRPr="00B048EB">
        <w:rPr>
          <w:sz w:val="22"/>
          <w:szCs w:val="22"/>
        </w:rPr>
        <w:t>Rozhodnutie predpísať selektívny</w:t>
      </w:r>
      <w:r w:rsidR="00C04604">
        <w:rPr>
          <w:sz w:val="22"/>
          <w:szCs w:val="22"/>
        </w:rPr>
        <w:t xml:space="preserve"> inhibítor cyklooxygenázy-2</w:t>
      </w:r>
      <w:r w:rsidRPr="00B048EB">
        <w:rPr>
          <w:sz w:val="22"/>
          <w:szCs w:val="22"/>
        </w:rPr>
        <w:t xml:space="preserve"> </w:t>
      </w:r>
      <w:r w:rsidR="00C04604">
        <w:rPr>
          <w:sz w:val="22"/>
          <w:szCs w:val="22"/>
        </w:rPr>
        <w:t>(</w:t>
      </w:r>
      <w:r w:rsidRPr="00B048EB">
        <w:rPr>
          <w:sz w:val="22"/>
          <w:szCs w:val="22"/>
        </w:rPr>
        <w:t>COX-2</w:t>
      </w:r>
      <w:r w:rsidR="00C04604">
        <w:rPr>
          <w:sz w:val="22"/>
          <w:szCs w:val="22"/>
        </w:rPr>
        <w:t>)</w:t>
      </w:r>
      <w:r w:rsidRPr="00B048EB">
        <w:rPr>
          <w:sz w:val="22"/>
          <w:szCs w:val="22"/>
        </w:rPr>
        <w:t xml:space="preserve"> musí byť podložené zhodnotením</w:t>
      </w:r>
      <w:r w:rsidR="000F2C6E" w:rsidRPr="00B048EB">
        <w:rPr>
          <w:sz w:val="22"/>
          <w:szCs w:val="22"/>
        </w:rPr>
        <w:t xml:space="preserve"> </w:t>
      </w:r>
      <w:r w:rsidRPr="00B048EB">
        <w:rPr>
          <w:sz w:val="22"/>
          <w:szCs w:val="22"/>
        </w:rPr>
        <w:t>celkového rizika pre individuálneho pacienta (pozri časti 4.3</w:t>
      </w:r>
      <w:r w:rsidR="00EE4158" w:rsidRPr="00B048EB">
        <w:rPr>
          <w:sz w:val="22"/>
          <w:szCs w:val="22"/>
        </w:rPr>
        <w:t xml:space="preserve"> </w:t>
      </w:r>
      <w:r w:rsidRPr="00B048EB">
        <w:rPr>
          <w:sz w:val="22"/>
          <w:szCs w:val="22"/>
        </w:rPr>
        <w:t>a</w:t>
      </w:r>
      <w:r w:rsidR="0054101D">
        <w:rPr>
          <w:sz w:val="22"/>
          <w:szCs w:val="22"/>
        </w:rPr>
        <w:t> </w:t>
      </w:r>
      <w:r w:rsidRPr="00B048EB">
        <w:rPr>
          <w:sz w:val="22"/>
          <w:szCs w:val="22"/>
        </w:rPr>
        <w:t>4.4).</w:t>
      </w:r>
    </w:p>
    <w:p w14:paraId="03C27F4B" w14:textId="77777777" w:rsidR="00FA71B4" w:rsidRPr="00B048EB" w:rsidRDefault="00FA71B4" w:rsidP="000F2C6E">
      <w:pPr>
        <w:tabs>
          <w:tab w:val="left" w:pos="567"/>
        </w:tabs>
        <w:ind w:left="567" w:hanging="567"/>
        <w:rPr>
          <w:sz w:val="22"/>
          <w:szCs w:val="22"/>
        </w:rPr>
      </w:pPr>
    </w:p>
    <w:p w14:paraId="579A2448" w14:textId="696012A2" w:rsidR="00FA71B4" w:rsidRPr="00B048EB" w:rsidRDefault="00FA71B4" w:rsidP="00DE5A3E">
      <w:pPr>
        <w:keepNext/>
        <w:tabs>
          <w:tab w:val="left" w:pos="567"/>
        </w:tabs>
        <w:ind w:left="567" w:hanging="567"/>
        <w:rPr>
          <w:b/>
          <w:sz w:val="22"/>
          <w:szCs w:val="22"/>
        </w:rPr>
      </w:pPr>
      <w:r w:rsidRPr="00B048EB">
        <w:rPr>
          <w:b/>
          <w:sz w:val="22"/>
          <w:szCs w:val="22"/>
        </w:rPr>
        <w:t>4.2</w:t>
      </w:r>
      <w:r w:rsidRPr="00B048EB">
        <w:rPr>
          <w:b/>
          <w:sz w:val="22"/>
          <w:szCs w:val="22"/>
        </w:rPr>
        <w:tab/>
        <w:t>Dávkovanie</w:t>
      </w:r>
      <w:r w:rsidR="00731C93">
        <w:rPr>
          <w:b/>
          <w:sz w:val="22"/>
          <w:szCs w:val="22"/>
        </w:rPr>
        <w:t xml:space="preserve"> a </w:t>
      </w:r>
      <w:r w:rsidRPr="00B048EB">
        <w:rPr>
          <w:b/>
          <w:sz w:val="22"/>
          <w:szCs w:val="22"/>
        </w:rPr>
        <w:t>spôsob podávania</w:t>
      </w:r>
    </w:p>
    <w:p w14:paraId="4F6EB54C" w14:textId="77777777" w:rsidR="00FA71B4" w:rsidRPr="00B048EB" w:rsidRDefault="00FA71B4" w:rsidP="00DE5A3E">
      <w:pPr>
        <w:keepNext/>
        <w:tabs>
          <w:tab w:val="left" w:pos="567"/>
        </w:tabs>
        <w:ind w:left="567" w:hanging="567"/>
        <w:rPr>
          <w:b/>
          <w:sz w:val="22"/>
          <w:szCs w:val="22"/>
        </w:rPr>
      </w:pPr>
    </w:p>
    <w:p w14:paraId="652E07F6" w14:textId="77777777" w:rsidR="00846F78" w:rsidRPr="00B048EB" w:rsidRDefault="00846F78" w:rsidP="00DE5A3E">
      <w:pPr>
        <w:keepNext/>
        <w:tabs>
          <w:tab w:val="left" w:pos="567"/>
        </w:tabs>
        <w:ind w:left="567" w:hanging="567"/>
        <w:rPr>
          <w:iCs/>
          <w:sz w:val="22"/>
          <w:szCs w:val="22"/>
          <w:u w:val="single"/>
        </w:rPr>
      </w:pPr>
      <w:r w:rsidRPr="00B048EB">
        <w:rPr>
          <w:iCs/>
          <w:sz w:val="22"/>
          <w:szCs w:val="22"/>
          <w:u w:val="single"/>
        </w:rPr>
        <w:t>Dávkovanie</w:t>
      </w:r>
    </w:p>
    <w:p w14:paraId="31F46307" w14:textId="459C62E7" w:rsidR="00FA71B4" w:rsidRPr="00B048EB" w:rsidRDefault="00FA71B4" w:rsidP="001F5C55">
      <w:pPr>
        <w:tabs>
          <w:tab w:val="left" w:pos="567"/>
        </w:tabs>
        <w:overflowPunct w:val="0"/>
        <w:autoSpaceDE w:val="0"/>
        <w:rPr>
          <w:sz w:val="22"/>
          <w:szCs w:val="22"/>
        </w:rPr>
      </w:pPr>
      <w:r w:rsidRPr="00B048EB">
        <w:rPr>
          <w:sz w:val="22"/>
          <w:szCs w:val="22"/>
        </w:rPr>
        <w:t xml:space="preserve">Keďže kardiovaskulárne </w:t>
      </w:r>
      <w:r w:rsidR="00DA1D5D" w:rsidRPr="00B048EB">
        <w:rPr>
          <w:sz w:val="22"/>
          <w:szCs w:val="22"/>
        </w:rPr>
        <w:t xml:space="preserve">(KV) </w:t>
      </w:r>
      <w:r w:rsidRPr="00B048EB">
        <w:rPr>
          <w:sz w:val="22"/>
          <w:szCs w:val="22"/>
        </w:rPr>
        <w:t xml:space="preserve">riziko celekoxibu sa môže zvyšovať s dávkou a trvaním liečby, </w:t>
      </w:r>
      <w:r w:rsidR="0054101D">
        <w:rPr>
          <w:sz w:val="22"/>
          <w:szCs w:val="22"/>
        </w:rPr>
        <w:t>trvanie</w:t>
      </w:r>
      <w:r w:rsidR="0054101D" w:rsidRPr="00B048EB">
        <w:rPr>
          <w:sz w:val="22"/>
          <w:szCs w:val="22"/>
        </w:rPr>
        <w:t xml:space="preserve"> </w:t>
      </w:r>
      <w:r w:rsidRPr="00B048EB">
        <w:rPr>
          <w:sz w:val="22"/>
          <w:szCs w:val="22"/>
        </w:rPr>
        <w:t>liečby má byť čo možno najkratši</w:t>
      </w:r>
      <w:r w:rsidR="0054101D">
        <w:rPr>
          <w:sz w:val="22"/>
          <w:szCs w:val="22"/>
        </w:rPr>
        <w:t>e</w:t>
      </w:r>
      <w:r w:rsidRPr="00B048EB">
        <w:rPr>
          <w:sz w:val="22"/>
          <w:szCs w:val="22"/>
        </w:rPr>
        <w:t xml:space="preserve"> a má sa použiť najnižšia </w:t>
      </w:r>
      <w:r w:rsidR="00D24187" w:rsidRPr="00B048EB">
        <w:rPr>
          <w:sz w:val="22"/>
          <w:szCs w:val="22"/>
        </w:rPr>
        <w:t xml:space="preserve">účinná </w:t>
      </w:r>
      <w:r w:rsidRPr="00B048EB">
        <w:rPr>
          <w:sz w:val="22"/>
          <w:szCs w:val="22"/>
        </w:rPr>
        <w:t xml:space="preserve">denná dávka. Pacientova potreba úľavy od príznakov a jeho odpoveď na liečbu sa musia pravidelne prehodnocovať, </w:t>
      </w:r>
      <w:r w:rsidR="00143844">
        <w:rPr>
          <w:sz w:val="22"/>
          <w:szCs w:val="22"/>
        </w:rPr>
        <w:t>ob</w:t>
      </w:r>
      <w:r w:rsidRPr="00B048EB">
        <w:rPr>
          <w:sz w:val="22"/>
          <w:szCs w:val="22"/>
        </w:rPr>
        <w:t>zvlášť u pacientov s osteoartrózou (pozri časti 4.3, 4.4, 4.8</w:t>
      </w:r>
      <w:r w:rsidR="00EE4158" w:rsidRPr="00B048EB">
        <w:rPr>
          <w:sz w:val="22"/>
          <w:szCs w:val="22"/>
        </w:rPr>
        <w:t xml:space="preserve"> </w:t>
      </w:r>
      <w:r w:rsidRPr="00B048EB">
        <w:rPr>
          <w:sz w:val="22"/>
          <w:szCs w:val="22"/>
        </w:rPr>
        <w:t>a 5.1).</w:t>
      </w:r>
    </w:p>
    <w:p w14:paraId="0787C449" w14:textId="77777777" w:rsidR="000F2C6E" w:rsidRPr="00DE5A3E" w:rsidRDefault="000F2C6E" w:rsidP="00F31FEF">
      <w:pPr>
        <w:tabs>
          <w:tab w:val="left" w:pos="567"/>
        </w:tabs>
        <w:rPr>
          <w:i/>
          <w:sz w:val="22"/>
          <w:u w:val="single"/>
        </w:rPr>
      </w:pPr>
    </w:p>
    <w:p w14:paraId="7E81D598" w14:textId="1B8B06D2" w:rsidR="003F76B1" w:rsidRPr="004A4C5E" w:rsidRDefault="00FA71B4" w:rsidP="00DE5A3E">
      <w:pPr>
        <w:keepNext/>
        <w:widowControl/>
        <w:tabs>
          <w:tab w:val="left" w:pos="567"/>
        </w:tabs>
        <w:ind w:left="567" w:hanging="567"/>
        <w:rPr>
          <w:i/>
          <w:iCs/>
          <w:sz w:val="22"/>
          <w:szCs w:val="22"/>
        </w:rPr>
      </w:pPr>
      <w:r w:rsidRPr="00DE5A3E">
        <w:rPr>
          <w:i/>
          <w:sz w:val="22"/>
        </w:rPr>
        <w:t>Osteoartróza</w:t>
      </w:r>
    </w:p>
    <w:p w14:paraId="55EC2772" w14:textId="47B75428" w:rsidR="00FA71B4" w:rsidRPr="00B048EB" w:rsidRDefault="00FA71B4" w:rsidP="00F31FEF">
      <w:pPr>
        <w:tabs>
          <w:tab w:val="left" w:pos="567"/>
        </w:tabs>
        <w:rPr>
          <w:sz w:val="22"/>
          <w:szCs w:val="22"/>
        </w:rPr>
      </w:pPr>
      <w:r w:rsidRPr="00B048EB">
        <w:rPr>
          <w:sz w:val="22"/>
          <w:szCs w:val="22"/>
        </w:rPr>
        <w:t>Obvyklá odporúčaná denná dávka</w:t>
      </w:r>
      <w:r w:rsidR="00B54A5F" w:rsidRPr="00B048EB">
        <w:rPr>
          <w:sz w:val="22"/>
          <w:szCs w:val="22"/>
        </w:rPr>
        <w:t xml:space="preserve"> celekoxibu</w:t>
      </w:r>
      <w:r w:rsidRPr="00B048EB">
        <w:rPr>
          <w:sz w:val="22"/>
          <w:szCs w:val="22"/>
        </w:rPr>
        <w:t xml:space="preserve"> je 200 mg užívaná </w:t>
      </w:r>
      <w:r w:rsidR="009B0D24">
        <w:rPr>
          <w:sz w:val="22"/>
          <w:szCs w:val="22"/>
        </w:rPr>
        <w:t>jedenkrát</w:t>
      </w:r>
      <w:r w:rsidR="009B0D24" w:rsidRPr="00B048EB">
        <w:rPr>
          <w:sz w:val="22"/>
          <w:szCs w:val="22"/>
        </w:rPr>
        <w:t xml:space="preserve"> </w:t>
      </w:r>
      <w:r w:rsidRPr="00B048EB">
        <w:rPr>
          <w:sz w:val="22"/>
          <w:szCs w:val="22"/>
        </w:rPr>
        <w:t xml:space="preserve">denne alebo v dvoch rozdelených dávkach. U niektorých pacientov s nedostatočnou úľavou od symptómov môže </w:t>
      </w:r>
      <w:r w:rsidR="008F2463">
        <w:rPr>
          <w:sz w:val="22"/>
          <w:szCs w:val="22"/>
        </w:rPr>
        <w:t xml:space="preserve">zvýšenie dávky na </w:t>
      </w:r>
      <w:r w:rsidRPr="00B048EB">
        <w:rPr>
          <w:bCs/>
          <w:sz w:val="22"/>
          <w:szCs w:val="22"/>
        </w:rPr>
        <w:t xml:space="preserve">200 mg </w:t>
      </w:r>
      <w:r w:rsidRPr="00B048EB">
        <w:rPr>
          <w:sz w:val="22"/>
          <w:szCs w:val="22"/>
        </w:rPr>
        <w:t>dvakrát denne zvýšiť účinnosť. V prípade, že sa po dvoch týždňoch nezvýši terapeutický prínos liečby, majú sa zvážiť iné terapeutické možnosti.</w:t>
      </w:r>
    </w:p>
    <w:p w14:paraId="5FB22ABC" w14:textId="77777777" w:rsidR="00FA71B4" w:rsidRPr="00B048EB" w:rsidRDefault="00FA71B4" w:rsidP="00F31FEF">
      <w:pPr>
        <w:tabs>
          <w:tab w:val="left" w:pos="567"/>
        </w:tabs>
        <w:rPr>
          <w:sz w:val="22"/>
          <w:szCs w:val="22"/>
        </w:rPr>
      </w:pPr>
    </w:p>
    <w:p w14:paraId="511E64D5" w14:textId="77777777" w:rsidR="003F76B1" w:rsidRPr="004A4C5E" w:rsidRDefault="00FA71B4" w:rsidP="00370DBB">
      <w:pPr>
        <w:keepNext/>
        <w:tabs>
          <w:tab w:val="left" w:pos="567"/>
        </w:tabs>
        <w:rPr>
          <w:i/>
          <w:iCs/>
          <w:sz w:val="22"/>
          <w:szCs w:val="22"/>
        </w:rPr>
      </w:pPr>
      <w:r w:rsidRPr="00DE5A3E">
        <w:rPr>
          <w:i/>
          <w:sz w:val="22"/>
        </w:rPr>
        <w:lastRenderedPageBreak/>
        <w:t>Reumatoidná artritída</w:t>
      </w:r>
    </w:p>
    <w:p w14:paraId="160F26DC" w14:textId="5F2466C9" w:rsidR="00FA71B4" w:rsidRPr="00B048EB" w:rsidRDefault="00FA71B4" w:rsidP="00370DBB">
      <w:pPr>
        <w:keepNext/>
        <w:tabs>
          <w:tab w:val="left" w:pos="567"/>
        </w:tabs>
        <w:rPr>
          <w:sz w:val="22"/>
          <w:szCs w:val="22"/>
        </w:rPr>
      </w:pPr>
      <w:r w:rsidRPr="00B048EB">
        <w:rPr>
          <w:sz w:val="22"/>
          <w:szCs w:val="22"/>
        </w:rPr>
        <w:t xml:space="preserve">Odporúčaná </w:t>
      </w:r>
      <w:r w:rsidR="008F2463">
        <w:rPr>
          <w:sz w:val="22"/>
          <w:szCs w:val="22"/>
        </w:rPr>
        <w:t>začiatočná</w:t>
      </w:r>
      <w:r w:rsidR="008F2463" w:rsidRPr="00B048EB">
        <w:rPr>
          <w:sz w:val="22"/>
          <w:szCs w:val="22"/>
        </w:rPr>
        <w:t xml:space="preserve"> </w:t>
      </w:r>
      <w:r w:rsidRPr="00B048EB">
        <w:rPr>
          <w:sz w:val="22"/>
          <w:szCs w:val="22"/>
        </w:rPr>
        <w:t>denná dávka</w:t>
      </w:r>
      <w:r w:rsidR="00B54A5F" w:rsidRPr="00B048EB">
        <w:rPr>
          <w:sz w:val="22"/>
          <w:szCs w:val="22"/>
        </w:rPr>
        <w:t xml:space="preserve"> celekoxibu</w:t>
      </w:r>
      <w:r w:rsidRPr="00B048EB">
        <w:rPr>
          <w:sz w:val="22"/>
          <w:szCs w:val="22"/>
        </w:rPr>
        <w:t xml:space="preserve"> je 200 mg užívaná v dvoch rozdelených dávkach. Dávka sa môže neskôr podľa potreby zvýšiť na 200 mg dvakrát denne. V prípade, že sa po dvoch týždňoch nezvýši terapeutický prínos liečby, majú sa zvážiť iné </w:t>
      </w:r>
      <w:r w:rsidR="00F31FEF" w:rsidRPr="00B048EB">
        <w:rPr>
          <w:sz w:val="22"/>
          <w:szCs w:val="22"/>
        </w:rPr>
        <w:t>te</w:t>
      </w:r>
      <w:r w:rsidR="00813870" w:rsidRPr="00B048EB">
        <w:rPr>
          <w:sz w:val="22"/>
          <w:szCs w:val="22"/>
        </w:rPr>
        <w:t>ra</w:t>
      </w:r>
      <w:r w:rsidR="00F31FEF" w:rsidRPr="00B048EB">
        <w:rPr>
          <w:sz w:val="22"/>
          <w:szCs w:val="22"/>
        </w:rPr>
        <w:t xml:space="preserve">peutické </w:t>
      </w:r>
      <w:r w:rsidRPr="00B048EB">
        <w:rPr>
          <w:sz w:val="22"/>
          <w:szCs w:val="22"/>
        </w:rPr>
        <w:t>možnosti.</w:t>
      </w:r>
    </w:p>
    <w:p w14:paraId="5E52737A" w14:textId="77777777" w:rsidR="00FA71B4" w:rsidRPr="00B048EB" w:rsidRDefault="00FA71B4" w:rsidP="00F31FEF">
      <w:pPr>
        <w:tabs>
          <w:tab w:val="left" w:pos="567"/>
        </w:tabs>
        <w:rPr>
          <w:sz w:val="22"/>
          <w:szCs w:val="22"/>
        </w:rPr>
      </w:pPr>
    </w:p>
    <w:p w14:paraId="1C24F9F2" w14:textId="77777777" w:rsidR="003F76B1" w:rsidRPr="00DE5A3E" w:rsidRDefault="00FA71B4" w:rsidP="00DE5A3E">
      <w:pPr>
        <w:keepNext/>
        <w:tabs>
          <w:tab w:val="left" w:pos="567"/>
        </w:tabs>
        <w:ind w:left="567" w:hanging="567"/>
        <w:rPr>
          <w:i/>
          <w:sz w:val="22"/>
        </w:rPr>
      </w:pPr>
      <w:r w:rsidRPr="00DE5A3E">
        <w:rPr>
          <w:i/>
          <w:sz w:val="22"/>
        </w:rPr>
        <w:t>Ankylozujúca spondylitída</w:t>
      </w:r>
    </w:p>
    <w:p w14:paraId="51957E99" w14:textId="07AFB545" w:rsidR="00FA71B4" w:rsidRPr="00B048EB" w:rsidRDefault="00FA71B4" w:rsidP="00F31FEF">
      <w:pPr>
        <w:tabs>
          <w:tab w:val="left" w:pos="567"/>
        </w:tabs>
        <w:rPr>
          <w:sz w:val="22"/>
          <w:szCs w:val="22"/>
        </w:rPr>
      </w:pPr>
      <w:r w:rsidRPr="00B048EB">
        <w:rPr>
          <w:sz w:val="22"/>
          <w:szCs w:val="22"/>
        </w:rPr>
        <w:t>Odporúčaná denná dávka</w:t>
      </w:r>
      <w:r w:rsidR="00B54A5F" w:rsidRPr="00B048EB">
        <w:rPr>
          <w:sz w:val="22"/>
          <w:szCs w:val="22"/>
        </w:rPr>
        <w:t xml:space="preserve"> celekoxibu</w:t>
      </w:r>
      <w:r w:rsidRPr="00B048EB">
        <w:rPr>
          <w:sz w:val="22"/>
          <w:szCs w:val="22"/>
        </w:rPr>
        <w:t xml:space="preserve"> je 200 mg užívaná </w:t>
      </w:r>
      <w:r w:rsidR="009B0D24">
        <w:rPr>
          <w:sz w:val="22"/>
          <w:szCs w:val="22"/>
        </w:rPr>
        <w:t>jedenkrát</w:t>
      </w:r>
      <w:r w:rsidR="009B0D24" w:rsidRPr="00B048EB">
        <w:rPr>
          <w:sz w:val="22"/>
          <w:szCs w:val="22"/>
        </w:rPr>
        <w:t xml:space="preserve"> </w:t>
      </w:r>
      <w:r w:rsidRPr="00B048EB">
        <w:rPr>
          <w:sz w:val="22"/>
          <w:szCs w:val="22"/>
        </w:rPr>
        <w:t xml:space="preserve">denne alebo v dvoch rozdelených dávkach. U niektorých pacientov s nedostatočnou úľavou od symptómov môže zvýšenie dávky na </w:t>
      </w:r>
      <w:r w:rsidRPr="00B048EB">
        <w:rPr>
          <w:bCs/>
          <w:sz w:val="22"/>
          <w:szCs w:val="22"/>
        </w:rPr>
        <w:t xml:space="preserve">400 mg </w:t>
      </w:r>
      <w:r w:rsidR="008F2463">
        <w:rPr>
          <w:bCs/>
          <w:sz w:val="22"/>
          <w:szCs w:val="22"/>
        </w:rPr>
        <w:t>jedenkrát</w:t>
      </w:r>
      <w:r w:rsidR="008F2463" w:rsidRPr="00B048EB">
        <w:rPr>
          <w:bCs/>
          <w:sz w:val="22"/>
          <w:szCs w:val="22"/>
        </w:rPr>
        <w:t xml:space="preserve"> </w:t>
      </w:r>
      <w:r w:rsidRPr="00B048EB">
        <w:rPr>
          <w:bCs/>
          <w:sz w:val="22"/>
          <w:szCs w:val="22"/>
        </w:rPr>
        <w:t>denne alebo v dvoch rozdelených dávkach</w:t>
      </w:r>
      <w:r w:rsidRPr="00B048EB">
        <w:rPr>
          <w:sz w:val="22"/>
          <w:szCs w:val="22"/>
        </w:rPr>
        <w:t xml:space="preserve"> zvýšiť účinnosť. V prípade, že sa po dvoch týždňoch nezvýši terapeutický prínos liečby, treba zvážiť iné terapeutické možnosti.</w:t>
      </w:r>
    </w:p>
    <w:p w14:paraId="6F268A92" w14:textId="77777777" w:rsidR="00FA71B4" w:rsidRPr="00B048EB" w:rsidRDefault="00FA71B4" w:rsidP="00F31FEF">
      <w:pPr>
        <w:tabs>
          <w:tab w:val="left" w:pos="567"/>
        </w:tabs>
        <w:rPr>
          <w:sz w:val="22"/>
          <w:szCs w:val="22"/>
        </w:rPr>
      </w:pPr>
    </w:p>
    <w:p w14:paraId="349EFED2" w14:textId="77777777" w:rsidR="00FA71B4" w:rsidRPr="00B048EB" w:rsidRDefault="00FA71B4" w:rsidP="00F31FEF">
      <w:pPr>
        <w:tabs>
          <w:tab w:val="left" w:pos="567"/>
        </w:tabs>
        <w:ind w:left="567" w:hanging="567"/>
        <w:rPr>
          <w:sz w:val="22"/>
          <w:szCs w:val="22"/>
        </w:rPr>
      </w:pPr>
      <w:r w:rsidRPr="00B048EB">
        <w:rPr>
          <w:sz w:val="22"/>
          <w:szCs w:val="22"/>
        </w:rPr>
        <w:t>Maximálna odporúčaná denná dávka</w:t>
      </w:r>
      <w:r w:rsidR="00B54A5F" w:rsidRPr="00B048EB">
        <w:rPr>
          <w:sz w:val="22"/>
          <w:szCs w:val="22"/>
        </w:rPr>
        <w:t xml:space="preserve"> celekoxibu</w:t>
      </w:r>
      <w:r w:rsidRPr="00B048EB">
        <w:rPr>
          <w:sz w:val="22"/>
          <w:szCs w:val="22"/>
        </w:rPr>
        <w:t xml:space="preserve"> je 400 mg pre všetky indikácie.</w:t>
      </w:r>
    </w:p>
    <w:p w14:paraId="52A29AD3" w14:textId="77777777" w:rsidR="00FA71B4" w:rsidRDefault="00FA71B4" w:rsidP="00F31FEF">
      <w:pPr>
        <w:tabs>
          <w:tab w:val="left" w:pos="567"/>
        </w:tabs>
        <w:ind w:left="567" w:hanging="567"/>
        <w:rPr>
          <w:sz w:val="22"/>
          <w:szCs w:val="22"/>
        </w:rPr>
      </w:pPr>
    </w:p>
    <w:p w14:paraId="431A7701" w14:textId="77777777" w:rsidR="00846F78" w:rsidRPr="004B560F" w:rsidRDefault="00846F78" w:rsidP="004B560F">
      <w:pPr>
        <w:keepNext/>
        <w:tabs>
          <w:tab w:val="left" w:pos="567"/>
        </w:tabs>
        <w:ind w:left="567" w:hanging="567"/>
        <w:rPr>
          <w:sz w:val="22"/>
          <w:szCs w:val="22"/>
          <w:u w:val="single"/>
        </w:rPr>
      </w:pPr>
      <w:r w:rsidRPr="004B560F">
        <w:rPr>
          <w:sz w:val="22"/>
          <w:szCs w:val="22"/>
          <w:u w:val="single"/>
        </w:rPr>
        <w:t>Osobitné skupiny pacientov</w:t>
      </w:r>
    </w:p>
    <w:p w14:paraId="69543FD8" w14:textId="77777777" w:rsidR="00846F78" w:rsidRPr="00B048EB" w:rsidRDefault="00846F78" w:rsidP="004B560F">
      <w:pPr>
        <w:keepNext/>
        <w:tabs>
          <w:tab w:val="left" w:pos="567"/>
        </w:tabs>
        <w:ind w:left="567" w:hanging="567"/>
        <w:rPr>
          <w:sz w:val="22"/>
          <w:szCs w:val="22"/>
        </w:rPr>
      </w:pPr>
    </w:p>
    <w:p w14:paraId="6022438B" w14:textId="4A50CA11" w:rsidR="000F2C6E" w:rsidRPr="00645171" w:rsidRDefault="00FA71B4" w:rsidP="00F31FEF">
      <w:pPr>
        <w:pStyle w:val="Nadpis4"/>
        <w:numPr>
          <w:ilvl w:val="0"/>
          <w:numId w:val="0"/>
        </w:numPr>
        <w:tabs>
          <w:tab w:val="left" w:pos="0"/>
        </w:tabs>
        <w:jc w:val="left"/>
        <w:rPr>
          <w:sz w:val="22"/>
          <w:szCs w:val="22"/>
          <w:u w:val="none"/>
        </w:rPr>
      </w:pPr>
      <w:r w:rsidRPr="00DE5A3E">
        <w:rPr>
          <w:i/>
          <w:sz w:val="22"/>
          <w:u w:val="none"/>
        </w:rPr>
        <w:t>Starš</w:t>
      </w:r>
      <w:r w:rsidR="000F2C6E" w:rsidRPr="00DE5A3E">
        <w:rPr>
          <w:i/>
          <w:sz w:val="22"/>
          <w:u w:val="none"/>
        </w:rPr>
        <w:t xml:space="preserve">í </w:t>
      </w:r>
      <w:r w:rsidR="00846F78" w:rsidRPr="004B560F">
        <w:rPr>
          <w:bCs w:val="0"/>
          <w:i/>
          <w:iCs/>
          <w:sz w:val="22"/>
          <w:szCs w:val="22"/>
          <w:u w:val="none"/>
        </w:rPr>
        <w:t>ľudia</w:t>
      </w:r>
    </w:p>
    <w:p w14:paraId="1D8611ED" w14:textId="7084AEA7" w:rsidR="00FA71B4" w:rsidRDefault="00FA71B4" w:rsidP="00F31FEF">
      <w:pPr>
        <w:pStyle w:val="Nadpis4"/>
        <w:numPr>
          <w:ilvl w:val="0"/>
          <w:numId w:val="0"/>
        </w:numPr>
        <w:tabs>
          <w:tab w:val="left" w:pos="0"/>
        </w:tabs>
        <w:jc w:val="left"/>
        <w:rPr>
          <w:sz w:val="22"/>
          <w:szCs w:val="22"/>
          <w:u w:val="none"/>
        </w:rPr>
      </w:pPr>
      <w:r w:rsidRPr="00B048EB">
        <w:rPr>
          <w:sz w:val="22"/>
          <w:szCs w:val="22"/>
          <w:u w:val="none"/>
        </w:rPr>
        <w:t xml:space="preserve">Tak ako u mladších dospelých, má sa použiť </w:t>
      </w:r>
      <w:r w:rsidR="008F2463">
        <w:rPr>
          <w:sz w:val="22"/>
          <w:szCs w:val="22"/>
          <w:u w:val="none"/>
        </w:rPr>
        <w:t>začiatočná</w:t>
      </w:r>
      <w:r w:rsidR="008F2463" w:rsidRPr="00B048EB">
        <w:rPr>
          <w:sz w:val="22"/>
          <w:szCs w:val="22"/>
          <w:u w:val="none"/>
        </w:rPr>
        <w:t xml:space="preserve"> </w:t>
      </w:r>
      <w:r w:rsidRPr="00B048EB">
        <w:rPr>
          <w:sz w:val="22"/>
          <w:szCs w:val="22"/>
          <w:u w:val="none"/>
        </w:rPr>
        <w:t xml:space="preserve">dávka 200 mg denne. Dávka sa môže neskôr podľa potreby zvýšiť na 200 mg dvakrát denne. Obzvlášť opatrne sa má postupovať u starších </w:t>
      </w:r>
      <w:r w:rsidR="008F2463">
        <w:rPr>
          <w:sz w:val="22"/>
          <w:szCs w:val="22"/>
          <w:u w:val="none"/>
        </w:rPr>
        <w:t>ľudí</w:t>
      </w:r>
      <w:r w:rsidR="008F2463" w:rsidRPr="00B048EB">
        <w:rPr>
          <w:sz w:val="22"/>
          <w:szCs w:val="22"/>
          <w:u w:val="none"/>
        </w:rPr>
        <w:t xml:space="preserve"> </w:t>
      </w:r>
      <w:r w:rsidRPr="00B048EB">
        <w:rPr>
          <w:sz w:val="22"/>
          <w:szCs w:val="22"/>
          <w:u w:val="none"/>
        </w:rPr>
        <w:t xml:space="preserve">s telesnou hmotnosťou menšou ako 50 kg (pozri časti </w:t>
      </w:r>
      <w:r w:rsidRPr="00B048EB">
        <w:rPr>
          <w:iCs/>
          <w:sz w:val="22"/>
          <w:szCs w:val="22"/>
          <w:u w:val="none"/>
        </w:rPr>
        <w:t>4.4</w:t>
      </w:r>
      <w:r w:rsidR="00EE4158" w:rsidRPr="00B048EB">
        <w:rPr>
          <w:iCs/>
          <w:sz w:val="22"/>
          <w:szCs w:val="22"/>
          <w:u w:val="none"/>
        </w:rPr>
        <w:t xml:space="preserve"> </w:t>
      </w:r>
      <w:r w:rsidRPr="00B048EB">
        <w:rPr>
          <w:sz w:val="22"/>
          <w:szCs w:val="22"/>
          <w:u w:val="none"/>
        </w:rPr>
        <w:t>a </w:t>
      </w:r>
      <w:r w:rsidRPr="00B048EB">
        <w:rPr>
          <w:iCs/>
          <w:sz w:val="22"/>
          <w:szCs w:val="22"/>
          <w:u w:val="none"/>
        </w:rPr>
        <w:t>5.2</w:t>
      </w:r>
      <w:r w:rsidRPr="00B048EB">
        <w:rPr>
          <w:sz w:val="22"/>
          <w:szCs w:val="22"/>
          <w:u w:val="none"/>
        </w:rPr>
        <w:t>).</w:t>
      </w:r>
    </w:p>
    <w:p w14:paraId="3B6A7030" w14:textId="3D024A06" w:rsidR="00846F78" w:rsidRPr="00DE5A3E" w:rsidRDefault="00846F78" w:rsidP="00DE5A3E"/>
    <w:p w14:paraId="7D5EB906" w14:textId="77777777" w:rsidR="00846F78" w:rsidRPr="00DE5A3E" w:rsidRDefault="00846F78" w:rsidP="00DE5A3E">
      <w:pPr>
        <w:keepNext/>
        <w:tabs>
          <w:tab w:val="left" w:pos="567"/>
        </w:tabs>
        <w:ind w:left="567" w:hanging="567"/>
        <w:rPr>
          <w:i/>
          <w:sz w:val="22"/>
        </w:rPr>
      </w:pPr>
      <w:r w:rsidRPr="00DE5A3E">
        <w:rPr>
          <w:i/>
          <w:sz w:val="22"/>
        </w:rPr>
        <w:t>Pediatrická populácia</w:t>
      </w:r>
    </w:p>
    <w:p w14:paraId="35ED2858" w14:textId="78353D42" w:rsidR="00846F78" w:rsidRDefault="00846F78" w:rsidP="00846F78">
      <w:pPr>
        <w:tabs>
          <w:tab w:val="left" w:pos="567"/>
        </w:tabs>
        <w:ind w:left="567" w:hanging="567"/>
        <w:rPr>
          <w:sz w:val="22"/>
          <w:szCs w:val="22"/>
        </w:rPr>
      </w:pPr>
      <w:r w:rsidRPr="00B048EB">
        <w:rPr>
          <w:bCs/>
          <w:iCs/>
          <w:sz w:val="22"/>
          <w:szCs w:val="22"/>
        </w:rPr>
        <w:t>Celekoxib</w:t>
      </w:r>
      <w:r w:rsidRPr="00DE5A3E">
        <w:rPr>
          <w:sz w:val="22"/>
          <w:szCs w:val="22"/>
        </w:rPr>
        <w:t xml:space="preserve"> </w:t>
      </w:r>
      <w:r w:rsidRPr="00B048EB">
        <w:rPr>
          <w:sz w:val="22"/>
          <w:szCs w:val="22"/>
        </w:rPr>
        <w:t>nie je určený na použitie</w:t>
      </w:r>
      <w:r w:rsidR="00731C93">
        <w:rPr>
          <w:sz w:val="22"/>
          <w:szCs w:val="22"/>
        </w:rPr>
        <w:t xml:space="preserve"> u </w:t>
      </w:r>
      <w:r w:rsidRPr="00B048EB">
        <w:rPr>
          <w:sz w:val="22"/>
          <w:szCs w:val="22"/>
        </w:rPr>
        <w:t>detí.</w:t>
      </w:r>
    </w:p>
    <w:p w14:paraId="663199E6" w14:textId="77777777" w:rsidR="008F2463" w:rsidRPr="00B048EB" w:rsidRDefault="008F2463" w:rsidP="00846F78">
      <w:pPr>
        <w:tabs>
          <w:tab w:val="left" w:pos="567"/>
        </w:tabs>
        <w:ind w:left="567" w:hanging="567"/>
        <w:rPr>
          <w:sz w:val="22"/>
          <w:szCs w:val="22"/>
        </w:rPr>
      </w:pPr>
    </w:p>
    <w:p w14:paraId="17E9F5E8" w14:textId="77777777" w:rsidR="008F2463" w:rsidRPr="00DE5A3E" w:rsidRDefault="008F2463" w:rsidP="00DE5A3E">
      <w:pPr>
        <w:keepNext/>
        <w:tabs>
          <w:tab w:val="left" w:pos="0"/>
        </w:tabs>
        <w:ind w:left="567" w:hanging="567"/>
        <w:rPr>
          <w:i/>
          <w:sz w:val="22"/>
        </w:rPr>
      </w:pPr>
      <w:r w:rsidRPr="00DE5A3E">
        <w:rPr>
          <w:i/>
          <w:sz w:val="22"/>
        </w:rPr>
        <w:t>Pacienti s nízkou aktivitou CYP2C9 (slabí metabolizéri)</w:t>
      </w:r>
    </w:p>
    <w:p w14:paraId="058B8799" w14:textId="03EB94CE" w:rsidR="008F2463" w:rsidRDefault="008F2463" w:rsidP="008F2463">
      <w:pPr>
        <w:tabs>
          <w:tab w:val="left" w:pos="0"/>
        </w:tabs>
        <w:rPr>
          <w:sz w:val="22"/>
          <w:szCs w:val="22"/>
        </w:rPr>
      </w:pPr>
      <w:r w:rsidRPr="00B048EB">
        <w:rPr>
          <w:sz w:val="22"/>
          <w:szCs w:val="22"/>
        </w:rPr>
        <w:t>U pacientov,</w:t>
      </w:r>
      <w:r w:rsidR="00731C93">
        <w:rPr>
          <w:sz w:val="22"/>
          <w:szCs w:val="22"/>
        </w:rPr>
        <w:t xml:space="preserve"> u </w:t>
      </w:r>
      <w:r w:rsidRPr="00B048EB">
        <w:rPr>
          <w:sz w:val="22"/>
          <w:szCs w:val="22"/>
        </w:rPr>
        <w:t>ktorých je známe alebo sa očakáva, že majú slabú aktivitu CYP2C9 založenú na genotypizácii alebo predchádzajúcej anamnéze s inými substrátmi CYP2C9, sa má celekoxib podávať s opatrnosťou z dôvodu zvýšeného rizika nežiaducich účinkov závislých od dávky. Má sa zvážiť redukcia dávky na polovicu najnižše</w:t>
      </w:r>
      <w:r>
        <w:rPr>
          <w:sz w:val="22"/>
          <w:szCs w:val="22"/>
        </w:rPr>
        <w:t>j odporúčanej dávky (pozri časť</w:t>
      </w:r>
      <w:r w:rsidRPr="00B048EB">
        <w:rPr>
          <w:sz w:val="22"/>
          <w:szCs w:val="22"/>
        </w:rPr>
        <w:t xml:space="preserve"> 5.2).</w:t>
      </w:r>
    </w:p>
    <w:p w14:paraId="54DDA28A" w14:textId="77777777" w:rsidR="008810D7" w:rsidRPr="00B048EB" w:rsidRDefault="008810D7" w:rsidP="00F31FEF">
      <w:pPr>
        <w:tabs>
          <w:tab w:val="left" w:pos="567"/>
        </w:tabs>
        <w:ind w:left="567" w:hanging="567"/>
        <w:rPr>
          <w:sz w:val="22"/>
          <w:szCs w:val="22"/>
        </w:rPr>
      </w:pPr>
    </w:p>
    <w:p w14:paraId="55B17D8B" w14:textId="77777777" w:rsidR="00FA71B4" w:rsidRPr="00DE5A3E" w:rsidRDefault="00FA71B4" w:rsidP="00DE5A3E">
      <w:pPr>
        <w:keepNext/>
        <w:tabs>
          <w:tab w:val="left" w:pos="567"/>
        </w:tabs>
        <w:ind w:left="567" w:hanging="567"/>
        <w:rPr>
          <w:i/>
          <w:sz w:val="22"/>
        </w:rPr>
      </w:pPr>
      <w:r w:rsidRPr="00DE5A3E">
        <w:rPr>
          <w:i/>
          <w:sz w:val="22"/>
        </w:rPr>
        <w:t>Po</w:t>
      </w:r>
      <w:r w:rsidR="000F2C6E" w:rsidRPr="00DE5A3E">
        <w:rPr>
          <w:i/>
          <w:sz w:val="22"/>
        </w:rPr>
        <w:t>rucha</w:t>
      </w:r>
      <w:r w:rsidRPr="00DE5A3E">
        <w:rPr>
          <w:i/>
          <w:sz w:val="22"/>
        </w:rPr>
        <w:t xml:space="preserve"> funkcie pečene</w:t>
      </w:r>
    </w:p>
    <w:p w14:paraId="152A2F8A" w14:textId="290534A5" w:rsidR="00FA71B4" w:rsidRPr="00B048EB" w:rsidRDefault="00FA71B4" w:rsidP="00370DBB">
      <w:pPr>
        <w:tabs>
          <w:tab w:val="left" w:pos="567"/>
        </w:tabs>
        <w:rPr>
          <w:sz w:val="22"/>
          <w:szCs w:val="22"/>
        </w:rPr>
      </w:pPr>
      <w:r w:rsidRPr="00B048EB">
        <w:rPr>
          <w:sz w:val="22"/>
          <w:szCs w:val="22"/>
        </w:rPr>
        <w:t>U pacientov</w:t>
      </w:r>
      <w:r w:rsidR="00731C93">
        <w:rPr>
          <w:sz w:val="22"/>
          <w:szCs w:val="22"/>
        </w:rPr>
        <w:t xml:space="preserve"> s </w:t>
      </w:r>
      <w:r w:rsidR="00645171">
        <w:rPr>
          <w:sz w:val="22"/>
          <w:szCs w:val="22"/>
        </w:rPr>
        <w:t xml:space="preserve">preukázanou </w:t>
      </w:r>
      <w:r w:rsidRPr="00B048EB">
        <w:rPr>
          <w:sz w:val="22"/>
          <w:szCs w:val="22"/>
        </w:rPr>
        <w:t xml:space="preserve">stredne </w:t>
      </w:r>
      <w:r w:rsidR="008F2463">
        <w:rPr>
          <w:sz w:val="22"/>
          <w:szCs w:val="22"/>
        </w:rPr>
        <w:t>závažnou</w:t>
      </w:r>
      <w:r w:rsidR="008F2463" w:rsidRPr="00B048EB">
        <w:rPr>
          <w:sz w:val="22"/>
          <w:szCs w:val="22"/>
        </w:rPr>
        <w:t xml:space="preserve"> </w:t>
      </w:r>
      <w:r w:rsidR="00763477" w:rsidRPr="00B048EB">
        <w:rPr>
          <w:sz w:val="22"/>
          <w:szCs w:val="22"/>
        </w:rPr>
        <w:t xml:space="preserve">poruchou funkcie </w:t>
      </w:r>
      <w:r w:rsidRPr="00B048EB">
        <w:rPr>
          <w:sz w:val="22"/>
          <w:szCs w:val="22"/>
        </w:rPr>
        <w:t>pečene</w:t>
      </w:r>
      <w:r w:rsidR="00645171">
        <w:rPr>
          <w:sz w:val="22"/>
          <w:szCs w:val="22"/>
        </w:rPr>
        <w:t>, so sérovým albumínom v rozmedzí 25-35 g/l,</w:t>
      </w:r>
      <w:r w:rsidRPr="00B048EB">
        <w:rPr>
          <w:sz w:val="22"/>
          <w:szCs w:val="22"/>
        </w:rPr>
        <w:t xml:space="preserve"> sa odporúča začať s </w:t>
      </w:r>
      <w:r w:rsidR="00B54A5F" w:rsidRPr="00B048EB">
        <w:rPr>
          <w:sz w:val="22"/>
          <w:szCs w:val="22"/>
        </w:rPr>
        <w:t xml:space="preserve">polovičnou </w:t>
      </w:r>
      <w:r w:rsidRPr="00B048EB">
        <w:rPr>
          <w:sz w:val="22"/>
          <w:szCs w:val="22"/>
        </w:rPr>
        <w:t>odporúčanou dávkou.</w:t>
      </w:r>
      <w:r w:rsidR="00645171">
        <w:rPr>
          <w:sz w:val="22"/>
          <w:szCs w:val="22"/>
        </w:rPr>
        <w:t xml:space="preserve"> Skúsenosti u t</w:t>
      </w:r>
      <w:r w:rsidR="00A5752A">
        <w:rPr>
          <w:sz w:val="22"/>
          <w:szCs w:val="22"/>
        </w:rPr>
        <w:t>akýc</w:t>
      </w:r>
      <w:r w:rsidR="00645171">
        <w:rPr>
          <w:sz w:val="22"/>
          <w:szCs w:val="22"/>
        </w:rPr>
        <w:t xml:space="preserve">hto pacientov </w:t>
      </w:r>
      <w:r w:rsidR="00A5752A">
        <w:rPr>
          <w:sz w:val="22"/>
          <w:szCs w:val="22"/>
        </w:rPr>
        <w:t>sú obmedzené na</w:t>
      </w:r>
      <w:r w:rsidR="00645171">
        <w:rPr>
          <w:sz w:val="22"/>
          <w:szCs w:val="22"/>
        </w:rPr>
        <w:t> </w:t>
      </w:r>
      <w:r w:rsidR="00A5752A">
        <w:rPr>
          <w:sz w:val="22"/>
          <w:szCs w:val="22"/>
        </w:rPr>
        <w:t>cirh</w:t>
      </w:r>
      <w:r w:rsidR="0054101D">
        <w:rPr>
          <w:sz w:val="22"/>
          <w:szCs w:val="22"/>
        </w:rPr>
        <w:t>o</w:t>
      </w:r>
      <w:r w:rsidR="00A5752A">
        <w:rPr>
          <w:sz w:val="22"/>
          <w:szCs w:val="22"/>
        </w:rPr>
        <w:t xml:space="preserve">tických </w:t>
      </w:r>
      <w:r w:rsidR="00645171">
        <w:rPr>
          <w:sz w:val="22"/>
          <w:szCs w:val="22"/>
        </w:rPr>
        <w:t xml:space="preserve">pacientov </w:t>
      </w:r>
      <w:r w:rsidRPr="00B048EB">
        <w:rPr>
          <w:sz w:val="22"/>
          <w:szCs w:val="22"/>
        </w:rPr>
        <w:t xml:space="preserve">(pozri časti </w:t>
      </w:r>
      <w:r w:rsidRPr="00B048EB">
        <w:rPr>
          <w:iCs/>
          <w:sz w:val="22"/>
          <w:szCs w:val="22"/>
        </w:rPr>
        <w:t>4.3,</w:t>
      </w:r>
      <w:r w:rsidRPr="00B048EB">
        <w:rPr>
          <w:sz w:val="22"/>
          <w:szCs w:val="22"/>
        </w:rPr>
        <w:t xml:space="preserve"> </w:t>
      </w:r>
      <w:r w:rsidRPr="00B048EB">
        <w:rPr>
          <w:iCs/>
          <w:sz w:val="22"/>
          <w:szCs w:val="22"/>
        </w:rPr>
        <w:t xml:space="preserve">4.4 </w:t>
      </w:r>
      <w:r w:rsidRPr="00B048EB">
        <w:rPr>
          <w:sz w:val="22"/>
          <w:szCs w:val="22"/>
        </w:rPr>
        <w:t>a </w:t>
      </w:r>
      <w:r w:rsidRPr="00B048EB">
        <w:rPr>
          <w:iCs/>
          <w:sz w:val="22"/>
          <w:szCs w:val="22"/>
        </w:rPr>
        <w:t>5.2</w:t>
      </w:r>
      <w:r w:rsidRPr="00B048EB">
        <w:rPr>
          <w:sz w:val="22"/>
          <w:szCs w:val="22"/>
        </w:rPr>
        <w:t>).</w:t>
      </w:r>
    </w:p>
    <w:p w14:paraId="0E6E8625" w14:textId="77777777" w:rsidR="00FA71B4" w:rsidRPr="00B048EB" w:rsidRDefault="00FA71B4" w:rsidP="00F31FEF">
      <w:pPr>
        <w:tabs>
          <w:tab w:val="left" w:pos="567"/>
        </w:tabs>
        <w:rPr>
          <w:sz w:val="22"/>
          <w:szCs w:val="22"/>
        </w:rPr>
      </w:pPr>
    </w:p>
    <w:p w14:paraId="411CF815" w14:textId="77777777" w:rsidR="000F2C6E" w:rsidRPr="00645171" w:rsidRDefault="00FA71B4" w:rsidP="00F31FEF">
      <w:pPr>
        <w:pStyle w:val="Nadpis6"/>
        <w:numPr>
          <w:ilvl w:val="0"/>
          <w:numId w:val="0"/>
        </w:numPr>
        <w:tabs>
          <w:tab w:val="left" w:pos="567"/>
        </w:tabs>
        <w:jc w:val="left"/>
        <w:rPr>
          <w:rFonts w:ascii="Times New Roman" w:hAnsi="Times New Roman" w:cs="Times New Roman"/>
          <w:bCs w:val="0"/>
          <w:sz w:val="22"/>
          <w:szCs w:val="22"/>
          <w:u w:val="none"/>
        </w:rPr>
      </w:pPr>
      <w:r w:rsidRPr="00DE5A3E">
        <w:rPr>
          <w:rFonts w:ascii="Times New Roman" w:hAnsi="Times New Roman"/>
          <w:sz w:val="22"/>
          <w:u w:val="none"/>
        </w:rPr>
        <w:t>Po</w:t>
      </w:r>
      <w:r w:rsidR="000F2C6E" w:rsidRPr="00DE5A3E">
        <w:rPr>
          <w:rFonts w:ascii="Times New Roman" w:hAnsi="Times New Roman"/>
          <w:sz w:val="22"/>
          <w:u w:val="none"/>
        </w:rPr>
        <w:t>rucha</w:t>
      </w:r>
      <w:r w:rsidRPr="00DE5A3E">
        <w:rPr>
          <w:rFonts w:ascii="Times New Roman" w:hAnsi="Times New Roman"/>
          <w:sz w:val="22"/>
          <w:u w:val="none"/>
        </w:rPr>
        <w:t xml:space="preserve"> funkcie obličiek</w:t>
      </w:r>
    </w:p>
    <w:p w14:paraId="0F6611C7" w14:textId="5ECD627F" w:rsidR="00FA71B4" w:rsidRPr="00B048EB" w:rsidRDefault="00FA71B4" w:rsidP="004B560F">
      <w:pPr>
        <w:tabs>
          <w:tab w:val="left" w:pos="567"/>
        </w:tabs>
        <w:rPr>
          <w:sz w:val="22"/>
          <w:szCs w:val="22"/>
        </w:rPr>
      </w:pPr>
      <w:r w:rsidRPr="00E4745F">
        <w:rPr>
          <w:sz w:val="22"/>
          <w:szCs w:val="22"/>
        </w:rPr>
        <w:t>Skúsenosti s celekoxibom</w:t>
      </w:r>
      <w:r w:rsidRPr="004B560F">
        <w:rPr>
          <w:sz w:val="22"/>
          <w:szCs w:val="22"/>
        </w:rPr>
        <w:t xml:space="preserve"> </w:t>
      </w:r>
      <w:r w:rsidRPr="00E4745F">
        <w:rPr>
          <w:sz w:val="22"/>
          <w:szCs w:val="22"/>
        </w:rPr>
        <w:t>u pacientov s miern</w:t>
      </w:r>
      <w:r w:rsidR="00EA678A" w:rsidRPr="00E4745F">
        <w:rPr>
          <w:sz w:val="22"/>
          <w:szCs w:val="22"/>
        </w:rPr>
        <w:t>ou</w:t>
      </w:r>
      <w:r w:rsidRPr="00E4745F">
        <w:rPr>
          <w:sz w:val="22"/>
          <w:szCs w:val="22"/>
        </w:rPr>
        <w:t xml:space="preserve"> alebo stredne </w:t>
      </w:r>
      <w:r w:rsidR="00A5752A">
        <w:rPr>
          <w:sz w:val="22"/>
          <w:szCs w:val="22"/>
        </w:rPr>
        <w:t>závažnou</w:t>
      </w:r>
      <w:r w:rsidRPr="00E4745F">
        <w:rPr>
          <w:sz w:val="22"/>
          <w:szCs w:val="22"/>
        </w:rPr>
        <w:t xml:space="preserve"> </w:t>
      </w:r>
      <w:r w:rsidR="00763477" w:rsidRPr="00E4745F">
        <w:rPr>
          <w:sz w:val="22"/>
          <w:szCs w:val="22"/>
        </w:rPr>
        <w:t>poruchou</w:t>
      </w:r>
      <w:r w:rsidRPr="00E4745F">
        <w:rPr>
          <w:sz w:val="22"/>
          <w:szCs w:val="22"/>
        </w:rPr>
        <w:t xml:space="preserve"> funkcie obličiek sú obmedzené, preto musia byť títo pacienti liečení s opatrnosťou (pozri časti 4.3, 4.4</w:t>
      </w:r>
      <w:r w:rsidR="00731C93">
        <w:rPr>
          <w:sz w:val="22"/>
          <w:szCs w:val="22"/>
        </w:rPr>
        <w:t xml:space="preserve"> a </w:t>
      </w:r>
      <w:r w:rsidRPr="00E4745F">
        <w:rPr>
          <w:sz w:val="22"/>
          <w:szCs w:val="22"/>
        </w:rPr>
        <w:t>5.2).</w:t>
      </w:r>
    </w:p>
    <w:p w14:paraId="59C4B218" w14:textId="77777777" w:rsidR="000F2C6E" w:rsidRPr="00B048EB" w:rsidRDefault="000F2C6E" w:rsidP="00F31FEF">
      <w:pPr>
        <w:tabs>
          <w:tab w:val="left" w:pos="0"/>
        </w:tabs>
        <w:rPr>
          <w:sz w:val="22"/>
          <w:szCs w:val="22"/>
        </w:rPr>
      </w:pPr>
    </w:p>
    <w:p w14:paraId="69F12266" w14:textId="77777777" w:rsidR="000F2C6E" w:rsidRPr="00B048EB" w:rsidRDefault="000F2C6E" w:rsidP="00DE5A3E">
      <w:pPr>
        <w:keepNext/>
        <w:tabs>
          <w:tab w:val="left" w:pos="567"/>
        </w:tabs>
        <w:ind w:left="567" w:hanging="567"/>
        <w:rPr>
          <w:sz w:val="22"/>
          <w:szCs w:val="22"/>
          <w:u w:val="single"/>
        </w:rPr>
      </w:pPr>
      <w:r w:rsidRPr="00B048EB">
        <w:rPr>
          <w:sz w:val="22"/>
          <w:szCs w:val="22"/>
          <w:u w:val="single"/>
        </w:rPr>
        <w:t>Spôsob podávania</w:t>
      </w:r>
    </w:p>
    <w:p w14:paraId="62C1A188" w14:textId="77777777" w:rsidR="00DC6B8C" w:rsidRPr="00B048EB" w:rsidRDefault="00DC6B8C" w:rsidP="00DE5A3E">
      <w:pPr>
        <w:keepNext/>
        <w:tabs>
          <w:tab w:val="left" w:pos="567"/>
        </w:tabs>
        <w:ind w:left="567" w:hanging="567"/>
        <w:rPr>
          <w:sz w:val="22"/>
          <w:szCs w:val="22"/>
          <w:u w:val="single"/>
        </w:rPr>
      </w:pPr>
    </w:p>
    <w:p w14:paraId="395ECFA0" w14:textId="77777777" w:rsidR="00645171" w:rsidRPr="004B560F" w:rsidRDefault="00645171" w:rsidP="004B560F">
      <w:pPr>
        <w:keepNext/>
        <w:tabs>
          <w:tab w:val="left" w:pos="567"/>
        </w:tabs>
        <w:ind w:left="567" w:hanging="567"/>
        <w:rPr>
          <w:bCs/>
          <w:i/>
          <w:sz w:val="22"/>
          <w:szCs w:val="22"/>
        </w:rPr>
      </w:pPr>
      <w:r w:rsidRPr="004B560F">
        <w:rPr>
          <w:bCs/>
          <w:i/>
          <w:sz w:val="22"/>
          <w:szCs w:val="22"/>
        </w:rPr>
        <w:t>Perorálne použitie</w:t>
      </w:r>
    </w:p>
    <w:p w14:paraId="054FF236" w14:textId="77777777" w:rsidR="000F2C6E" w:rsidRPr="00B048EB" w:rsidRDefault="000F2C6E" w:rsidP="000F2C6E">
      <w:pPr>
        <w:tabs>
          <w:tab w:val="left" w:pos="567"/>
        </w:tabs>
        <w:ind w:left="567" w:hanging="567"/>
        <w:rPr>
          <w:sz w:val="22"/>
          <w:szCs w:val="22"/>
        </w:rPr>
      </w:pPr>
      <w:r w:rsidRPr="00B048EB">
        <w:rPr>
          <w:bCs/>
          <w:sz w:val="22"/>
          <w:szCs w:val="22"/>
        </w:rPr>
        <w:t>Celekoxib</w:t>
      </w:r>
      <w:r w:rsidRPr="00B048EB">
        <w:rPr>
          <w:b/>
          <w:sz w:val="22"/>
          <w:szCs w:val="22"/>
          <w:vertAlign w:val="superscript"/>
        </w:rPr>
        <w:t xml:space="preserve"> </w:t>
      </w:r>
      <w:r w:rsidRPr="00B048EB">
        <w:rPr>
          <w:sz w:val="22"/>
          <w:szCs w:val="22"/>
        </w:rPr>
        <w:t>sa môže užívať s jedlom alebo bez jedla.</w:t>
      </w:r>
    </w:p>
    <w:p w14:paraId="670BC739" w14:textId="4C6D1A6A" w:rsidR="00040386" w:rsidRPr="00B048EB" w:rsidRDefault="003F76B1" w:rsidP="00370DBB">
      <w:pPr>
        <w:rPr>
          <w:sz w:val="22"/>
          <w:szCs w:val="22"/>
        </w:rPr>
      </w:pPr>
      <w:r w:rsidRPr="00B048EB">
        <w:rPr>
          <w:sz w:val="22"/>
          <w:szCs w:val="22"/>
        </w:rPr>
        <w:t>Obsah kapsúl celekoxibu môže byť</w:t>
      </w:r>
      <w:r w:rsidR="00731C93">
        <w:rPr>
          <w:sz w:val="22"/>
          <w:szCs w:val="22"/>
        </w:rPr>
        <w:t xml:space="preserve"> u </w:t>
      </w:r>
      <w:r w:rsidRPr="00B048EB">
        <w:rPr>
          <w:sz w:val="22"/>
          <w:szCs w:val="22"/>
        </w:rPr>
        <w:t xml:space="preserve">pacientov, ktorí majú </w:t>
      </w:r>
      <w:r w:rsidR="001B6F7C">
        <w:rPr>
          <w:sz w:val="22"/>
          <w:szCs w:val="22"/>
        </w:rPr>
        <w:t>ťažkosti</w:t>
      </w:r>
      <w:r w:rsidR="00731C93">
        <w:rPr>
          <w:sz w:val="22"/>
          <w:szCs w:val="22"/>
        </w:rPr>
        <w:t xml:space="preserve"> s </w:t>
      </w:r>
      <w:r w:rsidRPr="00B048EB">
        <w:rPr>
          <w:sz w:val="22"/>
          <w:szCs w:val="22"/>
        </w:rPr>
        <w:t xml:space="preserve">prehĺtaním kapsúl pridaný do jablkového pyré, ryžovej kaše, jogurtu alebo banánovej kaše. Celý obsah kapsuly musí byť starostlivo vyprázdnený na lyžičku s jablkovým pyré, ryžovou kašou, jogurtom alebo banánovým pyré, ktoré </w:t>
      </w:r>
      <w:r w:rsidR="00C92DD9" w:rsidRPr="00B048EB">
        <w:rPr>
          <w:sz w:val="22"/>
          <w:szCs w:val="22"/>
        </w:rPr>
        <w:t>sú</w:t>
      </w:r>
      <w:r w:rsidRPr="00B048EB">
        <w:rPr>
          <w:sz w:val="22"/>
          <w:szCs w:val="22"/>
        </w:rPr>
        <w:t xml:space="preserve"> studené alebo </w:t>
      </w:r>
      <w:r w:rsidR="00C92DD9" w:rsidRPr="00B048EB">
        <w:rPr>
          <w:sz w:val="22"/>
          <w:szCs w:val="22"/>
        </w:rPr>
        <w:t>pri</w:t>
      </w:r>
      <w:r w:rsidRPr="00B048EB">
        <w:rPr>
          <w:sz w:val="22"/>
          <w:szCs w:val="22"/>
        </w:rPr>
        <w:t xml:space="preserve"> izbovej teplot</w:t>
      </w:r>
      <w:r w:rsidR="00C92DD9" w:rsidRPr="00B048EB">
        <w:rPr>
          <w:sz w:val="22"/>
          <w:szCs w:val="22"/>
        </w:rPr>
        <w:t>e</w:t>
      </w:r>
      <w:r w:rsidRPr="00B048EB">
        <w:rPr>
          <w:sz w:val="22"/>
          <w:szCs w:val="22"/>
        </w:rPr>
        <w:t>, a musí sa užiť ihneď s vodou. Obsah kapsuly vysypaný na jablkové pyré, ryžovú kašu alebo jogurt je v chladničke (pri 2</w:t>
      </w:r>
      <w:r w:rsidR="00A01D9C" w:rsidRPr="00B048EB">
        <w:rPr>
          <w:sz w:val="22"/>
          <w:szCs w:val="22"/>
        </w:rPr>
        <w:t xml:space="preserve"> – </w:t>
      </w:r>
      <w:r w:rsidRPr="00B048EB">
        <w:rPr>
          <w:sz w:val="22"/>
          <w:szCs w:val="22"/>
        </w:rPr>
        <w:t>8</w:t>
      </w:r>
      <w:r w:rsidR="00B048EB">
        <w:rPr>
          <w:sz w:val="22"/>
          <w:szCs w:val="22"/>
        </w:rPr>
        <w:t> </w:t>
      </w:r>
      <w:r w:rsidRPr="00B048EB">
        <w:rPr>
          <w:sz w:val="22"/>
          <w:szCs w:val="22"/>
        </w:rPr>
        <w:t>°C) stabilný po dobu šiestich hodín. Obsah kapsuly vysypaný na banánové pyré sa nesmie uskladniť v chladničke a musí sa užiť ihneď.</w:t>
      </w:r>
    </w:p>
    <w:p w14:paraId="49E6CC18" w14:textId="77777777" w:rsidR="00040386" w:rsidRPr="00B048EB" w:rsidRDefault="00040386" w:rsidP="000F2C6E">
      <w:pPr>
        <w:tabs>
          <w:tab w:val="left" w:pos="567"/>
        </w:tabs>
        <w:ind w:left="567" w:hanging="567"/>
        <w:rPr>
          <w:sz w:val="22"/>
          <w:szCs w:val="22"/>
        </w:rPr>
      </w:pPr>
    </w:p>
    <w:p w14:paraId="36308E42" w14:textId="4D6F04A9" w:rsidR="00FA71B4" w:rsidRPr="00B048EB" w:rsidRDefault="00FA71B4" w:rsidP="00DE5A3E">
      <w:pPr>
        <w:keepNext/>
        <w:tabs>
          <w:tab w:val="left" w:pos="567"/>
        </w:tabs>
        <w:ind w:left="567" w:hanging="567"/>
        <w:rPr>
          <w:b/>
          <w:sz w:val="22"/>
          <w:szCs w:val="22"/>
        </w:rPr>
      </w:pPr>
      <w:r w:rsidRPr="00B048EB">
        <w:rPr>
          <w:b/>
          <w:sz w:val="22"/>
          <w:szCs w:val="22"/>
        </w:rPr>
        <w:t>4.3</w:t>
      </w:r>
      <w:r w:rsidRPr="00B048EB">
        <w:rPr>
          <w:b/>
          <w:sz w:val="22"/>
          <w:szCs w:val="22"/>
        </w:rPr>
        <w:tab/>
        <w:t>Kontraindikácie</w:t>
      </w:r>
    </w:p>
    <w:p w14:paraId="7FCE5623" w14:textId="77777777" w:rsidR="00FA71B4" w:rsidRPr="00B048EB" w:rsidRDefault="00FA71B4" w:rsidP="00DE5A3E">
      <w:pPr>
        <w:keepNext/>
        <w:tabs>
          <w:tab w:val="left" w:pos="567"/>
        </w:tabs>
        <w:ind w:left="567" w:hanging="567"/>
        <w:rPr>
          <w:b/>
          <w:sz w:val="22"/>
          <w:szCs w:val="22"/>
        </w:rPr>
      </w:pPr>
    </w:p>
    <w:p w14:paraId="29CB6697" w14:textId="3939D73F" w:rsidR="00FA71B4" w:rsidRDefault="00FA71B4" w:rsidP="00DE5A3E">
      <w:pPr>
        <w:tabs>
          <w:tab w:val="left" w:pos="567"/>
        </w:tabs>
        <w:rPr>
          <w:sz w:val="22"/>
          <w:szCs w:val="22"/>
        </w:rPr>
      </w:pPr>
      <w:r w:rsidRPr="00B048EB">
        <w:rPr>
          <w:sz w:val="22"/>
          <w:szCs w:val="22"/>
        </w:rPr>
        <w:t>Precitlivenosť na liečivo alebo na ktorúkoľvek z pomocných látok uvedených</w:t>
      </w:r>
      <w:r w:rsidR="00731C93">
        <w:rPr>
          <w:sz w:val="22"/>
          <w:szCs w:val="22"/>
        </w:rPr>
        <w:t xml:space="preserve"> v </w:t>
      </w:r>
      <w:r w:rsidRPr="00B048EB">
        <w:rPr>
          <w:sz w:val="22"/>
          <w:szCs w:val="22"/>
        </w:rPr>
        <w:t xml:space="preserve">časti </w:t>
      </w:r>
      <w:r w:rsidRPr="00B048EB">
        <w:rPr>
          <w:iCs/>
          <w:sz w:val="22"/>
          <w:szCs w:val="22"/>
        </w:rPr>
        <w:t>6.1</w:t>
      </w:r>
      <w:r w:rsidRPr="00B048EB">
        <w:rPr>
          <w:sz w:val="22"/>
          <w:szCs w:val="22"/>
        </w:rPr>
        <w:t>.</w:t>
      </w:r>
    </w:p>
    <w:p w14:paraId="7B2B7BA7" w14:textId="77777777" w:rsidR="00F22E2D" w:rsidRDefault="00F22E2D" w:rsidP="004B560F">
      <w:pPr>
        <w:tabs>
          <w:tab w:val="left" w:pos="567"/>
        </w:tabs>
        <w:rPr>
          <w:sz w:val="22"/>
          <w:szCs w:val="22"/>
        </w:rPr>
      </w:pPr>
    </w:p>
    <w:p w14:paraId="4E33BCD7" w14:textId="77777777" w:rsidR="00FA71B4" w:rsidRPr="00B048EB" w:rsidRDefault="00FA71B4" w:rsidP="00DE5A3E">
      <w:pPr>
        <w:tabs>
          <w:tab w:val="left" w:pos="567"/>
        </w:tabs>
        <w:rPr>
          <w:sz w:val="22"/>
          <w:szCs w:val="22"/>
        </w:rPr>
      </w:pPr>
      <w:r w:rsidRPr="00B048EB">
        <w:rPr>
          <w:sz w:val="22"/>
          <w:szCs w:val="22"/>
        </w:rPr>
        <w:t>Známa precitlivenosť na sulf</w:t>
      </w:r>
      <w:r w:rsidR="008810D7" w:rsidRPr="00B048EB">
        <w:rPr>
          <w:sz w:val="22"/>
          <w:szCs w:val="22"/>
        </w:rPr>
        <w:t>ó</w:t>
      </w:r>
      <w:r w:rsidRPr="00B048EB">
        <w:rPr>
          <w:sz w:val="22"/>
          <w:szCs w:val="22"/>
        </w:rPr>
        <w:t>namidy.</w:t>
      </w:r>
    </w:p>
    <w:p w14:paraId="31E051A8" w14:textId="77777777" w:rsidR="00F22E2D" w:rsidRDefault="00F22E2D" w:rsidP="004B560F">
      <w:pPr>
        <w:tabs>
          <w:tab w:val="left" w:pos="567"/>
        </w:tabs>
        <w:rPr>
          <w:sz w:val="22"/>
          <w:szCs w:val="22"/>
        </w:rPr>
      </w:pPr>
    </w:p>
    <w:p w14:paraId="05A973CD" w14:textId="77777777" w:rsidR="00FA71B4" w:rsidRPr="00B048EB" w:rsidRDefault="00FA71B4" w:rsidP="00DE5A3E">
      <w:pPr>
        <w:tabs>
          <w:tab w:val="left" w:pos="567"/>
        </w:tabs>
        <w:rPr>
          <w:sz w:val="22"/>
          <w:szCs w:val="22"/>
        </w:rPr>
      </w:pPr>
      <w:r w:rsidRPr="00B048EB">
        <w:rPr>
          <w:sz w:val="22"/>
          <w:szCs w:val="22"/>
        </w:rPr>
        <w:t>Aktívny peptický vred alebo gastrointestinálne (GI) krvácanie.</w:t>
      </w:r>
    </w:p>
    <w:p w14:paraId="50CC23D0" w14:textId="77777777" w:rsidR="00F22E2D" w:rsidRDefault="00F22E2D" w:rsidP="004B560F">
      <w:pPr>
        <w:tabs>
          <w:tab w:val="left" w:pos="0"/>
          <w:tab w:val="left" w:pos="567"/>
        </w:tabs>
        <w:rPr>
          <w:sz w:val="22"/>
          <w:szCs w:val="22"/>
        </w:rPr>
      </w:pPr>
    </w:p>
    <w:p w14:paraId="4286C013" w14:textId="69C04630" w:rsidR="00F22E2D" w:rsidRDefault="00FA71B4" w:rsidP="00DE5A3E">
      <w:pPr>
        <w:tabs>
          <w:tab w:val="left" w:pos="0"/>
          <w:tab w:val="left" w:pos="567"/>
        </w:tabs>
        <w:rPr>
          <w:sz w:val="22"/>
          <w:szCs w:val="22"/>
        </w:rPr>
      </w:pPr>
      <w:r w:rsidRPr="00B048EB">
        <w:rPr>
          <w:sz w:val="22"/>
          <w:szCs w:val="22"/>
        </w:rPr>
        <w:lastRenderedPageBreak/>
        <w:t>Pacienti, u ktorých sa vyskytla astma, akútna rinitída, nosové polypy, angioneurotický edém, urtikária alebo iné reakcie podobné alergii po podaní kyseliny acetylsalicylovej</w:t>
      </w:r>
      <w:r w:rsidR="00645171">
        <w:rPr>
          <w:sz w:val="22"/>
          <w:szCs w:val="22"/>
        </w:rPr>
        <w:t xml:space="preserve"> (</w:t>
      </w:r>
      <w:r w:rsidR="001735C5">
        <w:rPr>
          <w:sz w:val="22"/>
          <w:szCs w:val="22"/>
        </w:rPr>
        <w:t>aspirínu</w:t>
      </w:r>
      <w:r w:rsidR="00645171">
        <w:rPr>
          <w:sz w:val="22"/>
          <w:szCs w:val="22"/>
        </w:rPr>
        <w:t>)</w:t>
      </w:r>
      <w:r w:rsidRPr="00B048EB">
        <w:rPr>
          <w:sz w:val="22"/>
          <w:szCs w:val="22"/>
        </w:rPr>
        <w:t xml:space="preserve"> alebo </w:t>
      </w:r>
      <w:r w:rsidR="00F22E2D">
        <w:rPr>
          <w:sz w:val="22"/>
          <w:szCs w:val="22"/>
        </w:rPr>
        <w:t>iných</w:t>
      </w:r>
      <w:r w:rsidR="00F22E2D" w:rsidRPr="00B048EB">
        <w:rPr>
          <w:sz w:val="22"/>
          <w:szCs w:val="22"/>
        </w:rPr>
        <w:t xml:space="preserve"> </w:t>
      </w:r>
      <w:r w:rsidRPr="00B048EB">
        <w:rPr>
          <w:sz w:val="22"/>
          <w:szCs w:val="22"/>
        </w:rPr>
        <w:t>nesteroid</w:t>
      </w:r>
      <w:r w:rsidR="0054412B">
        <w:rPr>
          <w:sz w:val="22"/>
          <w:szCs w:val="22"/>
        </w:rPr>
        <w:t>ových</w:t>
      </w:r>
      <w:r w:rsidRPr="00B048EB">
        <w:rPr>
          <w:sz w:val="22"/>
          <w:szCs w:val="22"/>
        </w:rPr>
        <w:t xml:space="preserve"> antiflogistík (NSAID) vrátane inhibítorov cyklooxygenázy</w:t>
      </w:r>
      <w:r w:rsidRPr="00B048EB">
        <w:rPr>
          <w:sz w:val="22"/>
          <w:szCs w:val="22"/>
        </w:rPr>
        <w:noBreakHyphen/>
        <w:t>2</w:t>
      </w:r>
      <w:r w:rsidR="00C4074B" w:rsidRPr="00B048EB">
        <w:rPr>
          <w:sz w:val="22"/>
          <w:szCs w:val="22"/>
        </w:rPr>
        <w:t xml:space="preserve"> (COX-2</w:t>
      </w:r>
      <w:r w:rsidRPr="00B048EB">
        <w:rPr>
          <w:sz w:val="22"/>
          <w:szCs w:val="22"/>
        </w:rPr>
        <w:t>).</w:t>
      </w:r>
    </w:p>
    <w:p w14:paraId="468366C1" w14:textId="76544F53" w:rsidR="00FA71B4" w:rsidRPr="00B048EB" w:rsidRDefault="00FA71B4" w:rsidP="004B560F">
      <w:pPr>
        <w:tabs>
          <w:tab w:val="left" w:pos="0"/>
          <w:tab w:val="left" w:pos="567"/>
        </w:tabs>
        <w:rPr>
          <w:sz w:val="22"/>
          <w:szCs w:val="22"/>
        </w:rPr>
      </w:pPr>
    </w:p>
    <w:p w14:paraId="3A09C963" w14:textId="247D7E3D" w:rsidR="00FA71B4" w:rsidRDefault="00FA71B4" w:rsidP="00DE5A3E">
      <w:pPr>
        <w:tabs>
          <w:tab w:val="left" w:pos="567"/>
        </w:tabs>
        <w:rPr>
          <w:sz w:val="22"/>
          <w:szCs w:val="22"/>
        </w:rPr>
      </w:pPr>
      <w:r w:rsidRPr="00B048EB">
        <w:rPr>
          <w:sz w:val="22"/>
          <w:szCs w:val="22"/>
        </w:rPr>
        <w:t>V gravidite a u žien vo fertilnom veku, ak nepoužívajú účinnú antikoncepčnú metódu (pozri čas</w:t>
      </w:r>
      <w:r w:rsidR="001735C5">
        <w:rPr>
          <w:sz w:val="22"/>
          <w:szCs w:val="22"/>
        </w:rPr>
        <w:t xml:space="preserve">ť </w:t>
      </w:r>
      <w:r w:rsidRPr="00B048EB">
        <w:rPr>
          <w:sz w:val="22"/>
          <w:szCs w:val="22"/>
        </w:rPr>
        <w:t>4.</w:t>
      </w:r>
      <w:r w:rsidR="00527875">
        <w:rPr>
          <w:sz w:val="22"/>
          <w:szCs w:val="22"/>
        </w:rPr>
        <w:t>6</w:t>
      </w:r>
      <w:r w:rsidRPr="00B048EB">
        <w:rPr>
          <w:sz w:val="22"/>
          <w:szCs w:val="22"/>
        </w:rPr>
        <w:t>). Ukázalo sa, že celekoxib spôsobil malformácie u dvoch študovaných druhov zvierat (pozri časti 4.6</w:t>
      </w:r>
      <w:r w:rsidR="001655CE" w:rsidRPr="00B048EB">
        <w:rPr>
          <w:sz w:val="22"/>
          <w:szCs w:val="22"/>
        </w:rPr>
        <w:t xml:space="preserve"> </w:t>
      </w:r>
      <w:r w:rsidRPr="00B048EB">
        <w:rPr>
          <w:sz w:val="22"/>
          <w:szCs w:val="22"/>
        </w:rPr>
        <w:t>a 5.3). Nie je známe potenciálne riziko v gravidite</w:t>
      </w:r>
      <w:r w:rsidR="00731C93">
        <w:rPr>
          <w:sz w:val="22"/>
          <w:szCs w:val="22"/>
        </w:rPr>
        <w:t xml:space="preserve"> u </w:t>
      </w:r>
      <w:r w:rsidR="008810D7" w:rsidRPr="00B048EB">
        <w:rPr>
          <w:sz w:val="22"/>
          <w:szCs w:val="22"/>
        </w:rPr>
        <w:t>žien</w:t>
      </w:r>
      <w:r w:rsidRPr="00B048EB">
        <w:rPr>
          <w:sz w:val="22"/>
          <w:szCs w:val="22"/>
        </w:rPr>
        <w:t>, ale nemožno ho vylúčiť.</w:t>
      </w:r>
    </w:p>
    <w:p w14:paraId="247FBB8D" w14:textId="77777777" w:rsidR="00F22E2D" w:rsidRPr="00B048EB" w:rsidRDefault="00F22E2D" w:rsidP="004B560F">
      <w:pPr>
        <w:tabs>
          <w:tab w:val="left" w:pos="567"/>
        </w:tabs>
        <w:rPr>
          <w:sz w:val="22"/>
          <w:szCs w:val="22"/>
        </w:rPr>
      </w:pPr>
    </w:p>
    <w:p w14:paraId="534AC8DE" w14:textId="77777777" w:rsidR="00FA71B4" w:rsidRPr="00B048EB" w:rsidRDefault="00FA71B4" w:rsidP="00DE5A3E">
      <w:pPr>
        <w:tabs>
          <w:tab w:val="left" w:pos="567"/>
        </w:tabs>
        <w:rPr>
          <w:sz w:val="22"/>
          <w:szCs w:val="22"/>
        </w:rPr>
      </w:pPr>
      <w:r w:rsidRPr="00B048EB">
        <w:rPr>
          <w:sz w:val="22"/>
          <w:szCs w:val="22"/>
        </w:rPr>
        <w:t>Dojčenie (pozri časti 4.6</w:t>
      </w:r>
      <w:r w:rsidR="001655CE" w:rsidRPr="00B048EB">
        <w:rPr>
          <w:sz w:val="22"/>
          <w:szCs w:val="22"/>
        </w:rPr>
        <w:t xml:space="preserve"> </w:t>
      </w:r>
      <w:r w:rsidRPr="00B048EB">
        <w:rPr>
          <w:sz w:val="22"/>
          <w:szCs w:val="22"/>
        </w:rPr>
        <w:t>a 5.3).</w:t>
      </w:r>
    </w:p>
    <w:p w14:paraId="7708D2C6" w14:textId="7D60A739" w:rsidR="00F22E2D" w:rsidRDefault="00F22E2D" w:rsidP="004B560F">
      <w:pPr>
        <w:tabs>
          <w:tab w:val="left" w:pos="567"/>
        </w:tabs>
        <w:rPr>
          <w:sz w:val="22"/>
          <w:szCs w:val="22"/>
        </w:rPr>
      </w:pPr>
    </w:p>
    <w:p w14:paraId="288AE5E0" w14:textId="77777777" w:rsidR="00FA71B4" w:rsidRPr="00B048EB" w:rsidRDefault="001735C5" w:rsidP="00DE5A3E">
      <w:pPr>
        <w:tabs>
          <w:tab w:val="left" w:pos="567"/>
        </w:tabs>
        <w:rPr>
          <w:sz w:val="22"/>
          <w:szCs w:val="22"/>
        </w:rPr>
      </w:pPr>
      <w:r>
        <w:rPr>
          <w:sz w:val="22"/>
          <w:szCs w:val="22"/>
        </w:rPr>
        <w:t>Závažná</w:t>
      </w:r>
      <w:r w:rsidR="00FA71B4" w:rsidRPr="00B048EB">
        <w:rPr>
          <w:sz w:val="22"/>
          <w:szCs w:val="22"/>
        </w:rPr>
        <w:t xml:space="preserve"> porucha funkcie pečene (sérový albumín &lt;</w:t>
      </w:r>
      <w:r w:rsidR="000F2C6E" w:rsidRPr="00B048EB">
        <w:rPr>
          <w:sz w:val="22"/>
          <w:szCs w:val="22"/>
        </w:rPr>
        <w:t xml:space="preserve"> </w:t>
      </w:r>
      <w:r w:rsidR="00FA71B4" w:rsidRPr="00B048EB">
        <w:rPr>
          <w:sz w:val="22"/>
          <w:szCs w:val="22"/>
        </w:rPr>
        <w:t>25 g/l alebo Childovo-Pughovo skóre ≥</w:t>
      </w:r>
      <w:r w:rsidR="000F2C6E" w:rsidRPr="00B048EB">
        <w:rPr>
          <w:sz w:val="22"/>
          <w:szCs w:val="22"/>
        </w:rPr>
        <w:t xml:space="preserve"> </w:t>
      </w:r>
      <w:r w:rsidR="00FA71B4" w:rsidRPr="00B048EB">
        <w:rPr>
          <w:sz w:val="22"/>
          <w:szCs w:val="22"/>
        </w:rPr>
        <w:t>10).</w:t>
      </w:r>
    </w:p>
    <w:p w14:paraId="73A1843C" w14:textId="77777777" w:rsidR="00F22E2D" w:rsidRDefault="00F22E2D" w:rsidP="004B560F">
      <w:pPr>
        <w:tabs>
          <w:tab w:val="left" w:pos="0"/>
          <w:tab w:val="left" w:pos="567"/>
        </w:tabs>
        <w:rPr>
          <w:sz w:val="22"/>
          <w:szCs w:val="22"/>
        </w:rPr>
      </w:pPr>
    </w:p>
    <w:p w14:paraId="165AE50A" w14:textId="7BB8C1CF" w:rsidR="00FA71B4" w:rsidRPr="00B048EB" w:rsidRDefault="00FA71B4" w:rsidP="00DE5A3E">
      <w:pPr>
        <w:tabs>
          <w:tab w:val="left" w:pos="0"/>
          <w:tab w:val="left" w:pos="567"/>
        </w:tabs>
        <w:rPr>
          <w:sz w:val="22"/>
          <w:szCs w:val="22"/>
        </w:rPr>
      </w:pPr>
      <w:r w:rsidRPr="00B048EB">
        <w:rPr>
          <w:sz w:val="22"/>
          <w:szCs w:val="22"/>
        </w:rPr>
        <w:t>Pacienti s odhadovaným klírensom kreatinínu &lt;</w:t>
      </w:r>
      <w:r w:rsidR="000F2C6E" w:rsidRPr="00B048EB">
        <w:rPr>
          <w:sz w:val="22"/>
          <w:szCs w:val="22"/>
        </w:rPr>
        <w:t xml:space="preserve"> </w:t>
      </w:r>
      <w:r w:rsidRPr="00B048EB">
        <w:rPr>
          <w:sz w:val="22"/>
          <w:szCs w:val="22"/>
        </w:rPr>
        <w:t>30 ml/min.</w:t>
      </w:r>
    </w:p>
    <w:p w14:paraId="38117232" w14:textId="77777777" w:rsidR="00F22E2D" w:rsidRDefault="00F22E2D" w:rsidP="004B560F">
      <w:pPr>
        <w:tabs>
          <w:tab w:val="left" w:pos="0"/>
          <w:tab w:val="left" w:pos="567"/>
        </w:tabs>
        <w:rPr>
          <w:sz w:val="22"/>
          <w:szCs w:val="22"/>
        </w:rPr>
      </w:pPr>
    </w:p>
    <w:p w14:paraId="1056BF89" w14:textId="77777777" w:rsidR="00FA71B4" w:rsidRPr="00B048EB" w:rsidRDefault="00FA71B4" w:rsidP="00DE5A3E">
      <w:pPr>
        <w:tabs>
          <w:tab w:val="left" w:pos="0"/>
          <w:tab w:val="left" w:pos="567"/>
        </w:tabs>
        <w:rPr>
          <w:sz w:val="22"/>
          <w:szCs w:val="22"/>
        </w:rPr>
      </w:pPr>
      <w:r w:rsidRPr="00B048EB">
        <w:rPr>
          <w:sz w:val="22"/>
          <w:szCs w:val="22"/>
        </w:rPr>
        <w:t>Zápalové ochorenie čriev.</w:t>
      </w:r>
    </w:p>
    <w:p w14:paraId="6AFE964D" w14:textId="77777777" w:rsidR="00F22E2D" w:rsidRDefault="00F22E2D" w:rsidP="004B560F">
      <w:pPr>
        <w:tabs>
          <w:tab w:val="left" w:pos="567"/>
        </w:tabs>
        <w:rPr>
          <w:sz w:val="22"/>
          <w:szCs w:val="22"/>
        </w:rPr>
      </w:pPr>
    </w:p>
    <w:p w14:paraId="43D8F644" w14:textId="77777777" w:rsidR="00FA71B4" w:rsidRDefault="00FA71B4" w:rsidP="00DE5A3E">
      <w:pPr>
        <w:tabs>
          <w:tab w:val="left" w:pos="567"/>
        </w:tabs>
        <w:rPr>
          <w:sz w:val="22"/>
          <w:szCs w:val="22"/>
        </w:rPr>
      </w:pPr>
      <w:r w:rsidRPr="00B048EB">
        <w:rPr>
          <w:sz w:val="22"/>
          <w:szCs w:val="22"/>
        </w:rPr>
        <w:t>Kongestívne srdcové zlyhávanie (NYHA II-IV).</w:t>
      </w:r>
    </w:p>
    <w:p w14:paraId="756C76ED" w14:textId="77777777" w:rsidR="00F22E2D" w:rsidRDefault="00F22E2D" w:rsidP="004B560F">
      <w:pPr>
        <w:tabs>
          <w:tab w:val="left" w:pos="567"/>
        </w:tabs>
        <w:rPr>
          <w:sz w:val="22"/>
          <w:szCs w:val="22"/>
        </w:rPr>
      </w:pPr>
    </w:p>
    <w:p w14:paraId="5D1B5556" w14:textId="77777777" w:rsidR="00527875" w:rsidRDefault="00527875" w:rsidP="00DE5A3E">
      <w:pPr>
        <w:tabs>
          <w:tab w:val="left" w:pos="567"/>
        </w:tabs>
        <w:rPr>
          <w:sz w:val="22"/>
          <w:szCs w:val="22"/>
        </w:rPr>
      </w:pPr>
      <w:r w:rsidRPr="00527875">
        <w:rPr>
          <w:sz w:val="22"/>
          <w:szCs w:val="22"/>
        </w:rPr>
        <w:t>Potvrdená ischemická choroba srdca, ochorenie periférnych artérií a/alebo cerebrovaskulárne ochorenie.</w:t>
      </w:r>
    </w:p>
    <w:p w14:paraId="7CA5AC2A" w14:textId="77777777" w:rsidR="00527875" w:rsidRDefault="00527875" w:rsidP="00DE5A3E">
      <w:pPr>
        <w:tabs>
          <w:tab w:val="left" w:pos="567"/>
        </w:tabs>
        <w:rPr>
          <w:sz w:val="22"/>
          <w:szCs w:val="22"/>
        </w:rPr>
      </w:pPr>
    </w:p>
    <w:p w14:paraId="7ACAC4FC" w14:textId="77777777" w:rsidR="00FA71B4" w:rsidRPr="00B048EB" w:rsidRDefault="00FA71B4" w:rsidP="00DE5A3E">
      <w:pPr>
        <w:keepNext/>
        <w:tabs>
          <w:tab w:val="left" w:pos="567"/>
        </w:tabs>
        <w:ind w:left="567" w:hanging="567"/>
        <w:rPr>
          <w:b/>
          <w:sz w:val="22"/>
          <w:szCs w:val="22"/>
        </w:rPr>
      </w:pPr>
      <w:r w:rsidRPr="00B048EB">
        <w:rPr>
          <w:b/>
          <w:sz w:val="22"/>
          <w:szCs w:val="22"/>
        </w:rPr>
        <w:t>4.4</w:t>
      </w:r>
      <w:r w:rsidRPr="00B048EB">
        <w:rPr>
          <w:b/>
          <w:sz w:val="22"/>
          <w:szCs w:val="22"/>
        </w:rPr>
        <w:tab/>
        <w:t>Osobitné upozornenia a opatrenia pri používaní</w:t>
      </w:r>
    </w:p>
    <w:p w14:paraId="4FF3EFF5" w14:textId="77777777" w:rsidR="00FA71B4" w:rsidRPr="00B048EB" w:rsidRDefault="00FA71B4" w:rsidP="00DE5A3E">
      <w:pPr>
        <w:keepNext/>
        <w:tabs>
          <w:tab w:val="left" w:pos="567"/>
        </w:tabs>
        <w:ind w:left="567" w:hanging="567"/>
        <w:rPr>
          <w:sz w:val="22"/>
          <w:szCs w:val="22"/>
        </w:rPr>
      </w:pPr>
    </w:p>
    <w:p w14:paraId="5C495FF2" w14:textId="77777777" w:rsidR="004F5A74" w:rsidRPr="00B048EB" w:rsidRDefault="004F5A74" w:rsidP="00DE5A3E">
      <w:pPr>
        <w:keepNext/>
        <w:tabs>
          <w:tab w:val="left" w:pos="567"/>
        </w:tabs>
        <w:ind w:left="567" w:hanging="567"/>
        <w:rPr>
          <w:sz w:val="22"/>
          <w:szCs w:val="22"/>
          <w:u w:val="single"/>
        </w:rPr>
      </w:pPr>
      <w:r w:rsidRPr="00B048EB">
        <w:rPr>
          <w:sz w:val="22"/>
          <w:szCs w:val="22"/>
          <w:u w:val="single"/>
        </w:rPr>
        <w:t>Účinky na gastrointestinálny</w:t>
      </w:r>
      <w:r w:rsidR="004737D1" w:rsidRPr="00B048EB">
        <w:rPr>
          <w:sz w:val="22"/>
          <w:szCs w:val="22"/>
          <w:u w:val="single"/>
        </w:rPr>
        <w:t xml:space="preserve"> (GI)</w:t>
      </w:r>
      <w:r w:rsidRPr="00B048EB">
        <w:rPr>
          <w:sz w:val="22"/>
          <w:szCs w:val="22"/>
          <w:u w:val="single"/>
        </w:rPr>
        <w:t xml:space="preserve"> trakt</w:t>
      </w:r>
    </w:p>
    <w:p w14:paraId="05F2ADDF" w14:textId="64D6E44F" w:rsidR="00FA71B4" w:rsidRPr="00B048EB" w:rsidRDefault="00FA71B4" w:rsidP="00934323">
      <w:pPr>
        <w:tabs>
          <w:tab w:val="left" w:pos="567"/>
          <w:tab w:val="left" w:pos="7920"/>
        </w:tabs>
        <w:rPr>
          <w:sz w:val="22"/>
          <w:szCs w:val="22"/>
        </w:rPr>
      </w:pPr>
      <w:r w:rsidRPr="00B048EB">
        <w:rPr>
          <w:sz w:val="22"/>
          <w:szCs w:val="22"/>
        </w:rPr>
        <w:t>U pacientov liečených celekoxibom sa vyskytli komplikácie v hornej</w:t>
      </w:r>
      <w:r w:rsidR="00731C93">
        <w:rPr>
          <w:sz w:val="22"/>
          <w:szCs w:val="22"/>
        </w:rPr>
        <w:t xml:space="preserve"> a </w:t>
      </w:r>
      <w:r w:rsidR="004F5A74" w:rsidRPr="00B048EB">
        <w:rPr>
          <w:sz w:val="22"/>
          <w:szCs w:val="22"/>
        </w:rPr>
        <w:t xml:space="preserve">dolnej </w:t>
      </w:r>
      <w:r w:rsidRPr="00B048EB">
        <w:rPr>
          <w:sz w:val="22"/>
          <w:szCs w:val="22"/>
        </w:rPr>
        <w:t xml:space="preserve">časti </w:t>
      </w:r>
      <w:r w:rsidR="004737D1" w:rsidRPr="00B048EB">
        <w:rPr>
          <w:sz w:val="22"/>
          <w:szCs w:val="22"/>
        </w:rPr>
        <w:t xml:space="preserve">GI </w:t>
      </w:r>
      <w:r w:rsidRPr="00B048EB">
        <w:rPr>
          <w:sz w:val="22"/>
          <w:szCs w:val="22"/>
        </w:rPr>
        <w:t xml:space="preserve">traktu </w:t>
      </w:r>
      <w:r w:rsidR="00C04604">
        <w:rPr>
          <w:sz w:val="22"/>
          <w:szCs w:val="22"/>
        </w:rPr>
        <w:t>(</w:t>
      </w:r>
      <w:r w:rsidRPr="00B048EB">
        <w:rPr>
          <w:sz w:val="22"/>
          <w:szCs w:val="22"/>
        </w:rPr>
        <w:t xml:space="preserve">perforácie, vredy alebo krvácanie </w:t>
      </w:r>
      <w:r w:rsidR="00C04604" w:rsidRPr="00B048EB">
        <w:rPr>
          <w:sz w:val="22"/>
          <w:szCs w:val="22"/>
        </w:rPr>
        <w:t>[</w:t>
      </w:r>
      <w:r w:rsidR="00F22E2D">
        <w:rPr>
          <w:sz w:val="22"/>
          <w:szCs w:val="22"/>
        </w:rPr>
        <w:t>perforations, ulcers,</w:t>
      </w:r>
      <w:r w:rsidR="00F22E2D" w:rsidRPr="00F22E2D">
        <w:rPr>
          <w:sz w:val="22"/>
          <w:szCs w:val="22"/>
        </w:rPr>
        <w:t xml:space="preserve"> bleedings </w:t>
      </w:r>
      <w:r w:rsidR="00F22E2D">
        <w:rPr>
          <w:sz w:val="22"/>
          <w:szCs w:val="22"/>
        </w:rPr>
        <w:t xml:space="preserve">- </w:t>
      </w:r>
      <w:r w:rsidRPr="00B048EB">
        <w:rPr>
          <w:sz w:val="22"/>
          <w:szCs w:val="22"/>
        </w:rPr>
        <w:t>PUB]</w:t>
      </w:r>
      <w:r w:rsidR="00C04604">
        <w:rPr>
          <w:sz w:val="22"/>
          <w:szCs w:val="22"/>
        </w:rPr>
        <w:t>)</w:t>
      </w:r>
      <w:r w:rsidRPr="00B048EB">
        <w:rPr>
          <w:sz w:val="22"/>
          <w:szCs w:val="22"/>
        </w:rPr>
        <w:t xml:space="preserve">, niektoré z nich </w:t>
      </w:r>
      <w:r w:rsidR="001735C5">
        <w:rPr>
          <w:sz w:val="22"/>
          <w:szCs w:val="22"/>
        </w:rPr>
        <w:t>vedúce k úmrtiu</w:t>
      </w:r>
      <w:r w:rsidRPr="00B048EB">
        <w:rPr>
          <w:sz w:val="22"/>
          <w:szCs w:val="22"/>
        </w:rPr>
        <w:t>. Opatrnosť sa odporúča pri liečbe pacientov s vysokým rizikom vývoja gastrointestinálnych komplikácií pri NSAID: u starších ľudí,</w:t>
      </w:r>
      <w:r w:rsidR="00D44A8A" w:rsidRPr="00B048EB">
        <w:rPr>
          <w:sz w:val="22"/>
          <w:szCs w:val="22"/>
        </w:rPr>
        <w:t xml:space="preserve"> </w:t>
      </w:r>
      <w:r w:rsidR="00F22E2D">
        <w:rPr>
          <w:sz w:val="22"/>
          <w:szCs w:val="22"/>
        </w:rPr>
        <w:t xml:space="preserve">u </w:t>
      </w:r>
      <w:r w:rsidRPr="00B048EB">
        <w:rPr>
          <w:sz w:val="22"/>
          <w:szCs w:val="22"/>
        </w:rPr>
        <w:t xml:space="preserve">pacientov užívajúcich </w:t>
      </w:r>
      <w:r w:rsidR="001F5C55" w:rsidRPr="00B048EB">
        <w:rPr>
          <w:sz w:val="22"/>
          <w:szCs w:val="22"/>
        </w:rPr>
        <w:t>súbežne</w:t>
      </w:r>
      <w:r w:rsidRPr="00B048EB">
        <w:rPr>
          <w:sz w:val="22"/>
          <w:szCs w:val="22"/>
        </w:rPr>
        <w:t xml:space="preserve"> akékoľvek iné NSAID</w:t>
      </w:r>
      <w:r w:rsidR="001735C5">
        <w:rPr>
          <w:sz w:val="22"/>
          <w:szCs w:val="22"/>
        </w:rPr>
        <w:t xml:space="preserve"> alebo </w:t>
      </w:r>
      <w:r w:rsidR="004B560F" w:rsidRPr="004B560F">
        <w:rPr>
          <w:sz w:val="22"/>
          <w:szCs w:val="22"/>
        </w:rPr>
        <w:t xml:space="preserve">antiagreganciá </w:t>
      </w:r>
      <w:r w:rsidR="004B560F">
        <w:rPr>
          <w:sz w:val="22"/>
          <w:szCs w:val="22"/>
        </w:rPr>
        <w:t xml:space="preserve">(ako je </w:t>
      </w:r>
      <w:r w:rsidRPr="00B048EB">
        <w:rPr>
          <w:sz w:val="22"/>
          <w:szCs w:val="22"/>
        </w:rPr>
        <w:t>kyselin</w:t>
      </w:r>
      <w:r w:rsidR="004B560F">
        <w:rPr>
          <w:sz w:val="22"/>
          <w:szCs w:val="22"/>
        </w:rPr>
        <w:t>a</w:t>
      </w:r>
      <w:r w:rsidRPr="00B048EB">
        <w:rPr>
          <w:sz w:val="22"/>
          <w:szCs w:val="22"/>
        </w:rPr>
        <w:t xml:space="preserve"> acetylsalicylov</w:t>
      </w:r>
      <w:r w:rsidR="004B560F">
        <w:rPr>
          <w:sz w:val="22"/>
          <w:szCs w:val="22"/>
        </w:rPr>
        <w:t>á)</w:t>
      </w:r>
      <w:r w:rsidR="0093764C" w:rsidRPr="00B048EB">
        <w:rPr>
          <w:sz w:val="22"/>
          <w:szCs w:val="22"/>
        </w:rPr>
        <w:t xml:space="preserve"> </w:t>
      </w:r>
      <w:r w:rsidR="006D73EF" w:rsidRPr="00B048EB">
        <w:rPr>
          <w:sz w:val="22"/>
          <w:szCs w:val="22"/>
        </w:rPr>
        <w:t>alebo</w:t>
      </w:r>
      <w:r w:rsidR="004F5A74" w:rsidRPr="00B048EB">
        <w:rPr>
          <w:sz w:val="22"/>
          <w:szCs w:val="22"/>
        </w:rPr>
        <w:t xml:space="preserve"> glukokortikoidy</w:t>
      </w:r>
      <w:r w:rsidR="00D44A8A" w:rsidRPr="00B048EB">
        <w:rPr>
          <w:sz w:val="22"/>
          <w:szCs w:val="22"/>
        </w:rPr>
        <w:t>,</w:t>
      </w:r>
      <w:r w:rsidR="00731C93">
        <w:rPr>
          <w:sz w:val="22"/>
          <w:szCs w:val="22"/>
        </w:rPr>
        <w:t xml:space="preserve"> u </w:t>
      </w:r>
      <w:r w:rsidR="0093764C" w:rsidRPr="00B048EB">
        <w:rPr>
          <w:sz w:val="22"/>
          <w:szCs w:val="22"/>
        </w:rPr>
        <w:t xml:space="preserve">pacientov </w:t>
      </w:r>
      <w:r w:rsidR="00F22E2D">
        <w:rPr>
          <w:sz w:val="22"/>
          <w:szCs w:val="22"/>
        </w:rPr>
        <w:t>konzumujúcich</w:t>
      </w:r>
      <w:r w:rsidR="00F22E2D" w:rsidRPr="00B048EB">
        <w:rPr>
          <w:sz w:val="22"/>
          <w:szCs w:val="22"/>
        </w:rPr>
        <w:t xml:space="preserve"> </w:t>
      </w:r>
      <w:r w:rsidR="004F5A74" w:rsidRPr="00B048EB">
        <w:rPr>
          <w:sz w:val="22"/>
          <w:szCs w:val="22"/>
        </w:rPr>
        <w:t>alkohol</w:t>
      </w:r>
      <w:r w:rsidRPr="00B048EB">
        <w:rPr>
          <w:sz w:val="22"/>
          <w:szCs w:val="22"/>
        </w:rPr>
        <w:t xml:space="preserve"> alebo u pacientov s</w:t>
      </w:r>
      <w:r w:rsidR="00D44A8A" w:rsidRPr="00B048EB">
        <w:rPr>
          <w:sz w:val="22"/>
          <w:szCs w:val="22"/>
        </w:rPr>
        <w:t>o súčasným alebo</w:t>
      </w:r>
      <w:r w:rsidRPr="00B048EB">
        <w:rPr>
          <w:sz w:val="22"/>
          <w:szCs w:val="22"/>
        </w:rPr>
        <w:t xml:space="preserve"> predošlým </w:t>
      </w:r>
      <w:r w:rsidR="004737D1" w:rsidRPr="00B048EB">
        <w:rPr>
          <w:sz w:val="22"/>
          <w:szCs w:val="22"/>
        </w:rPr>
        <w:t xml:space="preserve">GI </w:t>
      </w:r>
      <w:r w:rsidRPr="00B048EB">
        <w:rPr>
          <w:sz w:val="22"/>
          <w:szCs w:val="22"/>
        </w:rPr>
        <w:t>ochorením</w:t>
      </w:r>
      <w:r w:rsidR="00731C93">
        <w:rPr>
          <w:sz w:val="22"/>
          <w:szCs w:val="22"/>
        </w:rPr>
        <w:t xml:space="preserve"> v </w:t>
      </w:r>
      <w:r w:rsidRPr="00B048EB">
        <w:rPr>
          <w:sz w:val="22"/>
          <w:szCs w:val="22"/>
        </w:rPr>
        <w:t>anamnéze, ako je vred</w:t>
      </w:r>
      <w:r w:rsidR="00731C93">
        <w:rPr>
          <w:sz w:val="22"/>
          <w:szCs w:val="22"/>
        </w:rPr>
        <w:t xml:space="preserve"> a </w:t>
      </w:r>
      <w:r w:rsidRPr="00B048EB">
        <w:rPr>
          <w:sz w:val="22"/>
          <w:szCs w:val="22"/>
        </w:rPr>
        <w:t>GI krvácanie.</w:t>
      </w:r>
    </w:p>
    <w:p w14:paraId="4A04E727" w14:textId="77777777" w:rsidR="00FA71B4" w:rsidRPr="00B048EB" w:rsidRDefault="00FA71B4" w:rsidP="001F5C55">
      <w:pPr>
        <w:tabs>
          <w:tab w:val="left" w:pos="567"/>
        </w:tabs>
        <w:rPr>
          <w:sz w:val="22"/>
          <w:szCs w:val="22"/>
        </w:rPr>
      </w:pPr>
    </w:p>
    <w:p w14:paraId="3924A447" w14:textId="1176780F" w:rsidR="005F4EBF" w:rsidRDefault="00FA71B4" w:rsidP="001F5C55">
      <w:pPr>
        <w:tabs>
          <w:tab w:val="left" w:pos="567"/>
        </w:tabs>
        <w:rPr>
          <w:sz w:val="22"/>
          <w:szCs w:val="22"/>
        </w:rPr>
      </w:pPr>
      <w:r w:rsidRPr="00B048EB">
        <w:rPr>
          <w:sz w:val="22"/>
          <w:szCs w:val="22"/>
        </w:rPr>
        <w:t xml:space="preserve">K ďalšiemu zvýšeniu rizika </w:t>
      </w:r>
      <w:r w:rsidR="004737D1" w:rsidRPr="00B048EB">
        <w:rPr>
          <w:sz w:val="22"/>
          <w:szCs w:val="22"/>
        </w:rPr>
        <w:t xml:space="preserve">GI </w:t>
      </w:r>
      <w:r w:rsidRPr="00B048EB">
        <w:rPr>
          <w:sz w:val="22"/>
          <w:szCs w:val="22"/>
        </w:rPr>
        <w:t>nežiaducich účinkov celekoxibu (</w:t>
      </w:r>
      <w:r w:rsidR="004737D1" w:rsidRPr="00B048EB">
        <w:rPr>
          <w:sz w:val="22"/>
          <w:szCs w:val="22"/>
        </w:rPr>
        <w:t xml:space="preserve">GI </w:t>
      </w:r>
      <w:r w:rsidRPr="00B048EB">
        <w:rPr>
          <w:sz w:val="22"/>
          <w:szCs w:val="22"/>
        </w:rPr>
        <w:t xml:space="preserve">ulcerácie alebo iné </w:t>
      </w:r>
      <w:r w:rsidR="004737D1" w:rsidRPr="00B048EB">
        <w:rPr>
          <w:sz w:val="22"/>
          <w:szCs w:val="22"/>
        </w:rPr>
        <w:t xml:space="preserve">GI </w:t>
      </w:r>
      <w:r w:rsidRPr="00B048EB">
        <w:rPr>
          <w:sz w:val="22"/>
          <w:szCs w:val="22"/>
        </w:rPr>
        <w:t xml:space="preserve">komplikácie) dochádza, keď sa celekoxib podáva </w:t>
      </w:r>
      <w:r w:rsidR="001F5C55" w:rsidRPr="00B048EB">
        <w:rPr>
          <w:sz w:val="22"/>
          <w:szCs w:val="22"/>
        </w:rPr>
        <w:t>súbežne</w:t>
      </w:r>
      <w:r w:rsidRPr="00B048EB">
        <w:rPr>
          <w:sz w:val="22"/>
          <w:szCs w:val="22"/>
        </w:rPr>
        <w:t xml:space="preserve"> s kyselinou acetylsalicylovou (aj </w:t>
      </w:r>
      <w:r w:rsidR="001735C5">
        <w:rPr>
          <w:sz w:val="22"/>
          <w:szCs w:val="22"/>
        </w:rPr>
        <w:t>pri</w:t>
      </w:r>
      <w:r w:rsidRPr="00B048EB">
        <w:rPr>
          <w:sz w:val="22"/>
          <w:szCs w:val="22"/>
        </w:rPr>
        <w:t> nízkych dávkach).</w:t>
      </w:r>
    </w:p>
    <w:p w14:paraId="4DBEFADA" w14:textId="77777777" w:rsidR="005F4EBF" w:rsidRDefault="005F4EBF" w:rsidP="001F5C55">
      <w:pPr>
        <w:tabs>
          <w:tab w:val="left" w:pos="567"/>
        </w:tabs>
        <w:rPr>
          <w:sz w:val="22"/>
          <w:szCs w:val="22"/>
        </w:rPr>
      </w:pPr>
    </w:p>
    <w:p w14:paraId="32AA6CD7" w14:textId="0D69B5D7" w:rsidR="00FA71B4" w:rsidRPr="00B048EB" w:rsidRDefault="00FA71B4" w:rsidP="001F5C55">
      <w:pPr>
        <w:tabs>
          <w:tab w:val="left" w:pos="567"/>
        </w:tabs>
        <w:rPr>
          <w:sz w:val="22"/>
          <w:szCs w:val="22"/>
        </w:rPr>
      </w:pPr>
      <w:r w:rsidRPr="00B048EB">
        <w:rPr>
          <w:sz w:val="22"/>
          <w:szCs w:val="22"/>
        </w:rPr>
        <w:t>Významný rozdiel v GI bezpečnosti medzi liečbou selektívnymi</w:t>
      </w:r>
      <w:r w:rsidR="00E307B1" w:rsidRPr="00E307B1">
        <w:rPr>
          <w:sz w:val="22"/>
          <w:szCs w:val="22"/>
        </w:rPr>
        <w:t xml:space="preserve"> </w:t>
      </w:r>
      <w:r w:rsidR="00E307B1" w:rsidRPr="00B048EB">
        <w:rPr>
          <w:sz w:val="22"/>
          <w:szCs w:val="22"/>
        </w:rPr>
        <w:t>inhibítormi</w:t>
      </w:r>
      <w:r w:rsidRPr="00B048EB">
        <w:rPr>
          <w:sz w:val="22"/>
          <w:szCs w:val="22"/>
        </w:rPr>
        <w:t xml:space="preserve"> COX</w:t>
      </w:r>
      <w:r w:rsidRPr="00B048EB">
        <w:rPr>
          <w:sz w:val="22"/>
          <w:szCs w:val="22"/>
        </w:rPr>
        <w:noBreakHyphen/>
        <w:t xml:space="preserve">2 + kyselinou acetylsalicylovou </w:t>
      </w:r>
      <w:r w:rsidR="001735C5" w:rsidRPr="004B560F">
        <w:rPr>
          <w:sz w:val="22"/>
          <w:szCs w:val="22"/>
        </w:rPr>
        <w:t>v porovnaní</w:t>
      </w:r>
      <w:r w:rsidR="00731C93">
        <w:rPr>
          <w:sz w:val="22"/>
          <w:szCs w:val="22"/>
        </w:rPr>
        <w:t xml:space="preserve"> s </w:t>
      </w:r>
      <w:r w:rsidRPr="00B048EB">
        <w:rPr>
          <w:sz w:val="22"/>
          <w:szCs w:val="22"/>
        </w:rPr>
        <w:t>NSAID + kyselinou acetylsalicylovou nebol v dlhodobých klinických štúdiách preukázaný (pozri časť 5.1).</w:t>
      </w:r>
    </w:p>
    <w:p w14:paraId="4F1E404F" w14:textId="77777777" w:rsidR="00FA71B4" w:rsidRDefault="00FA71B4" w:rsidP="001F5C55">
      <w:pPr>
        <w:tabs>
          <w:tab w:val="left" w:pos="567"/>
        </w:tabs>
        <w:rPr>
          <w:sz w:val="22"/>
          <w:szCs w:val="22"/>
        </w:rPr>
      </w:pPr>
    </w:p>
    <w:p w14:paraId="5695E61F" w14:textId="0640B534" w:rsidR="005F4EBF" w:rsidRPr="004B560F" w:rsidRDefault="005F4EBF" w:rsidP="004B560F">
      <w:pPr>
        <w:keepNext/>
        <w:tabs>
          <w:tab w:val="left" w:pos="567"/>
        </w:tabs>
        <w:ind w:left="567" w:hanging="567"/>
        <w:rPr>
          <w:sz w:val="22"/>
          <w:szCs w:val="22"/>
          <w:u w:val="single"/>
        </w:rPr>
      </w:pPr>
      <w:r w:rsidRPr="004B560F">
        <w:rPr>
          <w:sz w:val="22"/>
          <w:szCs w:val="22"/>
          <w:u w:val="single"/>
        </w:rPr>
        <w:t xml:space="preserve">Súbežné </w:t>
      </w:r>
      <w:r w:rsidR="001D4120">
        <w:rPr>
          <w:sz w:val="22"/>
          <w:szCs w:val="22"/>
          <w:u w:val="single"/>
        </w:rPr>
        <w:t>po</w:t>
      </w:r>
      <w:r w:rsidR="00014085">
        <w:rPr>
          <w:sz w:val="22"/>
          <w:szCs w:val="22"/>
          <w:u w:val="single"/>
        </w:rPr>
        <w:t>užívanie</w:t>
      </w:r>
      <w:r w:rsidRPr="004B560F">
        <w:rPr>
          <w:sz w:val="22"/>
          <w:szCs w:val="22"/>
          <w:u w:val="single"/>
        </w:rPr>
        <w:t xml:space="preserve"> NSAID</w:t>
      </w:r>
    </w:p>
    <w:p w14:paraId="4FAA21C8" w14:textId="5483362C" w:rsidR="00FA71B4" w:rsidRPr="00B048EB" w:rsidRDefault="001735C5" w:rsidP="00F31FEF">
      <w:pPr>
        <w:tabs>
          <w:tab w:val="left" w:pos="567"/>
        </w:tabs>
        <w:rPr>
          <w:sz w:val="22"/>
          <w:szCs w:val="22"/>
        </w:rPr>
      </w:pPr>
      <w:r>
        <w:rPr>
          <w:sz w:val="22"/>
          <w:szCs w:val="22"/>
        </w:rPr>
        <w:t>T</w:t>
      </w:r>
      <w:r w:rsidRPr="00B048EB">
        <w:rPr>
          <w:sz w:val="22"/>
          <w:szCs w:val="22"/>
        </w:rPr>
        <w:t xml:space="preserve">reba </w:t>
      </w:r>
      <w:r>
        <w:rPr>
          <w:sz w:val="22"/>
          <w:szCs w:val="22"/>
        </w:rPr>
        <w:t xml:space="preserve">sa </w:t>
      </w:r>
      <w:r w:rsidRPr="00B048EB">
        <w:rPr>
          <w:sz w:val="22"/>
          <w:szCs w:val="22"/>
        </w:rPr>
        <w:t xml:space="preserve">vyhnúť </w:t>
      </w:r>
      <w:r>
        <w:rPr>
          <w:sz w:val="22"/>
          <w:szCs w:val="22"/>
        </w:rPr>
        <w:t>s</w:t>
      </w:r>
      <w:r w:rsidR="00FA71B4" w:rsidRPr="00B048EB">
        <w:rPr>
          <w:sz w:val="22"/>
          <w:szCs w:val="22"/>
        </w:rPr>
        <w:t>ú</w:t>
      </w:r>
      <w:r w:rsidR="00867472" w:rsidRPr="00B048EB">
        <w:rPr>
          <w:sz w:val="22"/>
          <w:szCs w:val="22"/>
        </w:rPr>
        <w:t xml:space="preserve">bežnému </w:t>
      </w:r>
      <w:r w:rsidR="005F4EBF">
        <w:rPr>
          <w:sz w:val="22"/>
          <w:szCs w:val="22"/>
        </w:rPr>
        <w:t>po</w:t>
      </w:r>
      <w:r w:rsidR="00FA71B4" w:rsidRPr="00B048EB">
        <w:rPr>
          <w:sz w:val="22"/>
          <w:szCs w:val="22"/>
        </w:rPr>
        <w:t>užitiu celekoxibu</w:t>
      </w:r>
      <w:r w:rsidR="00731C93">
        <w:rPr>
          <w:sz w:val="22"/>
          <w:szCs w:val="22"/>
        </w:rPr>
        <w:t xml:space="preserve"> a </w:t>
      </w:r>
      <w:r w:rsidR="00FA71B4" w:rsidRPr="00B048EB">
        <w:rPr>
          <w:sz w:val="22"/>
          <w:szCs w:val="22"/>
        </w:rPr>
        <w:t xml:space="preserve">NSAID </w:t>
      </w:r>
      <w:r w:rsidRPr="00B048EB">
        <w:rPr>
          <w:sz w:val="22"/>
          <w:szCs w:val="22"/>
        </w:rPr>
        <w:t xml:space="preserve">iných </w:t>
      </w:r>
      <w:r w:rsidR="00FA71B4" w:rsidRPr="00B048EB">
        <w:rPr>
          <w:sz w:val="22"/>
          <w:szCs w:val="22"/>
        </w:rPr>
        <w:t>ako kyselina acetylsalicylová</w:t>
      </w:r>
      <w:r w:rsidR="000E34BD">
        <w:rPr>
          <w:sz w:val="22"/>
          <w:szCs w:val="22"/>
        </w:rPr>
        <w:t xml:space="preserve"> (aspir</w:t>
      </w:r>
      <w:r w:rsidR="00C32B10">
        <w:rPr>
          <w:sz w:val="22"/>
          <w:szCs w:val="22"/>
        </w:rPr>
        <w:t>í</w:t>
      </w:r>
      <w:r w:rsidR="000E34BD">
        <w:rPr>
          <w:sz w:val="22"/>
          <w:szCs w:val="22"/>
        </w:rPr>
        <w:t>n)</w:t>
      </w:r>
      <w:r w:rsidR="00FA71B4" w:rsidRPr="00B048EB">
        <w:rPr>
          <w:sz w:val="22"/>
          <w:szCs w:val="22"/>
        </w:rPr>
        <w:t>.</w:t>
      </w:r>
    </w:p>
    <w:p w14:paraId="4CDECC6C" w14:textId="77777777" w:rsidR="004F5A74" w:rsidRPr="00B048EB" w:rsidRDefault="004F5A74" w:rsidP="00F31FEF">
      <w:pPr>
        <w:tabs>
          <w:tab w:val="left" w:pos="567"/>
        </w:tabs>
        <w:rPr>
          <w:sz w:val="22"/>
          <w:szCs w:val="22"/>
        </w:rPr>
      </w:pPr>
    </w:p>
    <w:p w14:paraId="1A55321D" w14:textId="77777777" w:rsidR="00FA71B4" w:rsidRPr="00B048EB" w:rsidRDefault="004F5A74" w:rsidP="00DE5A3E">
      <w:pPr>
        <w:keepNext/>
        <w:tabs>
          <w:tab w:val="left" w:pos="567"/>
        </w:tabs>
        <w:ind w:left="567" w:hanging="567"/>
        <w:rPr>
          <w:sz w:val="22"/>
          <w:szCs w:val="22"/>
          <w:u w:val="single"/>
        </w:rPr>
      </w:pPr>
      <w:r w:rsidRPr="00B048EB">
        <w:rPr>
          <w:sz w:val="22"/>
          <w:szCs w:val="22"/>
          <w:u w:val="single"/>
        </w:rPr>
        <w:t>Účinky na kardiovaskulárny systém</w:t>
      </w:r>
    </w:p>
    <w:p w14:paraId="5B16A8C4" w14:textId="4E4B7981" w:rsidR="00FA71B4" w:rsidRDefault="00FA71B4" w:rsidP="00DE5A3E">
      <w:pPr>
        <w:tabs>
          <w:tab w:val="left" w:pos="567"/>
        </w:tabs>
        <w:rPr>
          <w:sz w:val="22"/>
          <w:szCs w:val="22"/>
        </w:rPr>
      </w:pPr>
      <w:r w:rsidRPr="00B048EB">
        <w:rPr>
          <w:sz w:val="22"/>
          <w:szCs w:val="22"/>
        </w:rPr>
        <w:t xml:space="preserve">Zvýšený počet závažných </w:t>
      </w:r>
      <w:r w:rsidR="004D4860" w:rsidRPr="00B048EB">
        <w:rPr>
          <w:sz w:val="22"/>
          <w:szCs w:val="22"/>
        </w:rPr>
        <w:t>KV</w:t>
      </w:r>
      <w:r w:rsidR="00AB3E4F" w:rsidRPr="00B048EB">
        <w:rPr>
          <w:sz w:val="22"/>
          <w:szCs w:val="22"/>
        </w:rPr>
        <w:t xml:space="preserve"> </w:t>
      </w:r>
      <w:r w:rsidR="00C34AD0" w:rsidRPr="00B048EB">
        <w:rPr>
          <w:sz w:val="22"/>
          <w:szCs w:val="22"/>
        </w:rPr>
        <w:t>p</w:t>
      </w:r>
      <w:r w:rsidRPr="00B048EB">
        <w:rPr>
          <w:sz w:val="22"/>
          <w:szCs w:val="22"/>
        </w:rPr>
        <w:t>ríhod, najmä infarktu myokardu, sa vyskytol v dlhodobej placebom kontrolovanej štúdii u jedincov so sporadickými adenomatóznymi polypmi, ktorí boli liečení celekoxibom v dávkach 200 mg dvakrát denne a 400 mg dvakrát denne v porovnaní s placebom (pozri časť 5.1).</w:t>
      </w:r>
    </w:p>
    <w:p w14:paraId="761D0357" w14:textId="77777777" w:rsidR="00E307B1" w:rsidRPr="00B048EB" w:rsidRDefault="00E307B1" w:rsidP="00DE5A3E">
      <w:pPr>
        <w:tabs>
          <w:tab w:val="left" w:pos="567"/>
        </w:tabs>
        <w:rPr>
          <w:sz w:val="22"/>
          <w:szCs w:val="22"/>
        </w:rPr>
      </w:pPr>
    </w:p>
    <w:p w14:paraId="0F555042" w14:textId="5A481A4F" w:rsidR="00565A40" w:rsidRDefault="00FA71B4" w:rsidP="00F31FEF">
      <w:pPr>
        <w:tabs>
          <w:tab w:val="left" w:pos="567"/>
        </w:tabs>
        <w:overflowPunct w:val="0"/>
        <w:autoSpaceDE w:val="0"/>
        <w:rPr>
          <w:sz w:val="22"/>
          <w:szCs w:val="22"/>
        </w:rPr>
      </w:pPr>
      <w:r w:rsidRPr="00B048EB">
        <w:rPr>
          <w:sz w:val="22"/>
          <w:szCs w:val="22"/>
        </w:rPr>
        <w:t xml:space="preserve">Keďže kardiovaskulárne riziko celekoxibu sa môže zvyšovať s dávkou a trvaním liečby, </w:t>
      </w:r>
      <w:r w:rsidR="00565A40">
        <w:rPr>
          <w:sz w:val="22"/>
          <w:szCs w:val="22"/>
        </w:rPr>
        <w:t>trvanie</w:t>
      </w:r>
      <w:r w:rsidR="00565A40" w:rsidRPr="00B048EB">
        <w:rPr>
          <w:sz w:val="22"/>
          <w:szCs w:val="22"/>
        </w:rPr>
        <w:t xml:space="preserve"> </w:t>
      </w:r>
      <w:r w:rsidRPr="00B048EB">
        <w:rPr>
          <w:sz w:val="22"/>
          <w:szCs w:val="22"/>
        </w:rPr>
        <w:t>liečby má byť čo možno najkratši</w:t>
      </w:r>
      <w:r w:rsidR="00565A40">
        <w:rPr>
          <w:sz w:val="22"/>
          <w:szCs w:val="22"/>
        </w:rPr>
        <w:t>e</w:t>
      </w:r>
      <w:r w:rsidRPr="00B048EB">
        <w:rPr>
          <w:sz w:val="22"/>
          <w:szCs w:val="22"/>
        </w:rPr>
        <w:t xml:space="preserve"> a má sa použiť najnižšia </w:t>
      </w:r>
      <w:r w:rsidR="000F2C6E" w:rsidRPr="00B048EB">
        <w:rPr>
          <w:sz w:val="22"/>
          <w:szCs w:val="22"/>
        </w:rPr>
        <w:t>účinná</w:t>
      </w:r>
      <w:r w:rsidRPr="00B048EB">
        <w:rPr>
          <w:sz w:val="22"/>
          <w:szCs w:val="22"/>
        </w:rPr>
        <w:t xml:space="preserve"> denná dávka. </w:t>
      </w:r>
      <w:r w:rsidR="00DF6E43">
        <w:rPr>
          <w:sz w:val="22"/>
          <w:szCs w:val="22"/>
        </w:rPr>
        <w:t xml:space="preserve">Používanie </w:t>
      </w:r>
      <w:r w:rsidR="006134E2">
        <w:rPr>
          <w:sz w:val="22"/>
          <w:szCs w:val="22"/>
        </w:rPr>
        <w:t>NSAID</w:t>
      </w:r>
      <w:r w:rsidR="00DF6E43">
        <w:rPr>
          <w:sz w:val="22"/>
          <w:szCs w:val="22"/>
        </w:rPr>
        <w:t>,</w:t>
      </w:r>
      <w:r w:rsidR="00565A40">
        <w:rPr>
          <w:sz w:val="22"/>
          <w:szCs w:val="22"/>
        </w:rPr>
        <w:t xml:space="preserve"> vrátane </w:t>
      </w:r>
      <w:r w:rsidR="00DF6E43">
        <w:rPr>
          <w:sz w:val="22"/>
          <w:szCs w:val="22"/>
        </w:rPr>
        <w:t xml:space="preserve">selektívnych </w:t>
      </w:r>
      <w:r w:rsidR="00D9066F">
        <w:rPr>
          <w:sz w:val="22"/>
          <w:szCs w:val="22"/>
        </w:rPr>
        <w:t xml:space="preserve">inhibítorov </w:t>
      </w:r>
      <w:r w:rsidR="00DF6E43">
        <w:rPr>
          <w:sz w:val="22"/>
          <w:szCs w:val="22"/>
        </w:rPr>
        <w:t>COX</w:t>
      </w:r>
      <w:r w:rsidR="001D4120">
        <w:rPr>
          <w:sz w:val="22"/>
          <w:szCs w:val="22"/>
        </w:rPr>
        <w:t>-</w:t>
      </w:r>
      <w:r w:rsidR="00DF6E43">
        <w:rPr>
          <w:sz w:val="22"/>
          <w:szCs w:val="22"/>
        </w:rPr>
        <w:t>2, sa spája so zvýšeným rizikom kardiovaskulárnych alebo trombotických nežiaducich účinkov, ak sú užívané dlh</w:t>
      </w:r>
      <w:r w:rsidR="00D9066F">
        <w:rPr>
          <w:sz w:val="22"/>
          <w:szCs w:val="22"/>
        </w:rPr>
        <w:t>o</w:t>
      </w:r>
      <w:r w:rsidR="00DF6E43">
        <w:rPr>
          <w:sz w:val="22"/>
          <w:szCs w:val="22"/>
        </w:rPr>
        <w:t>dob</w:t>
      </w:r>
      <w:r w:rsidR="00D9066F">
        <w:rPr>
          <w:sz w:val="22"/>
          <w:szCs w:val="22"/>
        </w:rPr>
        <w:t>o</w:t>
      </w:r>
      <w:r w:rsidR="00DF6E43">
        <w:rPr>
          <w:sz w:val="22"/>
          <w:szCs w:val="22"/>
        </w:rPr>
        <w:t xml:space="preserve">. </w:t>
      </w:r>
      <w:r w:rsidR="00035205">
        <w:rPr>
          <w:sz w:val="22"/>
          <w:szCs w:val="22"/>
        </w:rPr>
        <w:t xml:space="preserve">Presný stupeň rizika spojený s jednorazovou dávkou alebo trvanie liečby spojené so zvýšeným rizikom sa nestanovili. </w:t>
      </w:r>
      <w:r w:rsidR="00035205" w:rsidRPr="00B048EB">
        <w:rPr>
          <w:sz w:val="22"/>
          <w:szCs w:val="22"/>
        </w:rPr>
        <w:t xml:space="preserve">Pacientova potreba úľavy od príznakov a jeho odpoveď na liečbu sa musia pravidelne prehodnocovať, </w:t>
      </w:r>
      <w:r w:rsidR="001D4120">
        <w:rPr>
          <w:sz w:val="22"/>
          <w:szCs w:val="22"/>
        </w:rPr>
        <w:t>ob</w:t>
      </w:r>
      <w:r w:rsidR="00035205" w:rsidRPr="00B048EB">
        <w:rPr>
          <w:sz w:val="22"/>
          <w:szCs w:val="22"/>
        </w:rPr>
        <w:t>zvlášť</w:t>
      </w:r>
      <w:r w:rsidR="00731C93">
        <w:rPr>
          <w:sz w:val="22"/>
          <w:szCs w:val="22"/>
        </w:rPr>
        <w:t xml:space="preserve"> u </w:t>
      </w:r>
      <w:r w:rsidR="00035205" w:rsidRPr="00B048EB">
        <w:rPr>
          <w:sz w:val="22"/>
          <w:szCs w:val="22"/>
        </w:rPr>
        <w:t>pacientov s osteoartrózou (pozri časti 4.2, 4.3, 4.8 a 5.1).</w:t>
      </w:r>
    </w:p>
    <w:p w14:paraId="56F49A6A" w14:textId="77777777" w:rsidR="005F4EBF" w:rsidRDefault="005F4EBF" w:rsidP="00DE5A3E">
      <w:pPr>
        <w:tabs>
          <w:tab w:val="left" w:pos="567"/>
        </w:tabs>
        <w:overflowPunct w:val="0"/>
        <w:autoSpaceDE w:val="0"/>
        <w:rPr>
          <w:sz w:val="22"/>
          <w:szCs w:val="22"/>
        </w:rPr>
      </w:pPr>
    </w:p>
    <w:p w14:paraId="00D4B552" w14:textId="77777777" w:rsidR="00FA71B4" w:rsidRPr="00B048EB" w:rsidRDefault="00FA71B4" w:rsidP="00F31FEF">
      <w:pPr>
        <w:tabs>
          <w:tab w:val="left" w:pos="567"/>
        </w:tabs>
        <w:rPr>
          <w:sz w:val="22"/>
          <w:szCs w:val="22"/>
        </w:rPr>
      </w:pPr>
      <w:r w:rsidRPr="00B048EB">
        <w:rPr>
          <w:sz w:val="22"/>
          <w:szCs w:val="22"/>
        </w:rPr>
        <w:t>Pacienti s</w:t>
      </w:r>
      <w:r w:rsidR="00641A9E">
        <w:rPr>
          <w:sz w:val="22"/>
          <w:szCs w:val="22"/>
        </w:rPr>
        <w:t> </w:t>
      </w:r>
      <w:r w:rsidRPr="0011021B">
        <w:rPr>
          <w:sz w:val="22"/>
          <w:szCs w:val="22"/>
        </w:rPr>
        <w:t>významnými rizi</w:t>
      </w:r>
      <w:r w:rsidRPr="00B048EB">
        <w:rPr>
          <w:sz w:val="22"/>
          <w:szCs w:val="22"/>
        </w:rPr>
        <w:t>kovými faktormi vzniku kardiovaskulárnych príhod (napr. hypertenzia, hyperlipidémia, diabetes mellitus, fajčenie) majú byť liečení celekoxibom až po starostlivom zvážení (pozri časť 5.1).</w:t>
      </w:r>
    </w:p>
    <w:p w14:paraId="7B3CB1F9" w14:textId="77777777" w:rsidR="00FA71B4" w:rsidRPr="00B048EB" w:rsidRDefault="00FA71B4" w:rsidP="00F31FEF">
      <w:pPr>
        <w:tabs>
          <w:tab w:val="left" w:pos="567"/>
        </w:tabs>
        <w:rPr>
          <w:sz w:val="22"/>
          <w:szCs w:val="22"/>
        </w:rPr>
      </w:pPr>
    </w:p>
    <w:p w14:paraId="62849D95" w14:textId="741811D3" w:rsidR="00FA71B4" w:rsidRPr="00B048EB" w:rsidRDefault="00FA71B4" w:rsidP="00F31FEF">
      <w:pPr>
        <w:tabs>
          <w:tab w:val="left" w:pos="567"/>
          <w:tab w:val="left" w:pos="7920"/>
        </w:tabs>
        <w:rPr>
          <w:sz w:val="22"/>
          <w:szCs w:val="22"/>
        </w:rPr>
      </w:pPr>
      <w:r w:rsidRPr="00B048EB">
        <w:rPr>
          <w:sz w:val="22"/>
          <w:szCs w:val="22"/>
        </w:rPr>
        <w:t>COX-2 selektívne inhibítory nie sú náhradou kyseliny acetylsalicylovej v profylaxii tromb</w:t>
      </w:r>
      <w:r w:rsidR="00B048EB">
        <w:rPr>
          <w:sz w:val="22"/>
          <w:szCs w:val="22"/>
        </w:rPr>
        <w:t>o</w:t>
      </w:r>
      <w:r w:rsidRPr="00B048EB">
        <w:rPr>
          <w:sz w:val="22"/>
          <w:szCs w:val="22"/>
        </w:rPr>
        <w:t>embolickej kardiovaskulárnej choroby, pretože nemajú vplyv na krvné doštičky. Preto sa antitrombocyt</w:t>
      </w:r>
      <w:r w:rsidR="001D4120">
        <w:rPr>
          <w:sz w:val="22"/>
          <w:szCs w:val="22"/>
        </w:rPr>
        <w:t>á</w:t>
      </w:r>
      <w:r w:rsidR="00D9066F">
        <w:rPr>
          <w:sz w:val="22"/>
          <w:szCs w:val="22"/>
        </w:rPr>
        <w:t>rna</w:t>
      </w:r>
      <w:r w:rsidR="001D4120">
        <w:rPr>
          <w:sz w:val="22"/>
          <w:szCs w:val="22"/>
        </w:rPr>
        <w:t xml:space="preserve"> </w:t>
      </w:r>
      <w:r w:rsidRPr="00B048EB">
        <w:rPr>
          <w:sz w:val="22"/>
          <w:szCs w:val="22"/>
        </w:rPr>
        <w:t>liečba nemá ukončiť (pozri časť 5.1).</w:t>
      </w:r>
    </w:p>
    <w:p w14:paraId="149E59BD" w14:textId="77777777" w:rsidR="00FA71B4" w:rsidRPr="00B048EB" w:rsidRDefault="00FA71B4" w:rsidP="00F31FEF">
      <w:pPr>
        <w:tabs>
          <w:tab w:val="left" w:pos="567"/>
          <w:tab w:val="left" w:pos="7920"/>
        </w:tabs>
        <w:rPr>
          <w:sz w:val="22"/>
          <w:szCs w:val="22"/>
        </w:rPr>
      </w:pPr>
    </w:p>
    <w:p w14:paraId="19E55DC3" w14:textId="33101054" w:rsidR="000F2C6E" w:rsidRPr="00DE5A3E" w:rsidRDefault="004F5A74" w:rsidP="00DE5A3E">
      <w:pPr>
        <w:pStyle w:val="BodyTextIndent21"/>
        <w:keepNext/>
        <w:tabs>
          <w:tab w:val="left" w:pos="567"/>
        </w:tabs>
        <w:ind w:hanging="567"/>
        <w:jc w:val="left"/>
        <w:rPr>
          <w:rFonts w:ascii="Times New Roman" w:hAnsi="Times New Roman"/>
          <w:sz w:val="22"/>
          <w:u w:val="single"/>
        </w:rPr>
      </w:pPr>
      <w:r w:rsidRPr="00DE5A3E">
        <w:rPr>
          <w:rFonts w:ascii="Times New Roman" w:hAnsi="Times New Roman"/>
          <w:sz w:val="22"/>
          <w:u w:val="single"/>
        </w:rPr>
        <w:t>Zadržiavanie tekutín</w:t>
      </w:r>
      <w:r w:rsidR="00731C93">
        <w:rPr>
          <w:rFonts w:ascii="Times New Roman" w:hAnsi="Times New Roman"/>
          <w:sz w:val="22"/>
          <w:u w:val="single"/>
        </w:rPr>
        <w:t xml:space="preserve"> a </w:t>
      </w:r>
      <w:r w:rsidR="00565A40">
        <w:rPr>
          <w:rFonts w:ascii="Times New Roman" w:hAnsi="Times New Roman" w:cs="Times New Roman"/>
          <w:sz w:val="22"/>
          <w:szCs w:val="22"/>
          <w:u w:val="single"/>
        </w:rPr>
        <w:t>edém</w:t>
      </w:r>
    </w:p>
    <w:p w14:paraId="0F4ABADD" w14:textId="7333BA5C" w:rsidR="00FA71B4" w:rsidRPr="00B048EB" w:rsidRDefault="00FA71B4" w:rsidP="00F31FEF">
      <w:pPr>
        <w:pStyle w:val="BodyTextIndent21"/>
        <w:tabs>
          <w:tab w:val="left" w:pos="567"/>
        </w:tabs>
        <w:ind w:left="0"/>
        <w:jc w:val="left"/>
        <w:rPr>
          <w:rFonts w:ascii="Times New Roman" w:hAnsi="Times New Roman" w:cs="Times New Roman"/>
          <w:sz w:val="22"/>
          <w:szCs w:val="22"/>
        </w:rPr>
      </w:pPr>
      <w:r w:rsidRPr="00B048EB">
        <w:rPr>
          <w:rFonts w:ascii="Times New Roman" w:hAnsi="Times New Roman" w:cs="Times New Roman"/>
          <w:sz w:val="22"/>
          <w:szCs w:val="22"/>
        </w:rPr>
        <w:t>Ako pri iných liekoch, o ktorých je známe, že inhibujú syntézu prostaglandínov, sa aj u pacientov užívajúcich celekoxib</w:t>
      </w:r>
      <w:r w:rsidRPr="00B048EB">
        <w:rPr>
          <w:rFonts w:ascii="Times New Roman" w:hAnsi="Times New Roman" w:cs="Times New Roman"/>
          <w:b/>
          <w:sz w:val="22"/>
          <w:szCs w:val="22"/>
          <w:vertAlign w:val="superscript"/>
        </w:rPr>
        <w:t xml:space="preserve"> </w:t>
      </w:r>
      <w:r w:rsidRPr="00B048EB">
        <w:rPr>
          <w:rFonts w:ascii="Times New Roman" w:hAnsi="Times New Roman" w:cs="Times New Roman"/>
          <w:sz w:val="22"/>
          <w:szCs w:val="22"/>
        </w:rPr>
        <w:t>pozorovala retencia tekutín a edémy. Preto sa celekoxib musí používať s opatrnosťou</w:t>
      </w:r>
      <w:r w:rsidR="00731C93">
        <w:rPr>
          <w:rFonts w:ascii="Times New Roman" w:hAnsi="Times New Roman" w:cs="Times New Roman"/>
          <w:sz w:val="22"/>
          <w:szCs w:val="22"/>
        </w:rPr>
        <w:t xml:space="preserve"> u </w:t>
      </w:r>
      <w:r w:rsidRPr="00B048EB">
        <w:rPr>
          <w:rFonts w:ascii="Times New Roman" w:hAnsi="Times New Roman" w:cs="Times New Roman"/>
          <w:sz w:val="22"/>
          <w:szCs w:val="22"/>
        </w:rPr>
        <w:t>pacientov s anamnézou srdcového zlyhávania, poruchou funkcie ľavej komory srdca alebo hypertenziou a u pacientov s už prítomnými edémami z inej príčiny, pretože inhibícia syntézy prostaglandínov môže viesť k zhoršeniu funkcie obličiek</w:t>
      </w:r>
      <w:r w:rsidR="00731C93">
        <w:rPr>
          <w:rFonts w:ascii="Times New Roman" w:hAnsi="Times New Roman" w:cs="Times New Roman"/>
          <w:sz w:val="22"/>
          <w:szCs w:val="22"/>
        </w:rPr>
        <w:t xml:space="preserve"> a </w:t>
      </w:r>
      <w:r w:rsidRPr="00B048EB">
        <w:rPr>
          <w:rFonts w:ascii="Times New Roman" w:hAnsi="Times New Roman" w:cs="Times New Roman"/>
          <w:sz w:val="22"/>
          <w:szCs w:val="22"/>
        </w:rPr>
        <w:t>k retencii tekutín. Opatrnosť sa tiež vyžaduje</w:t>
      </w:r>
      <w:r w:rsidR="00731C93">
        <w:rPr>
          <w:rFonts w:ascii="Times New Roman" w:hAnsi="Times New Roman" w:cs="Times New Roman"/>
          <w:sz w:val="22"/>
          <w:szCs w:val="22"/>
        </w:rPr>
        <w:t xml:space="preserve"> u </w:t>
      </w:r>
      <w:r w:rsidRPr="00B048EB">
        <w:rPr>
          <w:rFonts w:ascii="Times New Roman" w:hAnsi="Times New Roman" w:cs="Times New Roman"/>
          <w:sz w:val="22"/>
          <w:szCs w:val="22"/>
        </w:rPr>
        <w:t>pacientov užívajúcich diuretiká alebo s iným rizikom hypovolémie.</w:t>
      </w:r>
      <w:r w:rsidR="00E43270" w:rsidRPr="00B048EB">
        <w:rPr>
          <w:rFonts w:ascii="Times New Roman" w:hAnsi="Times New Roman" w:cs="Times New Roman"/>
          <w:sz w:val="22"/>
          <w:szCs w:val="22"/>
        </w:rPr>
        <w:t xml:space="preserve"> </w:t>
      </w:r>
    </w:p>
    <w:p w14:paraId="40EF6C87" w14:textId="77777777" w:rsidR="00FA71B4" w:rsidRPr="00B048EB" w:rsidRDefault="00FA71B4" w:rsidP="00F31FEF">
      <w:pPr>
        <w:tabs>
          <w:tab w:val="left" w:pos="567"/>
        </w:tabs>
        <w:rPr>
          <w:sz w:val="22"/>
          <w:szCs w:val="22"/>
        </w:rPr>
      </w:pPr>
    </w:p>
    <w:p w14:paraId="3C235262" w14:textId="77777777" w:rsidR="000F2C6E" w:rsidRPr="00DE5A3E" w:rsidRDefault="004F5A74" w:rsidP="00DE5A3E">
      <w:pPr>
        <w:keepNext/>
        <w:tabs>
          <w:tab w:val="left" w:pos="567"/>
        </w:tabs>
        <w:ind w:left="567" w:hanging="567"/>
        <w:rPr>
          <w:sz w:val="22"/>
          <w:u w:val="single"/>
        </w:rPr>
      </w:pPr>
      <w:r w:rsidRPr="00DE5A3E">
        <w:rPr>
          <w:sz w:val="22"/>
          <w:u w:val="single"/>
        </w:rPr>
        <w:t>Hypertenzia</w:t>
      </w:r>
    </w:p>
    <w:p w14:paraId="321C3D30" w14:textId="7419CB4C" w:rsidR="00FA71B4" w:rsidRPr="00B048EB" w:rsidRDefault="00FA71B4" w:rsidP="00F31FEF">
      <w:pPr>
        <w:tabs>
          <w:tab w:val="left" w:pos="567"/>
        </w:tabs>
        <w:rPr>
          <w:sz w:val="22"/>
          <w:szCs w:val="22"/>
        </w:rPr>
      </w:pPr>
      <w:r w:rsidRPr="00B048EB">
        <w:rPr>
          <w:sz w:val="22"/>
          <w:szCs w:val="22"/>
        </w:rPr>
        <w:t xml:space="preserve">Ako všetky NSAID, aj celekoxib môže spôsobiť </w:t>
      </w:r>
      <w:r w:rsidR="00035205">
        <w:rPr>
          <w:sz w:val="22"/>
          <w:szCs w:val="22"/>
        </w:rPr>
        <w:t>nástup</w:t>
      </w:r>
      <w:r w:rsidR="00035205" w:rsidRPr="00B048EB">
        <w:rPr>
          <w:sz w:val="22"/>
          <w:szCs w:val="22"/>
        </w:rPr>
        <w:t xml:space="preserve"> </w:t>
      </w:r>
      <w:r w:rsidRPr="00B048EB">
        <w:rPr>
          <w:sz w:val="22"/>
          <w:szCs w:val="22"/>
        </w:rPr>
        <w:t xml:space="preserve">hypertenzie alebo zhoršenie </w:t>
      </w:r>
      <w:r w:rsidR="004F4F76">
        <w:rPr>
          <w:sz w:val="22"/>
          <w:szCs w:val="22"/>
        </w:rPr>
        <w:t>už e</w:t>
      </w:r>
      <w:r w:rsidRPr="00B048EB">
        <w:rPr>
          <w:sz w:val="22"/>
          <w:szCs w:val="22"/>
        </w:rPr>
        <w:t xml:space="preserve">xistujúcej hypertenzie, čo môže </w:t>
      </w:r>
      <w:r w:rsidR="00C92DD9" w:rsidRPr="00B048EB">
        <w:rPr>
          <w:sz w:val="22"/>
          <w:szCs w:val="22"/>
        </w:rPr>
        <w:t>viesť</w:t>
      </w:r>
      <w:r w:rsidR="00731C93">
        <w:rPr>
          <w:sz w:val="22"/>
          <w:szCs w:val="22"/>
        </w:rPr>
        <w:t xml:space="preserve"> k </w:t>
      </w:r>
      <w:r w:rsidRPr="00B048EB">
        <w:rPr>
          <w:sz w:val="22"/>
          <w:szCs w:val="22"/>
        </w:rPr>
        <w:t>zvýšeni</w:t>
      </w:r>
      <w:r w:rsidR="00C92DD9" w:rsidRPr="00B048EB">
        <w:rPr>
          <w:sz w:val="22"/>
          <w:szCs w:val="22"/>
        </w:rPr>
        <w:t>u</w:t>
      </w:r>
      <w:r w:rsidRPr="00B048EB">
        <w:rPr>
          <w:sz w:val="22"/>
          <w:szCs w:val="22"/>
        </w:rPr>
        <w:t xml:space="preserve"> výskytu </w:t>
      </w:r>
      <w:r w:rsidR="004D4860" w:rsidRPr="00B048EB">
        <w:rPr>
          <w:sz w:val="22"/>
          <w:szCs w:val="22"/>
        </w:rPr>
        <w:t xml:space="preserve">KV </w:t>
      </w:r>
      <w:r w:rsidRPr="00B048EB">
        <w:rPr>
          <w:sz w:val="22"/>
          <w:szCs w:val="22"/>
        </w:rPr>
        <w:t>príhod.</w:t>
      </w:r>
      <w:r w:rsidR="00C34AD0" w:rsidRPr="00B048EB">
        <w:rPr>
          <w:sz w:val="22"/>
          <w:szCs w:val="22"/>
        </w:rPr>
        <w:t xml:space="preserve"> Preto sa má tlak krvi starostlivo </w:t>
      </w:r>
      <w:r w:rsidR="009B0D24">
        <w:rPr>
          <w:sz w:val="22"/>
          <w:szCs w:val="22"/>
        </w:rPr>
        <w:t>sledovať</w:t>
      </w:r>
      <w:r w:rsidR="009B0D24" w:rsidRPr="00B048EB">
        <w:rPr>
          <w:sz w:val="22"/>
          <w:szCs w:val="22"/>
        </w:rPr>
        <w:t xml:space="preserve"> </w:t>
      </w:r>
      <w:r w:rsidR="00C34AD0" w:rsidRPr="00B048EB">
        <w:rPr>
          <w:sz w:val="22"/>
          <w:szCs w:val="22"/>
        </w:rPr>
        <w:t>na začiatku a</w:t>
      </w:r>
      <w:r w:rsidR="00731C93">
        <w:rPr>
          <w:sz w:val="22"/>
          <w:szCs w:val="22"/>
        </w:rPr>
        <w:t> </w:t>
      </w:r>
      <w:r w:rsidR="00C34AD0" w:rsidRPr="00B048EB">
        <w:rPr>
          <w:sz w:val="22"/>
          <w:szCs w:val="22"/>
        </w:rPr>
        <w:t>počas celej liečby.</w:t>
      </w:r>
    </w:p>
    <w:p w14:paraId="00642E23" w14:textId="77777777" w:rsidR="00FA71B4" w:rsidRPr="00B048EB" w:rsidRDefault="00FA71B4" w:rsidP="00F31FEF">
      <w:pPr>
        <w:tabs>
          <w:tab w:val="left" w:pos="567"/>
        </w:tabs>
        <w:rPr>
          <w:sz w:val="22"/>
          <w:szCs w:val="22"/>
        </w:rPr>
      </w:pPr>
    </w:p>
    <w:p w14:paraId="1E4AA412" w14:textId="54EBA636" w:rsidR="004F5A74" w:rsidRPr="00B048EB" w:rsidRDefault="004F5A74" w:rsidP="00DE5A3E">
      <w:pPr>
        <w:keepNext/>
        <w:tabs>
          <w:tab w:val="left" w:pos="567"/>
        </w:tabs>
        <w:ind w:left="567" w:hanging="567"/>
        <w:rPr>
          <w:sz w:val="22"/>
          <w:szCs w:val="22"/>
          <w:u w:val="single"/>
        </w:rPr>
      </w:pPr>
      <w:r w:rsidRPr="00B048EB">
        <w:rPr>
          <w:sz w:val="22"/>
          <w:szCs w:val="22"/>
          <w:u w:val="single"/>
        </w:rPr>
        <w:t xml:space="preserve">Účinky na </w:t>
      </w:r>
      <w:r w:rsidR="00035205">
        <w:rPr>
          <w:sz w:val="22"/>
          <w:szCs w:val="22"/>
          <w:u w:val="single"/>
        </w:rPr>
        <w:t>pečeň</w:t>
      </w:r>
      <w:r w:rsidR="00731C93">
        <w:rPr>
          <w:sz w:val="22"/>
          <w:szCs w:val="22"/>
          <w:u w:val="single"/>
        </w:rPr>
        <w:t xml:space="preserve"> a </w:t>
      </w:r>
      <w:r w:rsidRPr="00B048EB">
        <w:rPr>
          <w:sz w:val="22"/>
          <w:szCs w:val="22"/>
          <w:u w:val="single"/>
        </w:rPr>
        <w:t>obličky</w:t>
      </w:r>
    </w:p>
    <w:p w14:paraId="30851897" w14:textId="38CB2377" w:rsidR="00FA71B4" w:rsidRPr="00B048EB" w:rsidRDefault="00FA71B4" w:rsidP="00F31FEF">
      <w:pPr>
        <w:tabs>
          <w:tab w:val="left" w:pos="567"/>
        </w:tabs>
        <w:rPr>
          <w:sz w:val="22"/>
          <w:szCs w:val="22"/>
        </w:rPr>
      </w:pPr>
      <w:r w:rsidRPr="00B048EB">
        <w:rPr>
          <w:sz w:val="22"/>
          <w:szCs w:val="22"/>
        </w:rPr>
        <w:t>Zmenená funkcia obličiek alebo pečene a najmä srdcová dysfunkcia sú oveľa pravdepodobnejšie u starších ľudí,</w:t>
      </w:r>
      <w:r w:rsidR="00731C93">
        <w:rPr>
          <w:sz w:val="22"/>
          <w:szCs w:val="22"/>
        </w:rPr>
        <w:t xml:space="preserve"> a </w:t>
      </w:r>
      <w:r w:rsidRPr="00B048EB">
        <w:rPr>
          <w:sz w:val="22"/>
          <w:szCs w:val="22"/>
        </w:rPr>
        <w:t>preto musia byť títo pacienti pod zodpovedajúcim lekárskym dohľadom.</w:t>
      </w:r>
    </w:p>
    <w:p w14:paraId="7D0D16BE" w14:textId="77777777" w:rsidR="00FA71B4" w:rsidRPr="00B048EB" w:rsidRDefault="00FA71B4" w:rsidP="00F31FEF">
      <w:pPr>
        <w:tabs>
          <w:tab w:val="left" w:pos="567"/>
        </w:tabs>
        <w:rPr>
          <w:sz w:val="22"/>
          <w:szCs w:val="22"/>
        </w:rPr>
      </w:pPr>
    </w:p>
    <w:p w14:paraId="7A2E7892" w14:textId="3142DF0E" w:rsidR="00FA71B4" w:rsidRPr="00B048EB" w:rsidRDefault="00FA71B4" w:rsidP="00F31FEF">
      <w:pPr>
        <w:pStyle w:val="WW-Default"/>
        <w:rPr>
          <w:sz w:val="22"/>
          <w:szCs w:val="22"/>
        </w:rPr>
      </w:pPr>
      <w:r w:rsidRPr="00B048EB">
        <w:rPr>
          <w:sz w:val="22"/>
          <w:szCs w:val="22"/>
        </w:rPr>
        <w:t xml:space="preserve">NSAID vrátane celekoxibu, môžu zapríčiniť renálnu toxicitu. V klinickom skúšaní celekoxib preukazoval podobné účinky na obličky ako </w:t>
      </w:r>
      <w:r w:rsidR="0054412B">
        <w:rPr>
          <w:sz w:val="22"/>
          <w:szCs w:val="22"/>
        </w:rPr>
        <w:t>NSAID</w:t>
      </w:r>
      <w:r w:rsidRPr="00B048EB">
        <w:rPr>
          <w:sz w:val="22"/>
          <w:szCs w:val="22"/>
        </w:rPr>
        <w:t xml:space="preserve"> použité </w:t>
      </w:r>
      <w:r w:rsidR="00676A96" w:rsidRPr="00B048EB">
        <w:rPr>
          <w:sz w:val="22"/>
          <w:szCs w:val="22"/>
        </w:rPr>
        <w:t>na porovnanie</w:t>
      </w:r>
      <w:r w:rsidRPr="00B048EB">
        <w:rPr>
          <w:sz w:val="22"/>
          <w:szCs w:val="22"/>
        </w:rPr>
        <w:t>. Pacienti</w:t>
      </w:r>
      <w:r w:rsidR="00731C93">
        <w:rPr>
          <w:sz w:val="22"/>
          <w:szCs w:val="22"/>
        </w:rPr>
        <w:t xml:space="preserve"> s </w:t>
      </w:r>
      <w:r w:rsidRPr="00B048EB">
        <w:rPr>
          <w:sz w:val="22"/>
          <w:szCs w:val="22"/>
        </w:rPr>
        <w:t>vysok</w:t>
      </w:r>
      <w:r w:rsidR="004F4F76">
        <w:rPr>
          <w:sz w:val="22"/>
          <w:szCs w:val="22"/>
        </w:rPr>
        <w:t>ým</w:t>
      </w:r>
      <w:r w:rsidRPr="00B048EB">
        <w:rPr>
          <w:sz w:val="22"/>
          <w:szCs w:val="22"/>
        </w:rPr>
        <w:t xml:space="preserve"> riziko</w:t>
      </w:r>
      <w:r w:rsidR="004F4F76">
        <w:rPr>
          <w:sz w:val="22"/>
          <w:szCs w:val="22"/>
        </w:rPr>
        <w:t>m</w:t>
      </w:r>
      <w:r w:rsidRPr="00B048EB">
        <w:rPr>
          <w:sz w:val="22"/>
          <w:szCs w:val="22"/>
        </w:rPr>
        <w:t xml:space="preserve"> renálnej toxicity sú tí, ktorí majú poruchu funkcie obličiek, srdcové zlyhávanie, pečeňovú dysfunkciu, </w:t>
      </w:r>
      <w:r w:rsidRPr="00B048EB">
        <w:rPr>
          <w:rStyle w:val="hps"/>
          <w:sz w:val="22"/>
          <w:szCs w:val="22"/>
        </w:rPr>
        <w:t>užívajú diuretiká</w:t>
      </w:r>
      <w:r w:rsidRPr="00B048EB">
        <w:rPr>
          <w:sz w:val="22"/>
          <w:szCs w:val="22"/>
        </w:rPr>
        <w:t>,</w:t>
      </w:r>
      <w:r w:rsidRPr="00B048EB">
        <w:rPr>
          <w:color w:val="333333"/>
          <w:sz w:val="22"/>
          <w:szCs w:val="22"/>
        </w:rPr>
        <w:t xml:space="preserve"> </w:t>
      </w:r>
      <w:r w:rsidR="00C04604" w:rsidRPr="00B048EB">
        <w:rPr>
          <w:bCs/>
          <w:sz w:val="22"/>
          <w:szCs w:val="22"/>
        </w:rPr>
        <w:t xml:space="preserve">inhibítory </w:t>
      </w:r>
      <w:r w:rsidR="00C04604">
        <w:rPr>
          <w:bCs/>
          <w:sz w:val="22"/>
          <w:szCs w:val="22"/>
        </w:rPr>
        <w:t>angiotenzín konvertujúceho enzýmu (</w:t>
      </w:r>
      <w:r w:rsidRPr="00B048EB">
        <w:rPr>
          <w:bCs/>
          <w:sz w:val="22"/>
          <w:szCs w:val="22"/>
        </w:rPr>
        <w:t>ACE</w:t>
      </w:r>
      <w:r w:rsidR="005A38D0">
        <w:rPr>
          <w:bCs/>
          <w:sz w:val="22"/>
          <w:szCs w:val="22"/>
        </w:rPr>
        <w:t xml:space="preserve"> inhibítory</w:t>
      </w:r>
      <w:r w:rsidR="00C04604">
        <w:rPr>
          <w:bCs/>
          <w:sz w:val="22"/>
          <w:szCs w:val="22"/>
        </w:rPr>
        <w:t>)</w:t>
      </w:r>
      <w:r w:rsidRPr="00B048EB">
        <w:rPr>
          <w:bCs/>
          <w:sz w:val="22"/>
          <w:szCs w:val="22"/>
        </w:rPr>
        <w:t xml:space="preserve"> alebo antagonisty receptorov angiotenzínu II, </w:t>
      </w:r>
      <w:r w:rsidRPr="00B048EB">
        <w:rPr>
          <w:sz w:val="22"/>
          <w:szCs w:val="22"/>
        </w:rPr>
        <w:t>alebo sú starší</w:t>
      </w:r>
      <w:r w:rsidR="00D70298">
        <w:rPr>
          <w:sz w:val="22"/>
          <w:szCs w:val="22"/>
        </w:rPr>
        <w:t xml:space="preserve"> (pozri časť 4.5)</w:t>
      </w:r>
      <w:r w:rsidRPr="00B048EB">
        <w:rPr>
          <w:sz w:val="22"/>
          <w:szCs w:val="22"/>
        </w:rPr>
        <w:t xml:space="preserve">. Týchto pacientov treba počas liečby celekoxibom starostlivo </w:t>
      </w:r>
      <w:r w:rsidR="004F4F76">
        <w:rPr>
          <w:sz w:val="22"/>
          <w:szCs w:val="22"/>
        </w:rPr>
        <w:t>sledovať</w:t>
      </w:r>
      <w:r w:rsidRPr="00B048EB">
        <w:rPr>
          <w:sz w:val="22"/>
          <w:szCs w:val="22"/>
        </w:rPr>
        <w:t>.</w:t>
      </w:r>
    </w:p>
    <w:p w14:paraId="63D47B7D" w14:textId="77777777" w:rsidR="00FA71B4" w:rsidRPr="00B048EB" w:rsidRDefault="00FA71B4" w:rsidP="00F31FEF">
      <w:pPr>
        <w:tabs>
          <w:tab w:val="left" w:pos="567"/>
        </w:tabs>
        <w:rPr>
          <w:sz w:val="22"/>
          <w:szCs w:val="22"/>
        </w:rPr>
      </w:pPr>
    </w:p>
    <w:p w14:paraId="69924D63" w14:textId="5350B2FC" w:rsidR="00FA71B4" w:rsidRPr="00B048EB" w:rsidRDefault="00FA71B4" w:rsidP="00F31FEF">
      <w:pPr>
        <w:tabs>
          <w:tab w:val="left" w:pos="567"/>
        </w:tabs>
        <w:rPr>
          <w:sz w:val="22"/>
          <w:szCs w:val="22"/>
        </w:rPr>
      </w:pPr>
      <w:r w:rsidRPr="00B048EB">
        <w:rPr>
          <w:sz w:val="22"/>
          <w:szCs w:val="22"/>
        </w:rPr>
        <w:t xml:space="preserve">Počas liečby celekoxibom sa vyskytlo niekoľko prípadov </w:t>
      </w:r>
      <w:r w:rsidR="004F4F76">
        <w:rPr>
          <w:sz w:val="22"/>
          <w:szCs w:val="22"/>
        </w:rPr>
        <w:t>závažných</w:t>
      </w:r>
      <w:r w:rsidR="004F4F76" w:rsidRPr="00B048EB">
        <w:rPr>
          <w:sz w:val="22"/>
          <w:szCs w:val="22"/>
        </w:rPr>
        <w:t xml:space="preserve"> </w:t>
      </w:r>
      <w:r w:rsidRPr="00B048EB">
        <w:rPr>
          <w:sz w:val="22"/>
          <w:szCs w:val="22"/>
        </w:rPr>
        <w:t>hepatálnych reakcií vrátane fulminantnej hepatitídy (niektoré fatáln</w:t>
      </w:r>
      <w:r w:rsidR="00D70298">
        <w:rPr>
          <w:sz w:val="22"/>
          <w:szCs w:val="22"/>
        </w:rPr>
        <w:t>e</w:t>
      </w:r>
      <w:r w:rsidRPr="00B048EB">
        <w:rPr>
          <w:sz w:val="22"/>
          <w:szCs w:val="22"/>
        </w:rPr>
        <w:t>), hepatálnej nekrózy</w:t>
      </w:r>
      <w:r w:rsidR="00731C93">
        <w:rPr>
          <w:sz w:val="22"/>
          <w:szCs w:val="22"/>
        </w:rPr>
        <w:t xml:space="preserve"> a </w:t>
      </w:r>
      <w:r w:rsidRPr="00B048EB">
        <w:rPr>
          <w:sz w:val="22"/>
          <w:szCs w:val="22"/>
        </w:rPr>
        <w:t>hepatálneho zlyhania (niektoré fatáln</w:t>
      </w:r>
      <w:r w:rsidR="00D069BB">
        <w:rPr>
          <w:sz w:val="22"/>
          <w:szCs w:val="22"/>
        </w:rPr>
        <w:t>e</w:t>
      </w:r>
      <w:r w:rsidRPr="00B048EB">
        <w:rPr>
          <w:sz w:val="22"/>
          <w:szCs w:val="22"/>
        </w:rPr>
        <w:t xml:space="preserve"> alebo vyžadujúc</w:t>
      </w:r>
      <w:r w:rsidR="0011021B">
        <w:rPr>
          <w:sz w:val="22"/>
          <w:szCs w:val="22"/>
        </w:rPr>
        <w:t>e</w:t>
      </w:r>
      <w:r w:rsidRPr="00B048EB">
        <w:rPr>
          <w:sz w:val="22"/>
          <w:szCs w:val="22"/>
        </w:rPr>
        <w:t xml:space="preserve"> transplantáciu pečene). Medzi týmito prípadmi hlásenými na začiatku liečby sa väčšina </w:t>
      </w:r>
      <w:r w:rsidR="00D069BB">
        <w:rPr>
          <w:sz w:val="22"/>
          <w:szCs w:val="22"/>
        </w:rPr>
        <w:t>závažných</w:t>
      </w:r>
      <w:r w:rsidR="00D069BB" w:rsidRPr="00B048EB">
        <w:rPr>
          <w:sz w:val="22"/>
          <w:szCs w:val="22"/>
        </w:rPr>
        <w:t xml:space="preserve"> </w:t>
      </w:r>
      <w:r w:rsidRPr="00B048EB">
        <w:rPr>
          <w:sz w:val="22"/>
          <w:szCs w:val="22"/>
        </w:rPr>
        <w:t>nežiaducich hepatálnych príhod vyvinula počas jedného mesiaca po začatí liečby celekoxibom (pozri časť 4.8).</w:t>
      </w:r>
    </w:p>
    <w:p w14:paraId="2CAFCD25" w14:textId="77777777" w:rsidR="00FA71B4" w:rsidRPr="00B048EB" w:rsidRDefault="00FA71B4" w:rsidP="00F31FEF">
      <w:pPr>
        <w:tabs>
          <w:tab w:val="left" w:pos="567"/>
        </w:tabs>
        <w:rPr>
          <w:sz w:val="22"/>
          <w:szCs w:val="22"/>
        </w:rPr>
      </w:pPr>
    </w:p>
    <w:p w14:paraId="6F5DD9C8" w14:textId="77777777" w:rsidR="00FA71B4" w:rsidRPr="00B048EB" w:rsidRDefault="00FA71B4" w:rsidP="00F31FEF">
      <w:pPr>
        <w:tabs>
          <w:tab w:val="left" w:pos="567"/>
        </w:tabs>
        <w:rPr>
          <w:sz w:val="22"/>
          <w:szCs w:val="22"/>
        </w:rPr>
      </w:pPr>
      <w:r w:rsidRPr="00B048EB">
        <w:rPr>
          <w:sz w:val="22"/>
          <w:szCs w:val="22"/>
        </w:rPr>
        <w:t>Ak počas liečby dôjde u pacienta k zhoršeniu ktorejkoľvek z vyššie uvedených funkcií orgánových systémov, majú sa vykonať potrebné opatrenia a má sa zvážiť ukončenie liečby celekoxibom.</w:t>
      </w:r>
    </w:p>
    <w:p w14:paraId="7E78C996" w14:textId="77777777" w:rsidR="00FA71B4" w:rsidRPr="00B048EB" w:rsidRDefault="00FA71B4" w:rsidP="00F31FEF">
      <w:pPr>
        <w:tabs>
          <w:tab w:val="left" w:pos="567"/>
        </w:tabs>
        <w:rPr>
          <w:sz w:val="22"/>
          <w:szCs w:val="22"/>
        </w:rPr>
      </w:pPr>
    </w:p>
    <w:p w14:paraId="7ADA6A1D" w14:textId="77777777" w:rsidR="00ED7972" w:rsidRPr="00B048EB" w:rsidRDefault="00ED7972" w:rsidP="00DE5A3E">
      <w:pPr>
        <w:keepNext/>
        <w:tabs>
          <w:tab w:val="left" w:pos="567"/>
        </w:tabs>
        <w:ind w:left="567" w:hanging="567"/>
        <w:rPr>
          <w:sz w:val="22"/>
          <w:szCs w:val="22"/>
          <w:u w:val="single"/>
        </w:rPr>
      </w:pPr>
      <w:r w:rsidRPr="00B048EB">
        <w:rPr>
          <w:sz w:val="22"/>
          <w:szCs w:val="22"/>
          <w:u w:val="single"/>
        </w:rPr>
        <w:t>Inhibícia cytochrómu CYP2D6</w:t>
      </w:r>
    </w:p>
    <w:p w14:paraId="2825C6A9" w14:textId="6D711B7E" w:rsidR="00024F63" w:rsidRPr="00B048EB" w:rsidRDefault="00AF7C52" w:rsidP="00F31FEF">
      <w:pPr>
        <w:tabs>
          <w:tab w:val="left" w:pos="567"/>
        </w:tabs>
        <w:rPr>
          <w:sz w:val="22"/>
          <w:szCs w:val="22"/>
        </w:rPr>
      </w:pPr>
      <w:r w:rsidRPr="00E4745F">
        <w:rPr>
          <w:sz w:val="22"/>
          <w:szCs w:val="22"/>
        </w:rPr>
        <w:t>C</w:t>
      </w:r>
      <w:r w:rsidR="00ED7972" w:rsidRPr="00E4745F">
        <w:rPr>
          <w:sz w:val="22"/>
          <w:szCs w:val="22"/>
        </w:rPr>
        <w:t xml:space="preserve">elekoxib je inhibítor cytochrómu CYP2D6. </w:t>
      </w:r>
      <w:r w:rsidR="008725CE" w:rsidRPr="00E4745F">
        <w:rPr>
          <w:sz w:val="22"/>
          <w:szCs w:val="22"/>
        </w:rPr>
        <w:t xml:space="preserve">Hoci nie je silným inhibítorom tohto enzýmu, </w:t>
      </w:r>
      <w:r w:rsidR="00ED7972" w:rsidRPr="00E4745F">
        <w:rPr>
          <w:sz w:val="22"/>
          <w:szCs w:val="22"/>
        </w:rPr>
        <w:t xml:space="preserve">môže byť </w:t>
      </w:r>
      <w:r w:rsidR="009A7FB1">
        <w:rPr>
          <w:sz w:val="22"/>
          <w:szCs w:val="22"/>
        </w:rPr>
        <w:t xml:space="preserve">potrebné </w:t>
      </w:r>
      <w:r w:rsidR="00200560" w:rsidRPr="00602005">
        <w:rPr>
          <w:sz w:val="22"/>
          <w:szCs w:val="22"/>
        </w:rPr>
        <w:t xml:space="preserve">zníženie dávky </w:t>
      </w:r>
      <w:r w:rsidR="00410747">
        <w:rPr>
          <w:sz w:val="22"/>
          <w:szCs w:val="22"/>
        </w:rPr>
        <w:t>u</w:t>
      </w:r>
      <w:r w:rsidR="007312EC">
        <w:rPr>
          <w:sz w:val="22"/>
          <w:szCs w:val="22"/>
        </w:rPr>
        <w:t> </w:t>
      </w:r>
      <w:r w:rsidR="006134E2">
        <w:rPr>
          <w:sz w:val="22"/>
          <w:szCs w:val="22"/>
        </w:rPr>
        <w:t>individuálne</w:t>
      </w:r>
      <w:r w:rsidR="007312EC">
        <w:rPr>
          <w:sz w:val="22"/>
          <w:szCs w:val="22"/>
        </w:rPr>
        <w:t xml:space="preserve"> dávkovo</w:t>
      </w:r>
      <w:r w:rsidR="00200560">
        <w:rPr>
          <w:sz w:val="22"/>
          <w:szCs w:val="22"/>
        </w:rPr>
        <w:t xml:space="preserve"> titrovaných liekov, ktoré sú metabolizované prostredníctvom </w:t>
      </w:r>
      <w:r w:rsidR="00200560" w:rsidRPr="0029717B">
        <w:rPr>
          <w:sz w:val="22"/>
          <w:szCs w:val="22"/>
        </w:rPr>
        <w:t>CYP2D6</w:t>
      </w:r>
      <w:r w:rsidR="00ED7972" w:rsidRPr="00E4745F">
        <w:rPr>
          <w:sz w:val="22"/>
          <w:szCs w:val="22"/>
        </w:rPr>
        <w:t xml:space="preserve"> (pozri časť 4.5)</w:t>
      </w:r>
      <w:r w:rsidR="008E0BC5" w:rsidRPr="00E4745F">
        <w:rPr>
          <w:sz w:val="22"/>
          <w:szCs w:val="22"/>
        </w:rPr>
        <w:t>.</w:t>
      </w:r>
    </w:p>
    <w:p w14:paraId="4C42F911" w14:textId="77777777" w:rsidR="00FA71B4" w:rsidRPr="00DE5A3E" w:rsidRDefault="00FA71B4" w:rsidP="00DE5A3E">
      <w:pPr>
        <w:tabs>
          <w:tab w:val="left" w:pos="567"/>
        </w:tabs>
        <w:rPr>
          <w:sz w:val="22"/>
        </w:rPr>
      </w:pPr>
    </w:p>
    <w:p w14:paraId="4059D971" w14:textId="27389900" w:rsidR="0016406E" w:rsidRPr="004B560F" w:rsidRDefault="0016406E" w:rsidP="00370DBB">
      <w:pPr>
        <w:keepNext/>
        <w:widowControl/>
        <w:tabs>
          <w:tab w:val="left" w:pos="567"/>
        </w:tabs>
        <w:rPr>
          <w:sz w:val="22"/>
          <w:szCs w:val="22"/>
          <w:u w:val="single"/>
        </w:rPr>
      </w:pPr>
      <w:r w:rsidRPr="00DE5A3E">
        <w:rPr>
          <w:sz w:val="22"/>
          <w:u w:val="single"/>
        </w:rPr>
        <w:t xml:space="preserve">Pacienti </w:t>
      </w:r>
      <w:r w:rsidRPr="004B560F">
        <w:rPr>
          <w:sz w:val="22"/>
          <w:szCs w:val="22"/>
          <w:u w:val="single"/>
        </w:rPr>
        <w:t>s nízkou aktivitou CYP2C9 (slabí metabolizéri)</w:t>
      </w:r>
    </w:p>
    <w:p w14:paraId="51F79CD7" w14:textId="415261F4" w:rsidR="00FA71B4" w:rsidRPr="00B048EB" w:rsidRDefault="00FA71B4" w:rsidP="00DE5A3E">
      <w:pPr>
        <w:widowControl/>
        <w:tabs>
          <w:tab w:val="left" w:pos="567"/>
        </w:tabs>
        <w:rPr>
          <w:sz w:val="22"/>
          <w:szCs w:val="22"/>
        </w:rPr>
      </w:pPr>
      <w:r w:rsidRPr="00B048EB">
        <w:rPr>
          <w:sz w:val="22"/>
          <w:szCs w:val="22"/>
        </w:rPr>
        <w:t>Pacienti, o ktorých sa vie, že majú nízku aktivitu CYP2C9</w:t>
      </w:r>
      <w:r w:rsidR="004F4F76">
        <w:rPr>
          <w:sz w:val="22"/>
          <w:szCs w:val="22"/>
        </w:rPr>
        <w:t xml:space="preserve"> (slabí metabolizéri)</w:t>
      </w:r>
      <w:r w:rsidRPr="00B048EB">
        <w:rPr>
          <w:sz w:val="22"/>
          <w:szCs w:val="22"/>
        </w:rPr>
        <w:t>, musia byť liečení s opatrnosťou (pozri časť 5.2).</w:t>
      </w:r>
    </w:p>
    <w:p w14:paraId="2348C750" w14:textId="77777777" w:rsidR="00FA71B4" w:rsidRPr="00B048EB" w:rsidRDefault="00FA71B4" w:rsidP="00F31FEF">
      <w:pPr>
        <w:tabs>
          <w:tab w:val="left" w:pos="567"/>
        </w:tabs>
        <w:rPr>
          <w:sz w:val="22"/>
          <w:szCs w:val="22"/>
        </w:rPr>
      </w:pPr>
    </w:p>
    <w:p w14:paraId="3A130E6C" w14:textId="77777777" w:rsidR="00ED7972" w:rsidRPr="00B048EB" w:rsidRDefault="00ED7972" w:rsidP="00DE5A3E">
      <w:pPr>
        <w:keepNext/>
        <w:tabs>
          <w:tab w:val="left" w:pos="567"/>
        </w:tabs>
        <w:ind w:left="567" w:hanging="567"/>
        <w:rPr>
          <w:sz w:val="22"/>
          <w:szCs w:val="22"/>
          <w:u w:val="single"/>
        </w:rPr>
      </w:pPr>
      <w:r w:rsidRPr="00B048EB">
        <w:rPr>
          <w:sz w:val="22"/>
          <w:szCs w:val="22"/>
          <w:u w:val="single"/>
        </w:rPr>
        <w:t xml:space="preserve">Závažné kožné </w:t>
      </w:r>
      <w:r w:rsidR="004F4F76">
        <w:rPr>
          <w:sz w:val="22"/>
          <w:szCs w:val="22"/>
          <w:u w:val="single"/>
        </w:rPr>
        <w:t xml:space="preserve">a systémové hypersenzitívne </w:t>
      </w:r>
      <w:r w:rsidRPr="00B048EB">
        <w:rPr>
          <w:sz w:val="22"/>
          <w:szCs w:val="22"/>
          <w:u w:val="single"/>
        </w:rPr>
        <w:t>reakcie</w:t>
      </w:r>
    </w:p>
    <w:p w14:paraId="081D0E38" w14:textId="4B7E5024" w:rsidR="00FA71B4" w:rsidRPr="00B048EB" w:rsidRDefault="004F4F76" w:rsidP="00F31FEF">
      <w:pPr>
        <w:tabs>
          <w:tab w:val="left" w:pos="567"/>
        </w:tabs>
        <w:rPr>
          <w:sz w:val="22"/>
          <w:szCs w:val="22"/>
        </w:rPr>
      </w:pPr>
      <w:r>
        <w:rPr>
          <w:sz w:val="22"/>
          <w:szCs w:val="22"/>
        </w:rPr>
        <w:t>V</w:t>
      </w:r>
      <w:r w:rsidRPr="00B048EB">
        <w:rPr>
          <w:sz w:val="22"/>
          <w:szCs w:val="22"/>
        </w:rPr>
        <w:t> </w:t>
      </w:r>
      <w:r>
        <w:rPr>
          <w:sz w:val="22"/>
          <w:szCs w:val="22"/>
        </w:rPr>
        <w:t>súvislosti</w:t>
      </w:r>
      <w:r w:rsidRPr="00B048EB">
        <w:rPr>
          <w:sz w:val="22"/>
          <w:szCs w:val="22"/>
        </w:rPr>
        <w:t xml:space="preserve"> s užívaním celekoxibu</w:t>
      </w:r>
      <w:r>
        <w:rPr>
          <w:sz w:val="22"/>
          <w:szCs w:val="22"/>
        </w:rPr>
        <w:t xml:space="preserve"> sa veľmi zriedkavo zaznamenali z</w:t>
      </w:r>
      <w:r w:rsidR="00FA71B4" w:rsidRPr="00B048EB">
        <w:rPr>
          <w:sz w:val="22"/>
          <w:szCs w:val="22"/>
        </w:rPr>
        <w:t>ávažné kožné reakcie, niektoré z nich fatálne, vrátane exfoliatívnej dermatitídy, Stevensovho-Johnsonovho syndrómu a toxickej epidermálnej nekrolýzy</w:t>
      </w:r>
      <w:r>
        <w:rPr>
          <w:sz w:val="22"/>
          <w:szCs w:val="22"/>
        </w:rPr>
        <w:t xml:space="preserve"> </w:t>
      </w:r>
      <w:r w:rsidR="00FA71B4" w:rsidRPr="00B048EB">
        <w:rPr>
          <w:sz w:val="22"/>
          <w:szCs w:val="22"/>
        </w:rPr>
        <w:t xml:space="preserve">(pozri časť 4.8). Zdá sa, že najvyššie riziko týchto reakcií je u pacientov na začiatku liečby, vo väčšine prípadov nastupuje reakcia počas prvého mesiaca liečby. Závažné </w:t>
      </w:r>
      <w:r w:rsidR="00806A9E">
        <w:rPr>
          <w:sz w:val="22"/>
          <w:szCs w:val="22"/>
        </w:rPr>
        <w:t xml:space="preserve">hypersenzitívne </w:t>
      </w:r>
      <w:r w:rsidR="00FA71B4" w:rsidRPr="00B048EB">
        <w:rPr>
          <w:sz w:val="22"/>
          <w:szCs w:val="22"/>
        </w:rPr>
        <w:t>reakcie (</w:t>
      </w:r>
      <w:r w:rsidR="00200560">
        <w:rPr>
          <w:sz w:val="22"/>
          <w:szCs w:val="22"/>
        </w:rPr>
        <w:t xml:space="preserve">vrátane </w:t>
      </w:r>
      <w:r w:rsidR="00FA71B4" w:rsidRPr="00B048EB">
        <w:rPr>
          <w:sz w:val="22"/>
          <w:szCs w:val="22"/>
        </w:rPr>
        <w:t>anafylaxi</w:t>
      </w:r>
      <w:r w:rsidR="00200560">
        <w:rPr>
          <w:sz w:val="22"/>
          <w:szCs w:val="22"/>
        </w:rPr>
        <w:t>e</w:t>
      </w:r>
      <w:r w:rsidR="0011021B">
        <w:rPr>
          <w:sz w:val="22"/>
          <w:szCs w:val="22"/>
        </w:rPr>
        <w:t>,</w:t>
      </w:r>
      <w:r w:rsidR="00FA71B4" w:rsidRPr="00B048EB">
        <w:rPr>
          <w:sz w:val="22"/>
          <w:szCs w:val="22"/>
        </w:rPr>
        <w:t xml:space="preserve"> angioedém</w:t>
      </w:r>
      <w:r w:rsidR="00200560">
        <w:rPr>
          <w:sz w:val="22"/>
          <w:szCs w:val="22"/>
        </w:rPr>
        <w:t>u</w:t>
      </w:r>
      <w:r w:rsidR="00731C93">
        <w:rPr>
          <w:sz w:val="22"/>
          <w:szCs w:val="22"/>
        </w:rPr>
        <w:t xml:space="preserve"> a </w:t>
      </w:r>
      <w:r w:rsidR="0011021B">
        <w:rPr>
          <w:sz w:val="22"/>
          <w:szCs w:val="22"/>
        </w:rPr>
        <w:t>liekom vyvolan</w:t>
      </w:r>
      <w:r w:rsidR="00200560">
        <w:rPr>
          <w:sz w:val="22"/>
          <w:szCs w:val="22"/>
        </w:rPr>
        <w:t>ej vyrážky</w:t>
      </w:r>
      <w:r w:rsidR="0011021B">
        <w:rPr>
          <w:sz w:val="22"/>
          <w:szCs w:val="22"/>
        </w:rPr>
        <w:t xml:space="preserve"> s eozinofíliou </w:t>
      </w:r>
      <w:r w:rsidR="0011021B">
        <w:rPr>
          <w:sz w:val="22"/>
          <w:szCs w:val="22"/>
        </w:rPr>
        <w:lastRenderedPageBreak/>
        <w:t>a systémovými príznakmi (DRESS</w:t>
      </w:r>
      <w:r w:rsidR="00200560">
        <w:rPr>
          <w:sz w:val="22"/>
          <w:szCs w:val="22"/>
        </w:rPr>
        <w:t xml:space="preserve"> - Drug Rash with Eosinophilia and Systemic S</w:t>
      </w:r>
      <w:r w:rsidR="00200560" w:rsidRPr="00016076">
        <w:rPr>
          <w:sz w:val="22"/>
          <w:szCs w:val="22"/>
        </w:rPr>
        <w:t>ymptoms</w:t>
      </w:r>
      <w:r w:rsidR="0011021B">
        <w:rPr>
          <w:sz w:val="22"/>
          <w:szCs w:val="22"/>
        </w:rPr>
        <w:t xml:space="preserve">) alebo </w:t>
      </w:r>
      <w:r w:rsidR="00BE166E">
        <w:rPr>
          <w:sz w:val="22"/>
          <w:szCs w:val="22"/>
        </w:rPr>
        <w:t xml:space="preserve">hypersenzitívny </w:t>
      </w:r>
      <w:r w:rsidR="0011021B">
        <w:rPr>
          <w:sz w:val="22"/>
          <w:szCs w:val="22"/>
        </w:rPr>
        <w:t>syndróm</w:t>
      </w:r>
      <w:r w:rsidR="00FA71B4" w:rsidRPr="00B048EB">
        <w:rPr>
          <w:sz w:val="22"/>
          <w:szCs w:val="22"/>
        </w:rPr>
        <w:t xml:space="preserve">) boli hlásené u pacientov užívajúcich celekoxib (pozri časť 4.8). Zvýšené riziko závažných kožných reakcií alebo </w:t>
      </w:r>
      <w:r w:rsidR="00806A9E">
        <w:rPr>
          <w:sz w:val="22"/>
          <w:szCs w:val="22"/>
        </w:rPr>
        <w:t xml:space="preserve">hypersenzitívnych </w:t>
      </w:r>
      <w:r w:rsidR="00FA71B4" w:rsidRPr="00B048EB">
        <w:rPr>
          <w:sz w:val="22"/>
          <w:szCs w:val="22"/>
        </w:rPr>
        <w:t>reakcií môžu mať pacienti s alergiou na sulf</w:t>
      </w:r>
      <w:r w:rsidR="000F2C6E" w:rsidRPr="00B048EB">
        <w:rPr>
          <w:sz w:val="22"/>
          <w:szCs w:val="22"/>
        </w:rPr>
        <w:t>ó</w:t>
      </w:r>
      <w:r w:rsidR="00FA71B4" w:rsidRPr="00B048EB">
        <w:rPr>
          <w:sz w:val="22"/>
          <w:szCs w:val="22"/>
        </w:rPr>
        <w:t>namidy alebo alergiou na akýkoľvek liek</w:t>
      </w:r>
      <w:r w:rsidR="00731C93">
        <w:rPr>
          <w:sz w:val="22"/>
          <w:szCs w:val="22"/>
        </w:rPr>
        <w:t xml:space="preserve"> v </w:t>
      </w:r>
      <w:r w:rsidR="00FA71B4" w:rsidRPr="00B048EB">
        <w:rPr>
          <w:sz w:val="22"/>
          <w:szCs w:val="22"/>
        </w:rPr>
        <w:t xml:space="preserve">anamnéze (pozri časť 4.3). </w:t>
      </w:r>
      <w:r w:rsidR="00BE166E">
        <w:rPr>
          <w:sz w:val="22"/>
          <w:szCs w:val="22"/>
        </w:rPr>
        <w:t>Liečba c</w:t>
      </w:r>
      <w:r w:rsidR="00FA71B4" w:rsidRPr="00B048EB">
        <w:rPr>
          <w:sz w:val="22"/>
          <w:szCs w:val="22"/>
        </w:rPr>
        <w:t>elekoxib</w:t>
      </w:r>
      <w:r w:rsidR="00BE166E">
        <w:rPr>
          <w:sz w:val="22"/>
          <w:szCs w:val="22"/>
        </w:rPr>
        <w:t>om</w:t>
      </w:r>
      <w:r w:rsidR="00FA71B4" w:rsidRPr="00B048EB">
        <w:rPr>
          <w:sz w:val="22"/>
          <w:szCs w:val="22"/>
        </w:rPr>
        <w:t xml:space="preserve"> sa musí </w:t>
      </w:r>
      <w:r w:rsidR="00BE166E">
        <w:rPr>
          <w:sz w:val="22"/>
          <w:szCs w:val="22"/>
        </w:rPr>
        <w:t>ukončiť</w:t>
      </w:r>
      <w:r w:rsidR="00FA71B4" w:rsidRPr="00B048EB">
        <w:rPr>
          <w:sz w:val="22"/>
          <w:szCs w:val="22"/>
        </w:rPr>
        <w:t xml:space="preserve"> pri prvom </w:t>
      </w:r>
      <w:r w:rsidR="00200560">
        <w:rPr>
          <w:sz w:val="22"/>
          <w:szCs w:val="22"/>
        </w:rPr>
        <w:t>výskyte</w:t>
      </w:r>
      <w:r w:rsidR="00FA71B4" w:rsidRPr="00B048EB">
        <w:rPr>
          <w:sz w:val="22"/>
          <w:szCs w:val="22"/>
        </w:rPr>
        <w:t xml:space="preserve"> kožnej vyrážky, slizničných lézií alebo akéhokoľvek iného príznaku </w:t>
      </w:r>
      <w:r w:rsidR="00806A9E">
        <w:rPr>
          <w:sz w:val="22"/>
          <w:szCs w:val="22"/>
        </w:rPr>
        <w:t>hypersenzitivity</w:t>
      </w:r>
      <w:r w:rsidR="00FA71B4" w:rsidRPr="00B048EB">
        <w:rPr>
          <w:sz w:val="22"/>
          <w:szCs w:val="22"/>
        </w:rPr>
        <w:t>.</w:t>
      </w:r>
    </w:p>
    <w:p w14:paraId="5DB72AAC" w14:textId="77777777" w:rsidR="000F2C6E" w:rsidRPr="00B048EB" w:rsidRDefault="000F2C6E" w:rsidP="00F31FEF">
      <w:pPr>
        <w:tabs>
          <w:tab w:val="left" w:pos="567"/>
        </w:tabs>
        <w:rPr>
          <w:sz w:val="22"/>
          <w:szCs w:val="22"/>
        </w:rPr>
      </w:pPr>
    </w:p>
    <w:p w14:paraId="56ECE864" w14:textId="77777777" w:rsidR="00200560" w:rsidRPr="00B048EB" w:rsidRDefault="00200560" w:rsidP="00DE5A3E">
      <w:pPr>
        <w:keepNext/>
        <w:tabs>
          <w:tab w:val="left" w:pos="567"/>
        </w:tabs>
        <w:rPr>
          <w:sz w:val="22"/>
          <w:szCs w:val="22"/>
          <w:u w:val="single"/>
        </w:rPr>
      </w:pPr>
      <w:r w:rsidRPr="00B048EB">
        <w:rPr>
          <w:sz w:val="22"/>
          <w:szCs w:val="22"/>
          <w:u w:val="single"/>
        </w:rPr>
        <w:t>Všeobecné informácie</w:t>
      </w:r>
    </w:p>
    <w:p w14:paraId="599C3159" w14:textId="142E388F" w:rsidR="00200560" w:rsidRDefault="00200560" w:rsidP="00200560">
      <w:pPr>
        <w:tabs>
          <w:tab w:val="left" w:pos="567"/>
        </w:tabs>
        <w:rPr>
          <w:sz w:val="22"/>
          <w:szCs w:val="22"/>
        </w:rPr>
      </w:pPr>
      <w:r w:rsidRPr="00B048EB">
        <w:rPr>
          <w:sz w:val="22"/>
          <w:szCs w:val="22"/>
        </w:rPr>
        <w:t>Celekoxib môže maskovať horúčku</w:t>
      </w:r>
      <w:r w:rsidR="00731C93">
        <w:rPr>
          <w:sz w:val="22"/>
          <w:szCs w:val="22"/>
        </w:rPr>
        <w:t xml:space="preserve"> a </w:t>
      </w:r>
      <w:r w:rsidRPr="00B048EB">
        <w:rPr>
          <w:sz w:val="22"/>
          <w:szCs w:val="22"/>
        </w:rPr>
        <w:t>ďalšie prejavy zápalu.</w:t>
      </w:r>
    </w:p>
    <w:p w14:paraId="581E082F" w14:textId="77777777" w:rsidR="00200560" w:rsidRPr="00B048EB" w:rsidRDefault="00200560" w:rsidP="00200560">
      <w:pPr>
        <w:tabs>
          <w:tab w:val="left" w:pos="567"/>
        </w:tabs>
        <w:rPr>
          <w:sz w:val="22"/>
          <w:szCs w:val="22"/>
        </w:rPr>
      </w:pPr>
    </w:p>
    <w:p w14:paraId="132CDFA6" w14:textId="4C3C7275" w:rsidR="00FA71B4" w:rsidRPr="00B048EB" w:rsidRDefault="00ED7972" w:rsidP="00DE5A3E">
      <w:pPr>
        <w:keepNext/>
        <w:tabs>
          <w:tab w:val="left" w:pos="567"/>
        </w:tabs>
        <w:rPr>
          <w:sz w:val="22"/>
          <w:szCs w:val="22"/>
          <w:u w:val="single"/>
        </w:rPr>
      </w:pPr>
      <w:r w:rsidRPr="00B048EB">
        <w:rPr>
          <w:sz w:val="22"/>
          <w:szCs w:val="22"/>
          <w:u w:val="single"/>
        </w:rPr>
        <w:t>Použitie</w:t>
      </w:r>
      <w:r w:rsidR="00731C93">
        <w:rPr>
          <w:sz w:val="22"/>
          <w:szCs w:val="22"/>
          <w:u w:val="single"/>
        </w:rPr>
        <w:t xml:space="preserve"> s </w:t>
      </w:r>
      <w:r w:rsidRPr="00B048EB">
        <w:rPr>
          <w:sz w:val="22"/>
          <w:szCs w:val="22"/>
          <w:u w:val="single"/>
        </w:rPr>
        <w:t>perorálnymi antikoagulan</w:t>
      </w:r>
      <w:r w:rsidR="008E0BC5" w:rsidRPr="00B048EB">
        <w:rPr>
          <w:sz w:val="22"/>
          <w:szCs w:val="22"/>
          <w:u w:val="single"/>
        </w:rPr>
        <w:t>cia</w:t>
      </w:r>
      <w:r w:rsidR="00360B69" w:rsidRPr="00B048EB">
        <w:rPr>
          <w:sz w:val="22"/>
          <w:szCs w:val="22"/>
          <w:u w:val="single"/>
        </w:rPr>
        <w:t>mi</w:t>
      </w:r>
    </w:p>
    <w:p w14:paraId="3B8C9E59" w14:textId="4E1CE1CD" w:rsidR="00C369D2" w:rsidRDefault="00C369D2" w:rsidP="00F31FEF">
      <w:pPr>
        <w:tabs>
          <w:tab w:val="left" w:pos="567"/>
        </w:tabs>
        <w:rPr>
          <w:sz w:val="22"/>
          <w:szCs w:val="22"/>
        </w:rPr>
      </w:pPr>
      <w:r>
        <w:rPr>
          <w:sz w:val="22"/>
          <w:szCs w:val="22"/>
        </w:rPr>
        <w:t xml:space="preserve">U pacientov súbežne liečených warfarínom sa zaznamenali závažné príhody krvácania, niektoré z nich fatálne. Počas súbežnej liečby sa zaznamenalo </w:t>
      </w:r>
      <w:r w:rsidR="00C828A7">
        <w:rPr>
          <w:sz w:val="22"/>
          <w:szCs w:val="22"/>
        </w:rPr>
        <w:t>predĺženie</w:t>
      </w:r>
      <w:r>
        <w:rPr>
          <w:sz w:val="22"/>
          <w:szCs w:val="22"/>
        </w:rPr>
        <w:t xml:space="preserve"> protrombínového času (INR - </w:t>
      </w:r>
      <w:r w:rsidRPr="00C369D2">
        <w:rPr>
          <w:sz w:val="22"/>
          <w:szCs w:val="22"/>
        </w:rPr>
        <w:t xml:space="preserve">International </w:t>
      </w:r>
      <w:r>
        <w:rPr>
          <w:sz w:val="22"/>
          <w:szCs w:val="22"/>
        </w:rPr>
        <w:t>N</w:t>
      </w:r>
      <w:r w:rsidRPr="00C369D2">
        <w:rPr>
          <w:sz w:val="22"/>
          <w:szCs w:val="22"/>
        </w:rPr>
        <w:t xml:space="preserve">ormalized </w:t>
      </w:r>
      <w:r>
        <w:rPr>
          <w:sz w:val="22"/>
          <w:szCs w:val="22"/>
        </w:rPr>
        <w:t>R</w:t>
      </w:r>
      <w:r w:rsidRPr="00C369D2">
        <w:rPr>
          <w:sz w:val="22"/>
          <w:szCs w:val="22"/>
        </w:rPr>
        <w:t>atio</w:t>
      </w:r>
      <w:r>
        <w:rPr>
          <w:sz w:val="22"/>
          <w:szCs w:val="22"/>
        </w:rPr>
        <w:t xml:space="preserve">). Z toho dôvodu </w:t>
      </w:r>
      <w:r w:rsidR="00C828A7">
        <w:rPr>
          <w:sz w:val="22"/>
          <w:szCs w:val="22"/>
        </w:rPr>
        <w:t>sa má</w:t>
      </w:r>
      <w:r>
        <w:rPr>
          <w:sz w:val="22"/>
          <w:szCs w:val="22"/>
        </w:rPr>
        <w:t xml:space="preserve"> starostlivo sledovať</w:t>
      </w:r>
      <w:r w:rsidR="00731C93">
        <w:rPr>
          <w:sz w:val="22"/>
          <w:szCs w:val="22"/>
        </w:rPr>
        <w:t xml:space="preserve"> u </w:t>
      </w:r>
      <w:r w:rsidR="00037323">
        <w:rPr>
          <w:sz w:val="22"/>
          <w:szCs w:val="22"/>
        </w:rPr>
        <w:t xml:space="preserve">pacientov, ktorí sú liečení </w:t>
      </w:r>
      <w:r w:rsidRPr="00B048EB">
        <w:rPr>
          <w:sz w:val="22"/>
          <w:szCs w:val="22"/>
        </w:rPr>
        <w:t>warfarínom</w:t>
      </w:r>
      <w:r w:rsidR="00037323">
        <w:rPr>
          <w:sz w:val="22"/>
          <w:szCs w:val="22"/>
        </w:rPr>
        <w:t xml:space="preserve"> / antikoagulanciami kumarínového typu, obzvlášť na začiatku liečby celekoxibom alebo pri zmene dávky celekoxibu </w:t>
      </w:r>
      <w:r w:rsidRPr="00B048EB">
        <w:rPr>
          <w:sz w:val="22"/>
          <w:szCs w:val="22"/>
        </w:rPr>
        <w:t>(pozri časť 4.5).</w:t>
      </w:r>
      <w:r w:rsidR="00037323">
        <w:rPr>
          <w:sz w:val="22"/>
          <w:szCs w:val="22"/>
        </w:rPr>
        <w:t xml:space="preserve"> </w:t>
      </w:r>
      <w:r w:rsidRPr="00B048EB">
        <w:rPr>
          <w:sz w:val="22"/>
          <w:szCs w:val="22"/>
        </w:rPr>
        <w:t xml:space="preserve">Súbežné užívanie </w:t>
      </w:r>
      <w:r w:rsidR="00037323">
        <w:rPr>
          <w:sz w:val="22"/>
          <w:szCs w:val="22"/>
        </w:rPr>
        <w:t>NSAID</w:t>
      </w:r>
      <w:r w:rsidR="00731C93">
        <w:rPr>
          <w:sz w:val="22"/>
          <w:szCs w:val="22"/>
        </w:rPr>
        <w:t xml:space="preserve"> s </w:t>
      </w:r>
      <w:r w:rsidRPr="00B048EB">
        <w:rPr>
          <w:sz w:val="22"/>
          <w:szCs w:val="22"/>
        </w:rPr>
        <w:t>perorálnymi antikoagulanciami</w:t>
      </w:r>
      <w:r w:rsidR="00037323">
        <w:rPr>
          <w:sz w:val="22"/>
          <w:szCs w:val="22"/>
        </w:rPr>
        <w:t xml:space="preserve"> môže</w:t>
      </w:r>
      <w:r w:rsidRPr="00B048EB">
        <w:rPr>
          <w:sz w:val="22"/>
          <w:szCs w:val="22"/>
        </w:rPr>
        <w:t xml:space="preserve"> zv</w:t>
      </w:r>
      <w:r w:rsidR="00037323">
        <w:rPr>
          <w:sz w:val="22"/>
          <w:szCs w:val="22"/>
        </w:rPr>
        <w:t>ýšiť</w:t>
      </w:r>
      <w:r w:rsidRPr="00B048EB">
        <w:rPr>
          <w:sz w:val="22"/>
          <w:szCs w:val="22"/>
        </w:rPr>
        <w:t xml:space="preserve"> riziko krvácania</w:t>
      </w:r>
      <w:r w:rsidR="00037323">
        <w:rPr>
          <w:sz w:val="22"/>
          <w:szCs w:val="22"/>
        </w:rPr>
        <w:t xml:space="preserve">. Je potrebné postupovať s opatrnosťou, ak sa celekoxib kombinuje s warfarínom alebo inými antikoagulanciami, vrátane antikoagulancií nového typu (napr. </w:t>
      </w:r>
      <w:r w:rsidR="00037323" w:rsidRPr="00B048EB">
        <w:rPr>
          <w:sz w:val="22"/>
          <w:szCs w:val="22"/>
        </w:rPr>
        <w:t>apixab</w:t>
      </w:r>
      <w:r w:rsidR="00806A9E">
        <w:rPr>
          <w:sz w:val="22"/>
          <w:szCs w:val="22"/>
        </w:rPr>
        <w:t>á</w:t>
      </w:r>
      <w:r w:rsidR="00037323" w:rsidRPr="00B048EB">
        <w:rPr>
          <w:sz w:val="22"/>
          <w:szCs w:val="22"/>
        </w:rPr>
        <w:t>n, dabigatr</w:t>
      </w:r>
      <w:r w:rsidR="00E56231">
        <w:rPr>
          <w:sz w:val="22"/>
          <w:szCs w:val="22"/>
        </w:rPr>
        <w:t>á</w:t>
      </w:r>
      <w:r w:rsidR="00037323" w:rsidRPr="00B048EB">
        <w:rPr>
          <w:sz w:val="22"/>
          <w:szCs w:val="22"/>
        </w:rPr>
        <w:t>n</w:t>
      </w:r>
      <w:r w:rsidR="00731C93">
        <w:rPr>
          <w:sz w:val="22"/>
          <w:szCs w:val="22"/>
        </w:rPr>
        <w:t xml:space="preserve"> a </w:t>
      </w:r>
      <w:r w:rsidR="00037323" w:rsidRPr="00B048EB">
        <w:rPr>
          <w:sz w:val="22"/>
          <w:szCs w:val="22"/>
        </w:rPr>
        <w:t>rivaroxab</w:t>
      </w:r>
      <w:r w:rsidR="00806A9E">
        <w:rPr>
          <w:sz w:val="22"/>
          <w:szCs w:val="22"/>
        </w:rPr>
        <w:t>á</w:t>
      </w:r>
      <w:r w:rsidR="00037323" w:rsidRPr="00B048EB">
        <w:rPr>
          <w:sz w:val="22"/>
          <w:szCs w:val="22"/>
        </w:rPr>
        <w:t>n</w:t>
      </w:r>
      <w:r w:rsidR="00037323">
        <w:rPr>
          <w:sz w:val="22"/>
          <w:szCs w:val="22"/>
        </w:rPr>
        <w:t>).</w:t>
      </w:r>
    </w:p>
    <w:p w14:paraId="1CA39B45" w14:textId="77777777" w:rsidR="00C369D2" w:rsidRDefault="00C369D2" w:rsidP="00F31FEF">
      <w:pPr>
        <w:tabs>
          <w:tab w:val="left" w:pos="567"/>
        </w:tabs>
        <w:rPr>
          <w:sz w:val="22"/>
          <w:szCs w:val="22"/>
        </w:rPr>
      </w:pPr>
    </w:p>
    <w:p w14:paraId="4B885EDD" w14:textId="77777777" w:rsidR="00BE166E" w:rsidRPr="004B560F" w:rsidRDefault="00BE166E" w:rsidP="004B560F">
      <w:pPr>
        <w:keepNext/>
        <w:tabs>
          <w:tab w:val="left" w:pos="567"/>
        </w:tabs>
        <w:rPr>
          <w:bCs/>
          <w:sz w:val="22"/>
          <w:szCs w:val="22"/>
          <w:u w:val="single"/>
        </w:rPr>
      </w:pPr>
      <w:r w:rsidRPr="004B560F">
        <w:rPr>
          <w:bCs/>
          <w:sz w:val="22"/>
          <w:szCs w:val="22"/>
          <w:u w:val="single"/>
        </w:rPr>
        <w:t>Pomocné látky</w:t>
      </w:r>
    </w:p>
    <w:p w14:paraId="49AC11FC" w14:textId="373C357A" w:rsidR="00FA71B4" w:rsidRPr="00B048EB" w:rsidRDefault="00FA71B4" w:rsidP="00B4110D">
      <w:pPr>
        <w:tabs>
          <w:tab w:val="left" w:pos="567"/>
        </w:tabs>
        <w:rPr>
          <w:sz w:val="22"/>
          <w:szCs w:val="22"/>
        </w:rPr>
      </w:pPr>
      <w:r w:rsidRPr="00B048EB">
        <w:rPr>
          <w:bCs/>
          <w:sz w:val="22"/>
          <w:szCs w:val="22"/>
        </w:rPr>
        <w:t xml:space="preserve">Kapsuly </w:t>
      </w:r>
      <w:r w:rsidR="000E2670" w:rsidRPr="00B048EB">
        <w:rPr>
          <w:bCs/>
          <w:sz w:val="22"/>
          <w:szCs w:val="22"/>
        </w:rPr>
        <w:t>CELEBREX</w:t>
      </w:r>
      <w:r w:rsidRPr="00B048EB">
        <w:rPr>
          <w:sz w:val="22"/>
          <w:szCs w:val="22"/>
        </w:rPr>
        <w:t xml:space="preserve"> 100 mg</w:t>
      </w:r>
      <w:r w:rsidR="00731C93">
        <w:rPr>
          <w:sz w:val="22"/>
          <w:szCs w:val="22"/>
        </w:rPr>
        <w:t xml:space="preserve"> a </w:t>
      </w:r>
      <w:r w:rsidRPr="00B048EB">
        <w:rPr>
          <w:sz w:val="22"/>
          <w:szCs w:val="22"/>
        </w:rPr>
        <w:t>200 mg obsahuj</w:t>
      </w:r>
      <w:r w:rsidR="00D06AC5" w:rsidRPr="00B048EB">
        <w:rPr>
          <w:sz w:val="22"/>
          <w:szCs w:val="22"/>
        </w:rPr>
        <w:t>ú</w:t>
      </w:r>
      <w:r w:rsidRPr="00B048EB">
        <w:rPr>
          <w:sz w:val="22"/>
          <w:szCs w:val="22"/>
        </w:rPr>
        <w:t xml:space="preserve"> laktózu (149,7 mg resp. 49,8 mg). </w:t>
      </w:r>
      <w:r w:rsidR="00B4110D" w:rsidRPr="00B4110D">
        <w:rPr>
          <w:sz w:val="22"/>
          <w:szCs w:val="22"/>
        </w:rPr>
        <w:t>Pacienti so zriedkavými dedičnými</w:t>
      </w:r>
      <w:r w:rsidR="00B4110D">
        <w:rPr>
          <w:sz w:val="22"/>
          <w:szCs w:val="22"/>
        </w:rPr>
        <w:t xml:space="preserve"> </w:t>
      </w:r>
      <w:r w:rsidR="00B4110D" w:rsidRPr="00B4110D">
        <w:rPr>
          <w:sz w:val="22"/>
          <w:szCs w:val="22"/>
        </w:rPr>
        <w:t>problémami galaktózovej intolerancie, celkovým</w:t>
      </w:r>
      <w:r w:rsidR="00B4110D">
        <w:rPr>
          <w:sz w:val="22"/>
          <w:szCs w:val="22"/>
        </w:rPr>
        <w:t xml:space="preserve"> </w:t>
      </w:r>
      <w:r w:rsidR="00B4110D" w:rsidRPr="00B4110D">
        <w:rPr>
          <w:sz w:val="22"/>
          <w:szCs w:val="22"/>
        </w:rPr>
        <w:t>deficitom laktázy alebo glukózo-galaktózovou</w:t>
      </w:r>
      <w:r w:rsidR="00B4110D">
        <w:rPr>
          <w:sz w:val="22"/>
          <w:szCs w:val="22"/>
        </w:rPr>
        <w:t xml:space="preserve"> </w:t>
      </w:r>
      <w:r w:rsidR="00B4110D" w:rsidRPr="00B4110D">
        <w:rPr>
          <w:sz w:val="22"/>
          <w:szCs w:val="22"/>
        </w:rPr>
        <w:t>malabsorpciou nesmú užívať tento liek.</w:t>
      </w:r>
    </w:p>
    <w:p w14:paraId="693AD83F" w14:textId="77777777" w:rsidR="00FA71B4" w:rsidRPr="00B048EB" w:rsidRDefault="00FA71B4" w:rsidP="00F31FEF">
      <w:pPr>
        <w:tabs>
          <w:tab w:val="left" w:pos="567"/>
        </w:tabs>
        <w:rPr>
          <w:sz w:val="22"/>
          <w:szCs w:val="22"/>
        </w:rPr>
      </w:pPr>
    </w:p>
    <w:p w14:paraId="1186D1B7" w14:textId="1BDC5F57" w:rsidR="00FA71B4" w:rsidRPr="00B048EB" w:rsidRDefault="00FA71B4" w:rsidP="00DE5A3E">
      <w:pPr>
        <w:keepNext/>
        <w:tabs>
          <w:tab w:val="left" w:pos="567"/>
        </w:tabs>
        <w:rPr>
          <w:b/>
          <w:sz w:val="22"/>
          <w:szCs w:val="22"/>
        </w:rPr>
      </w:pPr>
      <w:r w:rsidRPr="00B048EB">
        <w:rPr>
          <w:b/>
          <w:sz w:val="22"/>
          <w:szCs w:val="22"/>
        </w:rPr>
        <w:t>4.5</w:t>
      </w:r>
      <w:r w:rsidRPr="00B048EB">
        <w:rPr>
          <w:b/>
          <w:sz w:val="22"/>
          <w:szCs w:val="22"/>
        </w:rPr>
        <w:tab/>
        <w:t>Liekové</w:t>
      </w:r>
      <w:r w:rsidR="00731C93">
        <w:rPr>
          <w:b/>
          <w:sz w:val="22"/>
          <w:szCs w:val="22"/>
        </w:rPr>
        <w:t xml:space="preserve"> a </w:t>
      </w:r>
      <w:r w:rsidRPr="00B048EB">
        <w:rPr>
          <w:b/>
          <w:sz w:val="22"/>
          <w:szCs w:val="22"/>
        </w:rPr>
        <w:t>iné interakcie</w:t>
      </w:r>
    </w:p>
    <w:p w14:paraId="7C281160" w14:textId="77777777" w:rsidR="00FA71B4" w:rsidRPr="00DE5A3E" w:rsidRDefault="00FA71B4" w:rsidP="00DE5A3E">
      <w:pPr>
        <w:keepNext/>
        <w:tabs>
          <w:tab w:val="left" w:pos="567"/>
        </w:tabs>
        <w:rPr>
          <w:sz w:val="22"/>
        </w:rPr>
      </w:pPr>
    </w:p>
    <w:p w14:paraId="282F7D0C" w14:textId="501C82A3" w:rsidR="00037323" w:rsidRPr="00DE5A3E" w:rsidRDefault="00037323" w:rsidP="00DE5A3E">
      <w:pPr>
        <w:keepNext/>
        <w:tabs>
          <w:tab w:val="left" w:pos="567"/>
        </w:tabs>
        <w:rPr>
          <w:b/>
          <w:sz w:val="22"/>
          <w:u w:val="single"/>
        </w:rPr>
      </w:pPr>
      <w:r w:rsidRPr="004A4C5E">
        <w:rPr>
          <w:sz w:val="22"/>
          <w:szCs w:val="22"/>
          <w:u w:val="single"/>
        </w:rPr>
        <w:t>Farmakodynamické</w:t>
      </w:r>
      <w:r w:rsidRPr="004A4C5E">
        <w:rPr>
          <w:sz w:val="22"/>
          <w:u w:val="single"/>
        </w:rPr>
        <w:t xml:space="preserve"> interakcie</w:t>
      </w:r>
    </w:p>
    <w:p w14:paraId="40DD01DD" w14:textId="77777777" w:rsidR="00037323" w:rsidRPr="00DE5A3E" w:rsidRDefault="00037323" w:rsidP="00DE5A3E">
      <w:pPr>
        <w:keepNext/>
        <w:tabs>
          <w:tab w:val="left" w:pos="567"/>
        </w:tabs>
        <w:rPr>
          <w:sz w:val="22"/>
        </w:rPr>
      </w:pPr>
    </w:p>
    <w:p w14:paraId="799D4037" w14:textId="77777777" w:rsidR="00037323" w:rsidRPr="004A4C5E" w:rsidRDefault="00037323" w:rsidP="004B560F">
      <w:pPr>
        <w:keepNext/>
        <w:tabs>
          <w:tab w:val="left" w:pos="567"/>
        </w:tabs>
        <w:rPr>
          <w:i/>
          <w:sz w:val="22"/>
          <w:szCs w:val="22"/>
        </w:rPr>
      </w:pPr>
      <w:r w:rsidRPr="004A4C5E">
        <w:rPr>
          <w:i/>
          <w:sz w:val="22"/>
          <w:szCs w:val="22"/>
        </w:rPr>
        <w:t>Antikoagulanciá</w:t>
      </w:r>
    </w:p>
    <w:p w14:paraId="20B58262" w14:textId="36604916" w:rsidR="00037323" w:rsidRPr="004B560F" w:rsidRDefault="00037323" w:rsidP="00037323">
      <w:pPr>
        <w:tabs>
          <w:tab w:val="left" w:pos="567"/>
        </w:tabs>
        <w:rPr>
          <w:sz w:val="22"/>
          <w:szCs w:val="22"/>
        </w:rPr>
      </w:pPr>
      <w:r w:rsidRPr="00037323">
        <w:rPr>
          <w:sz w:val="22"/>
          <w:szCs w:val="22"/>
        </w:rPr>
        <w:t xml:space="preserve">Antikoagulačná aktivita sa musí </w:t>
      </w:r>
      <w:r w:rsidR="009B0D24">
        <w:rPr>
          <w:sz w:val="22"/>
          <w:szCs w:val="22"/>
        </w:rPr>
        <w:t>sledovať</w:t>
      </w:r>
      <w:r w:rsidRPr="00037323">
        <w:rPr>
          <w:sz w:val="22"/>
          <w:szCs w:val="22"/>
        </w:rPr>
        <w:t>, obzvlášť počas prvých dní po začatí liečby celekoxibom</w:t>
      </w:r>
      <w:r w:rsidRPr="00DE5A3E">
        <w:rPr>
          <w:sz w:val="22"/>
        </w:rPr>
        <w:t xml:space="preserve"> </w:t>
      </w:r>
      <w:r w:rsidRPr="00037323">
        <w:rPr>
          <w:sz w:val="22"/>
          <w:szCs w:val="22"/>
        </w:rPr>
        <w:t>alebo pri zmen</w:t>
      </w:r>
      <w:r>
        <w:rPr>
          <w:sz w:val="22"/>
          <w:szCs w:val="22"/>
        </w:rPr>
        <w:t>e</w:t>
      </w:r>
      <w:r w:rsidRPr="00037323">
        <w:rPr>
          <w:sz w:val="22"/>
          <w:szCs w:val="22"/>
        </w:rPr>
        <w:t xml:space="preserve"> dávky celekoxibu, u pacientov užívajúcich warfarín alebo iné antikoagulanciá, pretože takíto pacienti majú zvýšené riziko krvácavých komplikácií. Preto sa musí pacientom užívajúcim perorálne antikoagulanciá starostlivo </w:t>
      </w:r>
      <w:r w:rsidR="009B0D24">
        <w:rPr>
          <w:sz w:val="22"/>
          <w:szCs w:val="22"/>
        </w:rPr>
        <w:t>sledovať</w:t>
      </w:r>
      <w:r w:rsidR="009B0D24" w:rsidRPr="00037323">
        <w:rPr>
          <w:sz w:val="22"/>
          <w:szCs w:val="22"/>
        </w:rPr>
        <w:t xml:space="preserve"> </w:t>
      </w:r>
      <w:r w:rsidR="005A38D0" w:rsidRPr="005A38D0">
        <w:rPr>
          <w:sz w:val="22"/>
          <w:szCs w:val="22"/>
        </w:rPr>
        <w:t>protrombínov</w:t>
      </w:r>
      <w:r w:rsidR="005A38D0">
        <w:rPr>
          <w:sz w:val="22"/>
          <w:szCs w:val="22"/>
        </w:rPr>
        <w:t xml:space="preserve">ý </w:t>
      </w:r>
      <w:r w:rsidR="005A38D0" w:rsidRPr="005A38D0">
        <w:rPr>
          <w:sz w:val="22"/>
          <w:szCs w:val="22"/>
        </w:rPr>
        <w:t>čas</w:t>
      </w:r>
      <w:r w:rsidR="005A38D0" w:rsidRPr="005A38D0" w:rsidDel="005A38D0">
        <w:rPr>
          <w:sz w:val="22"/>
          <w:szCs w:val="22"/>
        </w:rPr>
        <w:t xml:space="preserve"> </w:t>
      </w:r>
      <w:r w:rsidRPr="00037323">
        <w:rPr>
          <w:sz w:val="22"/>
          <w:szCs w:val="22"/>
        </w:rPr>
        <w:t>INR, obzvlášť počas prvých dní po začatí lieč</w:t>
      </w:r>
      <w:r w:rsidR="00716B9F">
        <w:rPr>
          <w:sz w:val="22"/>
          <w:szCs w:val="22"/>
        </w:rPr>
        <w:t>by celekoxibom</w:t>
      </w:r>
      <w:r w:rsidR="00716B9F" w:rsidRPr="00DE5A3E">
        <w:rPr>
          <w:sz w:val="22"/>
        </w:rPr>
        <w:t xml:space="preserve"> </w:t>
      </w:r>
      <w:r w:rsidR="00716B9F">
        <w:rPr>
          <w:sz w:val="22"/>
          <w:szCs w:val="22"/>
        </w:rPr>
        <w:t>alebo pri zmene</w:t>
      </w:r>
      <w:r w:rsidRPr="00037323">
        <w:rPr>
          <w:sz w:val="22"/>
          <w:szCs w:val="22"/>
        </w:rPr>
        <w:t xml:space="preserve"> dávky celekoxibu (pozri časť 4.4).</w:t>
      </w:r>
      <w:r w:rsidR="00716B9F">
        <w:rPr>
          <w:sz w:val="22"/>
          <w:szCs w:val="22"/>
        </w:rPr>
        <w:t xml:space="preserve"> </w:t>
      </w:r>
      <w:r w:rsidRPr="00037323">
        <w:rPr>
          <w:sz w:val="22"/>
          <w:szCs w:val="22"/>
        </w:rPr>
        <w:t xml:space="preserve">Boli hlásené príhody krvácania, niektoré z nich </w:t>
      </w:r>
      <w:r w:rsidR="005A38D0">
        <w:rPr>
          <w:sz w:val="22"/>
          <w:szCs w:val="22"/>
        </w:rPr>
        <w:t>fatálne</w:t>
      </w:r>
      <w:r w:rsidRPr="00037323">
        <w:rPr>
          <w:sz w:val="22"/>
          <w:szCs w:val="22"/>
        </w:rPr>
        <w:t>,</w:t>
      </w:r>
      <w:r w:rsidR="00731C93">
        <w:rPr>
          <w:sz w:val="22"/>
          <w:szCs w:val="22"/>
        </w:rPr>
        <w:t xml:space="preserve"> v </w:t>
      </w:r>
      <w:r w:rsidRPr="00037323">
        <w:rPr>
          <w:sz w:val="22"/>
          <w:szCs w:val="22"/>
        </w:rPr>
        <w:t xml:space="preserve">súvislosti s predĺžením </w:t>
      </w:r>
      <w:r w:rsidR="005A38D0" w:rsidRPr="005A38D0">
        <w:rPr>
          <w:sz w:val="22"/>
          <w:szCs w:val="22"/>
        </w:rPr>
        <w:t>protrombínov</w:t>
      </w:r>
      <w:r w:rsidR="005A38D0">
        <w:rPr>
          <w:sz w:val="22"/>
          <w:szCs w:val="22"/>
        </w:rPr>
        <w:t>ého času</w:t>
      </w:r>
      <w:r w:rsidRPr="00037323">
        <w:rPr>
          <w:sz w:val="22"/>
          <w:szCs w:val="22"/>
        </w:rPr>
        <w:t>, najmä</w:t>
      </w:r>
      <w:r w:rsidR="00731C93">
        <w:rPr>
          <w:sz w:val="22"/>
          <w:szCs w:val="22"/>
        </w:rPr>
        <w:t xml:space="preserve"> u </w:t>
      </w:r>
      <w:r w:rsidRPr="00037323">
        <w:rPr>
          <w:sz w:val="22"/>
          <w:szCs w:val="22"/>
        </w:rPr>
        <w:t>starších ľudí</w:t>
      </w:r>
      <w:r w:rsidR="00731C93">
        <w:rPr>
          <w:sz w:val="22"/>
          <w:szCs w:val="22"/>
        </w:rPr>
        <w:t xml:space="preserve"> a </w:t>
      </w:r>
      <w:r w:rsidR="005A38D0">
        <w:rPr>
          <w:sz w:val="22"/>
          <w:szCs w:val="22"/>
        </w:rPr>
        <w:t>pacientov</w:t>
      </w:r>
      <w:r w:rsidRPr="00037323">
        <w:rPr>
          <w:sz w:val="22"/>
          <w:szCs w:val="22"/>
        </w:rPr>
        <w:t xml:space="preserve"> užívajúcich celekoxib súbežne s</w:t>
      </w:r>
      <w:r w:rsidR="00731C93">
        <w:rPr>
          <w:sz w:val="22"/>
          <w:szCs w:val="22"/>
        </w:rPr>
        <w:t> </w:t>
      </w:r>
      <w:r w:rsidRPr="00037323">
        <w:rPr>
          <w:sz w:val="22"/>
          <w:szCs w:val="22"/>
        </w:rPr>
        <w:t>warfarínom.</w:t>
      </w:r>
    </w:p>
    <w:p w14:paraId="6E579B94" w14:textId="3806A10E" w:rsidR="00037323" w:rsidRPr="004B560F" w:rsidRDefault="00037323" w:rsidP="00F31FEF">
      <w:pPr>
        <w:tabs>
          <w:tab w:val="left" w:pos="567"/>
        </w:tabs>
        <w:rPr>
          <w:sz w:val="22"/>
          <w:szCs w:val="22"/>
        </w:rPr>
      </w:pPr>
    </w:p>
    <w:p w14:paraId="31F85C86" w14:textId="7A688B4B" w:rsidR="00716B9F" w:rsidRPr="004A4C5E" w:rsidRDefault="00716B9F" w:rsidP="004B560F">
      <w:pPr>
        <w:keepNext/>
        <w:tabs>
          <w:tab w:val="left" w:pos="567"/>
        </w:tabs>
        <w:rPr>
          <w:i/>
          <w:sz w:val="22"/>
          <w:szCs w:val="22"/>
        </w:rPr>
      </w:pPr>
      <w:r w:rsidRPr="004A4C5E">
        <w:rPr>
          <w:i/>
          <w:sz w:val="22"/>
          <w:szCs w:val="22"/>
        </w:rPr>
        <w:t>Antihypertenzíva</w:t>
      </w:r>
    </w:p>
    <w:p w14:paraId="20025FEA" w14:textId="7EF3FF57" w:rsidR="00716B9F" w:rsidRPr="00B048EB" w:rsidRDefault="00716B9F" w:rsidP="00716B9F">
      <w:pPr>
        <w:tabs>
          <w:tab w:val="left" w:pos="567"/>
        </w:tabs>
        <w:rPr>
          <w:bCs/>
          <w:sz w:val="22"/>
          <w:szCs w:val="22"/>
        </w:rPr>
      </w:pPr>
      <w:r>
        <w:rPr>
          <w:bCs/>
          <w:sz w:val="22"/>
          <w:szCs w:val="22"/>
        </w:rPr>
        <w:t>NSAID</w:t>
      </w:r>
      <w:r w:rsidRPr="00B048EB">
        <w:rPr>
          <w:bCs/>
          <w:sz w:val="22"/>
          <w:szCs w:val="22"/>
        </w:rPr>
        <w:t xml:space="preserve"> môžu znižovať </w:t>
      </w:r>
      <w:r>
        <w:rPr>
          <w:bCs/>
          <w:sz w:val="22"/>
          <w:szCs w:val="22"/>
        </w:rPr>
        <w:t xml:space="preserve">antihypertenzívny </w:t>
      </w:r>
      <w:r w:rsidRPr="00B048EB">
        <w:rPr>
          <w:bCs/>
          <w:sz w:val="22"/>
          <w:szCs w:val="22"/>
        </w:rPr>
        <w:t xml:space="preserve">účinok </w:t>
      </w:r>
      <w:r w:rsidRPr="00E4745F">
        <w:rPr>
          <w:sz w:val="22"/>
          <w:szCs w:val="22"/>
        </w:rPr>
        <w:t xml:space="preserve">ACE </w:t>
      </w:r>
      <w:r w:rsidRPr="00DE5A3E">
        <w:rPr>
          <w:sz w:val="22"/>
        </w:rPr>
        <w:t>inhibítor</w:t>
      </w:r>
      <w:r w:rsidR="005A38D0" w:rsidRPr="00DE5A3E">
        <w:rPr>
          <w:sz w:val="22"/>
        </w:rPr>
        <w:t>ov</w:t>
      </w:r>
      <w:r w:rsidRPr="00E4745F">
        <w:rPr>
          <w:sz w:val="22"/>
          <w:szCs w:val="22"/>
        </w:rPr>
        <w:t>, antagonist</w:t>
      </w:r>
      <w:r>
        <w:rPr>
          <w:sz w:val="22"/>
          <w:szCs w:val="22"/>
        </w:rPr>
        <w:t>ov</w:t>
      </w:r>
      <w:r w:rsidRPr="004B560F">
        <w:rPr>
          <w:sz w:val="22"/>
          <w:szCs w:val="22"/>
        </w:rPr>
        <w:t xml:space="preserve"> </w:t>
      </w:r>
      <w:r w:rsidR="005A38D0" w:rsidRPr="00B048EB">
        <w:rPr>
          <w:bCs/>
          <w:sz w:val="22"/>
          <w:szCs w:val="22"/>
        </w:rPr>
        <w:t>receptorov</w:t>
      </w:r>
      <w:r w:rsidR="005A38D0" w:rsidRPr="004B560F">
        <w:rPr>
          <w:sz w:val="22"/>
          <w:szCs w:val="22"/>
        </w:rPr>
        <w:t xml:space="preserve"> </w:t>
      </w:r>
      <w:r w:rsidR="005A38D0">
        <w:rPr>
          <w:sz w:val="22"/>
          <w:szCs w:val="22"/>
        </w:rPr>
        <w:t>pre</w:t>
      </w:r>
      <w:r w:rsidR="005A38D0" w:rsidRPr="00DE5A3E">
        <w:rPr>
          <w:sz w:val="22"/>
        </w:rPr>
        <w:t xml:space="preserve"> </w:t>
      </w:r>
      <w:r w:rsidRPr="00DE5A3E">
        <w:rPr>
          <w:sz w:val="22"/>
        </w:rPr>
        <w:t>angiotenzín II</w:t>
      </w:r>
      <w:r w:rsidRPr="004B560F">
        <w:rPr>
          <w:sz w:val="22"/>
          <w:szCs w:val="22"/>
        </w:rPr>
        <w:t>, diuret</w:t>
      </w:r>
      <w:r>
        <w:rPr>
          <w:sz w:val="22"/>
          <w:szCs w:val="22"/>
        </w:rPr>
        <w:t>ík</w:t>
      </w:r>
      <w:r w:rsidRPr="004B560F">
        <w:rPr>
          <w:sz w:val="22"/>
          <w:szCs w:val="22"/>
        </w:rPr>
        <w:t xml:space="preserve"> a beta-blokátor</w:t>
      </w:r>
      <w:r>
        <w:rPr>
          <w:sz w:val="22"/>
          <w:szCs w:val="22"/>
        </w:rPr>
        <w:t>ov</w:t>
      </w:r>
      <w:r w:rsidRPr="00B048EB">
        <w:rPr>
          <w:bCs/>
          <w:sz w:val="22"/>
          <w:szCs w:val="22"/>
        </w:rPr>
        <w:t>. Tak ako pri NSAID, riziko akútnej renálnej insuficiencie, ktorá je zvyčajne reverzibilná, môže byť zvýšené</w:t>
      </w:r>
      <w:r w:rsidR="00731C93">
        <w:rPr>
          <w:bCs/>
          <w:sz w:val="22"/>
          <w:szCs w:val="22"/>
        </w:rPr>
        <w:t xml:space="preserve"> u </w:t>
      </w:r>
      <w:r w:rsidRPr="00B048EB">
        <w:rPr>
          <w:bCs/>
          <w:sz w:val="22"/>
          <w:szCs w:val="22"/>
        </w:rPr>
        <w:t>niektorých pacientov s poruchou funkcie obličiek (napr. dehyd</w:t>
      </w:r>
      <w:r>
        <w:rPr>
          <w:bCs/>
          <w:sz w:val="22"/>
          <w:szCs w:val="22"/>
        </w:rPr>
        <w:t>r</w:t>
      </w:r>
      <w:r w:rsidR="00A178AF">
        <w:rPr>
          <w:bCs/>
          <w:sz w:val="22"/>
          <w:szCs w:val="22"/>
        </w:rPr>
        <w:t>ato</w:t>
      </w:r>
      <w:r>
        <w:rPr>
          <w:bCs/>
          <w:sz w:val="22"/>
          <w:szCs w:val="22"/>
        </w:rPr>
        <w:t>vaní</w:t>
      </w:r>
      <w:r w:rsidRPr="00B048EB">
        <w:rPr>
          <w:bCs/>
          <w:sz w:val="22"/>
          <w:szCs w:val="22"/>
        </w:rPr>
        <w:t xml:space="preserve"> pacienti, </w:t>
      </w:r>
      <w:r w:rsidRPr="00B048EB">
        <w:rPr>
          <w:sz w:val="22"/>
          <w:szCs w:val="22"/>
        </w:rPr>
        <w:t>pacienti užívajúci diuretiká</w:t>
      </w:r>
      <w:r w:rsidRPr="00DE5A3E">
        <w:rPr>
          <w:sz w:val="22"/>
        </w:rPr>
        <w:t xml:space="preserve"> </w:t>
      </w:r>
      <w:r w:rsidRPr="00E4745F">
        <w:rPr>
          <w:bCs/>
          <w:sz w:val="22"/>
          <w:szCs w:val="22"/>
        </w:rPr>
        <w:t>alebo</w:t>
      </w:r>
      <w:r w:rsidRPr="00B048EB">
        <w:rPr>
          <w:bCs/>
          <w:sz w:val="22"/>
          <w:szCs w:val="22"/>
        </w:rPr>
        <w:t xml:space="preserve"> starší pacienti), keď sa ACE inhibítory alebo antagonisty receptorov pre angiotenzín II podávajú v kombinácii s</w:t>
      </w:r>
      <w:r>
        <w:rPr>
          <w:bCs/>
          <w:sz w:val="22"/>
          <w:szCs w:val="22"/>
        </w:rPr>
        <w:t> </w:t>
      </w:r>
      <w:r w:rsidRPr="00B048EB">
        <w:rPr>
          <w:bCs/>
          <w:sz w:val="22"/>
          <w:szCs w:val="22"/>
        </w:rPr>
        <w:t>NSAID</w:t>
      </w:r>
      <w:r>
        <w:rPr>
          <w:bCs/>
          <w:sz w:val="22"/>
          <w:szCs w:val="22"/>
        </w:rPr>
        <w:t>,</w:t>
      </w:r>
      <w:r w:rsidRPr="00B048EB">
        <w:rPr>
          <w:bCs/>
          <w:sz w:val="22"/>
          <w:szCs w:val="22"/>
        </w:rPr>
        <w:t xml:space="preserve"> vrátane celekoxibu</w:t>
      </w:r>
      <w:r>
        <w:rPr>
          <w:bCs/>
          <w:sz w:val="22"/>
          <w:szCs w:val="22"/>
        </w:rPr>
        <w:t xml:space="preserve"> (pozri časť 4.4)</w:t>
      </w:r>
      <w:r w:rsidRPr="00B048EB">
        <w:rPr>
          <w:bCs/>
          <w:sz w:val="22"/>
          <w:szCs w:val="22"/>
        </w:rPr>
        <w:t xml:space="preserve">. Preto sa má táto kombinácia podávať s opatrnosťou, obzvlášť u starších ľudí. Pacienti majú byť primerane hydratovaní a má sa zvážiť </w:t>
      </w:r>
      <w:r w:rsidR="009B0D24">
        <w:rPr>
          <w:bCs/>
          <w:sz w:val="22"/>
          <w:szCs w:val="22"/>
        </w:rPr>
        <w:t>sledovanie</w:t>
      </w:r>
      <w:r w:rsidR="009B0D24" w:rsidRPr="00B048EB">
        <w:rPr>
          <w:bCs/>
          <w:sz w:val="22"/>
          <w:szCs w:val="22"/>
        </w:rPr>
        <w:t xml:space="preserve"> </w:t>
      </w:r>
      <w:r w:rsidRPr="00B048EB">
        <w:rPr>
          <w:bCs/>
          <w:sz w:val="22"/>
          <w:szCs w:val="22"/>
        </w:rPr>
        <w:t>obličkových funkcií po začatí sprievodnej liečby, ako aj ďalej v pravidelných intervaloch.</w:t>
      </w:r>
    </w:p>
    <w:p w14:paraId="162668AE" w14:textId="0CEDD47C" w:rsidR="00716B9F" w:rsidRPr="00B048EB" w:rsidRDefault="00716B9F" w:rsidP="00716B9F">
      <w:pPr>
        <w:tabs>
          <w:tab w:val="left" w:pos="567"/>
        </w:tabs>
        <w:rPr>
          <w:bCs/>
          <w:sz w:val="22"/>
          <w:szCs w:val="22"/>
        </w:rPr>
      </w:pPr>
    </w:p>
    <w:p w14:paraId="5A8A986D" w14:textId="285565CB" w:rsidR="00716B9F" w:rsidRPr="00B048EB" w:rsidRDefault="00716B9F" w:rsidP="00716B9F">
      <w:pPr>
        <w:tabs>
          <w:tab w:val="left" w:pos="567"/>
        </w:tabs>
        <w:rPr>
          <w:bCs/>
          <w:sz w:val="22"/>
          <w:szCs w:val="22"/>
        </w:rPr>
      </w:pPr>
      <w:r w:rsidRPr="00B048EB">
        <w:rPr>
          <w:bCs/>
          <w:sz w:val="22"/>
          <w:szCs w:val="22"/>
        </w:rPr>
        <w:t>V 28-dňovej klinickej štúdii</w:t>
      </w:r>
      <w:r w:rsidR="00731C93">
        <w:rPr>
          <w:bCs/>
          <w:sz w:val="22"/>
          <w:szCs w:val="22"/>
        </w:rPr>
        <w:t xml:space="preserve"> u </w:t>
      </w:r>
      <w:r w:rsidRPr="00B048EB">
        <w:rPr>
          <w:bCs/>
          <w:sz w:val="22"/>
          <w:szCs w:val="22"/>
        </w:rPr>
        <w:t>pacientov s hypertenziou v štádiu I</w:t>
      </w:r>
      <w:r w:rsidR="00731C93">
        <w:rPr>
          <w:bCs/>
          <w:sz w:val="22"/>
          <w:szCs w:val="22"/>
        </w:rPr>
        <w:t xml:space="preserve"> a </w:t>
      </w:r>
      <w:r w:rsidRPr="00B048EB">
        <w:rPr>
          <w:bCs/>
          <w:sz w:val="22"/>
          <w:szCs w:val="22"/>
        </w:rPr>
        <w:t>II užívajúcich lizinopril neviedlo podávanie celekoxibu v dávke 200</w:t>
      </w:r>
      <w:r w:rsidR="00731C93">
        <w:rPr>
          <w:bCs/>
          <w:sz w:val="22"/>
          <w:szCs w:val="22"/>
        </w:rPr>
        <w:t xml:space="preserve"> mg </w:t>
      </w:r>
      <w:r w:rsidRPr="00B048EB">
        <w:rPr>
          <w:bCs/>
          <w:sz w:val="22"/>
          <w:szCs w:val="22"/>
        </w:rPr>
        <w:t>dvakrát denne (BID) v porovnaní s liečbou placebom, ku klinicky významnému zvýšeniu stredného denného systolického alebo diastolického tlaku krvi, hodnoteného použitím 24-hodinového ambulantného monitorovania tlaku krvi. Medzi pacientmi liečenými celekoxibom v dávke 200</w:t>
      </w:r>
      <w:r w:rsidR="00731C93">
        <w:rPr>
          <w:bCs/>
          <w:sz w:val="22"/>
          <w:szCs w:val="22"/>
        </w:rPr>
        <w:t xml:space="preserve"> mg </w:t>
      </w:r>
      <w:r w:rsidRPr="00B048EB">
        <w:rPr>
          <w:bCs/>
          <w:sz w:val="22"/>
          <w:szCs w:val="22"/>
        </w:rPr>
        <w:t>BID, 48 % pacientov bolo považovaných za neodpovedajúcich na lizinopril v čase finálnej klinickej návštevy (definované ako diastolický tlak krvi &gt; 90 mm</w:t>
      </w:r>
      <w:r>
        <w:rPr>
          <w:bCs/>
          <w:sz w:val="22"/>
          <w:szCs w:val="22"/>
        </w:rPr>
        <w:t xml:space="preserve"> </w:t>
      </w:r>
      <w:r w:rsidRPr="00B048EB">
        <w:rPr>
          <w:bCs/>
          <w:sz w:val="22"/>
          <w:szCs w:val="22"/>
        </w:rPr>
        <w:t>Hg alebo zvýšenie diastolického tlaku krvi &gt; 10 % v porovnaní s</w:t>
      </w:r>
      <w:r w:rsidR="00DC42D6">
        <w:rPr>
          <w:bCs/>
          <w:sz w:val="22"/>
          <w:szCs w:val="22"/>
        </w:rPr>
        <w:t xml:space="preserve"> východiskovou </w:t>
      </w:r>
      <w:r w:rsidRPr="00B048EB">
        <w:rPr>
          <w:bCs/>
          <w:sz w:val="22"/>
          <w:szCs w:val="22"/>
        </w:rPr>
        <w:t>hodnotou) v porovnaní s</w:t>
      </w:r>
      <w:r w:rsidR="00DC42D6">
        <w:rPr>
          <w:bCs/>
          <w:sz w:val="22"/>
          <w:szCs w:val="22"/>
        </w:rPr>
        <w:t> </w:t>
      </w:r>
      <w:r w:rsidRPr="00B048EB">
        <w:rPr>
          <w:bCs/>
          <w:sz w:val="22"/>
          <w:szCs w:val="22"/>
        </w:rPr>
        <w:t>27</w:t>
      </w:r>
      <w:r w:rsidR="00DC42D6">
        <w:rPr>
          <w:bCs/>
          <w:sz w:val="22"/>
          <w:szCs w:val="22"/>
        </w:rPr>
        <w:t xml:space="preserve"> </w:t>
      </w:r>
      <w:r w:rsidRPr="00B048EB">
        <w:rPr>
          <w:bCs/>
          <w:sz w:val="22"/>
          <w:szCs w:val="22"/>
        </w:rPr>
        <w:t>% pacientov liečených placebom; tento rozdiel bol štatisticky významný.</w:t>
      </w:r>
    </w:p>
    <w:p w14:paraId="120676CD" w14:textId="77777777" w:rsidR="00716B9F" w:rsidRPr="00B048EB" w:rsidRDefault="00716B9F" w:rsidP="00716B9F">
      <w:pPr>
        <w:tabs>
          <w:tab w:val="left" w:pos="567"/>
        </w:tabs>
        <w:rPr>
          <w:bCs/>
          <w:sz w:val="22"/>
          <w:szCs w:val="22"/>
        </w:rPr>
      </w:pPr>
    </w:p>
    <w:p w14:paraId="1D084ADA" w14:textId="6F2EDD42" w:rsidR="00716B9F" w:rsidRPr="004A4C5E" w:rsidRDefault="00716B9F" w:rsidP="00DE5A3E">
      <w:pPr>
        <w:keepNext/>
        <w:tabs>
          <w:tab w:val="left" w:pos="567"/>
        </w:tabs>
        <w:rPr>
          <w:sz w:val="22"/>
          <w:szCs w:val="22"/>
        </w:rPr>
      </w:pPr>
      <w:r w:rsidRPr="004A4C5E">
        <w:rPr>
          <w:i/>
          <w:sz w:val="22"/>
          <w:szCs w:val="22"/>
        </w:rPr>
        <w:lastRenderedPageBreak/>
        <w:t>Cyklosporín</w:t>
      </w:r>
      <w:r w:rsidR="00731C93">
        <w:rPr>
          <w:i/>
          <w:sz w:val="22"/>
          <w:szCs w:val="22"/>
        </w:rPr>
        <w:t xml:space="preserve"> a </w:t>
      </w:r>
      <w:r w:rsidRPr="004A4C5E">
        <w:rPr>
          <w:i/>
          <w:sz w:val="22"/>
          <w:szCs w:val="22"/>
        </w:rPr>
        <w:t>takrolimus</w:t>
      </w:r>
    </w:p>
    <w:p w14:paraId="622C3F65" w14:textId="1EDAFEC6" w:rsidR="00716B9F" w:rsidRPr="00B048EB" w:rsidRDefault="00716B9F" w:rsidP="00716B9F">
      <w:pPr>
        <w:tabs>
          <w:tab w:val="left" w:pos="567"/>
        </w:tabs>
        <w:rPr>
          <w:bCs/>
          <w:sz w:val="22"/>
          <w:szCs w:val="22"/>
        </w:rPr>
      </w:pPr>
      <w:r w:rsidRPr="00B048EB">
        <w:rPr>
          <w:bCs/>
          <w:sz w:val="22"/>
          <w:szCs w:val="22"/>
        </w:rPr>
        <w:t>Súbežné podávanie NSAID a cyklosporínu alebo takrol</w:t>
      </w:r>
      <w:r>
        <w:rPr>
          <w:bCs/>
          <w:sz w:val="22"/>
          <w:szCs w:val="22"/>
        </w:rPr>
        <w:t>i</w:t>
      </w:r>
      <w:r w:rsidRPr="00B048EB">
        <w:rPr>
          <w:bCs/>
          <w:sz w:val="22"/>
          <w:szCs w:val="22"/>
        </w:rPr>
        <w:t>mu pravdepodobne zvyšuje nefrotoxic</w:t>
      </w:r>
      <w:r w:rsidR="00922B47">
        <w:rPr>
          <w:bCs/>
          <w:sz w:val="22"/>
          <w:szCs w:val="22"/>
        </w:rPr>
        <w:t>ký účinok cyklosporínu a takroli</w:t>
      </w:r>
      <w:r w:rsidRPr="00B048EB">
        <w:rPr>
          <w:bCs/>
          <w:sz w:val="22"/>
          <w:szCs w:val="22"/>
        </w:rPr>
        <w:t xml:space="preserve">mu. Pri súbežnom podávaní </w:t>
      </w:r>
      <w:r w:rsidRPr="00B048EB">
        <w:rPr>
          <w:sz w:val="22"/>
          <w:szCs w:val="22"/>
        </w:rPr>
        <w:t>celekoxibu</w:t>
      </w:r>
      <w:r w:rsidRPr="00B048EB">
        <w:rPr>
          <w:b/>
          <w:sz w:val="22"/>
          <w:szCs w:val="22"/>
          <w:vertAlign w:val="superscript"/>
        </w:rPr>
        <w:t xml:space="preserve"> </w:t>
      </w:r>
      <w:r w:rsidRPr="00B048EB">
        <w:rPr>
          <w:bCs/>
          <w:sz w:val="22"/>
          <w:szCs w:val="22"/>
        </w:rPr>
        <w:t xml:space="preserve">a niektorého z týchto liekov sa musí </w:t>
      </w:r>
      <w:r w:rsidR="009B0D24">
        <w:rPr>
          <w:bCs/>
          <w:sz w:val="22"/>
          <w:szCs w:val="22"/>
        </w:rPr>
        <w:t>sledovať</w:t>
      </w:r>
      <w:r w:rsidR="009B0D24" w:rsidRPr="00B048EB">
        <w:rPr>
          <w:bCs/>
          <w:sz w:val="22"/>
          <w:szCs w:val="22"/>
        </w:rPr>
        <w:t xml:space="preserve"> </w:t>
      </w:r>
      <w:r w:rsidRPr="00B048EB">
        <w:rPr>
          <w:bCs/>
          <w:sz w:val="22"/>
          <w:szCs w:val="22"/>
        </w:rPr>
        <w:t>renálna funkcia.</w:t>
      </w:r>
    </w:p>
    <w:p w14:paraId="5688FA5B" w14:textId="77777777" w:rsidR="00037323" w:rsidRPr="004B560F" w:rsidRDefault="00037323" w:rsidP="00F31FEF">
      <w:pPr>
        <w:tabs>
          <w:tab w:val="left" w:pos="567"/>
        </w:tabs>
        <w:rPr>
          <w:sz w:val="22"/>
          <w:szCs w:val="22"/>
        </w:rPr>
      </w:pPr>
    </w:p>
    <w:p w14:paraId="5FF947C7" w14:textId="77777777" w:rsidR="00922B47" w:rsidRPr="004A4C5E" w:rsidRDefault="00922B47" w:rsidP="004B560F">
      <w:pPr>
        <w:keepNext/>
        <w:tabs>
          <w:tab w:val="left" w:pos="567"/>
        </w:tabs>
        <w:rPr>
          <w:i/>
          <w:sz w:val="22"/>
          <w:szCs w:val="22"/>
        </w:rPr>
      </w:pPr>
      <w:r w:rsidRPr="004A4C5E">
        <w:rPr>
          <w:i/>
          <w:sz w:val="22"/>
          <w:szCs w:val="22"/>
        </w:rPr>
        <w:t>Kyselina acetylsalicylová</w:t>
      </w:r>
    </w:p>
    <w:p w14:paraId="79438B82" w14:textId="5D616C00" w:rsidR="00922B47" w:rsidRPr="00B048EB" w:rsidRDefault="00922B47" w:rsidP="00922B47">
      <w:pPr>
        <w:tabs>
          <w:tab w:val="left" w:pos="567"/>
        </w:tabs>
        <w:rPr>
          <w:sz w:val="22"/>
          <w:szCs w:val="22"/>
        </w:rPr>
      </w:pPr>
      <w:r w:rsidRPr="00B048EB">
        <w:rPr>
          <w:sz w:val="22"/>
          <w:szCs w:val="22"/>
        </w:rPr>
        <w:t>Celekoxib je možné užívať</w:t>
      </w:r>
      <w:r w:rsidR="00731C93">
        <w:rPr>
          <w:sz w:val="22"/>
          <w:szCs w:val="22"/>
        </w:rPr>
        <w:t xml:space="preserve"> s </w:t>
      </w:r>
      <w:r w:rsidRPr="00B048EB">
        <w:rPr>
          <w:sz w:val="22"/>
          <w:szCs w:val="22"/>
        </w:rPr>
        <w:t>nízkymi dávkami kyseliny acetylsalicylovej, ale</w:t>
      </w:r>
      <w:r w:rsidR="00731C93">
        <w:rPr>
          <w:sz w:val="22"/>
          <w:szCs w:val="22"/>
        </w:rPr>
        <w:t xml:space="preserve"> v </w:t>
      </w:r>
      <w:r w:rsidRPr="00B048EB">
        <w:rPr>
          <w:sz w:val="22"/>
          <w:szCs w:val="22"/>
        </w:rPr>
        <w:t xml:space="preserve">prevencii KV ochorení ju nenahradí. V predložených </w:t>
      </w:r>
      <w:r w:rsidR="008348DB">
        <w:rPr>
          <w:sz w:val="22"/>
          <w:szCs w:val="22"/>
        </w:rPr>
        <w:t>št</w:t>
      </w:r>
      <w:r w:rsidRPr="00B048EB">
        <w:rPr>
          <w:sz w:val="22"/>
          <w:szCs w:val="22"/>
        </w:rPr>
        <w:t>ú</w:t>
      </w:r>
      <w:r w:rsidR="002C5891">
        <w:rPr>
          <w:sz w:val="22"/>
          <w:szCs w:val="22"/>
        </w:rPr>
        <w:t>diác</w:t>
      </w:r>
      <w:r w:rsidRPr="00B048EB">
        <w:rPr>
          <w:sz w:val="22"/>
          <w:szCs w:val="22"/>
        </w:rPr>
        <w:t>h, rovnako ako</w:t>
      </w:r>
      <w:r w:rsidR="00731C93">
        <w:rPr>
          <w:sz w:val="22"/>
          <w:szCs w:val="22"/>
        </w:rPr>
        <w:t xml:space="preserve"> v </w:t>
      </w:r>
      <w:r w:rsidRPr="00B048EB">
        <w:rPr>
          <w:sz w:val="22"/>
          <w:szCs w:val="22"/>
        </w:rPr>
        <w:t xml:space="preserve">prípade iných </w:t>
      </w:r>
      <w:r>
        <w:rPr>
          <w:sz w:val="22"/>
          <w:szCs w:val="22"/>
        </w:rPr>
        <w:t>NSAID</w:t>
      </w:r>
      <w:r w:rsidRPr="00B048EB">
        <w:rPr>
          <w:sz w:val="22"/>
          <w:szCs w:val="22"/>
        </w:rPr>
        <w:t xml:space="preserve">, bolo pri súbežnom podávaní nízkych dávok kyseliny acetylsalicylovej s celekoxibom preukázané zvýšené riziko vzniku GI vredov alebo iných </w:t>
      </w:r>
      <w:r w:rsidR="002C5891">
        <w:rPr>
          <w:sz w:val="22"/>
          <w:szCs w:val="22"/>
        </w:rPr>
        <w:t xml:space="preserve">GI </w:t>
      </w:r>
      <w:r w:rsidRPr="00B048EB">
        <w:rPr>
          <w:sz w:val="22"/>
          <w:szCs w:val="22"/>
        </w:rPr>
        <w:t>komplikácií</w:t>
      </w:r>
      <w:r w:rsidR="00731C93">
        <w:rPr>
          <w:sz w:val="22"/>
          <w:szCs w:val="22"/>
        </w:rPr>
        <w:t xml:space="preserve"> v </w:t>
      </w:r>
      <w:r w:rsidRPr="00B048EB">
        <w:rPr>
          <w:sz w:val="22"/>
          <w:szCs w:val="22"/>
        </w:rPr>
        <w:t>porovnaní so samostatným užívaním celekoxibu (pozri časť 5.1).</w:t>
      </w:r>
    </w:p>
    <w:p w14:paraId="2F4C01D9" w14:textId="77777777" w:rsidR="00037323" w:rsidRPr="004B560F" w:rsidRDefault="00037323" w:rsidP="00F31FEF">
      <w:pPr>
        <w:tabs>
          <w:tab w:val="left" w:pos="567"/>
        </w:tabs>
        <w:rPr>
          <w:sz w:val="22"/>
          <w:szCs w:val="22"/>
        </w:rPr>
      </w:pPr>
    </w:p>
    <w:p w14:paraId="11EFB2FC" w14:textId="77777777" w:rsidR="00037323" w:rsidRPr="004B560F" w:rsidRDefault="00922B47" w:rsidP="004B560F">
      <w:pPr>
        <w:keepNext/>
        <w:tabs>
          <w:tab w:val="left" w:pos="567"/>
        </w:tabs>
        <w:rPr>
          <w:sz w:val="22"/>
          <w:szCs w:val="22"/>
          <w:u w:val="single"/>
        </w:rPr>
      </w:pPr>
      <w:r w:rsidRPr="004B560F">
        <w:rPr>
          <w:sz w:val="22"/>
          <w:szCs w:val="22"/>
          <w:u w:val="single"/>
        </w:rPr>
        <w:t>Farmakokinetické interakcie</w:t>
      </w:r>
    </w:p>
    <w:p w14:paraId="33B21629" w14:textId="77777777" w:rsidR="00922B47" w:rsidRDefault="00922B47" w:rsidP="004B560F">
      <w:pPr>
        <w:keepNext/>
        <w:tabs>
          <w:tab w:val="left" w:pos="567"/>
        </w:tabs>
        <w:rPr>
          <w:sz w:val="22"/>
          <w:szCs w:val="22"/>
        </w:rPr>
      </w:pPr>
    </w:p>
    <w:p w14:paraId="5208E79A" w14:textId="77777777" w:rsidR="00922B47" w:rsidRPr="004A4C5E" w:rsidRDefault="00922B47" w:rsidP="004B560F">
      <w:pPr>
        <w:keepNext/>
        <w:tabs>
          <w:tab w:val="left" w:pos="567"/>
        </w:tabs>
        <w:rPr>
          <w:i/>
          <w:sz w:val="22"/>
          <w:szCs w:val="22"/>
        </w:rPr>
      </w:pPr>
      <w:r w:rsidRPr="004A4C5E">
        <w:rPr>
          <w:i/>
          <w:sz w:val="22"/>
          <w:szCs w:val="22"/>
        </w:rPr>
        <w:t>Účinky celekoxibu na iné lieky</w:t>
      </w:r>
    </w:p>
    <w:p w14:paraId="3AA9EE70" w14:textId="77777777" w:rsidR="00922B47" w:rsidRDefault="00922B47" w:rsidP="004B560F">
      <w:pPr>
        <w:keepNext/>
        <w:tabs>
          <w:tab w:val="left" w:pos="567"/>
        </w:tabs>
        <w:rPr>
          <w:sz w:val="22"/>
          <w:szCs w:val="22"/>
        </w:rPr>
      </w:pPr>
    </w:p>
    <w:p w14:paraId="242D2351" w14:textId="77777777" w:rsidR="00922B47" w:rsidRPr="004A4C5E" w:rsidRDefault="00922B47" w:rsidP="004B560F">
      <w:pPr>
        <w:keepNext/>
        <w:tabs>
          <w:tab w:val="left" w:pos="567"/>
        </w:tabs>
        <w:rPr>
          <w:i/>
          <w:sz w:val="22"/>
          <w:szCs w:val="22"/>
          <w:u w:val="single"/>
        </w:rPr>
      </w:pPr>
      <w:r w:rsidRPr="004A4C5E">
        <w:rPr>
          <w:i/>
          <w:sz w:val="22"/>
          <w:szCs w:val="22"/>
          <w:u w:val="single"/>
        </w:rPr>
        <w:t>Inhibícia CYP2D6</w:t>
      </w:r>
    </w:p>
    <w:p w14:paraId="72B0B217" w14:textId="7D791EFA" w:rsidR="00922B47" w:rsidRPr="00264EC7" w:rsidRDefault="00922B47" w:rsidP="00DE5A3E">
      <w:pPr>
        <w:tabs>
          <w:tab w:val="left" w:pos="567"/>
        </w:tabs>
        <w:rPr>
          <w:sz w:val="22"/>
        </w:rPr>
      </w:pPr>
      <w:r w:rsidRPr="00264EC7">
        <w:rPr>
          <w:sz w:val="22"/>
        </w:rPr>
        <w:t>Celekoxib</w:t>
      </w:r>
      <w:r w:rsidRPr="00DE5A3E">
        <w:rPr>
          <w:sz w:val="22"/>
        </w:rPr>
        <w:t xml:space="preserve"> </w:t>
      </w:r>
      <w:r w:rsidRPr="00264EC7">
        <w:rPr>
          <w:sz w:val="22"/>
        </w:rPr>
        <w:t>je inhibítor CYP2D6. Plazmatické koncentrácie liekov, ktoré sú substrátmi pre tento enzým, sa môžu zvýšiť, ak sa súbežne používa celekoxib. Lieky metabolizované CYP2D6 sú napríklad antidepresíva (tricyklické aj SSRI), neuroleptiká, antiarytmiká atď. Dávka individuálne dávkovo titrovaných substrátov CYP2D6 si môže vyžadovať zníženie po začatí liečby celekoxibom</w:t>
      </w:r>
      <w:r w:rsidRPr="00DE5A3E">
        <w:rPr>
          <w:sz w:val="22"/>
        </w:rPr>
        <w:t xml:space="preserve"> </w:t>
      </w:r>
      <w:r w:rsidRPr="00264EC7">
        <w:rPr>
          <w:sz w:val="22"/>
        </w:rPr>
        <w:t>alebo zvýšenie po ukončení liečby celekoxibom.</w:t>
      </w:r>
    </w:p>
    <w:p w14:paraId="7FAD0A1F" w14:textId="77777777" w:rsidR="00922B47" w:rsidRPr="00A5752A" w:rsidRDefault="00922B47" w:rsidP="00DE5A3E">
      <w:pPr>
        <w:tabs>
          <w:tab w:val="left" w:pos="567"/>
        </w:tabs>
        <w:rPr>
          <w:sz w:val="22"/>
        </w:rPr>
      </w:pPr>
    </w:p>
    <w:p w14:paraId="2C6A4B83" w14:textId="2851C122" w:rsidR="00922B47" w:rsidRDefault="00A3314E" w:rsidP="00922B47">
      <w:pPr>
        <w:tabs>
          <w:tab w:val="left" w:pos="567"/>
        </w:tabs>
        <w:rPr>
          <w:sz w:val="22"/>
          <w:szCs w:val="22"/>
        </w:rPr>
      </w:pPr>
      <w:r w:rsidRPr="00922B47">
        <w:rPr>
          <w:sz w:val="22"/>
        </w:rPr>
        <w:t>Súbežné podávanie 200</w:t>
      </w:r>
      <w:r w:rsidR="00731C93">
        <w:rPr>
          <w:sz w:val="22"/>
        </w:rPr>
        <w:t xml:space="preserve"> mg </w:t>
      </w:r>
      <w:r w:rsidRPr="00922B47">
        <w:rPr>
          <w:sz w:val="22"/>
        </w:rPr>
        <w:t>celekoxibu dvakrát denne viedlo</w:t>
      </w:r>
      <w:r w:rsidR="00731C93">
        <w:rPr>
          <w:sz w:val="22"/>
        </w:rPr>
        <w:t xml:space="preserve"> k </w:t>
      </w:r>
      <w:r w:rsidRPr="00922B47">
        <w:rPr>
          <w:sz w:val="22"/>
        </w:rPr>
        <w:t>2,6-násobnému zvýšeniu plazmatických koncentrácií dextrometorfánu</w:t>
      </w:r>
      <w:r w:rsidR="00731C93">
        <w:rPr>
          <w:sz w:val="22"/>
        </w:rPr>
        <w:t xml:space="preserve"> a </w:t>
      </w:r>
      <w:r w:rsidRPr="00922B47">
        <w:rPr>
          <w:sz w:val="22"/>
        </w:rPr>
        <w:t>1,5-násobnému zvýšeniu plazmatických koncentrácií metoprololu (substráty CYP2D6).</w:t>
      </w:r>
      <w:r w:rsidR="009B3293">
        <w:rPr>
          <w:sz w:val="22"/>
        </w:rPr>
        <w:t xml:space="preserve"> </w:t>
      </w:r>
      <w:r w:rsidR="009B3293">
        <w:rPr>
          <w:sz w:val="22"/>
          <w:szCs w:val="22"/>
        </w:rPr>
        <w:t>Tieto nárasty sú z dôvodu inhibície metabolizmu substrátov CYP2D6 celekoxibom.</w:t>
      </w:r>
    </w:p>
    <w:p w14:paraId="04DFAAFF" w14:textId="77777777" w:rsidR="00922B47" w:rsidRDefault="00922B47" w:rsidP="00922B47">
      <w:pPr>
        <w:tabs>
          <w:tab w:val="left" w:pos="567"/>
        </w:tabs>
        <w:rPr>
          <w:sz w:val="22"/>
          <w:szCs w:val="22"/>
        </w:rPr>
      </w:pPr>
    </w:p>
    <w:p w14:paraId="13AFBA47" w14:textId="77777777" w:rsidR="00922B47" w:rsidRPr="00867C91" w:rsidRDefault="00962AD0" w:rsidP="004B560F">
      <w:pPr>
        <w:keepNext/>
        <w:tabs>
          <w:tab w:val="left" w:pos="567"/>
        </w:tabs>
        <w:rPr>
          <w:i/>
          <w:sz w:val="22"/>
          <w:szCs w:val="22"/>
          <w:u w:val="single"/>
        </w:rPr>
      </w:pPr>
      <w:r w:rsidRPr="00867C91">
        <w:rPr>
          <w:i/>
          <w:sz w:val="22"/>
          <w:szCs w:val="22"/>
          <w:u w:val="single"/>
        </w:rPr>
        <w:t>Inhibícia CYP2C19</w:t>
      </w:r>
    </w:p>
    <w:p w14:paraId="5789EDC3" w14:textId="1B77F064" w:rsidR="00F6617C" w:rsidRDefault="00F6617C" w:rsidP="00F6617C">
      <w:pPr>
        <w:tabs>
          <w:tab w:val="left" w:pos="0"/>
          <w:tab w:val="left" w:pos="567"/>
        </w:tabs>
        <w:rPr>
          <w:bCs/>
          <w:sz w:val="22"/>
          <w:szCs w:val="22"/>
        </w:rPr>
      </w:pPr>
      <w:r w:rsidRPr="00867C91">
        <w:rPr>
          <w:bCs/>
          <w:sz w:val="22"/>
          <w:szCs w:val="22"/>
        </w:rPr>
        <w:t xml:space="preserve">Štúdie </w:t>
      </w:r>
      <w:r w:rsidRPr="00867C91">
        <w:rPr>
          <w:bCs/>
          <w:i/>
          <w:sz w:val="22"/>
          <w:szCs w:val="22"/>
        </w:rPr>
        <w:t>i</w:t>
      </w:r>
      <w:r w:rsidRPr="00867C91">
        <w:rPr>
          <w:bCs/>
          <w:i/>
          <w:iCs/>
          <w:sz w:val="22"/>
          <w:szCs w:val="22"/>
        </w:rPr>
        <w:t>n vitro</w:t>
      </w:r>
      <w:r w:rsidRPr="00867C91">
        <w:rPr>
          <w:bCs/>
          <w:sz w:val="22"/>
          <w:szCs w:val="22"/>
        </w:rPr>
        <w:t xml:space="preserve"> preukázali určitý potenciál celekoxibu inhibovať metabolizmus katalyzovaný CYP2C19</w:t>
      </w:r>
      <w:r w:rsidRPr="00B048EB">
        <w:rPr>
          <w:bCs/>
          <w:sz w:val="22"/>
          <w:szCs w:val="22"/>
        </w:rPr>
        <w:t xml:space="preserve">. Klinický význam tohto nálezu </w:t>
      </w:r>
      <w:r w:rsidRPr="00B048EB">
        <w:rPr>
          <w:bCs/>
          <w:i/>
          <w:iCs/>
          <w:sz w:val="22"/>
          <w:szCs w:val="22"/>
        </w:rPr>
        <w:t>in vitro</w:t>
      </w:r>
      <w:r w:rsidRPr="00B048EB">
        <w:rPr>
          <w:bCs/>
          <w:sz w:val="22"/>
          <w:szCs w:val="22"/>
        </w:rPr>
        <w:t xml:space="preserve"> </w:t>
      </w:r>
      <w:r w:rsidR="002C5891">
        <w:rPr>
          <w:bCs/>
          <w:sz w:val="22"/>
          <w:szCs w:val="22"/>
        </w:rPr>
        <w:t xml:space="preserve">nie </w:t>
      </w:r>
      <w:r w:rsidRPr="00B048EB">
        <w:rPr>
          <w:bCs/>
          <w:sz w:val="22"/>
          <w:szCs w:val="22"/>
        </w:rPr>
        <w:t xml:space="preserve">je </w:t>
      </w:r>
      <w:r w:rsidR="002C5891">
        <w:rPr>
          <w:bCs/>
          <w:sz w:val="22"/>
          <w:szCs w:val="22"/>
        </w:rPr>
        <w:t>známy</w:t>
      </w:r>
      <w:r w:rsidRPr="00B048EB">
        <w:rPr>
          <w:bCs/>
          <w:sz w:val="22"/>
          <w:szCs w:val="22"/>
        </w:rPr>
        <w:t>. Lieky, ktoré sú metabolizované CYP2C19, sú napríklad diazepam, citalopram</w:t>
      </w:r>
      <w:r w:rsidR="00731C93">
        <w:rPr>
          <w:bCs/>
          <w:sz w:val="22"/>
          <w:szCs w:val="22"/>
        </w:rPr>
        <w:t xml:space="preserve"> a </w:t>
      </w:r>
      <w:r w:rsidRPr="00B048EB">
        <w:rPr>
          <w:bCs/>
          <w:sz w:val="22"/>
          <w:szCs w:val="22"/>
        </w:rPr>
        <w:t>imipramín.</w:t>
      </w:r>
    </w:p>
    <w:p w14:paraId="617345FA" w14:textId="77777777" w:rsidR="00962AD0" w:rsidRDefault="00962AD0" w:rsidP="00DE5A3E">
      <w:pPr>
        <w:tabs>
          <w:tab w:val="left" w:pos="567"/>
        </w:tabs>
        <w:rPr>
          <w:sz w:val="22"/>
          <w:szCs w:val="22"/>
        </w:rPr>
      </w:pPr>
    </w:p>
    <w:p w14:paraId="1E50767E" w14:textId="77777777" w:rsidR="00F6617C" w:rsidRPr="00DE5A3E" w:rsidRDefault="00F6617C" w:rsidP="00DE5A3E">
      <w:pPr>
        <w:keepNext/>
        <w:tabs>
          <w:tab w:val="left" w:pos="0"/>
          <w:tab w:val="left" w:pos="567"/>
        </w:tabs>
        <w:rPr>
          <w:sz w:val="22"/>
          <w:u w:val="single"/>
        </w:rPr>
      </w:pPr>
      <w:r w:rsidRPr="00DE5A3E">
        <w:rPr>
          <w:i/>
          <w:sz w:val="22"/>
          <w:u w:val="single"/>
        </w:rPr>
        <w:t>Metotrexát</w:t>
      </w:r>
    </w:p>
    <w:p w14:paraId="0FDE7E1E" w14:textId="409D9055" w:rsidR="00F6617C" w:rsidRPr="00B048EB" w:rsidRDefault="00F6617C" w:rsidP="00F6617C">
      <w:pPr>
        <w:pStyle w:val="Zarkazkladnhotextu"/>
        <w:tabs>
          <w:tab w:val="left" w:pos="0"/>
          <w:tab w:val="left" w:pos="567"/>
        </w:tabs>
        <w:ind w:left="0"/>
        <w:jc w:val="left"/>
        <w:rPr>
          <w:rFonts w:ascii="Times New Roman" w:hAnsi="Times New Roman" w:cs="Times New Roman"/>
          <w:sz w:val="22"/>
          <w:szCs w:val="22"/>
        </w:rPr>
      </w:pPr>
      <w:r w:rsidRPr="00B048EB">
        <w:rPr>
          <w:rFonts w:ascii="Times New Roman" w:hAnsi="Times New Roman" w:cs="Times New Roman"/>
          <w:sz w:val="22"/>
          <w:szCs w:val="22"/>
        </w:rPr>
        <w:t>U pacientov</w:t>
      </w:r>
      <w:r w:rsidR="00731C93">
        <w:rPr>
          <w:rFonts w:ascii="Times New Roman" w:hAnsi="Times New Roman" w:cs="Times New Roman"/>
          <w:sz w:val="22"/>
          <w:szCs w:val="22"/>
        </w:rPr>
        <w:t xml:space="preserve"> s </w:t>
      </w:r>
      <w:r w:rsidRPr="00B048EB">
        <w:rPr>
          <w:rFonts w:ascii="Times New Roman" w:hAnsi="Times New Roman" w:cs="Times New Roman"/>
          <w:sz w:val="22"/>
          <w:szCs w:val="22"/>
        </w:rPr>
        <w:t xml:space="preserve">reumatoidnou artritídou nemal celekoxib štatisticky významný účinok na farmakokinetiku (plazmatický alebo renálny klírens) metotrexátu (v reumatologických dávkach). Pri súbežnom podávaní týchto látok je však potrebné zvážiť adekvátne </w:t>
      </w:r>
      <w:r w:rsidR="009B0D24">
        <w:rPr>
          <w:rFonts w:ascii="Times New Roman" w:hAnsi="Times New Roman" w:cs="Times New Roman"/>
          <w:sz w:val="22"/>
          <w:szCs w:val="22"/>
        </w:rPr>
        <w:t>sledovanie</w:t>
      </w:r>
      <w:r w:rsidR="009B0D24" w:rsidRPr="00B048EB">
        <w:rPr>
          <w:rFonts w:ascii="Times New Roman" w:hAnsi="Times New Roman" w:cs="Times New Roman"/>
          <w:sz w:val="22"/>
          <w:szCs w:val="22"/>
        </w:rPr>
        <w:t xml:space="preserve"> </w:t>
      </w:r>
      <w:r w:rsidRPr="00B048EB">
        <w:rPr>
          <w:rFonts w:ascii="Times New Roman" w:hAnsi="Times New Roman" w:cs="Times New Roman"/>
          <w:sz w:val="22"/>
          <w:szCs w:val="22"/>
        </w:rPr>
        <w:t>toxicity súvisiacej s metotrexátom.</w:t>
      </w:r>
    </w:p>
    <w:p w14:paraId="6598FD2B" w14:textId="77777777" w:rsidR="00F6617C" w:rsidRPr="00DE5A3E" w:rsidRDefault="00F6617C" w:rsidP="00DE5A3E">
      <w:pPr>
        <w:tabs>
          <w:tab w:val="left" w:pos="0"/>
          <w:tab w:val="left" w:pos="567"/>
        </w:tabs>
        <w:rPr>
          <w:sz w:val="22"/>
        </w:rPr>
      </w:pPr>
    </w:p>
    <w:p w14:paraId="39354445" w14:textId="77777777" w:rsidR="00F6617C" w:rsidRPr="00DE5A3E" w:rsidRDefault="00F6617C" w:rsidP="00DE5A3E">
      <w:pPr>
        <w:keepNext/>
        <w:tabs>
          <w:tab w:val="left" w:pos="567"/>
        </w:tabs>
        <w:rPr>
          <w:sz w:val="22"/>
          <w:u w:val="single"/>
        </w:rPr>
      </w:pPr>
      <w:r w:rsidRPr="00DE5A3E">
        <w:rPr>
          <w:i/>
          <w:sz w:val="22"/>
          <w:u w:val="single"/>
        </w:rPr>
        <w:t>Lítium</w:t>
      </w:r>
    </w:p>
    <w:p w14:paraId="4B88E940" w14:textId="073D8D96" w:rsidR="00F6617C" w:rsidRDefault="00F6617C" w:rsidP="00F6617C">
      <w:pPr>
        <w:tabs>
          <w:tab w:val="left" w:pos="567"/>
        </w:tabs>
        <w:rPr>
          <w:sz w:val="22"/>
          <w:szCs w:val="22"/>
        </w:rPr>
      </w:pPr>
      <w:r w:rsidRPr="00B048EB">
        <w:rPr>
          <w:sz w:val="22"/>
          <w:szCs w:val="22"/>
        </w:rPr>
        <w:t>U zdravých jedincov viedlo súbežné podávanie 200</w:t>
      </w:r>
      <w:r w:rsidR="00731C93">
        <w:rPr>
          <w:sz w:val="22"/>
          <w:szCs w:val="22"/>
        </w:rPr>
        <w:t xml:space="preserve"> mg </w:t>
      </w:r>
      <w:r w:rsidRPr="00B048EB">
        <w:rPr>
          <w:sz w:val="22"/>
          <w:szCs w:val="22"/>
        </w:rPr>
        <w:t>celekoxibu dvakrát denne spolu</w:t>
      </w:r>
      <w:r w:rsidR="00731C93">
        <w:rPr>
          <w:sz w:val="22"/>
          <w:szCs w:val="22"/>
        </w:rPr>
        <w:t xml:space="preserve"> s </w:t>
      </w:r>
      <w:r w:rsidRPr="00B048EB">
        <w:rPr>
          <w:sz w:val="22"/>
          <w:szCs w:val="22"/>
        </w:rPr>
        <w:t>450 mg lítia dvakrát denne</w:t>
      </w:r>
      <w:r w:rsidR="00731C93">
        <w:rPr>
          <w:sz w:val="22"/>
          <w:szCs w:val="22"/>
        </w:rPr>
        <w:t xml:space="preserve"> k </w:t>
      </w:r>
      <w:r w:rsidRPr="00B048EB">
        <w:rPr>
          <w:sz w:val="22"/>
          <w:szCs w:val="22"/>
        </w:rPr>
        <w:t>priemernému zvýšeniu hodnoty C</w:t>
      </w:r>
      <w:r w:rsidRPr="00B048EB">
        <w:rPr>
          <w:sz w:val="22"/>
          <w:szCs w:val="22"/>
          <w:vertAlign w:val="subscript"/>
        </w:rPr>
        <w:t>max</w:t>
      </w:r>
      <w:r w:rsidR="00731C93">
        <w:rPr>
          <w:sz w:val="22"/>
          <w:szCs w:val="22"/>
        </w:rPr>
        <w:t xml:space="preserve"> o </w:t>
      </w:r>
      <w:r w:rsidRPr="00B048EB">
        <w:rPr>
          <w:sz w:val="22"/>
          <w:szCs w:val="22"/>
        </w:rPr>
        <w:t>16 % a</w:t>
      </w:r>
      <w:r w:rsidR="00C04604">
        <w:rPr>
          <w:sz w:val="22"/>
          <w:szCs w:val="22"/>
        </w:rPr>
        <w:t> plochy pod krivkou (</w:t>
      </w:r>
      <w:r w:rsidRPr="00B048EB">
        <w:rPr>
          <w:sz w:val="22"/>
          <w:szCs w:val="22"/>
        </w:rPr>
        <w:t>AUC</w:t>
      </w:r>
      <w:r w:rsidR="00C04604">
        <w:rPr>
          <w:sz w:val="22"/>
          <w:szCs w:val="22"/>
        </w:rPr>
        <w:t>)</w:t>
      </w:r>
      <w:r w:rsidR="00731C93">
        <w:rPr>
          <w:sz w:val="22"/>
          <w:szCs w:val="22"/>
        </w:rPr>
        <w:t xml:space="preserve"> o </w:t>
      </w:r>
      <w:r w:rsidRPr="00B048EB">
        <w:rPr>
          <w:sz w:val="22"/>
          <w:szCs w:val="22"/>
        </w:rPr>
        <w:t>18 % lítia. Preto pacienti, ktorí užívajú lítium, m</w:t>
      </w:r>
      <w:r w:rsidR="005E4E6C">
        <w:rPr>
          <w:sz w:val="22"/>
          <w:szCs w:val="22"/>
        </w:rPr>
        <w:t xml:space="preserve">ajú byť </w:t>
      </w:r>
      <w:r w:rsidRPr="00B048EB">
        <w:rPr>
          <w:sz w:val="22"/>
          <w:szCs w:val="22"/>
        </w:rPr>
        <w:t xml:space="preserve">pri </w:t>
      </w:r>
      <w:r w:rsidR="00986278">
        <w:rPr>
          <w:sz w:val="22"/>
          <w:szCs w:val="22"/>
        </w:rPr>
        <w:t>začatí</w:t>
      </w:r>
      <w:r w:rsidRPr="00B048EB">
        <w:rPr>
          <w:sz w:val="22"/>
          <w:szCs w:val="22"/>
        </w:rPr>
        <w:t xml:space="preserve"> alebo </w:t>
      </w:r>
      <w:r w:rsidR="00986278">
        <w:rPr>
          <w:sz w:val="22"/>
          <w:szCs w:val="22"/>
        </w:rPr>
        <w:t>ukončení</w:t>
      </w:r>
      <w:r w:rsidRPr="00B048EB">
        <w:rPr>
          <w:sz w:val="22"/>
          <w:szCs w:val="22"/>
        </w:rPr>
        <w:t xml:space="preserve"> liečby celekoxibom</w:t>
      </w:r>
      <w:r w:rsidR="005E4E6C" w:rsidRPr="005E4E6C">
        <w:rPr>
          <w:sz w:val="22"/>
          <w:szCs w:val="22"/>
        </w:rPr>
        <w:t xml:space="preserve"> </w:t>
      </w:r>
      <w:r w:rsidR="005E4E6C">
        <w:rPr>
          <w:sz w:val="22"/>
          <w:szCs w:val="22"/>
        </w:rPr>
        <w:t>starostlivo sledovaní</w:t>
      </w:r>
      <w:r w:rsidRPr="00B048EB">
        <w:rPr>
          <w:sz w:val="22"/>
          <w:szCs w:val="22"/>
        </w:rPr>
        <w:t>.</w:t>
      </w:r>
    </w:p>
    <w:p w14:paraId="5E692273" w14:textId="77777777" w:rsidR="00F6617C" w:rsidRPr="00B048EB" w:rsidRDefault="00F6617C" w:rsidP="00F6617C">
      <w:pPr>
        <w:tabs>
          <w:tab w:val="left" w:pos="567"/>
        </w:tabs>
        <w:rPr>
          <w:sz w:val="22"/>
          <w:szCs w:val="22"/>
        </w:rPr>
      </w:pPr>
    </w:p>
    <w:p w14:paraId="025B8CB1" w14:textId="77777777" w:rsidR="00F6617C" w:rsidRPr="00DE5A3E" w:rsidRDefault="00F6617C" w:rsidP="00DE5A3E">
      <w:pPr>
        <w:pStyle w:val="Zarkazkladnhotextu"/>
        <w:keepNext/>
        <w:tabs>
          <w:tab w:val="left" w:pos="0"/>
          <w:tab w:val="left" w:pos="567"/>
        </w:tabs>
        <w:ind w:left="0"/>
        <w:jc w:val="left"/>
        <w:rPr>
          <w:rFonts w:ascii="Times New Roman" w:hAnsi="Times New Roman"/>
          <w:sz w:val="22"/>
          <w:u w:val="single"/>
        </w:rPr>
      </w:pPr>
      <w:r w:rsidRPr="00DE5A3E">
        <w:rPr>
          <w:rFonts w:ascii="Times New Roman" w:hAnsi="Times New Roman"/>
          <w:i/>
          <w:sz w:val="22"/>
          <w:u w:val="single"/>
        </w:rPr>
        <w:t>Perorálna antikoncepcia</w:t>
      </w:r>
    </w:p>
    <w:p w14:paraId="0D311FE5" w14:textId="00E942BB" w:rsidR="00F6617C" w:rsidRPr="00B048EB" w:rsidRDefault="00F6617C" w:rsidP="00F6617C">
      <w:pPr>
        <w:pStyle w:val="Zarkazkladnhotextu"/>
        <w:tabs>
          <w:tab w:val="left" w:pos="0"/>
          <w:tab w:val="left" w:pos="567"/>
        </w:tabs>
        <w:ind w:left="0"/>
        <w:jc w:val="left"/>
        <w:rPr>
          <w:rFonts w:ascii="Times New Roman" w:hAnsi="Times New Roman" w:cs="Times New Roman"/>
          <w:sz w:val="22"/>
          <w:szCs w:val="22"/>
        </w:rPr>
      </w:pPr>
      <w:r w:rsidRPr="00B048EB">
        <w:rPr>
          <w:rFonts w:ascii="Times New Roman" w:hAnsi="Times New Roman" w:cs="Times New Roman"/>
          <w:sz w:val="22"/>
          <w:szCs w:val="22"/>
        </w:rPr>
        <w:t>V skúšaní interakcií neboli</w:t>
      </w:r>
      <w:r w:rsidR="00731C93">
        <w:rPr>
          <w:rFonts w:ascii="Times New Roman" w:hAnsi="Times New Roman" w:cs="Times New Roman"/>
          <w:sz w:val="22"/>
          <w:szCs w:val="22"/>
        </w:rPr>
        <w:t xml:space="preserve"> v </w:t>
      </w:r>
      <w:r w:rsidRPr="00B048EB">
        <w:rPr>
          <w:rFonts w:ascii="Times New Roman" w:hAnsi="Times New Roman" w:cs="Times New Roman"/>
          <w:sz w:val="22"/>
          <w:szCs w:val="22"/>
        </w:rPr>
        <w:t>prípade celekoxibu preukázané žiadne klinicky významné účinky na farmakokinetiku perorálnej antikoncepcie (1</w:t>
      </w:r>
      <w:r w:rsidR="00731C93">
        <w:rPr>
          <w:rFonts w:ascii="Times New Roman" w:hAnsi="Times New Roman" w:cs="Times New Roman"/>
          <w:sz w:val="22"/>
          <w:szCs w:val="22"/>
        </w:rPr>
        <w:t xml:space="preserve"> mg </w:t>
      </w:r>
      <w:r w:rsidRPr="00B048EB">
        <w:rPr>
          <w:rFonts w:ascii="Times New Roman" w:hAnsi="Times New Roman" w:cs="Times New Roman"/>
          <w:sz w:val="22"/>
          <w:szCs w:val="22"/>
        </w:rPr>
        <w:t>noretisterónu/35 </w:t>
      </w:r>
      <w:r w:rsidRPr="00B048EB">
        <w:rPr>
          <w:rFonts w:ascii="Times New Roman" w:hAnsi="Times New Roman" w:cs="Times New Roman"/>
          <w:bCs w:val="0"/>
          <w:sz w:val="22"/>
          <w:szCs w:val="22"/>
        </w:rPr>
        <w:t>µg</w:t>
      </w:r>
      <w:r w:rsidRPr="00B048EB">
        <w:rPr>
          <w:rFonts w:ascii="Times New Roman" w:hAnsi="Times New Roman" w:cs="Times New Roman"/>
          <w:sz w:val="22"/>
          <w:szCs w:val="22"/>
        </w:rPr>
        <w:t xml:space="preserve"> etinylestradiolu).</w:t>
      </w:r>
    </w:p>
    <w:p w14:paraId="30A15382" w14:textId="77777777" w:rsidR="00F6617C" w:rsidRPr="00DE5A3E" w:rsidRDefault="00F6617C" w:rsidP="00DE5A3E"/>
    <w:p w14:paraId="380D7F5B" w14:textId="033C7A45" w:rsidR="00F6617C" w:rsidRPr="004A4C5E" w:rsidRDefault="00F6617C" w:rsidP="004B560F">
      <w:pPr>
        <w:pStyle w:val="Nadpis5"/>
        <w:numPr>
          <w:ilvl w:val="0"/>
          <w:numId w:val="0"/>
        </w:numPr>
        <w:tabs>
          <w:tab w:val="left" w:pos="567"/>
          <w:tab w:val="left" w:pos="1428"/>
        </w:tabs>
        <w:jc w:val="left"/>
        <w:rPr>
          <w:b w:val="0"/>
          <w:bCs/>
          <w:sz w:val="22"/>
          <w:szCs w:val="22"/>
          <w:u w:val="single"/>
        </w:rPr>
      </w:pPr>
      <w:r w:rsidRPr="004A4C5E">
        <w:rPr>
          <w:b w:val="0"/>
          <w:i/>
          <w:iCs/>
          <w:sz w:val="22"/>
          <w:szCs w:val="22"/>
          <w:u w:val="single"/>
        </w:rPr>
        <w:t>Glibenklamid/tolbutamid</w:t>
      </w:r>
    </w:p>
    <w:p w14:paraId="78DB882E" w14:textId="0C574B37" w:rsidR="00F6617C" w:rsidRPr="0029717B" w:rsidRDefault="00F6617C" w:rsidP="00DE5A3E">
      <w:pPr>
        <w:pStyle w:val="Nadpis5"/>
        <w:keepNext w:val="0"/>
        <w:numPr>
          <w:ilvl w:val="0"/>
          <w:numId w:val="0"/>
        </w:numPr>
        <w:tabs>
          <w:tab w:val="left" w:pos="567"/>
          <w:tab w:val="left" w:pos="1428"/>
        </w:tabs>
        <w:jc w:val="left"/>
        <w:rPr>
          <w:b w:val="0"/>
          <w:bCs/>
          <w:sz w:val="22"/>
          <w:szCs w:val="22"/>
        </w:rPr>
      </w:pPr>
      <w:r w:rsidRPr="00A3314E">
        <w:rPr>
          <w:b w:val="0"/>
          <w:bCs/>
          <w:sz w:val="22"/>
          <w:szCs w:val="22"/>
        </w:rPr>
        <w:t>Celekoxib neovplyvňuje farmakokinetiku tolbutamidu (substrát cytochrómu CYP2C9)</w:t>
      </w:r>
      <w:r>
        <w:rPr>
          <w:b w:val="0"/>
          <w:bCs/>
          <w:sz w:val="22"/>
          <w:szCs w:val="22"/>
        </w:rPr>
        <w:t xml:space="preserve"> alebo </w:t>
      </w:r>
      <w:r w:rsidRPr="00A3314E">
        <w:rPr>
          <w:b w:val="0"/>
          <w:bCs/>
          <w:sz w:val="22"/>
          <w:szCs w:val="22"/>
        </w:rPr>
        <w:t>glibenklamidu</w:t>
      </w:r>
      <w:r w:rsidR="00731C93">
        <w:rPr>
          <w:b w:val="0"/>
          <w:bCs/>
          <w:sz w:val="22"/>
          <w:szCs w:val="22"/>
        </w:rPr>
        <w:t xml:space="preserve"> v </w:t>
      </w:r>
      <w:r w:rsidRPr="00A3314E">
        <w:rPr>
          <w:b w:val="0"/>
          <w:bCs/>
          <w:sz w:val="22"/>
          <w:szCs w:val="22"/>
        </w:rPr>
        <w:t>klinicky významnom rozsahu.</w:t>
      </w:r>
    </w:p>
    <w:p w14:paraId="19044533" w14:textId="77777777" w:rsidR="00A3314E" w:rsidRDefault="00A3314E" w:rsidP="00F31FEF">
      <w:pPr>
        <w:tabs>
          <w:tab w:val="left" w:pos="0"/>
          <w:tab w:val="left" w:pos="567"/>
        </w:tabs>
        <w:rPr>
          <w:bCs/>
          <w:sz w:val="22"/>
          <w:szCs w:val="22"/>
        </w:rPr>
      </w:pPr>
    </w:p>
    <w:p w14:paraId="53DF6C00" w14:textId="77777777" w:rsidR="00962AD0" w:rsidRPr="004A4C5E" w:rsidRDefault="00962AD0" w:rsidP="004B560F">
      <w:pPr>
        <w:keepNext/>
      </w:pPr>
      <w:r w:rsidRPr="004A4C5E">
        <w:rPr>
          <w:i/>
          <w:sz w:val="22"/>
          <w:szCs w:val="22"/>
        </w:rPr>
        <w:t>Účinky iných liekov na celekoxib</w:t>
      </w:r>
    </w:p>
    <w:p w14:paraId="3D3F17DD" w14:textId="77777777" w:rsidR="00962AD0" w:rsidRDefault="00962AD0" w:rsidP="004B560F">
      <w:pPr>
        <w:keepNext/>
      </w:pPr>
    </w:p>
    <w:p w14:paraId="38834749" w14:textId="77777777" w:rsidR="00962AD0" w:rsidRPr="004A4C5E" w:rsidRDefault="00962AD0" w:rsidP="004B560F">
      <w:pPr>
        <w:keepNext/>
        <w:tabs>
          <w:tab w:val="left" w:pos="0"/>
        </w:tabs>
        <w:rPr>
          <w:i/>
          <w:sz w:val="22"/>
          <w:szCs w:val="22"/>
          <w:u w:val="single"/>
        </w:rPr>
      </w:pPr>
      <w:r w:rsidRPr="00986278">
        <w:rPr>
          <w:i/>
          <w:sz w:val="22"/>
          <w:szCs w:val="22"/>
          <w:u w:val="single"/>
        </w:rPr>
        <w:t>Nízka aktivita CYP2C9 (slabí metabolizéri)</w:t>
      </w:r>
    </w:p>
    <w:p w14:paraId="1F5298BC" w14:textId="23C23D30" w:rsidR="000A1C78" w:rsidRDefault="00C82F61" w:rsidP="00F6617C">
      <w:pPr>
        <w:tabs>
          <w:tab w:val="left" w:pos="567"/>
        </w:tabs>
        <w:rPr>
          <w:sz w:val="22"/>
          <w:szCs w:val="22"/>
        </w:rPr>
      </w:pPr>
      <w:r>
        <w:rPr>
          <w:sz w:val="22"/>
          <w:szCs w:val="22"/>
        </w:rPr>
        <w:t>U pacientov</w:t>
      </w:r>
      <w:r w:rsidR="000A1C78" w:rsidRPr="00E43278">
        <w:rPr>
          <w:sz w:val="22"/>
          <w:szCs w:val="22"/>
        </w:rPr>
        <w:t>,</w:t>
      </w:r>
      <w:r w:rsidR="00731C93">
        <w:rPr>
          <w:sz w:val="22"/>
          <w:szCs w:val="22"/>
        </w:rPr>
        <w:t xml:space="preserve"> u </w:t>
      </w:r>
      <w:r w:rsidR="000A1C78" w:rsidRPr="00E43278">
        <w:rPr>
          <w:sz w:val="22"/>
          <w:szCs w:val="22"/>
        </w:rPr>
        <w:t>ktorých je známe, že majú slabú aktivitu CYP2C9</w:t>
      </w:r>
      <w:r w:rsidR="00476B38">
        <w:rPr>
          <w:sz w:val="22"/>
          <w:szCs w:val="22"/>
        </w:rPr>
        <w:t xml:space="preserve"> </w:t>
      </w:r>
      <w:r w:rsidR="007A0160">
        <w:rPr>
          <w:sz w:val="22"/>
          <w:szCs w:val="22"/>
        </w:rPr>
        <w:t xml:space="preserve">(slabí metabolizéri) </w:t>
      </w:r>
      <w:r w:rsidR="00476B38">
        <w:rPr>
          <w:sz w:val="22"/>
          <w:szCs w:val="22"/>
        </w:rPr>
        <w:t>a</w:t>
      </w:r>
      <w:r>
        <w:rPr>
          <w:sz w:val="22"/>
          <w:szCs w:val="22"/>
        </w:rPr>
        <w:t xml:space="preserve"> je u nich </w:t>
      </w:r>
      <w:r>
        <w:rPr>
          <w:sz w:val="22"/>
          <w:szCs w:val="22"/>
        </w:rPr>
        <w:lastRenderedPageBreak/>
        <w:t>preukázateľne vyššia systémová expozícia celekoxibu, môže súbežná liečba inhibítormi CYP2C9, akým je flukonazol, viesť k ďalšiemu nárastu systémovej expozície celekoxibu. Takejto kombinácii je potrebné sa vyhnúť u</w:t>
      </w:r>
      <w:r w:rsidR="00B5494E">
        <w:rPr>
          <w:sz w:val="22"/>
          <w:szCs w:val="22"/>
        </w:rPr>
        <w:t> známych slabých metabolizátorov</w:t>
      </w:r>
      <w:r w:rsidRPr="00C82F61">
        <w:rPr>
          <w:sz w:val="22"/>
          <w:szCs w:val="22"/>
        </w:rPr>
        <w:t xml:space="preserve"> CYP2C9</w:t>
      </w:r>
      <w:r>
        <w:rPr>
          <w:sz w:val="22"/>
          <w:szCs w:val="22"/>
        </w:rPr>
        <w:t xml:space="preserve"> (pozri časti 4.2 a 5.2).</w:t>
      </w:r>
    </w:p>
    <w:p w14:paraId="3EBA1646" w14:textId="77777777" w:rsidR="000A1C78" w:rsidRDefault="000A1C78" w:rsidP="00F6617C">
      <w:pPr>
        <w:tabs>
          <w:tab w:val="left" w:pos="567"/>
        </w:tabs>
        <w:rPr>
          <w:sz w:val="22"/>
          <w:szCs w:val="22"/>
        </w:rPr>
      </w:pPr>
    </w:p>
    <w:p w14:paraId="03F55B31" w14:textId="1A22D255" w:rsidR="00962AD0" w:rsidRPr="004A4C5E" w:rsidRDefault="00962AD0" w:rsidP="004B560F">
      <w:pPr>
        <w:keepNext/>
        <w:tabs>
          <w:tab w:val="left" w:pos="0"/>
          <w:tab w:val="left" w:pos="567"/>
        </w:tabs>
        <w:rPr>
          <w:bCs/>
          <w:i/>
          <w:sz w:val="22"/>
          <w:szCs w:val="22"/>
          <w:u w:val="single"/>
        </w:rPr>
      </w:pPr>
      <w:r w:rsidRPr="004A4C5E">
        <w:rPr>
          <w:bCs/>
          <w:i/>
          <w:sz w:val="22"/>
          <w:szCs w:val="22"/>
          <w:u w:val="single"/>
        </w:rPr>
        <w:t>CYP2C9 inhibítory</w:t>
      </w:r>
      <w:r w:rsidR="00731C93">
        <w:rPr>
          <w:bCs/>
          <w:i/>
          <w:sz w:val="22"/>
          <w:szCs w:val="22"/>
          <w:u w:val="single"/>
        </w:rPr>
        <w:t xml:space="preserve"> a </w:t>
      </w:r>
      <w:r w:rsidRPr="004A4C5E">
        <w:rPr>
          <w:bCs/>
          <w:i/>
          <w:sz w:val="22"/>
          <w:szCs w:val="22"/>
          <w:u w:val="single"/>
        </w:rPr>
        <w:t>induktory</w:t>
      </w:r>
    </w:p>
    <w:p w14:paraId="76B81F85" w14:textId="47836E8C" w:rsidR="00962AD0" w:rsidRDefault="00962AD0" w:rsidP="00E4745F">
      <w:pPr>
        <w:tabs>
          <w:tab w:val="left" w:pos="0"/>
          <w:tab w:val="left" w:pos="567"/>
        </w:tabs>
        <w:rPr>
          <w:bCs/>
          <w:sz w:val="22"/>
          <w:szCs w:val="22"/>
        </w:rPr>
      </w:pPr>
      <w:r w:rsidRPr="00962AD0">
        <w:rPr>
          <w:bCs/>
          <w:sz w:val="22"/>
          <w:szCs w:val="22"/>
        </w:rPr>
        <w:t>Pretože je celekoxib prevažne metabolizovaný cytochrómom CYP2C9, mala by sa pacientom užívajúcim flukonazol podávať polovičná odporúčaná dávka. Pri súbežnom užívaní 200</w:t>
      </w:r>
      <w:r w:rsidR="00731C93">
        <w:rPr>
          <w:bCs/>
          <w:sz w:val="22"/>
          <w:szCs w:val="22"/>
        </w:rPr>
        <w:t xml:space="preserve"> mg </w:t>
      </w:r>
      <w:r w:rsidR="00B5494E">
        <w:rPr>
          <w:bCs/>
          <w:sz w:val="22"/>
          <w:szCs w:val="22"/>
        </w:rPr>
        <w:t xml:space="preserve">jednorazovej </w:t>
      </w:r>
      <w:r w:rsidRPr="00962AD0">
        <w:rPr>
          <w:bCs/>
          <w:sz w:val="22"/>
          <w:szCs w:val="22"/>
        </w:rPr>
        <w:t>dávky celekoxibu</w:t>
      </w:r>
      <w:r w:rsidR="00731C93">
        <w:rPr>
          <w:bCs/>
          <w:sz w:val="22"/>
          <w:szCs w:val="22"/>
        </w:rPr>
        <w:t xml:space="preserve"> a </w:t>
      </w:r>
      <w:r w:rsidRPr="00962AD0">
        <w:rPr>
          <w:bCs/>
          <w:sz w:val="22"/>
          <w:szCs w:val="22"/>
        </w:rPr>
        <w:t>200</w:t>
      </w:r>
      <w:r w:rsidR="00731C93">
        <w:rPr>
          <w:bCs/>
          <w:sz w:val="22"/>
          <w:szCs w:val="22"/>
        </w:rPr>
        <w:t xml:space="preserve"> mg </w:t>
      </w:r>
      <w:r w:rsidRPr="00962AD0">
        <w:rPr>
          <w:bCs/>
          <w:sz w:val="22"/>
          <w:szCs w:val="22"/>
        </w:rPr>
        <w:t>dennej dávky flukonazolu, silného inhibítora cytochrómu CYP2C9, došlo</w:t>
      </w:r>
      <w:r w:rsidR="00731C93">
        <w:rPr>
          <w:bCs/>
          <w:sz w:val="22"/>
          <w:szCs w:val="22"/>
        </w:rPr>
        <w:t xml:space="preserve"> k </w:t>
      </w:r>
      <w:r w:rsidRPr="00962AD0">
        <w:rPr>
          <w:bCs/>
          <w:sz w:val="22"/>
          <w:szCs w:val="22"/>
        </w:rPr>
        <w:t>priemernému zvýšeniu hodnoty C</w:t>
      </w:r>
      <w:r w:rsidRPr="004B560F">
        <w:rPr>
          <w:bCs/>
          <w:sz w:val="22"/>
          <w:szCs w:val="22"/>
          <w:vertAlign w:val="subscript"/>
        </w:rPr>
        <w:t>max</w:t>
      </w:r>
      <w:r w:rsidRPr="00962AD0">
        <w:rPr>
          <w:bCs/>
          <w:sz w:val="22"/>
          <w:szCs w:val="22"/>
        </w:rPr>
        <w:t xml:space="preserve"> celekoxibu</w:t>
      </w:r>
      <w:r w:rsidR="00731C93">
        <w:rPr>
          <w:bCs/>
          <w:sz w:val="22"/>
          <w:szCs w:val="22"/>
        </w:rPr>
        <w:t xml:space="preserve"> o </w:t>
      </w:r>
      <w:r w:rsidRPr="00962AD0">
        <w:rPr>
          <w:bCs/>
          <w:sz w:val="22"/>
          <w:szCs w:val="22"/>
        </w:rPr>
        <w:t>60 %</w:t>
      </w:r>
      <w:r w:rsidR="00731C93">
        <w:rPr>
          <w:bCs/>
          <w:sz w:val="22"/>
          <w:szCs w:val="22"/>
        </w:rPr>
        <w:t xml:space="preserve"> a </w:t>
      </w:r>
      <w:r w:rsidRPr="00962AD0">
        <w:rPr>
          <w:bCs/>
          <w:sz w:val="22"/>
          <w:szCs w:val="22"/>
        </w:rPr>
        <w:t>AUC</w:t>
      </w:r>
      <w:r w:rsidR="00731C93">
        <w:rPr>
          <w:bCs/>
          <w:sz w:val="22"/>
          <w:szCs w:val="22"/>
        </w:rPr>
        <w:t xml:space="preserve"> o </w:t>
      </w:r>
      <w:r w:rsidRPr="00962AD0">
        <w:rPr>
          <w:bCs/>
          <w:sz w:val="22"/>
          <w:szCs w:val="22"/>
        </w:rPr>
        <w:t>130 %.</w:t>
      </w:r>
      <w:r>
        <w:rPr>
          <w:bCs/>
          <w:sz w:val="22"/>
          <w:szCs w:val="22"/>
        </w:rPr>
        <w:t xml:space="preserve"> </w:t>
      </w:r>
      <w:r w:rsidRPr="00B048EB">
        <w:rPr>
          <w:sz w:val="22"/>
          <w:szCs w:val="22"/>
        </w:rPr>
        <w:t>Súbežné podávanie celekoxibu</w:t>
      </w:r>
      <w:r w:rsidR="00731C93">
        <w:rPr>
          <w:sz w:val="22"/>
          <w:szCs w:val="22"/>
        </w:rPr>
        <w:t xml:space="preserve"> s </w:t>
      </w:r>
      <w:r w:rsidRPr="00B048EB">
        <w:rPr>
          <w:sz w:val="22"/>
          <w:szCs w:val="22"/>
        </w:rPr>
        <w:t>induktormi cytochrómu CYP2C9, ako sú rifampicín, karbamazepín a barbituráty, môže viesť</w:t>
      </w:r>
      <w:r w:rsidR="00731C93">
        <w:rPr>
          <w:sz w:val="22"/>
          <w:szCs w:val="22"/>
        </w:rPr>
        <w:t xml:space="preserve"> k </w:t>
      </w:r>
      <w:r w:rsidRPr="00B048EB">
        <w:rPr>
          <w:sz w:val="22"/>
          <w:szCs w:val="22"/>
        </w:rPr>
        <w:t>zníženiu plazmatických koncentrácií celekoxibu.</w:t>
      </w:r>
    </w:p>
    <w:p w14:paraId="109E1E6A" w14:textId="77777777" w:rsidR="00962AD0" w:rsidRPr="00B048EB" w:rsidRDefault="00962AD0" w:rsidP="00DE5A3E">
      <w:pPr>
        <w:tabs>
          <w:tab w:val="left" w:pos="0"/>
          <w:tab w:val="left" w:pos="567"/>
        </w:tabs>
        <w:rPr>
          <w:bCs/>
          <w:sz w:val="22"/>
          <w:szCs w:val="22"/>
        </w:rPr>
      </w:pPr>
    </w:p>
    <w:p w14:paraId="1D018DF8" w14:textId="2B555255" w:rsidR="00A3314E" w:rsidRPr="004A4C5E" w:rsidRDefault="00A3314E" w:rsidP="004B560F">
      <w:pPr>
        <w:keepNext/>
        <w:rPr>
          <w:i/>
          <w:sz w:val="22"/>
          <w:szCs w:val="22"/>
          <w:u w:val="single"/>
        </w:rPr>
      </w:pPr>
      <w:r w:rsidRPr="00DE5A3E">
        <w:rPr>
          <w:i/>
          <w:sz w:val="22"/>
          <w:u w:val="single"/>
        </w:rPr>
        <w:t>Ketokonazol</w:t>
      </w:r>
      <w:r w:rsidR="00731C93">
        <w:rPr>
          <w:i/>
          <w:sz w:val="22"/>
          <w:szCs w:val="22"/>
          <w:u w:val="single"/>
        </w:rPr>
        <w:t xml:space="preserve"> a </w:t>
      </w:r>
      <w:r w:rsidRPr="004A4C5E">
        <w:rPr>
          <w:i/>
          <w:sz w:val="22"/>
          <w:szCs w:val="22"/>
          <w:u w:val="single"/>
        </w:rPr>
        <w:t>antacidá</w:t>
      </w:r>
    </w:p>
    <w:p w14:paraId="5FB0252E" w14:textId="77777777" w:rsidR="00A3314E" w:rsidRPr="004B560F" w:rsidRDefault="00A3314E" w:rsidP="00A3314E">
      <w:pPr>
        <w:rPr>
          <w:sz w:val="22"/>
          <w:szCs w:val="22"/>
        </w:rPr>
      </w:pPr>
      <w:r w:rsidRPr="004B560F">
        <w:rPr>
          <w:sz w:val="22"/>
          <w:szCs w:val="22"/>
        </w:rPr>
        <w:t>U ketokonazolu alebo antacíd sa nepozorovalo ovplyvnenie farmakokinetiky celekoxibu.</w:t>
      </w:r>
    </w:p>
    <w:p w14:paraId="038F377F" w14:textId="77777777" w:rsidR="00FA71B4" w:rsidRPr="00E4745F" w:rsidRDefault="00FA71B4" w:rsidP="00F31FEF">
      <w:pPr>
        <w:tabs>
          <w:tab w:val="left" w:pos="0"/>
          <w:tab w:val="left" w:pos="567"/>
        </w:tabs>
        <w:rPr>
          <w:bCs/>
          <w:sz w:val="22"/>
          <w:szCs w:val="22"/>
        </w:rPr>
      </w:pPr>
    </w:p>
    <w:p w14:paraId="2850B830" w14:textId="77777777" w:rsidR="00B4110D" w:rsidRPr="004A4C5E" w:rsidRDefault="00B4110D" w:rsidP="004B560F">
      <w:pPr>
        <w:keepNext/>
        <w:rPr>
          <w:i/>
          <w:sz w:val="22"/>
          <w:szCs w:val="22"/>
        </w:rPr>
      </w:pPr>
      <w:r w:rsidRPr="004A4C5E">
        <w:rPr>
          <w:i/>
          <w:sz w:val="22"/>
          <w:szCs w:val="22"/>
        </w:rPr>
        <w:t>Pediatrická populácia</w:t>
      </w:r>
    </w:p>
    <w:p w14:paraId="3BB6D3FE" w14:textId="73E85FBC" w:rsidR="00B4110D" w:rsidRPr="00B4110D" w:rsidRDefault="00B4110D" w:rsidP="004B560F">
      <w:pPr>
        <w:rPr>
          <w:sz w:val="22"/>
          <w:szCs w:val="22"/>
        </w:rPr>
      </w:pPr>
      <w:r w:rsidRPr="004B560F">
        <w:rPr>
          <w:sz w:val="22"/>
          <w:szCs w:val="22"/>
        </w:rPr>
        <w:t>Interakčné štúdie sa uskutočnili len</w:t>
      </w:r>
      <w:r w:rsidR="00731C93">
        <w:rPr>
          <w:sz w:val="22"/>
          <w:szCs w:val="22"/>
        </w:rPr>
        <w:t xml:space="preserve"> u </w:t>
      </w:r>
      <w:r w:rsidRPr="004B560F">
        <w:rPr>
          <w:sz w:val="22"/>
          <w:szCs w:val="22"/>
        </w:rPr>
        <w:t>dospelých.</w:t>
      </w:r>
    </w:p>
    <w:p w14:paraId="6FEF86D8" w14:textId="77777777" w:rsidR="00FA71B4" w:rsidRPr="00493E86" w:rsidRDefault="00FA71B4" w:rsidP="000F2C6E">
      <w:pPr>
        <w:tabs>
          <w:tab w:val="left" w:pos="0"/>
          <w:tab w:val="left" w:pos="567"/>
        </w:tabs>
        <w:rPr>
          <w:bCs/>
          <w:sz w:val="22"/>
          <w:szCs w:val="22"/>
        </w:rPr>
      </w:pPr>
    </w:p>
    <w:p w14:paraId="531508EC" w14:textId="77777777" w:rsidR="00FA71B4" w:rsidRPr="00B048EB" w:rsidRDefault="00FA71B4" w:rsidP="00370DBB">
      <w:pPr>
        <w:keepNext/>
        <w:tabs>
          <w:tab w:val="left" w:pos="567"/>
        </w:tabs>
        <w:rPr>
          <w:b/>
          <w:sz w:val="22"/>
          <w:szCs w:val="22"/>
        </w:rPr>
      </w:pPr>
      <w:r w:rsidRPr="00B048EB">
        <w:rPr>
          <w:b/>
          <w:sz w:val="22"/>
          <w:szCs w:val="22"/>
        </w:rPr>
        <w:t>4.6</w:t>
      </w:r>
      <w:r w:rsidRPr="00B048EB">
        <w:rPr>
          <w:b/>
          <w:sz w:val="22"/>
          <w:szCs w:val="22"/>
        </w:rPr>
        <w:tab/>
        <w:t>Fertilita, gravidita a laktácia</w:t>
      </w:r>
    </w:p>
    <w:p w14:paraId="69043AB2" w14:textId="77777777" w:rsidR="00FA71B4" w:rsidRPr="00B048EB" w:rsidRDefault="00FA71B4" w:rsidP="00370DBB">
      <w:pPr>
        <w:keepNext/>
        <w:tabs>
          <w:tab w:val="left" w:pos="567"/>
        </w:tabs>
        <w:rPr>
          <w:bCs/>
          <w:sz w:val="22"/>
          <w:szCs w:val="22"/>
          <w:u w:val="single"/>
        </w:rPr>
      </w:pPr>
    </w:p>
    <w:p w14:paraId="624CAD42" w14:textId="77777777" w:rsidR="00FA71B4" w:rsidRPr="00B048EB" w:rsidRDefault="00FA71B4" w:rsidP="00370DBB">
      <w:pPr>
        <w:keepNext/>
        <w:tabs>
          <w:tab w:val="left" w:pos="567"/>
        </w:tabs>
        <w:rPr>
          <w:bCs/>
          <w:sz w:val="22"/>
          <w:szCs w:val="22"/>
          <w:u w:val="single"/>
        </w:rPr>
      </w:pPr>
      <w:r w:rsidRPr="00B048EB">
        <w:rPr>
          <w:bCs/>
          <w:sz w:val="22"/>
          <w:szCs w:val="22"/>
          <w:u w:val="single"/>
        </w:rPr>
        <w:t>Gravidita</w:t>
      </w:r>
    </w:p>
    <w:p w14:paraId="329F9AB7" w14:textId="27C28822" w:rsidR="00C82F61" w:rsidRDefault="00C82F61" w:rsidP="00DE5A3E">
      <w:pPr>
        <w:tabs>
          <w:tab w:val="left" w:pos="567"/>
        </w:tabs>
        <w:rPr>
          <w:bCs/>
          <w:sz w:val="22"/>
          <w:szCs w:val="22"/>
        </w:rPr>
      </w:pPr>
      <w:r w:rsidRPr="00B048EB">
        <w:rPr>
          <w:bCs/>
          <w:sz w:val="22"/>
          <w:szCs w:val="22"/>
        </w:rPr>
        <w:t xml:space="preserve">Štúdie na zvieratách (potkanoch a králikoch) preukázali reprodukčnú toxicitu vrátane malformácií (pozri časti </w:t>
      </w:r>
      <w:r w:rsidRPr="00B048EB">
        <w:rPr>
          <w:bCs/>
          <w:iCs/>
          <w:sz w:val="22"/>
          <w:szCs w:val="22"/>
        </w:rPr>
        <w:t>4.3</w:t>
      </w:r>
      <w:r w:rsidRPr="00B048EB">
        <w:rPr>
          <w:bCs/>
          <w:sz w:val="22"/>
          <w:szCs w:val="22"/>
        </w:rPr>
        <w:t xml:space="preserve"> a </w:t>
      </w:r>
      <w:r w:rsidRPr="00B048EB">
        <w:rPr>
          <w:bCs/>
          <w:iCs/>
          <w:sz w:val="22"/>
          <w:szCs w:val="22"/>
        </w:rPr>
        <w:t>5.3</w:t>
      </w:r>
      <w:r w:rsidRPr="00B048EB">
        <w:rPr>
          <w:bCs/>
          <w:sz w:val="22"/>
          <w:szCs w:val="22"/>
        </w:rPr>
        <w:t>).</w:t>
      </w:r>
      <w:r>
        <w:rPr>
          <w:bCs/>
          <w:sz w:val="22"/>
          <w:szCs w:val="22"/>
        </w:rPr>
        <w:t xml:space="preserve"> </w:t>
      </w:r>
      <w:r w:rsidRPr="00B048EB">
        <w:rPr>
          <w:bCs/>
          <w:sz w:val="22"/>
          <w:szCs w:val="22"/>
        </w:rPr>
        <w:t>Inhibícia syntézy prostaglandínov môže mať nepriaznivý dopad na graviditu.</w:t>
      </w:r>
      <w:r w:rsidRPr="00C82F61">
        <w:rPr>
          <w:bCs/>
          <w:sz w:val="22"/>
          <w:szCs w:val="22"/>
        </w:rPr>
        <w:t xml:space="preserve"> </w:t>
      </w:r>
      <w:r w:rsidRPr="00B048EB">
        <w:rPr>
          <w:bCs/>
          <w:sz w:val="22"/>
          <w:szCs w:val="22"/>
        </w:rPr>
        <w:t xml:space="preserve">Údaje z epidemiologických štúdií </w:t>
      </w:r>
      <w:r w:rsidR="009C6AF1">
        <w:rPr>
          <w:bCs/>
          <w:sz w:val="22"/>
          <w:szCs w:val="22"/>
        </w:rPr>
        <w:t>po</w:t>
      </w:r>
      <w:r w:rsidRPr="00B048EB">
        <w:rPr>
          <w:bCs/>
          <w:sz w:val="22"/>
          <w:szCs w:val="22"/>
        </w:rPr>
        <w:t>ukazujú na zvýšené riziko spontánnych potratov po užívaní inhibítorov syntézy prostaglandínov v skorom štádiu gravidity. Možnosť rizika pre ženy v gravidite nie je známa, ale nemožno ho vylúčiť.</w:t>
      </w:r>
      <w:r w:rsidRPr="00C82F61">
        <w:rPr>
          <w:bCs/>
          <w:sz w:val="22"/>
          <w:szCs w:val="22"/>
        </w:rPr>
        <w:t xml:space="preserve"> </w:t>
      </w:r>
      <w:r w:rsidRPr="00B048EB">
        <w:rPr>
          <w:bCs/>
          <w:sz w:val="22"/>
          <w:szCs w:val="22"/>
        </w:rPr>
        <w:t xml:space="preserve">Celekoxib, tak ako iné lieky inhibujúce syntézu prostaglandínov, môže spôsobiť inerciu maternice a predčasné uzavretie </w:t>
      </w:r>
      <w:r w:rsidRPr="00B048EB">
        <w:rPr>
          <w:bCs/>
          <w:i/>
          <w:sz w:val="22"/>
          <w:szCs w:val="22"/>
        </w:rPr>
        <w:t>ductus arteriosus</w:t>
      </w:r>
      <w:r w:rsidRPr="00B048EB">
        <w:rPr>
          <w:bCs/>
          <w:sz w:val="22"/>
          <w:szCs w:val="22"/>
        </w:rPr>
        <w:t xml:space="preserve"> </w:t>
      </w:r>
      <w:r w:rsidRPr="00B048EB">
        <w:rPr>
          <w:sz w:val="22"/>
          <w:szCs w:val="22"/>
        </w:rPr>
        <w:t>počas posledného trimestra</w:t>
      </w:r>
      <w:r w:rsidRPr="00B048EB">
        <w:rPr>
          <w:bCs/>
          <w:sz w:val="22"/>
          <w:szCs w:val="22"/>
        </w:rPr>
        <w:t>.</w:t>
      </w:r>
    </w:p>
    <w:p w14:paraId="2FFF1AE0" w14:textId="77777777" w:rsidR="00C82F61" w:rsidRDefault="00C82F61" w:rsidP="00DE5A3E">
      <w:pPr>
        <w:tabs>
          <w:tab w:val="left" w:pos="567"/>
        </w:tabs>
        <w:rPr>
          <w:bCs/>
          <w:sz w:val="22"/>
          <w:szCs w:val="22"/>
        </w:rPr>
      </w:pPr>
    </w:p>
    <w:p w14:paraId="68B6C649" w14:textId="69091C17" w:rsidR="00C82F61" w:rsidRDefault="009C6AF1" w:rsidP="00DE5A3E">
      <w:pPr>
        <w:tabs>
          <w:tab w:val="left" w:pos="567"/>
        </w:tabs>
        <w:rPr>
          <w:sz w:val="22"/>
          <w:szCs w:val="22"/>
        </w:rPr>
      </w:pPr>
      <w:r w:rsidRPr="00B048EB">
        <w:rPr>
          <w:sz w:val="22"/>
          <w:szCs w:val="22"/>
        </w:rPr>
        <w:t>NSAID môžu spôsobiť nesprávne fungovanie obličiek plodu</w:t>
      </w:r>
      <w:r>
        <w:rPr>
          <w:sz w:val="22"/>
          <w:szCs w:val="22"/>
        </w:rPr>
        <w:t>, ak sa používajú</w:t>
      </w:r>
      <w:r w:rsidR="00C82F61" w:rsidRPr="00B048EB">
        <w:rPr>
          <w:sz w:val="22"/>
          <w:szCs w:val="22"/>
        </w:rPr>
        <w:t xml:space="preserve"> počas druhého aleb</w:t>
      </w:r>
      <w:r>
        <w:rPr>
          <w:sz w:val="22"/>
          <w:szCs w:val="22"/>
        </w:rPr>
        <w:t>o tretieho trimestra gravidity,</w:t>
      </w:r>
      <w:r w:rsidR="00C82F61" w:rsidRPr="00B048EB">
        <w:rPr>
          <w:sz w:val="22"/>
          <w:szCs w:val="22"/>
        </w:rPr>
        <w:t xml:space="preserve"> čo môže v závažných prípadoch viesť k zníženiu objemu plodovej vody alebo oligohydramniónu. Takéto účinky sa môžu objaviť krátko po začiatku lie</w:t>
      </w:r>
      <w:r w:rsidR="00C82F61">
        <w:rPr>
          <w:sz w:val="22"/>
          <w:szCs w:val="22"/>
        </w:rPr>
        <w:t>čby a väčšinou sú reverzibilné.</w:t>
      </w:r>
    </w:p>
    <w:p w14:paraId="46E1C03A" w14:textId="77777777" w:rsidR="00C82F61" w:rsidRDefault="00C82F61" w:rsidP="00DE5A3E">
      <w:pPr>
        <w:tabs>
          <w:tab w:val="left" w:pos="567"/>
        </w:tabs>
        <w:rPr>
          <w:sz w:val="22"/>
          <w:szCs w:val="22"/>
        </w:rPr>
      </w:pPr>
    </w:p>
    <w:p w14:paraId="5D984583" w14:textId="7387CBE6" w:rsidR="00C82F61" w:rsidRPr="00E4745F" w:rsidRDefault="00C82F61" w:rsidP="004B560F">
      <w:pPr>
        <w:tabs>
          <w:tab w:val="left" w:pos="567"/>
        </w:tabs>
        <w:rPr>
          <w:bCs/>
          <w:sz w:val="22"/>
          <w:szCs w:val="22"/>
        </w:rPr>
      </w:pPr>
      <w:r w:rsidRPr="00B048EB">
        <w:rPr>
          <w:caps/>
          <w:sz w:val="22"/>
          <w:szCs w:val="22"/>
        </w:rPr>
        <w:t>c</w:t>
      </w:r>
      <w:r w:rsidRPr="00B048EB">
        <w:rPr>
          <w:sz w:val="22"/>
          <w:szCs w:val="22"/>
        </w:rPr>
        <w:t>elekoxib</w:t>
      </w:r>
      <w:r w:rsidRPr="00B048EB">
        <w:rPr>
          <w:b/>
          <w:sz w:val="22"/>
          <w:szCs w:val="22"/>
          <w:vertAlign w:val="superscript"/>
        </w:rPr>
        <w:t xml:space="preserve"> </w:t>
      </w:r>
      <w:r w:rsidRPr="00B048EB">
        <w:rPr>
          <w:bCs/>
          <w:sz w:val="22"/>
          <w:szCs w:val="22"/>
        </w:rPr>
        <w:t xml:space="preserve">je kontraindikovaný v gravidite a u žien, ktoré môžu otehotnieť (pozri časti </w:t>
      </w:r>
      <w:r w:rsidRPr="00B048EB">
        <w:rPr>
          <w:bCs/>
          <w:iCs/>
          <w:sz w:val="22"/>
          <w:szCs w:val="22"/>
        </w:rPr>
        <w:t>4.3</w:t>
      </w:r>
      <w:r w:rsidR="00731C93">
        <w:rPr>
          <w:bCs/>
          <w:iCs/>
          <w:sz w:val="22"/>
          <w:szCs w:val="22"/>
        </w:rPr>
        <w:t xml:space="preserve"> a </w:t>
      </w:r>
      <w:r w:rsidR="009C6AF1">
        <w:rPr>
          <w:bCs/>
          <w:iCs/>
          <w:sz w:val="22"/>
          <w:szCs w:val="22"/>
        </w:rPr>
        <w:t>4.4</w:t>
      </w:r>
      <w:r w:rsidRPr="00B048EB">
        <w:rPr>
          <w:bCs/>
          <w:sz w:val="22"/>
          <w:szCs w:val="22"/>
        </w:rPr>
        <w:t>). Ak žena otehotnie počas liečby celekoxib</w:t>
      </w:r>
      <w:r>
        <w:rPr>
          <w:bCs/>
          <w:sz w:val="22"/>
          <w:szCs w:val="22"/>
        </w:rPr>
        <w:t xml:space="preserve">om, liečba </w:t>
      </w:r>
      <w:r w:rsidRPr="00B048EB">
        <w:rPr>
          <w:bCs/>
          <w:sz w:val="22"/>
          <w:szCs w:val="22"/>
        </w:rPr>
        <w:t xml:space="preserve">sa musí </w:t>
      </w:r>
      <w:r>
        <w:rPr>
          <w:bCs/>
          <w:sz w:val="22"/>
          <w:szCs w:val="22"/>
        </w:rPr>
        <w:t>ukončiť</w:t>
      </w:r>
      <w:r w:rsidRPr="00B048EB">
        <w:rPr>
          <w:bCs/>
          <w:sz w:val="22"/>
          <w:szCs w:val="22"/>
        </w:rPr>
        <w:t>.</w:t>
      </w:r>
    </w:p>
    <w:p w14:paraId="35AFA7A1" w14:textId="77777777" w:rsidR="00FA71B4" w:rsidRPr="00B048EB" w:rsidRDefault="00FA71B4" w:rsidP="000F2C6E">
      <w:pPr>
        <w:tabs>
          <w:tab w:val="left" w:pos="567"/>
        </w:tabs>
        <w:rPr>
          <w:bCs/>
          <w:sz w:val="22"/>
          <w:szCs w:val="22"/>
        </w:rPr>
      </w:pPr>
    </w:p>
    <w:p w14:paraId="2EBE9AB0" w14:textId="77777777" w:rsidR="00FA71B4" w:rsidRPr="00B048EB" w:rsidRDefault="0055714D" w:rsidP="00DE5A3E">
      <w:pPr>
        <w:keepNext/>
        <w:tabs>
          <w:tab w:val="left" w:pos="567"/>
        </w:tabs>
        <w:rPr>
          <w:bCs/>
          <w:sz w:val="22"/>
          <w:szCs w:val="22"/>
          <w:u w:val="single"/>
        </w:rPr>
      </w:pPr>
      <w:r w:rsidRPr="00B048EB">
        <w:rPr>
          <w:bCs/>
          <w:sz w:val="22"/>
          <w:szCs w:val="22"/>
          <w:u w:val="single"/>
        </w:rPr>
        <w:t>Dojčenie</w:t>
      </w:r>
    </w:p>
    <w:p w14:paraId="61412B8D" w14:textId="77777777" w:rsidR="00FA71B4" w:rsidRPr="00B048EB" w:rsidRDefault="00FA71B4" w:rsidP="000F2C6E">
      <w:pPr>
        <w:tabs>
          <w:tab w:val="left" w:pos="567"/>
        </w:tabs>
        <w:rPr>
          <w:bCs/>
          <w:sz w:val="22"/>
          <w:szCs w:val="22"/>
        </w:rPr>
      </w:pPr>
      <w:r w:rsidRPr="00B048EB">
        <w:rPr>
          <w:sz w:val="22"/>
          <w:szCs w:val="22"/>
        </w:rPr>
        <w:t>Celekoxib</w:t>
      </w:r>
      <w:r w:rsidRPr="00B048EB">
        <w:rPr>
          <w:b/>
          <w:sz w:val="22"/>
          <w:szCs w:val="22"/>
          <w:vertAlign w:val="superscript"/>
        </w:rPr>
        <w:t xml:space="preserve"> </w:t>
      </w:r>
      <w:r w:rsidRPr="00B048EB">
        <w:rPr>
          <w:bCs/>
          <w:sz w:val="22"/>
          <w:szCs w:val="22"/>
        </w:rPr>
        <w:t xml:space="preserve">sa vylučuje do mlieka dojčiacich potkanov v koncentráciách podobných plazmatickým. </w:t>
      </w:r>
      <w:r w:rsidR="005E33D0" w:rsidRPr="00B048EB">
        <w:rPr>
          <w:sz w:val="22"/>
          <w:szCs w:val="22"/>
        </w:rPr>
        <w:t xml:space="preserve">Pri podaní celekoxibu dojčiacim ženám bol pozorovaný iba veľmi nízky prechod celekoxibu do materského mlieka. </w:t>
      </w:r>
      <w:r w:rsidRPr="00B048EB">
        <w:rPr>
          <w:bCs/>
          <w:sz w:val="22"/>
          <w:szCs w:val="22"/>
        </w:rPr>
        <w:t>Ženy, ktoré užívajú celekoxib</w:t>
      </w:r>
      <w:r w:rsidR="00D06AC5" w:rsidRPr="00B048EB">
        <w:rPr>
          <w:bCs/>
          <w:sz w:val="22"/>
          <w:szCs w:val="22"/>
        </w:rPr>
        <w:t>,</w:t>
      </w:r>
      <w:r w:rsidRPr="00B048EB">
        <w:rPr>
          <w:bCs/>
          <w:sz w:val="22"/>
          <w:szCs w:val="22"/>
        </w:rPr>
        <w:t xml:space="preserve"> nesmú dojčiť.</w:t>
      </w:r>
    </w:p>
    <w:p w14:paraId="1C30A35B" w14:textId="77777777" w:rsidR="00FA71B4" w:rsidRPr="00B048EB" w:rsidRDefault="00FA71B4" w:rsidP="000F2C6E">
      <w:pPr>
        <w:tabs>
          <w:tab w:val="left" w:pos="567"/>
        </w:tabs>
        <w:rPr>
          <w:bCs/>
          <w:sz w:val="22"/>
          <w:szCs w:val="22"/>
        </w:rPr>
      </w:pPr>
    </w:p>
    <w:p w14:paraId="10F79973" w14:textId="77777777" w:rsidR="00FA71B4" w:rsidRPr="00B048EB" w:rsidRDefault="00FA71B4" w:rsidP="00DE5A3E">
      <w:pPr>
        <w:keepNext/>
        <w:tabs>
          <w:tab w:val="left" w:pos="567"/>
        </w:tabs>
        <w:rPr>
          <w:bCs/>
          <w:sz w:val="22"/>
          <w:szCs w:val="22"/>
          <w:u w:val="single"/>
        </w:rPr>
      </w:pPr>
      <w:r w:rsidRPr="00B048EB">
        <w:rPr>
          <w:bCs/>
          <w:sz w:val="22"/>
          <w:szCs w:val="22"/>
          <w:u w:val="single"/>
        </w:rPr>
        <w:t>Fertilita</w:t>
      </w:r>
    </w:p>
    <w:p w14:paraId="05C69DE2" w14:textId="36D0FBEF" w:rsidR="00FA71B4" w:rsidRPr="00B048EB" w:rsidRDefault="009C6AF1" w:rsidP="000F2C6E">
      <w:pPr>
        <w:tabs>
          <w:tab w:val="left" w:pos="567"/>
        </w:tabs>
        <w:rPr>
          <w:bCs/>
          <w:sz w:val="22"/>
          <w:szCs w:val="22"/>
        </w:rPr>
      </w:pPr>
      <w:r>
        <w:rPr>
          <w:bCs/>
          <w:sz w:val="22"/>
          <w:szCs w:val="22"/>
        </w:rPr>
        <w:t>U</w:t>
      </w:r>
      <w:r w:rsidRPr="00B048EB">
        <w:rPr>
          <w:bCs/>
          <w:sz w:val="22"/>
          <w:szCs w:val="22"/>
        </w:rPr>
        <w:t xml:space="preserve">žívanie </w:t>
      </w:r>
      <w:r>
        <w:rPr>
          <w:bCs/>
          <w:sz w:val="22"/>
          <w:szCs w:val="22"/>
        </w:rPr>
        <w:t>NSAID,</w:t>
      </w:r>
      <w:r w:rsidRPr="00B048EB">
        <w:rPr>
          <w:bCs/>
          <w:sz w:val="22"/>
          <w:szCs w:val="22"/>
        </w:rPr>
        <w:t xml:space="preserve"> vrátane celekoxibu</w:t>
      </w:r>
      <w:r>
        <w:rPr>
          <w:bCs/>
          <w:sz w:val="22"/>
          <w:szCs w:val="22"/>
        </w:rPr>
        <w:t>, môže n</w:t>
      </w:r>
      <w:r w:rsidR="00FA71B4" w:rsidRPr="00B048EB">
        <w:rPr>
          <w:bCs/>
          <w:sz w:val="22"/>
          <w:szCs w:val="22"/>
        </w:rPr>
        <w:t>a základe mechanizmu účinku oneskoriť alebo zabrániť uvoľneniu ovariálnych folikúl, ktoré boli spájané s reverzibilnou neplodnosťou u niektorých žien.</w:t>
      </w:r>
    </w:p>
    <w:p w14:paraId="2FA3970F" w14:textId="77777777" w:rsidR="00FA71B4" w:rsidRPr="00B048EB" w:rsidRDefault="00FA71B4" w:rsidP="000F2C6E">
      <w:pPr>
        <w:tabs>
          <w:tab w:val="left" w:pos="567"/>
        </w:tabs>
        <w:rPr>
          <w:bCs/>
          <w:sz w:val="22"/>
          <w:szCs w:val="22"/>
        </w:rPr>
      </w:pPr>
    </w:p>
    <w:p w14:paraId="31E6D784" w14:textId="0A5DD3AC" w:rsidR="00FA71B4" w:rsidRPr="00B048EB" w:rsidRDefault="00FA71B4" w:rsidP="00DE5A3E">
      <w:pPr>
        <w:keepNext/>
        <w:tabs>
          <w:tab w:val="left" w:pos="567"/>
        </w:tabs>
        <w:rPr>
          <w:b/>
          <w:sz w:val="22"/>
          <w:szCs w:val="22"/>
        </w:rPr>
      </w:pPr>
      <w:r w:rsidRPr="00B048EB">
        <w:rPr>
          <w:b/>
          <w:sz w:val="22"/>
          <w:szCs w:val="22"/>
        </w:rPr>
        <w:t>4.7</w:t>
      </w:r>
      <w:r w:rsidRPr="00B048EB">
        <w:rPr>
          <w:b/>
          <w:sz w:val="22"/>
          <w:szCs w:val="22"/>
        </w:rPr>
        <w:tab/>
        <w:t>Ovplyvnenie schopnosti viesť vozidlá</w:t>
      </w:r>
      <w:r w:rsidR="00731C93">
        <w:rPr>
          <w:b/>
          <w:sz w:val="22"/>
          <w:szCs w:val="22"/>
        </w:rPr>
        <w:t xml:space="preserve"> a </w:t>
      </w:r>
      <w:r w:rsidRPr="00B048EB">
        <w:rPr>
          <w:b/>
          <w:sz w:val="22"/>
          <w:szCs w:val="22"/>
        </w:rPr>
        <w:t>obsluhovať stroje</w:t>
      </w:r>
    </w:p>
    <w:p w14:paraId="7FE6BE36" w14:textId="77777777" w:rsidR="00FA71B4" w:rsidRPr="00B048EB" w:rsidRDefault="00FA71B4" w:rsidP="00DE5A3E">
      <w:pPr>
        <w:keepNext/>
        <w:tabs>
          <w:tab w:val="left" w:pos="567"/>
        </w:tabs>
        <w:rPr>
          <w:bCs/>
          <w:sz w:val="22"/>
          <w:szCs w:val="22"/>
        </w:rPr>
      </w:pPr>
    </w:p>
    <w:p w14:paraId="521C26F6" w14:textId="06AD5D7F" w:rsidR="00813870" w:rsidRPr="00B048EB" w:rsidRDefault="00FA71B4" w:rsidP="004327C3">
      <w:pPr>
        <w:tabs>
          <w:tab w:val="left" w:pos="567"/>
        </w:tabs>
        <w:rPr>
          <w:bCs/>
          <w:sz w:val="22"/>
          <w:szCs w:val="22"/>
        </w:rPr>
      </w:pPr>
      <w:r w:rsidRPr="00B048EB">
        <w:rPr>
          <w:bCs/>
          <w:sz w:val="22"/>
          <w:szCs w:val="22"/>
        </w:rPr>
        <w:t xml:space="preserve">Pacienti, ktorí pri </w:t>
      </w:r>
      <w:r w:rsidRPr="00B048EB">
        <w:rPr>
          <w:sz w:val="22"/>
          <w:szCs w:val="22"/>
        </w:rPr>
        <w:t xml:space="preserve">užívaní celekoxibu </w:t>
      </w:r>
      <w:r w:rsidRPr="00B048EB">
        <w:rPr>
          <w:bCs/>
          <w:sz w:val="22"/>
          <w:szCs w:val="22"/>
        </w:rPr>
        <w:t xml:space="preserve">pociťujú závraty, vertigo alebo ospalosť, sa majú </w:t>
      </w:r>
      <w:r w:rsidR="009C6AF1">
        <w:rPr>
          <w:bCs/>
          <w:sz w:val="22"/>
          <w:szCs w:val="22"/>
        </w:rPr>
        <w:t>vyhnúť</w:t>
      </w:r>
      <w:r w:rsidR="009C6AF1" w:rsidRPr="00B048EB">
        <w:rPr>
          <w:bCs/>
          <w:sz w:val="22"/>
          <w:szCs w:val="22"/>
        </w:rPr>
        <w:t xml:space="preserve"> </w:t>
      </w:r>
      <w:r w:rsidRPr="00B048EB">
        <w:rPr>
          <w:bCs/>
          <w:sz w:val="22"/>
          <w:szCs w:val="22"/>
        </w:rPr>
        <w:t>vedeniu vozidiel</w:t>
      </w:r>
      <w:r w:rsidR="00731C93">
        <w:rPr>
          <w:bCs/>
          <w:sz w:val="22"/>
          <w:szCs w:val="22"/>
        </w:rPr>
        <w:t xml:space="preserve"> a </w:t>
      </w:r>
      <w:r w:rsidRPr="00B048EB">
        <w:rPr>
          <w:bCs/>
          <w:sz w:val="22"/>
          <w:szCs w:val="22"/>
        </w:rPr>
        <w:t>obsluhe strojov.</w:t>
      </w:r>
    </w:p>
    <w:p w14:paraId="1D0F8343" w14:textId="77777777" w:rsidR="00FA71B4" w:rsidRPr="00B048EB" w:rsidRDefault="00FA71B4" w:rsidP="004327C3">
      <w:pPr>
        <w:tabs>
          <w:tab w:val="left" w:pos="567"/>
        </w:tabs>
        <w:rPr>
          <w:bCs/>
          <w:sz w:val="22"/>
          <w:szCs w:val="22"/>
        </w:rPr>
      </w:pPr>
    </w:p>
    <w:p w14:paraId="772B5749" w14:textId="77777777" w:rsidR="00FA71B4" w:rsidRPr="00B048EB" w:rsidRDefault="00FA71B4" w:rsidP="00DE5A3E">
      <w:pPr>
        <w:keepNext/>
        <w:tabs>
          <w:tab w:val="left" w:pos="567"/>
        </w:tabs>
        <w:rPr>
          <w:b/>
          <w:sz w:val="22"/>
          <w:szCs w:val="22"/>
        </w:rPr>
      </w:pPr>
      <w:r w:rsidRPr="00B048EB">
        <w:rPr>
          <w:b/>
          <w:sz w:val="22"/>
          <w:szCs w:val="22"/>
        </w:rPr>
        <w:t>4.8</w:t>
      </w:r>
      <w:r w:rsidRPr="00B048EB">
        <w:rPr>
          <w:b/>
          <w:sz w:val="22"/>
          <w:szCs w:val="22"/>
        </w:rPr>
        <w:tab/>
        <w:t>Nežiaduce účinky</w:t>
      </w:r>
    </w:p>
    <w:p w14:paraId="54C08354" w14:textId="77777777" w:rsidR="009C6AF1" w:rsidRPr="00DE5A3E" w:rsidRDefault="009C6AF1" w:rsidP="00DE5A3E">
      <w:pPr>
        <w:keepNext/>
        <w:tabs>
          <w:tab w:val="left" w:pos="567"/>
        </w:tabs>
        <w:rPr>
          <w:sz w:val="22"/>
        </w:rPr>
      </w:pPr>
    </w:p>
    <w:p w14:paraId="787B186F" w14:textId="364CA6A7" w:rsidR="009C6AF1" w:rsidRDefault="00E25CEE" w:rsidP="009C6AF1">
      <w:pPr>
        <w:tabs>
          <w:tab w:val="left" w:pos="567"/>
        </w:tabs>
        <w:rPr>
          <w:iCs/>
          <w:sz w:val="22"/>
          <w:szCs w:val="22"/>
        </w:rPr>
      </w:pPr>
      <w:r>
        <w:rPr>
          <w:iCs/>
          <w:sz w:val="22"/>
          <w:szCs w:val="22"/>
        </w:rPr>
        <w:t>v </w:t>
      </w:r>
      <w:r w:rsidRPr="00DE5A3E">
        <w:rPr>
          <w:b/>
          <w:sz w:val="22"/>
        </w:rPr>
        <w:t>Tabuľke 1</w:t>
      </w:r>
      <w:r>
        <w:rPr>
          <w:iCs/>
          <w:sz w:val="22"/>
          <w:szCs w:val="22"/>
        </w:rPr>
        <w:t xml:space="preserve"> sú uvedené nežiaduce reakcie usporiadané podľa triedy orgánových systémov a </w:t>
      </w:r>
      <w:r w:rsidRPr="00E25CEE">
        <w:rPr>
          <w:iCs/>
          <w:sz w:val="22"/>
          <w:szCs w:val="22"/>
        </w:rPr>
        <w:t>zoradené podľa frekvencie</w:t>
      </w:r>
      <w:r>
        <w:rPr>
          <w:iCs/>
          <w:sz w:val="22"/>
          <w:szCs w:val="22"/>
        </w:rPr>
        <w:t xml:space="preserve"> výskytu, zohľadňujúc údaje z nasledovných zdrojov:</w:t>
      </w:r>
    </w:p>
    <w:p w14:paraId="2565623F" w14:textId="11569353" w:rsidR="00F72B48" w:rsidRDefault="00F72B48" w:rsidP="00DE5A3E">
      <w:pPr>
        <w:numPr>
          <w:ilvl w:val="0"/>
          <w:numId w:val="9"/>
        </w:numPr>
        <w:tabs>
          <w:tab w:val="left" w:pos="567"/>
        </w:tabs>
        <w:ind w:left="567" w:hanging="567"/>
        <w:rPr>
          <w:iCs/>
          <w:sz w:val="22"/>
          <w:szCs w:val="22"/>
        </w:rPr>
      </w:pPr>
      <w:r>
        <w:rPr>
          <w:iCs/>
          <w:sz w:val="22"/>
          <w:szCs w:val="22"/>
        </w:rPr>
        <w:t>Nežiaduce reakcie</w:t>
      </w:r>
      <w:r w:rsidR="00E26B12" w:rsidRPr="00E26B12">
        <w:rPr>
          <w:iCs/>
          <w:sz w:val="22"/>
          <w:szCs w:val="22"/>
        </w:rPr>
        <w:t xml:space="preserve"> hlásené</w:t>
      </w:r>
      <w:r>
        <w:rPr>
          <w:iCs/>
          <w:sz w:val="22"/>
          <w:szCs w:val="22"/>
        </w:rPr>
        <w:t xml:space="preserve"> u pacientov s osteoartritídou a reumatiodnou artitídou</w:t>
      </w:r>
      <w:r w:rsidR="00731C93">
        <w:rPr>
          <w:iCs/>
          <w:sz w:val="22"/>
          <w:szCs w:val="22"/>
        </w:rPr>
        <w:t xml:space="preserve"> s </w:t>
      </w:r>
      <w:r w:rsidR="00E26B12" w:rsidRPr="00E26B12">
        <w:rPr>
          <w:iCs/>
          <w:sz w:val="22"/>
          <w:szCs w:val="22"/>
        </w:rPr>
        <w:t>výskytom vyšším ako 0,01 % a vyšším, ako bol hlásený</w:t>
      </w:r>
      <w:r w:rsidR="00731C93">
        <w:rPr>
          <w:iCs/>
          <w:sz w:val="22"/>
          <w:szCs w:val="22"/>
        </w:rPr>
        <w:t xml:space="preserve"> v </w:t>
      </w:r>
      <w:r w:rsidR="00E26B12" w:rsidRPr="00E26B12">
        <w:rPr>
          <w:iCs/>
          <w:sz w:val="22"/>
          <w:szCs w:val="22"/>
        </w:rPr>
        <w:t>skupine s</w:t>
      </w:r>
      <w:r w:rsidR="007312EC">
        <w:rPr>
          <w:iCs/>
          <w:sz w:val="22"/>
          <w:szCs w:val="22"/>
        </w:rPr>
        <w:t> </w:t>
      </w:r>
      <w:r w:rsidR="00E26B12" w:rsidRPr="00E26B12">
        <w:rPr>
          <w:iCs/>
          <w:sz w:val="22"/>
          <w:szCs w:val="22"/>
        </w:rPr>
        <w:t>placebom</w:t>
      </w:r>
      <w:r w:rsidR="007312EC">
        <w:rPr>
          <w:iCs/>
          <w:sz w:val="22"/>
          <w:szCs w:val="22"/>
        </w:rPr>
        <w:t>,</w:t>
      </w:r>
      <w:r w:rsidR="00E26B12" w:rsidRPr="00E26B12">
        <w:rPr>
          <w:iCs/>
          <w:sz w:val="22"/>
          <w:szCs w:val="22"/>
        </w:rPr>
        <w:t xml:space="preserve"> </w:t>
      </w:r>
      <w:r w:rsidR="00D237FF">
        <w:rPr>
          <w:iCs/>
          <w:sz w:val="22"/>
          <w:szCs w:val="22"/>
        </w:rPr>
        <w:t>počas</w:t>
      </w:r>
      <w:r w:rsidR="007312EC">
        <w:rPr>
          <w:iCs/>
          <w:sz w:val="22"/>
          <w:szCs w:val="22"/>
        </w:rPr>
        <w:t> </w:t>
      </w:r>
      <w:r w:rsidR="00E26B12" w:rsidRPr="00E26B12">
        <w:rPr>
          <w:iCs/>
          <w:sz w:val="22"/>
          <w:szCs w:val="22"/>
        </w:rPr>
        <w:t xml:space="preserve">12 </w:t>
      </w:r>
      <w:r w:rsidR="00C91366">
        <w:rPr>
          <w:iCs/>
          <w:sz w:val="22"/>
          <w:szCs w:val="22"/>
        </w:rPr>
        <w:t xml:space="preserve">klinických </w:t>
      </w:r>
      <w:r w:rsidR="00C91366">
        <w:rPr>
          <w:iCs/>
          <w:sz w:val="22"/>
          <w:szCs w:val="22"/>
        </w:rPr>
        <w:lastRenderedPageBreak/>
        <w:t>skúšaní</w:t>
      </w:r>
      <w:r w:rsidR="00731C93">
        <w:rPr>
          <w:iCs/>
          <w:sz w:val="22"/>
          <w:szCs w:val="22"/>
        </w:rPr>
        <w:t xml:space="preserve"> s </w:t>
      </w:r>
      <w:r w:rsidR="00D237FF" w:rsidRPr="00E26B12">
        <w:rPr>
          <w:iCs/>
          <w:sz w:val="22"/>
          <w:szCs w:val="22"/>
        </w:rPr>
        <w:t>placebo</w:t>
      </w:r>
      <w:r w:rsidR="00C91366">
        <w:rPr>
          <w:iCs/>
          <w:sz w:val="22"/>
          <w:szCs w:val="22"/>
        </w:rPr>
        <w:t>m</w:t>
      </w:r>
      <w:r w:rsidR="00D237FF" w:rsidRPr="00E26B12">
        <w:rPr>
          <w:iCs/>
          <w:sz w:val="22"/>
          <w:szCs w:val="22"/>
        </w:rPr>
        <w:t xml:space="preserve"> </w:t>
      </w:r>
      <w:r w:rsidR="00E26B12" w:rsidRPr="00E26B12">
        <w:rPr>
          <w:iCs/>
          <w:sz w:val="22"/>
          <w:szCs w:val="22"/>
        </w:rPr>
        <w:t xml:space="preserve">a/alebo </w:t>
      </w:r>
      <w:r w:rsidR="0005573E">
        <w:rPr>
          <w:iCs/>
          <w:sz w:val="22"/>
          <w:szCs w:val="22"/>
        </w:rPr>
        <w:t>s aktívnym komparátorom</w:t>
      </w:r>
      <w:r w:rsidR="00E26B12" w:rsidRPr="00E26B12">
        <w:rPr>
          <w:iCs/>
          <w:sz w:val="22"/>
          <w:szCs w:val="22"/>
        </w:rPr>
        <w:t xml:space="preserve"> </w:t>
      </w:r>
      <w:r w:rsidR="00D237FF">
        <w:rPr>
          <w:iCs/>
          <w:sz w:val="22"/>
          <w:szCs w:val="22"/>
        </w:rPr>
        <w:t>trvajúcich do</w:t>
      </w:r>
      <w:r w:rsidR="00D237FF" w:rsidRPr="00E26B12">
        <w:rPr>
          <w:iCs/>
          <w:sz w:val="22"/>
          <w:szCs w:val="22"/>
        </w:rPr>
        <w:t xml:space="preserve"> </w:t>
      </w:r>
      <w:r w:rsidR="00E26B12" w:rsidRPr="00E26B12">
        <w:rPr>
          <w:iCs/>
          <w:sz w:val="22"/>
          <w:szCs w:val="22"/>
        </w:rPr>
        <w:t>12 týždňov v</w:t>
      </w:r>
      <w:r w:rsidR="0005573E">
        <w:rPr>
          <w:iCs/>
          <w:sz w:val="22"/>
          <w:szCs w:val="22"/>
        </w:rPr>
        <w:t xml:space="preserve"> denných </w:t>
      </w:r>
      <w:r w:rsidR="0005573E" w:rsidRPr="00E26B12">
        <w:rPr>
          <w:iCs/>
          <w:sz w:val="22"/>
          <w:szCs w:val="22"/>
        </w:rPr>
        <w:t>dávk</w:t>
      </w:r>
      <w:r w:rsidR="0005573E">
        <w:rPr>
          <w:iCs/>
          <w:sz w:val="22"/>
          <w:szCs w:val="22"/>
        </w:rPr>
        <w:t>ach</w:t>
      </w:r>
      <w:r w:rsidR="0005573E" w:rsidRPr="00E26B12">
        <w:rPr>
          <w:iCs/>
          <w:sz w:val="22"/>
          <w:szCs w:val="22"/>
        </w:rPr>
        <w:t xml:space="preserve"> </w:t>
      </w:r>
      <w:r w:rsidR="00E26B12" w:rsidRPr="00E26B12">
        <w:rPr>
          <w:iCs/>
          <w:sz w:val="22"/>
          <w:szCs w:val="22"/>
        </w:rPr>
        <w:t>od 100</w:t>
      </w:r>
      <w:r>
        <w:rPr>
          <w:iCs/>
          <w:sz w:val="22"/>
          <w:szCs w:val="22"/>
        </w:rPr>
        <w:t> </w:t>
      </w:r>
      <w:r w:rsidR="00E26B12" w:rsidRPr="00E26B12">
        <w:rPr>
          <w:iCs/>
          <w:sz w:val="22"/>
          <w:szCs w:val="22"/>
        </w:rPr>
        <w:t>mg do 800</w:t>
      </w:r>
      <w:r>
        <w:rPr>
          <w:iCs/>
          <w:sz w:val="22"/>
          <w:szCs w:val="22"/>
        </w:rPr>
        <w:t> </w:t>
      </w:r>
      <w:r w:rsidR="00E26B12" w:rsidRPr="00E26B12">
        <w:rPr>
          <w:iCs/>
          <w:sz w:val="22"/>
          <w:szCs w:val="22"/>
        </w:rPr>
        <w:t>mg celekoxibu</w:t>
      </w:r>
      <w:r>
        <w:rPr>
          <w:iCs/>
          <w:sz w:val="22"/>
          <w:szCs w:val="22"/>
        </w:rPr>
        <w:t xml:space="preserve">. V dodatočných </w:t>
      </w:r>
      <w:r w:rsidR="007312EC">
        <w:rPr>
          <w:iCs/>
          <w:sz w:val="22"/>
          <w:szCs w:val="22"/>
        </w:rPr>
        <w:t>štúdi</w:t>
      </w:r>
      <w:r w:rsidR="007A0160">
        <w:rPr>
          <w:iCs/>
          <w:sz w:val="22"/>
          <w:szCs w:val="22"/>
        </w:rPr>
        <w:t>á</w:t>
      </w:r>
      <w:r w:rsidR="00003DFB">
        <w:rPr>
          <w:iCs/>
          <w:sz w:val="22"/>
          <w:szCs w:val="22"/>
        </w:rPr>
        <w:t>ch</w:t>
      </w:r>
      <w:r>
        <w:rPr>
          <w:iCs/>
          <w:sz w:val="22"/>
          <w:szCs w:val="22"/>
        </w:rPr>
        <w:t xml:space="preserve">, kde sa na porovnanie používali neselektívne NSAID, </w:t>
      </w:r>
      <w:r w:rsidR="00003DFB">
        <w:rPr>
          <w:iCs/>
          <w:sz w:val="22"/>
          <w:szCs w:val="22"/>
        </w:rPr>
        <w:t>bolo celekoxibom v denn</w:t>
      </w:r>
      <w:r w:rsidR="0005573E">
        <w:rPr>
          <w:iCs/>
          <w:sz w:val="22"/>
          <w:szCs w:val="22"/>
        </w:rPr>
        <w:t>ých</w:t>
      </w:r>
      <w:r w:rsidR="00003DFB">
        <w:rPr>
          <w:iCs/>
          <w:sz w:val="22"/>
          <w:szCs w:val="22"/>
        </w:rPr>
        <w:t xml:space="preserve"> dávk</w:t>
      </w:r>
      <w:r w:rsidR="0005573E">
        <w:rPr>
          <w:iCs/>
          <w:sz w:val="22"/>
          <w:szCs w:val="22"/>
        </w:rPr>
        <w:t>ach</w:t>
      </w:r>
      <w:r w:rsidR="00003DFB">
        <w:rPr>
          <w:iCs/>
          <w:sz w:val="22"/>
          <w:szCs w:val="22"/>
        </w:rPr>
        <w:t xml:space="preserve"> až do 800 mg liečených </w:t>
      </w:r>
      <w:r>
        <w:rPr>
          <w:iCs/>
          <w:sz w:val="22"/>
          <w:szCs w:val="22"/>
        </w:rPr>
        <w:t>približne 7 400 pacientov s artritídou, vrátane približne 2 300 pacientov</w:t>
      </w:r>
      <w:r w:rsidR="00003DFB">
        <w:rPr>
          <w:iCs/>
          <w:sz w:val="22"/>
          <w:szCs w:val="22"/>
        </w:rPr>
        <w:t xml:space="preserve"> </w:t>
      </w:r>
      <w:r>
        <w:rPr>
          <w:iCs/>
          <w:sz w:val="22"/>
          <w:szCs w:val="22"/>
        </w:rPr>
        <w:t>liečených 1 rok a</w:t>
      </w:r>
      <w:r w:rsidR="0005573E">
        <w:rPr>
          <w:iCs/>
          <w:sz w:val="22"/>
          <w:szCs w:val="22"/>
        </w:rPr>
        <w:t>lebo</w:t>
      </w:r>
      <w:r>
        <w:rPr>
          <w:iCs/>
          <w:sz w:val="22"/>
          <w:szCs w:val="22"/>
        </w:rPr>
        <w:t xml:space="preserve"> dlhšie. Nežiaduce reakcie pozorované pri celekoxibe v týchto </w:t>
      </w:r>
      <w:r w:rsidR="007312EC">
        <w:rPr>
          <w:iCs/>
          <w:sz w:val="22"/>
          <w:szCs w:val="22"/>
        </w:rPr>
        <w:t>dodatočných štúdi</w:t>
      </w:r>
      <w:r w:rsidR="007A0160">
        <w:rPr>
          <w:iCs/>
          <w:sz w:val="22"/>
          <w:szCs w:val="22"/>
        </w:rPr>
        <w:t>á</w:t>
      </w:r>
      <w:r>
        <w:rPr>
          <w:iCs/>
          <w:sz w:val="22"/>
          <w:szCs w:val="22"/>
        </w:rPr>
        <w:t>ch boli konzistentné s tými u</w:t>
      </w:r>
      <w:r w:rsidR="00003DFB">
        <w:rPr>
          <w:iCs/>
          <w:sz w:val="22"/>
          <w:szCs w:val="22"/>
        </w:rPr>
        <w:t> </w:t>
      </w:r>
      <w:r>
        <w:rPr>
          <w:iCs/>
          <w:sz w:val="22"/>
          <w:szCs w:val="22"/>
        </w:rPr>
        <w:t>pacientov</w:t>
      </w:r>
      <w:r w:rsidR="00731C93">
        <w:rPr>
          <w:iCs/>
          <w:sz w:val="22"/>
          <w:szCs w:val="22"/>
        </w:rPr>
        <w:t xml:space="preserve"> s </w:t>
      </w:r>
      <w:r w:rsidR="00003DFB" w:rsidRPr="00003DFB">
        <w:rPr>
          <w:iCs/>
          <w:sz w:val="22"/>
          <w:szCs w:val="22"/>
        </w:rPr>
        <w:t>osteoartritídou</w:t>
      </w:r>
      <w:r w:rsidR="00731C93">
        <w:rPr>
          <w:iCs/>
          <w:sz w:val="22"/>
          <w:szCs w:val="22"/>
        </w:rPr>
        <w:t xml:space="preserve"> a </w:t>
      </w:r>
      <w:r w:rsidR="00003DFB" w:rsidRPr="00003DFB">
        <w:rPr>
          <w:iCs/>
          <w:sz w:val="22"/>
          <w:szCs w:val="22"/>
        </w:rPr>
        <w:t>reumatiodnou artitídou</w:t>
      </w:r>
      <w:r w:rsidR="00003DFB">
        <w:rPr>
          <w:iCs/>
          <w:sz w:val="22"/>
          <w:szCs w:val="22"/>
        </w:rPr>
        <w:t xml:space="preserve"> uvedených v tabuľke 1.</w:t>
      </w:r>
    </w:p>
    <w:p w14:paraId="3D76D18B" w14:textId="5FF1970A" w:rsidR="00F72B48" w:rsidRDefault="00003DFB" w:rsidP="00DE5A3E">
      <w:pPr>
        <w:numPr>
          <w:ilvl w:val="0"/>
          <w:numId w:val="9"/>
        </w:numPr>
        <w:tabs>
          <w:tab w:val="left" w:pos="567"/>
        </w:tabs>
        <w:ind w:left="567" w:hanging="567"/>
        <w:rPr>
          <w:iCs/>
          <w:sz w:val="22"/>
          <w:szCs w:val="22"/>
        </w:rPr>
      </w:pPr>
      <w:r w:rsidRPr="00E26B12">
        <w:rPr>
          <w:iCs/>
          <w:sz w:val="22"/>
          <w:szCs w:val="22"/>
        </w:rPr>
        <w:t xml:space="preserve">Nežiaduce </w:t>
      </w:r>
      <w:r w:rsidR="004E462D">
        <w:rPr>
          <w:iCs/>
          <w:sz w:val="22"/>
          <w:szCs w:val="22"/>
        </w:rPr>
        <w:t>reakcie</w:t>
      </w:r>
      <w:r w:rsidR="004E462D" w:rsidRPr="00E26B12">
        <w:rPr>
          <w:iCs/>
          <w:sz w:val="22"/>
          <w:szCs w:val="22"/>
        </w:rPr>
        <w:t xml:space="preserve"> </w:t>
      </w:r>
      <w:r w:rsidRPr="00E26B12">
        <w:rPr>
          <w:iCs/>
          <w:sz w:val="22"/>
          <w:szCs w:val="22"/>
        </w:rPr>
        <w:t xml:space="preserve">lieku hlásené s výskytom vyšším ako bol hlásený pre placebo </w:t>
      </w:r>
      <w:r w:rsidR="00AB49EC">
        <w:rPr>
          <w:iCs/>
          <w:sz w:val="22"/>
          <w:szCs w:val="22"/>
        </w:rPr>
        <w:t>u</w:t>
      </w:r>
      <w:r w:rsidR="00D237FF">
        <w:rPr>
          <w:iCs/>
          <w:sz w:val="22"/>
          <w:szCs w:val="22"/>
        </w:rPr>
        <w:t xml:space="preserve"> účastníkov klinického skúšania </w:t>
      </w:r>
      <w:r w:rsidR="00AB49EC">
        <w:rPr>
          <w:iCs/>
          <w:sz w:val="22"/>
          <w:szCs w:val="22"/>
        </w:rPr>
        <w:t>liečených celekoxibom</w:t>
      </w:r>
      <w:r w:rsidR="00731C93">
        <w:rPr>
          <w:iCs/>
          <w:sz w:val="22"/>
          <w:szCs w:val="22"/>
        </w:rPr>
        <w:t xml:space="preserve"> v </w:t>
      </w:r>
      <w:r w:rsidR="00AB49EC" w:rsidRPr="00E26B12">
        <w:rPr>
          <w:iCs/>
          <w:sz w:val="22"/>
          <w:szCs w:val="22"/>
        </w:rPr>
        <w:t>dávke 400</w:t>
      </w:r>
      <w:r w:rsidR="00AB49EC">
        <w:rPr>
          <w:iCs/>
          <w:sz w:val="22"/>
          <w:szCs w:val="22"/>
        </w:rPr>
        <w:t> </w:t>
      </w:r>
      <w:r w:rsidR="00AB49EC" w:rsidRPr="00E26B12">
        <w:rPr>
          <w:iCs/>
          <w:sz w:val="22"/>
          <w:szCs w:val="22"/>
        </w:rPr>
        <w:t>mg denne</w:t>
      </w:r>
      <w:r w:rsidR="00731C93">
        <w:rPr>
          <w:iCs/>
          <w:sz w:val="22"/>
          <w:szCs w:val="22"/>
        </w:rPr>
        <w:t xml:space="preserve"> v </w:t>
      </w:r>
      <w:r w:rsidRPr="00E26B12">
        <w:rPr>
          <w:iCs/>
          <w:sz w:val="22"/>
          <w:szCs w:val="22"/>
        </w:rPr>
        <w:t>dlhodobých skúšani</w:t>
      </w:r>
      <w:r w:rsidR="00AB49EC">
        <w:rPr>
          <w:iCs/>
          <w:sz w:val="22"/>
          <w:szCs w:val="22"/>
        </w:rPr>
        <w:t>ach prevencie polypov trvajúcich</w:t>
      </w:r>
      <w:r w:rsidRPr="00E26B12">
        <w:rPr>
          <w:iCs/>
          <w:sz w:val="22"/>
          <w:szCs w:val="22"/>
        </w:rPr>
        <w:t xml:space="preserve"> 3 roky </w:t>
      </w:r>
      <w:r w:rsidR="00AB49EC" w:rsidRPr="00437667">
        <w:rPr>
          <w:iCs/>
          <w:sz w:val="22"/>
          <w:szCs w:val="22"/>
        </w:rPr>
        <w:t>(</w:t>
      </w:r>
      <w:r w:rsidR="00AB49EC">
        <w:rPr>
          <w:iCs/>
          <w:sz w:val="22"/>
          <w:szCs w:val="22"/>
        </w:rPr>
        <w:t xml:space="preserve">skúšanie </w:t>
      </w:r>
      <w:r w:rsidR="00AB49EC" w:rsidRPr="00437667">
        <w:rPr>
          <w:iCs/>
          <w:sz w:val="22"/>
          <w:szCs w:val="22"/>
        </w:rPr>
        <w:t xml:space="preserve">APC </w:t>
      </w:r>
      <w:r w:rsidR="00AB49EC">
        <w:rPr>
          <w:iCs/>
          <w:sz w:val="22"/>
          <w:szCs w:val="22"/>
        </w:rPr>
        <w:t xml:space="preserve">- </w:t>
      </w:r>
      <w:r w:rsidR="00AB49EC" w:rsidRPr="00437667">
        <w:rPr>
          <w:iCs/>
          <w:sz w:val="22"/>
          <w:szCs w:val="22"/>
        </w:rPr>
        <w:t>Adenoma Prevention with Celecoxib</w:t>
      </w:r>
      <w:r w:rsidR="00731C93">
        <w:rPr>
          <w:iCs/>
          <w:sz w:val="22"/>
          <w:szCs w:val="22"/>
        </w:rPr>
        <w:t xml:space="preserve"> a </w:t>
      </w:r>
      <w:r w:rsidR="00AB49EC" w:rsidRPr="00437667">
        <w:rPr>
          <w:iCs/>
          <w:sz w:val="22"/>
          <w:szCs w:val="22"/>
        </w:rPr>
        <w:t xml:space="preserve">skúšanie PreSAP </w:t>
      </w:r>
      <w:r w:rsidR="00AB49EC">
        <w:rPr>
          <w:iCs/>
          <w:sz w:val="22"/>
          <w:szCs w:val="22"/>
        </w:rPr>
        <w:t xml:space="preserve">- </w:t>
      </w:r>
      <w:r w:rsidR="00AB49EC" w:rsidRPr="00437667">
        <w:rPr>
          <w:iCs/>
          <w:sz w:val="22"/>
          <w:szCs w:val="22"/>
        </w:rPr>
        <w:t>Prevention of Spontaneous Adenomatous Polyps</w:t>
      </w:r>
      <w:r>
        <w:rPr>
          <w:iCs/>
          <w:sz w:val="22"/>
          <w:szCs w:val="22"/>
        </w:rPr>
        <w:t xml:space="preserve">, pozri časť </w:t>
      </w:r>
      <w:r w:rsidRPr="00E26B12">
        <w:rPr>
          <w:iCs/>
          <w:sz w:val="22"/>
          <w:szCs w:val="22"/>
        </w:rPr>
        <w:t>5.1 – Kardiovaskulárna bezpečnosť – dlhodobé štúdie zahŕňajúce osoby so sporadickými adenomatóznymi polypmi)</w:t>
      </w:r>
      <w:r w:rsidR="00AB49EC">
        <w:rPr>
          <w:iCs/>
          <w:sz w:val="22"/>
          <w:szCs w:val="22"/>
        </w:rPr>
        <w:t>.</w:t>
      </w:r>
    </w:p>
    <w:p w14:paraId="1251A65A" w14:textId="174D53DF" w:rsidR="00E26B12" w:rsidRPr="00E4745F" w:rsidRDefault="004E462D" w:rsidP="00DE5A3E">
      <w:pPr>
        <w:numPr>
          <w:ilvl w:val="0"/>
          <w:numId w:val="9"/>
        </w:numPr>
        <w:tabs>
          <w:tab w:val="left" w:pos="567"/>
        </w:tabs>
        <w:ind w:left="567" w:hanging="567"/>
        <w:rPr>
          <w:iCs/>
          <w:sz w:val="22"/>
          <w:szCs w:val="22"/>
        </w:rPr>
      </w:pPr>
      <w:r>
        <w:rPr>
          <w:iCs/>
          <w:sz w:val="22"/>
          <w:szCs w:val="22"/>
        </w:rPr>
        <w:t>Nežiaduce reakcie</w:t>
      </w:r>
      <w:r w:rsidR="00AB49EC" w:rsidRPr="00E26B12">
        <w:rPr>
          <w:iCs/>
          <w:sz w:val="22"/>
          <w:szCs w:val="22"/>
        </w:rPr>
        <w:t xml:space="preserve"> identifikované zo sledovaní po uvedení lieku na trh</w:t>
      </w:r>
      <w:r w:rsidR="00E9322A">
        <w:rPr>
          <w:iCs/>
          <w:sz w:val="22"/>
          <w:szCs w:val="22"/>
        </w:rPr>
        <w:t xml:space="preserve"> - </w:t>
      </w:r>
      <w:r w:rsidR="00AB49EC">
        <w:rPr>
          <w:iCs/>
          <w:sz w:val="22"/>
          <w:szCs w:val="22"/>
        </w:rPr>
        <w:t xml:space="preserve">spontánne hlásenia </w:t>
      </w:r>
      <w:r w:rsidR="00294A6F">
        <w:rPr>
          <w:iCs/>
          <w:sz w:val="22"/>
          <w:szCs w:val="22"/>
        </w:rPr>
        <w:t>počas obdobia v ktorom bolo liečených celekoxibom (rôzne dávk</w:t>
      </w:r>
      <w:r w:rsidR="00D237FF">
        <w:rPr>
          <w:iCs/>
          <w:sz w:val="22"/>
          <w:szCs w:val="22"/>
        </w:rPr>
        <w:t>y</w:t>
      </w:r>
      <w:r w:rsidR="00294A6F">
        <w:rPr>
          <w:iCs/>
          <w:sz w:val="22"/>
          <w:szCs w:val="22"/>
        </w:rPr>
        <w:t>, trvanie liečby</w:t>
      </w:r>
      <w:r w:rsidR="00731C93">
        <w:rPr>
          <w:iCs/>
          <w:sz w:val="22"/>
          <w:szCs w:val="22"/>
        </w:rPr>
        <w:t xml:space="preserve"> a </w:t>
      </w:r>
      <w:r w:rsidR="00294A6F">
        <w:rPr>
          <w:iCs/>
          <w:sz w:val="22"/>
          <w:szCs w:val="22"/>
        </w:rPr>
        <w:t>indikácie) odhadom viac ako 70 miliónov pacientov</w:t>
      </w:r>
      <w:r w:rsidR="00AB49EC" w:rsidRPr="00E26B12">
        <w:rPr>
          <w:iCs/>
          <w:sz w:val="22"/>
          <w:szCs w:val="22"/>
        </w:rPr>
        <w:t xml:space="preserve">. </w:t>
      </w:r>
      <w:r w:rsidR="00294A6F" w:rsidRPr="00E26B12">
        <w:rPr>
          <w:iCs/>
          <w:sz w:val="22"/>
          <w:szCs w:val="22"/>
        </w:rPr>
        <w:t xml:space="preserve">Hoci tieto nežiaduce </w:t>
      </w:r>
      <w:r w:rsidR="00294A6F">
        <w:rPr>
          <w:iCs/>
          <w:sz w:val="22"/>
          <w:szCs w:val="22"/>
        </w:rPr>
        <w:t>reakcie</w:t>
      </w:r>
      <w:r w:rsidR="00294A6F" w:rsidRPr="00E26B12">
        <w:rPr>
          <w:iCs/>
          <w:sz w:val="22"/>
          <w:szCs w:val="22"/>
        </w:rPr>
        <w:t xml:space="preserve"> boli identifikované ako reakcie zo sledovaní po uvedení lieku na trh, aby sa mohla určiť frekvencia, prihliadalo sa aj na údaje z klinických skúšaní.</w:t>
      </w:r>
      <w:r w:rsidR="00294A6F" w:rsidRPr="00294A6F">
        <w:rPr>
          <w:iCs/>
          <w:sz w:val="22"/>
          <w:szCs w:val="22"/>
        </w:rPr>
        <w:t xml:space="preserve"> </w:t>
      </w:r>
      <w:r w:rsidR="00294A6F" w:rsidRPr="00E26B12">
        <w:rPr>
          <w:iCs/>
          <w:sz w:val="22"/>
          <w:szCs w:val="22"/>
        </w:rPr>
        <w:t>Fr</w:t>
      </w:r>
      <w:r w:rsidR="00294A6F">
        <w:rPr>
          <w:iCs/>
          <w:sz w:val="22"/>
          <w:szCs w:val="22"/>
        </w:rPr>
        <w:t>ekvencia</w:t>
      </w:r>
      <w:r w:rsidR="00294A6F" w:rsidRPr="00E26B12">
        <w:rPr>
          <w:iCs/>
          <w:sz w:val="22"/>
          <w:szCs w:val="22"/>
        </w:rPr>
        <w:t xml:space="preserve"> vychádza z</w:t>
      </w:r>
      <w:r w:rsidR="00294A6F">
        <w:rPr>
          <w:iCs/>
          <w:sz w:val="22"/>
          <w:szCs w:val="22"/>
        </w:rPr>
        <w:t> </w:t>
      </w:r>
      <w:r w:rsidR="005B519E">
        <w:rPr>
          <w:iCs/>
          <w:sz w:val="22"/>
          <w:szCs w:val="22"/>
        </w:rPr>
        <w:t>kumulatívnej</w:t>
      </w:r>
      <w:r w:rsidR="00294A6F">
        <w:rPr>
          <w:iCs/>
          <w:sz w:val="22"/>
          <w:szCs w:val="22"/>
        </w:rPr>
        <w:t xml:space="preserve"> meta-analýzy </w:t>
      </w:r>
      <w:r w:rsidR="005B519E">
        <w:rPr>
          <w:iCs/>
          <w:sz w:val="22"/>
          <w:szCs w:val="22"/>
        </w:rPr>
        <w:t>údajov zhromaždených zo skúšaní</w:t>
      </w:r>
      <w:r w:rsidR="00294A6F" w:rsidRPr="00E26B12">
        <w:rPr>
          <w:iCs/>
          <w:sz w:val="22"/>
          <w:szCs w:val="22"/>
        </w:rPr>
        <w:t xml:space="preserve"> </w:t>
      </w:r>
      <w:r w:rsidR="005B519E">
        <w:rPr>
          <w:iCs/>
          <w:sz w:val="22"/>
          <w:szCs w:val="22"/>
        </w:rPr>
        <w:t xml:space="preserve">spolu </w:t>
      </w:r>
      <w:r w:rsidR="00294A6F" w:rsidRPr="00E26B12">
        <w:rPr>
          <w:iCs/>
          <w:sz w:val="22"/>
          <w:szCs w:val="22"/>
        </w:rPr>
        <w:t>u</w:t>
      </w:r>
      <w:r w:rsidR="005B519E">
        <w:rPr>
          <w:iCs/>
          <w:sz w:val="22"/>
          <w:szCs w:val="22"/>
        </w:rPr>
        <w:t> </w:t>
      </w:r>
      <w:r w:rsidR="00294A6F" w:rsidRPr="00E26B12">
        <w:rPr>
          <w:iCs/>
          <w:sz w:val="22"/>
          <w:szCs w:val="22"/>
        </w:rPr>
        <w:t>38</w:t>
      </w:r>
      <w:r w:rsidR="005B519E">
        <w:rPr>
          <w:iCs/>
          <w:sz w:val="22"/>
          <w:szCs w:val="22"/>
        </w:rPr>
        <w:t> </w:t>
      </w:r>
      <w:r w:rsidR="00294A6F" w:rsidRPr="00E26B12">
        <w:rPr>
          <w:iCs/>
          <w:sz w:val="22"/>
          <w:szCs w:val="22"/>
        </w:rPr>
        <w:t>102 pacientov</w:t>
      </w:r>
      <w:r w:rsidR="005B519E">
        <w:rPr>
          <w:iCs/>
          <w:sz w:val="22"/>
          <w:szCs w:val="22"/>
        </w:rPr>
        <w:t xml:space="preserve"> vystavených celekoxibu.</w:t>
      </w:r>
    </w:p>
    <w:p w14:paraId="616790E7" w14:textId="77777777" w:rsidR="009C6AF1" w:rsidRDefault="009C6AF1" w:rsidP="009C6AF1">
      <w:pPr>
        <w:tabs>
          <w:tab w:val="left" w:pos="567"/>
        </w:tabs>
        <w:rPr>
          <w:iCs/>
          <w:sz w:val="22"/>
          <w:szCs w:val="22"/>
        </w:rPr>
      </w:pPr>
    </w:p>
    <w:p w14:paraId="5D2ECF53" w14:textId="77777777" w:rsidR="009C6AF1" w:rsidRPr="004A4C5E" w:rsidRDefault="00E25CEE" w:rsidP="004B560F">
      <w:pPr>
        <w:keepNext/>
        <w:tabs>
          <w:tab w:val="left" w:pos="567"/>
        </w:tabs>
        <w:rPr>
          <w:b/>
          <w:iCs/>
          <w:sz w:val="22"/>
          <w:szCs w:val="22"/>
        </w:rPr>
      </w:pPr>
      <w:r w:rsidRPr="004A4C5E">
        <w:rPr>
          <w:b/>
          <w:iCs/>
          <w:sz w:val="22"/>
          <w:szCs w:val="22"/>
        </w:rPr>
        <w:t>Tabuľka 1: nežiaduce reakcie z klinických skúšaní celekoxibu a zo sledovaní po uvedení lieku na trh (terminológia podľa databázy MedDRA)</w:t>
      </w:r>
      <w:r w:rsidRPr="004A4C5E">
        <w:rPr>
          <w:b/>
          <w:iCs/>
          <w:sz w:val="22"/>
          <w:szCs w:val="22"/>
          <w:vertAlign w:val="superscript"/>
        </w:rPr>
        <w:t>1,2</w:t>
      </w:r>
    </w:p>
    <w:p w14:paraId="67D48216" w14:textId="77777777" w:rsidR="00DD3D3A" w:rsidRPr="00DE5A3E" w:rsidRDefault="00DD3D3A" w:rsidP="004B560F">
      <w:pPr>
        <w:keepNext/>
        <w:tabs>
          <w:tab w:val="left" w:pos="567"/>
        </w:tabs>
        <w:rPr>
          <w:b/>
          <w:sz w:val="22"/>
        </w:rPr>
      </w:pPr>
    </w:p>
    <w:tbl>
      <w:tblPr>
        <w:tblW w:w="9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361"/>
        <w:gridCol w:w="1157"/>
        <w:gridCol w:w="1565"/>
        <w:gridCol w:w="1361"/>
        <w:gridCol w:w="1361"/>
        <w:gridCol w:w="1361"/>
        <w:gridCol w:w="1361"/>
      </w:tblGrid>
      <w:tr w:rsidR="00C91366" w:rsidRPr="004A4C5E" w14:paraId="73033FD5" w14:textId="77777777" w:rsidTr="00DE5A3E">
        <w:trPr>
          <w:cantSplit/>
          <w:trHeight w:val="149"/>
          <w:tblHeader/>
        </w:trPr>
        <w:tc>
          <w:tcPr>
            <w:tcW w:w="1361" w:type="dxa"/>
            <w:tcBorders>
              <w:top w:val="single" w:sz="4" w:space="0" w:color="auto"/>
              <w:left w:val="single" w:sz="4" w:space="0" w:color="auto"/>
              <w:bottom w:val="single" w:sz="4" w:space="0" w:color="auto"/>
              <w:right w:val="single" w:sz="4" w:space="0" w:color="auto"/>
            </w:tcBorders>
          </w:tcPr>
          <w:p w14:paraId="4F8C406A" w14:textId="77777777" w:rsidR="00C91366" w:rsidRPr="004A4C5E" w:rsidRDefault="00C91366" w:rsidP="00936874">
            <w:pPr>
              <w:keepNext/>
              <w:rPr>
                <w:b/>
                <w:sz w:val="22"/>
                <w:szCs w:val="22"/>
              </w:rPr>
            </w:pPr>
          </w:p>
        </w:tc>
        <w:tc>
          <w:tcPr>
            <w:tcW w:w="816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5E59148" w14:textId="486ED7CD" w:rsidR="00C91366" w:rsidRPr="004A4C5E" w:rsidRDefault="00C91366" w:rsidP="00DE5A3E">
            <w:pPr>
              <w:keepNext/>
              <w:jc w:val="center"/>
              <w:rPr>
                <w:b/>
                <w:sz w:val="22"/>
                <w:szCs w:val="22"/>
              </w:rPr>
            </w:pPr>
            <w:r w:rsidRPr="004A4C5E">
              <w:rPr>
                <w:b/>
                <w:sz w:val="22"/>
                <w:szCs w:val="22"/>
              </w:rPr>
              <w:t>Frekvencia podľa konvencií MedDRA</w:t>
            </w:r>
          </w:p>
        </w:tc>
      </w:tr>
      <w:tr w:rsidR="00C91366" w:rsidRPr="004A4C5E" w14:paraId="461E77A3" w14:textId="77777777" w:rsidTr="00DE5A3E">
        <w:trPr>
          <w:cantSplit/>
          <w:trHeight w:val="149"/>
          <w:tblHeader/>
        </w:trPr>
        <w:tc>
          <w:tcPr>
            <w:tcW w:w="1361" w:type="dxa"/>
            <w:tcBorders>
              <w:top w:val="single" w:sz="4" w:space="0" w:color="auto"/>
              <w:left w:val="single" w:sz="4" w:space="0" w:color="auto"/>
              <w:bottom w:val="single" w:sz="4" w:space="0" w:color="auto"/>
              <w:right w:val="single" w:sz="4" w:space="0" w:color="auto"/>
            </w:tcBorders>
          </w:tcPr>
          <w:p w14:paraId="1491C129" w14:textId="77777777" w:rsidR="009C6AF1" w:rsidRPr="004A4C5E" w:rsidRDefault="009C6AF1" w:rsidP="00936874">
            <w:pPr>
              <w:keepNext/>
              <w:rPr>
                <w:bCs/>
                <w:sz w:val="22"/>
                <w:szCs w:val="22"/>
              </w:rPr>
            </w:pPr>
            <w:r w:rsidRPr="004A4C5E">
              <w:rPr>
                <w:b/>
                <w:sz w:val="22"/>
                <w:szCs w:val="22"/>
              </w:rPr>
              <w:t>Trieda orgánových systémov podľa databázy MedDRA</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36ABF9CB" w14:textId="2681CDD8" w:rsidR="009C6AF1" w:rsidRPr="00DE5A3E" w:rsidRDefault="009C6AF1" w:rsidP="00DE5A3E">
            <w:pPr>
              <w:keepNext/>
              <w:rPr>
                <w:b/>
                <w:sz w:val="22"/>
              </w:rPr>
            </w:pPr>
            <w:r w:rsidRPr="004A4C5E">
              <w:rPr>
                <w:b/>
                <w:sz w:val="22"/>
                <w:szCs w:val="22"/>
              </w:rPr>
              <w:t xml:space="preserve">Veľmi časté </w:t>
            </w:r>
            <w:r w:rsidRPr="004A4C5E">
              <w:rPr>
                <w:sz w:val="22"/>
                <w:szCs w:val="22"/>
              </w:rPr>
              <w:t>(</w:t>
            </w:r>
            <w:r w:rsidRPr="004A4C5E">
              <w:rPr>
                <w:sz w:val="22"/>
                <w:szCs w:val="22"/>
              </w:rPr>
              <w:sym w:font="Symbol" w:char="F0B3"/>
            </w:r>
            <w:r w:rsidRPr="004A4C5E">
              <w:rPr>
                <w:sz w:val="22"/>
                <w:szCs w:val="22"/>
              </w:rPr>
              <w:t>1/10)</w:t>
            </w:r>
          </w:p>
        </w:tc>
        <w:tc>
          <w:tcPr>
            <w:tcW w:w="1565" w:type="dxa"/>
            <w:tcBorders>
              <w:top w:val="single" w:sz="4" w:space="0" w:color="auto"/>
              <w:left w:val="single" w:sz="4" w:space="0" w:color="auto"/>
              <w:bottom w:val="single" w:sz="4" w:space="0" w:color="auto"/>
              <w:right w:val="single" w:sz="4" w:space="0" w:color="auto"/>
            </w:tcBorders>
            <w:shd w:val="clear" w:color="auto" w:fill="auto"/>
          </w:tcPr>
          <w:p w14:paraId="7E9AA78D" w14:textId="13432163" w:rsidR="009C6AF1" w:rsidRPr="004A4C5E" w:rsidRDefault="009467A6" w:rsidP="00DE5A3E">
            <w:pPr>
              <w:keepNext/>
              <w:rPr>
                <w:b/>
                <w:sz w:val="22"/>
                <w:szCs w:val="22"/>
              </w:rPr>
            </w:pPr>
            <w:r w:rsidRPr="004A4C5E">
              <w:rPr>
                <w:b/>
                <w:sz w:val="22"/>
                <w:szCs w:val="22"/>
              </w:rPr>
              <w:t xml:space="preserve">Časté </w:t>
            </w:r>
            <w:r w:rsidRPr="004A4C5E">
              <w:rPr>
                <w:sz w:val="22"/>
                <w:szCs w:val="22"/>
              </w:rPr>
              <w:t>(</w:t>
            </w:r>
            <w:r w:rsidRPr="004A4C5E">
              <w:rPr>
                <w:sz w:val="22"/>
                <w:szCs w:val="22"/>
              </w:rPr>
              <w:sym w:font="Symbol" w:char="F0B3"/>
            </w:r>
            <w:r w:rsidRPr="004A4C5E">
              <w:rPr>
                <w:sz w:val="22"/>
                <w:szCs w:val="22"/>
              </w:rPr>
              <w:t>1/100 až &lt;1/10)</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0E1ABF04" w14:textId="322167FA" w:rsidR="009C6AF1" w:rsidRPr="004A4C5E" w:rsidRDefault="009467A6" w:rsidP="00DE5A3E">
            <w:pPr>
              <w:keepNext/>
              <w:rPr>
                <w:b/>
                <w:sz w:val="22"/>
                <w:szCs w:val="22"/>
              </w:rPr>
            </w:pPr>
            <w:r w:rsidRPr="004A4C5E">
              <w:rPr>
                <w:b/>
                <w:sz w:val="22"/>
                <w:szCs w:val="22"/>
              </w:rPr>
              <w:t xml:space="preserve">Menej časté </w:t>
            </w:r>
            <w:r w:rsidRPr="004A4C5E">
              <w:rPr>
                <w:sz w:val="22"/>
                <w:szCs w:val="22"/>
              </w:rPr>
              <w:t>(</w:t>
            </w:r>
            <w:r w:rsidRPr="004A4C5E">
              <w:rPr>
                <w:sz w:val="22"/>
                <w:szCs w:val="22"/>
              </w:rPr>
              <w:sym w:font="Symbol" w:char="F0B3"/>
            </w:r>
            <w:r w:rsidRPr="004A4C5E">
              <w:rPr>
                <w:sz w:val="22"/>
                <w:szCs w:val="22"/>
              </w:rPr>
              <w:t>1/1 000 až &lt;1/100)</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331EBA6C" w14:textId="58AD2165" w:rsidR="009C6AF1" w:rsidRPr="00DE5A3E" w:rsidRDefault="009467A6" w:rsidP="00DE5A3E">
            <w:pPr>
              <w:keepNext/>
              <w:rPr>
                <w:sz w:val="22"/>
              </w:rPr>
            </w:pPr>
            <w:r w:rsidRPr="004A4C5E">
              <w:rPr>
                <w:b/>
                <w:sz w:val="22"/>
                <w:szCs w:val="22"/>
              </w:rPr>
              <w:t xml:space="preserve">Zriedkavé </w:t>
            </w:r>
            <w:r w:rsidRPr="004A4C5E">
              <w:rPr>
                <w:sz w:val="22"/>
                <w:szCs w:val="22"/>
              </w:rPr>
              <w:t>(</w:t>
            </w:r>
            <w:r w:rsidRPr="004A4C5E">
              <w:rPr>
                <w:sz w:val="22"/>
                <w:szCs w:val="22"/>
              </w:rPr>
              <w:sym w:font="Symbol" w:char="F0B3"/>
            </w:r>
            <w:r w:rsidRPr="004A4C5E">
              <w:rPr>
                <w:sz w:val="22"/>
                <w:szCs w:val="22"/>
              </w:rPr>
              <w:t>1/10 000 až &lt;1/1 000)</w:t>
            </w:r>
          </w:p>
        </w:tc>
        <w:tc>
          <w:tcPr>
            <w:tcW w:w="1361" w:type="dxa"/>
            <w:tcBorders>
              <w:top w:val="single" w:sz="4" w:space="0" w:color="auto"/>
              <w:left w:val="single" w:sz="4" w:space="0" w:color="auto"/>
              <w:bottom w:val="single" w:sz="4" w:space="0" w:color="auto"/>
              <w:right w:val="single" w:sz="4" w:space="0" w:color="auto"/>
            </w:tcBorders>
          </w:tcPr>
          <w:p w14:paraId="3CE27D07" w14:textId="2F7ABFFD" w:rsidR="009C6AF1" w:rsidRPr="004A4C5E" w:rsidRDefault="009467A6" w:rsidP="00DE5A3E">
            <w:pPr>
              <w:keepNext/>
              <w:rPr>
                <w:b/>
                <w:sz w:val="22"/>
                <w:szCs w:val="22"/>
              </w:rPr>
            </w:pPr>
            <w:r w:rsidRPr="004A4C5E">
              <w:rPr>
                <w:b/>
                <w:sz w:val="22"/>
                <w:szCs w:val="22"/>
              </w:rPr>
              <w:t xml:space="preserve">Veľmi zriedkavé </w:t>
            </w:r>
            <w:r w:rsidRPr="004A4C5E">
              <w:rPr>
                <w:sz w:val="22"/>
                <w:szCs w:val="22"/>
              </w:rPr>
              <w:t>(&lt;1/10 000)</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57E34D6F" w14:textId="5FEB7647" w:rsidR="009C6AF1" w:rsidRPr="00DE5A3E" w:rsidRDefault="00E4745F" w:rsidP="00DE5A3E">
            <w:pPr>
              <w:keepNext/>
              <w:rPr>
                <w:sz w:val="22"/>
                <w:vertAlign w:val="superscript"/>
              </w:rPr>
            </w:pPr>
            <w:r w:rsidRPr="004A4C5E">
              <w:rPr>
                <w:b/>
                <w:sz w:val="22"/>
                <w:szCs w:val="22"/>
              </w:rPr>
              <w:t>N</w:t>
            </w:r>
            <w:r w:rsidR="009467A6" w:rsidRPr="004A4C5E">
              <w:rPr>
                <w:b/>
                <w:sz w:val="22"/>
                <w:szCs w:val="22"/>
              </w:rPr>
              <w:t xml:space="preserve">eznáme </w:t>
            </w:r>
            <w:r w:rsidR="009467A6" w:rsidRPr="004A4C5E">
              <w:rPr>
                <w:sz w:val="22"/>
                <w:szCs w:val="22"/>
              </w:rPr>
              <w:t>(</w:t>
            </w:r>
            <w:r w:rsidR="00D237FF">
              <w:rPr>
                <w:sz w:val="22"/>
                <w:szCs w:val="22"/>
              </w:rPr>
              <w:t>nedá sa odhadnúť</w:t>
            </w:r>
            <w:r w:rsidR="00C91366">
              <w:rPr>
                <w:sz w:val="22"/>
                <w:szCs w:val="22"/>
              </w:rPr>
              <w:t xml:space="preserve"> </w:t>
            </w:r>
            <w:r w:rsidR="009467A6" w:rsidRPr="004A4C5E">
              <w:rPr>
                <w:sz w:val="22"/>
                <w:szCs w:val="22"/>
              </w:rPr>
              <w:t>z</w:t>
            </w:r>
            <w:r w:rsidR="00C91366">
              <w:rPr>
                <w:sz w:val="22"/>
                <w:szCs w:val="22"/>
              </w:rPr>
              <w:t> </w:t>
            </w:r>
            <w:r w:rsidR="009467A6" w:rsidRPr="004A4C5E">
              <w:rPr>
                <w:sz w:val="22"/>
                <w:szCs w:val="22"/>
              </w:rPr>
              <w:t>dostu</w:t>
            </w:r>
            <w:r w:rsidR="001F36EC">
              <w:rPr>
                <w:sz w:val="22"/>
                <w:szCs w:val="22"/>
              </w:rPr>
              <w:t>p</w:t>
            </w:r>
            <w:r w:rsidR="00C91366">
              <w:rPr>
                <w:sz w:val="22"/>
                <w:szCs w:val="22"/>
              </w:rPr>
              <w:t>-</w:t>
            </w:r>
            <w:r w:rsidR="009467A6" w:rsidRPr="004A4C5E">
              <w:rPr>
                <w:sz w:val="22"/>
                <w:szCs w:val="22"/>
              </w:rPr>
              <w:t>ných údajov)</w:t>
            </w:r>
          </w:p>
        </w:tc>
      </w:tr>
      <w:tr w:rsidR="00C91366" w:rsidRPr="004A4C5E" w14:paraId="2FA1833E" w14:textId="77777777" w:rsidTr="00DE5A3E">
        <w:trPr>
          <w:cantSplit/>
          <w:trHeight w:val="149"/>
        </w:trPr>
        <w:tc>
          <w:tcPr>
            <w:tcW w:w="1361" w:type="dxa"/>
            <w:tcBorders>
              <w:top w:val="single" w:sz="4" w:space="0" w:color="auto"/>
              <w:left w:val="single" w:sz="4" w:space="0" w:color="auto"/>
              <w:bottom w:val="single" w:sz="4" w:space="0" w:color="auto"/>
              <w:right w:val="single" w:sz="4" w:space="0" w:color="auto"/>
            </w:tcBorders>
          </w:tcPr>
          <w:p w14:paraId="19E079AA" w14:textId="146F5E01" w:rsidR="009C6AF1" w:rsidRPr="004A4C5E" w:rsidRDefault="009467A6" w:rsidP="00936874">
            <w:pPr>
              <w:keepNext/>
              <w:rPr>
                <w:sz w:val="22"/>
                <w:szCs w:val="22"/>
              </w:rPr>
            </w:pPr>
            <w:r w:rsidRPr="004A4C5E">
              <w:rPr>
                <w:b/>
                <w:sz w:val="22"/>
                <w:szCs w:val="22"/>
              </w:rPr>
              <w:t>Infekcie</w:t>
            </w:r>
            <w:r w:rsidR="00731C93">
              <w:rPr>
                <w:b/>
                <w:sz w:val="22"/>
                <w:szCs w:val="22"/>
              </w:rPr>
              <w:t xml:space="preserve"> a </w:t>
            </w:r>
            <w:r w:rsidRPr="004A4C5E">
              <w:rPr>
                <w:b/>
                <w:sz w:val="22"/>
                <w:szCs w:val="22"/>
              </w:rPr>
              <w:t>nákazy</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53A8333E" w14:textId="77777777" w:rsidR="009C6AF1" w:rsidRPr="004A4C5E" w:rsidRDefault="009C6AF1" w:rsidP="00936874">
            <w:pPr>
              <w:keepNext/>
              <w:rPr>
                <w:sz w:val="22"/>
                <w:szCs w:val="22"/>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14:paraId="76C2AC1C" w14:textId="77777777" w:rsidR="009C6AF1" w:rsidRPr="004A4C5E" w:rsidRDefault="00EB161E" w:rsidP="00936874">
            <w:pPr>
              <w:keepNext/>
              <w:rPr>
                <w:sz w:val="22"/>
                <w:szCs w:val="22"/>
              </w:rPr>
            </w:pPr>
            <w:r w:rsidRPr="004A4C5E">
              <w:rPr>
                <w:sz w:val="22"/>
                <w:szCs w:val="22"/>
              </w:rPr>
              <w:t>sinusitída, infekcia horných dýchacích ciest, faryngitída, infekcia močových ciest</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25519F2A" w14:textId="77777777" w:rsidR="009C6AF1" w:rsidRPr="004A4C5E" w:rsidRDefault="009C6AF1" w:rsidP="00E4745F">
            <w:pPr>
              <w:keepNext/>
              <w:rPr>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4753E4CD" w14:textId="77777777" w:rsidR="009C6AF1" w:rsidRPr="004A4C5E" w:rsidRDefault="009C6AF1" w:rsidP="00936874">
            <w:pPr>
              <w:keepNext/>
              <w:rPr>
                <w:sz w:val="22"/>
                <w:szCs w:val="22"/>
              </w:rPr>
            </w:pPr>
          </w:p>
        </w:tc>
        <w:tc>
          <w:tcPr>
            <w:tcW w:w="1361" w:type="dxa"/>
            <w:tcBorders>
              <w:top w:val="single" w:sz="4" w:space="0" w:color="auto"/>
              <w:left w:val="single" w:sz="4" w:space="0" w:color="auto"/>
              <w:bottom w:val="single" w:sz="4" w:space="0" w:color="auto"/>
              <w:right w:val="single" w:sz="4" w:space="0" w:color="auto"/>
            </w:tcBorders>
          </w:tcPr>
          <w:p w14:paraId="787D5E71" w14:textId="77777777" w:rsidR="009C6AF1" w:rsidRPr="004A4C5E" w:rsidRDefault="009C6AF1" w:rsidP="00936874">
            <w:pPr>
              <w:keepNext/>
              <w:rPr>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7C9D0A4F" w14:textId="77777777" w:rsidR="009C6AF1" w:rsidRPr="004A4C5E" w:rsidRDefault="009C6AF1" w:rsidP="00936874">
            <w:pPr>
              <w:keepNext/>
              <w:rPr>
                <w:sz w:val="22"/>
                <w:szCs w:val="22"/>
              </w:rPr>
            </w:pPr>
          </w:p>
        </w:tc>
      </w:tr>
      <w:tr w:rsidR="00C91366" w:rsidRPr="004A4C5E" w14:paraId="0F0D42BA" w14:textId="77777777" w:rsidTr="00DE5A3E">
        <w:trPr>
          <w:cantSplit/>
          <w:trHeight w:val="149"/>
        </w:trPr>
        <w:tc>
          <w:tcPr>
            <w:tcW w:w="1361" w:type="dxa"/>
            <w:tcBorders>
              <w:top w:val="single" w:sz="4" w:space="0" w:color="auto"/>
              <w:left w:val="single" w:sz="4" w:space="0" w:color="auto"/>
              <w:bottom w:val="single" w:sz="4" w:space="0" w:color="auto"/>
              <w:right w:val="single" w:sz="4" w:space="0" w:color="auto"/>
            </w:tcBorders>
          </w:tcPr>
          <w:p w14:paraId="6234B5D1" w14:textId="593B0B38" w:rsidR="009C6AF1" w:rsidRPr="004A4C5E" w:rsidRDefault="009467A6" w:rsidP="00936874">
            <w:pPr>
              <w:rPr>
                <w:sz w:val="22"/>
                <w:szCs w:val="22"/>
              </w:rPr>
            </w:pPr>
            <w:r w:rsidRPr="004A4C5E">
              <w:rPr>
                <w:b/>
                <w:sz w:val="22"/>
                <w:szCs w:val="22"/>
              </w:rPr>
              <w:t>Poruchy krvi a</w:t>
            </w:r>
            <w:r w:rsidR="001C40FF">
              <w:rPr>
                <w:b/>
                <w:sz w:val="22"/>
                <w:szCs w:val="22"/>
              </w:rPr>
              <w:t> </w:t>
            </w:r>
            <w:r w:rsidRPr="004A4C5E">
              <w:rPr>
                <w:b/>
                <w:sz w:val="22"/>
                <w:szCs w:val="22"/>
              </w:rPr>
              <w:t>lymfatic</w:t>
            </w:r>
            <w:r w:rsidR="001C40FF">
              <w:rPr>
                <w:b/>
                <w:sz w:val="22"/>
                <w:szCs w:val="22"/>
              </w:rPr>
              <w:t>-</w:t>
            </w:r>
            <w:r w:rsidRPr="004A4C5E">
              <w:rPr>
                <w:b/>
                <w:sz w:val="22"/>
                <w:szCs w:val="22"/>
              </w:rPr>
              <w:t>kého systému</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1B2FFA08" w14:textId="77777777" w:rsidR="009C6AF1" w:rsidRPr="004A4C5E" w:rsidRDefault="009C6AF1" w:rsidP="00936874">
            <w:pPr>
              <w:rPr>
                <w:sz w:val="22"/>
                <w:szCs w:val="22"/>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14:paraId="1A97B5FD" w14:textId="77777777" w:rsidR="009C6AF1" w:rsidRPr="004A4C5E" w:rsidRDefault="009C6AF1" w:rsidP="00936874">
            <w:pPr>
              <w:rPr>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492D5D69" w14:textId="77777777" w:rsidR="009C6AF1" w:rsidRPr="004A4C5E" w:rsidRDefault="00EB161E" w:rsidP="00936874">
            <w:pPr>
              <w:rPr>
                <w:sz w:val="22"/>
                <w:szCs w:val="22"/>
              </w:rPr>
            </w:pPr>
            <w:r w:rsidRPr="004A4C5E">
              <w:rPr>
                <w:bCs/>
                <w:sz w:val="22"/>
                <w:szCs w:val="22"/>
              </w:rPr>
              <w:t>anémia</w:t>
            </w:r>
            <w:r w:rsidR="009C6AF1" w:rsidRPr="004A4C5E">
              <w:rPr>
                <w:bCs/>
                <w:sz w:val="22"/>
                <w:szCs w:val="22"/>
              </w:rPr>
              <w:t xml:space="preserve"> </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6C656F51" w14:textId="2EBF8BE9" w:rsidR="009C6AF1" w:rsidRPr="004A4C5E" w:rsidRDefault="00EB161E" w:rsidP="00E4745F">
            <w:pPr>
              <w:rPr>
                <w:sz w:val="22"/>
                <w:szCs w:val="22"/>
              </w:rPr>
            </w:pPr>
            <w:r w:rsidRPr="004A4C5E">
              <w:rPr>
                <w:sz w:val="22"/>
                <w:szCs w:val="22"/>
              </w:rPr>
              <w:t>l</w:t>
            </w:r>
            <w:r w:rsidR="009C6AF1" w:rsidRPr="004A4C5E">
              <w:rPr>
                <w:sz w:val="22"/>
                <w:szCs w:val="22"/>
              </w:rPr>
              <w:t>euk</w:t>
            </w:r>
            <w:r w:rsidRPr="004A4C5E">
              <w:rPr>
                <w:sz w:val="22"/>
                <w:szCs w:val="22"/>
              </w:rPr>
              <w:t>opé</w:t>
            </w:r>
            <w:r w:rsidR="009C6AF1" w:rsidRPr="004A4C5E">
              <w:rPr>
                <w:sz w:val="22"/>
                <w:szCs w:val="22"/>
              </w:rPr>
              <w:t>nia</w:t>
            </w:r>
            <w:r w:rsidRPr="004A4C5E">
              <w:rPr>
                <w:bCs/>
                <w:sz w:val="22"/>
                <w:szCs w:val="22"/>
              </w:rPr>
              <w:t>, trombocyto</w:t>
            </w:r>
            <w:r w:rsidR="00C91366">
              <w:rPr>
                <w:bCs/>
                <w:sz w:val="22"/>
                <w:szCs w:val="22"/>
              </w:rPr>
              <w:t>-</w:t>
            </w:r>
            <w:r w:rsidRPr="004A4C5E">
              <w:rPr>
                <w:bCs/>
                <w:sz w:val="22"/>
                <w:szCs w:val="22"/>
              </w:rPr>
              <w:t>pénia</w:t>
            </w:r>
          </w:p>
        </w:tc>
        <w:tc>
          <w:tcPr>
            <w:tcW w:w="1361" w:type="dxa"/>
            <w:tcBorders>
              <w:top w:val="single" w:sz="4" w:space="0" w:color="auto"/>
              <w:left w:val="single" w:sz="4" w:space="0" w:color="auto"/>
              <w:bottom w:val="single" w:sz="4" w:space="0" w:color="auto"/>
              <w:right w:val="single" w:sz="4" w:space="0" w:color="auto"/>
            </w:tcBorders>
          </w:tcPr>
          <w:p w14:paraId="0A6C5F07" w14:textId="492A4BB8" w:rsidR="009C6AF1" w:rsidRPr="004A4C5E" w:rsidRDefault="00DD3D3A" w:rsidP="00936874">
            <w:pPr>
              <w:rPr>
                <w:sz w:val="22"/>
                <w:szCs w:val="22"/>
                <w:vertAlign w:val="superscript"/>
              </w:rPr>
            </w:pPr>
            <w:r>
              <w:rPr>
                <w:sz w:val="22"/>
                <w:szCs w:val="22"/>
              </w:rPr>
              <w:t>p</w:t>
            </w:r>
            <w:r w:rsidR="00EB161E" w:rsidRPr="004A4C5E">
              <w:rPr>
                <w:sz w:val="22"/>
                <w:szCs w:val="22"/>
              </w:rPr>
              <w:t>ancytopé</w:t>
            </w:r>
            <w:r>
              <w:rPr>
                <w:sz w:val="22"/>
                <w:szCs w:val="22"/>
              </w:rPr>
              <w:t>-</w:t>
            </w:r>
            <w:r w:rsidR="009C6AF1" w:rsidRPr="004A4C5E">
              <w:rPr>
                <w:sz w:val="22"/>
                <w:szCs w:val="22"/>
              </w:rPr>
              <w:t>nia</w:t>
            </w:r>
            <w:r w:rsidR="009C6AF1" w:rsidRPr="004A4C5E">
              <w:rPr>
                <w:sz w:val="22"/>
                <w:szCs w:val="22"/>
                <w:vertAlign w:val="superscript"/>
              </w:rPr>
              <w:t>4</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7A8658E5" w14:textId="77777777" w:rsidR="009C6AF1" w:rsidRPr="004A4C5E" w:rsidRDefault="009C6AF1" w:rsidP="00936874">
            <w:pPr>
              <w:rPr>
                <w:sz w:val="22"/>
                <w:szCs w:val="22"/>
              </w:rPr>
            </w:pPr>
          </w:p>
        </w:tc>
      </w:tr>
      <w:tr w:rsidR="00C91366" w:rsidRPr="004A4C5E" w14:paraId="78495A86" w14:textId="77777777" w:rsidTr="00DE5A3E">
        <w:trPr>
          <w:cantSplit/>
          <w:trHeight w:val="149"/>
        </w:trPr>
        <w:tc>
          <w:tcPr>
            <w:tcW w:w="1361" w:type="dxa"/>
            <w:tcBorders>
              <w:top w:val="single" w:sz="4" w:space="0" w:color="auto"/>
              <w:left w:val="single" w:sz="4" w:space="0" w:color="auto"/>
              <w:bottom w:val="single" w:sz="4" w:space="0" w:color="auto"/>
              <w:right w:val="single" w:sz="4" w:space="0" w:color="auto"/>
            </w:tcBorders>
          </w:tcPr>
          <w:p w14:paraId="0AC5A507" w14:textId="77777777" w:rsidR="009C6AF1" w:rsidRPr="00DE5A3E" w:rsidRDefault="009467A6" w:rsidP="00DE5A3E">
            <w:pPr>
              <w:rPr>
                <w:sz w:val="22"/>
              </w:rPr>
            </w:pPr>
            <w:r w:rsidRPr="004A4C5E">
              <w:rPr>
                <w:b/>
                <w:sz w:val="22"/>
                <w:szCs w:val="22"/>
              </w:rPr>
              <w:t>Poruchy imunitného systému</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5B58ADA5" w14:textId="77777777" w:rsidR="009C6AF1" w:rsidRPr="004A4C5E" w:rsidRDefault="009C6AF1" w:rsidP="00936874">
            <w:pPr>
              <w:rPr>
                <w:sz w:val="22"/>
                <w:szCs w:val="22"/>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14:paraId="740A844E" w14:textId="32D16589" w:rsidR="009C6AF1" w:rsidRPr="004A4C5E" w:rsidRDefault="00A11E7D" w:rsidP="00936874">
            <w:pPr>
              <w:rPr>
                <w:sz w:val="22"/>
                <w:szCs w:val="22"/>
              </w:rPr>
            </w:pPr>
            <w:r w:rsidRPr="004A4C5E">
              <w:rPr>
                <w:bCs/>
                <w:sz w:val="22"/>
                <w:szCs w:val="22"/>
              </w:rPr>
              <w:t>p</w:t>
            </w:r>
            <w:r w:rsidR="00EB161E" w:rsidRPr="004A4C5E">
              <w:rPr>
                <w:bCs/>
                <w:sz w:val="22"/>
                <w:szCs w:val="22"/>
              </w:rPr>
              <w:t>recitlivenosť</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52829DB8" w14:textId="77777777" w:rsidR="009C6AF1" w:rsidRPr="004A4C5E" w:rsidRDefault="009C6AF1" w:rsidP="00936874">
            <w:pPr>
              <w:rPr>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77E97F92" w14:textId="77777777" w:rsidR="009C6AF1" w:rsidRPr="004A4C5E" w:rsidRDefault="009C6AF1" w:rsidP="00936874">
            <w:pPr>
              <w:rPr>
                <w:sz w:val="22"/>
                <w:szCs w:val="22"/>
              </w:rPr>
            </w:pPr>
          </w:p>
        </w:tc>
        <w:tc>
          <w:tcPr>
            <w:tcW w:w="1361" w:type="dxa"/>
            <w:tcBorders>
              <w:top w:val="single" w:sz="4" w:space="0" w:color="auto"/>
              <w:left w:val="single" w:sz="4" w:space="0" w:color="auto"/>
              <w:bottom w:val="single" w:sz="4" w:space="0" w:color="auto"/>
              <w:right w:val="single" w:sz="4" w:space="0" w:color="auto"/>
            </w:tcBorders>
          </w:tcPr>
          <w:p w14:paraId="53CFFB2D" w14:textId="76A7ACA7" w:rsidR="009C6AF1" w:rsidRPr="004A4C5E" w:rsidRDefault="00DD3D3A" w:rsidP="00E4745F">
            <w:pPr>
              <w:rPr>
                <w:sz w:val="22"/>
                <w:szCs w:val="22"/>
              </w:rPr>
            </w:pPr>
            <w:r>
              <w:rPr>
                <w:sz w:val="22"/>
                <w:szCs w:val="22"/>
              </w:rPr>
              <w:t>a</w:t>
            </w:r>
            <w:r w:rsidR="00EB161E" w:rsidRPr="004A4C5E">
              <w:rPr>
                <w:sz w:val="22"/>
                <w:szCs w:val="22"/>
              </w:rPr>
              <w:t>nafylak</w:t>
            </w:r>
            <w:r>
              <w:rPr>
                <w:sz w:val="22"/>
                <w:szCs w:val="22"/>
              </w:rPr>
              <w:t>-</w:t>
            </w:r>
            <w:r w:rsidR="00EB161E" w:rsidRPr="004A4C5E">
              <w:rPr>
                <w:sz w:val="22"/>
                <w:szCs w:val="22"/>
              </w:rPr>
              <w:t>tický</w:t>
            </w:r>
            <w:r w:rsidR="009C6AF1" w:rsidRPr="004A4C5E">
              <w:rPr>
                <w:sz w:val="22"/>
                <w:szCs w:val="22"/>
              </w:rPr>
              <w:t xml:space="preserve"> </w:t>
            </w:r>
            <w:r w:rsidR="00EB161E" w:rsidRPr="004A4C5E">
              <w:rPr>
                <w:sz w:val="22"/>
                <w:szCs w:val="22"/>
              </w:rPr>
              <w:t>šok</w:t>
            </w:r>
            <w:r w:rsidR="009C6AF1" w:rsidRPr="004A4C5E">
              <w:rPr>
                <w:sz w:val="22"/>
                <w:szCs w:val="22"/>
                <w:vertAlign w:val="superscript"/>
              </w:rPr>
              <w:t>4</w:t>
            </w:r>
            <w:r w:rsidR="009C6AF1" w:rsidRPr="004A4C5E">
              <w:rPr>
                <w:sz w:val="22"/>
                <w:szCs w:val="22"/>
              </w:rPr>
              <w:t xml:space="preserve">, </w:t>
            </w:r>
            <w:r w:rsidR="00EB161E" w:rsidRPr="004A4C5E">
              <w:rPr>
                <w:sz w:val="22"/>
                <w:szCs w:val="22"/>
              </w:rPr>
              <w:t>anafylaktic</w:t>
            </w:r>
            <w:r>
              <w:rPr>
                <w:sz w:val="22"/>
                <w:szCs w:val="22"/>
              </w:rPr>
              <w:t>-</w:t>
            </w:r>
            <w:r w:rsidR="00EB161E" w:rsidRPr="004A4C5E">
              <w:rPr>
                <w:sz w:val="22"/>
                <w:szCs w:val="22"/>
              </w:rPr>
              <w:t>ká reakcia</w:t>
            </w:r>
            <w:r w:rsidR="009C6AF1" w:rsidRPr="004A4C5E">
              <w:rPr>
                <w:sz w:val="22"/>
                <w:szCs w:val="22"/>
                <w:vertAlign w:val="superscript"/>
              </w:rPr>
              <w:t>4</w:t>
            </w:r>
            <w:r w:rsidR="009C6AF1" w:rsidRPr="004A4C5E">
              <w:rPr>
                <w:sz w:val="22"/>
                <w:szCs w:val="22"/>
              </w:rPr>
              <w:t xml:space="preserve"> </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6CE3BFFE" w14:textId="77777777" w:rsidR="009C6AF1" w:rsidRPr="004A4C5E" w:rsidRDefault="009C6AF1" w:rsidP="00936874">
            <w:pPr>
              <w:rPr>
                <w:sz w:val="22"/>
                <w:szCs w:val="22"/>
              </w:rPr>
            </w:pPr>
          </w:p>
        </w:tc>
      </w:tr>
      <w:tr w:rsidR="00C91366" w:rsidRPr="004A4C5E" w14:paraId="59728379" w14:textId="77777777" w:rsidTr="00DE5A3E">
        <w:trPr>
          <w:cantSplit/>
          <w:trHeight w:val="149"/>
        </w:trPr>
        <w:tc>
          <w:tcPr>
            <w:tcW w:w="1361" w:type="dxa"/>
            <w:tcBorders>
              <w:top w:val="single" w:sz="4" w:space="0" w:color="auto"/>
              <w:left w:val="single" w:sz="4" w:space="0" w:color="auto"/>
              <w:bottom w:val="single" w:sz="4" w:space="0" w:color="auto"/>
              <w:right w:val="single" w:sz="4" w:space="0" w:color="auto"/>
            </w:tcBorders>
          </w:tcPr>
          <w:p w14:paraId="3122AC35" w14:textId="3E407D21" w:rsidR="009C6AF1" w:rsidRPr="00DE5A3E" w:rsidRDefault="009467A6" w:rsidP="00DE5A3E">
            <w:pPr>
              <w:rPr>
                <w:b/>
                <w:sz w:val="22"/>
              </w:rPr>
            </w:pPr>
            <w:r w:rsidRPr="004A4C5E">
              <w:rPr>
                <w:b/>
                <w:sz w:val="22"/>
                <w:szCs w:val="22"/>
              </w:rPr>
              <w:t>Poruchy metaboliz</w:t>
            </w:r>
            <w:r w:rsidR="001C40FF">
              <w:rPr>
                <w:b/>
                <w:sz w:val="22"/>
                <w:szCs w:val="22"/>
              </w:rPr>
              <w:t>-</w:t>
            </w:r>
            <w:r w:rsidRPr="004A4C5E">
              <w:rPr>
                <w:b/>
                <w:sz w:val="22"/>
                <w:szCs w:val="22"/>
              </w:rPr>
              <w:t>mu</w:t>
            </w:r>
            <w:r w:rsidR="00731C93">
              <w:rPr>
                <w:b/>
                <w:sz w:val="22"/>
                <w:szCs w:val="22"/>
              </w:rPr>
              <w:t xml:space="preserve"> a </w:t>
            </w:r>
            <w:r w:rsidRPr="004A4C5E">
              <w:rPr>
                <w:b/>
                <w:sz w:val="22"/>
                <w:szCs w:val="22"/>
              </w:rPr>
              <w:t>výživy</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1A354BE4" w14:textId="77777777" w:rsidR="009C6AF1" w:rsidRPr="004A4C5E" w:rsidRDefault="009C6AF1" w:rsidP="00DE5A3E">
            <w:pPr>
              <w:rPr>
                <w:sz w:val="22"/>
                <w:szCs w:val="22"/>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14:paraId="09AD2D1E" w14:textId="77777777" w:rsidR="009C6AF1" w:rsidRPr="004A4C5E" w:rsidRDefault="009C6AF1" w:rsidP="00DE5A3E">
            <w:pPr>
              <w:rPr>
                <w:bCs/>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53A88FB8" w14:textId="19978891" w:rsidR="009C6AF1" w:rsidRPr="004A4C5E" w:rsidRDefault="00DD3D3A" w:rsidP="00DE5A3E">
            <w:pPr>
              <w:rPr>
                <w:sz w:val="22"/>
                <w:szCs w:val="22"/>
              </w:rPr>
            </w:pPr>
            <w:r>
              <w:rPr>
                <w:sz w:val="22"/>
                <w:szCs w:val="22"/>
              </w:rPr>
              <w:t>h</w:t>
            </w:r>
            <w:r w:rsidR="009C6AF1" w:rsidRPr="004A4C5E">
              <w:rPr>
                <w:sz w:val="22"/>
                <w:szCs w:val="22"/>
              </w:rPr>
              <w:t>yperkal</w:t>
            </w:r>
            <w:r w:rsidR="00EB161E" w:rsidRPr="004A4C5E">
              <w:rPr>
                <w:sz w:val="22"/>
                <w:szCs w:val="22"/>
              </w:rPr>
              <w:t>ié</w:t>
            </w:r>
            <w:r>
              <w:rPr>
                <w:sz w:val="22"/>
                <w:szCs w:val="22"/>
              </w:rPr>
              <w:t>-</w:t>
            </w:r>
            <w:r w:rsidR="00EB161E" w:rsidRPr="004A4C5E">
              <w:rPr>
                <w:sz w:val="22"/>
                <w:szCs w:val="22"/>
              </w:rPr>
              <w:t>mia</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049E6C0D" w14:textId="21EB087D" w:rsidR="009C6AF1" w:rsidRPr="004A4C5E" w:rsidRDefault="009C6AF1" w:rsidP="00DE5A3E">
            <w:pPr>
              <w:rPr>
                <w:sz w:val="22"/>
                <w:szCs w:val="22"/>
              </w:rPr>
            </w:pPr>
          </w:p>
        </w:tc>
        <w:tc>
          <w:tcPr>
            <w:tcW w:w="1361" w:type="dxa"/>
            <w:tcBorders>
              <w:top w:val="single" w:sz="4" w:space="0" w:color="auto"/>
              <w:left w:val="single" w:sz="4" w:space="0" w:color="auto"/>
              <w:bottom w:val="single" w:sz="4" w:space="0" w:color="auto"/>
              <w:right w:val="single" w:sz="4" w:space="0" w:color="auto"/>
            </w:tcBorders>
          </w:tcPr>
          <w:p w14:paraId="4CA3D8E8" w14:textId="77777777" w:rsidR="009C6AF1" w:rsidRPr="004A4C5E" w:rsidRDefault="009C6AF1" w:rsidP="00DE5A3E">
            <w:pPr>
              <w:rPr>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44C5203C" w14:textId="77777777" w:rsidR="009C6AF1" w:rsidRPr="004A4C5E" w:rsidRDefault="009C6AF1" w:rsidP="00936874">
            <w:pPr>
              <w:rPr>
                <w:sz w:val="22"/>
                <w:szCs w:val="22"/>
              </w:rPr>
            </w:pPr>
          </w:p>
        </w:tc>
      </w:tr>
      <w:tr w:rsidR="00C91366" w:rsidRPr="004A4C5E" w14:paraId="21FA5E25" w14:textId="77777777" w:rsidTr="00DE5A3E">
        <w:trPr>
          <w:cantSplit/>
          <w:trHeight w:val="149"/>
        </w:trPr>
        <w:tc>
          <w:tcPr>
            <w:tcW w:w="1361" w:type="dxa"/>
            <w:tcBorders>
              <w:top w:val="single" w:sz="4" w:space="0" w:color="auto"/>
              <w:left w:val="single" w:sz="4" w:space="0" w:color="auto"/>
              <w:bottom w:val="single" w:sz="4" w:space="0" w:color="auto"/>
              <w:right w:val="single" w:sz="4" w:space="0" w:color="auto"/>
            </w:tcBorders>
          </w:tcPr>
          <w:p w14:paraId="192AA575" w14:textId="77777777" w:rsidR="009C6AF1" w:rsidRPr="00DE5A3E" w:rsidRDefault="009467A6" w:rsidP="00DE5A3E">
            <w:pPr>
              <w:rPr>
                <w:sz w:val="22"/>
              </w:rPr>
            </w:pPr>
            <w:r w:rsidRPr="004A4C5E">
              <w:rPr>
                <w:b/>
                <w:sz w:val="22"/>
                <w:szCs w:val="22"/>
              </w:rPr>
              <w:t>Psychické poruchy</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141A2D95" w14:textId="77777777" w:rsidR="009C6AF1" w:rsidRPr="004A4C5E" w:rsidRDefault="009C6AF1" w:rsidP="00936874">
            <w:pPr>
              <w:rPr>
                <w:sz w:val="22"/>
                <w:szCs w:val="22"/>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14:paraId="4B5369D2" w14:textId="77777777" w:rsidR="009C6AF1" w:rsidRPr="004A4C5E" w:rsidRDefault="00EB161E" w:rsidP="00936874">
            <w:pPr>
              <w:rPr>
                <w:sz w:val="22"/>
                <w:szCs w:val="22"/>
              </w:rPr>
            </w:pPr>
            <w:r w:rsidRPr="004A4C5E">
              <w:rPr>
                <w:bCs/>
                <w:sz w:val="22"/>
                <w:szCs w:val="22"/>
              </w:rPr>
              <w:t>i</w:t>
            </w:r>
            <w:r w:rsidR="009C6AF1" w:rsidRPr="004A4C5E">
              <w:rPr>
                <w:bCs/>
                <w:sz w:val="22"/>
                <w:szCs w:val="22"/>
              </w:rPr>
              <w:t>nsomnia</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5A0F7C12" w14:textId="655EECEE" w:rsidR="009C6AF1" w:rsidRPr="004A4C5E" w:rsidRDefault="00DD3D3A" w:rsidP="00E4745F">
            <w:pPr>
              <w:rPr>
                <w:bCs/>
                <w:sz w:val="22"/>
                <w:szCs w:val="22"/>
              </w:rPr>
            </w:pPr>
            <w:r>
              <w:rPr>
                <w:bCs/>
                <w:sz w:val="22"/>
                <w:szCs w:val="22"/>
              </w:rPr>
              <w:t>ú</w:t>
            </w:r>
            <w:r w:rsidR="00EB161E" w:rsidRPr="004A4C5E">
              <w:rPr>
                <w:bCs/>
                <w:sz w:val="22"/>
                <w:szCs w:val="22"/>
              </w:rPr>
              <w:t>zkosť, depresia, únava</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1F17B620" w14:textId="77777777" w:rsidR="009C6AF1" w:rsidRPr="004A4C5E" w:rsidRDefault="00EB161E" w:rsidP="00E4745F">
            <w:pPr>
              <w:rPr>
                <w:sz w:val="22"/>
                <w:szCs w:val="22"/>
                <w:vertAlign w:val="superscript"/>
              </w:rPr>
            </w:pPr>
            <w:r w:rsidRPr="004A4C5E">
              <w:rPr>
                <w:bCs/>
                <w:sz w:val="22"/>
                <w:szCs w:val="22"/>
              </w:rPr>
              <w:t>stav zmätenosti</w:t>
            </w:r>
            <w:r w:rsidR="009C6AF1" w:rsidRPr="004A4C5E">
              <w:rPr>
                <w:bCs/>
                <w:sz w:val="22"/>
                <w:szCs w:val="22"/>
              </w:rPr>
              <w:t xml:space="preserve">, </w:t>
            </w:r>
            <w:r w:rsidR="009C6AF1" w:rsidRPr="004A4C5E">
              <w:rPr>
                <w:sz w:val="22"/>
                <w:szCs w:val="22"/>
              </w:rPr>
              <w:t>halucin</w:t>
            </w:r>
            <w:r w:rsidRPr="004A4C5E">
              <w:rPr>
                <w:sz w:val="22"/>
                <w:szCs w:val="22"/>
              </w:rPr>
              <w:t>ácie</w:t>
            </w:r>
            <w:r w:rsidR="009C6AF1" w:rsidRPr="004A4C5E">
              <w:rPr>
                <w:sz w:val="22"/>
                <w:szCs w:val="22"/>
                <w:vertAlign w:val="superscript"/>
              </w:rPr>
              <w:t>4</w:t>
            </w:r>
          </w:p>
        </w:tc>
        <w:tc>
          <w:tcPr>
            <w:tcW w:w="1361" w:type="dxa"/>
            <w:tcBorders>
              <w:top w:val="single" w:sz="4" w:space="0" w:color="auto"/>
              <w:left w:val="single" w:sz="4" w:space="0" w:color="auto"/>
              <w:bottom w:val="single" w:sz="4" w:space="0" w:color="auto"/>
              <w:right w:val="single" w:sz="4" w:space="0" w:color="auto"/>
            </w:tcBorders>
          </w:tcPr>
          <w:p w14:paraId="6BB2BF91" w14:textId="77777777" w:rsidR="009C6AF1" w:rsidRPr="004A4C5E" w:rsidRDefault="009C6AF1" w:rsidP="00936874">
            <w:pPr>
              <w:rPr>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436C04A1" w14:textId="77777777" w:rsidR="009C6AF1" w:rsidRPr="004A4C5E" w:rsidRDefault="009C6AF1" w:rsidP="00936874">
            <w:pPr>
              <w:rPr>
                <w:sz w:val="22"/>
                <w:szCs w:val="22"/>
              </w:rPr>
            </w:pPr>
          </w:p>
        </w:tc>
      </w:tr>
      <w:tr w:rsidR="00C91366" w:rsidRPr="004A4C5E" w14:paraId="127602CC" w14:textId="77777777" w:rsidTr="00DE5A3E">
        <w:trPr>
          <w:cantSplit/>
          <w:trHeight w:val="149"/>
        </w:trPr>
        <w:tc>
          <w:tcPr>
            <w:tcW w:w="1361" w:type="dxa"/>
            <w:tcBorders>
              <w:top w:val="single" w:sz="4" w:space="0" w:color="auto"/>
              <w:left w:val="single" w:sz="4" w:space="0" w:color="auto"/>
              <w:bottom w:val="single" w:sz="4" w:space="0" w:color="auto"/>
              <w:right w:val="single" w:sz="4" w:space="0" w:color="auto"/>
            </w:tcBorders>
          </w:tcPr>
          <w:p w14:paraId="1CFA7A20" w14:textId="77777777" w:rsidR="009C6AF1" w:rsidRPr="004A4C5E" w:rsidRDefault="009467A6" w:rsidP="00DE5A3E">
            <w:pPr>
              <w:rPr>
                <w:sz w:val="22"/>
                <w:szCs w:val="22"/>
              </w:rPr>
            </w:pPr>
            <w:r w:rsidRPr="004A4C5E">
              <w:rPr>
                <w:b/>
                <w:sz w:val="22"/>
                <w:szCs w:val="22"/>
              </w:rPr>
              <w:lastRenderedPageBreak/>
              <w:t>Poruchy nervového systému</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502BD871" w14:textId="77777777" w:rsidR="009C6AF1" w:rsidRPr="004A4C5E" w:rsidRDefault="009C6AF1" w:rsidP="00DE5A3E">
            <w:pPr>
              <w:rPr>
                <w:sz w:val="22"/>
                <w:szCs w:val="22"/>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14:paraId="3D1B5772" w14:textId="77777777" w:rsidR="009C6AF1" w:rsidRPr="00DE5A3E" w:rsidRDefault="00EB161E" w:rsidP="00DE5A3E">
            <w:pPr>
              <w:rPr>
                <w:sz w:val="22"/>
                <w:vertAlign w:val="superscript"/>
              </w:rPr>
            </w:pPr>
            <w:r w:rsidRPr="004A4C5E">
              <w:rPr>
                <w:bCs/>
                <w:sz w:val="22"/>
                <w:szCs w:val="22"/>
              </w:rPr>
              <w:t>závrat</w:t>
            </w:r>
            <w:r w:rsidR="009C6AF1" w:rsidRPr="004A4C5E">
              <w:rPr>
                <w:bCs/>
                <w:sz w:val="22"/>
                <w:szCs w:val="22"/>
              </w:rPr>
              <w:t xml:space="preserve">, </w:t>
            </w:r>
            <w:r w:rsidRPr="004A4C5E">
              <w:rPr>
                <w:bCs/>
                <w:sz w:val="22"/>
                <w:szCs w:val="22"/>
              </w:rPr>
              <w:t>hypertónia</w:t>
            </w:r>
            <w:r w:rsidR="009C6AF1" w:rsidRPr="004A4C5E">
              <w:rPr>
                <w:bCs/>
                <w:sz w:val="22"/>
                <w:szCs w:val="22"/>
              </w:rPr>
              <w:t xml:space="preserve">, </w:t>
            </w:r>
            <w:r w:rsidRPr="004A4C5E">
              <w:rPr>
                <w:bCs/>
                <w:sz w:val="22"/>
                <w:szCs w:val="22"/>
              </w:rPr>
              <w:t>bolesť hlavy</w:t>
            </w:r>
            <w:r w:rsidR="009C6AF1" w:rsidRPr="004A4C5E">
              <w:rPr>
                <w:bCs/>
                <w:sz w:val="22"/>
                <w:szCs w:val="22"/>
                <w:vertAlign w:val="superscript"/>
              </w:rPr>
              <w:t>4</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5CF67592" w14:textId="77777777" w:rsidR="009C6AF1" w:rsidRPr="004A4C5E" w:rsidRDefault="00EB161E" w:rsidP="00E4745F">
            <w:pPr>
              <w:rPr>
                <w:bCs/>
                <w:sz w:val="22"/>
                <w:szCs w:val="22"/>
              </w:rPr>
            </w:pPr>
            <w:r w:rsidRPr="004A4C5E">
              <w:rPr>
                <w:sz w:val="22"/>
                <w:szCs w:val="22"/>
              </w:rPr>
              <w:t>cievna mozgová príhoda</w:t>
            </w:r>
            <w:r w:rsidR="009C6AF1" w:rsidRPr="004A4C5E">
              <w:rPr>
                <w:sz w:val="22"/>
                <w:szCs w:val="22"/>
                <w:vertAlign w:val="superscript"/>
              </w:rPr>
              <w:t>1</w:t>
            </w:r>
            <w:r w:rsidR="009C6AF1" w:rsidRPr="004A4C5E">
              <w:rPr>
                <w:sz w:val="22"/>
                <w:szCs w:val="22"/>
              </w:rPr>
              <w:t xml:space="preserve">, </w:t>
            </w:r>
            <w:r w:rsidR="009C6AF1" w:rsidRPr="004A4C5E">
              <w:rPr>
                <w:bCs/>
                <w:sz w:val="22"/>
                <w:szCs w:val="22"/>
              </w:rPr>
              <w:t>p</w:t>
            </w:r>
            <w:r w:rsidRPr="004A4C5E">
              <w:rPr>
                <w:bCs/>
                <w:sz w:val="22"/>
                <w:szCs w:val="22"/>
              </w:rPr>
              <w:t>arestézia</w:t>
            </w:r>
            <w:r w:rsidR="009C6AF1" w:rsidRPr="004A4C5E">
              <w:rPr>
                <w:bCs/>
                <w:sz w:val="22"/>
                <w:szCs w:val="22"/>
              </w:rPr>
              <w:t xml:space="preserve">, </w:t>
            </w:r>
            <w:r w:rsidRPr="004A4C5E">
              <w:rPr>
                <w:bCs/>
                <w:sz w:val="22"/>
                <w:szCs w:val="22"/>
              </w:rPr>
              <w:t>somnolencia</w:t>
            </w:r>
            <w:r w:rsidR="009C6AF1" w:rsidRPr="004A4C5E">
              <w:rPr>
                <w:bCs/>
                <w:sz w:val="22"/>
                <w:szCs w:val="22"/>
              </w:rPr>
              <w:t xml:space="preserve"> </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760954FA" w14:textId="77777777" w:rsidR="009C6AF1" w:rsidRPr="004A4C5E" w:rsidRDefault="00EB161E" w:rsidP="00E4745F">
            <w:pPr>
              <w:rPr>
                <w:sz w:val="22"/>
                <w:szCs w:val="22"/>
              </w:rPr>
            </w:pPr>
            <w:r w:rsidRPr="004A4C5E">
              <w:rPr>
                <w:sz w:val="22"/>
                <w:szCs w:val="22"/>
              </w:rPr>
              <w:t>a</w:t>
            </w:r>
            <w:r w:rsidR="009C6AF1" w:rsidRPr="004A4C5E">
              <w:rPr>
                <w:sz w:val="22"/>
                <w:szCs w:val="22"/>
              </w:rPr>
              <w:t>taxia, dysge</w:t>
            </w:r>
            <w:r w:rsidRPr="004A4C5E">
              <w:rPr>
                <w:sz w:val="22"/>
                <w:szCs w:val="22"/>
              </w:rPr>
              <w:t>úzia</w:t>
            </w:r>
          </w:p>
        </w:tc>
        <w:tc>
          <w:tcPr>
            <w:tcW w:w="1361" w:type="dxa"/>
            <w:tcBorders>
              <w:top w:val="single" w:sz="4" w:space="0" w:color="auto"/>
              <w:left w:val="single" w:sz="4" w:space="0" w:color="auto"/>
              <w:bottom w:val="single" w:sz="4" w:space="0" w:color="auto"/>
              <w:right w:val="single" w:sz="4" w:space="0" w:color="auto"/>
            </w:tcBorders>
          </w:tcPr>
          <w:p w14:paraId="5F0DED16" w14:textId="2F8AC023" w:rsidR="009C6AF1" w:rsidRPr="00DE5A3E" w:rsidRDefault="00DD3D3A" w:rsidP="00DE5A3E">
            <w:pPr>
              <w:rPr>
                <w:sz w:val="22"/>
                <w:vertAlign w:val="superscript"/>
              </w:rPr>
            </w:pPr>
            <w:r>
              <w:rPr>
                <w:sz w:val="22"/>
                <w:szCs w:val="22"/>
              </w:rPr>
              <w:t>i</w:t>
            </w:r>
            <w:r w:rsidR="00EB161E" w:rsidRPr="004A4C5E">
              <w:rPr>
                <w:sz w:val="22"/>
                <w:szCs w:val="22"/>
              </w:rPr>
              <w:t>ntrakra</w:t>
            </w:r>
            <w:r>
              <w:rPr>
                <w:sz w:val="22"/>
                <w:szCs w:val="22"/>
              </w:rPr>
              <w:t>-</w:t>
            </w:r>
            <w:r w:rsidR="00EB161E" w:rsidRPr="004A4C5E">
              <w:rPr>
                <w:sz w:val="22"/>
                <w:szCs w:val="22"/>
              </w:rPr>
              <w:t xml:space="preserve">niálna hemorágia </w:t>
            </w:r>
            <w:r w:rsidR="009C6AF1" w:rsidRPr="004A4C5E">
              <w:rPr>
                <w:sz w:val="22"/>
                <w:szCs w:val="22"/>
              </w:rPr>
              <w:t>(</w:t>
            </w:r>
            <w:r w:rsidR="00EB161E" w:rsidRPr="004A4C5E">
              <w:rPr>
                <w:sz w:val="22"/>
                <w:szCs w:val="22"/>
              </w:rPr>
              <w:t>vrátane smrteľnej intrakra</w:t>
            </w:r>
            <w:r>
              <w:rPr>
                <w:sz w:val="22"/>
                <w:szCs w:val="22"/>
              </w:rPr>
              <w:t>-</w:t>
            </w:r>
            <w:r w:rsidR="00EB161E" w:rsidRPr="004A4C5E">
              <w:rPr>
                <w:sz w:val="22"/>
                <w:szCs w:val="22"/>
              </w:rPr>
              <w:t>niálnej hemorá</w:t>
            </w:r>
            <w:r>
              <w:rPr>
                <w:sz w:val="22"/>
                <w:szCs w:val="22"/>
              </w:rPr>
              <w:t>-</w:t>
            </w:r>
            <w:r w:rsidR="00EB161E" w:rsidRPr="004A4C5E">
              <w:rPr>
                <w:sz w:val="22"/>
                <w:szCs w:val="22"/>
              </w:rPr>
              <w:t>gie</w:t>
            </w:r>
            <w:r w:rsidR="009C6AF1" w:rsidRPr="004A4C5E">
              <w:rPr>
                <w:sz w:val="22"/>
                <w:szCs w:val="22"/>
              </w:rPr>
              <w:t>)</w:t>
            </w:r>
            <w:r w:rsidR="009C6AF1" w:rsidRPr="004A4C5E">
              <w:rPr>
                <w:sz w:val="22"/>
                <w:szCs w:val="22"/>
                <w:vertAlign w:val="superscript"/>
              </w:rPr>
              <w:t>4</w:t>
            </w:r>
            <w:r w:rsidR="009C6AF1" w:rsidRPr="004A4C5E">
              <w:rPr>
                <w:sz w:val="22"/>
                <w:szCs w:val="22"/>
              </w:rPr>
              <w:t xml:space="preserve">, </w:t>
            </w:r>
            <w:r w:rsidR="00EB161E" w:rsidRPr="004A4C5E">
              <w:rPr>
                <w:sz w:val="22"/>
                <w:szCs w:val="22"/>
              </w:rPr>
              <w:t>aseptická meningití</w:t>
            </w:r>
            <w:r>
              <w:rPr>
                <w:sz w:val="22"/>
                <w:szCs w:val="22"/>
              </w:rPr>
              <w:t>-</w:t>
            </w:r>
            <w:r w:rsidR="00EB161E" w:rsidRPr="004A4C5E">
              <w:rPr>
                <w:sz w:val="22"/>
                <w:szCs w:val="22"/>
              </w:rPr>
              <w:t>da</w:t>
            </w:r>
            <w:r w:rsidR="009C6AF1" w:rsidRPr="004A4C5E">
              <w:rPr>
                <w:sz w:val="22"/>
                <w:szCs w:val="22"/>
                <w:vertAlign w:val="superscript"/>
              </w:rPr>
              <w:t>4</w:t>
            </w:r>
            <w:r w:rsidR="009C6AF1" w:rsidRPr="004A4C5E">
              <w:rPr>
                <w:sz w:val="22"/>
                <w:szCs w:val="22"/>
              </w:rPr>
              <w:t xml:space="preserve">, </w:t>
            </w:r>
            <w:r w:rsidR="00EB161E" w:rsidRPr="004A4C5E">
              <w:rPr>
                <w:sz w:val="22"/>
                <w:szCs w:val="22"/>
              </w:rPr>
              <w:t>epilepsia</w:t>
            </w:r>
            <w:r w:rsidR="009C6AF1" w:rsidRPr="004A4C5E">
              <w:rPr>
                <w:sz w:val="22"/>
                <w:szCs w:val="22"/>
              </w:rPr>
              <w:t xml:space="preserve"> (</w:t>
            </w:r>
            <w:r w:rsidR="00EB161E" w:rsidRPr="004A4C5E">
              <w:rPr>
                <w:sz w:val="22"/>
                <w:szCs w:val="22"/>
              </w:rPr>
              <w:t>vrátane</w:t>
            </w:r>
            <w:r w:rsidR="009C6AF1" w:rsidRPr="004A4C5E">
              <w:rPr>
                <w:sz w:val="22"/>
                <w:szCs w:val="22"/>
              </w:rPr>
              <w:t xml:space="preserve"> </w:t>
            </w:r>
            <w:r w:rsidR="00EB161E" w:rsidRPr="004A4C5E">
              <w:rPr>
                <w:sz w:val="22"/>
                <w:szCs w:val="22"/>
              </w:rPr>
              <w:t>zhoršenia</w:t>
            </w:r>
            <w:r w:rsidR="009C6AF1" w:rsidRPr="004A4C5E">
              <w:rPr>
                <w:sz w:val="22"/>
                <w:szCs w:val="22"/>
              </w:rPr>
              <w:t xml:space="preserve"> epileps</w:t>
            </w:r>
            <w:r w:rsidR="00EB161E" w:rsidRPr="004A4C5E">
              <w:rPr>
                <w:sz w:val="22"/>
                <w:szCs w:val="22"/>
              </w:rPr>
              <w:t>ie</w:t>
            </w:r>
            <w:r w:rsidR="009C6AF1" w:rsidRPr="004A4C5E">
              <w:rPr>
                <w:sz w:val="22"/>
                <w:szCs w:val="22"/>
              </w:rPr>
              <w:t>)</w:t>
            </w:r>
            <w:r w:rsidR="009C6AF1" w:rsidRPr="004A4C5E">
              <w:rPr>
                <w:sz w:val="22"/>
                <w:szCs w:val="22"/>
                <w:vertAlign w:val="superscript"/>
              </w:rPr>
              <w:t>4</w:t>
            </w:r>
            <w:r w:rsidR="009C6AF1" w:rsidRPr="004A4C5E">
              <w:rPr>
                <w:sz w:val="22"/>
                <w:szCs w:val="22"/>
              </w:rPr>
              <w:t xml:space="preserve">, </w:t>
            </w:r>
            <w:r w:rsidR="00EB161E" w:rsidRPr="004A4C5E">
              <w:rPr>
                <w:sz w:val="22"/>
                <w:szCs w:val="22"/>
              </w:rPr>
              <w:t>strata chuti</w:t>
            </w:r>
            <w:r w:rsidR="009C6AF1" w:rsidRPr="004A4C5E">
              <w:rPr>
                <w:sz w:val="22"/>
                <w:szCs w:val="22"/>
                <w:vertAlign w:val="superscript"/>
              </w:rPr>
              <w:t>4</w:t>
            </w:r>
            <w:r w:rsidR="009C6AF1" w:rsidRPr="004A4C5E">
              <w:rPr>
                <w:sz w:val="22"/>
                <w:szCs w:val="22"/>
              </w:rPr>
              <w:t xml:space="preserve">, </w:t>
            </w:r>
            <w:r w:rsidR="00EB161E" w:rsidRPr="004A4C5E">
              <w:rPr>
                <w:sz w:val="22"/>
                <w:szCs w:val="22"/>
              </w:rPr>
              <w:t>strata čuchu</w:t>
            </w:r>
            <w:r w:rsidR="009C6AF1" w:rsidRPr="004A4C5E">
              <w:rPr>
                <w:sz w:val="22"/>
                <w:szCs w:val="22"/>
                <w:vertAlign w:val="superscript"/>
              </w:rPr>
              <w:t>4</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344D3EFB" w14:textId="77777777" w:rsidR="009C6AF1" w:rsidRPr="00DE5A3E" w:rsidRDefault="009C6AF1" w:rsidP="00DE5A3E">
            <w:pPr>
              <w:rPr>
                <w:sz w:val="22"/>
              </w:rPr>
            </w:pPr>
          </w:p>
        </w:tc>
      </w:tr>
      <w:tr w:rsidR="00C91366" w:rsidRPr="004A4C5E" w14:paraId="0E285FB4" w14:textId="77777777" w:rsidTr="00DE5A3E">
        <w:trPr>
          <w:cantSplit/>
          <w:trHeight w:val="149"/>
        </w:trPr>
        <w:tc>
          <w:tcPr>
            <w:tcW w:w="1361" w:type="dxa"/>
            <w:tcBorders>
              <w:top w:val="single" w:sz="4" w:space="0" w:color="auto"/>
              <w:left w:val="single" w:sz="4" w:space="0" w:color="auto"/>
              <w:bottom w:val="single" w:sz="4" w:space="0" w:color="auto"/>
              <w:right w:val="single" w:sz="4" w:space="0" w:color="auto"/>
            </w:tcBorders>
          </w:tcPr>
          <w:p w14:paraId="5455F6E4" w14:textId="77777777" w:rsidR="009C6AF1" w:rsidRPr="00DE5A3E" w:rsidRDefault="009467A6" w:rsidP="00DE5A3E">
            <w:pPr>
              <w:rPr>
                <w:sz w:val="22"/>
              </w:rPr>
            </w:pPr>
            <w:r w:rsidRPr="004A4C5E">
              <w:rPr>
                <w:b/>
                <w:sz w:val="22"/>
                <w:szCs w:val="22"/>
              </w:rPr>
              <w:t>Poruchy oka</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00ED7E2C" w14:textId="77777777" w:rsidR="009C6AF1" w:rsidRPr="004A4C5E" w:rsidRDefault="009C6AF1" w:rsidP="00936874">
            <w:pPr>
              <w:rPr>
                <w:sz w:val="22"/>
                <w:szCs w:val="22"/>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14:paraId="320DFC55" w14:textId="77777777" w:rsidR="009C6AF1" w:rsidRPr="004A4C5E" w:rsidRDefault="009C6AF1" w:rsidP="00936874">
            <w:pPr>
              <w:rPr>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5D961202" w14:textId="77777777" w:rsidR="009C6AF1" w:rsidRPr="004A4C5E" w:rsidRDefault="00A473B7" w:rsidP="00E4745F">
            <w:pPr>
              <w:rPr>
                <w:bCs/>
                <w:sz w:val="22"/>
                <w:szCs w:val="22"/>
                <w:vertAlign w:val="superscript"/>
              </w:rPr>
            </w:pPr>
            <w:r w:rsidRPr="004A4C5E">
              <w:rPr>
                <w:bCs/>
                <w:sz w:val="22"/>
                <w:szCs w:val="22"/>
              </w:rPr>
              <w:t>rozmazané videnie</w:t>
            </w:r>
            <w:r w:rsidR="009C6AF1" w:rsidRPr="004A4C5E">
              <w:rPr>
                <w:bCs/>
                <w:sz w:val="22"/>
                <w:szCs w:val="22"/>
              </w:rPr>
              <w:t>,</w:t>
            </w:r>
            <w:r w:rsidR="009C6AF1" w:rsidRPr="004A4C5E">
              <w:rPr>
                <w:sz w:val="22"/>
                <w:szCs w:val="22"/>
              </w:rPr>
              <w:t xml:space="preserve"> </w:t>
            </w:r>
            <w:r w:rsidRPr="004A4C5E">
              <w:rPr>
                <w:sz w:val="22"/>
                <w:szCs w:val="22"/>
              </w:rPr>
              <w:t>konjunktivi</w:t>
            </w:r>
            <w:r w:rsidR="00DD3D3A">
              <w:rPr>
                <w:sz w:val="22"/>
                <w:szCs w:val="22"/>
              </w:rPr>
              <w:t>-</w:t>
            </w:r>
            <w:r w:rsidRPr="004A4C5E">
              <w:rPr>
                <w:sz w:val="22"/>
                <w:szCs w:val="22"/>
              </w:rPr>
              <w:t>tída</w:t>
            </w:r>
            <w:r w:rsidR="009C6AF1" w:rsidRPr="004A4C5E">
              <w:rPr>
                <w:sz w:val="22"/>
                <w:szCs w:val="22"/>
                <w:vertAlign w:val="superscript"/>
              </w:rPr>
              <w:t>4</w:t>
            </w:r>
            <w:r w:rsidR="009C6AF1" w:rsidRPr="004A4C5E">
              <w:rPr>
                <w:bCs/>
                <w:sz w:val="22"/>
                <w:szCs w:val="22"/>
              </w:rPr>
              <w:t xml:space="preserve"> </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613DC6DB" w14:textId="77777777" w:rsidR="009C6AF1" w:rsidRPr="004A4C5E" w:rsidRDefault="00A473B7" w:rsidP="00936874">
            <w:pPr>
              <w:rPr>
                <w:sz w:val="22"/>
                <w:szCs w:val="22"/>
                <w:vertAlign w:val="superscript"/>
              </w:rPr>
            </w:pPr>
            <w:r w:rsidRPr="004A4C5E">
              <w:rPr>
                <w:sz w:val="22"/>
                <w:szCs w:val="22"/>
              </w:rPr>
              <w:t>krvácanie oka</w:t>
            </w:r>
            <w:r w:rsidR="009C6AF1" w:rsidRPr="004A4C5E">
              <w:rPr>
                <w:sz w:val="22"/>
                <w:szCs w:val="22"/>
                <w:vertAlign w:val="superscript"/>
              </w:rPr>
              <w:t>4</w:t>
            </w:r>
          </w:p>
        </w:tc>
        <w:tc>
          <w:tcPr>
            <w:tcW w:w="1361" w:type="dxa"/>
            <w:tcBorders>
              <w:top w:val="single" w:sz="4" w:space="0" w:color="auto"/>
              <w:left w:val="single" w:sz="4" w:space="0" w:color="auto"/>
              <w:bottom w:val="single" w:sz="4" w:space="0" w:color="auto"/>
              <w:right w:val="single" w:sz="4" w:space="0" w:color="auto"/>
            </w:tcBorders>
          </w:tcPr>
          <w:p w14:paraId="1A02A5EA" w14:textId="77777777" w:rsidR="009C6AF1" w:rsidRPr="004A4C5E" w:rsidRDefault="00A473B7" w:rsidP="00E4745F">
            <w:pPr>
              <w:rPr>
                <w:sz w:val="22"/>
                <w:szCs w:val="22"/>
              </w:rPr>
            </w:pPr>
            <w:r w:rsidRPr="004A4C5E">
              <w:rPr>
                <w:sz w:val="22"/>
                <w:szCs w:val="22"/>
              </w:rPr>
              <w:t>oklúzia tepien sietnice</w:t>
            </w:r>
            <w:r w:rsidR="009C6AF1" w:rsidRPr="004A4C5E">
              <w:rPr>
                <w:sz w:val="22"/>
                <w:szCs w:val="22"/>
                <w:vertAlign w:val="superscript"/>
              </w:rPr>
              <w:t>4</w:t>
            </w:r>
            <w:r w:rsidR="009C6AF1" w:rsidRPr="004A4C5E">
              <w:rPr>
                <w:sz w:val="22"/>
                <w:szCs w:val="22"/>
              </w:rPr>
              <w:t xml:space="preserve">, </w:t>
            </w:r>
            <w:r w:rsidRPr="004A4C5E">
              <w:rPr>
                <w:sz w:val="22"/>
                <w:szCs w:val="22"/>
              </w:rPr>
              <w:t>oklúzia žíl</w:t>
            </w:r>
            <w:r w:rsidR="007312EC" w:rsidRPr="004A4C5E">
              <w:rPr>
                <w:sz w:val="22"/>
                <w:szCs w:val="22"/>
              </w:rPr>
              <w:t xml:space="preserve"> sietnice</w:t>
            </w:r>
            <w:r w:rsidR="009C6AF1" w:rsidRPr="004A4C5E">
              <w:rPr>
                <w:sz w:val="22"/>
                <w:szCs w:val="22"/>
                <w:vertAlign w:val="superscript"/>
              </w:rPr>
              <w:t>4</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72A3BA20" w14:textId="77777777" w:rsidR="009C6AF1" w:rsidRPr="004A4C5E" w:rsidRDefault="009C6AF1" w:rsidP="00936874">
            <w:pPr>
              <w:rPr>
                <w:sz w:val="22"/>
                <w:szCs w:val="22"/>
              </w:rPr>
            </w:pPr>
          </w:p>
        </w:tc>
      </w:tr>
      <w:tr w:rsidR="00C91366" w:rsidRPr="004A4C5E" w14:paraId="105F17B4" w14:textId="77777777" w:rsidTr="00DE5A3E">
        <w:trPr>
          <w:cantSplit/>
          <w:trHeight w:val="149"/>
        </w:trPr>
        <w:tc>
          <w:tcPr>
            <w:tcW w:w="1361" w:type="dxa"/>
            <w:tcBorders>
              <w:top w:val="single" w:sz="4" w:space="0" w:color="auto"/>
              <w:left w:val="single" w:sz="4" w:space="0" w:color="auto"/>
              <w:bottom w:val="single" w:sz="4" w:space="0" w:color="auto"/>
              <w:right w:val="single" w:sz="4" w:space="0" w:color="auto"/>
            </w:tcBorders>
          </w:tcPr>
          <w:p w14:paraId="3DEC3C74" w14:textId="54A21B55" w:rsidR="009C6AF1" w:rsidRPr="004A4C5E" w:rsidRDefault="009467A6" w:rsidP="00DE5A3E">
            <w:pPr>
              <w:rPr>
                <w:sz w:val="22"/>
                <w:szCs w:val="22"/>
              </w:rPr>
            </w:pPr>
            <w:r w:rsidRPr="004A4C5E">
              <w:rPr>
                <w:b/>
                <w:sz w:val="22"/>
                <w:szCs w:val="22"/>
              </w:rPr>
              <w:t>Poruchy ucha</w:t>
            </w:r>
            <w:r w:rsidR="00731C93">
              <w:rPr>
                <w:b/>
                <w:sz w:val="22"/>
                <w:szCs w:val="22"/>
              </w:rPr>
              <w:t xml:space="preserve"> a </w:t>
            </w:r>
            <w:r w:rsidRPr="004A4C5E">
              <w:rPr>
                <w:b/>
                <w:sz w:val="22"/>
                <w:szCs w:val="22"/>
              </w:rPr>
              <w:t>labyrintu</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2AD81398" w14:textId="224384CA" w:rsidR="009C6AF1" w:rsidRPr="004A4C5E" w:rsidRDefault="009C6AF1" w:rsidP="00DE5A3E">
            <w:pPr>
              <w:rPr>
                <w:sz w:val="22"/>
                <w:szCs w:val="22"/>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14:paraId="3E7485CF" w14:textId="77777777" w:rsidR="009C6AF1" w:rsidRPr="004A4C5E" w:rsidRDefault="009C6AF1" w:rsidP="00DE5A3E">
            <w:pPr>
              <w:rPr>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173E3D01" w14:textId="77777777" w:rsidR="009C6AF1" w:rsidRPr="004A4C5E" w:rsidRDefault="003A31B2" w:rsidP="00DE5A3E">
            <w:pPr>
              <w:rPr>
                <w:sz w:val="22"/>
                <w:szCs w:val="22"/>
              </w:rPr>
            </w:pPr>
            <w:r w:rsidRPr="004A4C5E">
              <w:rPr>
                <w:bCs/>
                <w:sz w:val="22"/>
                <w:szCs w:val="22"/>
              </w:rPr>
              <w:t>tinitus</w:t>
            </w:r>
            <w:r w:rsidR="009C6AF1" w:rsidRPr="004A4C5E">
              <w:rPr>
                <w:bCs/>
                <w:sz w:val="22"/>
                <w:szCs w:val="22"/>
              </w:rPr>
              <w:t xml:space="preserve">, </w:t>
            </w:r>
            <w:r w:rsidRPr="004A4C5E">
              <w:rPr>
                <w:bCs/>
                <w:sz w:val="22"/>
                <w:szCs w:val="22"/>
              </w:rPr>
              <w:t>čiastočná strata sluchu</w:t>
            </w:r>
            <w:r w:rsidR="009C6AF1" w:rsidRPr="004A4C5E">
              <w:rPr>
                <w:sz w:val="22"/>
                <w:szCs w:val="22"/>
                <w:vertAlign w:val="superscript"/>
              </w:rPr>
              <w:t>1</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49B70AEE" w14:textId="77777777" w:rsidR="009C6AF1" w:rsidRPr="004A4C5E" w:rsidRDefault="009C6AF1" w:rsidP="00DE5A3E">
            <w:pPr>
              <w:rPr>
                <w:sz w:val="22"/>
                <w:szCs w:val="22"/>
              </w:rPr>
            </w:pPr>
          </w:p>
        </w:tc>
        <w:tc>
          <w:tcPr>
            <w:tcW w:w="1361" w:type="dxa"/>
            <w:tcBorders>
              <w:top w:val="single" w:sz="4" w:space="0" w:color="auto"/>
              <w:left w:val="single" w:sz="4" w:space="0" w:color="auto"/>
              <w:bottom w:val="single" w:sz="4" w:space="0" w:color="auto"/>
              <w:right w:val="single" w:sz="4" w:space="0" w:color="auto"/>
            </w:tcBorders>
          </w:tcPr>
          <w:p w14:paraId="0E2B35D0" w14:textId="77777777" w:rsidR="009C6AF1" w:rsidRPr="004A4C5E" w:rsidRDefault="009C6AF1" w:rsidP="00936874">
            <w:pPr>
              <w:rPr>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2ABC2EE0" w14:textId="77777777" w:rsidR="009C6AF1" w:rsidRPr="004A4C5E" w:rsidRDefault="009C6AF1" w:rsidP="00936874">
            <w:pPr>
              <w:rPr>
                <w:sz w:val="22"/>
                <w:szCs w:val="22"/>
              </w:rPr>
            </w:pPr>
          </w:p>
        </w:tc>
      </w:tr>
      <w:tr w:rsidR="00C91366" w:rsidRPr="004A4C5E" w14:paraId="1CEE1B32" w14:textId="77777777" w:rsidTr="00DE5A3E">
        <w:trPr>
          <w:cantSplit/>
          <w:trHeight w:val="149"/>
        </w:trPr>
        <w:tc>
          <w:tcPr>
            <w:tcW w:w="1361" w:type="dxa"/>
            <w:tcBorders>
              <w:top w:val="single" w:sz="4" w:space="0" w:color="auto"/>
              <w:left w:val="single" w:sz="4" w:space="0" w:color="auto"/>
              <w:bottom w:val="single" w:sz="4" w:space="0" w:color="auto"/>
              <w:right w:val="single" w:sz="4" w:space="0" w:color="auto"/>
            </w:tcBorders>
          </w:tcPr>
          <w:p w14:paraId="2B1CFD14" w14:textId="08F352BB" w:rsidR="009C6AF1" w:rsidRPr="004A4C5E" w:rsidRDefault="009467A6" w:rsidP="00936874">
            <w:pPr>
              <w:rPr>
                <w:sz w:val="22"/>
                <w:szCs w:val="22"/>
              </w:rPr>
            </w:pPr>
            <w:r w:rsidRPr="004A4C5E">
              <w:rPr>
                <w:b/>
                <w:sz w:val="22"/>
                <w:szCs w:val="22"/>
              </w:rPr>
              <w:t>Poruchy srdca</w:t>
            </w:r>
            <w:r w:rsidR="00731C93">
              <w:rPr>
                <w:b/>
                <w:sz w:val="22"/>
                <w:szCs w:val="22"/>
              </w:rPr>
              <w:t xml:space="preserve"> a </w:t>
            </w:r>
            <w:r w:rsidRPr="004A4C5E">
              <w:rPr>
                <w:b/>
                <w:sz w:val="22"/>
                <w:szCs w:val="22"/>
              </w:rPr>
              <w:t>srdcovej činnosti</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1225B3F2" w14:textId="77777777" w:rsidR="009C6AF1" w:rsidRPr="004A4C5E" w:rsidRDefault="009C6AF1" w:rsidP="00936874">
            <w:pPr>
              <w:rPr>
                <w:sz w:val="22"/>
                <w:szCs w:val="22"/>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14:paraId="4B750FEC" w14:textId="77777777" w:rsidR="009C6AF1" w:rsidRPr="004A4C5E" w:rsidRDefault="003A31B2" w:rsidP="00E4745F">
            <w:pPr>
              <w:rPr>
                <w:sz w:val="22"/>
                <w:szCs w:val="22"/>
              </w:rPr>
            </w:pPr>
            <w:r w:rsidRPr="004A4C5E">
              <w:rPr>
                <w:bCs/>
                <w:sz w:val="22"/>
                <w:szCs w:val="22"/>
              </w:rPr>
              <w:t>infarkt myokardu</w:t>
            </w:r>
            <w:r w:rsidR="009C6AF1" w:rsidRPr="004A4C5E">
              <w:rPr>
                <w:sz w:val="22"/>
                <w:szCs w:val="22"/>
                <w:vertAlign w:val="superscript"/>
              </w:rPr>
              <w:t>1</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64F0B5BC" w14:textId="77777777" w:rsidR="009C6AF1" w:rsidRPr="004A4C5E" w:rsidRDefault="003A31B2" w:rsidP="00E4745F">
            <w:pPr>
              <w:rPr>
                <w:sz w:val="22"/>
                <w:szCs w:val="22"/>
              </w:rPr>
            </w:pPr>
            <w:r w:rsidRPr="004A4C5E">
              <w:rPr>
                <w:bCs/>
                <w:sz w:val="22"/>
                <w:szCs w:val="22"/>
              </w:rPr>
              <w:t>srdcové zlyhávanie</w:t>
            </w:r>
            <w:r w:rsidR="009C6AF1" w:rsidRPr="004A4C5E">
              <w:rPr>
                <w:bCs/>
                <w:sz w:val="22"/>
                <w:szCs w:val="22"/>
              </w:rPr>
              <w:t xml:space="preserve">, </w:t>
            </w:r>
            <w:r w:rsidRPr="004A4C5E">
              <w:rPr>
                <w:bCs/>
                <w:sz w:val="22"/>
                <w:szCs w:val="22"/>
              </w:rPr>
              <w:t>palpitácie</w:t>
            </w:r>
            <w:r w:rsidR="009C6AF1" w:rsidRPr="004A4C5E">
              <w:rPr>
                <w:bCs/>
                <w:sz w:val="22"/>
                <w:szCs w:val="22"/>
              </w:rPr>
              <w:t xml:space="preserve">, </w:t>
            </w:r>
            <w:r w:rsidRPr="004A4C5E">
              <w:rPr>
                <w:bCs/>
                <w:sz w:val="22"/>
                <w:szCs w:val="22"/>
              </w:rPr>
              <w:t>tachyk</w:t>
            </w:r>
            <w:r w:rsidR="009C6AF1" w:rsidRPr="004A4C5E">
              <w:rPr>
                <w:bCs/>
                <w:sz w:val="22"/>
                <w:szCs w:val="22"/>
              </w:rPr>
              <w:t>ardia</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0178E7CF" w14:textId="77777777" w:rsidR="009C6AF1" w:rsidRPr="004A4C5E" w:rsidRDefault="003A31B2" w:rsidP="00E4745F">
            <w:pPr>
              <w:rPr>
                <w:sz w:val="22"/>
                <w:szCs w:val="22"/>
              </w:rPr>
            </w:pPr>
            <w:r w:rsidRPr="004A4C5E">
              <w:rPr>
                <w:bCs/>
                <w:sz w:val="22"/>
                <w:szCs w:val="22"/>
              </w:rPr>
              <w:t>aryt</w:t>
            </w:r>
            <w:r w:rsidR="009C6AF1" w:rsidRPr="004A4C5E">
              <w:rPr>
                <w:bCs/>
                <w:sz w:val="22"/>
                <w:szCs w:val="22"/>
              </w:rPr>
              <w:t>mia</w:t>
            </w:r>
            <w:r w:rsidR="009C6AF1" w:rsidRPr="004A4C5E">
              <w:rPr>
                <w:bCs/>
                <w:sz w:val="22"/>
                <w:szCs w:val="22"/>
                <w:vertAlign w:val="superscript"/>
              </w:rPr>
              <w:t>4</w:t>
            </w:r>
          </w:p>
        </w:tc>
        <w:tc>
          <w:tcPr>
            <w:tcW w:w="1361" w:type="dxa"/>
            <w:tcBorders>
              <w:top w:val="single" w:sz="4" w:space="0" w:color="auto"/>
              <w:left w:val="single" w:sz="4" w:space="0" w:color="auto"/>
              <w:bottom w:val="single" w:sz="4" w:space="0" w:color="auto"/>
              <w:right w:val="single" w:sz="4" w:space="0" w:color="auto"/>
            </w:tcBorders>
          </w:tcPr>
          <w:p w14:paraId="1661A301" w14:textId="77777777" w:rsidR="009C6AF1" w:rsidRPr="004A4C5E" w:rsidRDefault="009C6AF1" w:rsidP="00936874">
            <w:pPr>
              <w:rPr>
                <w:bCs/>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3AB716AF" w14:textId="77777777" w:rsidR="009C6AF1" w:rsidRPr="004A4C5E" w:rsidRDefault="009C6AF1" w:rsidP="00936874">
            <w:pPr>
              <w:rPr>
                <w:sz w:val="22"/>
                <w:szCs w:val="22"/>
              </w:rPr>
            </w:pPr>
          </w:p>
        </w:tc>
      </w:tr>
      <w:tr w:rsidR="00C91366" w:rsidRPr="004A4C5E" w14:paraId="1ECF230B" w14:textId="77777777" w:rsidTr="00DE5A3E">
        <w:trPr>
          <w:cantSplit/>
          <w:trHeight w:val="149"/>
        </w:trPr>
        <w:tc>
          <w:tcPr>
            <w:tcW w:w="1361" w:type="dxa"/>
            <w:tcBorders>
              <w:top w:val="single" w:sz="4" w:space="0" w:color="auto"/>
              <w:left w:val="single" w:sz="4" w:space="0" w:color="auto"/>
              <w:bottom w:val="single" w:sz="4" w:space="0" w:color="auto"/>
              <w:right w:val="single" w:sz="4" w:space="0" w:color="auto"/>
            </w:tcBorders>
          </w:tcPr>
          <w:p w14:paraId="75960043" w14:textId="77777777" w:rsidR="009C6AF1" w:rsidRPr="00DE5A3E" w:rsidRDefault="009467A6" w:rsidP="00DE5A3E">
            <w:pPr>
              <w:rPr>
                <w:sz w:val="22"/>
              </w:rPr>
            </w:pPr>
            <w:r w:rsidRPr="004A4C5E">
              <w:rPr>
                <w:b/>
                <w:sz w:val="22"/>
                <w:szCs w:val="22"/>
              </w:rPr>
              <w:t>Poruchy ciev</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169505E6" w14:textId="7A38EFB7" w:rsidR="009C6AF1" w:rsidRPr="004A4C5E" w:rsidRDefault="001F36EC" w:rsidP="00936874">
            <w:pPr>
              <w:rPr>
                <w:sz w:val="22"/>
                <w:szCs w:val="22"/>
              </w:rPr>
            </w:pPr>
            <w:r>
              <w:rPr>
                <w:bCs/>
                <w:sz w:val="22"/>
                <w:szCs w:val="22"/>
              </w:rPr>
              <w:t>h</w:t>
            </w:r>
            <w:r w:rsidR="003A31B2" w:rsidRPr="004A4C5E">
              <w:rPr>
                <w:bCs/>
                <w:sz w:val="22"/>
                <w:szCs w:val="22"/>
              </w:rPr>
              <w:t>yper</w:t>
            </w:r>
            <w:r>
              <w:rPr>
                <w:bCs/>
                <w:sz w:val="22"/>
                <w:szCs w:val="22"/>
              </w:rPr>
              <w:t>-</w:t>
            </w:r>
            <w:r w:rsidR="003A31B2" w:rsidRPr="004A4C5E">
              <w:rPr>
                <w:bCs/>
                <w:sz w:val="22"/>
                <w:szCs w:val="22"/>
              </w:rPr>
              <w:t>tenzia</w:t>
            </w:r>
            <w:r w:rsidR="009C6AF1" w:rsidRPr="004A4C5E">
              <w:rPr>
                <w:sz w:val="22"/>
                <w:szCs w:val="22"/>
                <w:vertAlign w:val="superscript"/>
              </w:rPr>
              <w:t>1</w:t>
            </w:r>
            <w:r w:rsidR="009C6AF1" w:rsidRPr="004A4C5E">
              <w:rPr>
                <w:sz w:val="22"/>
                <w:szCs w:val="22"/>
              </w:rPr>
              <w:t xml:space="preserve"> (</w:t>
            </w:r>
            <w:r w:rsidR="003A31B2" w:rsidRPr="004A4C5E">
              <w:rPr>
                <w:sz w:val="22"/>
                <w:szCs w:val="22"/>
              </w:rPr>
              <w:t>vrátane zhoršenia hyper</w:t>
            </w:r>
            <w:r>
              <w:rPr>
                <w:sz w:val="22"/>
                <w:szCs w:val="22"/>
              </w:rPr>
              <w:t>-</w:t>
            </w:r>
            <w:r w:rsidR="003A31B2" w:rsidRPr="004A4C5E">
              <w:rPr>
                <w:sz w:val="22"/>
                <w:szCs w:val="22"/>
              </w:rPr>
              <w:t>tenzie</w:t>
            </w:r>
            <w:r w:rsidR="009C6AF1" w:rsidRPr="004A4C5E">
              <w:rPr>
                <w:sz w:val="22"/>
                <w:szCs w:val="22"/>
              </w:rPr>
              <w:t>)</w:t>
            </w:r>
          </w:p>
        </w:tc>
        <w:tc>
          <w:tcPr>
            <w:tcW w:w="1565" w:type="dxa"/>
            <w:tcBorders>
              <w:top w:val="single" w:sz="4" w:space="0" w:color="auto"/>
              <w:left w:val="single" w:sz="4" w:space="0" w:color="auto"/>
              <w:bottom w:val="single" w:sz="4" w:space="0" w:color="auto"/>
              <w:right w:val="single" w:sz="4" w:space="0" w:color="auto"/>
            </w:tcBorders>
            <w:shd w:val="clear" w:color="auto" w:fill="auto"/>
          </w:tcPr>
          <w:p w14:paraId="6E101042" w14:textId="77777777" w:rsidR="009C6AF1" w:rsidRPr="004A4C5E" w:rsidRDefault="009C6AF1" w:rsidP="00936874">
            <w:pPr>
              <w:rPr>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794CADA8" w14:textId="77777777" w:rsidR="009C6AF1" w:rsidRPr="004A4C5E" w:rsidRDefault="009C6AF1" w:rsidP="00936874">
            <w:pPr>
              <w:rPr>
                <w:bCs/>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0DAF05A3" w14:textId="77777777" w:rsidR="009C6AF1" w:rsidRPr="004A4C5E" w:rsidRDefault="0038350A" w:rsidP="00E4745F">
            <w:pPr>
              <w:rPr>
                <w:sz w:val="22"/>
                <w:szCs w:val="22"/>
              </w:rPr>
            </w:pPr>
            <w:r w:rsidRPr="004A4C5E">
              <w:rPr>
                <w:iCs/>
                <w:sz w:val="22"/>
                <w:szCs w:val="22"/>
              </w:rPr>
              <w:t>pulmonárna embólia</w:t>
            </w:r>
            <w:r w:rsidR="009C6AF1" w:rsidRPr="004A4C5E">
              <w:rPr>
                <w:iCs/>
                <w:sz w:val="22"/>
                <w:szCs w:val="22"/>
                <w:vertAlign w:val="superscript"/>
              </w:rPr>
              <w:t>4</w:t>
            </w:r>
            <w:r w:rsidR="009C6AF1" w:rsidRPr="004A4C5E">
              <w:rPr>
                <w:iCs/>
                <w:sz w:val="22"/>
                <w:szCs w:val="22"/>
              </w:rPr>
              <w:t xml:space="preserve">, </w:t>
            </w:r>
            <w:r w:rsidR="003A31B2" w:rsidRPr="004A4C5E">
              <w:rPr>
                <w:sz w:val="22"/>
                <w:szCs w:val="22"/>
              </w:rPr>
              <w:t>sčervenanie</w:t>
            </w:r>
            <w:r w:rsidR="009C6AF1" w:rsidRPr="004A4C5E">
              <w:rPr>
                <w:sz w:val="22"/>
                <w:szCs w:val="22"/>
                <w:vertAlign w:val="superscript"/>
              </w:rPr>
              <w:t>4</w:t>
            </w:r>
          </w:p>
        </w:tc>
        <w:tc>
          <w:tcPr>
            <w:tcW w:w="1361" w:type="dxa"/>
            <w:tcBorders>
              <w:top w:val="single" w:sz="4" w:space="0" w:color="auto"/>
              <w:left w:val="single" w:sz="4" w:space="0" w:color="auto"/>
              <w:bottom w:val="single" w:sz="4" w:space="0" w:color="auto"/>
              <w:right w:val="single" w:sz="4" w:space="0" w:color="auto"/>
            </w:tcBorders>
          </w:tcPr>
          <w:p w14:paraId="0E77FE95" w14:textId="77777777" w:rsidR="009C6AF1" w:rsidRPr="004A4C5E" w:rsidRDefault="003A31B2" w:rsidP="00E4745F">
            <w:pPr>
              <w:rPr>
                <w:sz w:val="22"/>
                <w:szCs w:val="22"/>
                <w:vertAlign w:val="superscript"/>
              </w:rPr>
            </w:pPr>
            <w:r w:rsidRPr="004A4C5E">
              <w:rPr>
                <w:iCs/>
                <w:sz w:val="22"/>
                <w:szCs w:val="22"/>
              </w:rPr>
              <w:t>v</w:t>
            </w:r>
            <w:r w:rsidR="009C6AF1" w:rsidRPr="004A4C5E">
              <w:rPr>
                <w:iCs/>
                <w:sz w:val="22"/>
                <w:szCs w:val="22"/>
              </w:rPr>
              <w:t>as</w:t>
            </w:r>
            <w:r w:rsidRPr="004A4C5E">
              <w:rPr>
                <w:iCs/>
                <w:sz w:val="22"/>
                <w:szCs w:val="22"/>
              </w:rPr>
              <w:t>kulitída</w:t>
            </w:r>
            <w:r w:rsidR="009C6AF1" w:rsidRPr="004A4C5E">
              <w:rPr>
                <w:iCs/>
                <w:sz w:val="22"/>
                <w:szCs w:val="22"/>
                <w:vertAlign w:val="superscript"/>
              </w:rPr>
              <w:t>4</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2C6E4EBB" w14:textId="77777777" w:rsidR="009C6AF1" w:rsidRPr="004A4C5E" w:rsidRDefault="009C6AF1" w:rsidP="00936874">
            <w:pPr>
              <w:rPr>
                <w:sz w:val="22"/>
                <w:szCs w:val="22"/>
              </w:rPr>
            </w:pPr>
          </w:p>
        </w:tc>
      </w:tr>
      <w:tr w:rsidR="00C91366" w:rsidRPr="004A4C5E" w14:paraId="04D83C7F" w14:textId="77777777" w:rsidTr="00DE5A3E">
        <w:trPr>
          <w:cantSplit/>
          <w:trHeight w:val="149"/>
        </w:trPr>
        <w:tc>
          <w:tcPr>
            <w:tcW w:w="1361" w:type="dxa"/>
            <w:tcBorders>
              <w:top w:val="single" w:sz="4" w:space="0" w:color="auto"/>
              <w:left w:val="single" w:sz="4" w:space="0" w:color="auto"/>
              <w:bottom w:val="single" w:sz="4" w:space="0" w:color="auto"/>
              <w:right w:val="single" w:sz="4" w:space="0" w:color="auto"/>
            </w:tcBorders>
          </w:tcPr>
          <w:p w14:paraId="0B801EF0" w14:textId="1349F4F4" w:rsidR="009C6AF1" w:rsidRPr="00DE5A3E" w:rsidRDefault="009467A6" w:rsidP="00DE5A3E">
            <w:pPr>
              <w:rPr>
                <w:sz w:val="22"/>
              </w:rPr>
            </w:pPr>
            <w:r w:rsidRPr="004A4C5E">
              <w:rPr>
                <w:b/>
                <w:sz w:val="22"/>
                <w:szCs w:val="22"/>
              </w:rPr>
              <w:t>Poruchy dýchacej sústavy, hrudníka a</w:t>
            </w:r>
            <w:r w:rsidR="001F36EC">
              <w:rPr>
                <w:b/>
                <w:sz w:val="22"/>
                <w:szCs w:val="22"/>
              </w:rPr>
              <w:t> </w:t>
            </w:r>
            <w:r w:rsidRPr="004A4C5E">
              <w:rPr>
                <w:b/>
                <w:sz w:val="22"/>
                <w:szCs w:val="22"/>
              </w:rPr>
              <w:t>mediastína</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4D2F8AAB" w14:textId="77777777" w:rsidR="009C6AF1" w:rsidRPr="004A4C5E" w:rsidRDefault="009C6AF1" w:rsidP="00936874">
            <w:pPr>
              <w:rPr>
                <w:sz w:val="22"/>
                <w:szCs w:val="22"/>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14:paraId="33E7A5C7" w14:textId="77777777" w:rsidR="009C6AF1" w:rsidRPr="004A4C5E" w:rsidRDefault="0038350A" w:rsidP="00E4745F">
            <w:pPr>
              <w:rPr>
                <w:sz w:val="22"/>
                <w:szCs w:val="22"/>
              </w:rPr>
            </w:pPr>
            <w:r w:rsidRPr="004A4C5E">
              <w:rPr>
                <w:sz w:val="22"/>
                <w:szCs w:val="22"/>
              </w:rPr>
              <w:t>rinitída</w:t>
            </w:r>
            <w:r w:rsidR="009C6AF1" w:rsidRPr="004A4C5E">
              <w:rPr>
                <w:sz w:val="22"/>
                <w:szCs w:val="22"/>
              </w:rPr>
              <w:t xml:space="preserve">, </w:t>
            </w:r>
            <w:r w:rsidRPr="004A4C5E">
              <w:rPr>
                <w:sz w:val="22"/>
                <w:szCs w:val="22"/>
              </w:rPr>
              <w:t>kašeľ</w:t>
            </w:r>
            <w:r w:rsidR="009C6AF1" w:rsidRPr="004A4C5E">
              <w:rPr>
                <w:sz w:val="22"/>
                <w:szCs w:val="22"/>
              </w:rPr>
              <w:t xml:space="preserve">, </w:t>
            </w:r>
            <w:r w:rsidR="009C6AF1" w:rsidRPr="004A4C5E">
              <w:rPr>
                <w:bCs/>
                <w:sz w:val="22"/>
                <w:szCs w:val="22"/>
              </w:rPr>
              <w:t>dyspno</w:t>
            </w:r>
            <w:r w:rsidRPr="004A4C5E">
              <w:rPr>
                <w:bCs/>
                <w:sz w:val="22"/>
                <w:szCs w:val="22"/>
              </w:rPr>
              <w:t>e</w:t>
            </w:r>
            <w:r w:rsidR="009C6AF1" w:rsidRPr="004A4C5E">
              <w:rPr>
                <w:sz w:val="22"/>
                <w:szCs w:val="22"/>
                <w:vertAlign w:val="superscript"/>
              </w:rPr>
              <w:t>1</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58CF8D19" w14:textId="50230044" w:rsidR="009C6AF1" w:rsidRPr="004A4C5E" w:rsidRDefault="001F36EC" w:rsidP="00936874">
            <w:pPr>
              <w:rPr>
                <w:sz w:val="22"/>
                <w:szCs w:val="22"/>
                <w:vertAlign w:val="superscript"/>
              </w:rPr>
            </w:pPr>
            <w:r w:rsidRPr="004A4C5E">
              <w:rPr>
                <w:sz w:val="22"/>
                <w:szCs w:val="22"/>
              </w:rPr>
              <w:t>B</w:t>
            </w:r>
            <w:r w:rsidR="0038350A" w:rsidRPr="004A4C5E">
              <w:rPr>
                <w:sz w:val="22"/>
                <w:szCs w:val="22"/>
              </w:rPr>
              <w:t>roncho</w:t>
            </w:r>
            <w:r>
              <w:rPr>
                <w:sz w:val="22"/>
                <w:szCs w:val="22"/>
              </w:rPr>
              <w:t>-</w:t>
            </w:r>
            <w:r w:rsidR="0038350A" w:rsidRPr="004A4C5E">
              <w:rPr>
                <w:sz w:val="22"/>
                <w:szCs w:val="22"/>
              </w:rPr>
              <w:t>spazmus</w:t>
            </w:r>
            <w:r w:rsidR="009C6AF1" w:rsidRPr="004A4C5E">
              <w:rPr>
                <w:sz w:val="22"/>
                <w:szCs w:val="22"/>
                <w:vertAlign w:val="superscript"/>
              </w:rPr>
              <w:t>4</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2D64CEB3" w14:textId="014C7E93" w:rsidR="009C6AF1" w:rsidRPr="004A4C5E" w:rsidRDefault="001F36EC" w:rsidP="00936874">
            <w:pPr>
              <w:rPr>
                <w:sz w:val="22"/>
                <w:szCs w:val="22"/>
              </w:rPr>
            </w:pPr>
            <w:r w:rsidRPr="004A4C5E">
              <w:rPr>
                <w:sz w:val="22"/>
                <w:szCs w:val="22"/>
              </w:rPr>
              <w:t>P</w:t>
            </w:r>
            <w:r w:rsidR="0038350A" w:rsidRPr="004A4C5E">
              <w:rPr>
                <w:sz w:val="22"/>
                <w:szCs w:val="22"/>
              </w:rPr>
              <w:t>neumotití</w:t>
            </w:r>
            <w:r>
              <w:rPr>
                <w:sz w:val="22"/>
                <w:szCs w:val="22"/>
              </w:rPr>
              <w:t>-</w:t>
            </w:r>
            <w:r w:rsidR="0038350A" w:rsidRPr="004A4C5E">
              <w:rPr>
                <w:sz w:val="22"/>
                <w:szCs w:val="22"/>
              </w:rPr>
              <w:t>da</w:t>
            </w:r>
            <w:r w:rsidR="009C6AF1" w:rsidRPr="004A4C5E">
              <w:rPr>
                <w:sz w:val="22"/>
                <w:szCs w:val="22"/>
                <w:vertAlign w:val="superscript"/>
              </w:rPr>
              <w:t>4</w:t>
            </w:r>
          </w:p>
        </w:tc>
        <w:tc>
          <w:tcPr>
            <w:tcW w:w="1361" w:type="dxa"/>
            <w:tcBorders>
              <w:top w:val="single" w:sz="4" w:space="0" w:color="auto"/>
              <w:left w:val="single" w:sz="4" w:space="0" w:color="auto"/>
              <w:bottom w:val="single" w:sz="4" w:space="0" w:color="auto"/>
              <w:right w:val="single" w:sz="4" w:space="0" w:color="auto"/>
            </w:tcBorders>
          </w:tcPr>
          <w:p w14:paraId="0F5A81F8" w14:textId="77777777" w:rsidR="009C6AF1" w:rsidRPr="004A4C5E" w:rsidRDefault="009C6AF1" w:rsidP="00936874">
            <w:pPr>
              <w:rPr>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1E38D1E0" w14:textId="77777777" w:rsidR="009C6AF1" w:rsidRPr="004A4C5E" w:rsidRDefault="009C6AF1" w:rsidP="00936874">
            <w:pPr>
              <w:rPr>
                <w:sz w:val="22"/>
                <w:szCs w:val="22"/>
              </w:rPr>
            </w:pPr>
          </w:p>
        </w:tc>
      </w:tr>
      <w:tr w:rsidR="00C91366" w:rsidRPr="004A4C5E" w14:paraId="716828DE" w14:textId="77777777" w:rsidTr="00DE5A3E">
        <w:trPr>
          <w:cantSplit/>
          <w:trHeight w:val="149"/>
        </w:trPr>
        <w:tc>
          <w:tcPr>
            <w:tcW w:w="1361" w:type="dxa"/>
            <w:tcBorders>
              <w:top w:val="single" w:sz="4" w:space="0" w:color="auto"/>
              <w:left w:val="single" w:sz="4" w:space="0" w:color="auto"/>
              <w:bottom w:val="single" w:sz="4" w:space="0" w:color="auto"/>
              <w:right w:val="single" w:sz="4" w:space="0" w:color="auto"/>
            </w:tcBorders>
          </w:tcPr>
          <w:p w14:paraId="76957780" w14:textId="1746F7A1" w:rsidR="009C6AF1" w:rsidRPr="00DE5A3E" w:rsidRDefault="009467A6" w:rsidP="00DE5A3E">
            <w:pPr>
              <w:rPr>
                <w:sz w:val="22"/>
              </w:rPr>
            </w:pPr>
            <w:r w:rsidRPr="004A4C5E">
              <w:rPr>
                <w:b/>
                <w:sz w:val="22"/>
                <w:szCs w:val="22"/>
              </w:rPr>
              <w:lastRenderedPageBreak/>
              <w:t>Poruchy gastrointe</w:t>
            </w:r>
            <w:r w:rsidR="001C40FF">
              <w:rPr>
                <w:b/>
                <w:sz w:val="22"/>
                <w:szCs w:val="22"/>
              </w:rPr>
              <w:t>-</w:t>
            </w:r>
            <w:r w:rsidRPr="004A4C5E">
              <w:rPr>
                <w:b/>
                <w:sz w:val="22"/>
                <w:szCs w:val="22"/>
              </w:rPr>
              <w:t>stinálneho traktu</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5F165F83" w14:textId="77777777" w:rsidR="009C6AF1" w:rsidRPr="004A4C5E" w:rsidRDefault="009C6AF1" w:rsidP="00936874">
            <w:pPr>
              <w:rPr>
                <w:sz w:val="22"/>
                <w:szCs w:val="22"/>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14:paraId="785B01B9" w14:textId="77777777" w:rsidR="009C6AF1" w:rsidRPr="004A4C5E" w:rsidRDefault="005A1DC3" w:rsidP="00E4745F">
            <w:pPr>
              <w:rPr>
                <w:sz w:val="22"/>
                <w:szCs w:val="22"/>
              </w:rPr>
            </w:pPr>
            <w:r w:rsidRPr="004A4C5E">
              <w:rPr>
                <w:bCs/>
                <w:sz w:val="22"/>
                <w:szCs w:val="22"/>
              </w:rPr>
              <w:t>nevoľnosť</w:t>
            </w:r>
            <w:r w:rsidR="009C6AF1" w:rsidRPr="004A4C5E">
              <w:rPr>
                <w:bCs/>
                <w:sz w:val="22"/>
                <w:szCs w:val="22"/>
                <w:vertAlign w:val="superscript"/>
              </w:rPr>
              <w:t>4</w:t>
            </w:r>
            <w:r w:rsidR="009C6AF1" w:rsidRPr="004A4C5E">
              <w:rPr>
                <w:bCs/>
                <w:sz w:val="22"/>
                <w:szCs w:val="22"/>
              </w:rPr>
              <w:t xml:space="preserve">, </w:t>
            </w:r>
            <w:r w:rsidRPr="004A4C5E">
              <w:rPr>
                <w:bCs/>
                <w:sz w:val="22"/>
                <w:szCs w:val="22"/>
              </w:rPr>
              <w:t>bolesť brucha</w:t>
            </w:r>
            <w:r w:rsidR="009C6AF1" w:rsidRPr="004A4C5E">
              <w:rPr>
                <w:bCs/>
                <w:sz w:val="22"/>
                <w:szCs w:val="22"/>
              </w:rPr>
              <w:t xml:space="preserve">, </w:t>
            </w:r>
            <w:r w:rsidRPr="004A4C5E">
              <w:rPr>
                <w:bCs/>
                <w:sz w:val="22"/>
                <w:szCs w:val="22"/>
              </w:rPr>
              <w:t>hnačka</w:t>
            </w:r>
            <w:r w:rsidR="009C6AF1" w:rsidRPr="004A4C5E">
              <w:rPr>
                <w:bCs/>
                <w:sz w:val="22"/>
                <w:szCs w:val="22"/>
              </w:rPr>
              <w:t>, dyspe</w:t>
            </w:r>
            <w:r w:rsidRPr="004A4C5E">
              <w:rPr>
                <w:bCs/>
                <w:sz w:val="22"/>
                <w:szCs w:val="22"/>
              </w:rPr>
              <w:t>psia</w:t>
            </w:r>
            <w:r w:rsidR="00D35B02" w:rsidRPr="004A4C5E">
              <w:rPr>
                <w:bCs/>
                <w:sz w:val="22"/>
                <w:szCs w:val="22"/>
              </w:rPr>
              <w:t>, nadúvanie, vracanie</w:t>
            </w:r>
            <w:r w:rsidR="009C6AF1" w:rsidRPr="004A4C5E">
              <w:rPr>
                <w:sz w:val="22"/>
                <w:szCs w:val="22"/>
                <w:vertAlign w:val="superscript"/>
              </w:rPr>
              <w:t>1</w:t>
            </w:r>
            <w:r w:rsidR="009C6AF1" w:rsidRPr="004A4C5E">
              <w:rPr>
                <w:sz w:val="22"/>
                <w:szCs w:val="22"/>
              </w:rPr>
              <w:t>,</w:t>
            </w:r>
            <w:r w:rsidR="009C6AF1" w:rsidRPr="004A4C5E">
              <w:rPr>
                <w:sz w:val="22"/>
                <w:szCs w:val="22"/>
                <w:vertAlign w:val="superscript"/>
              </w:rPr>
              <w:t xml:space="preserve"> </w:t>
            </w:r>
            <w:r w:rsidR="00D35B02" w:rsidRPr="004A4C5E">
              <w:rPr>
                <w:bCs/>
                <w:sz w:val="22"/>
                <w:szCs w:val="22"/>
              </w:rPr>
              <w:t>dysfágia</w:t>
            </w:r>
            <w:r w:rsidR="009C6AF1" w:rsidRPr="004A4C5E">
              <w:rPr>
                <w:sz w:val="22"/>
                <w:szCs w:val="22"/>
                <w:vertAlign w:val="superscript"/>
              </w:rPr>
              <w:t>1</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565E0DF1" w14:textId="77777777" w:rsidR="009C6AF1" w:rsidRPr="004A4C5E" w:rsidRDefault="00D35B02" w:rsidP="00E4745F">
            <w:pPr>
              <w:rPr>
                <w:sz w:val="22"/>
                <w:szCs w:val="22"/>
              </w:rPr>
            </w:pPr>
            <w:r w:rsidRPr="004A4C5E">
              <w:rPr>
                <w:bCs/>
                <w:sz w:val="22"/>
                <w:szCs w:val="22"/>
              </w:rPr>
              <w:t>zápcha</w:t>
            </w:r>
            <w:r w:rsidR="009C6AF1" w:rsidRPr="004A4C5E">
              <w:rPr>
                <w:bCs/>
                <w:sz w:val="22"/>
                <w:szCs w:val="22"/>
              </w:rPr>
              <w:t>, gastrit</w:t>
            </w:r>
            <w:r w:rsidRPr="004A4C5E">
              <w:rPr>
                <w:bCs/>
                <w:sz w:val="22"/>
                <w:szCs w:val="22"/>
              </w:rPr>
              <w:t>ída</w:t>
            </w:r>
            <w:r w:rsidR="009C6AF1" w:rsidRPr="004A4C5E">
              <w:rPr>
                <w:bCs/>
                <w:sz w:val="22"/>
                <w:szCs w:val="22"/>
              </w:rPr>
              <w:t>, stomatit</w:t>
            </w:r>
            <w:r w:rsidRPr="004A4C5E">
              <w:rPr>
                <w:bCs/>
                <w:sz w:val="22"/>
                <w:szCs w:val="22"/>
              </w:rPr>
              <w:t>ída</w:t>
            </w:r>
            <w:r w:rsidR="009C6AF1" w:rsidRPr="004A4C5E">
              <w:rPr>
                <w:bCs/>
                <w:sz w:val="22"/>
                <w:szCs w:val="22"/>
              </w:rPr>
              <w:t xml:space="preserve">, </w:t>
            </w:r>
            <w:r w:rsidR="00A11E7D" w:rsidRPr="004A4C5E">
              <w:rPr>
                <w:bCs/>
                <w:sz w:val="22"/>
                <w:szCs w:val="22"/>
              </w:rPr>
              <w:t>zápal gastrointe</w:t>
            </w:r>
            <w:r w:rsidR="001C40FF">
              <w:rPr>
                <w:bCs/>
                <w:sz w:val="22"/>
                <w:szCs w:val="22"/>
              </w:rPr>
              <w:t>-</w:t>
            </w:r>
            <w:r w:rsidR="00A11E7D" w:rsidRPr="004A4C5E">
              <w:rPr>
                <w:bCs/>
                <w:sz w:val="22"/>
                <w:szCs w:val="22"/>
              </w:rPr>
              <w:t>stinálneho traktu</w:t>
            </w:r>
            <w:r w:rsidR="009C6AF1" w:rsidRPr="004A4C5E">
              <w:rPr>
                <w:bCs/>
                <w:sz w:val="22"/>
                <w:szCs w:val="22"/>
              </w:rPr>
              <w:t xml:space="preserve"> (</w:t>
            </w:r>
            <w:r w:rsidR="00A11E7D" w:rsidRPr="004A4C5E">
              <w:rPr>
                <w:bCs/>
                <w:sz w:val="22"/>
                <w:szCs w:val="22"/>
              </w:rPr>
              <w:t>vrátane zhoršenia existujúceho gastrointe</w:t>
            </w:r>
            <w:r w:rsidR="001C40FF">
              <w:rPr>
                <w:bCs/>
                <w:sz w:val="22"/>
                <w:szCs w:val="22"/>
              </w:rPr>
              <w:t>-</w:t>
            </w:r>
            <w:r w:rsidR="00A11E7D" w:rsidRPr="004A4C5E">
              <w:rPr>
                <w:bCs/>
                <w:sz w:val="22"/>
                <w:szCs w:val="22"/>
              </w:rPr>
              <w:t>stinálneho zápalu</w:t>
            </w:r>
            <w:r w:rsidR="009C6AF1" w:rsidRPr="004A4C5E">
              <w:rPr>
                <w:bCs/>
                <w:sz w:val="22"/>
                <w:szCs w:val="22"/>
              </w:rPr>
              <w:t>),</w:t>
            </w:r>
            <w:r w:rsidR="001C40FF">
              <w:rPr>
                <w:bCs/>
                <w:sz w:val="22"/>
                <w:szCs w:val="22"/>
              </w:rPr>
              <w:t xml:space="preserve"> </w:t>
            </w:r>
            <w:r w:rsidR="00A11E7D" w:rsidRPr="004A4C5E">
              <w:rPr>
                <w:bCs/>
                <w:sz w:val="22"/>
                <w:szCs w:val="22"/>
              </w:rPr>
              <w:t>grganie</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7149BA94" w14:textId="676A0692" w:rsidR="009C6AF1" w:rsidRPr="004A4C5E" w:rsidRDefault="00B50D11" w:rsidP="007D228F">
            <w:pPr>
              <w:rPr>
                <w:bCs/>
                <w:sz w:val="22"/>
                <w:szCs w:val="22"/>
              </w:rPr>
            </w:pPr>
            <w:r>
              <w:rPr>
                <w:sz w:val="22"/>
                <w:szCs w:val="22"/>
              </w:rPr>
              <w:t>g</w:t>
            </w:r>
            <w:r w:rsidR="00D35B02" w:rsidRPr="004A4C5E">
              <w:rPr>
                <w:sz w:val="22"/>
                <w:szCs w:val="22"/>
              </w:rPr>
              <w:t>astrointe</w:t>
            </w:r>
            <w:r w:rsidR="001C40FF">
              <w:rPr>
                <w:sz w:val="22"/>
                <w:szCs w:val="22"/>
              </w:rPr>
              <w:t>-</w:t>
            </w:r>
            <w:r w:rsidR="00D35B02" w:rsidRPr="004A4C5E">
              <w:rPr>
                <w:sz w:val="22"/>
                <w:szCs w:val="22"/>
              </w:rPr>
              <w:t>stinálne krvácanie</w:t>
            </w:r>
            <w:r w:rsidR="009C6AF1" w:rsidRPr="004A4C5E">
              <w:rPr>
                <w:sz w:val="22"/>
                <w:szCs w:val="22"/>
                <w:vertAlign w:val="superscript"/>
              </w:rPr>
              <w:t>4</w:t>
            </w:r>
            <w:r w:rsidR="009C6AF1" w:rsidRPr="004A4C5E">
              <w:rPr>
                <w:sz w:val="22"/>
                <w:szCs w:val="22"/>
              </w:rPr>
              <w:t>,</w:t>
            </w:r>
            <w:r w:rsidR="009C6AF1" w:rsidRPr="004A4C5E">
              <w:rPr>
                <w:bCs/>
                <w:sz w:val="22"/>
                <w:szCs w:val="22"/>
              </w:rPr>
              <w:t xml:space="preserve"> </w:t>
            </w:r>
            <w:r w:rsidR="003474EE" w:rsidRPr="004A4C5E">
              <w:rPr>
                <w:bCs/>
                <w:sz w:val="22"/>
                <w:szCs w:val="22"/>
              </w:rPr>
              <w:t>dvanástnikový vred</w:t>
            </w:r>
            <w:r w:rsidR="009C6AF1" w:rsidRPr="004A4C5E">
              <w:rPr>
                <w:bCs/>
                <w:sz w:val="22"/>
                <w:szCs w:val="22"/>
              </w:rPr>
              <w:t xml:space="preserve">, </w:t>
            </w:r>
            <w:r w:rsidR="003474EE" w:rsidRPr="004A4C5E">
              <w:rPr>
                <w:bCs/>
                <w:sz w:val="22"/>
                <w:szCs w:val="22"/>
              </w:rPr>
              <w:t>žalúdočný vred</w:t>
            </w:r>
            <w:r w:rsidR="009C6AF1" w:rsidRPr="004A4C5E">
              <w:rPr>
                <w:bCs/>
                <w:sz w:val="22"/>
                <w:szCs w:val="22"/>
              </w:rPr>
              <w:t xml:space="preserve">, </w:t>
            </w:r>
            <w:r w:rsidR="003474EE" w:rsidRPr="004A4C5E">
              <w:rPr>
                <w:bCs/>
                <w:sz w:val="22"/>
                <w:szCs w:val="22"/>
              </w:rPr>
              <w:t>vred</w:t>
            </w:r>
            <w:r>
              <w:rPr>
                <w:bCs/>
                <w:sz w:val="22"/>
                <w:szCs w:val="22"/>
              </w:rPr>
              <w:t xml:space="preserve"> </w:t>
            </w:r>
            <w:r w:rsidRPr="004A4C5E">
              <w:rPr>
                <w:bCs/>
                <w:sz w:val="22"/>
                <w:szCs w:val="22"/>
              </w:rPr>
              <w:t>pažerák</w:t>
            </w:r>
            <w:r>
              <w:rPr>
                <w:bCs/>
                <w:sz w:val="22"/>
                <w:szCs w:val="22"/>
              </w:rPr>
              <w:t>a</w:t>
            </w:r>
            <w:r w:rsidR="009C6AF1" w:rsidRPr="004A4C5E">
              <w:rPr>
                <w:bCs/>
                <w:sz w:val="22"/>
                <w:szCs w:val="22"/>
              </w:rPr>
              <w:t xml:space="preserve">, </w:t>
            </w:r>
            <w:r w:rsidR="003474EE" w:rsidRPr="004A4C5E">
              <w:rPr>
                <w:bCs/>
                <w:sz w:val="22"/>
                <w:szCs w:val="22"/>
              </w:rPr>
              <w:t>intestinálny vred</w:t>
            </w:r>
            <w:r w:rsidR="009C6AF1" w:rsidRPr="004A4C5E">
              <w:rPr>
                <w:bCs/>
                <w:sz w:val="22"/>
                <w:szCs w:val="22"/>
              </w:rPr>
              <w:t>,</w:t>
            </w:r>
            <w:r w:rsidR="00A11E7D" w:rsidRPr="004A4C5E">
              <w:rPr>
                <w:bCs/>
                <w:sz w:val="22"/>
                <w:szCs w:val="22"/>
              </w:rPr>
              <w:t xml:space="preserve"> </w:t>
            </w:r>
            <w:r w:rsidR="003474EE" w:rsidRPr="004A4C5E">
              <w:rPr>
                <w:bCs/>
                <w:sz w:val="22"/>
                <w:szCs w:val="22"/>
              </w:rPr>
              <w:t>vred</w:t>
            </w:r>
            <w:r w:rsidR="007D228F">
              <w:rPr>
                <w:bCs/>
                <w:sz w:val="22"/>
                <w:szCs w:val="22"/>
              </w:rPr>
              <w:t xml:space="preserve"> hrubého čreva</w:t>
            </w:r>
            <w:r w:rsidR="009C6AF1" w:rsidRPr="004A4C5E">
              <w:rPr>
                <w:bCs/>
                <w:sz w:val="22"/>
                <w:szCs w:val="22"/>
              </w:rPr>
              <w:t xml:space="preserve">, </w:t>
            </w:r>
            <w:r w:rsidR="003474EE" w:rsidRPr="004A4C5E">
              <w:rPr>
                <w:bCs/>
                <w:sz w:val="22"/>
                <w:szCs w:val="22"/>
              </w:rPr>
              <w:t>intestinálna perforácia</w:t>
            </w:r>
            <w:r w:rsidR="009C6AF1" w:rsidRPr="004A4C5E">
              <w:rPr>
                <w:bCs/>
                <w:sz w:val="22"/>
                <w:szCs w:val="22"/>
              </w:rPr>
              <w:t xml:space="preserve">, </w:t>
            </w:r>
            <w:r w:rsidR="003474EE" w:rsidRPr="004A4C5E">
              <w:rPr>
                <w:bCs/>
                <w:sz w:val="22"/>
                <w:szCs w:val="22"/>
              </w:rPr>
              <w:t>ezofagitída, meléna</w:t>
            </w:r>
            <w:r w:rsidR="009C6AF1" w:rsidRPr="004A4C5E">
              <w:rPr>
                <w:bCs/>
                <w:sz w:val="22"/>
                <w:szCs w:val="22"/>
              </w:rPr>
              <w:t>, p</w:t>
            </w:r>
            <w:r w:rsidR="003474EE" w:rsidRPr="004A4C5E">
              <w:rPr>
                <w:bCs/>
                <w:sz w:val="22"/>
                <w:szCs w:val="22"/>
              </w:rPr>
              <w:t>ankreati</w:t>
            </w:r>
            <w:r w:rsidR="001F36EC">
              <w:rPr>
                <w:bCs/>
                <w:sz w:val="22"/>
                <w:szCs w:val="22"/>
              </w:rPr>
              <w:t>-</w:t>
            </w:r>
            <w:r w:rsidR="003474EE" w:rsidRPr="004A4C5E">
              <w:rPr>
                <w:bCs/>
                <w:sz w:val="22"/>
                <w:szCs w:val="22"/>
              </w:rPr>
              <w:t>tída</w:t>
            </w:r>
            <w:r w:rsidR="009C6AF1" w:rsidRPr="004A4C5E">
              <w:rPr>
                <w:bCs/>
                <w:sz w:val="22"/>
                <w:szCs w:val="22"/>
              </w:rPr>
              <w:t xml:space="preserve">, </w:t>
            </w:r>
            <w:r w:rsidR="00A11E7D" w:rsidRPr="004A4C5E">
              <w:rPr>
                <w:bCs/>
                <w:sz w:val="22"/>
                <w:szCs w:val="22"/>
              </w:rPr>
              <w:t>kolitída</w:t>
            </w:r>
            <w:r w:rsidR="009C6AF1" w:rsidRPr="004A4C5E">
              <w:rPr>
                <w:bCs/>
                <w:sz w:val="22"/>
                <w:szCs w:val="22"/>
                <w:vertAlign w:val="superscript"/>
              </w:rPr>
              <w:t>4</w:t>
            </w:r>
          </w:p>
        </w:tc>
        <w:tc>
          <w:tcPr>
            <w:tcW w:w="1361" w:type="dxa"/>
            <w:tcBorders>
              <w:top w:val="single" w:sz="4" w:space="0" w:color="auto"/>
              <w:left w:val="single" w:sz="4" w:space="0" w:color="auto"/>
              <w:bottom w:val="single" w:sz="4" w:space="0" w:color="auto"/>
              <w:right w:val="single" w:sz="4" w:space="0" w:color="auto"/>
            </w:tcBorders>
          </w:tcPr>
          <w:p w14:paraId="3487AC6A" w14:textId="77777777" w:rsidR="009C6AF1" w:rsidRPr="004A4C5E" w:rsidRDefault="009C6AF1" w:rsidP="00936874">
            <w:pPr>
              <w:rPr>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53EE20AB" w14:textId="77777777" w:rsidR="009C6AF1" w:rsidRPr="004A4C5E" w:rsidRDefault="009C6AF1" w:rsidP="00936874">
            <w:pPr>
              <w:rPr>
                <w:sz w:val="22"/>
                <w:szCs w:val="22"/>
              </w:rPr>
            </w:pPr>
          </w:p>
        </w:tc>
      </w:tr>
      <w:tr w:rsidR="00C91366" w:rsidRPr="004A4C5E" w14:paraId="6AF351BA" w14:textId="77777777" w:rsidTr="00DE5A3E">
        <w:trPr>
          <w:cantSplit/>
          <w:trHeight w:val="149"/>
        </w:trPr>
        <w:tc>
          <w:tcPr>
            <w:tcW w:w="1361" w:type="dxa"/>
            <w:tcBorders>
              <w:top w:val="single" w:sz="4" w:space="0" w:color="auto"/>
              <w:left w:val="single" w:sz="4" w:space="0" w:color="auto"/>
              <w:bottom w:val="single" w:sz="4" w:space="0" w:color="auto"/>
              <w:right w:val="single" w:sz="4" w:space="0" w:color="auto"/>
            </w:tcBorders>
          </w:tcPr>
          <w:p w14:paraId="43F4CA4E" w14:textId="5D7A3EBD" w:rsidR="009C6AF1" w:rsidRPr="004A4C5E" w:rsidRDefault="009467A6" w:rsidP="00DE5A3E">
            <w:pPr>
              <w:rPr>
                <w:sz w:val="22"/>
                <w:szCs w:val="22"/>
              </w:rPr>
            </w:pPr>
            <w:r w:rsidRPr="004A4C5E">
              <w:rPr>
                <w:b/>
                <w:sz w:val="22"/>
                <w:szCs w:val="22"/>
              </w:rPr>
              <w:t>Poruchy pečene</w:t>
            </w:r>
            <w:r w:rsidR="00731C93">
              <w:rPr>
                <w:b/>
                <w:sz w:val="22"/>
                <w:szCs w:val="22"/>
              </w:rPr>
              <w:t xml:space="preserve"> a </w:t>
            </w:r>
            <w:r w:rsidRPr="004A4C5E">
              <w:rPr>
                <w:b/>
                <w:sz w:val="22"/>
                <w:szCs w:val="22"/>
              </w:rPr>
              <w:t>žlčových ciest</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2101DD57" w14:textId="77777777" w:rsidR="009C6AF1" w:rsidRPr="004A4C5E" w:rsidRDefault="009C6AF1" w:rsidP="00DE5A3E">
            <w:pPr>
              <w:rPr>
                <w:sz w:val="22"/>
                <w:szCs w:val="22"/>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14:paraId="5F9525A0" w14:textId="77777777" w:rsidR="009C6AF1" w:rsidRPr="004A4C5E" w:rsidRDefault="009C6AF1" w:rsidP="00DE5A3E">
            <w:pPr>
              <w:rPr>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77D14EDA" w14:textId="698AFA69" w:rsidR="009C6AF1" w:rsidRPr="004A4C5E" w:rsidRDefault="00A11E7D" w:rsidP="00DE5A3E">
            <w:pPr>
              <w:rPr>
                <w:sz w:val="22"/>
                <w:szCs w:val="22"/>
              </w:rPr>
            </w:pPr>
            <w:r w:rsidRPr="004A4C5E">
              <w:rPr>
                <w:sz w:val="22"/>
                <w:szCs w:val="22"/>
              </w:rPr>
              <w:t>a</w:t>
            </w:r>
            <w:r w:rsidR="003474EE" w:rsidRPr="004A4C5E">
              <w:rPr>
                <w:sz w:val="22"/>
                <w:szCs w:val="22"/>
              </w:rPr>
              <w:t>bnormálna funkcia pečene</w:t>
            </w:r>
            <w:r w:rsidR="009C6AF1" w:rsidRPr="004A4C5E">
              <w:rPr>
                <w:sz w:val="22"/>
                <w:szCs w:val="22"/>
              </w:rPr>
              <w:t>,</w:t>
            </w:r>
            <w:r w:rsidRPr="004A4C5E">
              <w:rPr>
                <w:sz w:val="22"/>
                <w:szCs w:val="22"/>
              </w:rPr>
              <w:t xml:space="preserve"> z</w:t>
            </w:r>
            <w:r w:rsidR="003474EE" w:rsidRPr="004A4C5E">
              <w:rPr>
                <w:sz w:val="22"/>
                <w:szCs w:val="22"/>
              </w:rPr>
              <w:t xml:space="preserve">výšenie pečeňových enzýmov </w:t>
            </w:r>
            <w:r w:rsidR="009C6AF1" w:rsidRPr="004A4C5E">
              <w:rPr>
                <w:sz w:val="22"/>
                <w:szCs w:val="22"/>
              </w:rPr>
              <w:t>(</w:t>
            </w:r>
            <w:r w:rsidR="003474EE" w:rsidRPr="004A4C5E">
              <w:rPr>
                <w:sz w:val="22"/>
                <w:szCs w:val="22"/>
              </w:rPr>
              <w:t>vrátane zvýšenia AST</w:t>
            </w:r>
            <w:r w:rsidR="00731C93">
              <w:rPr>
                <w:sz w:val="22"/>
                <w:szCs w:val="22"/>
              </w:rPr>
              <w:t xml:space="preserve"> a </w:t>
            </w:r>
            <w:r w:rsidR="003474EE" w:rsidRPr="004A4C5E">
              <w:rPr>
                <w:sz w:val="22"/>
                <w:szCs w:val="22"/>
              </w:rPr>
              <w:t>ALT</w:t>
            </w:r>
            <w:r w:rsidR="009C6AF1" w:rsidRPr="004A4C5E">
              <w:rPr>
                <w:sz w:val="22"/>
                <w:szCs w:val="22"/>
              </w:rPr>
              <w:t>)</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33CAF855" w14:textId="330F4CF3" w:rsidR="009C6AF1" w:rsidRPr="004A4C5E" w:rsidRDefault="00A11E7D" w:rsidP="00936874">
            <w:pPr>
              <w:rPr>
                <w:sz w:val="22"/>
                <w:szCs w:val="22"/>
                <w:vertAlign w:val="superscript"/>
              </w:rPr>
            </w:pPr>
            <w:r w:rsidRPr="004A4C5E">
              <w:rPr>
                <w:sz w:val="22"/>
                <w:szCs w:val="22"/>
              </w:rPr>
              <w:t>hepatitída</w:t>
            </w:r>
            <w:r w:rsidR="009C6AF1" w:rsidRPr="004A4C5E">
              <w:rPr>
                <w:sz w:val="22"/>
                <w:szCs w:val="22"/>
                <w:vertAlign w:val="superscript"/>
              </w:rPr>
              <w:t>4</w:t>
            </w:r>
          </w:p>
          <w:p w14:paraId="0CA5A787" w14:textId="77777777" w:rsidR="009C6AF1" w:rsidRPr="004A4C5E" w:rsidRDefault="009C6AF1" w:rsidP="00DE5A3E">
            <w:pPr>
              <w:rPr>
                <w:sz w:val="22"/>
                <w:szCs w:val="22"/>
              </w:rPr>
            </w:pPr>
          </w:p>
        </w:tc>
        <w:tc>
          <w:tcPr>
            <w:tcW w:w="1361" w:type="dxa"/>
            <w:tcBorders>
              <w:top w:val="single" w:sz="4" w:space="0" w:color="auto"/>
              <w:left w:val="single" w:sz="4" w:space="0" w:color="auto"/>
              <w:bottom w:val="single" w:sz="4" w:space="0" w:color="auto"/>
              <w:right w:val="single" w:sz="4" w:space="0" w:color="auto"/>
            </w:tcBorders>
          </w:tcPr>
          <w:p w14:paraId="4A18A6EE" w14:textId="6D07DF71" w:rsidR="009C6AF1" w:rsidRPr="00DE5A3E" w:rsidRDefault="00A11E7D" w:rsidP="00DE5A3E">
            <w:pPr>
              <w:rPr>
                <w:sz w:val="22"/>
                <w:vertAlign w:val="superscript"/>
              </w:rPr>
            </w:pPr>
            <w:r w:rsidRPr="004A4C5E">
              <w:rPr>
                <w:sz w:val="22"/>
                <w:szCs w:val="22"/>
              </w:rPr>
              <w:t>z</w:t>
            </w:r>
            <w:r w:rsidR="003474EE" w:rsidRPr="004A4C5E">
              <w:rPr>
                <w:sz w:val="22"/>
                <w:szCs w:val="22"/>
              </w:rPr>
              <w:t>lyhanie pečene</w:t>
            </w:r>
            <w:r w:rsidR="009C6AF1" w:rsidRPr="004A4C5E">
              <w:rPr>
                <w:sz w:val="22"/>
                <w:szCs w:val="22"/>
                <w:vertAlign w:val="superscript"/>
              </w:rPr>
              <w:t>4</w:t>
            </w:r>
            <w:r w:rsidR="009C6AF1" w:rsidRPr="004A4C5E">
              <w:rPr>
                <w:sz w:val="22"/>
                <w:szCs w:val="22"/>
              </w:rPr>
              <w:t xml:space="preserve"> (</w:t>
            </w:r>
            <w:r w:rsidR="003474EE" w:rsidRPr="004A4C5E">
              <w:rPr>
                <w:sz w:val="22"/>
                <w:szCs w:val="22"/>
              </w:rPr>
              <w:t>niekedy fatálne alebo vyžadujúce transplan</w:t>
            </w:r>
            <w:r w:rsidR="001C40FF">
              <w:rPr>
                <w:sz w:val="22"/>
                <w:szCs w:val="22"/>
              </w:rPr>
              <w:t>-</w:t>
            </w:r>
            <w:r w:rsidR="003474EE" w:rsidRPr="004A4C5E">
              <w:rPr>
                <w:sz w:val="22"/>
                <w:szCs w:val="22"/>
              </w:rPr>
              <w:t>táciu pečene</w:t>
            </w:r>
            <w:r w:rsidR="009C6AF1" w:rsidRPr="004A4C5E">
              <w:rPr>
                <w:sz w:val="22"/>
                <w:szCs w:val="22"/>
              </w:rPr>
              <w:t xml:space="preserve">), </w:t>
            </w:r>
            <w:r w:rsidR="003474EE" w:rsidRPr="004A4C5E">
              <w:rPr>
                <w:sz w:val="22"/>
                <w:szCs w:val="22"/>
              </w:rPr>
              <w:t>fulminantná hepatitída</w:t>
            </w:r>
            <w:r w:rsidR="009C6AF1" w:rsidRPr="004A4C5E">
              <w:rPr>
                <w:sz w:val="22"/>
                <w:szCs w:val="22"/>
                <w:vertAlign w:val="superscript"/>
              </w:rPr>
              <w:t>4</w:t>
            </w:r>
            <w:r w:rsidR="009C6AF1" w:rsidRPr="004A4C5E">
              <w:rPr>
                <w:sz w:val="22"/>
                <w:szCs w:val="22"/>
              </w:rPr>
              <w:t xml:space="preserve"> (</w:t>
            </w:r>
            <w:r w:rsidR="003474EE" w:rsidRPr="004A4C5E">
              <w:rPr>
                <w:sz w:val="22"/>
                <w:szCs w:val="22"/>
              </w:rPr>
              <w:t>niekedy s fatálnym záverom</w:t>
            </w:r>
            <w:r w:rsidR="009C6AF1" w:rsidRPr="004A4C5E">
              <w:rPr>
                <w:sz w:val="22"/>
                <w:szCs w:val="22"/>
              </w:rPr>
              <w:t xml:space="preserve">), </w:t>
            </w:r>
            <w:r w:rsidR="003474EE" w:rsidRPr="004A4C5E">
              <w:rPr>
                <w:sz w:val="22"/>
                <w:szCs w:val="22"/>
              </w:rPr>
              <w:t>nekróza pečene</w:t>
            </w:r>
            <w:r w:rsidR="009C6AF1" w:rsidRPr="004A4C5E">
              <w:rPr>
                <w:sz w:val="22"/>
                <w:szCs w:val="22"/>
                <w:vertAlign w:val="superscript"/>
              </w:rPr>
              <w:t>4</w:t>
            </w:r>
            <w:r w:rsidR="009C6AF1" w:rsidRPr="004A4C5E">
              <w:rPr>
                <w:sz w:val="22"/>
                <w:szCs w:val="22"/>
              </w:rPr>
              <w:t xml:space="preserve">, </w:t>
            </w:r>
            <w:r w:rsidR="003474EE" w:rsidRPr="004A4C5E">
              <w:rPr>
                <w:sz w:val="22"/>
                <w:szCs w:val="22"/>
              </w:rPr>
              <w:t>cholestáza</w:t>
            </w:r>
            <w:r w:rsidR="009C6AF1" w:rsidRPr="004A4C5E">
              <w:rPr>
                <w:sz w:val="22"/>
                <w:szCs w:val="22"/>
                <w:vertAlign w:val="superscript"/>
              </w:rPr>
              <w:t>4</w:t>
            </w:r>
            <w:r w:rsidR="009C6AF1" w:rsidRPr="004A4C5E">
              <w:rPr>
                <w:sz w:val="22"/>
                <w:szCs w:val="22"/>
              </w:rPr>
              <w:t>,</w:t>
            </w:r>
            <w:r w:rsidR="009C6AF1" w:rsidRPr="004A4C5E">
              <w:rPr>
                <w:sz w:val="22"/>
                <w:szCs w:val="22"/>
                <w:vertAlign w:val="superscript"/>
              </w:rPr>
              <w:t xml:space="preserve"> </w:t>
            </w:r>
            <w:r w:rsidR="007D228F" w:rsidRPr="00DE5A3E">
              <w:rPr>
                <w:sz w:val="22"/>
                <w:szCs w:val="22"/>
              </w:rPr>
              <w:t>cholesta</w:t>
            </w:r>
            <w:r w:rsidR="001F36EC">
              <w:rPr>
                <w:sz w:val="22"/>
                <w:szCs w:val="22"/>
              </w:rPr>
              <w:t>-</w:t>
            </w:r>
            <w:r w:rsidR="007D228F" w:rsidRPr="00DE5A3E">
              <w:rPr>
                <w:sz w:val="22"/>
                <w:szCs w:val="22"/>
              </w:rPr>
              <w:t xml:space="preserve">tická </w:t>
            </w:r>
            <w:r w:rsidR="003474EE" w:rsidRPr="004A4C5E">
              <w:rPr>
                <w:sz w:val="22"/>
                <w:szCs w:val="22"/>
              </w:rPr>
              <w:t>hepat</w:t>
            </w:r>
            <w:r w:rsidR="007D228F">
              <w:rPr>
                <w:sz w:val="22"/>
                <w:szCs w:val="22"/>
              </w:rPr>
              <w:t>itída</w:t>
            </w:r>
            <w:r w:rsidR="009C6AF1" w:rsidRPr="004A4C5E">
              <w:rPr>
                <w:sz w:val="22"/>
                <w:szCs w:val="22"/>
                <w:vertAlign w:val="superscript"/>
              </w:rPr>
              <w:t>4</w:t>
            </w:r>
            <w:r w:rsidR="009C6AF1" w:rsidRPr="004A4C5E">
              <w:rPr>
                <w:sz w:val="22"/>
                <w:szCs w:val="22"/>
              </w:rPr>
              <w:t xml:space="preserve">, </w:t>
            </w:r>
            <w:r w:rsidR="003474EE" w:rsidRPr="004A4C5E">
              <w:rPr>
                <w:sz w:val="22"/>
                <w:szCs w:val="22"/>
              </w:rPr>
              <w:t>žltačka</w:t>
            </w:r>
            <w:r w:rsidR="009C6AF1" w:rsidRPr="004A4C5E">
              <w:rPr>
                <w:sz w:val="22"/>
                <w:szCs w:val="22"/>
                <w:vertAlign w:val="superscript"/>
              </w:rPr>
              <w:t>4</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2EC8DDD7" w14:textId="77777777" w:rsidR="009C6AF1" w:rsidRPr="004A4C5E" w:rsidRDefault="009C6AF1" w:rsidP="00DE5A3E">
            <w:pPr>
              <w:rPr>
                <w:sz w:val="22"/>
                <w:szCs w:val="22"/>
              </w:rPr>
            </w:pPr>
          </w:p>
        </w:tc>
      </w:tr>
      <w:tr w:rsidR="00C91366" w:rsidRPr="004A4C5E" w14:paraId="38677DA4" w14:textId="77777777" w:rsidTr="00DE5A3E">
        <w:trPr>
          <w:cantSplit/>
          <w:trHeight w:val="149"/>
        </w:trPr>
        <w:tc>
          <w:tcPr>
            <w:tcW w:w="1361" w:type="dxa"/>
            <w:tcBorders>
              <w:top w:val="single" w:sz="4" w:space="0" w:color="auto"/>
              <w:left w:val="single" w:sz="4" w:space="0" w:color="auto"/>
              <w:bottom w:val="single" w:sz="4" w:space="0" w:color="auto"/>
              <w:right w:val="single" w:sz="4" w:space="0" w:color="auto"/>
            </w:tcBorders>
          </w:tcPr>
          <w:p w14:paraId="1393377F" w14:textId="5AB62BFF" w:rsidR="009C6AF1" w:rsidRPr="004A4C5E" w:rsidRDefault="009467A6" w:rsidP="00DE5A3E">
            <w:pPr>
              <w:rPr>
                <w:sz w:val="22"/>
                <w:szCs w:val="22"/>
              </w:rPr>
            </w:pPr>
            <w:r w:rsidRPr="004A4C5E">
              <w:rPr>
                <w:b/>
                <w:sz w:val="22"/>
                <w:szCs w:val="22"/>
              </w:rPr>
              <w:lastRenderedPageBreak/>
              <w:t>Poruchy kože</w:t>
            </w:r>
            <w:r w:rsidR="00731C93">
              <w:rPr>
                <w:b/>
                <w:sz w:val="22"/>
                <w:szCs w:val="22"/>
              </w:rPr>
              <w:t xml:space="preserve"> a </w:t>
            </w:r>
            <w:r w:rsidRPr="004A4C5E">
              <w:rPr>
                <w:b/>
                <w:sz w:val="22"/>
                <w:szCs w:val="22"/>
              </w:rPr>
              <w:t>podkožného tkaniva</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11C4BE68" w14:textId="77777777" w:rsidR="009C6AF1" w:rsidRPr="004A4C5E" w:rsidRDefault="009C6AF1" w:rsidP="00DE5A3E">
            <w:pPr>
              <w:rPr>
                <w:sz w:val="22"/>
                <w:szCs w:val="22"/>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14:paraId="43C96942" w14:textId="77777777" w:rsidR="009C6AF1" w:rsidRPr="004A4C5E" w:rsidRDefault="00722B37" w:rsidP="00DE5A3E">
            <w:pPr>
              <w:rPr>
                <w:sz w:val="22"/>
                <w:szCs w:val="22"/>
              </w:rPr>
            </w:pPr>
            <w:r w:rsidRPr="004A4C5E">
              <w:rPr>
                <w:bCs/>
                <w:sz w:val="22"/>
                <w:szCs w:val="22"/>
              </w:rPr>
              <w:t>vyrážka</w:t>
            </w:r>
            <w:r w:rsidR="009C6AF1" w:rsidRPr="004A4C5E">
              <w:rPr>
                <w:bCs/>
                <w:sz w:val="22"/>
                <w:szCs w:val="22"/>
              </w:rPr>
              <w:t xml:space="preserve">, </w:t>
            </w:r>
            <w:r w:rsidRPr="004A4C5E">
              <w:rPr>
                <w:bCs/>
                <w:sz w:val="22"/>
                <w:szCs w:val="22"/>
              </w:rPr>
              <w:t>pruritus (vrátane generalizo</w:t>
            </w:r>
            <w:r w:rsidR="001C40FF">
              <w:rPr>
                <w:bCs/>
                <w:sz w:val="22"/>
                <w:szCs w:val="22"/>
              </w:rPr>
              <w:t>-</w:t>
            </w:r>
            <w:r w:rsidRPr="004A4C5E">
              <w:rPr>
                <w:bCs/>
                <w:sz w:val="22"/>
                <w:szCs w:val="22"/>
              </w:rPr>
              <w:t>vaného pruritu</w:t>
            </w:r>
            <w:r w:rsidR="009C6AF1" w:rsidRPr="004A4C5E">
              <w:rPr>
                <w:bCs/>
                <w:sz w:val="22"/>
                <w:szCs w:val="22"/>
              </w:rPr>
              <w:t>)</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20D7DBC6" w14:textId="2D61F17D" w:rsidR="009C6AF1" w:rsidRPr="00DE5A3E" w:rsidRDefault="00722B37" w:rsidP="00DE5A3E">
            <w:pPr>
              <w:rPr>
                <w:sz w:val="22"/>
                <w:vertAlign w:val="superscript"/>
              </w:rPr>
            </w:pPr>
            <w:r w:rsidRPr="004A4C5E">
              <w:rPr>
                <w:bCs/>
                <w:sz w:val="22"/>
                <w:szCs w:val="22"/>
              </w:rPr>
              <w:t>urtikária, ekchymóza</w:t>
            </w:r>
            <w:r w:rsidR="009C6AF1" w:rsidRPr="004A4C5E">
              <w:rPr>
                <w:bCs/>
                <w:sz w:val="22"/>
                <w:szCs w:val="22"/>
                <w:vertAlign w:val="superscript"/>
              </w:rPr>
              <w:t>4</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141709C2" w14:textId="5156C1A7" w:rsidR="009C6AF1" w:rsidRPr="004A4C5E" w:rsidRDefault="00A11E7D" w:rsidP="00DE5A3E">
            <w:pPr>
              <w:rPr>
                <w:sz w:val="22"/>
                <w:szCs w:val="22"/>
              </w:rPr>
            </w:pPr>
            <w:r w:rsidRPr="004A4C5E">
              <w:rPr>
                <w:bCs/>
                <w:sz w:val="22"/>
                <w:szCs w:val="22"/>
              </w:rPr>
              <w:t>a</w:t>
            </w:r>
            <w:r w:rsidR="00722B37" w:rsidRPr="004A4C5E">
              <w:rPr>
                <w:bCs/>
                <w:sz w:val="22"/>
                <w:szCs w:val="22"/>
              </w:rPr>
              <w:t>ngioedém</w:t>
            </w:r>
            <w:r w:rsidR="009C6AF1" w:rsidRPr="004A4C5E">
              <w:rPr>
                <w:sz w:val="22"/>
                <w:szCs w:val="22"/>
                <w:vertAlign w:val="superscript"/>
              </w:rPr>
              <w:t>4</w:t>
            </w:r>
            <w:r w:rsidR="009C6AF1" w:rsidRPr="004A4C5E">
              <w:rPr>
                <w:bCs/>
                <w:sz w:val="22"/>
                <w:szCs w:val="22"/>
              </w:rPr>
              <w:t xml:space="preserve">, </w:t>
            </w:r>
            <w:r w:rsidR="00722B37" w:rsidRPr="004A4C5E">
              <w:rPr>
                <w:bCs/>
                <w:sz w:val="22"/>
                <w:szCs w:val="22"/>
              </w:rPr>
              <w:t>alopécia</w:t>
            </w:r>
            <w:r w:rsidR="009C6AF1" w:rsidRPr="004A4C5E">
              <w:rPr>
                <w:bCs/>
                <w:sz w:val="22"/>
                <w:szCs w:val="22"/>
              </w:rPr>
              <w:t xml:space="preserve">, </w:t>
            </w:r>
            <w:r w:rsidR="00722B37" w:rsidRPr="004A4C5E">
              <w:rPr>
                <w:bCs/>
                <w:sz w:val="22"/>
                <w:szCs w:val="22"/>
              </w:rPr>
              <w:t>fotosenzitivita</w:t>
            </w:r>
          </w:p>
        </w:tc>
        <w:tc>
          <w:tcPr>
            <w:tcW w:w="1361" w:type="dxa"/>
            <w:tcBorders>
              <w:top w:val="single" w:sz="4" w:space="0" w:color="auto"/>
              <w:left w:val="single" w:sz="4" w:space="0" w:color="auto"/>
              <w:bottom w:val="single" w:sz="4" w:space="0" w:color="auto"/>
              <w:right w:val="single" w:sz="4" w:space="0" w:color="auto"/>
            </w:tcBorders>
          </w:tcPr>
          <w:p w14:paraId="52DE0E40" w14:textId="4A5E4EAB" w:rsidR="009C6AF1" w:rsidRPr="004A4C5E" w:rsidRDefault="00722B37" w:rsidP="00DE5A3E">
            <w:pPr>
              <w:rPr>
                <w:bCs/>
                <w:sz w:val="22"/>
                <w:szCs w:val="22"/>
              </w:rPr>
            </w:pPr>
            <w:r w:rsidRPr="004A4C5E">
              <w:rPr>
                <w:sz w:val="22"/>
                <w:szCs w:val="22"/>
              </w:rPr>
              <w:t>exfoliatívna dermatitída</w:t>
            </w:r>
            <w:r w:rsidR="009C6AF1" w:rsidRPr="004A4C5E">
              <w:rPr>
                <w:sz w:val="22"/>
                <w:szCs w:val="22"/>
                <w:vertAlign w:val="superscript"/>
              </w:rPr>
              <w:t>4</w:t>
            </w:r>
            <w:r w:rsidR="009C6AF1" w:rsidRPr="004A4C5E">
              <w:rPr>
                <w:sz w:val="22"/>
                <w:szCs w:val="22"/>
              </w:rPr>
              <w:t xml:space="preserve">, </w:t>
            </w:r>
            <w:r w:rsidRPr="004A4C5E">
              <w:rPr>
                <w:sz w:val="22"/>
                <w:szCs w:val="22"/>
              </w:rPr>
              <w:t>multiform</w:t>
            </w:r>
            <w:r w:rsidR="001C40FF">
              <w:rPr>
                <w:sz w:val="22"/>
                <w:szCs w:val="22"/>
              </w:rPr>
              <w:t>-</w:t>
            </w:r>
            <w:r w:rsidRPr="004A4C5E">
              <w:rPr>
                <w:sz w:val="22"/>
                <w:szCs w:val="22"/>
              </w:rPr>
              <w:t>ný erytém</w:t>
            </w:r>
            <w:r w:rsidR="009C6AF1" w:rsidRPr="004A4C5E">
              <w:rPr>
                <w:sz w:val="22"/>
                <w:szCs w:val="22"/>
                <w:vertAlign w:val="superscript"/>
              </w:rPr>
              <w:t>4</w:t>
            </w:r>
            <w:r w:rsidR="009C6AF1" w:rsidRPr="004A4C5E">
              <w:rPr>
                <w:sz w:val="22"/>
                <w:szCs w:val="22"/>
              </w:rPr>
              <w:t xml:space="preserve">, </w:t>
            </w:r>
            <w:r w:rsidRPr="004A4C5E">
              <w:rPr>
                <w:sz w:val="22"/>
                <w:szCs w:val="22"/>
              </w:rPr>
              <w:t>Stevensov-Johnsonov syndróm</w:t>
            </w:r>
            <w:r w:rsidR="009C6AF1" w:rsidRPr="004A4C5E">
              <w:rPr>
                <w:sz w:val="22"/>
                <w:szCs w:val="22"/>
                <w:vertAlign w:val="superscript"/>
              </w:rPr>
              <w:t>4</w:t>
            </w:r>
            <w:r w:rsidR="009C6AF1" w:rsidRPr="004A4C5E">
              <w:rPr>
                <w:sz w:val="22"/>
                <w:szCs w:val="22"/>
              </w:rPr>
              <w:t xml:space="preserve">, </w:t>
            </w:r>
            <w:r w:rsidRPr="004A4C5E">
              <w:rPr>
                <w:sz w:val="22"/>
                <w:szCs w:val="22"/>
              </w:rPr>
              <w:t>toxická epidermál</w:t>
            </w:r>
            <w:r w:rsidR="001C40FF">
              <w:rPr>
                <w:sz w:val="22"/>
                <w:szCs w:val="22"/>
              </w:rPr>
              <w:t>-</w:t>
            </w:r>
            <w:r w:rsidRPr="004A4C5E">
              <w:rPr>
                <w:sz w:val="22"/>
                <w:szCs w:val="22"/>
              </w:rPr>
              <w:t>na nekrolýza</w:t>
            </w:r>
            <w:r w:rsidR="009C6AF1" w:rsidRPr="004A4C5E">
              <w:rPr>
                <w:sz w:val="22"/>
                <w:szCs w:val="22"/>
                <w:vertAlign w:val="superscript"/>
              </w:rPr>
              <w:t>4</w:t>
            </w:r>
            <w:r w:rsidR="009C6AF1" w:rsidRPr="004A4C5E">
              <w:rPr>
                <w:sz w:val="22"/>
                <w:szCs w:val="22"/>
              </w:rPr>
              <w:t xml:space="preserve">, </w:t>
            </w:r>
            <w:r w:rsidRPr="004A4C5E">
              <w:rPr>
                <w:sz w:val="22"/>
                <w:szCs w:val="22"/>
              </w:rPr>
              <w:t>vyrážka s</w:t>
            </w:r>
            <w:r w:rsidR="001C40FF">
              <w:rPr>
                <w:sz w:val="22"/>
                <w:szCs w:val="22"/>
              </w:rPr>
              <w:t> </w:t>
            </w:r>
            <w:r w:rsidRPr="004A4C5E">
              <w:rPr>
                <w:sz w:val="22"/>
                <w:szCs w:val="22"/>
              </w:rPr>
              <w:t>eozinofí</w:t>
            </w:r>
            <w:r w:rsidR="001C40FF">
              <w:rPr>
                <w:sz w:val="22"/>
                <w:szCs w:val="22"/>
              </w:rPr>
              <w:t>-</w:t>
            </w:r>
            <w:r w:rsidRPr="004A4C5E">
              <w:rPr>
                <w:sz w:val="22"/>
                <w:szCs w:val="22"/>
              </w:rPr>
              <w:t>liou a</w:t>
            </w:r>
            <w:r w:rsidR="001C40FF">
              <w:rPr>
                <w:sz w:val="22"/>
                <w:szCs w:val="22"/>
              </w:rPr>
              <w:t> </w:t>
            </w:r>
            <w:r w:rsidRPr="004A4C5E">
              <w:rPr>
                <w:sz w:val="22"/>
                <w:szCs w:val="22"/>
              </w:rPr>
              <w:t>systémo</w:t>
            </w:r>
            <w:r w:rsidR="001C40FF">
              <w:rPr>
                <w:sz w:val="22"/>
                <w:szCs w:val="22"/>
              </w:rPr>
              <w:t>-</w:t>
            </w:r>
            <w:r w:rsidRPr="004A4C5E">
              <w:rPr>
                <w:sz w:val="22"/>
                <w:szCs w:val="22"/>
              </w:rPr>
              <w:t>vými príznakmi spôsobená liekmi (DRESS)</w:t>
            </w:r>
            <w:r w:rsidR="009C6AF1" w:rsidRPr="004A4C5E">
              <w:rPr>
                <w:sz w:val="22"/>
                <w:szCs w:val="22"/>
                <w:vertAlign w:val="superscript"/>
              </w:rPr>
              <w:t>4</w:t>
            </w:r>
            <w:r w:rsidR="009C6AF1" w:rsidRPr="004A4C5E">
              <w:rPr>
                <w:sz w:val="22"/>
                <w:szCs w:val="22"/>
              </w:rPr>
              <w:t xml:space="preserve">, </w:t>
            </w:r>
            <w:r w:rsidRPr="004A4C5E">
              <w:rPr>
                <w:bCs/>
                <w:sz w:val="22"/>
                <w:szCs w:val="22"/>
              </w:rPr>
              <w:t>akútna generalizovaná exantema</w:t>
            </w:r>
            <w:r w:rsidR="003C6D28">
              <w:rPr>
                <w:bCs/>
                <w:sz w:val="22"/>
                <w:szCs w:val="22"/>
              </w:rPr>
              <w:t>-</w:t>
            </w:r>
            <w:r w:rsidRPr="004A4C5E">
              <w:rPr>
                <w:bCs/>
                <w:sz w:val="22"/>
                <w:szCs w:val="22"/>
              </w:rPr>
              <w:t>tózna pustulóza</w:t>
            </w:r>
            <w:r w:rsidR="009C6AF1" w:rsidRPr="004A4C5E">
              <w:rPr>
                <w:bCs/>
                <w:sz w:val="22"/>
                <w:szCs w:val="22"/>
              </w:rPr>
              <w:t xml:space="preserve"> (AGEP)</w:t>
            </w:r>
            <w:r w:rsidR="009C6AF1" w:rsidRPr="004A4C5E">
              <w:rPr>
                <w:sz w:val="22"/>
                <w:szCs w:val="22"/>
                <w:vertAlign w:val="superscript"/>
              </w:rPr>
              <w:t>4</w:t>
            </w:r>
            <w:r w:rsidR="009C6AF1" w:rsidRPr="004A4C5E">
              <w:rPr>
                <w:bCs/>
                <w:sz w:val="22"/>
                <w:szCs w:val="22"/>
              </w:rPr>
              <w:t xml:space="preserve">, </w:t>
            </w:r>
            <w:r w:rsidRPr="004A4C5E">
              <w:rPr>
                <w:bCs/>
                <w:sz w:val="22"/>
                <w:szCs w:val="22"/>
              </w:rPr>
              <w:t>bulózna dermatití</w:t>
            </w:r>
            <w:r w:rsidR="003C6D28">
              <w:rPr>
                <w:bCs/>
                <w:sz w:val="22"/>
                <w:szCs w:val="22"/>
              </w:rPr>
              <w:t>-</w:t>
            </w:r>
            <w:r w:rsidRPr="004A4C5E">
              <w:rPr>
                <w:bCs/>
                <w:sz w:val="22"/>
                <w:szCs w:val="22"/>
              </w:rPr>
              <w:t>da</w:t>
            </w:r>
            <w:r w:rsidR="009C6AF1" w:rsidRPr="004A4C5E">
              <w:rPr>
                <w:bCs/>
                <w:sz w:val="22"/>
                <w:szCs w:val="22"/>
                <w:vertAlign w:val="superscript"/>
              </w:rPr>
              <w:t>4</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2BD57EA0" w14:textId="77777777" w:rsidR="009C6AF1" w:rsidRPr="00DE5A3E" w:rsidRDefault="009C6AF1" w:rsidP="00DE5A3E">
            <w:pPr>
              <w:rPr>
                <w:sz w:val="22"/>
              </w:rPr>
            </w:pPr>
            <w:r w:rsidRPr="004A4C5E">
              <w:rPr>
                <w:bCs/>
                <w:sz w:val="22"/>
                <w:szCs w:val="22"/>
              </w:rPr>
              <w:t xml:space="preserve"> </w:t>
            </w:r>
          </w:p>
        </w:tc>
      </w:tr>
      <w:tr w:rsidR="00C91366" w:rsidRPr="004A4C5E" w14:paraId="0868858F" w14:textId="77777777" w:rsidTr="00DE5A3E">
        <w:trPr>
          <w:cantSplit/>
          <w:trHeight w:val="149"/>
        </w:trPr>
        <w:tc>
          <w:tcPr>
            <w:tcW w:w="1361" w:type="dxa"/>
            <w:tcBorders>
              <w:top w:val="single" w:sz="4" w:space="0" w:color="auto"/>
              <w:left w:val="single" w:sz="4" w:space="0" w:color="auto"/>
              <w:bottom w:val="single" w:sz="4" w:space="0" w:color="auto"/>
              <w:right w:val="single" w:sz="4" w:space="0" w:color="auto"/>
            </w:tcBorders>
          </w:tcPr>
          <w:p w14:paraId="754BDB49" w14:textId="7B68693C" w:rsidR="009C6AF1" w:rsidRPr="00DE5A3E" w:rsidRDefault="009467A6" w:rsidP="00DE5A3E">
            <w:pPr>
              <w:rPr>
                <w:sz w:val="22"/>
              </w:rPr>
            </w:pPr>
            <w:r w:rsidRPr="004A4C5E">
              <w:rPr>
                <w:b/>
                <w:sz w:val="22"/>
                <w:szCs w:val="22"/>
              </w:rPr>
              <w:t>Poruchy kostrovej</w:t>
            </w:r>
            <w:r w:rsidR="00731C93">
              <w:rPr>
                <w:b/>
                <w:sz w:val="22"/>
                <w:szCs w:val="22"/>
              </w:rPr>
              <w:t xml:space="preserve"> a </w:t>
            </w:r>
            <w:r w:rsidRPr="004A4C5E">
              <w:rPr>
                <w:b/>
                <w:sz w:val="22"/>
                <w:szCs w:val="22"/>
              </w:rPr>
              <w:t>svalovej sústavy</w:t>
            </w:r>
            <w:r w:rsidR="00731C93">
              <w:rPr>
                <w:b/>
                <w:sz w:val="22"/>
                <w:szCs w:val="22"/>
              </w:rPr>
              <w:t xml:space="preserve"> a </w:t>
            </w:r>
            <w:r w:rsidRPr="004A4C5E">
              <w:rPr>
                <w:b/>
                <w:sz w:val="22"/>
                <w:szCs w:val="22"/>
              </w:rPr>
              <w:t>spojivového tkaniva</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7A287022" w14:textId="77777777" w:rsidR="009C6AF1" w:rsidRPr="004A4C5E" w:rsidRDefault="009C6AF1" w:rsidP="00936874">
            <w:pPr>
              <w:rPr>
                <w:sz w:val="22"/>
                <w:szCs w:val="22"/>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14:paraId="7C62C8DA" w14:textId="77777777" w:rsidR="009C6AF1" w:rsidRPr="004A4C5E" w:rsidRDefault="00A11E7D" w:rsidP="00936874">
            <w:pPr>
              <w:rPr>
                <w:sz w:val="22"/>
                <w:szCs w:val="22"/>
                <w:vertAlign w:val="superscript"/>
              </w:rPr>
            </w:pPr>
            <w:r w:rsidRPr="004A4C5E">
              <w:rPr>
                <w:sz w:val="22"/>
                <w:szCs w:val="22"/>
              </w:rPr>
              <w:t>b</w:t>
            </w:r>
            <w:r w:rsidR="00722B37" w:rsidRPr="004A4C5E">
              <w:rPr>
                <w:sz w:val="22"/>
                <w:szCs w:val="22"/>
              </w:rPr>
              <w:t>olesť kĺbov</w:t>
            </w:r>
            <w:r w:rsidR="009C6AF1" w:rsidRPr="004A4C5E">
              <w:rPr>
                <w:sz w:val="22"/>
                <w:szCs w:val="22"/>
                <w:vertAlign w:val="superscript"/>
              </w:rPr>
              <w:t>4</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74C040D0" w14:textId="06085C5B" w:rsidR="009C6AF1" w:rsidRPr="004A4C5E" w:rsidRDefault="00722B37" w:rsidP="00E4745F">
            <w:pPr>
              <w:rPr>
                <w:sz w:val="22"/>
                <w:szCs w:val="22"/>
              </w:rPr>
            </w:pPr>
            <w:r w:rsidRPr="004A4C5E">
              <w:rPr>
                <w:sz w:val="22"/>
                <w:szCs w:val="22"/>
              </w:rPr>
              <w:t>svalové kŕče</w:t>
            </w:r>
            <w:r w:rsidR="009C6AF1" w:rsidRPr="004A4C5E">
              <w:rPr>
                <w:sz w:val="22"/>
                <w:szCs w:val="22"/>
              </w:rPr>
              <w:t xml:space="preserve"> (</w:t>
            </w:r>
            <w:r w:rsidRPr="004A4C5E">
              <w:rPr>
                <w:sz w:val="22"/>
                <w:szCs w:val="22"/>
              </w:rPr>
              <w:t>kŕče</w:t>
            </w:r>
            <w:r w:rsidR="00731C93">
              <w:rPr>
                <w:sz w:val="22"/>
                <w:szCs w:val="22"/>
              </w:rPr>
              <w:t xml:space="preserve"> v </w:t>
            </w:r>
            <w:r w:rsidRPr="004A4C5E">
              <w:rPr>
                <w:sz w:val="22"/>
                <w:szCs w:val="22"/>
              </w:rPr>
              <w:t>nohách</w:t>
            </w:r>
            <w:r w:rsidR="009C6AF1" w:rsidRPr="004A4C5E">
              <w:rPr>
                <w:sz w:val="22"/>
                <w:szCs w:val="22"/>
              </w:rPr>
              <w:t>)</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0E8361E1" w14:textId="77777777" w:rsidR="009C6AF1" w:rsidRPr="004A4C5E" w:rsidRDefault="009C6AF1" w:rsidP="00936874">
            <w:pPr>
              <w:rPr>
                <w:sz w:val="22"/>
                <w:szCs w:val="22"/>
              </w:rPr>
            </w:pPr>
          </w:p>
        </w:tc>
        <w:tc>
          <w:tcPr>
            <w:tcW w:w="1361" w:type="dxa"/>
            <w:tcBorders>
              <w:top w:val="single" w:sz="4" w:space="0" w:color="auto"/>
              <w:left w:val="single" w:sz="4" w:space="0" w:color="auto"/>
              <w:bottom w:val="single" w:sz="4" w:space="0" w:color="auto"/>
              <w:right w:val="single" w:sz="4" w:space="0" w:color="auto"/>
            </w:tcBorders>
          </w:tcPr>
          <w:p w14:paraId="614EA105" w14:textId="77777777" w:rsidR="009C6AF1" w:rsidRPr="004A4C5E" w:rsidRDefault="00722B37" w:rsidP="00936874">
            <w:pPr>
              <w:rPr>
                <w:sz w:val="22"/>
                <w:szCs w:val="22"/>
                <w:vertAlign w:val="superscript"/>
              </w:rPr>
            </w:pPr>
            <w:r w:rsidRPr="004A4C5E">
              <w:rPr>
                <w:sz w:val="22"/>
                <w:szCs w:val="22"/>
              </w:rPr>
              <w:t>myozitída</w:t>
            </w:r>
            <w:r w:rsidR="009C6AF1" w:rsidRPr="004A4C5E">
              <w:rPr>
                <w:sz w:val="22"/>
                <w:szCs w:val="22"/>
                <w:vertAlign w:val="superscript"/>
              </w:rPr>
              <w:t>4</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20842412" w14:textId="77777777" w:rsidR="009C6AF1" w:rsidRPr="004A4C5E" w:rsidRDefault="009C6AF1" w:rsidP="00936874">
            <w:pPr>
              <w:rPr>
                <w:bCs/>
                <w:sz w:val="22"/>
                <w:szCs w:val="22"/>
              </w:rPr>
            </w:pPr>
          </w:p>
        </w:tc>
      </w:tr>
      <w:tr w:rsidR="00C91366" w:rsidRPr="004A4C5E" w14:paraId="6DF91DF4" w14:textId="2F7A3A0C" w:rsidTr="00DE5A3E">
        <w:trPr>
          <w:cantSplit/>
          <w:trHeight w:val="149"/>
        </w:trPr>
        <w:tc>
          <w:tcPr>
            <w:tcW w:w="1361" w:type="dxa"/>
            <w:tcBorders>
              <w:top w:val="single" w:sz="4" w:space="0" w:color="auto"/>
              <w:left w:val="single" w:sz="4" w:space="0" w:color="auto"/>
              <w:bottom w:val="single" w:sz="4" w:space="0" w:color="auto"/>
              <w:right w:val="single" w:sz="4" w:space="0" w:color="auto"/>
            </w:tcBorders>
          </w:tcPr>
          <w:p w14:paraId="2CD86936" w14:textId="42344013" w:rsidR="00DE1B30" w:rsidRPr="004A4C5E" w:rsidRDefault="00DE1B30" w:rsidP="00DE5A3E">
            <w:pPr>
              <w:rPr>
                <w:sz w:val="22"/>
                <w:szCs w:val="22"/>
              </w:rPr>
            </w:pPr>
            <w:r w:rsidRPr="004A4C5E">
              <w:rPr>
                <w:b/>
                <w:sz w:val="22"/>
                <w:szCs w:val="22"/>
              </w:rPr>
              <w:t>Poruchy obličiek</w:t>
            </w:r>
            <w:r w:rsidR="00731C93">
              <w:rPr>
                <w:b/>
                <w:sz w:val="22"/>
                <w:szCs w:val="22"/>
              </w:rPr>
              <w:t xml:space="preserve"> a </w:t>
            </w:r>
            <w:r w:rsidRPr="004A4C5E">
              <w:rPr>
                <w:b/>
                <w:sz w:val="22"/>
                <w:szCs w:val="22"/>
              </w:rPr>
              <w:t>močových ciest</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0549012E" w14:textId="77777777" w:rsidR="00DE1B30" w:rsidRPr="004A4C5E" w:rsidRDefault="00DE1B30" w:rsidP="00DE5A3E">
            <w:pPr>
              <w:rPr>
                <w:sz w:val="22"/>
                <w:szCs w:val="22"/>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14:paraId="5CBEFCE7" w14:textId="77777777" w:rsidR="00DE1B30" w:rsidRPr="004A4C5E" w:rsidRDefault="00DE1B30" w:rsidP="00DE5A3E">
            <w:pPr>
              <w:rPr>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25F916CA" w14:textId="067A118B" w:rsidR="00DE1B30" w:rsidRPr="004A4C5E" w:rsidRDefault="00DE1B30" w:rsidP="007D228F">
            <w:pPr>
              <w:rPr>
                <w:sz w:val="22"/>
                <w:szCs w:val="22"/>
              </w:rPr>
            </w:pPr>
            <w:r w:rsidRPr="004A4C5E">
              <w:rPr>
                <w:sz w:val="22"/>
                <w:szCs w:val="22"/>
              </w:rPr>
              <w:t>zvýšenie kreatinínu v</w:t>
            </w:r>
            <w:r>
              <w:rPr>
                <w:sz w:val="22"/>
                <w:szCs w:val="22"/>
              </w:rPr>
              <w:t> </w:t>
            </w:r>
            <w:r w:rsidRPr="004A4C5E">
              <w:rPr>
                <w:sz w:val="22"/>
                <w:szCs w:val="22"/>
              </w:rPr>
              <w:t>krvi, zvýšenie močov</w:t>
            </w:r>
            <w:r>
              <w:rPr>
                <w:sz w:val="22"/>
                <w:szCs w:val="22"/>
              </w:rPr>
              <w:t>iny</w:t>
            </w:r>
            <w:r w:rsidRPr="004A4C5E">
              <w:rPr>
                <w:sz w:val="22"/>
                <w:szCs w:val="22"/>
              </w:rPr>
              <w:t xml:space="preserve"> v</w:t>
            </w:r>
            <w:r>
              <w:rPr>
                <w:sz w:val="22"/>
                <w:szCs w:val="22"/>
              </w:rPr>
              <w:t> </w:t>
            </w:r>
            <w:r w:rsidRPr="004A4C5E">
              <w:rPr>
                <w:sz w:val="22"/>
                <w:szCs w:val="22"/>
              </w:rPr>
              <w:t>krvi</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5FEC1A4C" w14:textId="568BE693" w:rsidR="00DE1B30" w:rsidRPr="00DE5A3E" w:rsidRDefault="00DE1B30" w:rsidP="00DE5A3E">
            <w:pPr>
              <w:rPr>
                <w:sz w:val="22"/>
                <w:vertAlign w:val="superscript"/>
              </w:rPr>
            </w:pPr>
            <w:r w:rsidRPr="004A4C5E">
              <w:rPr>
                <w:sz w:val="22"/>
                <w:szCs w:val="22"/>
              </w:rPr>
              <w:t>akútne renálne zlyhanie</w:t>
            </w:r>
            <w:r w:rsidRPr="004A4C5E">
              <w:rPr>
                <w:sz w:val="22"/>
                <w:szCs w:val="22"/>
                <w:vertAlign w:val="superscript"/>
              </w:rPr>
              <w:t>4</w:t>
            </w:r>
            <w:r w:rsidRPr="004A4C5E">
              <w:rPr>
                <w:sz w:val="22"/>
                <w:szCs w:val="22"/>
              </w:rPr>
              <w:t>, hyponatrié</w:t>
            </w:r>
            <w:r w:rsidR="001F36EC">
              <w:rPr>
                <w:sz w:val="22"/>
                <w:szCs w:val="22"/>
              </w:rPr>
              <w:t>-</w:t>
            </w:r>
            <w:r w:rsidRPr="004A4C5E">
              <w:rPr>
                <w:sz w:val="22"/>
                <w:szCs w:val="22"/>
              </w:rPr>
              <w:t>mia</w:t>
            </w:r>
            <w:r w:rsidRPr="004A4C5E">
              <w:rPr>
                <w:sz w:val="22"/>
                <w:szCs w:val="22"/>
                <w:vertAlign w:val="superscript"/>
              </w:rPr>
              <w:t>4</w:t>
            </w:r>
          </w:p>
        </w:tc>
        <w:tc>
          <w:tcPr>
            <w:tcW w:w="1361" w:type="dxa"/>
            <w:tcBorders>
              <w:top w:val="single" w:sz="4" w:space="0" w:color="auto"/>
              <w:left w:val="single" w:sz="4" w:space="0" w:color="auto"/>
              <w:bottom w:val="single" w:sz="4" w:space="0" w:color="auto"/>
              <w:right w:val="single" w:sz="4" w:space="0" w:color="auto"/>
            </w:tcBorders>
          </w:tcPr>
          <w:p w14:paraId="7FB9CA6B" w14:textId="65B320C5" w:rsidR="00DE1B30" w:rsidRPr="004A4C5E" w:rsidRDefault="00DE1B30" w:rsidP="00DE5A3E">
            <w:pPr>
              <w:rPr>
                <w:sz w:val="22"/>
                <w:szCs w:val="22"/>
              </w:rPr>
            </w:pPr>
            <w:r>
              <w:rPr>
                <w:sz w:val="22"/>
                <w:szCs w:val="22"/>
              </w:rPr>
              <w:t>t</w:t>
            </w:r>
            <w:r w:rsidRPr="004A4C5E">
              <w:rPr>
                <w:sz w:val="22"/>
                <w:szCs w:val="22"/>
              </w:rPr>
              <w:t>ubuloin</w:t>
            </w:r>
            <w:r>
              <w:rPr>
                <w:sz w:val="22"/>
                <w:szCs w:val="22"/>
              </w:rPr>
              <w:t>-</w:t>
            </w:r>
            <w:r w:rsidRPr="004A4C5E">
              <w:rPr>
                <w:sz w:val="22"/>
                <w:szCs w:val="22"/>
              </w:rPr>
              <w:t>tersticiálna nefritída</w:t>
            </w:r>
            <w:r w:rsidRPr="004A4C5E">
              <w:rPr>
                <w:sz w:val="22"/>
                <w:szCs w:val="22"/>
                <w:vertAlign w:val="superscript"/>
              </w:rPr>
              <w:t>4</w:t>
            </w:r>
            <w:r w:rsidRPr="004A4C5E">
              <w:rPr>
                <w:sz w:val="22"/>
                <w:szCs w:val="22"/>
              </w:rPr>
              <w:t>, nefrotický syndróm</w:t>
            </w:r>
            <w:r w:rsidRPr="004A4C5E">
              <w:rPr>
                <w:sz w:val="22"/>
                <w:szCs w:val="22"/>
                <w:vertAlign w:val="superscript"/>
              </w:rPr>
              <w:t>4</w:t>
            </w:r>
            <w:r w:rsidRPr="004A4C5E">
              <w:rPr>
                <w:sz w:val="22"/>
                <w:szCs w:val="22"/>
              </w:rPr>
              <w:t>,</w:t>
            </w:r>
            <w:r w:rsidRPr="00DE5A3E">
              <w:rPr>
                <w:sz w:val="22"/>
                <w:vertAlign w:val="superscript"/>
              </w:rPr>
              <w:t xml:space="preserve"> </w:t>
            </w:r>
            <w:r w:rsidRPr="00DE5A3E">
              <w:rPr>
                <w:sz w:val="22"/>
              </w:rPr>
              <w:t xml:space="preserve">minimálne lézie pri </w:t>
            </w:r>
            <w:r w:rsidRPr="004A4C5E">
              <w:rPr>
                <w:sz w:val="22"/>
                <w:szCs w:val="22"/>
              </w:rPr>
              <w:t>glomerulo</w:t>
            </w:r>
            <w:r w:rsidR="001F36EC">
              <w:rPr>
                <w:sz w:val="22"/>
                <w:szCs w:val="22"/>
              </w:rPr>
              <w:t>-</w:t>
            </w:r>
            <w:r w:rsidRPr="004A4C5E">
              <w:rPr>
                <w:sz w:val="22"/>
                <w:szCs w:val="22"/>
              </w:rPr>
              <w:t>nefritíde</w:t>
            </w:r>
            <w:r w:rsidRPr="004A4C5E">
              <w:rPr>
                <w:sz w:val="22"/>
                <w:szCs w:val="22"/>
                <w:vertAlign w:val="superscript"/>
              </w:rPr>
              <w:t>4</w:t>
            </w:r>
          </w:p>
        </w:tc>
        <w:tc>
          <w:tcPr>
            <w:tcW w:w="1361" w:type="dxa"/>
            <w:tcBorders>
              <w:top w:val="single" w:sz="4" w:space="0" w:color="auto"/>
              <w:left w:val="single" w:sz="4" w:space="0" w:color="auto"/>
              <w:bottom w:val="single" w:sz="4" w:space="0" w:color="auto"/>
            </w:tcBorders>
            <w:shd w:val="clear" w:color="auto" w:fill="auto"/>
          </w:tcPr>
          <w:p w14:paraId="2531421B" w14:textId="77777777" w:rsidR="00DE1B30" w:rsidRPr="00B048EB" w:rsidRDefault="00DE1B30">
            <w:pPr>
              <w:widowControl/>
              <w:suppressAutoHyphens w:val="0"/>
              <w:rPr>
                <w:b/>
                <w:sz w:val="22"/>
                <w:szCs w:val="22"/>
              </w:rPr>
            </w:pPr>
          </w:p>
        </w:tc>
      </w:tr>
      <w:tr w:rsidR="00C91366" w:rsidRPr="004A4C5E" w14:paraId="29B9BFFE" w14:textId="77777777" w:rsidTr="00DE5A3E">
        <w:trPr>
          <w:cantSplit/>
          <w:trHeight w:val="149"/>
        </w:trPr>
        <w:tc>
          <w:tcPr>
            <w:tcW w:w="1361" w:type="dxa"/>
            <w:tcBorders>
              <w:top w:val="single" w:sz="4" w:space="0" w:color="auto"/>
              <w:left w:val="single" w:sz="4" w:space="0" w:color="auto"/>
              <w:bottom w:val="single" w:sz="4" w:space="0" w:color="auto"/>
              <w:right w:val="single" w:sz="4" w:space="0" w:color="auto"/>
            </w:tcBorders>
          </w:tcPr>
          <w:p w14:paraId="08FF0996" w14:textId="1444210A" w:rsidR="009C6AF1" w:rsidRPr="00DE5A3E" w:rsidRDefault="009467A6" w:rsidP="00DE5A3E">
            <w:pPr>
              <w:rPr>
                <w:sz w:val="22"/>
              </w:rPr>
            </w:pPr>
            <w:r w:rsidRPr="004A4C5E">
              <w:rPr>
                <w:b/>
                <w:sz w:val="22"/>
                <w:szCs w:val="22"/>
              </w:rPr>
              <w:t>Poruchy reprodukčného systému</w:t>
            </w:r>
            <w:r w:rsidR="00731C93">
              <w:rPr>
                <w:b/>
                <w:sz w:val="22"/>
                <w:szCs w:val="22"/>
              </w:rPr>
              <w:t xml:space="preserve"> a </w:t>
            </w:r>
            <w:r w:rsidRPr="004A4C5E">
              <w:rPr>
                <w:b/>
                <w:sz w:val="22"/>
                <w:szCs w:val="22"/>
              </w:rPr>
              <w:t>prsníkov</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3B1F815B" w14:textId="77777777" w:rsidR="009C6AF1" w:rsidRPr="00DE5A3E" w:rsidRDefault="009C6AF1" w:rsidP="00DE5A3E">
            <w:pPr>
              <w:rPr>
                <w:sz w:val="22"/>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14:paraId="42B24CEF" w14:textId="77777777" w:rsidR="009C6AF1" w:rsidRPr="00DE5A3E" w:rsidRDefault="009C6AF1" w:rsidP="00DE5A3E">
            <w:pPr>
              <w:rPr>
                <w:sz w:val="22"/>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4D3E5499" w14:textId="3D7A17F6" w:rsidR="009C6AF1" w:rsidRPr="00DE5A3E" w:rsidRDefault="009C6AF1" w:rsidP="00DE5A3E">
            <w:pPr>
              <w:rPr>
                <w:sz w:val="22"/>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6B40615F" w14:textId="77777777" w:rsidR="009C6AF1" w:rsidRPr="00DE5A3E" w:rsidRDefault="007540CB" w:rsidP="00DE5A3E">
            <w:pPr>
              <w:rPr>
                <w:sz w:val="22"/>
                <w:vertAlign w:val="superscript"/>
              </w:rPr>
            </w:pPr>
            <w:r w:rsidRPr="004A4C5E">
              <w:rPr>
                <w:sz w:val="22"/>
                <w:szCs w:val="22"/>
              </w:rPr>
              <w:t>porucha menštruácie</w:t>
            </w:r>
            <w:r w:rsidR="009C6AF1" w:rsidRPr="004A4C5E">
              <w:rPr>
                <w:sz w:val="22"/>
                <w:szCs w:val="22"/>
                <w:vertAlign w:val="superscript"/>
              </w:rPr>
              <w:t>4</w:t>
            </w:r>
          </w:p>
        </w:tc>
        <w:tc>
          <w:tcPr>
            <w:tcW w:w="1361" w:type="dxa"/>
            <w:tcBorders>
              <w:top w:val="single" w:sz="4" w:space="0" w:color="auto"/>
              <w:left w:val="single" w:sz="4" w:space="0" w:color="auto"/>
              <w:bottom w:val="single" w:sz="4" w:space="0" w:color="auto"/>
              <w:right w:val="single" w:sz="4" w:space="0" w:color="auto"/>
            </w:tcBorders>
          </w:tcPr>
          <w:p w14:paraId="1FE47A04" w14:textId="77777777" w:rsidR="009C6AF1" w:rsidRPr="004A4C5E" w:rsidRDefault="009C6AF1" w:rsidP="00936874">
            <w:pPr>
              <w:rPr>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1B29B2B6" w14:textId="6BF427E8" w:rsidR="009C6AF1" w:rsidRPr="00DE5A3E" w:rsidRDefault="00A11E7D" w:rsidP="00DE5A3E">
            <w:pPr>
              <w:rPr>
                <w:sz w:val="22"/>
              </w:rPr>
            </w:pPr>
            <w:r w:rsidRPr="004A4C5E">
              <w:rPr>
                <w:bCs/>
                <w:sz w:val="22"/>
                <w:szCs w:val="22"/>
              </w:rPr>
              <w:t>n</w:t>
            </w:r>
            <w:r w:rsidR="007540CB" w:rsidRPr="004A4C5E">
              <w:rPr>
                <w:bCs/>
                <w:sz w:val="22"/>
                <w:szCs w:val="22"/>
              </w:rPr>
              <w:t>eplodnosť</w:t>
            </w:r>
            <w:r w:rsidR="00731C93">
              <w:rPr>
                <w:bCs/>
                <w:sz w:val="22"/>
                <w:szCs w:val="22"/>
              </w:rPr>
              <w:t xml:space="preserve"> u </w:t>
            </w:r>
            <w:r w:rsidR="007540CB" w:rsidRPr="004A4C5E">
              <w:rPr>
                <w:bCs/>
                <w:sz w:val="22"/>
                <w:szCs w:val="22"/>
              </w:rPr>
              <w:t>žien (zníženie plodnosti u žien)</w:t>
            </w:r>
            <w:r w:rsidR="009C6AF1" w:rsidRPr="004A4C5E">
              <w:rPr>
                <w:bCs/>
                <w:sz w:val="22"/>
                <w:szCs w:val="22"/>
                <w:vertAlign w:val="superscript"/>
              </w:rPr>
              <w:t>3</w:t>
            </w:r>
          </w:p>
        </w:tc>
      </w:tr>
      <w:tr w:rsidR="00C91366" w:rsidRPr="004A4C5E" w14:paraId="2DD3F3C4" w14:textId="77777777" w:rsidTr="00DE5A3E">
        <w:trPr>
          <w:cantSplit/>
          <w:trHeight w:val="149"/>
        </w:trPr>
        <w:tc>
          <w:tcPr>
            <w:tcW w:w="1361" w:type="dxa"/>
            <w:tcBorders>
              <w:top w:val="single" w:sz="4" w:space="0" w:color="auto"/>
              <w:left w:val="single" w:sz="4" w:space="0" w:color="auto"/>
              <w:bottom w:val="single" w:sz="4" w:space="0" w:color="auto"/>
              <w:right w:val="single" w:sz="4" w:space="0" w:color="auto"/>
            </w:tcBorders>
          </w:tcPr>
          <w:p w14:paraId="56073EE0" w14:textId="693AB035" w:rsidR="009C6AF1" w:rsidRPr="004A4C5E" w:rsidRDefault="009467A6" w:rsidP="00936874">
            <w:pPr>
              <w:rPr>
                <w:sz w:val="22"/>
                <w:szCs w:val="22"/>
              </w:rPr>
            </w:pPr>
            <w:r w:rsidRPr="004A4C5E">
              <w:rPr>
                <w:b/>
                <w:sz w:val="22"/>
                <w:szCs w:val="22"/>
              </w:rPr>
              <w:lastRenderedPageBreak/>
              <w:t>Celkové poruchy</w:t>
            </w:r>
            <w:r w:rsidR="00731C93">
              <w:rPr>
                <w:b/>
                <w:sz w:val="22"/>
                <w:szCs w:val="22"/>
              </w:rPr>
              <w:t xml:space="preserve"> a </w:t>
            </w:r>
            <w:r w:rsidRPr="004A4C5E">
              <w:rPr>
                <w:b/>
                <w:sz w:val="22"/>
                <w:szCs w:val="22"/>
              </w:rPr>
              <w:t>reakcie</w:t>
            </w:r>
            <w:r w:rsidR="00731C93">
              <w:rPr>
                <w:b/>
                <w:sz w:val="22"/>
                <w:szCs w:val="22"/>
              </w:rPr>
              <w:t xml:space="preserve"> v </w:t>
            </w:r>
            <w:r w:rsidRPr="004A4C5E">
              <w:rPr>
                <w:b/>
                <w:sz w:val="22"/>
                <w:szCs w:val="22"/>
              </w:rPr>
              <w:t>mieste podania</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6F03FBC7" w14:textId="77777777" w:rsidR="009C6AF1" w:rsidRPr="004A4C5E" w:rsidRDefault="009C6AF1" w:rsidP="00936874">
            <w:pPr>
              <w:rPr>
                <w:sz w:val="22"/>
                <w:szCs w:val="22"/>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14:paraId="06DEEA6C" w14:textId="77777777" w:rsidR="009C6AF1" w:rsidRPr="004A4C5E" w:rsidRDefault="00A11E7D" w:rsidP="00E4745F">
            <w:pPr>
              <w:rPr>
                <w:sz w:val="22"/>
                <w:szCs w:val="22"/>
              </w:rPr>
            </w:pPr>
            <w:r w:rsidRPr="004A4C5E">
              <w:rPr>
                <w:bCs/>
                <w:sz w:val="22"/>
                <w:szCs w:val="22"/>
              </w:rPr>
              <w:t>o</w:t>
            </w:r>
            <w:r w:rsidR="007540CB" w:rsidRPr="004A4C5E">
              <w:rPr>
                <w:bCs/>
                <w:sz w:val="22"/>
                <w:szCs w:val="22"/>
              </w:rPr>
              <w:t>chorenie podobné chrípke</w:t>
            </w:r>
            <w:r w:rsidR="009C6AF1" w:rsidRPr="004A4C5E">
              <w:rPr>
                <w:bCs/>
                <w:sz w:val="22"/>
                <w:szCs w:val="22"/>
              </w:rPr>
              <w:t xml:space="preserve">, </w:t>
            </w:r>
            <w:r w:rsidR="007540CB" w:rsidRPr="004A4C5E">
              <w:rPr>
                <w:bCs/>
                <w:sz w:val="22"/>
                <w:szCs w:val="22"/>
              </w:rPr>
              <w:t xml:space="preserve">periférny edém </w:t>
            </w:r>
            <w:r w:rsidR="009C6AF1" w:rsidRPr="004A4C5E">
              <w:rPr>
                <w:bCs/>
                <w:sz w:val="22"/>
                <w:szCs w:val="22"/>
              </w:rPr>
              <w:t>/</w:t>
            </w:r>
            <w:r w:rsidR="007540CB" w:rsidRPr="004A4C5E">
              <w:rPr>
                <w:bCs/>
                <w:sz w:val="22"/>
                <w:szCs w:val="22"/>
              </w:rPr>
              <w:t xml:space="preserve"> zadržiavanie tekutín</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30D3DEB8" w14:textId="77777777" w:rsidR="009C6AF1" w:rsidRPr="004A4C5E" w:rsidRDefault="007540CB" w:rsidP="00E4745F">
            <w:pPr>
              <w:rPr>
                <w:sz w:val="22"/>
                <w:szCs w:val="22"/>
              </w:rPr>
            </w:pPr>
            <w:r w:rsidRPr="004A4C5E">
              <w:rPr>
                <w:rStyle w:val="TableText12"/>
                <w:sz w:val="22"/>
                <w:szCs w:val="22"/>
              </w:rPr>
              <w:t>opuch tváre</w:t>
            </w:r>
            <w:r w:rsidR="009C6AF1" w:rsidRPr="004A4C5E">
              <w:rPr>
                <w:rStyle w:val="TableText12"/>
                <w:sz w:val="22"/>
                <w:szCs w:val="22"/>
              </w:rPr>
              <w:t xml:space="preserve">, </w:t>
            </w:r>
            <w:r w:rsidRPr="004A4C5E">
              <w:rPr>
                <w:rStyle w:val="TableText12"/>
                <w:sz w:val="22"/>
                <w:szCs w:val="22"/>
              </w:rPr>
              <w:t>bolesť na hrudníku</w:t>
            </w:r>
            <w:r w:rsidR="009C6AF1" w:rsidRPr="004A4C5E">
              <w:rPr>
                <w:rStyle w:val="TableText12"/>
                <w:sz w:val="22"/>
                <w:szCs w:val="22"/>
                <w:vertAlign w:val="superscript"/>
              </w:rPr>
              <w:t>4</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4B13F622" w14:textId="77777777" w:rsidR="009C6AF1" w:rsidRPr="004A4C5E" w:rsidRDefault="009C6AF1" w:rsidP="00936874">
            <w:pPr>
              <w:rPr>
                <w:sz w:val="22"/>
                <w:szCs w:val="22"/>
              </w:rPr>
            </w:pPr>
          </w:p>
        </w:tc>
        <w:tc>
          <w:tcPr>
            <w:tcW w:w="1361" w:type="dxa"/>
            <w:tcBorders>
              <w:top w:val="single" w:sz="4" w:space="0" w:color="auto"/>
              <w:left w:val="single" w:sz="4" w:space="0" w:color="auto"/>
              <w:bottom w:val="single" w:sz="4" w:space="0" w:color="auto"/>
              <w:right w:val="single" w:sz="4" w:space="0" w:color="auto"/>
            </w:tcBorders>
          </w:tcPr>
          <w:p w14:paraId="57D66685" w14:textId="77777777" w:rsidR="009C6AF1" w:rsidRPr="004A4C5E" w:rsidRDefault="009C6AF1" w:rsidP="00936874">
            <w:pPr>
              <w:rPr>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5727D2EF" w14:textId="77777777" w:rsidR="009C6AF1" w:rsidRPr="004A4C5E" w:rsidRDefault="009C6AF1" w:rsidP="00936874">
            <w:pPr>
              <w:rPr>
                <w:bCs/>
                <w:sz w:val="22"/>
                <w:szCs w:val="22"/>
              </w:rPr>
            </w:pPr>
          </w:p>
        </w:tc>
      </w:tr>
      <w:tr w:rsidR="00C91366" w:rsidRPr="004A4C5E" w14:paraId="178664C5" w14:textId="77777777" w:rsidTr="00DE5A3E">
        <w:trPr>
          <w:cantSplit/>
          <w:trHeight w:val="149"/>
        </w:trPr>
        <w:tc>
          <w:tcPr>
            <w:tcW w:w="1361" w:type="dxa"/>
            <w:tcBorders>
              <w:top w:val="single" w:sz="4" w:space="0" w:color="auto"/>
              <w:left w:val="single" w:sz="4" w:space="0" w:color="auto"/>
              <w:bottom w:val="single" w:sz="4" w:space="0" w:color="auto"/>
              <w:right w:val="single" w:sz="4" w:space="0" w:color="auto"/>
            </w:tcBorders>
          </w:tcPr>
          <w:p w14:paraId="373B70FC" w14:textId="551DF0AE" w:rsidR="009C6AF1" w:rsidRPr="004A4C5E" w:rsidRDefault="009467A6" w:rsidP="00936874">
            <w:pPr>
              <w:keepNext/>
              <w:keepLines/>
              <w:rPr>
                <w:b/>
                <w:sz w:val="22"/>
                <w:szCs w:val="22"/>
              </w:rPr>
            </w:pPr>
            <w:r w:rsidRPr="004A4C5E">
              <w:rPr>
                <w:b/>
                <w:sz w:val="22"/>
                <w:szCs w:val="22"/>
              </w:rPr>
              <w:t>Úrazy, otravy</w:t>
            </w:r>
            <w:r w:rsidR="00731C93">
              <w:rPr>
                <w:b/>
                <w:sz w:val="22"/>
                <w:szCs w:val="22"/>
              </w:rPr>
              <w:t xml:space="preserve"> a </w:t>
            </w:r>
            <w:r w:rsidRPr="004A4C5E">
              <w:rPr>
                <w:b/>
                <w:sz w:val="22"/>
                <w:szCs w:val="22"/>
              </w:rPr>
              <w:t>komplikácie liečebného postupu</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7E6A31A9" w14:textId="77777777" w:rsidR="009C6AF1" w:rsidRPr="004A4C5E" w:rsidRDefault="009C6AF1" w:rsidP="00936874">
            <w:pPr>
              <w:keepNext/>
              <w:keepLines/>
              <w:rPr>
                <w:sz w:val="22"/>
                <w:szCs w:val="22"/>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14:paraId="4B00107D" w14:textId="77777777" w:rsidR="009C6AF1" w:rsidRPr="004A4C5E" w:rsidDel="00741085" w:rsidRDefault="007540CB" w:rsidP="00E4745F">
            <w:pPr>
              <w:keepNext/>
              <w:keepLines/>
              <w:rPr>
                <w:bCs/>
                <w:sz w:val="22"/>
                <w:szCs w:val="22"/>
              </w:rPr>
            </w:pPr>
            <w:r w:rsidRPr="004A4C5E">
              <w:rPr>
                <w:bCs/>
                <w:sz w:val="22"/>
                <w:szCs w:val="22"/>
              </w:rPr>
              <w:t>zranenie (zranenie pri nehode</w:t>
            </w:r>
            <w:r w:rsidR="009C6AF1" w:rsidRPr="004A4C5E">
              <w:rPr>
                <w:bCs/>
                <w:sz w:val="22"/>
                <w:szCs w:val="22"/>
              </w:rPr>
              <w:t>)</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5C855B0F" w14:textId="77777777" w:rsidR="009C6AF1" w:rsidRPr="004A4C5E" w:rsidRDefault="009C6AF1" w:rsidP="00936874">
            <w:pPr>
              <w:keepNext/>
              <w:keepLines/>
              <w:rPr>
                <w:rStyle w:val="TableText12"/>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03032B84" w14:textId="77777777" w:rsidR="009C6AF1" w:rsidRPr="004A4C5E" w:rsidRDefault="009C6AF1" w:rsidP="00936874">
            <w:pPr>
              <w:keepNext/>
              <w:keepLines/>
              <w:rPr>
                <w:sz w:val="22"/>
                <w:szCs w:val="22"/>
              </w:rPr>
            </w:pPr>
          </w:p>
        </w:tc>
        <w:tc>
          <w:tcPr>
            <w:tcW w:w="1361" w:type="dxa"/>
            <w:tcBorders>
              <w:top w:val="single" w:sz="4" w:space="0" w:color="auto"/>
              <w:left w:val="single" w:sz="4" w:space="0" w:color="auto"/>
              <w:bottom w:val="single" w:sz="4" w:space="0" w:color="auto"/>
              <w:right w:val="single" w:sz="4" w:space="0" w:color="auto"/>
            </w:tcBorders>
          </w:tcPr>
          <w:p w14:paraId="2BA90AFF" w14:textId="77777777" w:rsidR="009C6AF1" w:rsidRPr="004A4C5E" w:rsidRDefault="009C6AF1" w:rsidP="00936874">
            <w:pPr>
              <w:keepNext/>
              <w:keepLines/>
              <w:rPr>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0F179A48" w14:textId="77777777" w:rsidR="009C6AF1" w:rsidRPr="004A4C5E" w:rsidDel="00741085" w:rsidRDefault="009C6AF1" w:rsidP="00936874">
            <w:pPr>
              <w:keepNext/>
              <w:keepLines/>
              <w:rPr>
                <w:bCs/>
                <w:sz w:val="22"/>
                <w:szCs w:val="22"/>
              </w:rPr>
            </w:pPr>
          </w:p>
        </w:tc>
      </w:tr>
    </w:tbl>
    <w:p w14:paraId="757C895A" w14:textId="28DFC5E1" w:rsidR="001F36EC" w:rsidRPr="00DE5A3E" w:rsidRDefault="001F36EC" w:rsidP="001F36EC">
      <w:pPr>
        <w:tabs>
          <w:tab w:val="left" w:pos="567"/>
        </w:tabs>
        <w:rPr>
          <w:sz w:val="18"/>
          <w:szCs w:val="18"/>
        </w:rPr>
      </w:pPr>
      <w:r w:rsidRPr="00DE5A3E">
        <w:rPr>
          <w:sz w:val="18"/>
          <w:szCs w:val="18"/>
        </w:rPr>
        <w:t>1  Nežiaduce reakcie zo skúšaní prevencie polypov, reprezentujúce účastníkov klinického skúšania liečených celekoxibom</w:t>
      </w:r>
      <w:r w:rsidR="00731C93">
        <w:rPr>
          <w:sz w:val="18"/>
          <w:szCs w:val="18"/>
        </w:rPr>
        <w:t xml:space="preserve"> v </w:t>
      </w:r>
      <w:r w:rsidRPr="00DE5A3E">
        <w:rPr>
          <w:sz w:val="18"/>
          <w:szCs w:val="18"/>
        </w:rPr>
        <w:t>dávke 400</w:t>
      </w:r>
      <w:r w:rsidR="00731C93">
        <w:rPr>
          <w:sz w:val="18"/>
          <w:szCs w:val="18"/>
        </w:rPr>
        <w:t xml:space="preserve"> mg </w:t>
      </w:r>
      <w:r w:rsidRPr="00DE5A3E">
        <w:rPr>
          <w:sz w:val="18"/>
          <w:szCs w:val="18"/>
        </w:rPr>
        <w:t>denne</w:t>
      </w:r>
      <w:r w:rsidR="00731C93">
        <w:rPr>
          <w:sz w:val="18"/>
          <w:szCs w:val="18"/>
        </w:rPr>
        <w:t xml:space="preserve"> v </w:t>
      </w:r>
      <w:r w:rsidRPr="00DE5A3E">
        <w:rPr>
          <w:sz w:val="18"/>
          <w:szCs w:val="18"/>
        </w:rPr>
        <w:t>2 klinických skúšaniach</w:t>
      </w:r>
      <w:r w:rsidR="00731C93">
        <w:rPr>
          <w:sz w:val="18"/>
          <w:szCs w:val="18"/>
        </w:rPr>
        <w:t xml:space="preserve"> v </w:t>
      </w:r>
      <w:r w:rsidRPr="00DE5A3E">
        <w:rPr>
          <w:sz w:val="18"/>
          <w:szCs w:val="18"/>
        </w:rPr>
        <w:t>trvaní 3 roky (skúšania APC - Adenoma Prevention with Celecoxib</w:t>
      </w:r>
      <w:r w:rsidR="00731C93">
        <w:rPr>
          <w:sz w:val="18"/>
          <w:szCs w:val="18"/>
        </w:rPr>
        <w:t xml:space="preserve"> a </w:t>
      </w:r>
      <w:r w:rsidRPr="00DE5A3E">
        <w:rPr>
          <w:sz w:val="18"/>
          <w:szCs w:val="18"/>
        </w:rPr>
        <w:t>PreSAP - Prevention of Spontaneous Adenomatous Polyps). Nežiaduce reakcie uvedené vyššie zo skúšaní prevencie polypov sú len tie, ktoré boli predtým zaznamenané zo skúseností po uvedení lieku na trh alebo sa vyskytli častejšie ako</w:t>
      </w:r>
      <w:r w:rsidR="00731C93">
        <w:rPr>
          <w:sz w:val="18"/>
          <w:szCs w:val="18"/>
        </w:rPr>
        <w:t xml:space="preserve"> v </w:t>
      </w:r>
      <w:r w:rsidRPr="00DE5A3E">
        <w:rPr>
          <w:sz w:val="18"/>
          <w:szCs w:val="18"/>
        </w:rPr>
        <w:t>skúšaniach artritídy.</w:t>
      </w:r>
    </w:p>
    <w:p w14:paraId="45AE40D9" w14:textId="2B0FA0F1" w:rsidR="001F36EC" w:rsidRPr="00DE5A3E" w:rsidRDefault="001F36EC" w:rsidP="001F36EC">
      <w:pPr>
        <w:tabs>
          <w:tab w:val="left" w:pos="567"/>
        </w:tabs>
        <w:rPr>
          <w:sz w:val="18"/>
          <w:szCs w:val="18"/>
        </w:rPr>
      </w:pPr>
      <w:r w:rsidRPr="00DE5A3E">
        <w:rPr>
          <w:sz w:val="18"/>
          <w:szCs w:val="18"/>
        </w:rPr>
        <w:t>2  Navyše, nasledovné predtým neznáme nežiaduce reakcie zo skúšaní prevencie polypov, reprezentujúce účastníkov klinického skúšania liečených celekoxibom</w:t>
      </w:r>
      <w:r w:rsidR="00731C93">
        <w:rPr>
          <w:sz w:val="18"/>
          <w:szCs w:val="18"/>
        </w:rPr>
        <w:t xml:space="preserve"> v </w:t>
      </w:r>
      <w:r w:rsidRPr="00DE5A3E">
        <w:rPr>
          <w:sz w:val="18"/>
          <w:szCs w:val="18"/>
        </w:rPr>
        <w:t>dávke 400</w:t>
      </w:r>
      <w:r w:rsidR="00731C93">
        <w:rPr>
          <w:sz w:val="18"/>
          <w:szCs w:val="18"/>
        </w:rPr>
        <w:t xml:space="preserve"> mg </w:t>
      </w:r>
      <w:r w:rsidRPr="00DE5A3E">
        <w:rPr>
          <w:sz w:val="18"/>
          <w:szCs w:val="18"/>
        </w:rPr>
        <w:t>denne</w:t>
      </w:r>
      <w:r w:rsidR="00731C93">
        <w:rPr>
          <w:sz w:val="18"/>
          <w:szCs w:val="18"/>
        </w:rPr>
        <w:t xml:space="preserve"> v </w:t>
      </w:r>
      <w:r w:rsidRPr="00DE5A3E">
        <w:rPr>
          <w:sz w:val="18"/>
          <w:szCs w:val="18"/>
        </w:rPr>
        <w:t>2 klinických skúšaniach</w:t>
      </w:r>
      <w:r w:rsidR="00731C93">
        <w:rPr>
          <w:sz w:val="18"/>
          <w:szCs w:val="18"/>
        </w:rPr>
        <w:t xml:space="preserve"> v </w:t>
      </w:r>
      <w:r w:rsidRPr="00DE5A3E">
        <w:rPr>
          <w:sz w:val="18"/>
          <w:szCs w:val="18"/>
        </w:rPr>
        <w:t>trvaní 3 roky (skúšania APC - Adenoma Prevention with Celecoxib</w:t>
      </w:r>
      <w:r w:rsidR="00731C93">
        <w:rPr>
          <w:sz w:val="18"/>
          <w:szCs w:val="18"/>
        </w:rPr>
        <w:t xml:space="preserve"> a </w:t>
      </w:r>
      <w:r w:rsidRPr="00DE5A3E">
        <w:rPr>
          <w:sz w:val="18"/>
          <w:szCs w:val="18"/>
        </w:rPr>
        <w:t>PreSAP - Prevention of Spontaneous Adenomatous Polyps) sú:</w:t>
      </w:r>
    </w:p>
    <w:p w14:paraId="48FAA81D" w14:textId="7B2E88A7" w:rsidR="001F36EC" w:rsidRPr="00DE5A3E" w:rsidRDefault="001F36EC" w:rsidP="001F36EC">
      <w:pPr>
        <w:tabs>
          <w:tab w:val="left" w:pos="567"/>
        </w:tabs>
        <w:rPr>
          <w:sz w:val="18"/>
          <w:szCs w:val="18"/>
        </w:rPr>
      </w:pPr>
      <w:r w:rsidRPr="00DE5A3E">
        <w:rPr>
          <w:sz w:val="18"/>
          <w:szCs w:val="18"/>
        </w:rPr>
        <w:t>Časté: angína pektoris, syndróm dráždivého čreva, nefrolitiáza, zvýšenie kreatinínu</w:t>
      </w:r>
      <w:r w:rsidR="00731C93">
        <w:rPr>
          <w:sz w:val="18"/>
          <w:szCs w:val="18"/>
        </w:rPr>
        <w:t xml:space="preserve"> v </w:t>
      </w:r>
      <w:r w:rsidRPr="00DE5A3E">
        <w:rPr>
          <w:sz w:val="18"/>
          <w:szCs w:val="18"/>
        </w:rPr>
        <w:t>krvi, benígna hyperplázia prostaty, nárast telesnej hmotnosti. Menej časté: infekcia Helicobacter, herpes zoster, eryzipel, bronchopneumónia, zápal vnútorného ucha, infekcia ďasien, lipóm, opacity</w:t>
      </w:r>
      <w:r w:rsidR="00731C93">
        <w:rPr>
          <w:sz w:val="18"/>
          <w:szCs w:val="18"/>
        </w:rPr>
        <w:t xml:space="preserve"> v </w:t>
      </w:r>
      <w:r w:rsidRPr="00DE5A3E">
        <w:rPr>
          <w:sz w:val="18"/>
          <w:szCs w:val="18"/>
        </w:rPr>
        <w:t>sklovci, hemorágia spojovky, hlboká žilová trombóza, dysfónia, hemoroidálna hemorágia, častá stolica, vredy</w:t>
      </w:r>
      <w:r w:rsidR="00731C93">
        <w:rPr>
          <w:sz w:val="18"/>
          <w:szCs w:val="18"/>
        </w:rPr>
        <w:t xml:space="preserve"> v </w:t>
      </w:r>
      <w:r w:rsidRPr="00DE5A3E">
        <w:rPr>
          <w:sz w:val="18"/>
          <w:szCs w:val="18"/>
        </w:rPr>
        <w:t>ústach, alergická dermatitída, ganglion, noktúria, vaginálne krvácanie, citlivosť prsníkov, zlomenina dolnej končatiny, zvýšenie sodíka</w:t>
      </w:r>
      <w:r w:rsidR="00731C93">
        <w:rPr>
          <w:sz w:val="18"/>
          <w:szCs w:val="18"/>
        </w:rPr>
        <w:t xml:space="preserve"> v </w:t>
      </w:r>
      <w:r w:rsidRPr="00DE5A3E">
        <w:rPr>
          <w:sz w:val="18"/>
          <w:szCs w:val="18"/>
        </w:rPr>
        <w:t>krvi.</w:t>
      </w:r>
    </w:p>
    <w:p w14:paraId="53102DDC" w14:textId="01126B0A" w:rsidR="001F36EC" w:rsidRPr="00DE5A3E" w:rsidRDefault="001F36EC" w:rsidP="001F36EC">
      <w:pPr>
        <w:tabs>
          <w:tab w:val="left" w:pos="567"/>
        </w:tabs>
        <w:rPr>
          <w:sz w:val="18"/>
          <w:szCs w:val="18"/>
        </w:rPr>
      </w:pPr>
      <w:r w:rsidRPr="00DE5A3E">
        <w:rPr>
          <w:sz w:val="18"/>
          <w:szCs w:val="18"/>
        </w:rPr>
        <w:t>3  Ženy, ktoré chcú otehotnieť sú vylúčené zo všetkých klinických skúšaní</w:t>
      </w:r>
      <w:r w:rsidR="00731C93">
        <w:rPr>
          <w:sz w:val="18"/>
          <w:szCs w:val="18"/>
        </w:rPr>
        <w:t xml:space="preserve"> a </w:t>
      </w:r>
      <w:r w:rsidRPr="00DE5A3E">
        <w:rPr>
          <w:sz w:val="18"/>
          <w:szCs w:val="18"/>
        </w:rPr>
        <w:t>teda použitie údajov z databázy klinických skúšaní pre stanovenie frekvencie tohto nežiaduceho účinku bolo neopodstatnené.</w:t>
      </w:r>
    </w:p>
    <w:p w14:paraId="723B390B" w14:textId="264386F1" w:rsidR="001F36EC" w:rsidRPr="00DE5A3E" w:rsidRDefault="001F36EC" w:rsidP="001F36EC">
      <w:pPr>
        <w:tabs>
          <w:tab w:val="left" w:pos="567"/>
        </w:tabs>
        <w:rPr>
          <w:sz w:val="18"/>
          <w:szCs w:val="18"/>
        </w:rPr>
      </w:pPr>
      <w:r w:rsidRPr="00DE5A3E">
        <w:rPr>
          <w:sz w:val="18"/>
          <w:szCs w:val="18"/>
        </w:rPr>
        <w:t>4  Frekvencia nežiaducich účinkov vychádza z kumulatívnych meta-analýz zo skúšaní spolu</w:t>
      </w:r>
      <w:r w:rsidR="00731C93">
        <w:rPr>
          <w:sz w:val="18"/>
          <w:szCs w:val="18"/>
        </w:rPr>
        <w:t xml:space="preserve"> u </w:t>
      </w:r>
      <w:r w:rsidRPr="00DE5A3E">
        <w:rPr>
          <w:sz w:val="18"/>
          <w:szCs w:val="18"/>
        </w:rPr>
        <w:t>38</w:t>
      </w:r>
      <w:r w:rsidR="00731C93">
        <w:rPr>
          <w:sz w:val="18"/>
          <w:szCs w:val="18"/>
        </w:rPr>
        <w:t> </w:t>
      </w:r>
      <w:r w:rsidRPr="00DE5A3E">
        <w:rPr>
          <w:sz w:val="18"/>
          <w:szCs w:val="18"/>
        </w:rPr>
        <w:t>102 pacientov.</w:t>
      </w:r>
    </w:p>
    <w:p w14:paraId="038961D9" w14:textId="77777777" w:rsidR="004D1003" w:rsidRDefault="004D1003" w:rsidP="000F2C6E">
      <w:pPr>
        <w:tabs>
          <w:tab w:val="left" w:pos="567"/>
        </w:tabs>
        <w:rPr>
          <w:iCs/>
          <w:sz w:val="22"/>
          <w:szCs w:val="22"/>
        </w:rPr>
      </w:pPr>
    </w:p>
    <w:p w14:paraId="487B809F" w14:textId="4D06EF46" w:rsidR="00FF3A4F" w:rsidRDefault="00D67F9D" w:rsidP="000F2C6E">
      <w:pPr>
        <w:tabs>
          <w:tab w:val="left" w:pos="567"/>
        </w:tabs>
        <w:rPr>
          <w:iCs/>
          <w:sz w:val="22"/>
          <w:szCs w:val="22"/>
        </w:rPr>
      </w:pPr>
      <w:r>
        <w:rPr>
          <w:iCs/>
          <w:sz w:val="22"/>
          <w:szCs w:val="22"/>
        </w:rPr>
        <w:t>V konečných údajoch</w:t>
      </w:r>
      <w:r w:rsidR="004D1003">
        <w:rPr>
          <w:iCs/>
          <w:sz w:val="22"/>
          <w:szCs w:val="22"/>
        </w:rPr>
        <w:t xml:space="preserve"> (posúden</w:t>
      </w:r>
      <w:r>
        <w:rPr>
          <w:iCs/>
          <w:sz w:val="22"/>
          <w:szCs w:val="22"/>
        </w:rPr>
        <w:t>ých</w:t>
      </w:r>
      <w:r w:rsidR="004D1003">
        <w:rPr>
          <w:iCs/>
          <w:sz w:val="22"/>
          <w:szCs w:val="22"/>
        </w:rPr>
        <w:t xml:space="preserve">) zo skúšaní </w:t>
      </w:r>
      <w:r w:rsidR="004D1003" w:rsidRPr="004D1003">
        <w:rPr>
          <w:iCs/>
          <w:sz w:val="22"/>
          <w:szCs w:val="22"/>
        </w:rPr>
        <w:t>APC</w:t>
      </w:r>
      <w:r w:rsidR="00731C93">
        <w:rPr>
          <w:iCs/>
          <w:sz w:val="22"/>
          <w:szCs w:val="22"/>
        </w:rPr>
        <w:t xml:space="preserve"> a </w:t>
      </w:r>
      <w:r w:rsidR="004D1003" w:rsidRPr="004D1003">
        <w:rPr>
          <w:iCs/>
          <w:sz w:val="22"/>
          <w:szCs w:val="22"/>
        </w:rPr>
        <w:t>PreSAP</w:t>
      </w:r>
      <w:r w:rsidR="00731C93">
        <w:rPr>
          <w:iCs/>
          <w:sz w:val="22"/>
          <w:szCs w:val="22"/>
        </w:rPr>
        <w:t xml:space="preserve"> u </w:t>
      </w:r>
      <w:r w:rsidR="004D1003" w:rsidRPr="004D1003">
        <w:rPr>
          <w:iCs/>
          <w:sz w:val="22"/>
          <w:szCs w:val="22"/>
        </w:rPr>
        <w:t>pacientov liečených celekoxibom v</w:t>
      </w:r>
      <w:r w:rsidR="003224EC">
        <w:rPr>
          <w:iCs/>
          <w:sz w:val="22"/>
          <w:szCs w:val="22"/>
        </w:rPr>
        <w:t> </w:t>
      </w:r>
      <w:r w:rsidR="004D1003" w:rsidRPr="004D1003">
        <w:rPr>
          <w:iCs/>
          <w:sz w:val="22"/>
          <w:szCs w:val="22"/>
        </w:rPr>
        <w:t>dávke 400</w:t>
      </w:r>
      <w:r>
        <w:rPr>
          <w:iCs/>
          <w:sz w:val="22"/>
          <w:szCs w:val="22"/>
        </w:rPr>
        <w:t> </w:t>
      </w:r>
      <w:r w:rsidR="004D1003" w:rsidRPr="004D1003">
        <w:rPr>
          <w:iCs/>
          <w:sz w:val="22"/>
          <w:szCs w:val="22"/>
        </w:rPr>
        <w:t>mg denne trvajúc</w:t>
      </w:r>
      <w:r w:rsidR="004D1003">
        <w:rPr>
          <w:iCs/>
          <w:sz w:val="22"/>
          <w:szCs w:val="22"/>
        </w:rPr>
        <w:t>om</w:t>
      </w:r>
      <w:r w:rsidR="004D1003" w:rsidRPr="004D1003">
        <w:rPr>
          <w:iCs/>
          <w:sz w:val="22"/>
          <w:szCs w:val="22"/>
        </w:rPr>
        <w:t xml:space="preserve"> 3 r</w:t>
      </w:r>
      <w:r w:rsidR="00832886">
        <w:rPr>
          <w:iCs/>
          <w:sz w:val="22"/>
          <w:szCs w:val="22"/>
        </w:rPr>
        <w:t>o</w:t>
      </w:r>
      <w:r w:rsidR="004D1003" w:rsidRPr="004D1003">
        <w:rPr>
          <w:iCs/>
          <w:sz w:val="22"/>
          <w:szCs w:val="22"/>
        </w:rPr>
        <w:t xml:space="preserve">ky </w:t>
      </w:r>
      <w:r w:rsidR="004D1003">
        <w:rPr>
          <w:iCs/>
          <w:sz w:val="22"/>
          <w:szCs w:val="22"/>
        </w:rPr>
        <w:t>(</w:t>
      </w:r>
      <w:r w:rsidR="00FF3A4F">
        <w:rPr>
          <w:iCs/>
          <w:sz w:val="22"/>
          <w:szCs w:val="22"/>
        </w:rPr>
        <w:t xml:space="preserve">údaje spojené z oboch skúšaní; výsledky jednotlivých skúšaní si pozrite </w:t>
      </w:r>
      <w:r w:rsidR="00447D6F">
        <w:rPr>
          <w:iCs/>
          <w:sz w:val="22"/>
          <w:szCs w:val="22"/>
        </w:rPr>
        <w:t>v </w:t>
      </w:r>
      <w:r w:rsidR="00FF3A4F">
        <w:rPr>
          <w:iCs/>
          <w:sz w:val="22"/>
          <w:szCs w:val="22"/>
        </w:rPr>
        <w:t>čas</w:t>
      </w:r>
      <w:r w:rsidR="00447D6F">
        <w:rPr>
          <w:iCs/>
          <w:sz w:val="22"/>
          <w:szCs w:val="22"/>
        </w:rPr>
        <w:t xml:space="preserve">ti </w:t>
      </w:r>
      <w:r w:rsidR="00FF3A4F">
        <w:rPr>
          <w:iCs/>
          <w:sz w:val="22"/>
          <w:szCs w:val="22"/>
        </w:rPr>
        <w:t>5.1</w:t>
      </w:r>
      <w:r w:rsidR="004D1003">
        <w:rPr>
          <w:iCs/>
          <w:sz w:val="22"/>
          <w:szCs w:val="22"/>
        </w:rPr>
        <w:t xml:space="preserve">) </w:t>
      </w:r>
      <w:r>
        <w:rPr>
          <w:iCs/>
          <w:sz w:val="22"/>
          <w:szCs w:val="22"/>
        </w:rPr>
        <w:t>bol oproti placebu vyšší podiel infarktu myokardu</w:t>
      </w:r>
      <w:r w:rsidR="00E9322A">
        <w:rPr>
          <w:iCs/>
          <w:sz w:val="22"/>
          <w:szCs w:val="22"/>
        </w:rPr>
        <w:t xml:space="preserve"> - </w:t>
      </w:r>
      <w:r>
        <w:rPr>
          <w:iCs/>
          <w:sz w:val="22"/>
          <w:szCs w:val="22"/>
        </w:rPr>
        <w:t>7,6 udalostí na 1 000 pacientov (menej časté)</w:t>
      </w:r>
      <w:r w:rsidR="00731C93">
        <w:rPr>
          <w:iCs/>
          <w:sz w:val="22"/>
          <w:szCs w:val="22"/>
        </w:rPr>
        <w:t xml:space="preserve"> a </w:t>
      </w:r>
      <w:r>
        <w:rPr>
          <w:iCs/>
          <w:sz w:val="22"/>
          <w:szCs w:val="22"/>
        </w:rPr>
        <w:t>vyšší podiel oproti placebu nebol prítomný pre cievnu mozgovú príhodu (typy sa nediferencovli).</w:t>
      </w:r>
    </w:p>
    <w:p w14:paraId="450235D8" w14:textId="77777777" w:rsidR="00FF3A4F" w:rsidRPr="00DE5A3E" w:rsidRDefault="00FF3A4F" w:rsidP="000F2C6E">
      <w:pPr>
        <w:tabs>
          <w:tab w:val="left" w:pos="567"/>
        </w:tabs>
        <w:rPr>
          <w:sz w:val="22"/>
        </w:rPr>
      </w:pPr>
    </w:p>
    <w:p w14:paraId="00D87065" w14:textId="77777777" w:rsidR="00FA71B4" w:rsidRPr="00B048EB" w:rsidRDefault="00FA71B4" w:rsidP="00DE5A3E">
      <w:pPr>
        <w:keepNext/>
        <w:rPr>
          <w:sz w:val="22"/>
          <w:szCs w:val="22"/>
          <w:u w:val="single"/>
        </w:rPr>
      </w:pPr>
      <w:bookmarkStart w:id="1" w:name="_Ref148416489"/>
      <w:r w:rsidRPr="00B048EB">
        <w:rPr>
          <w:sz w:val="22"/>
          <w:szCs w:val="22"/>
          <w:u w:val="single"/>
        </w:rPr>
        <w:t>Hlásenie podozrení na nežiaduce reakcie</w:t>
      </w:r>
    </w:p>
    <w:p w14:paraId="0A5C8CC4" w14:textId="77777777" w:rsidR="00FA71B4" w:rsidRPr="00B048EB" w:rsidRDefault="00FA71B4" w:rsidP="000F2C6E">
      <w:pPr>
        <w:autoSpaceDE w:val="0"/>
        <w:rPr>
          <w:sz w:val="22"/>
          <w:szCs w:val="22"/>
          <w:shd w:val="clear" w:color="auto" w:fill="C0C0C0"/>
        </w:rPr>
      </w:pPr>
      <w:r w:rsidRPr="00B048EB">
        <w:rPr>
          <w:sz w:val="22"/>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EA678A" w:rsidRPr="00B048EB">
        <w:rPr>
          <w:sz w:val="22"/>
          <w:szCs w:val="22"/>
        </w:rPr>
        <w:t>na</w:t>
      </w:r>
      <w:r w:rsidRPr="00B048EB">
        <w:rPr>
          <w:sz w:val="22"/>
          <w:szCs w:val="22"/>
        </w:rPr>
        <w:t xml:space="preserve"> </w:t>
      </w:r>
      <w:r w:rsidRPr="00B048EB">
        <w:rPr>
          <w:sz w:val="22"/>
          <w:szCs w:val="22"/>
          <w:shd w:val="clear" w:color="auto" w:fill="C0C0C0"/>
        </w:rPr>
        <w:t>národné</w:t>
      </w:r>
      <w:r w:rsidR="00EA678A" w:rsidRPr="00B048EB">
        <w:rPr>
          <w:sz w:val="22"/>
          <w:szCs w:val="22"/>
          <w:shd w:val="clear" w:color="auto" w:fill="C0C0C0"/>
        </w:rPr>
        <w:t xml:space="preserve"> centrum</w:t>
      </w:r>
      <w:r w:rsidRPr="00B048EB">
        <w:rPr>
          <w:sz w:val="22"/>
          <w:szCs w:val="22"/>
          <w:shd w:val="clear" w:color="auto" w:fill="C0C0C0"/>
        </w:rPr>
        <w:t xml:space="preserve"> hlásenia uvedené v </w:t>
      </w:r>
      <w:hyperlink r:id="rId9" w:history="1">
        <w:r w:rsidRPr="00B048EB">
          <w:rPr>
            <w:rStyle w:val="Hypertextovprepojenie"/>
            <w:sz w:val="22"/>
            <w:szCs w:val="22"/>
            <w:highlight w:val="lightGray"/>
          </w:rPr>
          <w:t>Prílohe V</w:t>
        </w:r>
      </w:hyperlink>
      <w:r w:rsidRPr="00B048EB">
        <w:rPr>
          <w:sz w:val="22"/>
          <w:szCs w:val="22"/>
          <w:shd w:val="clear" w:color="auto" w:fill="C0C0C0"/>
        </w:rPr>
        <w:t>.</w:t>
      </w:r>
    </w:p>
    <w:p w14:paraId="1B90E5EA" w14:textId="77777777" w:rsidR="00FA71B4" w:rsidRPr="00B048EB" w:rsidRDefault="00FA71B4" w:rsidP="00370DBB">
      <w:pPr>
        <w:rPr>
          <w:b/>
          <w:bCs/>
          <w:sz w:val="22"/>
          <w:szCs w:val="22"/>
        </w:rPr>
      </w:pPr>
    </w:p>
    <w:bookmarkEnd w:id="1"/>
    <w:p w14:paraId="20D11585" w14:textId="77777777" w:rsidR="00FA71B4" w:rsidRPr="00B048EB" w:rsidRDefault="00FA71B4" w:rsidP="00DE5A3E">
      <w:pPr>
        <w:keepNext/>
        <w:tabs>
          <w:tab w:val="left" w:pos="567"/>
        </w:tabs>
        <w:rPr>
          <w:b/>
          <w:sz w:val="22"/>
          <w:szCs w:val="22"/>
        </w:rPr>
      </w:pPr>
      <w:r w:rsidRPr="00B048EB">
        <w:rPr>
          <w:b/>
          <w:sz w:val="22"/>
          <w:szCs w:val="22"/>
        </w:rPr>
        <w:t>4.9</w:t>
      </w:r>
      <w:r w:rsidRPr="00B048EB">
        <w:rPr>
          <w:b/>
          <w:sz w:val="22"/>
          <w:szCs w:val="22"/>
        </w:rPr>
        <w:tab/>
        <w:t>Predávkovanie</w:t>
      </w:r>
    </w:p>
    <w:p w14:paraId="1033406F" w14:textId="77777777" w:rsidR="00FA71B4" w:rsidRPr="00B048EB" w:rsidRDefault="00FA71B4" w:rsidP="00DE5A3E">
      <w:pPr>
        <w:keepNext/>
        <w:tabs>
          <w:tab w:val="left" w:pos="567"/>
        </w:tabs>
        <w:rPr>
          <w:bCs/>
          <w:sz w:val="22"/>
          <w:szCs w:val="22"/>
        </w:rPr>
      </w:pPr>
    </w:p>
    <w:p w14:paraId="193BAB7F" w14:textId="518BDFD1" w:rsidR="00FA71B4" w:rsidRPr="00B048EB" w:rsidRDefault="00FA71B4" w:rsidP="000F2C6E">
      <w:pPr>
        <w:tabs>
          <w:tab w:val="left" w:pos="567"/>
        </w:tabs>
        <w:rPr>
          <w:bCs/>
          <w:sz w:val="22"/>
          <w:szCs w:val="22"/>
        </w:rPr>
      </w:pPr>
      <w:r w:rsidRPr="00B048EB">
        <w:rPr>
          <w:bCs/>
          <w:sz w:val="22"/>
          <w:szCs w:val="22"/>
        </w:rPr>
        <w:t>Nie sú žiadne klinické skúsenosti s predávkovaním. Jednorazové dávky až do 1</w:t>
      </w:r>
      <w:r w:rsidR="00E9322A">
        <w:rPr>
          <w:bCs/>
          <w:sz w:val="22"/>
          <w:szCs w:val="22"/>
        </w:rPr>
        <w:t> </w:t>
      </w:r>
      <w:r w:rsidRPr="00B048EB">
        <w:rPr>
          <w:bCs/>
          <w:sz w:val="22"/>
          <w:szCs w:val="22"/>
        </w:rPr>
        <w:t>200 mg a viacnásobné dávky do 1</w:t>
      </w:r>
      <w:r w:rsidR="00E9322A">
        <w:rPr>
          <w:bCs/>
          <w:sz w:val="22"/>
          <w:szCs w:val="22"/>
        </w:rPr>
        <w:t> </w:t>
      </w:r>
      <w:r w:rsidRPr="00B048EB">
        <w:rPr>
          <w:bCs/>
          <w:sz w:val="22"/>
          <w:szCs w:val="22"/>
        </w:rPr>
        <w:t xml:space="preserve">200 mg dvakrát denne boli podávané zdravým dobrovoľníkom počas 9 dní bez klinicky významných nežiaducich účinkov. V prípade podozrenia na predávkovanie </w:t>
      </w:r>
      <w:r w:rsidRPr="00B048EB">
        <w:rPr>
          <w:sz w:val="22"/>
          <w:szCs w:val="22"/>
        </w:rPr>
        <w:t>sa musí</w:t>
      </w:r>
      <w:r w:rsidRPr="00B048EB">
        <w:rPr>
          <w:bCs/>
          <w:sz w:val="22"/>
          <w:szCs w:val="22"/>
        </w:rPr>
        <w:t xml:space="preserve"> poskytnúť vhodná podporná liečebná starostlivosť, napr. vyprázdnenie obsahu žalúdka, lekársky dohľad a v prípade potreby zaviesť symptomatickú liečbu. Vzhľadom k pevnej väzbe na bielkoviny je nepravdepodobné, že </w:t>
      </w:r>
      <w:r w:rsidRPr="00B048EB">
        <w:rPr>
          <w:sz w:val="22"/>
          <w:szCs w:val="22"/>
        </w:rPr>
        <w:t xml:space="preserve">liek možno účinne odstrániť </w:t>
      </w:r>
      <w:r w:rsidRPr="00B048EB">
        <w:rPr>
          <w:bCs/>
          <w:sz w:val="22"/>
          <w:szCs w:val="22"/>
        </w:rPr>
        <w:t xml:space="preserve">z organizmu </w:t>
      </w:r>
      <w:r w:rsidRPr="00B048EB">
        <w:rPr>
          <w:sz w:val="22"/>
          <w:szCs w:val="22"/>
        </w:rPr>
        <w:t>dialýzou</w:t>
      </w:r>
      <w:r w:rsidRPr="00B048EB">
        <w:rPr>
          <w:bCs/>
          <w:sz w:val="22"/>
          <w:szCs w:val="22"/>
        </w:rPr>
        <w:t>.</w:t>
      </w:r>
    </w:p>
    <w:p w14:paraId="212ED5B5" w14:textId="77777777" w:rsidR="00FA71B4" w:rsidRPr="00B048EB" w:rsidRDefault="00FA71B4" w:rsidP="000F2C6E">
      <w:pPr>
        <w:tabs>
          <w:tab w:val="left" w:pos="567"/>
        </w:tabs>
        <w:rPr>
          <w:bCs/>
          <w:sz w:val="22"/>
          <w:szCs w:val="22"/>
        </w:rPr>
      </w:pPr>
    </w:p>
    <w:p w14:paraId="1CC9432E" w14:textId="77777777" w:rsidR="009C7C93" w:rsidRPr="00B048EB" w:rsidRDefault="009C7C93" w:rsidP="000F2C6E">
      <w:pPr>
        <w:tabs>
          <w:tab w:val="left" w:pos="567"/>
        </w:tabs>
        <w:rPr>
          <w:bCs/>
          <w:sz w:val="22"/>
          <w:szCs w:val="22"/>
        </w:rPr>
      </w:pPr>
    </w:p>
    <w:p w14:paraId="7023034D" w14:textId="77777777" w:rsidR="00FA71B4" w:rsidRPr="00B048EB" w:rsidRDefault="00FA71B4" w:rsidP="00DE5A3E">
      <w:pPr>
        <w:keepNext/>
        <w:tabs>
          <w:tab w:val="left" w:pos="567"/>
        </w:tabs>
        <w:rPr>
          <w:b/>
          <w:caps/>
          <w:sz w:val="22"/>
          <w:szCs w:val="22"/>
        </w:rPr>
      </w:pPr>
      <w:r w:rsidRPr="00B048EB">
        <w:rPr>
          <w:b/>
          <w:sz w:val="22"/>
          <w:szCs w:val="22"/>
        </w:rPr>
        <w:lastRenderedPageBreak/>
        <w:t>5.</w:t>
      </w:r>
      <w:r w:rsidRPr="00B048EB">
        <w:rPr>
          <w:b/>
          <w:sz w:val="22"/>
          <w:szCs w:val="22"/>
        </w:rPr>
        <w:tab/>
        <w:t>F</w:t>
      </w:r>
      <w:r w:rsidRPr="00B048EB">
        <w:rPr>
          <w:b/>
          <w:caps/>
          <w:sz w:val="22"/>
          <w:szCs w:val="22"/>
        </w:rPr>
        <w:t>armakologické vlastnosti</w:t>
      </w:r>
    </w:p>
    <w:p w14:paraId="0A42A364" w14:textId="77777777" w:rsidR="00FA71B4" w:rsidRPr="00B048EB" w:rsidRDefault="00FA71B4" w:rsidP="00DE5A3E">
      <w:pPr>
        <w:keepNext/>
        <w:tabs>
          <w:tab w:val="left" w:pos="567"/>
        </w:tabs>
        <w:rPr>
          <w:b/>
          <w:caps/>
          <w:sz w:val="22"/>
          <w:szCs w:val="22"/>
        </w:rPr>
      </w:pPr>
    </w:p>
    <w:p w14:paraId="3982D951" w14:textId="77777777" w:rsidR="00FA71B4" w:rsidRPr="00B048EB" w:rsidRDefault="00FA71B4" w:rsidP="00DE5A3E">
      <w:pPr>
        <w:pStyle w:val="Pta"/>
        <w:keepNext/>
        <w:numPr>
          <w:ilvl w:val="1"/>
          <w:numId w:val="5"/>
        </w:numPr>
        <w:tabs>
          <w:tab w:val="clear" w:pos="4536"/>
          <w:tab w:val="clear" w:pos="9072"/>
          <w:tab w:val="left" w:pos="0"/>
          <w:tab w:val="left" w:pos="567"/>
        </w:tabs>
        <w:ind w:left="0" w:firstLine="0"/>
        <w:rPr>
          <w:b/>
          <w:sz w:val="22"/>
          <w:szCs w:val="22"/>
        </w:rPr>
      </w:pPr>
      <w:r w:rsidRPr="00B048EB">
        <w:rPr>
          <w:b/>
          <w:sz w:val="22"/>
          <w:szCs w:val="22"/>
        </w:rPr>
        <w:t>Farmakodynamické vlastnosti</w:t>
      </w:r>
    </w:p>
    <w:p w14:paraId="6BD7D5C9" w14:textId="77777777" w:rsidR="00FA71B4" w:rsidRPr="00B048EB" w:rsidRDefault="00FA71B4" w:rsidP="00DE5A3E">
      <w:pPr>
        <w:pStyle w:val="Pta"/>
        <w:keepNext/>
        <w:tabs>
          <w:tab w:val="clear" w:pos="4536"/>
          <w:tab w:val="clear" w:pos="9072"/>
          <w:tab w:val="left" w:pos="567"/>
        </w:tabs>
        <w:rPr>
          <w:caps/>
          <w:sz w:val="22"/>
          <w:szCs w:val="22"/>
        </w:rPr>
      </w:pPr>
    </w:p>
    <w:p w14:paraId="5231664C" w14:textId="77777777" w:rsidR="009C7C93" w:rsidRPr="00B048EB" w:rsidRDefault="009C7C93" w:rsidP="009C7C93">
      <w:pPr>
        <w:pStyle w:val="Pta"/>
        <w:tabs>
          <w:tab w:val="clear" w:pos="4536"/>
          <w:tab w:val="clear" w:pos="9072"/>
          <w:tab w:val="left" w:pos="567"/>
        </w:tabs>
        <w:rPr>
          <w:caps/>
          <w:sz w:val="22"/>
          <w:szCs w:val="22"/>
        </w:rPr>
      </w:pPr>
      <w:r w:rsidRPr="00B048EB">
        <w:rPr>
          <w:bCs/>
          <w:iCs/>
          <w:sz w:val="22"/>
          <w:szCs w:val="22"/>
        </w:rPr>
        <w:t>Farmakoterapeutická skupina</w:t>
      </w:r>
      <w:r w:rsidRPr="00B048EB">
        <w:rPr>
          <w:sz w:val="22"/>
          <w:szCs w:val="22"/>
        </w:rPr>
        <w:t xml:space="preserve">: nesteroidové antiflogistiká a antireumatiká, koxiby, ATC kód: </w:t>
      </w:r>
      <w:r w:rsidRPr="00B048EB">
        <w:rPr>
          <w:bCs/>
          <w:sz w:val="22"/>
          <w:szCs w:val="22"/>
        </w:rPr>
        <w:t>M01AH01</w:t>
      </w:r>
    </w:p>
    <w:p w14:paraId="4C2E4933" w14:textId="77777777" w:rsidR="009C7C93" w:rsidRPr="00B048EB" w:rsidRDefault="009C7C93" w:rsidP="00370DBB">
      <w:pPr>
        <w:pStyle w:val="Pta"/>
        <w:keepNext/>
        <w:tabs>
          <w:tab w:val="clear" w:pos="4536"/>
          <w:tab w:val="clear" w:pos="9072"/>
          <w:tab w:val="left" w:pos="567"/>
        </w:tabs>
        <w:rPr>
          <w:sz w:val="22"/>
          <w:szCs w:val="22"/>
        </w:rPr>
      </w:pPr>
    </w:p>
    <w:p w14:paraId="26BB1055" w14:textId="77777777" w:rsidR="00105AE2" w:rsidRPr="00B048EB" w:rsidRDefault="00105AE2" w:rsidP="00370DBB">
      <w:pPr>
        <w:pStyle w:val="Pta"/>
        <w:keepNext/>
        <w:tabs>
          <w:tab w:val="clear" w:pos="4536"/>
          <w:tab w:val="clear" w:pos="9072"/>
          <w:tab w:val="left" w:pos="567"/>
        </w:tabs>
        <w:rPr>
          <w:sz w:val="22"/>
          <w:szCs w:val="22"/>
        </w:rPr>
      </w:pPr>
      <w:r w:rsidRPr="00B048EB">
        <w:rPr>
          <w:sz w:val="22"/>
          <w:szCs w:val="22"/>
          <w:u w:val="single"/>
        </w:rPr>
        <w:t>Mechanizmus účinku</w:t>
      </w:r>
    </w:p>
    <w:p w14:paraId="716E4872" w14:textId="462572F5" w:rsidR="00FA71B4" w:rsidRPr="00B048EB" w:rsidRDefault="00FA71B4" w:rsidP="00370DBB">
      <w:pPr>
        <w:pStyle w:val="Pta"/>
        <w:keepNext/>
        <w:tabs>
          <w:tab w:val="clear" w:pos="4536"/>
          <w:tab w:val="clear" w:pos="9072"/>
          <w:tab w:val="left" w:pos="567"/>
        </w:tabs>
        <w:rPr>
          <w:sz w:val="22"/>
          <w:szCs w:val="22"/>
        </w:rPr>
      </w:pPr>
      <w:r w:rsidRPr="00B048EB">
        <w:rPr>
          <w:sz w:val="22"/>
          <w:szCs w:val="22"/>
        </w:rPr>
        <w:t>Celekoxib</w:t>
      </w:r>
      <w:r w:rsidRPr="00B048EB">
        <w:rPr>
          <w:b/>
          <w:sz w:val="22"/>
          <w:szCs w:val="22"/>
        </w:rPr>
        <w:t xml:space="preserve"> </w:t>
      </w:r>
      <w:r w:rsidRPr="00B048EB">
        <w:rPr>
          <w:sz w:val="22"/>
          <w:szCs w:val="22"/>
        </w:rPr>
        <w:t>je v rozsahu klinickej dávky (200</w:t>
      </w:r>
      <w:r w:rsidR="00EA678A" w:rsidRPr="00B048EB">
        <w:rPr>
          <w:sz w:val="22"/>
          <w:szCs w:val="22"/>
        </w:rPr>
        <w:t xml:space="preserve"> – </w:t>
      </w:r>
      <w:r w:rsidRPr="00B048EB">
        <w:rPr>
          <w:sz w:val="22"/>
          <w:szCs w:val="22"/>
        </w:rPr>
        <w:t>400 mg denne) perorálny selektívny inhibítor COX-2. V tomto rozsahu dávok nebola</w:t>
      </w:r>
      <w:r w:rsidR="00731C93">
        <w:rPr>
          <w:sz w:val="22"/>
          <w:szCs w:val="22"/>
        </w:rPr>
        <w:t xml:space="preserve"> u </w:t>
      </w:r>
      <w:r w:rsidRPr="00B048EB">
        <w:rPr>
          <w:sz w:val="22"/>
          <w:szCs w:val="22"/>
        </w:rPr>
        <w:t xml:space="preserve">zdravých dobrovoľníkov pozorovaná štatisticky významná inhibícia COX-1 (posudzovaná </w:t>
      </w:r>
      <w:r w:rsidRPr="00B048EB">
        <w:rPr>
          <w:i/>
          <w:iCs/>
          <w:sz w:val="22"/>
          <w:szCs w:val="22"/>
        </w:rPr>
        <w:t>ex vivo</w:t>
      </w:r>
      <w:r w:rsidRPr="00B048EB">
        <w:rPr>
          <w:sz w:val="22"/>
          <w:szCs w:val="22"/>
        </w:rPr>
        <w:t xml:space="preserve"> ako inhibícia tvorby tromboxánu B</w:t>
      </w:r>
      <w:r w:rsidRPr="00B048EB">
        <w:rPr>
          <w:sz w:val="22"/>
          <w:szCs w:val="22"/>
          <w:vertAlign w:val="subscript"/>
        </w:rPr>
        <w:t>2</w:t>
      </w:r>
      <w:r w:rsidRPr="00B048EB">
        <w:rPr>
          <w:sz w:val="22"/>
          <w:szCs w:val="22"/>
        </w:rPr>
        <w:t xml:space="preserve"> [TxB</w:t>
      </w:r>
      <w:r w:rsidRPr="00B048EB">
        <w:rPr>
          <w:sz w:val="22"/>
          <w:szCs w:val="22"/>
          <w:vertAlign w:val="subscript"/>
        </w:rPr>
        <w:t>2</w:t>
      </w:r>
      <w:r w:rsidRPr="00B048EB">
        <w:rPr>
          <w:sz w:val="22"/>
          <w:szCs w:val="22"/>
        </w:rPr>
        <w:t>]).</w:t>
      </w:r>
    </w:p>
    <w:p w14:paraId="2EDE26C4" w14:textId="77777777" w:rsidR="009C7C93" w:rsidRDefault="009C7C93" w:rsidP="00370DBB">
      <w:pPr>
        <w:pStyle w:val="Pta"/>
        <w:keepNext/>
        <w:tabs>
          <w:tab w:val="clear" w:pos="4536"/>
          <w:tab w:val="clear" w:pos="9072"/>
          <w:tab w:val="left" w:pos="567"/>
        </w:tabs>
        <w:rPr>
          <w:sz w:val="22"/>
          <w:szCs w:val="22"/>
        </w:rPr>
      </w:pPr>
    </w:p>
    <w:p w14:paraId="1B81EFAB" w14:textId="77777777" w:rsidR="00E9322A" w:rsidRPr="00B048EB" w:rsidRDefault="00E9322A" w:rsidP="00370DBB">
      <w:pPr>
        <w:pStyle w:val="Pta"/>
        <w:keepNext/>
        <w:tabs>
          <w:tab w:val="clear" w:pos="4536"/>
          <w:tab w:val="clear" w:pos="9072"/>
          <w:tab w:val="left" w:pos="567"/>
        </w:tabs>
        <w:rPr>
          <w:sz w:val="22"/>
          <w:szCs w:val="22"/>
        </w:rPr>
      </w:pPr>
      <w:r w:rsidRPr="00E9322A">
        <w:rPr>
          <w:sz w:val="22"/>
          <w:szCs w:val="22"/>
          <w:u w:val="single"/>
        </w:rPr>
        <w:t>Farmakodynamické účinky</w:t>
      </w:r>
    </w:p>
    <w:p w14:paraId="62D42B04" w14:textId="1E1D1825" w:rsidR="00FA71B4" w:rsidRPr="00B048EB" w:rsidRDefault="00FA71B4" w:rsidP="001F5C55">
      <w:pPr>
        <w:pStyle w:val="Pta"/>
        <w:tabs>
          <w:tab w:val="clear" w:pos="4536"/>
          <w:tab w:val="clear" w:pos="9072"/>
          <w:tab w:val="left" w:pos="567"/>
        </w:tabs>
        <w:rPr>
          <w:sz w:val="22"/>
          <w:szCs w:val="22"/>
        </w:rPr>
      </w:pPr>
      <w:r w:rsidRPr="00B048EB">
        <w:rPr>
          <w:sz w:val="22"/>
          <w:szCs w:val="22"/>
        </w:rPr>
        <w:t xml:space="preserve">Cyklooxygenáza je zodpovedná za tvorbu prostaglandínov. Identifikovali sa dve izoformy, COX-1 a COX-2. COX-2 je izoforma enzýmu, u ktorej sa preukázalo, že je indukovaná prozápalovými stimulmi a predpokladá sa aj jej primárna zodpovednosť za syntézu prostaglandínových mediátorov bolesti, zápalu a horúčky. COX-2 sa zúčastňuje ovulácie, implantácie a uzatvorenia </w:t>
      </w:r>
      <w:r w:rsidRPr="00B048EB">
        <w:rPr>
          <w:i/>
          <w:sz w:val="22"/>
          <w:szCs w:val="22"/>
        </w:rPr>
        <w:t>ductus arteriosus</w:t>
      </w:r>
      <w:r w:rsidRPr="00B048EB">
        <w:rPr>
          <w:sz w:val="22"/>
          <w:szCs w:val="22"/>
        </w:rPr>
        <w:t>, regulovania renálnych funkcií</w:t>
      </w:r>
      <w:r w:rsidR="00731C93">
        <w:rPr>
          <w:sz w:val="22"/>
          <w:szCs w:val="22"/>
        </w:rPr>
        <w:t xml:space="preserve"> a </w:t>
      </w:r>
      <w:r w:rsidRPr="00B048EB">
        <w:rPr>
          <w:sz w:val="22"/>
          <w:szCs w:val="22"/>
        </w:rPr>
        <w:t>funkcií centrálneho nervového systému (vyvolanie horúčky, vnímanie bolesti</w:t>
      </w:r>
      <w:r w:rsidR="00731C93">
        <w:rPr>
          <w:sz w:val="22"/>
          <w:szCs w:val="22"/>
        </w:rPr>
        <w:t xml:space="preserve"> a </w:t>
      </w:r>
      <w:r w:rsidRPr="00B048EB">
        <w:rPr>
          <w:sz w:val="22"/>
          <w:szCs w:val="22"/>
        </w:rPr>
        <w:t>kognitívne funkcie). Môže mať aj istú úlohu pri hojení vredov. U človeka bola izoforma COX-2 identifikovaná v tkanivách</w:t>
      </w:r>
      <w:r w:rsidR="00731C93">
        <w:rPr>
          <w:sz w:val="22"/>
          <w:szCs w:val="22"/>
        </w:rPr>
        <w:t xml:space="preserve"> v </w:t>
      </w:r>
      <w:r w:rsidRPr="00B048EB">
        <w:rPr>
          <w:sz w:val="22"/>
          <w:szCs w:val="22"/>
        </w:rPr>
        <w:t xml:space="preserve">okolí gastrických vredov, ale jej vzťah k hojeniu vredov </w:t>
      </w:r>
      <w:r w:rsidR="009B03CE">
        <w:rPr>
          <w:sz w:val="22"/>
          <w:szCs w:val="22"/>
        </w:rPr>
        <w:t>sa nestanovil.</w:t>
      </w:r>
    </w:p>
    <w:p w14:paraId="008325A1" w14:textId="77777777" w:rsidR="00FA71B4" w:rsidRPr="00B048EB" w:rsidRDefault="00FA71B4" w:rsidP="001F5C55">
      <w:pPr>
        <w:tabs>
          <w:tab w:val="left" w:pos="567"/>
        </w:tabs>
        <w:rPr>
          <w:sz w:val="22"/>
          <w:szCs w:val="22"/>
        </w:rPr>
      </w:pPr>
    </w:p>
    <w:p w14:paraId="4247378D" w14:textId="2F35344B" w:rsidR="00FA71B4" w:rsidRPr="00B048EB" w:rsidRDefault="00FA71B4" w:rsidP="001F5C55">
      <w:pPr>
        <w:tabs>
          <w:tab w:val="left" w:pos="567"/>
        </w:tabs>
        <w:rPr>
          <w:sz w:val="22"/>
          <w:szCs w:val="22"/>
        </w:rPr>
      </w:pPr>
      <w:r w:rsidRPr="004A4C5E">
        <w:rPr>
          <w:sz w:val="22"/>
          <w:szCs w:val="22"/>
        </w:rPr>
        <w:t>Rozdiel v antitrombocytárnej aktivite medzi niektorými COX-1 inhibujúcimi NSAID a COX-2 selektívnymi inhibítormi môže mať klinický význam u pacientov s rizikom tromboembolických reakcií. COX-2 selektívne inhibítory znižujú tvorbu systémového (a tým pravdepodobne aj endoteliálneho) prostacyklínu bez ovplyvnenia trombox</w:t>
      </w:r>
      <w:r w:rsidR="00832886">
        <w:rPr>
          <w:sz w:val="22"/>
          <w:szCs w:val="22"/>
        </w:rPr>
        <w:t>á</w:t>
      </w:r>
      <w:r w:rsidRPr="004A4C5E">
        <w:rPr>
          <w:sz w:val="22"/>
          <w:szCs w:val="22"/>
        </w:rPr>
        <w:t>nu krvných doštičiek.</w:t>
      </w:r>
    </w:p>
    <w:p w14:paraId="412B008E" w14:textId="77777777" w:rsidR="00FA71B4" w:rsidRPr="00B048EB" w:rsidRDefault="00FA71B4" w:rsidP="00F31FEF">
      <w:pPr>
        <w:pStyle w:val="Pta"/>
        <w:tabs>
          <w:tab w:val="clear" w:pos="4536"/>
          <w:tab w:val="clear" w:pos="9072"/>
          <w:tab w:val="left" w:pos="567"/>
        </w:tabs>
        <w:rPr>
          <w:sz w:val="22"/>
          <w:szCs w:val="22"/>
        </w:rPr>
      </w:pPr>
    </w:p>
    <w:p w14:paraId="29C10ED8" w14:textId="77777777" w:rsidR="00FA71B4" w:rsidRPr="00B048EB" w:rsidRDefault="00FA71B4" w:rsidP="00F31FEF">
      <w:pPr>
        <w:tabs>
          <w:tab w:val="left" w:pos="567"/>
        </w:tabs>
        <w:rPr>
          <w:sz w:val="22"/>
          <w:szCs w:val="22"/>
        </w:rPr>
      </w:pPr>
      <w:r w:rsidRPr="00B048EB">
        <w:rPr>
          <w:sz w:val="22"/>
          <w:szCs w:val="22"/>
        </w:rPr>
        <w:t>Celekoxib je diaryl-substituovaný pyrazol, chemicky podobný iným nearylamínovým sulf</w:t>
      </w:r>
      <w:r w:rsidR="00100888" w:rsidRPr="00B048EB">
        <w:rPr>
          <w:sz w:val="22"/>
          <w:szCs w:val="22"/>
        </w:rPr>
        <w:t>ó</w:t>
      </w:r>
      <w:r w:rsidRPr="00B048EB">
        <w:rPr>
          <w:sz w:val="22"/>
          <w:szCs w:val="22"/>
        </w:rPr>
        <w:t>namidom (napr. tiazidy, furosemid), ktorý sa však líši od arylamínových sulf</w:t>
      </w:r>
      <w:r w:rsidR="00100888" w:rsidRPr="00B048EB">
        <w:rPr>
          <w:sz w:val="22"/>
          <w:szCs w:val="22"/>
        </w:rPr>
        <w:t>ó</w:t>
      </w:r>
      <w:r w:rsidRPr="00B048EB">
        <w:rPr>
          <w:sz w:val="22"/>
          <w:szCs w:val="22"/>
        </w:rPr>
        <w:t>namidov (napr. sulfametoxazol a iné sulf</w:t>
      </w:r>
      <w:r w:rsidR="00100888" w:rsidRPr="00B048EB">
        <w:rPr>
          <w:sz w:val="22"/>
          <w:szCs w:val="22"/>
        </w:rPr>
        <w:t>ó</w:t>
      </w:r>
      <w:r w:rsidRPr="00B048EB">
        <w:rPr>
          <w:sz w:val="22"/>
          <w:szCs w:val="22"/>
        </w:rPr>
        <w:t>namidové antibiotiká).</w:t>
      </w:r>
    </w:p>
    <w:p w14:paraId="6E634457" w14:textId="77777777" w:rsidR="00FA71B4" w:rsidRPr="00B048EB" w:rsidRDefault="00FA71B4" w:rsidP="00F31FEF">
      <w:pPr>
        <w:pStyle w:val="Pta"/>
        <w:tabs>
          <w:tab w:val="clear" w:pos="4536"/>
          <w:tab w:val="clear" w:pos="9072"/>
          <w:tab w:val="left" w:pos="567"/>
        </w:tabs>
        <w:rPr>
          <w:sz w:val="22"/>
          <w:szCs w:val="22"/>
        </w:rPr>
      </w:pPr>
    </w:p>
    <w:p w14:paraId="7141AF92" w14:textId="77777777" w:rsidR="00FA71B4" w:rsidRPr="00B048EB" w:rsidRDefault="00FA71B4" w:rsidP="00F31FEF">
      <w:pPr>
        <w:tabs>
          <w:tab w:val="left" w:pos="567"/>
        </w:tabs>
        <w:rPr>
          <w:sz w:val="22"/>
          <w:szCs w:val="22"/>
        </w:rPr>
      </w:pPr>
      <w:r w:rsidRPr="00B048EB">
        <w:rPr>
          <w:sz w:val="22"/>
          <w:szCs w:val="22"/>
        </w:rPr>
        <w:t>Od dávky závislý účinok na tvorbu TxB</w:t>
      </w:r>
      <w:r w:rsidRPr="00B048EB">
        <w:rPr>
          <w:sz w:val="22"/>
          <w:szCs w:val="22"/>
          <w:vertAlign w:val="subscript"/>
        </w:rPr>
        <w:t>2</w:t>
      </w:r>
      <w:r w:rsidRPr="00B048EB">
        <w:rPr>
          <w:sz w:val="22"/>
          <w:szCs w:val="22"/>
        </w:rPr>
        <w:t xml:space="preserve"> sa pozoroval po vysokých dávkach celekoxibu. Avšak v sérii malých štúdií s viacnásobnými dávkami 600 mg celekoxibu dvakrát denne (trojnásobok najvyššej odporúčanej dávky) u zdravých osôb nemal celekoxib žiadny účinok na agregáciu krvných doštičiek alebo čas krvácania v porovnaní s placebom.</w:t>
      </w:r>
    </w:p>
    <w:p w14:paraId="7FF95884" w14:textId="77777777" w:rsidR="00FA71B4" w:rsidRPr="00B048EB" w:rsidRDefault="00FA71B4" w:rsidP="00F31FEF">
      <w:pPr>
        <w:pStyle w:val="Pta"/>
        <w:tabs>
          <w:tab w:val="clear" w:pos="4536"/>
          <w:tab w:val="clear" w:pos="9072"/>
          <w:tab w:val="left" w:pos="567"/>
        </w:tabs>
        <w:rPr>
          <w:sz w:val="22"/>
          <w:szCs w:val="22"/>
        </w:rPr>
      </w:pPr>
    </w:p>
    <w:p w14:paraId="1BC5B020" w14:textId="77777777" w:rsidR="00105AE2" w:rsidRPr="00B048EB" w:rsidRDefault="00105AE2" w:rsidP="00DE5A3E">
      <w:pPr>
        <w:pStyle w:val="Pta"/>
        <w:keepNext/>
        <w:tabs>
          <w:tab w:val="clear" w:pos="4536"/>
          <w:tab w:val="clear" w:pos="9072"/>
          <w:tab w:val="left" w:pos="567"/>
        </w:tabs>
        <w:rPr>
          <w:sz w:val="22"/>
          <w:szCs w:val="22"/>
        </w:rPr>
      </w:pPr>
      <w:r w:rsidRPr="00B048EB">
        <w:rPr>
          <w:sz w:val="22"/>
          <w:szCs w:val="22"/>
          <w:u w:val="single"/>
        </w:rPr>
        <w:t>Klinická účinnosť a bezpečnosť</w:t>
      </w:r>
    </w:p>
    <w:p w14:paraId="0A026BF5" w14:textId="3C136E0F" w:rsidR="00FA71B4" w:rsidRPr="00B048EB" w:rsidRDefault="00FA71B4" w:rsidP="00F31FEF">
      <w:pPr>
        <w:pStyle w:val="Pta"/>
        <w:tabs>
          <w:tab w:val="clear" w:pos="4536"/>
          <w:tab w:val="clear" w:pos="9072"/>
          <w:tab w:val="left" w:pos="567"/>
        </w:tabs>
        <w:rPr>
          <w:sz w:val="22"/>
          <w:szCs w:val="22"/>
        </w:rPr>
      </w:pPr>
      <w:r w:rsidRPr="00B048EB">
        <w:rPr>
          <w:sz w:val="22"/>
          <w:szCs w:val="22"/>
        </w:rPr>
        <w:t>Boli uskutočnené viaceré štúdie potvrdzujúce účinnosť</w:t>
      </w:r>
      <w:r w:rsidR="00731C93">
        <w:rPr>
          <w:sz w:val="22"/>
          <w:szCs w:val="22"/>
        </w:rPr>
        <w:t xml:space="preserve"> a </w:t>
      </w:r>
      <w:r w:rsidRPr="00B048EB">
        <w:rPr>
          <w:sz w:val="22"/>
          <w:szCs w:val="22"/>
        </w:rPr>
        <w:t>bezpečnosť v liečbe osteoartrózy, reumatoidnej artritídy a u ankylozujúcej spondylitídy. Celekoxib</w:t>
      </w:r>
      <w:r w:rsidRPr="00B048EB">
        <w:rPr>
          <w:b/>
          <w:sz w:val="22"/>
          <w:szCs w:val="22"/>
        </w:rPr>
        <w:t xml:space="preserve"> </w:t>
      </w:r>
      <w:r w:rsidRPr="00B048EB">
        <w:rPr>
          <w:sz w:val="22"/>
          <w:szCs w:val="22"/>
        </w:rPr>
        <w:t>bol hodnotený v liečbe zápalu a bolesti pri osteoartróze kolena a bedra približne u 4 200 pacientov užívajúcich placebo alebo celekoxib počas 12 týždňov. Hodnotil sa tiež v liečbe zápalu a bolesti pri reumatoidnej artritíde približne u 2 100 pacientov užívajúcich placebo alebo celekoxib počas 24 týždňov. Celekoxib podávaný v denných dávkach 200</w:t>
      </w:r>
      <w:r w:rsidR="00EA678A" w:rsidRPr="00B048EB">
        <w:rPr>
          <w:sz w:val="22"/>
          <w:szCs w:val="22"/>
        </w:rPr>
        <w:t xml:space="preserve"> – </w:t>
      </w:r>
      <w:r w:rsidRPr="00B048EB">
        <w:rPr>
          <w:sz w:val="22"/>
          <w:szCs w:val="22"/>
        </w:rPr>
        <w:t>400 mg poskytoval úľavu od bolesti počas 24 hodín od začiatku užívania.</w:t>
      </w:r>
      <w:r w:rsidR="00ED77A1" w:rsidRPr="00B048EB">
        <w:rPr>
          <w:sz w:val="22"/>
          <w:szCs w:val="22"/>
        </w:rPr>
        <w:t xml:space="preserve"> </w:t>
      </w:r>
      <w:r w:rsidRPr="00B048EB">
        <w:rPr>
          <w:sz w:val="22"/>
          <w:szCs w:val="22"/>
        </w:rPr>
        <w:t xml:space="preserve">V klinických štúdiách s placebom a aktívnym komparátorom trvajúcich až 12 týždňov bol celekoxib hodnotený v symptomatickej liečbe ankylozujúcej spondylitídy u 896 pacientov. Celekoxib v týchto štúdiách v dávkach 100 mg dvakrát denne, 200 mg </w:t>
      </w:r>
      <w:r w:rsidR="009B0D24">
        <w:rPr>
          <w:sz w:val="22"/>
          <w:szCs w:val="22"/>
        </w:rPr>
        <w:t>jedenkrát</w:t>
      </w:r>
      <w:r w:rsidR="009B0D24" w:rsidRPr="00B048EB">
        <w:rPr>
          <w:sz w:val="22"/>
          <w:szCs w:val="22"/>
        </w:rPr>
        <w:t xml:space="preserve"> </w:t>
      </w:r>
      <w:r w:rsidRPr="00B048EB">
        <w:rPr>
          <w:sz w:val="22"/>
          <w:szCs w:val="22"/>
        </w:rPr>
        <w:t xml:space="preserve">denne, 200 mg dvakrát denne a 400 mg </w:t>
      </w:r>
      <w:r w:rsidR="009B0D24">
        <w:rPr>
          <w:sz w:val="22"/>
          <w:szCs w:val="22"/>
        </w:rPr>
        <w:t>jedenkrát</w:t>
      </w:r>
      <w:r w:rsidR="009B0D24" w:rsidRPr="00B048EB">
        <w:rPr>
          <w:sz w:val="22"/>
          <w:szCs w:val="22"/>
        </w:rPr>
        <w:t xml:space="preserve"> </w:t>
      </w:r>
      <w:r w:rsidRPr="00B048EB">
        <w:rPr>
          <w:sz w:val="22"/>
          <w:szCs w:val="22"/>
        </w:rPr>
        <w:t>denne potvrdil signifikantné zlepšenie bolestivosti, celkovej aktivity ochorenia a funkčného stavu u ankylozujúcej spondylitídy.</w:t>
      </w:r>
    </w:p>
    <w:p w14:paraId="19F44F8D" w14:textId="77777777" w:rsidR="00FA71B4" w:rsidRPr="00B048EB" w:rsidRDefault="00FA71B4" w:rsidP="00F31FEF">
      <w:pPr>
        <w:rPr>
          <w:sz w:val="22"/>
          <w:szCs w:val="22"/>
        </w:rPr>
      </w:pPr>
    </w:p>
    <w:p w14:paraId="4C9C9AE1" w14:textId="7D607EE6" w:rsidR="00FA71B4" w:rsidRPr="00B048EB" w:rsidRDefault="00FA71B4" w:rsidP="00F31FEF">
      <w:pPr>
        <w:tabs>
          <w:tab w:val="left" w:pos="567"/>
        </w:tabs>
        <w:rPr>
          <w:sz w:val="22"/>
          <w:szCs w:val="22"/>
        </w:rPr>
      </w:pPr>
      <w:r w:rsidRPr="00B048EB">
        <w:rPr>
          <w:sz w:val="22"/>
          <w:szCs w:val="22"/>
        </w:rPr>
        <w:t>Bolo uskutočnených päť randomizovaných dvojito-zaslepených kontrolovaných štúdií s plánovanou endoskopiou hornej časti gastrointestinálneho traktu približne</w:t>
      </w:r>
      <w:r w:rsidR="00731C93">
        <w:rPr>
          <w:sz w:val="22"/>
          <w:szCs w:val="22"/>
        </w:rPr>
        <w:t xml:space="preserve"> u </w:t>
      </w:r>
      <w:r w:rsidRPr="00B048EB">
        <w:rPr>
          <w:sz w:val="22"/>
          <w:szCs w:val="22"/>
        </w:rPr>
        <w:t>4 500 pacientov bez počiatočnej ulcerácie (dávky celekoxibu</w:t>
      </w:r>
      <w:r w:rsidRPr="00B048EB">
        <w:rPr>
          <w:b/>
          <w:sz w:val="22"/>
          <w:szCs w:val="22"/>
        </w:rPr>
        <w:t xml:space="preserve"> </w:t>
      </w:r>
      <w:r w:rsidRPr="00B048EB">
        <w:rPr>
          <w:sz w:val="22"/>
          <w:szCs w:val="22"/>
        </w:rPr>
        <w:t>50</w:t>
      </w:r>
      <w:r w:rsidR="00EA678A" w:rsidRPr="00B048EB">
        <w:rPr>
          <w:sz w:val="22"/>
          <w:szCs w:val="22"/>
        </w:rPr>
        <w:t xml:space="preserve"> – </w:t>
      </w:r>
      <w:r w:rsidRPr="00B048EB">
        <w:rPr>
          <w:sz w:val="22"/>
          <w:szCs w:val="22"/>
        </w:rPr>
        <w:t>400 mg dvakrát denne). 12</w:t>
      </w:r>
      <w:r w:rsidR="00851825" w:rsidRPr="00B048EB">
        <w:rPr>
          <w:sz w:val="22"/>
          <w:szCs w:val="22"/>
        </w:rPr>
        <w:t>-</w:t>
      </w:r>
      <w:r w:rsidRPr="00B048EB">
        <w:rPr>
          <w:sz w:val="22"/>
          <w:szCs w:val="22"/>
        </w:rPr>
        <w:t>týždňové endoskopické štúdie s celekoxibom (100</w:t>
      </w:r>
      <w:r w:rsidR="00EA678A" w:rsidRPr="00B048EB">
        <w:rPr>
          <w:sz w:val="22"/>
          <w:szCs w:val="22"/>
        </w:rPr>
        <w:t xml:space="preserve"> – </w:t>
      </w:r>
      <w:r w:rsidRPr="00B048EB">
        <w:rPr>
          <w:sz w:val="22"/>
          <w:szCs w:val="22"/>
        </w:rPr>
        <w:t>800</w:t>
      </w:r>
      <w:r w:rsidR="00731C93">
        <w:rPr>
          <w:sz w:val="22"/>
          <w:szCs w:val="22"/>
        </w:rPr>
        <w:t xml:space="preserve"> mg </w:t>
      </w:r>
      <w:r w:rsidRPr="00B048EB">
        <w:rPr>
          <w:sz w:val="22"/>
          <w:szCs w:val="22"/>
        </w:rPr>
        <w:t>denne) boli spojené so signifikantne nižším rizikom gastroduodenálnych vredov v porovnaní s naproxénom (1 000</w:t>
      </w:r>
      <w:r w:rsidR="00731C93">
        <w:rPr>
          <w:sz w:val="22"/>
          <w:szCs w:val="22"/>
        </w:rPr>
        <w:t xml:space="preserve"> mg </w:t>
      </w:r>
      <w:r w:rsidRPr="00B048EB">
        <w:rPr>
          <w:sz w:val="22"/>
          <w:szCs w:val="22"/>
        </w:rPr>
        <w:t>denne) a ibuprof</w:t>
      </w:r>
      <w:r w:rsidR="00B048EB">
        <w:rPr>
          <w:sz w:val="22"/>
          <w:szCs w:val="22"/>
        </w:rPr>
        <w:t>é</w:t>
      </w:r>
      <w:r w:rsidRPr="00B048EB">
        <w:rPr>
          <w:sz w:val="22"/>
          <w:szCs w:val="22"/>
        </w:rPr>
        <w:t>nom (2 400</w:t>
      </w:r>
      <w:r w:rsidR="00731C93">
        <w:rPr>
          <w:sz w:val="22"/>
          <w:szCs w:val="22"/>
        </w:rPr>
        <w:t xml:space="preserve"> mg </w:t>
      </w:r>
      <w:r w:rsidRPr="00B048EB">
        <w:rPr>
          <w:sz w:val="22"/>
          <w:szCs w:val="22"/>
        </w:rPr>
        <w:t>denne). Údaje boli v porovnaní s diklofenakom (150 mg denne) rozporné. V dvoch 12-týždňových štúdiách nebolo percento pacientov s endoskopickými gastroduodenálnymi ulceráciami preukazne odlišné medzi placebom a </w:t>
      </w:r>
      <w:r w:rsidRPr="00B048EB">
        <w:rPr>
          <w:bCs/>
          <w:sz w:val="22"/>
          <w:szCs w:val="22"/>
        </w:rPr>
        <w:t>celekoxibom</w:t>
      </w:r>
      <w:r w:rsidRPr="00DE5A3E">
        <w:rPr>
          <w:sz w:val="22"/>
          <w:szCs w:val="22"/>
        </w:rPr>
        <w:t xml:space="preserve"> </w:t>
      </w:r>
      <w:r w:rsidRPr="00B048EB">
        <w:rPr>
          <w:sz w:val="22"/>
          <w:szCs w:val="22"/>
        </w:rPr>
        <w:t>v dávkach</w:t>
      </w:r>
      <w:r w:rsidRPr="00B048EB">
        <w:rPr>
          <w:b/>
          <w:sz w:val="22"/>
          <w:szCs w:val="22"/>
        </w:rPr>
        <w:t xml:space="preserve"> </w:t>
      </w:r>
      <w:r w:rsidRPr="00B048EB">
        <w:rPr>
          <w:sz w:val="22"/>
          <w:szCs w:val="22"/>
        </w:rPr>
        <w:t xml:space="preserve">200 mg dvakrát denne a 400 mg dvakrát denne. </w:t>
      </w:r>
    </w:p>
    <w:p w14:paraId="2EEE8E98" w14:textId="77777777" w:rsidR="00FA71B4" w:rsidRPr="00B048EB" w:rsidRDefault="00FA71B4" w:rsidP="00F31FEF">
      <w:pPr>
        <w:tabs>
          <w:tab w:val="left" w:pos="567"/>
        </w:tabs>
        <w:rPr>
          <w:sz w:val="22"/>
          <w:szCs w:val="22"/>
        </w:rPr>
      </w:pPr>
    </w:p>
    <w:p w14:paraId="10E1236E" w14:textId="36F20C31" w:rsidR="00292007" w:rsidRPr="00B048EB" w:rsidRDefault="00FA71B4" w:rsidP="00F31FEF">
      <w:pPr>
        <w:tabs>
          <w:tab w:val="left" w:pos="567"/>
        </w:tabs>
        <w:rPr>
          <w:sz w:val="22"/>
          <w:szCs w:val="22"/>
        </w:rPr>
      </w:pPr>
      <w:r w:rsidRPr="00B048EB">
        <w:rPr>
          <w:sz w:val="22"/>
          <w:szCs w:val="22"/>
        </w:rPr>
        <w:t>V prospektívnej dlhodobej štúdii bezpečnosti (v trvaní 6 až 15 mesiacov, CLASS štúdia) dostávalo 5 800 pacientov s osteoartrózou</w:t>
      </w:r>
      <w:r w:rsidR="00731C93">
        <w:rPr>
          <w:sz w:val="22"/>
          <w:szCs w:val="22"/>
        </w:rPr>
        <w:t xml:space="preserve"> a </w:t>
      </w:r>
      <w:r w:rsidRPr="00B048EB">
        <w:rPr>
          <w:sz w:val="22"/>
          <w:szCs w:val="22"/>
        </w:rPr>
        <w:t xml:space="preserve">2 200 pacientov s reumatoidnou artritídou 400 mg celekoxibu dvakrát denne (štvornásobok odporúčaných dávok pre osteoartrózu a dvojnásobok pre reumatoidnú artritídu), </w:t>
      </w:r>
      <w:r w:rsidR="00B048EB" w:rsidRPr="00B048EB">
        <w:rPr>
          <w:sz w:val="22"/>
          <w:szCs w:val="22"/>
        </w:rPr>
        <w:t>ibuprofén</w:t>
      </w:r>
      <w:r w:rsidRPr="00B048EB">
        <w:rPr>
          <w:sz w:val="22"/>
          <w:szCs w:val="22"/>
        </w:rPr>
        <w:t xml:space="preserve"> 800</w:t>
      </w:r>
      <w:r w:rsidR="00731C93">
        <w:rPr>
          <w:sz w:val="22"/>
          <w:szCs w:val="22"/>
        </w:rPr>
        <w:t xml:space="preserve"> mg </w:t>
      </w:r>
      <w:r w:rsidRPr="00B048EB">
        <w:rPr>
          <w:sz w:val="22"/>
          <w:szCs w:val="22"/>
        </w:rPr>
        <w:t>trikrát denne alebo diklofenak 75 mg dvakrát denne (oba v </w:t>
      </w:r>
      <w:r w:rsidR="00B048EB" w:rsidRPr="00B048EB">
        <w:rPr>
          <w:sz w:val="22"/>
          <w:szCs w:val="22"/>
        </w:rPr>
        <w:t>terapeutických</w:t>
      </w:r>
      <w:r w:rsidRPr="00B048EB">
        <w:rPr>
          <w:sz w:val="22"/>
          <w:szCs w:val="22"/>
        </w:rPr>
        <w:t xml:space="preserve"> dávkach). 22 % zaradených pacientov užívalo </w:t>
      </w:r>
      <w:r w:rsidR="001F5C55" w:rsidRPr="00B048EB">
        <w:rPr>
          <w:sz w:val="22"/>
          <w:szCs w:val="22"/>
        </w:rPr>
        <w:t>súbežne</w:t>
      </w:r>
      <w:r w:rsidRPr="00B048EB">
        <w:rPr>
          <w:sz w:val="22"/>
          <w:szCs w:val="22"/>
        </w:rPr>
        <w:t xml:space="preserve"> nízku dávku kyseliny acetylsalicylovej </w:t>
      </w:r>
    </w:p>
    <w:p w14:paraId="2818EE02" w14:textId="5BC186D7" w:rsidR="00FA71B4" w:rsidRPr="00B048EB" w:rsidRDefault="00FA71B4" w:rsidP="00F31FEF">
      <w:pPr>
        <w:tabs>
          <w:tab w:val="left" w:pos="567"/>
        </w:tabs>
        <w:rPr>
          <w:sz w:val="22"/>
          <w:szCs w:val="22"/>
        </w:rPr>
      </w:pPr>
      <w:r w:rsidRPr="00B048EB">
        <w:rPr>
          <w:sz w:val="22"/>
          <w:szCs w:val="22"/>
        </w:rPr>
        <w:t>(</w:t>
      </w:r>
      <w:r w:rsidR="00292007" w:rsidRPr="00B048EB">
        <w:rPr>
          <w:sz w:val="22"/>
          <w:szCs w:val="22"/>
        </w:rPr>
        <w:sym w:font="Symbol" w:char="F0A3"/>
      </w:r>
      <w:r w:rsidR="00934323" w:rsidRPr="00B048EB">
        <w:rPr>
          <w:sz w:val="22"/>
          <w:szCs w:val="22"/>
        </w:rPr>
        <w:t> </w:t>
      </w:r>
      <w:r w:rsidRPr="00B048EB">
        <w:rPr>
          <w:sz w:val="22"/>
          <w:szCs w:val="22"/>
        </w:rPr>
        <w:t xml:space="preserve">325 mg/deň) predovšetkým ako </w:t>
      </w:r>
      <w:r w:rsidR="00AD719E" w:rsidRPr="00B048EB">
        <w:rPr>
          <w:sz w:val="22"/>
          <w:szCs w:val="22"/>
        </w:rPr>
        <w:t xml:space="preserve">KV </w:t>
      </w:r>
      <w:r w:rsidRPr="00B048EB">
        <w:rPr>
          <w:sz w:val="22"/>
          <w:szCs w:val="22"/>
        </w:rPr>
        <w:t>profylaxiu. V hlavnom konečnom cieli, ktorým boli komplikované vredy (definované ako gastrointestinálne krvácanie, perforácia alebo obštrukcia) nebol signifikantný rozdiel medzi celekoxibom</w:t>
      </w:r>
      <w:r w:rsidR="00731C93">
        <w:rPr>
          <w:sz w:val="22"/>
          <w:szCs w:val="22"/>
        </w:rPr>
        <w:t xml:space="preserve"> a </w:t>
      </w:r>
      <w:r w:rsidR="00934323" w:rsidRPr="00B048EB">
        <w:rPr>
          <w:sz w:val="22"/>
          <w:szCs w:val="22"/>
        </w:rPr>
        <w:t>ibuprof</w:t>
      </w:r>
      <w:r w:rsidR="00C0522B">
        <w:rPr>
          <w:sz w:val="22"/>
          <w:szCs w:val="22"/>
        </w:rPr>
        <w:t>é</w:t>
      </w:r>
      <w:r w:rsidR="00934323" w:rsidRPr="00B048EB">
        <w:rPr>
          <w:sz w:val="22"/>
          <w:szCs w:val="22"/>
        </w:rPr>
        <w:t>n</w:t>
      </w:r>
      <w:r w:rsidRPr="00B048EB">
        <w:rPr>
          <w:sz w:val="22"/>
          <w:szCs w:val="22"/>
        </w:rPr>
        <w:t>om alebo diklofenakom. Tiež v skupine s kombináciou NSAID nebol štatisticky významný rozdiel</w:t>
      </w:r>
      <w:r w:rsidR="00731C93">
        <w:rPr>
          <w:sz w:val="22"/>
          <w:szCs w:val="22"/>
        </w:rPr>
        <w:t xml:space="preserve"> u </w:t>
      </w:r>
      <w:r w:rsidRPr="00B048EB">
        <w:rPr>
          <w:sz w:val="22"/>
          <w:szCs w:val="22"/>
        </w:rPr>
        <w:t>komplikovaných vredov (relatívne riziko 0,77; 95 % I.S. 0,41</w:t>
      </w:r>
      <w:r w:rsidR="00F47A4E" w:rsidRPr="00B048EB">
        <w:rPr>
          <w:sz w:val="22"/>
          <w:szCs w:val="22"/>
        </w:rPr>
        <w:t xml:space="preserve"> – </w:t>
      </w:r>
      <w:r w:rsidRPr="00B048EB">
        <w:rPr>
          <w:sz w:val="22"/>
          <w:szCs w:val="22"/>
        </w:rPr>
        <w:t>1,46; na základe celého trvania štúdie). Výskyt komplikovaných a symptomatických vredov, ktorý bol kombinovaným cieľom, bol signifikantne nižší</w:t>
      </w:r>
      <w:r w:rsidR="00731C93">
        <w:rPr>
          <w:sz w:val="22"/>
          <w:szCs w:val="22"/>
        </w:rPr>
        <w:t xml:space="preserve"> v </w:t>
      </w:r>
      <w:r w:rsidRPr="00B048EB">
        <w:rPr>
          <w:sz w:val="22"/>
          <w:szCs w:val="22"/>
        </w:rPr>
        <w:t>skupine s celekoxibom</w:t>
      </w:r>
      <w:r w:rsidR="00731C93">
        <w:rPr>
          <w:sz w:val="22"/>
          <w:szCs w:val="22"/>
        </w:rPr>
        <w:t xml:space="preserve"> v </w:t>
      </w:r>
      <w:r w:rsidRPr="00B048EB">
        <w:rPr>
          <w:sz w:val="22"/>
          <w:szCs w:val="22"/>
        </w:rPr>
        <w:t>porovnaní so skupinou s NSAID, relatívne riziko 0,66; 95 % I.S. 0,45</w:t>
      </w:r>
      <w:r w:rsidR="00F47A4E" w:rsidRPr="00B048EB">
        <w:rPr>
          <w:sz w:val="22"/>
          <w:szCs w:val="22"/>
        </w:rPr>
        <w:t xml:space="preserve"> – </w:t>
      </w:r>
      <w:r w:rsidRPr="00B048EB">
        <w:rPr>
          <w:sz w:val="22"/>
          <w:szCs w:val="22"/>
        </w:rPr>
        <w:t>0,97, ale nebol signifikantný rozdiel medzi celekoxibom a diklofenakom. Pacienti užívajúci celekoxib a </w:t>
      </w:r>
      <w:r w:rsidR="001F5C55" w:rsidRPr="00B048EB">
        <w:rPr>
          <w:sz w:val="22"/>
          <w:szCs w:val="22"/>
        </w:rPr>
        <w:t>súbežne</w:t>
      </w:r>
      <w:r w:rsidRPr="00B048EB">
        <w:rPr>
          <w:sz w:val="22"/>
          <w:szCs w:val="22"/>
        </w:rPr>
        <w:t xml:space="preserve"> nízku dávku kyseliny acetylsalicylovej mali štvornásobne vyšší výskyt komplikovaných vredov v porovnaní s pacientami užívajúcimi samotný celekoxib. Výskyt klinicky signifikantných poklesov hemoglobínu (</w:t>
      </w:r>
      <w:r w:rsidR="00292007" w:rsidRPr="00B048EB">
        <w:rPr>
          <w:sz w:val="22"/>
          <w:szCs w:val="22"/>
        </w:rPr>
        <w:t>&gt;</w:t>
      </w:r>
      <w:r w:rsidR="00934323" w:rsidRPr="00B048EB">
        <w:rPr>
          <w:sz w:val="22"/>
          <w:szCs w:val="22"/>
        </w:rPr>
        <w:t> </w:t>
      </w:r>
      <w:r w:rsidRPr="00B048EB">
        <w:rPr>
          <w:sz w:val="22"/>
          <w:szCs w:val="22"/>
        </w:rPr>
        <w:t>2 g/dl) potvrdených pri opakovanom testovaní bol signifikantne nižší u pacientov užívajúcich celekoxib v porovnaní so skupinou s NSAID, relatívne riziko 0,29; 95 % I.S. 0,17</w:t>
      </w:r>
      <w:r w:rsidR="00F47A4E" w:rsidRPr="00B048EB">
        <w:rPr>
          <w:sz w:val="22"/>
          <w:szCs w:val="22"/>
        </w:rPr>
        <w:t xml:space="preserve"> – </w:t>
      </w:r>
      <w:r w:rsidRPr="00B048EB">
        <w:rPr>
          <w:sz w:val="22"/>
          <w:szCs w:val="22"/>
        </w:rPr>
        <w:t>0,48. Preukazne nižší výskyt týchto príhod s celekoxibom sa udržoval s použitím kyseliny acetylsalicylovej alebo bez nej.</w:t>
      </w:r>
    </w:p>
    <w:p w14:paraId="5F6F7B4C" w14:textId="77777777" w:rsidR="00FA71B4" w:rsidRPr="00B048EB" w:rsidRDefault="00FA71B4" w:rsidP="00F31FEF">
      <w:pPr>
        <w:tabs>
          <w:tab w:val="left" w:pos="567"/>
        </w:tabs>
        <w:rPr>
          <w:b/>
          <w:sz w:val="22"/>
          <w:szCs w:val="22"/>
        </w:rPr>
      </w:pPr>
    </w:p>
    <w:p w14:paraId="52D9F1C4" w14:textId="2A5EC6D7" w:rsidR="00100888" w:rsidRPr="00B048EB" w:rsidRDefault="00FA71B4" w:rsidP="00F31FEF">
      <w:pPr>
        <w:tabs>
          <w:tab w:val="left" w:pos="567"/>
        </w:tabs>
        <w:rPr>
          <w:sz w:val="22"/>
          <w:szCs w:val="22"/>
        </w:rPr>
      </w:pPr>
      <w:r w:rsidRPr="00B048EB">
        <w:rPr>
          <w:sz w:val="22"/>
          <w:szCs w:val="22"/>
        </w:rPr>
        <w:t>V prospektívnej randomizovanej 24</w:t>
      </w:r>
      <w:r w:rsidR="00851825" w:rsidRPr="00B048EB">
        <w:rPr>
          <w:sz w:val="22"/>
          <w:szCs w:val="22"/>
        </w:rPr>
        <w:t>-</w:t>
      </w:r>
      <w:r w:rsidRPr="00B048EB">
        <w:rPr>
          <w:sz w:val="22"/>
          <w:szCs w:val="22"/>
        </w:rPr>
        <w:t>týždňovej štúdii bezpečnosti</w:t>
      </w:r>
      <w:r w:rsidR="00731C93">
        <w:rPr>
          <w:sz w:val="22"/>
          <w:szCs w:val="22"/>
        </w:rPr>
        <w:t xml:space="preserve"> u </w:t>
      </w:r>
      <w:r w:rsidRPr="00B048EB">
        <w:rPr>
          <w:sz w:val="22"/>
          <w:szCs w:val="22"/>
        </w:rPr>
        <w:t xml:space="preserve">pacientov, ktorí boli vo veku </w:t>
      </w:r>
    </w:p>
    <w:p w14:paraId="0E1CE045" w14:textId="19456B84" w:rsidR="00FA71B4" w:rsidRPr="00B048EB" w:rsidRDefault="00292007" w:rsidP="00F31FEF">
      <w:pPr>
        <w:tabs>
          <w:tab w:val="left" w:pos="567"/>
        </w:tabs>
        <w:rPr>
          <w:sz w:val="22"/>
          <w:szCs w:val="22"/>
        </w:rPr>
      </w:pPr>
      <w:r w:rsidRPr="00B048EB">
        <w:rPr>
          <w:sz w:val="22"/>
          <w:szCs w:val="22"/>
        </w:rPr>
        <w:sym w:font="Symbol" w:char="F0B3"/>
      </w:r>
      <w:r w:rsidR="00934323" w:rsidRPr="00B048EB">
        <w:rPr>
          <w:sz w:val="22"/>
          <w:szCs w:val="22"/>
        </w:rPr>
        <w:t> </w:t>
      </w:r>
      <w:r w:rsidR="00FA71B4" w:rsidRPr="00B048EB">
        <w:rPr>
          <w:sz w:val="22"/>
          <w:szCs w:val="22"/>
        </w:rPr>
        <w:t>60 rokov alebo mali v anamnéze gastroduodenálne vredy (užívatelia ASA vylúčení) bolo percento pacientov so znížením hladiny hemoglobínu (</w:t>
      </w:r>
      <w:r w:rsidRPr="00B048EB">
        <w:rPr>
          <w:sz w:val="22"/>
          <w:szCs w:val="22"/>
        </w:rPr>
        <w:sym w:font="Symbol" w:char="F0B3"/>
      </w:r>
      <w:r w:rsidR="00934323" w:rsidRPr="00B048EB">
        <w:rPr>
          <w:sz w:val="22"/>
          <w:szCs w:val="22"/>
        </w:rPr>
        <w:t xml:space="preserve"> </w:t>
      </w:r>
      <w:r w:rsidR="00FA71B4" w:rsidRPr="00B048EB">
        <w:rPr>
          <w:sz w:val="22"/>
          <w:szCs w:val="22"/>
        </w:rPr>
        <w:t>20 g/l) a/alebo hematokritu (</w:t>
      </w:r>
      <w:r w:rsidRPr="00B048EB">
        <w:rPr>
          <w:sz w:val="22"/>
          <w:szCs w:val="22"/>
        </w:rPr>
        <w:sym w:font="Symbol" w:char="F0B3"/>
      </w:r>
      <w:r w:rsidR="00934323" w:rsidRPr="00B048EB">
        <w:rPr>
          <w:sz w:val="22"/>
          <w:szCs w:val="22"/>
        </w:rPr>
        <w:t xml:space="preserve"> </w:t>
      </w:r>
      <w:r w:rsidR="00FA71B4" w:rsidRPr="00B048EB">
        <w:rPr>
          <w:sz w:val="22"/>
          <w:szCs w:val="22"/>
        </w:rPr>
        <w:t>10 %), definovaného alebo predpokladaného GI pôvodu, nižšie</w:t>
      </w:r>
      <w:r w:rsidR="00731C93">
        <w:rPr>
          <w:sz w:val="22"/>
          <w:szCs w:val="22"/>
        </w:rPr>
        <w:t xml:space="preserve"> u </w:t>
      </w:r>
      <w:r w:rsidR="00FA71B4" w:rsidRPr="00B048EB">
        <w:rPr>
          <w:sz w:val="22"/>
          <w:szCs w:val="22"/>
        </w:rPr>
        <w:t>pacientov liečených celekoxibom 200</w:t>
      </w:r>
      <w:r w:rsidR="00731C93">
        <w:rPr>
          <w:sz w:val="22"/>
          <w:szCs w:val="22"/>
        </w:rPr>
        <w:t xml:space="preserve"> mg </w:t>
      </w:r>
      <w:r w:rsidR="00FA71B4" w:rsidRPr="00B048EB">
        <w:rPr>
          <w:sz w:val="22"/>
          <w:szCs w:val="22"/>
        </w:rPr>
        <w:t>dvakrát denne (N</w:t>
      </w:r>
      <w:r w:rsidR="00F47A4E" w:rsidRPr="00B048EB">
        <w:rPr>
          <w:sz w:val="22"/>
          <w:szCs w:val="22"/>
        </w:rPr>
        <w:t> </w:t>
      </w:r>
      <w:r w:rsidR="00FA71B4" w:rsidRPr="00B048EB">
        <w:rPr>
          <w:sz w:val="22"/>
          <w:szCs w:val="22"/>
        </w:rPr>
        <w:t>=</w:t>
      </w:r>
      <w:r w:rsidR="00F47A4E" w:rsidRPr="00B048EB">
        <w:rPr>
          <w:sz w:val="22"/>
          <w:szCs w:val="22"/>
        </w:rPr>
        <w:t> </w:t>
      </w:r>
      <w:r w:rsidR="00FA71B4" w:rsidRPr="00B048EB">
        <w:rPr>
          <w:sz w:val="22"/>
          <w:szCs w:val="22"/>
        </w:rPr>
        <w:t>2 238) v porovnaní s pacientami liečenými diklofenakom SR 75</w:t>
      </w:r>
      <w:r w:rsidR="00731C93">
        <w:rPr>
          <w:sz w:val="22"/>
          <w:szCs w:val="22"/>
        </w:rPr>
        <w:t xml:space="preserve"> mg </w:t>
      </w:r>
      <w:r w:rsidR="00FA71B4" w:rsidRPr="00B048EB">
        <w:rPr>
          <w:sz w:val="22"/>
          <w:szCs w:val="22"/>
        </w:rPr>
        <w:t>dvakrát denne plus omeprazol 20</w:t>
      </w:r>
      <w:r w:rsidR="00731C93">
        <w:rPr>
          <w:sz w:val="22"/>
          <w:szCs w:val="22"/>
        </w:rPr>
        <w:t xml:space="preserve"> mg </w:t>
      </w:r>
      <w:r w:rsidR="00FA71B4" w:rsidRPr="00B048EB">
        <w:rPr>
          <w:sz w:val="22"/>
          <w:szCs w:val="22"/>
        </w:rPr>
        <w:t>jedenkrát denne (N2 246) (0,2 % vs. 1,1 % pre definovaný GI pôvod, p</w:t>
      </w:r>
      <w:r w:rsidR="00934323" w:rsidRPr="00B048EB">
        <w:rPr>
          <w:sz w:val="22"/>
          <w:szCs w:val="22"/>
        </w:rPr>
        <w:t xml:space="preserve"> </w:t>
      </w:r>
      <w:r w:rsidR="00FA71B4" w:rsidRPr="00B048EB">
        <w:rPr>
          <w:sz w:val="22"/>
          <w:szCs w:val="22"/>
        </w:rPr>
        <w:t>=</w:t>
      </w:r>
      <w:r w:rsidR="00934323" w:rsidRPr="00B048EB">
        <w:rPr>
          <w:sz w:val="22"/>
          <w:szCs w:val="22"/>
        </w:rPr>
        <w:t xml:space="preserve"> </w:t>
      </w:r>
      <w:r w:rsidR="00FA71B4" w:rsidRPr="00B048EB">
        <w:rPr>
          <w:sz w:val="22"/>
          <w:szCs w:val="22"/>
        </w:rPr>
        <w:t>0,004; 0,4 % vs. 2,4 % pre predpokladaný GI pôvod, p</w:t>
      </w:r>
      <w:r w:rsidR="00934323" w:rsidRPr="00B048EB">
        <w:rPr>
          <w:sz w:val="22"/>
          <w:szCs w:val="22"/>
        </w:rPr>
        <w:t xml:space="preserve"> </w:t>
      </w:r>
      <w:r w:rsidR="00FA71B4" w:rsidRPr="00B048EB">
        <w:rPr>
          <w:sz w:val="22"/>
          <w:szCs w:val="22"/>
        </w:rPr>
        <w:t>=</w:t>
      </w:r>
      <w:r w:rsidR="00934323" w:rsidRPr="00B048EB">
        <w:rPr>
          <w:sz w:val="22"/>
          <w:szCs w:val="22"/>
        </w:rPr>
        <w:t xml:space="preserve"> </w:t>
      </w:r>
      <w:r w:rsidR="00FA71B4" w:rsidRPr="00B048EB">
        <w:rPr>
          <w:sz w:val="22"/>
          <w:szCs w:val="22"/>
        </w:rPr>
        <w:t>0,0001). Výskyt klinicky manifestovaných GI komplikácií, ako sú perforácia, obštrukcia alebo hemorágia bol veľmi nízky bez rozdielov medzi liečebnými skupinami (4</w:t>
      </w:r>
      <w:r w:rsidR="00F47A4E" w:rsidRPr="00B048EB">
        <w:rPr>
          <w:sz w:val="22"/>
          <w:szCs w:val="22"/>
        </w:rPr>
        <w:t xml:space="preserve"> – </w:t>
      </w:r>
      <w:r w:rsidR="00FA71B4" w:rsidRPr="00B048EB">
        <w:rPr>
          <w:sz w:val="22"/>
          <w:szCs w:val="22"/>
        </w:rPr>
        <w:t>5/skupina).</w:t>
      </w:r>
    </w:p>
    <w:p w14:paraId="04D47868" w14:textId="173A54F6" w:rsidR="00FA71B4" w:rsidRPr="00B048EB" w:rsidRDefault="00FA71B4" w:rsidP="00F31FEF">
      <w:pPr>
        <w:tabs>
          <w:tab w:val="left" w:pos="567"/>
        </w:tabs>
        <w:rPr>
          <w:sz w:val="22"/>
          <w:szCs w:val="22"/>
        </w:rPr>
      </w:pPr>
    </w:p>
    <w:p w14:paraId="661BF03E" w14:textId="77777777" w:rsidR="00FA71B4" w:rsidRPr="00DE5A3E" w:rsidRDefault="00FA71B4" w:rsidP="00DE5A3E">
      <w:pPr>
        <w:keepNext/>
        <w:tabs>
          <w:tab w:val="left" w:pos="567"/>
        </w:tabs>
        <w:rPr>
          <w:sz w:val="22"/>
          <w:u w:val="single"/>
        </w:rPr>
      </w:pPr>
      <w:r w:rsidRPr="00DE5A3E">
        <w:rPr>
          <w:sz w:val="22"/>
          <w:u w:val="single"/>
        </w:rPr>
        <w:t>Kardiovaskulárna bezpečnosť – dlhodobé štúdie zahŕňajúce osoby so sporadickými adenomatóznymi polypmi</w:t>
      </w:r>
    </w:p>
    <w:p w14:paraId="58DC58C8" w14:textId="77777777" w:rsidR="00FA71B4" w:rsidRPr="00B048EB" w:rsidRDefault="00FA71B4" w:rsidP="00DE5A3E">
      <w:pPr>
        <w:tabs>
          <w:tab w:val="left" w:pos="567"/>
        </w:tabs>
        <w:rPr>
          <w:sz w:val="22"/>
          <w:szCs w:val="22"/>
        </w:rPr>
      </w:pPr>
      <w:r w:rsidRPr="00B048EB">
        <w:rPr>
          <w:sz w:val="22"/>
          <w:szCs w:val="22"/>
        </w:rPr>
        <w:t xml:space="preserve">Boli vykonané dve štúdie, ktoré zahŕňali osoby so sporadickým adenomatóznymi polypmi, s celekoxibom. Boli to APC skúšanie (Adenoma Prevention with Celecoxib, APC) a PreSAP skúšanie (Prevention of Spontaneous Adenomatous Polyps). V APC skúšaní sa zistilo dávkovo závislé zvýšenie v zloženom koncovom ukazovateli </w:t>
      </w:r>
      <w:r w:rsidR="002F20AE" w:rsidRPr="00B048EB">
        <w:rPr>
          <w:sz w:val="22"/>
          <w:szCs w:val="22"/>
        </w:rPr>
        <w:t xml:space="preserve">KV </w:t>
      </w:r>
      <w:r w:rsidRPr="00B048EB">
        <w:rPr>
          <w:sz w:val="22"/>
          <w:szCs w:val="22"/>
        </w:rPr>
        <w:t>úmrtia, infarktu myokardu alebo mŕtvice (posudzovaná) s celekoxibom v porovnaní s placebom počas viac ako 3 rokov liečby. PreSAP skúšanie nepreukázalo štatisticky signifikantné zvýšenie rizika pre ten istý zložený koncový ukazovateľ.</w:t>
      </w:r>
    </w:p>
    <w:p w14:paraId="1846DDD4" w14:textId="77777777" w:rsidR="00FA71B4" w:rsidRPr="00B048EB" w:rsidRDefault="00FA71B4" w:rsidP="00F31FEF">
      <w:pPr>
        <w:rPr>
          <w:sz w:val="22"/>
          <w:szCs w:val="22"/>
        </w:rPr>
      </w:pPr>
    </w:p>
    <w:p w14:paraId="71B8DA71" w14:textId="20DE10F3" w:rsidR="00FA71B4" w:rsidRPr="00B048EB" w:rsidRDefault="00FA71B4" w:rsidP="00F31FEF">
      <w:pPr>
        <w:rPr>
          <w:sz w:val="22"/>
          <w:szCs w:val="22"/>
        </w:rPr>
      </w:pPr>
      <w:r w:rsidRPr="00B048EB">
        <w:rPr>
          <w:sz w:val="22"/>
          <w:szCs w:val="22"/>
        </w:rPr>
        <w:t xml:space="preserve">V APC skúšaní boli relatívne riziká porovnávané s placebom pre zložený koncový ukazovateľ (posudzovaný) </w:t>
      </w:r>
      <w:r w:rsidR="002F20AE" w:rsidRPr="00B048EB">
        <w:rPr>
          <w:sz w:val="22"/>
          <w:szCs w:val="22"/>
        </w:rPr>
        <w:t xml:space="preserve">KV </w:t>
      </w:r>
      <w:r w:rsidRPr="00B048EB">
        <w:rPr>
          <w:sz w:val="22"/>
          <w:szCs w:val="22"/>
        </w:rPr>
        <w:t>úmrtia, infarktu myokardu alebo mŕtvicu nasledovné 3,4 (95 % CI 1,4</w:t>
      </w:r>
      <w:r w:rsidR="00F47A4E" w:rsidRPr="00B048EB">
        <w:rPr>
          <w:sz w:val="22"/>
          <w:szCs w:val="22"/>
        </w:rPr>
        <w:t xml:space="preserve"> – </w:t>
      </w:r>
      <w:r w:rsidRPr="00B048EB">
        <w:rPr>
          <w:sz w:val="22"/>
          <w:szCs w:val="22"/>
        </w:rPr>
        <w:t>8,5) s celekoxibom v dávke 400</w:t>
      </w:r>
      <w:r w:rsidR="00731C93">
        <w:rPr>
          <w:sz w:val="22"/>
          <w:szCs w:val="22"/>
        </w:rPr>
        <w:t xml:space="preserve"> mg </w:t>
      </w:r>
      <w:r w:rsidRPr="00B048EB">
        <w:rPr>
          <w:sz w:val="22"/>
          <w:szCs w:val="22"/>
        </w:rPr>
        <w:t>dvakrát denne a 2,8 (95 % CI 1</w:t>
      </w:r>
      <w:r w:rsidR="00F47A4E" w:rsidRPr="00B048EB">
        <w:rPr>
          <w:sz w:val="22"/>
          <w:szCs w:val="22"/>
        </w:rPr>
        <w:t>,</w:t>
      </w:r>
      <w:r w:rsidRPr="00B048EB">
        <w:rPr>
          <w:sz w:val="22"/>
          <w:szCs w:val="22"/>
        </w:rPr>
        <w:t>1</w:t>
      </w:r>
      <w:r w:rsidR="00F47A4E" w:rsidRPr="00B048EB">
        <w:rPr>
          <w:sz w:val="22"/>
          <w:szCs w:val="22"/>
        </w:rPr>
        <w:t xml:space="preserve"> – </w:t>
      </w:r>
      <w:r w:rsidRPr="00B048EB">
        <w:rPr>
          <w:sz w:val="22"/>
          <w:szCs w:val="22"/>
        </w:rPr>
        <w:t>7,2) s celekoxibom v dávke 200</w:t>
      </w:r>
      <w:r w:rsidR="00731C93">
        <w:rPr>
          <w:sz w:val="22"/>
          <w:szCs w:val="22"/>
        </w:rPr>
        <w:t xml:space="preserve"> mg </w:t>
      </w:r>
      <w:r w:rsidRPr="00B048EB">
        <w:rPr>
          <w:sz w:val="22"/>
          <w:szCs w:val="22"/>
        </w:rPr>
        <w:t>dvakrát denne. Kumulatívne pomery pre tento zložený koncový ukazovateľ po viac ako 3</w:t>
      </w:r>
      <w:r w:rsidR="001F5C55" w:rsidRPr="00B048EB">
        <w:rPr>
          <w:sz w:val="22"/>
          <w:szCs w:val="22"/>
        </w:rPr>
        <w:t> </w:t>
      </w:r>
      <w:r w:rsidRPr="00B048EB">
        <w:rPr>
          <w:sz w:val="22"/>
          <w:szCs w:val="22"/>
        </w:rPr>
        <w:t xml:space="preserve">rokoch boli 3,0 % (20/671 osôb) a 2,5 % (17/685 osôb) v porovnaní ku 0,9 % (6/679 osôb) pre placebo. Zvýšenia pre obidve skupiny s dávkami celekoxibu v porovnaní s placebom boli hlavne vzhľadom na zvýšený výskyt infarktu myokardu. </w:t>
      </w:r>
    </w:p>
    <w:p w14:paraId="5BA10561" w14:textId="77777777" w:rsidR="00FA71B4" w:rsidRPr="00B048EB" w:rsidRDefault="00FA71B4" w:rsidP="00F31FEF">
      <w:pPr>
        <w:rPr>
          <w:sz w:val="22"/>
          <w:szCs w:val="22"/>
        </w:rPr>
      </w:pPr>
    </w:p>
    <w:p w14:paraId="4B583C78" w14:textId="786560AB" w:rsidR="00FA71B4" w:rsidRPr="00B048EB" w:rsidRDefault="00FA71B4" w:rsidP="00F31FEF">
      <w:pPr>
        <w:rPr>
          <w:sz w:val="22"/>
          <w:szCs w:val="22"/>
        </w:rPr>
      </w:pPr>
      <w:r w:rsidRPr="00B048EB">
        <w:rPr>
          <w:sz w:val="22"/>
          <w:szCs w:val="22"/>
        </w:rPr>
        <w:t>V PreSAP skúšaní, relatívne riziko porovnávané s placebom pre ten istý zložený koncový ukazovateľ (posudzovaný) bolo 1,2 (95 % CI 0,6</w:t>
      </w:r>
      <w:r w:rsidR="00F47A4E" w:rsidRPr="00B048EB">
        <w:rPr>
          <w:sz w:val="22"/>
          <w:szCs w:val="22"/>
        </w:rPr>
        <w:t xml:space="preserve"> – </w:t>
      </w:r>
      <w:r w:rsidRPr="00B048EB">
        <w:rPr>
          <w:sz w:val="22"/>
          <w:szCs w:val="22"/>
        </w:rPr>
        <w:t>2,4) s celekoxibom v dávke 400</w:t>
      </w:r>
      <w:r w:rsidR="00731C93">
        <w:rPr>
          <w:sz w:val="22"/>
          <w:szCs w:val="22"/>
        </w:rPr>
        <w:t xml:space="preserve"> mg </w:t>
      </w:r>
      <w:r w:rsidRPr="00B048EB">
        <w:rPr>
          <w:sz w:val="22"/>
          <w:szCs w:val="22"/>
        </w:rPr>
        <w:t>jedenkrát denne porovnávané s placebom. Kumulatívne pomery pre tento zložený koncový ukazovateľ po viac ako 3 rokoch liečby boli 2,3 % (21/933 osôb) a 1,9 % (12/628 osôb). Výskyt infarktu myokardu (posudzovaný) bol 1,0 % (9/933 osôb) s celekoxibom v dávke 400</w:t>
      </w:r>
      <w:r w:rsidR="00731C93">
        <w:rPr>
          <w:sz w:val="22"/>
          <w:szCs w:val="22"/>
        </w:rPr>
        <w:t xml:space="preserve"> mg </w:t>
      </w:r>
      <w:r w:rsidRPr="00B048EB">
        <w:rPr>
          <w:sz w:val="22"/>
          <w:szCs w:val="22"/>
        </w:rPr>
        <w:t>jedenkrát denne a 0,6 % (4/628) s placebom.</w:t>
      </w:r>
    </w:p>
    <w:p w14:paraId="1314A675" w14:textId="77777777" w:rsidR="00FA71B4" w:rsidRPr="00B048EB" w:rsidRDefault="00FA71B4" w:rsidP="00F31FEF">
      <w:pPr>
        <w:rPr>
          <w:sz w:val="22"/>
          <w:szCs w:val="22"/>
        </w:rPr>
      </w:pPr>
    </w:p>
    <w:p w14:paraId="1A428855" w14:textId="75051039" w:rsidR="00FA71B4" w:rsidRPr="00B048EB" w:rsidRDefault="00FA71B4" w:rsidP="00F31FEF">
      <w:pPr>
        <w:rPr>
          <w:sz w:val="22"/>
          <w:szCs w:val="22"/>
        </w:rPr>
      </w:pPr>
      <w:r w:rsidRPr="00B048EB">
        <w:rPr>
          <w:sz w:val="22"/>
          <w:szCs w:val="22"/>
        </w:rPr>
        <w:t xml:space="preserve">Údaje z tretej dlhodobej štúdie, ADAPT (The Alzheimer´s Disease Anti-inflammatory Prevention Trial) nepreukázali signifikantné zvýšenie </w:t>
      </w:r>
      <w:r w:rsidR="002F20AE" w:rsidRPr="00B048EB">
        <w:rPr>
          <w:sz w:val="22"/>
          <w:szCs w:val="22"/>
        </w:rPr>
        <w:t xml:space="preserve">KV </w:t>
      </w:r>
      <w:r w:rsidRPr="00B048EB">
        <w:rPr>
          <w:sz w:val="22"/>
          <w:szCs w:val="22"/>
        </w:rPr>
        <w:t>rizika s celekoxibom v dávke 200</w:t>
      </w:r>
      <w:r w:rsidR="00731C93">
        <w:rPr>
          <w:sz w:val="22"/>
          <w:szCs w:val="22"/>
        </w:rPr>
        <w:t xml:space="preserve"> mg </w:t>
      </w:r>
      <w:r w:rsidRPr="00B048EB">
        <w:rPr>
          <w:sz w:val="22"/>
          <w:szCs w:val="22"/>
        </w:rPr>
        <w:t xml:space="preserve">dvakrát denne </w:t>
      </w:r>
      <w:r w:rsidRPr="00B048EB">
        <w:rPr>
          <w:sz w:val="22"/>
          <w:szCs w:val="22"/>
        </w:rPr>
        <w:lastRenderedPageBreak/>
        <w:t>v porovnaní s</w:t>
      </w:r>
      <w:r w:rsidR="00731C93">
        <w:rPr>
          <w:sz w:val="22"/>
          <w:szCs w:val="22"/>
        </w:rPr>
        <w:t> </w:t>
      </w:r>
      <w:r w:rsidRPr="00B048EB">
        <w:rPr>
          <w:sz w:val="22"/>
          <w:szCs w:val="22"/>
        </w:rPr>
        <w:t xml:space="preserve">placebom. </w:t>
      </w:r>
      <w:r w:rsidR="004676C4">
        <w:rPr>
          <w:sz w:val="22"/>
          <w:szCs w:val="22"/>
        </w:rPr>
        <w:t>Relatívne riziko v porovnaní s placebom pre podobný zložený koncový ukazovateľ (KV smrť, infarkt myokardu, cievna mozgová príhoda) bol</w:t>
      </w:r>
      <w:r w:rsidR="00E528D3">
        <w:rPr>
          <w:sz w:val="22"/>
          <w:szCs w:val="22"/>
        </w:rPr>
        <w:t>o</w:t>
      </w:r>
      <w:r w:rsidR="004676C4">
        <w:rPr>
          <w:sz w:val="22"/>
          <w:szCs w:val="22"/>
        </w:rPr>
        <w:t xml:space="preserve"> 1,14 (95% CI 0,61 – 2,15) pre celekoxib 200</w:t>
      </w:r>
      <w:r w:rsidR="00731C93">
        <w:rPr>
          <w:sz w:val="22"/>
          <w:szCs w:val="22"/>
        </w:rPr>
        <w:t xml:space="preserve"> mg </w:t>
      </w:r>
      <w:r w:rsidR="004676C4">
        <w:rPr>
          <w:sz w:val="22"/>
          <w:szCs w:val="22"/>
        </w:rPr>
        <w:t xml:space="preserve">dvakrát denne. </w:t>
      </w:r>
      <w:r w:rsidRPr="00B048EB">
        <w:rPr>
          <w:sz w:val="22"/>
          <w:szCs w:val="22"/>
        </w:rPr>
        <w:t>Výskyt infarktu myokardu bol 1,1 % (8/717 osôb) s celekoxibom v dávke 200</w:t>
      </w:r>
      <w:r w:rsidR="00731C93">
        <w:rPr>
          <w:sz w:val="22"/>
          <w:szCs w:val="22"/>
        </w:rPr>
        <w:t xml:space="preserve"> mg </w:t>
      </w:r>
      <w:r w:rsidRPr="00B048EB">
        <w:rPr>
          <w:sz w:val="22"/>
          <w:szCs w:val="22"/>
        </w:rPr>
        <w:t>dvakrát denne a 1,2 % (13/1070 pacientov) s placebom.</w:t>
      </w:r>
    </w:p>
    <w:p w14:paraId="0574F6B4" w14:textId="77777777" w:rsidR="00FA71B4" w:rsidRDefault="00FA71B4" w:rsidP="00F31FEF">
      <w:pPr>
        <w:tabs>
          <w:tab w:val="left" w:pos="567"/>
        </w:tabs>
        <w:rPr>
          <w:b/>
          <w:sz w:val="22"/>
          <w:szCs w:val="22"/>
        </w:rPr>
      </w:pPr>
    </w:p>
    <w:p w14:paraId="7329185A" w14:textId="1EBD4A20" w:rsidR="00CE32D4" w:rsidRPr="004B560F" w:rsidRDefault="00CE32D4" w:rsidP="004B560F">
      <w:pPr>
        <w:keepNext/>
        <w:tabs>
          <w:tab w:val="left" w:pos="567"/>
        </w:tabs>
        <w:rPr>
          <w:sz w:val="22"/>
          <w:szCs w:val="22"/>
          <w:u w:val="single"/>
        </w:rPr>
      </w:pPr>
      <w:r w:rsidRPr="004B560F">
        <w:rPr>
          <w:sz w:val="22"/>
          <w:szCs w:val="22"/>
          <w:u w:val="single"/>
        </w:rPr>
        <w:t xml:space="preserve">Prospektívne randomizované zhodnotenie integrovanej </w:t>
      </w:r>
      <w:r w:rsidR="00AA001E" w:rsidRPr="00B4110D">
        <w:rPr>
          <w:sz w:val="22"/>
          <w:szCs w:val="22"/>
          <w:u w:val="single"/>
        </w:rPr>
        <w:t>bezpečnosti</w:t>
      </w:r>
      <w:r w:rsidRPr="004B560F">
        <w:rPr>
          <w:sz w:val="22"/>
          <w:szCs w:val="22"/>
          <w:u w:val="single"/>
        </w:rPr>
        <w:t xml:space="preserve"> celekoxibu </w:t>
      </w:r>
      <w:r w:rsidR="00365231">
        <w:rPr>
          <w:sz w:val="22"/>
          <w:szCs w:val="22"/>
          <w:u w:val="single"/>
        </w:rPr>
        <w:t>v porovnaní</w:t>
      </w:r>
      <w:r w:rsidR="00731C93">
        <w:rPr>
          <w:sz w:val="22"/>
          <w:szCs w:val="22"/>
          <w:u w:val="single"/>
        </w:rPr>
        <w:t xml:space="preserve"> s </w:t>
      </w:r>
      <w:r w:rsidR="00C0522B">
        <w:rPr>
          <w:sz w:val="22"/>
          <w:szCs w:val="22"/>
          <w:u w:val="single"/>
        </w:rPr>
        <w:t>ibuprofé</w:t>
      </w:r>
      <w:r w:rsidR="00BD0391" w:rsidRPr="00B4110D">
        <w:rPr>
          <w:sz w:val="22"/>
          <w:szCs w:val="22"/>
          <w:u w:val="single"/>
        </w:rPr>
        <w:t>n</w:t>
      </w:r>
      <w:r w:rsidR="00365231">
        <w:rPr>
          <w:sz w:val="22"/>
          <w:szCs w:val="22"/>
          <w:u w:val="single"/>
        </w:rPr>
        <w:t>om</w:t>
      </w:r>
      <w:r w:rsidR="00BD0391" w:rsidRPr="009F1748">
        <w:rPr>
          <w:sz w:val="22"/>
          <w:szCs w:val="22"/>
          <w:u w:val="single"/>
        </w:rPr>
        <w:t xml:space="preserve"> alebo naproxén</w:t>
      </w:r>
      <w:r w:rsidR="00365231">
        <w:rPr>
          <w:sz w:val="22"/>
          <w:szCs w:val="22"/>
          <w:u w:val="single"/>
        </w:rPr>
        <w:t>om</w:t>
      </w:r>
      <w:r w:rsidRPr="004B560F">
        <w:rPr>
          <w:sz w:val="22"/>
          <w:szCs w:val="22"/>
          <w:u w:val="single"/>
        </w:rPr>
        <w:t xml:space="preserve"> (</w:t>
      </w:r>
      <w:r w:rsidR="00BD0391" w:rsidRPr="00BD0391">
        <w:rPr>
          <w:sz w:val="22"/>
          <w:szCs w:val="22"/>
          <w:u w:val="single"/>
        </w:rPr>
        <w:t>Prospective Randomised Evaluation of Celecoxib Integrated Safety vs. Ibuprofen Or Naproxen</w:t>
      </w:r>
      <w:r w:rsidR="00BD0391" w:rsidRPr="00B4110D">
        <w:rPr>
          <w:sz w:val="22"/>
          <w:szCs w:val="22"/>
          <w:u w:val="single"/>
        </w:rPr>
        <w:t xml:space="preserve"> </w:t>
      </w:r>
      <w:r w:rsidR="00BD0391">
        <w:rPr>
          <w:sz w:val="22"/>
          <w:szCs w:val="22"/>
          <w:u w:val="single"/>
        </w:rPr>
        <w:t xml:space="preserve">- </w:t>
      </w:r>
      <w:r w:rsidRPr="004B560F">
        <w:rPr>
          <w:sz w:val="22"/>
          <w:szCs w:val="22"/>
          <w:u w:val="single"/>
        </w:rPr>
        <w:t>PRECISION)</w:t>
      </w:r>
    </w:p>
    <w:p w14:paraId="0A98210C" w14:textId="2F882E01" w:rsidR="00CE32D4" w:rsidRDefault="00CE32D4" w:rsidP="00493E86">
      <w:pPr>
        <w:tabs>
          <w:tab w:val="left" w:pos="567"/>
        </w:tabs>
        <w:rPr>
          <w:sz w:val="22"/>
          <w:szCs w:val="22"/>
        </w:rPr>
      </w:pPr>
      <w:r>
        <w:rPr>
          <w:sz w:val="22"/>
          <w:szCs w:val="22"/>
        </w:rPr>
        <w:t xml:space="preserve">Štúdia PRECISION </w:t>
      </w:r>
      <w:r w:rsidR="00B931C1">
        <w:rPr>
          <w:sz w:val="22"/>
          <w:szCs w:val="22"/>
        </w:rPr>
        <w:t>bola</w:t>
      </w:r>
      <w:r>
        <w:rPr>
          <w:sz w:val="22"/>
          <w:szCs w:val="22"/>
        </w:rPr>
        <w:t xml:space="preserve"> dvojito zaslepená štúdia kardiovaskulárnej bezpečnosti u pacientov s </w:t>
      </w:r>
      <w:r w:rsidR="00365231" w:rsidRPr="00365231">
        <w:rPr>
          <w:sz w:val="22"/>
          <w:szCs w:val="22"/>
        </w:rPr>
        <w:t xml:space="preserve">osteoartrózou </w:t>
      </w:r>
      <w:r w:rsidR="00365231">
        <w:rPr>
          <w:sz w:val="22"/>
          <w:szCs w:val="22"/>
        </w:rPr>
        <w:t>(</w:t>
      </w:r>
      <w:r>
        <w:rPr>
          <w:sz w:val="22"/>
          <w:szCs w:val="22"/>
        </w:rPr>
        <w:t>OA</w:t>
      </w:r>
      <w:r w:rsidR="00365231">
        <w:rPr>
          <w:sz w:val="22"/>
          <w:szCs w:val="22"/>
        </w:rPr>
        <w:t>)</w:t>
      </w:r>
      <w:r>
        <w:rPr>
          <w:sz w:val="22"/>
          <w:szCs w:val="22"/>
        </w:rPr>
        <w:t xml:space="preserve"> alebo </w:t>
      </w:r>
      <w:r w:rsidR="00365231" w:rsidRPr="00365231">
        <w:rPr>
          <w:sz w:val="22"/>
          <w:szCs w:val="22"/>
        </w:rPr>
        <w:t xml:space="preserve">reumatoidnou artritídou </w:t>
      </w:r>
      <w:r w:rsidR="00365231">
        <w:rPr>
          <w:sz w:val="22"/>
          <w:szCs w:val="22"/>
        </w:rPr>
        <w:t>(</w:t>
      </w:r>
      <w:r>
        <w:rPr>
          <w:sz w:val="22"/>
          <w:szCs w:val="22"/>
        </w:rPr>
        <w:t>RA</w:t>
      </w:r>
      <w:r w:rsidR="00365231">
        <w:rPr>
          <w:sz w:val="22"/>
          <w:szCs w:val="22"/>
        </w:rPr>
        <w:t>)</w:t>
      </w:r>
      <w:r>
        <w:rPr>
          <w:sz w:val="22"/>
          <w:szCs w:val="22"/>
        </w:rPr>
        <w:t xml:space="preserve"> s prítomným kardiovaskulárnym ochorením alebo jeho vysokou pravde</w:t>
      </w:r>
      <w:r w:rsidR="00AA001E">
        <w:rPr>
          <w:sz w:val="22"/>
          <w:szCs w:val="22"/>
        </w:rPr>
        <w:t xml:space="preserve">podobnosťou, ktorá porovnávala </w:t>
      </w:r>
      <w:r>
        <w:rPr>
          <w:sz w:val="22"/>
          <w:szCs w:val="22"/>
        </w:rPr>
        <w:t>celekoxib (200</w:t>
      </w:r>
      <w:r w:rsidR="00731C93">
        <w:rPr>
          <w:sz w:val="22"/>
          <w:szCs w:val="22"/>
        </w:rPr>
        <w:t xml:space="preserve"> mg </w:t>
      </w:r>
      <w:r>
        <w:rPr>
          <w:sz w:val="22"/>
          <w:szCs w:val="22"/>
        </w:rPr>
        <w:t>– 400</w:t>
      </w:r>
      <w:r w:rsidR="00731C93">
        <w:rPr>
          <w:sz w:val="22"/>
          <w:szCs w:val="22"/>
        </w:rPr>
        <w:t xml:space="preserve"> mg </w:t>
      </w:r>
      <w:r>
        <w:rPr>
          <w:sz w:val="22"/>
          <w:szCs w:val="22"/>
        </w:rPr>
        <w:t xml:space="preserve">denne) </w:t>
      </w:r>
      <w:r w:rsidR="00BD0391">
        <w:rPr>
          <w:sz w:val="22"/>
          <w:szCs w:val="22"/>
        </w:rPr>
        <w:t>s naproxénom (</w:t>
      </w:r>
      <w:r w:rsidR="00BD0391" w:rsidRPr="00BD0391">
        <w:rPr>
          <w:sz w:val="22"/>
          <w:szCs w:val="22"/>
        </w:rPr>
        <w:t>750</w:t>
      </w:r>
      <w:r w:rsidR="00BD0391">
        <w:rPr>
          <w:sz w:val="22"/>
          <w:szCs w:val="22"/>
        </w:rPr>
        <w:t xml:space="preserve"> mg </w:t>
      </w:r>
      <w:r w:rsidR="00BD0391" w:rsidRPr="00BD0391">
        <w:rPr>
          <w:sz w:val="22"/>
          <w:szCs w:val="22"/>
        </w:rPr>
        <w:t>-1</w:t>
      </w:r>
      <w:r w:rsidR="00BD0391">
        <w:rPr>
          <w:sz w:val="22"/>
          <w:szCs w:val="22"/>
        </w:rPr>
        <w:t> 000 </w:t>
      </w:r>
      <w:r w:rsidR="00BD0391" w:rsidRPr="00BD0391">
        <w:rPr>
          <w:sz w:val="22"/>
          <w:szCs w:val="22"/>
        </w:rPr>
        <w:t xml:space="preserve">mg </w:t>
      </w:r>
      <w:r w:rsidR="00BD0391">
        <w:rPr>
          <w:sz w:val="22"/>
          <w:szCs w:val="22"/>
        </w:rPr>
        <w:t>denne) a</w:t>
      </w:r>
      <w:r>
        <w:rPr>
          <w:sz w:val="22"/>
          <w:szCs w:val="22"/>
        </w:rPr>
        <w:t> </w:t>
      </w:r>
      <w:r w:rsidR="00C0522B">
        <w:rPr>
          <w:sz w:val="22"/>
          <w:szCs w:val="22"/>
        </w:rPr>
        <w:t>ibuprofé</w:t>
      </w:r>
      <w:r>
        <w:rPr>
          <w:sz w:val="22"/>
          <w:szCs w:val="22"/>
        </w:rPr>
        <w:t>n</w:t>
      </w:r>
      <w:r w:rsidR="00BD0391">
        <w:rPr>
          <w:sz w:val="22"/>
          <w:szCs w:val="22"/>
        </w:rPr>
        <w:t>om</w:t>
      </w:r>
      <w:r>
        <w:rPr>
          <w:sz w:val="22"/>
          <w:szCs w:val="22"/>
        </w:rPr>
        <w:t xml:space="preserve"> (1 800</w:t>
      </w:r>
      <w:r w:rsidR="00731C93">
        <w:rPr>
          <w:sz w:val="22"/>
          <w:szCs w:val="22"/>
        </w:rPr>
        <w:t xml:space="preserve"> mg </w:t>
      </w:r>
      <w:r>
        <w:rPr>
          <w:sz w:val="22"/>
          <w:szCs w:val="22"/>
        </w:rPr>
        <w:t>– 2 400</w:t>
      </w:r>
      <w:r w:rsidR="00731C93">
        <w:rPr>
          <w:sz w:val="22"/>
          <w:szCs w:val="22"/>
        </w:rPr>
        <w:t xml:space="preserve"> mg </w:t>
      </w:r>
      <w:r>
        <w:rPr>
          <w:sz w:val="22"/>
          <w:szCs w:val="22"/>
        </w:rPr>
        <w:t xml:space="preserve">denne). </w:t>
      </w:r>
      <w:r w:rsidR="00BD0391">
        <w:rPr>
          <w:sz w:val="22"/>
          <w:szCs w:val="22"/>
        </w:rPr>
        <w:t>P</w:t>
      </w:r>
      <w:r>
        <w:rPr>
          <w:sz w:val="22"/>
          <w:szCs w:val="22"/>
        </w:rPr>
        <w:t xml:space="preserve">rimárnym koncovým ukazovateľom, podľa </w:t>
      </w:r>
      <w:r w:rsidRPr="00CE32D4">
        <w:rPr>
          <w:sz w:val="22"/>
          <w:szCs w:val="22"/>
        </w:rPr>
        <w:t>Antiplatelet Trialists Collaboration (APTC)</w:t>
      </w:r>
      <w:r>
        <w:rPr>
          <w:sz w:val="22"/>
          <w:szCs w:val="22"/>
        </w:rPr>
        <w:t xml:space="preserve">, </w:t>
      </w:r>
      <w:r w:rsidR="00BD0391">
        <w:rPr>
          <w:sz w:val="22"/>
          <w:szCs w:val="22"/>
        </w:rPr>
        <w:t xml:space="preserve">bol </w:t>
      </w:r>
      <w:r>
        <w:rPr>
          <w:sz w:val="22"/>
          <w:szCs w:val="22"/>
        </w:rPr>
        <w:t>nezávisl</w:t>
      </w:r>
      <w:r w:rsidR="00BD0391">
        <w:rPr>
          <w:sz w:val="22"/>
          <w:szCs w:val="22"/>
        </w:rPr>
        <w:t>e posudzovaný</w:t>
      </w:r>
      <w:r w:rsidR="000F5074">
        <w:rPr>
          <w:sz w:val="22"/>
          <w:szCs w:val="22"/>
        </w:rPr>
        <w:t xml:space="preserve">m </w:t>
      </w:r>
      <w:r w:rsidR="000F5074" w:rsidRPr="000F5074">
        <w:rPr>
          <w:sz w:val="22"/>
          <w:szCs w:val="22"/>
        </w:rPr>
        <w:t>zloženým ukazovateľom pozostávajúcim</w:t>
      </w:r>
      <w:r w:rsidR="00731C93">
        <w:rPr>
          <w:sz w:val="22"/>
          <w:szCs w:val="22"/>
        </w:rPr>
        <w:t xml:space="preserve"> z </w:t>
      </w:r>
      <w:r w:rsidR="00021B2E">
        <w:rPr>
          <w:sz w:val="22"/>
          <w:szCs w:val="22"/>
        </w:rPr>
        <w:t>kardiovaskulárnej smrti</w:t>
      </w:r>
      <w:r w:rsidR="00C67B3B">
        <w:rPr>
          <w:sz w:val="22"/>
          <w:szCs w:val="22"/>
        </w:rPr>
        <w:t xml:space="preserve"> (vrátane smrti z dôvodu hemorágie), infarkt</w:t>
      </w:r>
      <w:r w:rsidR="00BD0391">
        <w:rPr>
          <w:sz w:val="22"/>
          <w:szCs w:val="22"/>
        </w:rPr>
        <w:t>u myokardu</w:t>
      </w:r>
      <w:r w:rsidR="008A13FB" w:rsidRPr="008A13FB">
        <w:rPr>
          <w:sz w:val="22"/>
          <w:szCs w:val="22"/>
        </w:rPr>
        <w:t xml:space="preserve"> </w:t>
      </w:r>
      <w:r w:rsidR="008A13FB">
        <w:rPr>
          <w:sz w:val="22"/>
          <w:szCs w:val="22"/>
        </w:rPr>
        <w:t>bez smrteľných následkov</w:t>
      </w:r>
      <w:r w:rsidR="00BD0391">
        <w:rPr>
          <w:sz w:val="22"/>
          <w:szCs w:val="22"/>
        </w:rPr>
        <w:t xml:space="preserve"> alebo </w:t>
      </w:r>
      <w:r w:rsidR="000F5074" w:rsidRPr="000F5074">
        <w:rPr>
          <w:sz w:val="22"/>
          <w:szCs w:val="22"/>
        </w:rPr>
        <w:t xml:space="preserve">cievnej mozgovej príhody </w:t>
      </w:r>
      <w:r w:rsidR="00021B2E">
        <w:rPr>
          <w:sz w:val="22"/>
          <w:szCs w:val="22"/>
        </w:rPr>
        <w:t>bez</w:t>
      </w:r>
      <w:r w:rsidR="00C67B3B">
        <w:rPr>
          <w:sz w:val="22"/>
          <w:szCs w:val="22"/>
        </w:rPr>
        <w:t xml:space="preserve"> smrteľných následkov. Štúdia bola plánovaná s 80% silou </w:t>
      </w:r>
      <w:r w:rsidR="000F5074">
        <w:rPr>
          <w:sz w:val="22"/>
          <w:szCs w:val="22"/>
        </w:rPr>
        <w:t>na vyhodnocovanie</w:t>
      </w:r>
      <w:r w:rsidR="00C67B3B">
        <w:rPr>
          <w:sz w:val="22"/>
          <w:szCs w:val="22"/>
        </w:rPr>
        <w:t xml:space="preserve"> non-inferiority. Všetkým pacientom bol </w:t>
      </w:r>
      <w:r w:rsidR="000F5074">
        <w:rPr>
          <w:sz w:val="22"/>
          <w:szCs w:val="22"/>
        </w:rPr>
        <w:t xml:space="preserve">nezaslepene </w:t>
      </w:r>
      <w:r w:rsidR="00C67B3B">
        <w:rPr>
          <w:sz w:val="22"/>
          <w:szCs w:val="22"/>
        </w:rPr>
        <w:t xml:space="preserve">predpísaný ezomeprazol (20 mg -40 mg) z dôvodu ochrany gastrointestinálneho systému. </w:t>
      </w:r>
      <w:r w:rsidR="008A13FB">
        <w:rPr>
          <w:sz w:val="22"/>
          <w:szCs w:val="22"/>
        </w:rPr>
        <w:t>P</w:t>
      </w:r>
      <w:r w:rsidR="00021B2E">
        <w:rPr>
          <w:sz w:val="22"/>
          <w:szCs w:val="22"/>
        </w:rPr>
        <w:t xml:space="preserve">acienti, ktorí užívali nízke dávky kyseliny acetylsalicylovej </w:t>
      </w:r>
      <w:r w:rsidR="000F5074">
        <w:rPr>
          <w:sz w:val="22"/>
          <w:szCs w:val="22"/>
        </w:rPr>
        <w:t>mali povolené v tejto liečbe pokračovať</w:t>
      </w:r>
      <w:r w:rsidR="00731C93">
        <w:rPr>
          <w:sz w:val="22"/>
          <w:szCs w:val="22"/>
        </w:rPr>
        <w:t xml:space="preserve"> a </w:t>
      </w:r>
      <w:r w:rsidR="00021B2E">
        <w:rPr>
          <w:sz w:val="22"/>
          <w:szCs w:val="22"/>
        </w:rPr>
        <w:t xml:space="preserve">na začiatku štúdie bola takmer polovica pacientov liečená aj kyselinou acetylsalicylovou. Sekundárne a terciárne koncové ukazovatele zahŕňali </w:t>
      </w:r>
      <w:r w:rsidR="00AB6020">
        <w:rPr>
          <w:sz w:val="22"/>
          <w:szCs w:val="22"/>
        </w:rPr>
        <w:t xml:space="preserve">kardiovaskulárne, gastrointestinálne a renálne výsledky. Priemerná vydaná dávka bola </w:t>
      </w:r>
      <w:r w:rsidR="00AB6020" w:rsidRPr="00AB6020">
        <w:rPr>
          <w:sz w:val="22"/>
          <w:szCs w:val="22"/>
        </w:rPr>
        <w:t>209</w:t>
      </w:r>
      <w:r w:rsidR="00AB6020">
        <w:rPr>
          <w:sz w:val="22"/>
          <w:szCs w:val="22"/>
        </w:rPr>
        <w:t> </w:t>
      </w:r>
      <w:r w:rsidR="00AB6020" w:rsidRPr="00AB6020">
        <w:rPr>
          <w:sz w:val="22"/>
          <w:szCs w:val="22"/>
        </w:rPr>
        <w:t>±</w:t>
      </w:r>
      <w:r w:rsidR="00AB6020">
        <w:rPr>
          <w:sz w:val="22"/>
          <w:szCs w:val="22"/>
        </w:rPr>
        <w:t> </w:t>
      </w:r>
      <w:r w:rsidR="00AB6020" w:rsidRPr="00AB6020">
        <w:rPr>
          <w:sz w:val="22"/>
          <w:szCs w:val="22"/>
        </w:rPr>
        <w:t>37</w:t>
      </w:r>
      <w:r w:rsidR="00AB6020">
        <w:rPr>
          <w:sz w:val="22"/>
          <w:szCs w:val="22"/>
        </w:rPr>
        <w:t> </w:t>
      </w:r>
      <w:r w:rsidR="00AB6020" w:rsidRPr="00AB6020">
        <w:rPr>
          <w:sz w:val="22"/>
          <w:szCs w:val="22"/>
        </w:rPr>
        <w:t>mg/d</w:t>
      </w:r>
      <w:r w:rsidR="00AB6020">
        <w:rPr>
          <w:sz w:val="22"/>
          <w:szCs w:val="22"/>
        </w:rPr>
        <w:t>eň pre celek</w:t>
      </w:r>
      <w:r w:rsidR="00AB6020" w:rsidRPr="00AB6020">
        <w:rPr>
          <w:sz w:val="22"/>
          <w:szCs w:val="22"/>
        </w:rPr>
        <w:t>oxib, 2045</w:t>
      </w:r>
      <w:r w:rsidR="00AB6020">
        <w:rPr>
          <w:sz w:val="22"/>
          <w:szCs w:val="22"/>
        </w:rPr>
        <w:t> </w:t>
      </w:r>
      <w:r w:rsidR="00AB6020" w:rsidRPr="00AB6020">
        <w:rPr>
          <w:sz w:val="22"/>
          <w:szCs w:val="22"/>
        </w:rPr>
        <w:t>±</w:t>
      </w:r>
      <w:r w:rsidR="00AB6020">
        <w:rPr>
          <w:sz w:val="22"/>
          <w:szCs w:val="22"/>
        </w:rPr>
        <w:t> 246 </w:t>
      </w:r>
      <w:r w:rsidR="00AB6020" w:rsidRPr="00AB6020">
        <w:rPr>
          <w:sz w:val="22"/>
          <w:szCs w:val="22"/>
        </w:rPr>
        <w:t xml:space="preserve">mg/deň </w:t>
      </w:r>
      <w:r w:rsidR="00AB6020">
        <w:rPr>
          <w:sz w:val="22"/>
          <w:szCs w:val="22"/>
        </w:rPr>
        <w:t xml:space="preserve">pre </w:t>
      </w:r>
      <w:r w:rsidR="00C0522B">
        <w:rPr>
          <w:sz w:val="22"/>
          <w:szCs w:val="22"/>
        </w:rPr>
        <w:t>ibuprofé</w:t>
      </w:r>
      <w:r w:rsidR="00AB6020" w:rsidRPr="00AB6020">
        <w:rPr>
          <w:sz w:val="22"/>
          <w:szCs w:val="22"/>
        </w:rPr>
        <w:t>n a</w:t>
      </w:r>
      <w:r w:rsidR="00AB6020">
        <w:rPr>
          <w:sz w:val="22"/>
          <w:szCs w:val="22"/>
        </w:rPr>
        <w:t> </w:t>
      </w:r>
      <w:r w:rsidR="00AB6020" w:rsidRPr="00AB6020">
        <w:rPr>
          <w:sz w:val="22"/>
          <w:szCs w:val="22"/>
        </w:rPr>
        <w:t>852</w:t>
      </w:r>
      <w:r w:rsidR="00AB6020">
        <w:rPr>
          <w:sz w:val="22"/>
          <w:szCs w:val="22"/>
        </w:rPr>
        <w:t> </w:t>
      </w:r>
      <w:r w:rsidR="00AB6020" w:rsidRPr="00AB6020">
        <w:rPr>
          <w:sz w:val="22"/>
          <w:szCs w:val="22"/>
        </w:rPr>
        <w:t>±</w:t>
      </w:r>
      <w:r w:rsidR="00AB6020">
        <w:rPr>
          <w:sz w:val="22"/>
          <w:szCs w:val="22"/>
        </w:rPr>
        <w:t> </w:t>
      </w:r>
      <w:r w:rsidR="00AB6020" w:rsidRPr="00AB6020">
        <w:rPr>
          <w:sz w:val="22"/>
          <w:szCs w:val="22"/>
        </w:rPr>
        <w:t>103</w:t>
      </w:r>
      <w:r w:rsidR="00AB6020">
        <w:rPr>
          <w:sz w:val="22"/>
          <w:szCs w:val="22"/>
        </w:rPr>
        <w:t> </w:t>
      </w:r>
      <w:r w:rsidR="00AB6020" w:rsidRPr="00AB6020">
        <w:rPr>
          <w:sz w:val="22"/>
          <w:szCs w:val="22"/>
        </w:rPr>
        <w:t>mg/d</w:t>
      </w:r>
      <w:r w:rsidR="00AB6020">
        <w:rPr>
          <w:sz w:val="22"/>
          <w:szCs w:val="22"/>
        </w:rPr>
        <w:t>eň</w:t>
      </w:r>
      <w:r w:rsidR="00AB6020" w:rsidRPr="00AB6020">
        <w:rPr>
          <w:sz w:val="22"/>
          <w:szCs w:val="22"/>
        </w:rPr>
        <w:t xml:space="preserve"> </w:t>
      </w:r>
      <w:r w:rsidR="00AB6020">
        <w:rPr>
          <w:sz w:val="22"/>
          <w:szCs w:val="22"/>
        </w:rPr>
        <w:t>pre naproxé</w:t>
      </w:r>
      <w:r w:rsidR="00AB6020" w:rsidRPr="00AB6020">
        <w:rPr>
          <w:sz w:val="22"/>
          <w:szCs w:val="22"/>
        </w:rPr>
        <w:t>n</w:t>
      </w:r>
      <w:r w:rsidR="00AB6020">
        <w:rPr>
          <w:sz w:val="22"/>
          <w:szCs w:val="22"/>
        </w:rPr>
        <w:t xml:space="preserve">. Pokiaľ ide o primárne koncové ukazovatele, celekoxib, v porovnaní buď s naproxénom alebo </w:t>
      </w:r>
      <w:r w:rsidR="00C0522B">
        <w:rPr>
          <w:sz w:val="22"/>
          <w:szCs w:val="22"/>
        </w:rPr>
        <w:t>ibuprofé</w:t>
      </w:r>
      <w:r w:rsidR="00AB6020">
        <w:rPr>
          <w:sz w:val="22"/>
          <w:szCs w:val="22"/>
        </w:rPr>
        <w:t>nom, spĺňal všetky štyri vopred špecifikované požiadavky na non-</w:t>
      </w:r>
      <w:r w:rsidR="00AB6020" w:rsidRPr="00AB6020">
        <w:t xml:space="preserve"> </w:t>
      </w:r>
      <w:r w:rsidR="00AB6020">
        <w:rPr>
          <w:sz w:val="22"/>
          <w:szCs w:val="22"/>
        </w:rPr>
        <w:t>inferioritu, pozri tabuľku 2.</w:t>
      </w:r>
    </w:p>
    <w:p w14:paraId="09386FA7" w14:textId="77777777" w:rsidR="00AB6020" w:rsidRDefault="00AB6020" w:rsidP="00F31FEF">
      <w:pPr>
        <w:tabs>
          <w:tab w:val="left" w:pos="567"/>
        </w:tabs>
        <w:rPr>
          <w:sz w:val="22"/>
          <w:szCs w:val="22"/>
        </w:rPr>
      </w:pPr>
    </w:p>
    <w:p w14:paraId="5520062D" w14:textId="16599B9B" w:rsidR="00AB6020" w:rsidRPr="004B560F" w:rsidRDefault="00AC0381" w:rsidP="00F31FEF">
      <w:pPr>
        <w:tabs>
          <w:tab w:val="left" w:pos="567"/>
        </w:tabs>
        <w:rPr>
          <w:sz w:val="22"/>
          <w:szCs w:val="22"/>
        </w:rPr>
      </w:pPr>
      <w:r>
        <w:rPr>
          <w:sz w:val="22"/>
          <w:szCs w:val="22"/>
        </w:rPr>
        <w:t xml:space="preserve">Ostatné nezávisle posudzované sekudárne a terciárne koncové ukazovatele zahŕňali kardiovaskulárne, gastrointestinálne a renálne </w:t>
      </w:r>
      <w:r w:rsidR="00BD0391">
        <w:rPr>
          <w:sz w:val="22"/>
          <w:szCs w:val="22"/>
        </w:rPr>
        <w:t>výsledky. Dodatočne ešte prebehla</w:t>
      </w:r>
      <w:r w:rsidR="00475E4B">
        <w:rPr>
          <w:sz w:val="22"/>
          <w:szCs w:val="22"/>
        </w:rPr>
        <w:t xml:space="preserve"> pod</w:t>
      </w:r>
      <w:r w:rsidR="00BD0391">
        <w:rPr>
          <w:sz w:val="22"/>
          <w:szCs w:val="22"/>
        </w:rPr>
        <w:t>štúdia v trvaní 4 mesiace, zameraná na účinky všetkých troch liečiv na krvný tlak, meraný ambulantným sledovaním (</w:t>
      </w:r>
      <w:r w:rsidR="00BD0391" w:rsidRPr="00BD0391">
        <w:rPr>
          <w:sz w:val="22"/>
          <w:szCs w:val="22"/>
        </w:rPr>
        <w:t>Ambula</w:t>
      </w:r>
      <w:r w:rsidR="00BD0391">
        <w:rPr>
          <w:sz w:val="22"/>
          <w:szCs w:val="22"/>
        </w:rPr>
        <w:t>tory blood pressure monitoring - ABPM).</w:t>
      </w:r>
    </w:p>
    <w:p w14:paraId="4899C224" w14:textId="77777777" w:rsidR="00CE32D4" w:rsidRPr="00B4110D" w:rsidRDefault="00CE32D4" w:rsidP="00F31FEF">
      <w:pPr>
        <w:tabs>
          <w:tab w:val="left" w:pos="567"/>
        </w:tabs>
        <w:rPr>
          <w:sz w:val="22"/>
          <w:szCs w:val="22"/>
        </w:rPr>
      </w:pPr>
    </w:p>
    <w:p w14:paraId="4DB9B818" w14:textId="77777777" w:rsidR="00C67B3B" w:rsidRPr="00B4110D" w:rsidRDefault="004948E6" w:rsidP="004B560F">
      <w:pPr>
        <w:keepNext/>
        <w:tabs>
          <w:tab w:val="left" w:pos="567"/>
        </w:tabs>
        <w:rPr>
          <w:b/>
          <w:sz w:val="22"/>
          <w:szCs w:val="22"/>
        </w:rPr>
      </w:pPr>
      <w:r w:rsidRPr="004B560F">
        <w:rPr>
          <w:b/>
          <w:sz w:val="22"/>
          <w:szCs w:val="22"/>
        </w:rPr>
        <w:t>Tabuľka 2. Primárna analýza kombinovaných koncových ukazovateľov posúdená podľa APTC</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6"/>
        <w:gridCol w:w="2370"/>
        <w:gridCol w:w="2268"/>
        <w:gridCol w:w="1872"/>
      </w:tblGrid>
      <w:tr w:rsidR="00C67B3B" w:rsidRPr="004B560F" w14:paraId="4B7AAF96" w14:textId="77777777" w:rsidTr="004B560F">
        <w:trPr>
          <w:trHeight w:val="288"/>
        </w:trPr>
        <w:tc>
          <w:tcPr>
            <w:tcW w:w="8676" w:type="dxa"/>
            <w:gridSpan w:val="4"/>
            <w:shd w:val="clear" w:color="auto" w:fill="auto"/>
          </w:tcPr>
          <w:p w14:paraId="68D84277" w14:textId="26F02885" w:rsidR="00C67B3B" w:rsidRPr="004B560F" w:rsidRDefault="00C67B3B" w:rsidP="00475E4B">
            <w:pPr>
              <w:keepNext/>
              <w:widowControl/>
              <w:suppressAutoHyphens w:val="0"/>
              <w:overflowPunct w:val="0"/>
              <w:autoSpaceDE w:val="0"/>
              <w:autoSpaceDN w:val="0"/>
              <w:adjustRightInd w:val="0"/>
              <w:spacing w:line="276" w:lineRule="auto"/>
              <w:textAlignment w:val="baseline"/>
              <w:rPr>
                <w:rFonts w:eastAsia="SimSun"/>
                <w:b/>
                <w:sz w:val="22"/>
                <w:szCs w:val="22"/>
                <w:lang w:eastAsia="zh-CN"/>
              </w:rPr>
            </w:pPr>
            <w:r w:rsidRPr="004B560F">
              <w:rPr>
                <w:rFonts w:eastAsia="SimSun"/>
                <w:b/>
                <w:sz w:val="22"/>
                <w:szCs w:val="22"/>
                <w:lang w:eastAsia="zh-CN"/>
              </w:rPr>
              <w:t>Analýza</w:t>
            </w:r>
            <w:r w:rsidR="00475E4B">
              <w:rPr>
                <w:rFonts w:eastAsia="SimSun"/>
                <w:b/>
                <w:sz w:val="22"/>
                <w:szCs w:val="22"/>
                <w:lang w:eastAsia="zh-CN"/>
              </w:rPr>
              <w:t xml:space="preserve"> podľa liečebného</w:t>
            </w:r>
            <w:r w:rsidRPr="004B560F">
              <w:rPr>
                <w:rFonts w:eastAsia="SimSun"/>
                <w:b/>
                <w:sz w:val="22"/>
                <w:szCs w:val="22"/>
                <w:lang w:eastAsia="zh-CN"/>
              </w:rPr>
              <w:t xml:space="preserve"> úmyslu (Intent-To-Treat Analysis – ITT) až do mesiaca 30</w:t>
            </w:r>
          </w:p>
        </w:tc>
      </w:tr>
      <w:tr w:rsidR="00C67B3B" w:rsidRPr="004B560F" w14:paraId="69106FAD" w14:textId="77777777" w:rsidTr="004B560F">
        <w:trPr>
          <w:trHeight w:val="288"/>
        </w:trPr>
        <w:tc>
          <w:tcPr>
            <w:tcW w:w="2166" w:type="dxa"/>
            <w:shd w:val="clear" w:color="auto" w:fill="auto"/>
          </w:tcPr>
          <w:p w14:paraId="3CAEFDF6" w14:textId="77777777" w:rsidR="00C67B3B" w:rsidRPr="004B560F" w:rsidRDefault="00C67B3B" w:rsidP="00C67B3B">
            <w:pPr>
              <w:keepNext/>
              <w:widowControl/>
              <w:suppressAutoHyphens w:val="0"/>
              <w:overflowPunct w:val="0"/>
              <w:autoSpaceDE w:val="0"/>
              <w:autoSpaceDN w:val="0"/>
              <w:adjustRightInd w:val="0"/>
              <w:spacing w:line="276" w:lineRule="auto"/>
              <w:textAlignment w:val="baseline"/>
              <w:rPr>
                <w:rFonts w:eastAsia="SimSun"/>
                <w:sz w:val="22"/>
                <w:szCs w:val="22"/>
                <w:lang w:eastAsia="zh-CN"/>
              </w:rPr>
            </w:pPr>
          </w:p>
        </w:tc>
        <w:tc>
          <w:tcPr>
            <w:tcW w:w="2370" w:type="dxa"/>
          </w:tcPr>
          <w:p w14:paraId="2051927F" w14:textId="77777777" w:rsidR="00C67B3B" w:rsidRPr="004B560F" w:rsidRDefault="00C67B3B" w:rsidP="00C67B3B">
            <w:pPr>
              <w:keepNext/>
              <w:widowControl/>
              <w:suppressAutoHyphens w:val="0"/>
              <w:overflowPunct w:val="0"/>
              <w:autoSpaceDE w:val="0"/>
              <w:autoSpaceDN w:val="0"/>
              <w:adjustRightInd w:val="0"/>
              <w:spacing w:line="276" w:lineRule="auto"/>
              <w:jc w:val="center"/>
              <w:textAlignment w:val="baseline"/>
              <w:rPr>
                <w:rFonts w:eastAsia="SimSun"/>
                <w:b/>
                <w:sz w:val="22"/>
                <w:szCs w:val="22"/>
                <w:lang w:eastAsia="zh-CN"/>
              </w:rPr>
            </w:pPr>
            <w:r w:rsidRPr="004B560F">
              <w:rPr>
                <w:rFonts w:eastAsia="SimSun"/>
                <w:b/>
                <w:sz w:val="22"/>
                <w:szCs w:val="22"/>
                <w:lang w:eastAsia="zh-CN"/>
              </w:rPr>
              <w:t>celekoxib 100</w:t>
            </w:r>
            <w:r w:rsidR="004948E6" w:rsidRPr="004B560F">
              <w:rPr>
                <w:rFonts w:eastAsia="SimSun"/>
                <w:b/>
                <w:sz w:val="22"/>
                <w:szCs w:val="22"/>
                <w:lang w:eastAsia="zh-CN"/>
              </w:rPr>
              <w:t xml:space="preserve"> mg – </w:t>
            </w:r>
            <w:r w:rsidRPr="004B560F">
              <w:rPr>
                <w:rFonts w:eastAsia="SimSun"/>
                <w:b/>
                <w:sz w:val="22"/>
                <w:szCs w:val="22"/>
                <w:lang w:eastAsia="zh-CN"/>
              </w:rPr>
              <w:t>200</w:t>
            </w:r>
            <w:r w:rsidR="004948E6" w:rsidRPr="004B560F">
              <w:rPr>
                <w:rFonts w:eastAsia="SimSun"/>
                <w:b/>
                <w:sz w:val="22"/>
                <w:szCs w:val="22"/>
                <w:lang w:eastAsia="zh-CN"/>
              </w:rPr>
              <w:t> </w:t>
            </w:r>
            <w:r w:rsidRPr="004B560F">
              <w:rPr>
                <w:rFonts w:eastAsia="SimSun"/>
                <w:b/>
                <w:sz w:val="22"/>
                <w:szCs w:val="22"/>
                <w:lang w:eastAsia="zh-CN"/>
              </w:rPr>
              <w:t>mg dvakrát denne</w:t>
            </w:r>
          </w:p>
        </w:tc>
        <w:tc>
          <w:tcPr>
            <w:tcW w:w="2268" w:type="dxa"/>
          </w:tcPr>
          <w:p w14:paraId="746DDA97" w14:textId="77777777" w:rsidR="00C67B3B" w:rsidRPr="004B560F" w:rsidRDefault="00C0522B" w:rsidP="00B4110D">
            <w:pPr>
              <w:keepNext/>
              <w:widowControl/>
              <w:suppressAutoHyphens w:val="0"/>
              <w:overflowPunct w:val="0"/>
              <w:autoSpaceDE w:val="0"/>
              <w:autoSpaceDN w:val="0"/>
              <w:adjustRightInd w:val="0"/>
              <w:spacing w:line="276" w:lineRule="auto"/>
              <w:jc w:val="center"/>
              <w:textAlignment w:val="baseline"/>
              <w:rPr>
                <w:rFonts w:eastAsia="SimSun"/>
                <w:b/>
                <w:sz w:val="22"/>
                <w:szCs w:val="22"/>
                <w:lang w:eastAsia="zh-CN"/>
              </w:rPr>
            </w:pPr>
            <w:r>
              <w:rPr>
                <w:rFonts w:eastAsia="SimSun"/>
                <w:b/>
                <w:sz w:val="22"/>
                <w:szCs w:val="22"/>
                <w:lang w:eastAsia="zh-CN"/>
              </w:rPr>
              <w:t>ibuprofé</w:t>
            </w:r>
            <w:r w:rsidR="00C67B3B" w:rsidRPr="004B560F">
              <w:rPr>
                <w:rFonts w:eastAsia="SimSun"/>
                <w:b/>
                <w:sz w:val="22"/>
                <w:szCs w:val="22"/>
                <w:lang w:eastAsia="zh-CN"/>
              </w:rPr>
              <w:t>n 600</w:t>
            </w:r>
            <w:r w:rsidR="004948E6" w:rsidRPr="004B560F">
              <w:rPr>
                <w:rFonts w:eastAsia="SimSun"/>
                <w:b/>
                <w:sz w:val="22"/>
                <w:szCs w:val="22"/>
                <w:lang w:eastAsia="zh-CN"/>
              </w:rPr>
              <w:t xml:space="preserve"> mg </w:t>
            </w:r>
            <w:r w:rsidR="00C67B3B" w:rsidRPr="004B560F">
              <w:rPr>
                <w:rFonts w:eastAsia="SimSun"/>
                <w:b/>
                <w:sz w:val="22"/>
                <w:szCs w:val="22"/>
                <w:lang w:eastAsia="zh-CN"/>
              </w:rPr>
              <w:t>-800</w:t>
            </w:r>
            <w:r w:rsidR="004948E6" w:rsidRPr="004B560F">
              <w:rPr>
                <w:rFonts w:eastAsia="SimSun"/>
                <w:b/>
                <w:sz w:val="22"/>
                <w:szCs w:val="22"/>
                <w:lang w:eastAsia="zh-CN"/>
              </w:rPr>
              <w:t> </w:t>
            </w:r>
            <w:r w:rsidR="00C67B3B" w:rsidRPr="004B560F">
              <w:rPr>
                <w:rFonts w:eastAsia="SimSun"/>
                <w:b/>
                <w:sz w:val="22"/>
                <w:szCs w:val="22"/>
                <w:lang w:eastAsia="zh-CN"/>
              </w:rPr>
              <w:t>mg trikrát denne</w:t>
            </w:r>
          </w:p>
        </w:tc>
        <w:tc>
          <w:tcPr>
            <w:tcW w:w="1872" w:type="dxa"/>
          </w:tcPr>
          <w:p w14:paraId="3567C57F" w14:textId="77777777" w:rsidR="00C67B3B" w:rsidRPr="004B560F" w:rsidRDefault="00C67B3B" w:rsidP="00C67B3B">
            <w:pPr>
              <w:keepNext/>
              <w:widowControl/>
              <w:suppressAutoHyphens w:val="0"/>
              <w:overflowPunct w:val="0"/>
              <w:autoSpaceDE w:val="0"/>
              <w:autoSpaceDN w:val="0"/>
              <w:adjustRightInd w:val="0"/>
              <w:spacing w:line="276" w:lineRule="auto"/>
              <w:jc w:val="center"/>
              <w:textAlignment w:val="baseline"/>
              <w:rPr>
                <w:rFonts w:eastAsia="SimSun"/>
                <w:sz w:val="22"/>
                <w:szCs w:val="22"/>
                <w:lang w:eastAsia="zh-CN"/>
              </w:rPr>
            </w:pPr>
            <w:r w:rsidRPr="004B560F">
              <w:rPr>
                <w:rFonts w:eastAsia="SimSun"/>
                <w:b/>
                <w:sz w:val="22"/>
                <w:szCs w:val="22"/>
                <w:lang w:eastAsia="zh-CN"/>
              </w:rPr>
              <w:t>naproxén 375</w:t>
            </w:r>
            <w:r w:rsidR="004948E6" w:rsidRPr="004B560F">
              <w:rPr>
                <w:rFonts w:eastAsia="SimSun"/>
                <w:b/>
                <w:sz w:val="22"/>
                <w:szCs w:val="22"/>
                <w:lang w:eastAsia="zh-CN"/>
              </w:rPr>
              <w:t> mg – 500 </w:t>
            </w:r>
            <w:r w:rsidRPr="004B560F">
              <w:rPr>
                <w:rFonts w:eastAsia="SimSun"/>
                <w:b/>
                <w:sz w:val="22"/>
                <w:szCs w:val="22"/>
                <w:lang w:eastAsia="zh-CN"/>
              </w:rPr>
              <w:t>mg dvakrát denne</w:t>
            </w:r>
          </w:p>
        </w:tc>
      </w:tr>
      <w:tr w:rsidR="00C67B3B" w:rsidRPr="004B560F" w14:paraId="645E7E91" w14:textId="77777777" w:rsidTr="004B560F">
        <w:trPr>
          <w:trHeight w:val="288"/>
        </w:trPr>
        <w:tc>
          <w:tcPr>
            <w:tcW w:w="2166" w:type="dxa"/>
          </w:tcPr>
          <w:p w14:paraId="3699382F" w14:textId="77777777" w:rsidR="00C67B3B" w:rsidRPr="004B560F" w:rsidRDefault="00C67B3B" w:rsidP="00C67B3B">
            <w:pPr>
              <w:widowControl/>
              <w:suppressAutoHyphens w:val="0"/>
              <w:overflowPunct w:val="0"/>
              <w:autoSpaceDE w:val="0"/>
              <w:autoSpaceDN w:val="0"/>
              <w:adjustRightInd w:val="0"/>
              <w:spacing w:line="276" w:lineRule="auto"/>
              <w:textAlignment w:val="baseline"/>
              <w:rPr>
                <w:rFonts w:eastAsia="SimSun"/>
                <w:sz w:val="22"/>
                <w:szCs w:val="22"/>
                <w:lang w:eastAsia="zh-CN"/>
              </w:rPr>
            </w:pPr>
            <w:r w:rsidRPr="004B560F">
              <w:rPr>
                <w:rFonts w:eastAsia="SimSun"/>
                <w:sz w:val="22"/>
                <w:szCs w:val="22"/>
                <w:lang w:eastAsia="zh-CN"/>
              </w:rPr>
              <w:t>N</w:t>
            </w:r>
          </w:p>
        </w:tc>
        <w:tc>
          <w:tcPr>
            <w:tcW w:w="2370" w:type="dxa"/>
          </w:tcPr>
          <w:p w14:paraId="2F0D31FA" w14:textId="7D678856" w:rsidR="00C67B3B" w:rsidRPr="004B560F" w:rsidRDefault="00C67B3B" w:rsidP="00C67B3B">
            <w:pPr>
              <w:widowControl/>
              <w:suppressAutoHyphens w:val="0"/>
              <w:overflowPunct w:val="0"/>
              <w:autoSpaceDE w:val="0"/>
              <w:autoSpaceDN w:val="0"/>
              <w:adjustRightInd w:val="0"/>
              <w:spacing w:line="276" w:lineRule="auto"/>
              <w:jc w:val="center"/>
              <w:textAlignment w:val="baseline"/>
              <w:rPr>
                <w:rFonts w:eastAsia="SimSun"/>
                <w:sz w:val="22"/>
                <w:szCs w:val="22"/>
                <w:lang w:eastAsia="zh-CN"/>
              </w:rPr>
            </w:pPr>
            <w:r w:rsidRPr="004B560F">
              <w:rPr>
                <w:rFonts w:eastAsia="SimSun"/>
                <w:sz w:val="22"/>
                <w:szCs w:val="22"/>
                <w:lang w:eastAsia="zh-CN"/>
              </w:rPr>
              <w:t>8</w:t>
            </w:r>
            <w:r w:rsidR="008F75F8">
              <w:rPr>
                <w:rFonts w:eastAsia="SimSun"/>
                <w:sz w:val="22"/>
                <w:szCs w:val="22"/>
                <w:lang w:eastAsia="zh-CN"/>
              </w:rPr>
              <w:t> </w:t>
            </w:r>
            <w:r w:rsidRPr="004B560F">
              <w:rPr>
                <w:rFonts w:eastAsia="SimSun"/>
                <w:sz w:val="22"/>
                <w:szCs w:val="22"/>
                <w:lang w:eastAsia="zh-CN"/>
              </w:rPr>
              <w:t xml:space="preserve">072 </w:t>
            </w:r>
          </w:p>
        </w:tc>
        <w:tc>
          <w:tcPr>
            <w:tcW w:w="2268" w:type="dxa"/>
          </w:tcPr>
          <w:p w14:paraId="28430190" w14:textId="07E64707" w:rsidR="00C67B3B" w:rsidRPr="004B560F" w:rsidRDefault="00C67B3B" w:rsidP="00C67B3B">
            <w:pPr>
              <w:widowControl/>
              <w:suppressAutoHyphens w:val="0"/>
              <w:overflowPunct w:val="0"/>
              <w:autoSpaceDE w:val="0"/>
              <w:autoSpaceDN w:val="0"/>
              <w:adjustRightInd w:val="0"/>
              <w:spacing w:line="276" w:lineRule="auto"/>
              <w:jc w:val="center"/>
              <w:textAlignment w:val="baseline"/>
              <w:rPr>
                <w:rFonts w:eastAsia="SimSun"/>
                <w:sz w:val="22"/>
                <w:szCs w:val="22"/>
                <w:lang w:eastAsia="zh-CN"/>
              </w:rPr>
            </w:pPr>
            <w:r w:rsidRPr="004B560F">
              <w:rPr>
                <w:rFonts w:eastAsia="SimSun"/>
                <w:sz w:val="22"/>
                <w:szCs w:val="22"/>
                <w:lang w:eastAsia="zh-CN"/>
              </w:rPr>
              <w:t>8</w:t>
            </w:r>
            <w:r w:rsidR="008F75F8">
              <w:rPr>
                <w:rFonts w:eastAsia="SimSun"/>
                <w:sz w:val="22"/>
                <w:szCs w:val="22"/>
                <w:lang w:eastAsia="zh-CN"/>
              </w:rPr>
              <w:t> </w:t>
            </w:r>
            <w:r w:rsidRPr="004B560F">
              <w:rPr>
                <w:rFonts w:eastAsia="SimSun"/>
                <w:sz w:val="22"/>
                <w:szCs w:val="22"/>
                <w:lang w:eastAsia="zh-CN"/>
              </w:rPr>
              <w:t>040</w:t>
            </w:r>
          </w:p>
        </w:tc>
        <w:tc>
          <w:tcPr>
            <w:tcW w:w="1872" w:type="dxa"/>
          </w:tcPr>
          <w:p w14:paraId="2D9FBE91" w14:textId="283F8DB8" w:rsidR="00C67B3B" w:rsidRPr="004B560F" w:rsidRDefault="00C67B3B" w:rsidP="00C67B3B">
            <w:pPr>
              <w:widowControl/>
              <w:suppressAutoHyphens w:val="0"/>
              <w:overflowPunct w:val="0"/>
              <w:autoSpaceDE w:val="0"/>
              <w:autoSpaceDN w:val="0"/>
              <w:adjustRightInd w:val="0"/>
              <w:spacing w:line="276" w:lineRule="auto"/>
              <w:jc w:val="center"/>
              <w:textAlignment w:val="baseline"/>
              <w:rPr>
                <w:rFonts w:eastAsia="SimSun"/>
                <w:sz w:val="22"/>
                <w:szCs w:val="22"/>
                <w:lang w:eastAsia="zh-CN"/>
              </w:rPr>
            </w:pPr>
            <w:r w:rsidRPr="004B560F">
              <w:rPr>
                <w:rFonts w:eastAsia="SimSun"/>
                <w:sz w:val="22"/>
                <w:szCs w:val="22"/>
                <w:lang w:eastAsia="zh-CN"/>
              </w:rPr>
              <w:t>7</w:t>
            </w:r>
            <w:r w:rsidR="008F75F8">
              <w:rPr>
                <w:rFonts w:eastAsia="SimSun"/>
                <w:sz w:val="22"/>
                <w:szCs w:val="22"/>
                <w:lang w:eastAsia="zh-CN"/>
              </w:rPr>
              <w:t> </w:t>
            </w:r>
            <w:r w:rsidRPr="004B560F">
              <w:rPr>
                <w:rFonts w:eastAsia="SimSun"/>
                <w:sz w:val="22"/>
                <w:szCs w:val="22"/>
                <w:lang w:eastAsia="zh-CN"/>
              </w:rPr>
              <w:t>969</w:t>
            </w:r>
          </w:p>
        </w:tc>
      </w:tr>
      <w:tr w:rsidR="00C67B3B" w:rsidRPr="004B560F" w14:paraId="4F227541" w14:textId="77777777" w:rsidTr="00DE5A3E">
        <w:trPr>
          <w:trHeight w:val="288"/>
        </w:trPr>
        <w:tc>
          <w:tcPr>
            <w:tcW w:w="2166" w:type="dxa"/>
          </w:tcPr>
          <w:p w14:paraId="182A5BDE" w14:textId="29DD9C7E" w:rsidR="00C67B3B" w:rsidRPr="004B560F" w:rsidRDefault="00F436C2" w:rsidP="00F436C2">
            <w:pPr>
              <w:widowControl/>
              <w:suppressAutoHyphens w:val="0"/>
              <w:overflowPunct w:val="0"/>
              <w:autoSpaceDE w:val="0"/>
              <w:autoSpaceDN w:val="0"/>
              <w:adjustRightInd w:val="0"/>
              <w:spacing w:line="276" w:lineRule="auto"/>
              <w:textAlignment w:val="baseline"/>
              <w:rPr>
                <w:rFonts w:eastAsia="SimSun"/>
                <w:sz w:val="22"/>
                <w:szCs w:val="22"/>
                <w:lang w:eastAsia="zh-CN"/>
              </w:rPr>
            </w:pPr>
            <w:r>
              <w:rPr>
                <w:rFonts w:eastAsia="SimSun"/>
                <w:sz w:val="22"/>
                <w:szCs w:val="22"/>
                <w:lang w:eastAsia="zh-CN"/>
              </w:rPr>
              <w:t xml:space="preserve">Účastníci klinického skúšania </w:t>
            </w:r>
            <w:r w:rsidR="00C67B3B" w:rsidRPr="004B560F">
              <w:rPr>
                <w:rFonts w:eastAsia="SimSun"/>
                <w:sz w:val="22"/>
                <w:szCs w:val="22"/>
                <w:lang w:eastAsia="zh-CN"/>
              </w:rPr>
              <w:t>s</w:t>
            </w:r>
            <w:r>
              <w:rPr>
                <w:rFonts w:eastAsia="SimSun"/>
                <w:sz w:val="22"/>
                <w:szCs w:val="22"/>
                <w:lang w:eastAsia="zh-CN"/>
              </w:rPr>
              <w:t> </w:t>
            </w:r>
            <w:r w:rsidR="00C67B3B" w:rsidRPr="004B560F">
              <w:rPr>
                <w:rFonts w:eastAsia="SimSun"/>
                <w:sz w:val="22"/>
                <w:szCs w:val="22"/>
                <w:lang w:eastAsia="zh-CN"/>
              </w:rPr>
              <w:t>udalosťami</w:t>
            </w:r>
          </w:p>
        </w:tc>
        <w:tc>
          <w:tcPr>
            <w:tcW w:w="2370" w:type="dxa"/>
            <w:vAlign w:val="center"/>
          </w:tcPr>
          <w:p w14:paraId="2C13094C" w14:textId="292C8BD6" w:rsidR="00C67B3B" w:rsidRPr="004B560F" w:rsidRDefault="00C67B3B" w:rsidP="00F436C2">
            <w:pPr>
              <w:widowControl/>
              <w:suppressAutoHyphens w:val="0"/>
              <w:overflowPunct w:val="0"/>
              <w:autoSpaceDE w:val="0"/>
              <w:autoSpaceDN w:val="0"/>
              <w:adjustRightInd w:val="0"/>
              <w:spacing w:line="276" w:lineRule="auto"/>
              <w:jc w:val="center"/>
              <w:textAlignment w:val="baseline"/>
              <w:rPr>
                <w:rFonts w:eastAsia="SimSun"/>
                <w:sz w:val="22"/>
                <w:szCs w:val="22"/>
                <w:lang w:eastAsia="zh-CN"/>
              </w:rPr>
            </w:pPr>
            <w:r w:rsidRPr="004B560F">
              <w:rPr>
                <w:rFonts w:eastAsia="SimSun"/>
                <w:color w:val="000000"/>
                <w:sz w:val="22"/>
                <w:szCs w:val="22"/>
                <w:lang w:eastAsia="zh-CN"/>
              </w:rPr>
              <w:t>188 (2</w:t>
            </w:r>
            <w:r w:rsidR="008F75F8">
              <w:rPr>
                <w:rFonts w:eastAsia="SimSun"/>
                <w:color w:val="000000"/>
                <w:sz w:val="22"/>
                <w:szCs w:val="22"/>
                <w:lang w:eastAsia="zh-CN"/>
              </w:rPr>
              <w:t>,</w:t>
            </w:r>
            <w:r w:rsidRPr="004B560F">
              <w:rPr>
                <w:rFonts w:eastAsia="SimSun"/>
                <w:color w:val="000000"/>
                <w:sz w:val="22"/>
                <w:szCs w:val="22"/>
                <w:lang w:eastAsia="zh-CN"/>
              </w:rPr>
              <w:t>3%)</w:t>
            </w:r>
          </w:p>
        </w:tc>
        <w:tc>
          <w:tcPr>
            <w:tcW w:w="2268" w:type="dxa"/>
            <w:vAlign w:val="center"/>
          </w:tcPr>
          <w:p w14:paraId="7158848B" w14:textId="2CFD48DD" w:rsidR="00C67B3B" w:rsidRPr="004B560F" w:rsidRDefault="00C67B3B" w:rsidP="00F436C2">
            <w:pPr>
              <w:widowControl/>
              <w:suppressAutoHyphens w:val="0"/>
              <w:overflowPunct w:val="0"/>
              <w:autoSpaceDE w:val="0"/>
              <w:autoSpaceDN w:val="0"/>
              <w:adjustRightInd w:val="0"/>
              <w:spacing w:line="276" w:lineRule="auto"/>
              <w:jc w:val="center"/>
              <w:textAlignment w:val="baseline"/>
              <w:rPr>
                <w:rFonts w:eastAsia="SimSun"/>
                <w:color w:val="000000"/>
                <w:sz w:val="22"/>
                <w:szCs w:val="22"/>
                <w:lang w:eastAsia="zh-CN"/>
              </w:rPr>
            </w:pPr>
            <w:r w:rsidRPr="004B560F">
              <w:rPr>
                <w:rFonts w:eastAsia="SimSun"/>
                <w:color w:val="000000"/>
                <w:sz w:val="22"/>
                <w:szCs w:val="22"/>
                <w:lang w:eastAsia="zh-CN"/>
              </w:rPr>
              <w:t>218 (2</w:t>
            </w:r>
            <w:r w:rsidR="008F75F8">
              <w:rPr>
                <w:rFonts w:eastAsia="SimSun"/>
                <w:color w:val="000000"/>
                <w:sz w:val="22"/>
                <w:szCs w:val="22"/>
                <w:lang w:eastAsia="zh-CN"/>
              </w:rPr>
              <w:t>,</w:t>
            </w:r>
            <w:r w:rsidRPr="004B560F">
              <w:rPr>
                <w:rFonts w:eastAsia="SimSun"/>
                <w:color w:val="000000"/>
                <w:sz w:val="22"/>
                <w:szCs w:val="22"/>
                <w:lang w:eastAsia="zh-CN"/>
              </w:rPr>
              <w:t>7%)</w:t>
            </w:r>
          </w:p>
        </w:tc>
        <w:tc>
          <w:tcPr>
            <w:tcW w:w="1872" w:type="dxa"/>
            <w:vAlign w:val="center"/>
          </w:tcPr>
          <w:p w14:paraId="6BE1C3D3" w14:textId="0BE12200" w:rsidR="00C67B3B" w:rsidRPr="004B560F" w:rsidRDefault="00C67B3B" w:rsidP="00F436C2">
            <w:pPr>
              <w:widowControl/>
              <w:suppressAutoHyphens w:val="0"/>
              <w:overflowPunct w:val="0"/>
              <w:autoSpaceDE w:val="0"/>
              <w:autoSpaceDN w:val="0"/>
              <w:adjustRightInd w:val="0"/>
              <w:spacing w:line="276" w:lineRule="auto"/>
              <w:jc w:val="center"/>
              <w:textAlignment w:val="baseline"/>
              <w:rPr>
                <w:rFonts w:eastAsia="SimSun"/>
                <w:sz w:val="22"/>
                <w:szCs w:val="22"/>
                <w:lang w:eastAsia="zh-CN"/>
              </w:rPr>
            </w:pPr>
            <w:r w:rsidRPr="004B560F">
              <w:rPr>
                <w:rFonts w:eastAsia="SimSun"/>
                <w:color w:val="000000"/>
                <w:sz w:val="22"/>
                <w:szCs w:val="22"/>
                <w:lang w:eastAsia="zh-CN"/>
              </w:rPr>
              <w:t>201 (2</w:t>
            </w:r>
            <w:r w:rsidR="008F75F8">
              <w:rPr>
                <w:rFonts w:eastAsia="SimSun"/>
                <w:color w:val="000000"/>
                <w:sz w:val="22"/>
                <w:szCs w:val="22"/>
                <w:lang w:eastAsia="zh-CN"/>
              </w:rPr>
              <w:t>,</w:t>
            </w:r>
            <w:r w:rsidRPr="004B560F">
              <w:rPr>
                <w:rFonts w:eastAsia="SimSun"/>
                <w:color w:val="000000"/>
                <w:sz w:val="22"/>
                <w:szCs w:val="22"/>
                <w:lang w:eastAsia="zh-CN"/>
              </w:rPr>
              <w:t>5%)</w:t>
            </w:r>
          </w:p>
        </w:tc>
      </w:tr>
      <w:tr w:rsidR="00C67B3B" w:rsidRPr="004B560F" w14:paraId="44A578A6" w14:textId="77777777" w:rsidTr="004B560F">
        <w:trPr>
          <w:trHeight w:val="288"/>
        </w:trPr>
        <w:tc>
          <w:tcPr>
            <w:tcW w:w="2166" w:type="dxa"/>
          </w:tcPr>
          <w:p w14:paraId="77F92556" w14:textId="77777777" w:rsidR="00C67B3B" w:rsidRPr="004B560F" w:rsidRDefault="00C67B3B" w:rsidP="00C67B3B">
            <w:pPr>
              <w:widowControl/>
              <w:suppressAutoHyphens w:val="0"/>
              <w:overflowPunct w:val="0"/>
              <w:autoSpaceDE w:val="0"/>
              <w:autoSpaceDN w:val="0"/>
              <w:adjustRightInd w:val="0"/>
              <w:spacing w:line="276" w:lineRule="auto"/>
              <w:textAlignment w:val="baseline"/>
              <w:rPr>
                <w:rFonts w:eastAsia="SimSun"/>
                <w:sz w:val="22"/>
                <w:szCs w:val="22"/>
                <w:lang w:eastAsia="zh-CN"/>
              </w:rPr>
            </w:pPr>
            <w:r w:rsidRPr="004B560F">
              <w:rPr>
                <w:rFonts w:eastAsia="SimSun"/>
                <w:sz w:val="22"/>
                <w:szCs w:val="22"/>
                <w:lang w:eastAsia="zh-CN"/>
              </w:rPr>
              <w:t>Párované porovnanie</w:t>
            </w:r>
          </w:p>
        </w:tc>
        <w:tc>
          <w:tcPr>
            <w:tcW w:w="2370" w:type="dxa"/>
          </w:tcPr>
          <w:p w14:paraId="2C1A5592" w14:textId="77777777" w:rsidR="00C67B3B" w:rsidRPr="004B560F" w:rsidRDefault="00C67B3B" w:rsidP="00C67B3B">
            <w:pPr>
              <w:widowControl/>
              <w:suppressAutoHyphens w:val="0"/>
              <w:overflowPunct w:val="0"/>
              <w:autoSpaceDE w:val="0"/>
              <w:autoSpaceDN w:val="0"/>
              <w:adjustRightInd w:val="0"/>
              <w:spacing w:line="276" w:lineRule="auto"/>
              <w:jc w:val="center"/>
              <w:textAlignment w:val="baseline"/>
              <w:rPr>
                <w:rFonts w:eastAsia="SimSun"/>
                <w:b/>
                <w:sz w:val="22"/>
                <w:szCs w:val="22"/>
                <w:lang w:eastAsia="zh-CN"/>
              </w:rPr>
            </w:pPr>
            <w:r w:rsidRPr="004B560F">
              <w:rPr>
                <w:rFonts w:eastAsia="SimSun"/>
                <w:b/>
                <w:sz w:val="22"/>
                <w:szCs w:val="22"/>
                <w:lang w:eastAsia="zh-CN"/>
              </w:rPr>
              <w:t>celekoxib vs. naproxén</w:t>
            </w:r>
          </w:p>
        </w:tc>
        <w:tc>
          <w:tcPr>
            <w:tcW w:w="2268" w:type="dxa"/>
          </w:tcPr>
          <w:p w14:paraId="0951894D" w14:textId="77777777" w:rsidR="00C67B3B" w:rsidRPr="004B560F" w:rsidRDefault="00C67B3B" w:rsidP="00C67B3B">
            <w:pPr>
              <w:widowControl/>
              <w:suppressAutoHyphens w:val="0"/>
              <w:overflowPunct w:val="0"/>
              <w:autoSpaceDE w:val="0"/>
              <w:autoSpaceDN w:val="0"/>
              <w:adjustRightInd w:val="0"/>
              <w:spacing w:line="276" w:lineRule="auto"/>
              <w:jc w:val="center"/>
              <w:textAlignment w:val="baseline"/>
              <w:rPr>
                <w:rFonts w:eastAsia="SimSun"/>
                <w:b/>
                <w:sz w:val="22"/>
                <w:szCs w:val="22"/>
                <w:lang w:eastAsia="zh-CN"/>
              </w:rPr>
            </w:pPr>
            <w:r w:rsidRPr="004B560F">
              <w:rPr>
                <w:rFonts w:eastAsia="SimSun"/>
                <w:b/>
                <w:sz w:val="22"/>
                <w:szCs w:val="22"/>
                <w:lang w:eastAsia="zh-CN"/>
              </w:rPr>
              <w:t>celekoxib vs. ibupro</w:t>
            </w:r>
            <w:r w:rsidR="00DD3D3A">
              <w:rPr>
                <w:rFonts w:eastAsia="SimSun"/>
                <w:b/>
                <w:sz w:val="22"/>
                <w:szCs w:val="22"/>
                <w:lang w:eastAsia="zh-CN"/>
              </w:rPr>
              <w:softHyphen/>
            </w:r>
            <w:r w:rsidRPr="004B560F">
              <w:rPr>
                <w:rFonts w:eastAsia="SimSun"/>
                <w:b/>
                <w:sz w:val="22"/>
                <w:szCs w:val="22"/>
                <w:lang w:eastAsia="zh-CN"/>
              </w:rPr>
              <w:t xml:space="preserve">fén </w:t>
            </w:r>
          </w:p>
        </w:tc>
        <w:tc>
          <w:tcPr>
            <w:tcW w:w="1872" w:type="dxa"/>
          </w:tcPr>
          <w:p w14:paraId="180CF87C" w14:textId="77777777" w:rsidR="00C67B3B" w:rsidRPr="004B560F" w:rsidRDefault="00C67B3B" w:rsidP="00C67B3B">
            <w:pPr>
              <w:widowControl/>
              <w:suppressAutoHyphens w:val="0"/>
              <w:overflowPunct w:val="0"/>
              <w:autoSpaceDE w:val="0"/>
              <w:autoSpaceDN w:val="0"/>
              <w:adjustRightInd w:val="0"/>
              <w:spacing w:line="276" w:lineRule="auto"/>
              <w:jc w:val="center"/>
              <w:textAlignment w:val="baseline"/>
              <w:rPr>
                <w:rFonts w:eastAsia="SimSun"/>
                <w:sz w:val="22"/>
                <w:szCs w:val="22"/>
                <w:lang w:eastAsia="zh-CN"/>
              </w:rPr>
            </w:pPr>
            <w:r w:rsidRPr="004B560F">
              <w:rPr>
                <w:rFonts w:eastAsia="SimSun"/>
                <w:b/>
                <w:sz w:val="22"/>
                <w:szCs w:val="22"/>
                <w:lang w:eastAsia="zh-CN"/>
              </w:rPr>
              <w:t xml:space="preserve">ibuprofén vs. naproxén </w:t>
            </w:r>
          </w:p>
        </w:tc>
      </w:tr>
      <w:tr w:rsidR="00C67B3B" w:rsidRPr="004B560F" w14:paraId="0F0CE0F0" w14:textId="77777777" w:rsidTr="004B560F">
        <w:trPr>
          <w:trHeight w:val="301"/>
        </w:trPr>
        <w:tc>
          <w:tcPr>
            <w:tcW w:w="2166" w:type="dxa"/>
          </w:tcPr>
          <w:p w14:paraId="1B125CB6" w14:textId="77777777" w:rsidR="00C67B3B" w:rsidRPr="004B560F" w:rsidRDefault="00C67B3B" w:rsidP="00C67B3B">
            <w:pPr>
              <w:widowControl/>
              <w:suppressAutoHyphens w:val="0"/>
              <w:overflowPunct w:val="0"/>
              <w:autoSpaceDE w:val="0"/>
              <w:autoSpaceDN w:val="0"/>
              <w:adjustRightInd w:val="0"/>
              <w:spacing w:line="276" w:lineRule="auto"/>
              <w:textAlignment w:val="baseline"/>
              <w:rPr>
                <w:rFonts w:eastAsia="SimSun"/>
                <w:sz w:val="22"/>
                <w:szCs w:val="22"/>
                <w:lang w:eastAsia="zh-CN"/>
              </w:rPr>
            </w:pPr>
            <w:r w:rsidRPr="004B560F">
              <w:rPr>
                <w:rFonts w:eastAsia="SimSun"/>
                <w:sz w:val="22"/>
                <w:szCs w:val="22"/>
                <w:lang w:eastAsia="zh-CN"/>
              </w:rPr>
              <w:t xml:space="preserve">  HR (95% CI)</w:t>
            </w:r>
          </w:p>
        </w:tc>
        <w:tc>
          <w:tcPr>
            <w:tcW w:w="2370" w:type="dxa"/>
          </w:tcPr>
          <w:p w14:paraId="2A7B74E1" w14:textId="20C1710D" w:rsidR="00C67B3B" w:rsidRPr="004B560F" w:rsidRDefault="00C67B3B" w:rsidP="00C67B3B">
            <w:pPr>
              <w:widowControl/>
              <w:suppressAutoHyphens w:val="0"/>
              <w:overflowPunct w:val="0"/>
              <w:autoSpaceDE w:val="0"/>
              <w:autoSpaceDN w:val="0"/>
              <w:adjustRightInd w:val="0"/>
              <w:spacing w:line="276" w:lineRule="auto"/>
              <w:jc w:val="center"/>
              <w:textAlignment w:val="baseline"/>
              <w:rPr>
                <w:rFonts w:eastAsia="SimSun"/>
                <w:color w:val="000000"/>
                <w:sz w:val="22"/>
                <w:szCs w:val="22"/>
                <w:lang w:eastAsia="zh-CN"/>
              </w:rPr>
            </w:pPr>
            <w:r w:rsidRPr="004B560F">
              <w:rPr>
                <w:rFonts w:eastAsia="SimSun"/>
                <w:color w:val="000000"/>
                <w:sz w:val="22"/>
                <w:szCs w:val="22"/>
                <w:lang w:eastAsia="en-US"/>
              </w:rPr>
              <w:t>0</w:t>
            </w:r>
            <w:r w:rsidR="008F75F8">
              <w:rPr>
                <w:rFonts w:eastAsia="SimSun"/>
                <w:color w:val="000000"/>
                <w:sz w:val="22"/>
                <w:szCs w:val="22"/>
                <w:lang w:eastAsia="en-US"/>
              </w:rPr>
              <w:t>,</w:t>
            </w:r>
            <w:r w:rsidRPr="004B560F">
              <w:rPr>
                <w:rFonts w:eastAsia="SimSun"/>
                <w:color w:val="000000"/>
                <w:sz w:val="22"/>
                <w:szCs w:val="22"/>
                <w:lang w:eastAsia="en-US"/>
              </w:rPr>
              <w:t>93 (0</w:t>
            </w:r>
            <w:r w:rsidR="008F75F8">
              <w:rPr>
                <w:rFonts w:eastAsia="SimSun"/>
                <w:color w:val="000000"/>
                <w:sz w:val="22"/>
                <w:szCs w:val="22"/>
                <w:lang w:eastAsia="en-US"/>
              </w:rPr>
              <w:t>,</w:t>
            </w:r>
            <w:r w:rsidRPr="004B560F">
              <w:rPr>
                <w:rFonts w:eastAsia="SimSun"/>
                <w:color w:val="000000"/>
                <w:sz w:val="22"/>
                <w:szCs w:val="22"/>
                <w:lang w:eastAsia="en-US"/>
              </w:rPr>
              <w:t>76</w:t>
            </w:r>
            <w:r w:rsidR="008F75F8">
              <w:rPr>
                <w:rFonts w:eastAsia="SimSun"/>
                <w:color w:val="000000"/>
                <w:sz w:val="22"/>
                <w:szCs w:val="22"/>
                <w:lang w:eastAsia="en-US"/>
              </w:rPr>
              <w:t>;</w:t>
            </w:r>
            <w:r w:rsidRPr="004B560F">
              <w:rPr>
                <w:rFonts w:eastAsia="SimSun"/>
                <w:color w:val="000000"/>
                <w:sz w:val="22"/>
                <w:szCs w:val="22"/>
                <w:lang w:eastAsia="en-US"/>
              </w:rPr>
              <w:t xml:space="preserve"> 1</w:t>
            </w:r>
            <w:r w:rsidR="008F75F8">
              <w:rPr>
                <w:rFonts w:eastAsia="SimSun"/>
                <w:color w:val="000000"/>
                <w:sz w:val="22"/>
                <w:szCs w:val="22"/>
                <w:lang w:eastAsia="en-US"/>
              </w:rPr>
              <w:t>,</w:t>
            </w:r>
            <w:r w:rsidRPr="004B560F">
              <w:rPr>
                <w:rFonts w:eastAsia="SimSun"/>
                <w:color w:val="000000"/>
                <w:sz w:val="22"/>
                <w:szCs w:val="22"/>
                <w:lang w:eastAsia="en-US"/>
              </w:rPr>
              <w:t>13)</w:t>
            </w:r>
          </w:p>
        </w:tc>
        <w:tc>
          <w:tcPr>
            <w:tcW w:w="2268" w:type="dxa"/>
          </w:tcPr>
          <w:p w14:paraId="5D3FAF82" w14:textId="45ED6992" w:rsidR="00C67B3B" w:rsidRPr="004B560F" w:rsidRDefault="00C67B3B" w:rsidP="00C67B3B">
            <w:pPr>
              <w:widowControl/>
              <w:suppressAutoHyphens w:val="0"/>
              <w:overflowPunct w:val="0"/>
              <w:autoSpaceDE w:val="0"/>
              <w:autoSpaceDN w:val="0"/>
              <w:adjustRightInd w:val="0"/>
              <w:spacing w:line="276" w:lineRule="auto"/>
              <w:jc w:val="center"/>
              <w:textAlignment w:val="baseline"/>
              <w:rPr>
                <w:rFonts w:eastAsia="SimSun"/>
                <w:color w:val="000000"/>
                <w:sz w:val="22"/>
                <w:szCs w:val="22"/>
                <w:lang w:eastAsia="zh-CN"/>
              </w:rPr>
            </w:pPr>
            <w:r w:rsidRPr="004B560F">
              <w:rPr>
                <w:rFonts w:eastAsia="SimSun"/>
                <w:color w:val="000000"/>
                <w:sz w:val="22"/>
                <w:szCs w:val="22"/>
                <w:lang w:eastAsia="en-US"/>
              </w:rPr>
              <w:t>0</w:t>
            </w:r>
            <w:r w:rsidR="008F75F8">
              <w:rPr>
                <w:rFonts w:eastAsia="SimSun"/>
                <w:color w:val="000000"/>
                <w:sz w:val="22"/>
                <w:szCs w:val="22"/>
                <w:lang w:eastAsia="en-US"/>
              </w:rPr>
              <w:t>,</w:t>
            </w:r>
            <w:r w:rsidRPr="004B560F">
              <w:rPr>
                <w:rFonts w:eastAsia="SimSun"/>
                <w:color w:val="000000"/>
                <w:sz w:val="22"/>
                <w:szCs w:val="22"/>
                <w:lang w:eastAsia="en-US"/>
              </w:rPr>
              <w:t>8</w:t>
            </w:r>
            <w:r w:rsidRPr="004B560F">
              <w:rPr>
                <w:rFonts w:eastAsia="SimSun"/>
                <w:color w:val="000000"/>
                <w:sz w:val="22"/>
                <w:szCs w:val="22"/>
                <w:lang w:eastAsia="zh-CN"/>
              </w:rPr>
              <w:t>6</w:t>
            </w:r>
            <w:r w:rsidRPr="004B560F">
              <w:rPr>
                <w:rFonts w:eastAsia="SimSun"/>
                <w:color w:val="000000"/>
                <w:sz w:val="22"/>
                <w:szCs w:val="22"/>
                <w:lang w:eastAsia="en-US"/>
              </w:rPr>
              <w:t xml:space="preserve"> (0</w:t>
            </w:r>
            <w:r w:rsidR="008F75F8">
              <w:rPr>
                <w:rFonts w:eastAsia="SimSun"/>
                <w:color w:val="000000"/>
                <w:sz w:val="22"/>
                <w:szCs w:val="22"/>
                <w:lang w:eastAsia="en-US"/>
              </w:rPr>
              <w:t>,</w:t>
            </w:r>
            <w:r w:rsidRPr="004B560F">
              <w:rPr>
                <w:rFonts w:eastAsia="SimSun"/>
                <w:color w:val="000000"/>
                <w:sz w:val="22"/>
                <w:szCs w:val="22"/>
                <w:lang w:eastAsia="zh-CN"/>
              </w:rPr>
              <w:t>70</w:t>
            </w:r>
            <w:r w:rsidR="008F75F8">
              <w:rPr>
                <w:rFonts w:eastAsia="SimSun"/>
                <w:color w:val="000000"/>
                <w:sz w:val="22"/>
                <w:szCs w:val="22"/>
                <w:lang w:eastAsia="zh-CN"/>
              </w:rPr>
              <w:t>;</w:t>
            </w:r>
            <w:r w:rsidRPr="004B560F">
              <w:rPr>
                <w:rFonts w:eastAsia="SimSun"/>
                <w:color w:val="000000"/>
                <w:sz w:val="22"/>
                <w:szCs w:val="22"/>
                <w:lang w:eastAsia="en-US"/>
              </w:rPr>
              <w:t xml:space="preserve"> 1</w:t>
            </w:r>
            <w:r w:rsidR="008F75F8">
              <w:rPr>
                <w:rFonts w:eastAsia="SimSun"/>
                <w:color w:val="000000"/>
                <w:sz w:val="22"/>
                <w:szCs w:val="22"/>
                <w:lang w:eastAsia="en-US"/>
              </w:rPr>
              <w:t>,</w:t>
            </w:r>
            <w:r w:rsidRPr="004B560F">
              <w:rPr>
                <w:rFonts w:eastAsia="SimSun"/>
                <w:color w:val="000000"/>
                <w:sz w:val="22"/>
                <w:szCs w:val="22"/>
                <w:lang w:eastAsia="en-US"/>
              </w:rPr>
              <w:t>0</w:t>
            </w:r>
            <w:r w:rsidRPr="004B560F">
              <w:rPr>
                <w:rFonts w:eastAsia="SimSun"/>
                <w:color w:val="000000"/>
                <w:sz w:val="22"/>
                <w:szCs w:val="22"/>
                <w:lang w:eastAsia="zh-CN"/>
              </w:rPr>
              <w:t>4</w:t>
            </w:r>
            <w:r w:rsidRPr="004B560F">
              <w:rPr>
                <w:rFonts w:eastAsia="SimSun"/>
                <w:color w:val="000000"/>
                <w:sz w:val="22"/>
                <w:szCs w:val="22"/>
                <w:lang w:eastAsia="en-US"/>
              </w:rPr>
              <w:t>)</w:t>
            </w:r>
          </w:p>
        </w:tc>
        <w:tc>
          <w:tcPr>
            <w:tcW w:w="1872" w:type="dxa"/>
          </w:tcPr>
          <w:p w14:paraId="6F3CEAE9" w14:textId="272B68A8" w:rsidR="00C67B3B" w:rsidRPr="004B560F" w:rsidRDefault="00C67B3B" w:rsidP="00C67B3B">
            <w:pPr>
              <w:widowControl/>
              <w:suppressAutoHyphens w:val="0"/>
              <w:overflowPunct w:val="0"/>
              <w:autoSpaceDE w:val="0"/>
              <w:autoSpaceDN w:val="0"/>
              <w:adjustRightInd w:val="0"/>
              <w:spacing w:line="276" w:lineRule="auto"/>
              <w:jc w:val="center"/>
              <w:textAlignment w:val="baseline"/>
              <w:rPr>
                <w:rFonts w:eastAsia="SimSun"/>
                <w:color w:val="000000"/>
                <w:sz w:val="22"/>
                <w:szCs w:val="22"/>
                <w:lang w:eastAsia="zh-CN"/>
              </w:rPr>
            </w:pPr>
            <w:r w:rsidRPr="004B560F">
              <w:rPr>
                <w:rFonts w:eastAsia="SimSun"/>
                <w:color w:val="000000"/>
                <w:sz w:val="22"/>
                <w:szCs w:val="22"/>
                <w:lang w:eastAsia="en-US"/>
              </w:rPr>
              <w:t>1</w:t>
            </w:r>
            <w:r w:rsidR="008F75F8">
              <w:rPr>
                <w:rFonts w:eastAsia="SimSun"/>
                <w:color w:val="000000"/>
                <w:sz w:val="22"/>
                <w:szCs w:val="22"/>
                <w:lang w:eastAsia="en-US"/>
              </w:rPr>
              <w:t>,</w:t>
            </w:r>
            <w:r w:rsidRPr="004B560F">
              <w:rPr>
                <w:rFonts w:eastAsia="SimSun"/>
                <w:color w:val="000000"/>
                <w:sz w:val="22"/>
                <w:szCs w:val="22"/>
                <w:lang w:eastAsia="zh-CN"/>
              </w:rPr>
              <w:t xml:space="preserve">08 </w:t>
            </w:r>
            <w:r w:rsidRPr="004B560F">
              <w:rPr>
                <w:rFonts w:eastAsia="SimSun"/>
                <w:color w:val="000000"/>
                <w:sz w:val="22"/>
                <w:szCs w:val="22"/>
                <w:lang w:eastAsia="en-US"/>
              </w:rPr>
              <w:t>(0</w:t>
            </w:r>
            <w:r w:rsidR="008F75F8">
              <w:rPr>
                <w:rFonts w:eastAsia="SimSun"/>
                <w:color w:val="000000"/>
                <w:sz w:val="22"/>
                <w:szCs w:val="22"/>
                <w:lang w:eastAsia="en-US"/>
              </w:rPr>
              <w:t>,</w:t>
            </w:r>
            <w:r w:rsidRPr="004B560F">
              <w:rPr>
                <w:rFonts w:eastAsia="SimSun"/>
                <w:color w:val="000000"/>
                <w:sz w:val="22"/>
                <w:szCs w:val="22"/>
                <w:lang w:eastAsia="zh-CN"/>
              </w:rPr>
              <w:t>89</w:t>
            </w:r>
            <w:r w:rsidR="008F75F8">
              <w:rPr>
                <w:rFonts w:eastAsia="SimSun"/>
                <w:color w:val="000000"/>
                <w:sz w:val="22"/>
                <w:szCs w:val="22"/>
                <w:lang w:eastAsia="zh-CN"/>
              </w:rPr>
              <w:t>;</w:t>
            </w:r>
            <w:r w:rsidRPr="004B560F">
              <w:rPr>
                <w:rFonts w:eastAsia="SimSun"/>
                <w:color w:val="000000"/>
                <w:sz w:val="22"/>
                <w:szCs w:val="22"/>
                <w:lang w:eastAsia="en-US"/>
              </w:rPr>
              <w:t xml:space="preserve"> 1</w:t>
            </w:r>
            <w:r w:rsidR="008F75F8">
              <w:rPr>
                <w:rFonts w:eastAsia="SimSun"/>
                <w:color w:val="000000"/>
                <w:sz w:val="22"/>
                <w:szCs w:val="22"/>
                <w:lang w:eastAsia="en-US"/>
              </w:rPr>
              <w:t>,</w:t>
            </w:r>
            <w:r w:rsidRPr="004B560F">
              <w:rPr>
                <w:rFonts w:eastAsia="SimSun"/>
                <w:color w:val="000000"/>
                <w:sz w:val="22"/>
                <w:szCs w:val="22"/>
                <w:lang w:eastAsia="zh-CN"/>
              </w:rPr>
              <w:t>31</w:t>
            </w:r>
            <w:r w:rsidRPr="004B560F">
              <w:rPr>
                <w:rFonts w:eastAsia="SimSun"/>
                <w:color w:val="000000"/>
                <w:sz w:val="22"/>
                <w:szCs w:val="22"/>
                <w:lang w:eastAsia="en-US"/>
              </w:rPr>
              <w:t>)</w:t>
            </w:r>
          </w:p>
        </w:tc>
      </w:tr>
      <w:tr w:rsidR="00C67B3B" w:rsidRPr="004B560F" w14:paraId="2701F3A4" w14:textId="77777777" w:rsidTr="004B560F">
        <w:trPr>
          <w:trHeight w:val="288"/>
        </w:trPr>
        <w:tc>
          <w:tcPr>
            <w:tcW w:w="8676" w:type="dxa"/>
            <w:gridSpan w:val="4"/>
          </w:tcPr>
          <w:p w14:paraId="7C1E0710" w14:textId="097390E7" w:rsidR="00C67B3B" w:rsidRPr="004B560F" w:rsidRDefault="004948E6" w:rsidP="00F436C2">
            <w:pPr>
              <w:widowControl/>
              <w:suppressAutoHyphens w:val="0"/>
              <w:overflowPunct w:val="0"/>
              <w:autoSpaceDE w:val="0"/>
              <w:autoSpaceDN w:val="0"/>
              <w:adjustRightInd w:val="0"/>
              <w:spacing w:line="276" w:lineRule="auto"/>
              <w:textAlignment w:val="baseline"/>
              <w:rPr>
                <w:rFonts w:eastAsia="SimSun"/>
                <w:color w:val="000000"/>
                <w:sz w:val="22"/>
                <w:szCs w:val="22"/>
                <w:lang w:eastAsia="en-US"/>
              </w:rPr>
            </w:pPr>
            <w:r w:rsidRPr="004B560F">
              <w:rPr>
                <w:rFonts w:eastAsia="SimSun"/>
                <w:b/>
                <w:sz w:val="22"/>
                <w:szCs w:val="22"/>
                <w:lang w:eastAsia="zh-CN"/>
              </w:rPr>
              <w:t>Modifikovaná analýza</w:t>
            </w:r>
            <w:r w:rsidR="00F436C2">
              <w:rPr>
                <w:rFonts w:eastAsia="SimSun"/>
                <w:b/>
                <w:sz w:val="22"/>
                <w:szCs w:val="22"/>
                <w:lang w:eastAsia="zh-CN"/>
              </w:rPr>
              <w:t xml:space="preserve"> podľa liečebného</w:t>
            </w:r>
            <w:r w:rsidRPr="004B560F">
              <w:rPr>
                <w:rFonts w:eastAsia="SimSun"/>
                <w:b/>
                <w:sz w:val="22"/>
                <w:szCs w:val="22"/>
                <w:lang w:eastAsia="zh-CN"/>
              </w:rPr>
              <w:t xml:space="preserve"> úmyslu (</w:t>
            </w:r>
            <w:r w:rsidR="00C67B3B" w:rsidRPr="004B560F">
              <w:rPr>
                <w:rFonts w:eastAsia="SimSun"/>
                <w:b/>
                <w:sz w:val="22"/>
                <w:szCs w:val="22"/>
                <w:lang w:eastAsia="zh-CN"/>
              </w:rPr>
              <w:t xml:space="preserve">Modified Intent-To-Treat Analysis </w:t>
            </w:r>
            <w:r w:rsidRPr="004B560F">
              <w:rPr>
                <w:rFonts w:eastAsia="SimSun"/>
                <w:b/>
                <w:sz w:val="22"/>
                <w:szCs w:val="22"/>
                <w:lang w:eastAsia="zh-CN"/>
              </w:rPr>
              <w:t>– mITT) až do mesiaca 43</w:t>
            </w:r>
          </w:p>
        </w:tc>
      </w:tr>
      <w:tr w:rsidR="00C67B3B" w:rsidRPr="004B560F" w14:paraId="2F1BDA2C" w14:textId="77777777" w:rsidTr="004B560F">
        <w:trPr>
          <w:trHeight w:val="288"/>
        </w:trPr>
        <w:tc>
          <w:tcPr>
            <w:tcW w:w="2166" w:type="dxa"/>
            <w:shd w:val="clear" w:color="auto" w:fill="auto"/>
          </w:tcPr>
          <w:p w14:paraId="10EC93C0" w14:textId="77777777" w:rsidR="00C67B3B" w:rsidRPr="004B560F" w:rsidRDefault="00C67B3B" w:rsidP="00C67B3B">
            <w:pPr>
              <w:widowControl/>
              <w:suppressAutoHyphens w:val="0"/>
              <w:overflowPunct w:val="0"/>
              <w:autoSpaceDE w:val="0"/>
              <w:autoSpaceDN w:val="0"/>
              <w:adjustRightInd w:val="0"/>
              <w:spacing w:line="276" w:lineRule="auto"/>
              <w:textAlignment w:val="baseline"/>
              <w:rPr>
                <w:rFonts w:eastAsia="SimSun"/>
                <w:sz w:val="22"/>
                <w:szCs w:val="22"/>
                <w:lang w:eastAsia="zh-CN"/>
              </w:rPr>
            </w:pPr>
          </w:p>
        </w:tc>
        <w:tc>
          <w:tcPr>
            <w:tcW w:w="2370" w:type="dxa"/>
          </w:tcPr>
          <w:p w14:paraId="5EECF6ED" w14:textId="77777777" w:rsidR="00C67B3B" w:rsidRPr="004B560F" w:rsidRDefault="004948E6" w:rsidP="00C67B3B">
            <w:pPr>
              <w:widowControl/>
              <w:suppressAutoHyphens w:val="0"/>
              <w:overflowPunct w:val="0"/>
              <w:autoSpaceDE w:val="0"/>
              <w:autoSpaceDN w:val="0"/>
              <w:adjustRightInd w:val="0"/>
              <w:spacing w:line="276" w:lineRule="auto"/>
              <w:jc w:val="center"/>
              <w:textAlignment w:val="baseline"/>
              <w:rPr>
                <w:rFonts w:eastAsia="SimSun"/>
                <w:b/>
                <w:sz w:val="22"/>
                <w:szCs w:val="22"/>
                <w:lang w:eastAsia="zh-CN"/>
              </w:rPr>
            </w:pPr>
            <w:r w:rsidRPr="004B560F">
              <w:rPr>
                <w:rFonts w:eastAsia="SimSun"/>
                <w:b/>
                <w:sz w:val="22"/>
                <w:szCs w:val="22"/>
                <w:lang w:eastAsia="zh-CN"/>
              </w:rPr>
              <w:t>celekoxib 100 mg – 200 mg dvakrát denne</w:t>
            </w:r>
          </w:p>
        </w:tc>
        <w:tc>
          <w:tcPr>
            <w:tcW w:w="2268" w:type="dxa"/>
          </w:tcPr>
          <w:p w14:paraId="43C9DB8E" w14:textId="77777777" w:rsidR="00C67B3B" w:rsidRPr="004B560F" w:rsidRDefault="00C0522B" w:rsidP="00C67B3B">
            <w:pPr>
              <w:widowControl/>
              <w:suppressAutoHyphens w:val="0"/>
              <w:overflowPunct w:val="0"/>
              <w:autoSpaceDE w:val="0"/>
              <w:autoSpaceDN w:val="0"/>
              <w:adjustRightInd w:val="0"/>
              <w:spacing w:line="276" w:lineRule="auto"/>
              <w:jc w:val="center"/>
              <w:textAlignment w:val="baseline"/>
              <w:rPr>
                <w:rFonts w:eastAsia="SimSun"/>
                <w:b/>
                <w:sz w:val="22"/>
                <w:szCs w:val="22"/>
                <w:lang w:eastAsia="zh-CN"/>
              </w:rPr>
            </w:pPr>
            <w:r>
              <w:rPr>
                <w:rFonts w:eastAsia="SimSun"/>
                <w:b/>
                <w:sz w:val="22"/>
                <w:szCs w:val="22"/>
                <w:lang w:eastAsia="zh-CN"/>
              </w:rPr>
              <w:t>ibuprofé</w:t>
            </w:r>
            <w:r w:rsidR="004948E6" w:rsidRPr="004B560F">
              <w:rPr>
                <w:rFonts w:eastAsia="SimSun"/>
                <w:b/>
                <w:sz w:val="22"/>
                <w:szCs w:val="22"/>
                <w:lang w:eastAsia="zh-CN"/>
              </w:rPr>
              <w:t>n 600 mg -800 mg trikrát denne</w:t>
            </w:r>
          </w:p>
        </w:tc>
        <w:tc>
          <w:tcPr>
            <w:tcW w:w="1872" w:type="dxa"/>
          </w:tcPr>
          <w:p w14:paraId="31F8C149" w14:textId="77777777" w:rsidR="00C67B3B" w:rsidRPr="004B560F" w:rsidRDefault="004948E6" w:rsidP="00C67B3B">
            <w:pPr>
              <w:widowControl/>
              <w:suppressAutoHyphens w:val="0"/>
              <w:overflowPunct w:val="0"/>
              <w:autoSpaceDE w:val="0"/>
              <w:autoSpaceDN w:val="0"/>
              <w:adjustRightInd w:val="0"/>
              <w:spacing w:line="276" w:lineRule="auto"/>
              <w:jc w:val="center"/>
              <w:textAlignment w:val="baseline"/>
              <w:rPr>
                <w:rFonts w:eastAsia="SimSun"/>
                <w:sz w:val="22"/>
                <w:szCs w:val="22"/>
                <w:lang w:eastAsia="zh-CN"/>
              </w:rPr>
            </w:pPr>
            <w:r w:rsidRPr="004B560F">
              <w:rPr>
                <w:rFonts w:eastAsia="SimSun"/>
                <w:b/>
                <w:sz w:val="22"/>
                <w:szCs w:val="22"/>
                <w:lang w:eastAsia="zh-CN"/>
              </w:rPr>
              <w:t>naproxén 375 mg – 500 mg dvakrát denne</w:t>
            </w:r>
          </w:p>
        </w:tc>
      </w:tr>
      <w:tr w:rsidR="00C67B3B" w:rsidRPr="004B560F" w14:paraId="4E52B5A4" w14:textId="77777777" w:rsidTr="004B560F">
        <w:trPr>
          <w:trHeight w:val="288"/>
        </w:trPr>
        <w:tc>
          <w:tcPr>
            <w:tcW w:w="2166" w:type="dxa"/>
          </w:tcPr>
          <w:p w14:paraId="5A8D9CDB" w14:textId="77777777" w:rsidR="00C67B3B" w:rsidRPr="004B560F" w:rsidRDefault="00C67B3B" w:rsidP="00C67B3B">
            <w:pPr>
              <w:widowControl/>
              <w:suppressAutoHyphens w:val="0"/>
              <w:overflowPunct w:val="0"/>
              <w:autoSpaceDE w:val="0"/>
              <w:autoSpaceDN w:val="0"/>
              <w:adjustRightInd w:val="0"/>
              <w:spacing w:line="276" w:lineRule="auto"/>
              <w:textAlignment w:val="baseline"/>
              <w:rPr>
                <w:rFonts w:eastAsia="SimSun"/>
                <w:sz w:val="22"/>
                <w:szCs w:val="22"/>
                <w:lang w:eastAsia="zh-CN"/>
              </w:rPr>
            </w:pPr>
            <w:r w:rsidRPr="004B560F">
              <w:rPr>
                <w:rFonts w:eastAsia="SimSun"/>
                <w:sz w:val="22"/>
                <w:szCs w:val="22"/>
                <w:lang w:eastAsia="zh-CN"/>
              </w:rPr>
              <w:t>N</w:t>
            </w:r>
          </w:p>
        </w:tc>
        <w:tc>
          <w:tcPr>
            <w:tcW w:w="2370" w:type="dxa"/>
          </w:tcPr>
          <w:p w14:paraId="05C7535B" w14:textId="475AB492" w:rsidR="00C67B3B" w:rsidRPr="004B560F" w:rsidRDefault="00C67B3B" w:rsidP="00C67B3B">
            <w:pPr>
              <w:widowControl/>
              <w:suppressAutoHyphens w:val="0"/>
              <w:overflowPunct w:val="0"/>
              <w:autoSpaceDE w:val="0"/>
              <w:autoSpaceDN w:val="0"/>
              <w:adjustRightInd w:val="0"/>
              <w:jc w:val="center"/>
              <w:textAlignment w:val="baseline"/>
              <w:rPr>
                <w:rFonts w:eastAsia="SimSun"/>
                <w:sz w:val="22"/>
                <w:szCs w:val="22"/>
                <w:lang w:eastAsia="en-US"/>
              </w:rPr>
            </w:pPr>
            <w:r w:rsidRPr="004B560F">
              <w:rPr>
                <w:rFonts w:eastAsia="SimSun"/>
                <w:sz w:val="22"/>
                <w:szCs w:val="22"/>
                <w:lang w:eastAsia="en-US"/>
              </w:rPr>
              <w:t>8</w:t>
            </w:r>
            <w:r w:rsidR="008F75F8">
              <w:rPr>
                <w:rFonts w:eastAsia="SimSun"/>
                <w:sz w:val="22"/>
                <w:szCs w:val="22"/>
                <w:lang w:eastAsia="en-US"/>
              </w:rPr>
              <w:t> </w:t>
            </w:r>
            <w:r w:rsidRPr="004B560F">
              <w:rPr>
                <w:rFonts w:eastAsia="SimSun"/>
                <w:sz w:val="22"/>
                <w:szCs w:val="22"/>
                <w:lang w:eastAsia="en-US"/>
              </w:rPr>
              <w:t>030</w:t>
            </w:r>
          </w:p>
        </w:tc>
        <w:tc>
          <w:tcPr>
            <w:tcW w:w="2268" w:type="dxa"/>
          </w:tcPr>
          <w:p w14:paraId="4AD57CB6" w14:textId="7DCE2013" w:rsidR="00C67B3B" w:rsidRPr="004B560F" w:rsidRDefault="00C67B3B" w:rsidP="00C67B3B">
            <w:pPr>
              <w:widowControl/>
              <w:suppressAutoHyphens w:val="0"/>
              <w:overflowPunct w:val="0"/>
              <w:autoSpaceDE w:val="0"/>
              <w:autoSpaceDN w:val="0"/>
              <w:adjustRightInd w:val="0"/>
              <w:jc w:val="center"/>
              <w:textAlignment w:val="baseline"/>
              <w:rPr>
                <w:rFonts w:eastAsia="SimSun"/>
                <w:sz w:val="22"/>
                <w:szCs w:val="22"/>
                <w:lang w:eastAsia="en-US"/>
              </w:rPr>
            </w:pPr>
            <w:r w:rsidRPr="004B560F">
              <w:rPr>
                <w:rFonts w:eastAsia="SimSun"/>
                <w:sz w:val="22"/>
                <w:szCs w:val="22"/>
                <w:lang w:eastAsia="en-US"/>
              </w:rPr>
              <w:t>7</w:t>
            </w:r>
            <w:r w:rsidR="008F75F8">
              <w:rPr>
                <w:rFonts w:eastAsia="SimSun"/>
                <w:sz w:val="22"/>
                <w:szCs w:val="22"/>
                <w:lang w:eastAsia="en-US"/>
              </w:rPr>
              <w:t> </w:t>
            </w:r>
            <w:r w:rsidRPr="004B560F">
              <w:rPr>
                <w:rFonts w:eastAsia="SimSun"/>
                <w:sz w:val="22"/>
                <w:szCs w:val="22"/>
                <w:lang w:eastAsia="en-US"/>
              </w:rPr>
              <w:t>990</w:t>
            </w:r>
          </w:p>
        </w:tc>
        <w:tc>
          <w:tcPr>
            <w:tcW w:w="1872" w:type="dxa"/>
          </w:tcPr>
          <w:p w14:paraId="7B1E23DC" w14:textId="67B16D57" w:rsidR="00C67B3B" w:rsidRPr="004B560F" w:rsidRDefault="00C67B3B" w:rsidP="00C67B3B">
            <w:pPr>
              <w:widowControl/>
              <w:suppressAutoHyphens w:val="0"/>
              <w:overflowPunct w:val="0"/>
              <w:autoSpaceDE w:val="0"/>
              <w:autoSpaceDN w:val="0"/>
              <w:adjustRightInd w:val="0"/>
              <w:jc w:val="center"/>
              <w:textAlignment w:val="baseline"/>
              <w:rPr>
                <w:rFonts w:eastAsia="SimSun"/>
                <w:sz w:val="22"/>
                <w:szCs w:val="22"/>
                <w:lang w:eastAsia="en-US"/>
              </w:rPr>
            </w:pPr>
            <w:r w:rsidRPr="004B560F">
              <w:rPr>
                <w:rFonts w:eastAsia="SimSun"/>
                <w:sz w:val="22"/>
                <w:szCs w:val="22"/>
                <w:lang w:eastAsia="en-US"/>
              </w:rPr>
              <w:t>7</w:t>
            </w:r>
            <w:r w:rsidR="008F75F8">
              <w:rPr>
                <w:rFonts w:eastAsia="SimSun"/>
                <w:sz w:val="22"/>
                <w:szCs w:val="22"/>
                <w:lang w:eastAsia="en-US"/>
              </w:rPr>
              <w:t> </w:t>
            </w:r>
            <w:r w:rsidRPr="004B560F">
              <w:rPr>
                <w:rFonts w:eastAsia="SimSun"/>
                <w:sz w:val="22"/>
                <w:szCs w:val="22"/>
                <w:lang w:eastAsia="en-US"/>
              </w:rPr>
              <w:t>933</w:t>
            </w:r>
          </w:p>
        </w:tc>
      </w:tr>
      <w:tr w:rsidR="00C67B3B" w:rsidRPr="004B560F" w14:paraId="6846013A" w14:textId="77777777" w:rsidTr="00DE5A3E">
        <w:trPr>
          <w:trHeight w:val="288"/>
        </w:trPr>
        <w:tc>
          <w:tcPr>
            <w:tcW w:w="2166" w:type="dxa"/>
          </w:tcPr>
          <w:p w14:paraId="560F4532" w14:textId="2E0DF4FC" w:rsidR="00C67B3B" w:rsidRPr="004B560F" w:rsidRDefault="00F436C2" w:rsidP="00C67B3B">
            <w:pPr>
              <w:widowControl/>
              <w:suppressAutoHyphens w:val="0"/>
              <w:overflowPunct w:val="0"/>
              <w:autoSpaceDE w:val="0"/>
              <w:autoSpaceDN w:val="0"/>
              <w:adjustRightInd w:val="0"/>
              <w:spacing w:line="276" w:lineRule="auto"/>
              <w:textAlignment w:val="baseline"/>
              <w:rPr>
                <w:rFonts w:eastAsia="SimSun"/>
                <w:sz w:val="22"/>
                <w:szCs w:val="22"/>
                <w:lang w:eastAsia="zh-CN"/>
              </w:rPr>
            </w:pPr>
            <w:r>
              <w:rPr>
                <w:rFonts w:eastAsia="SimSun"/>
                <w:sz w:val="22"/>
                <w:szCs w:val="22"/>
                <w:lang w:eastAsia="zh-CN"/>
              </w:rPr>
              <w:t xml:space="preserve">Účastníci klinického skúšania </w:t>
            </w:r>
            <w:r w:rsidR="004948E6" w:rsidRPr="004B560F">
              <w:rPr>
                <w:rFonts w:eastAsia="SimSun"/>
                <w:sz w:val="22"/>
                <w:szCs w:val="22"/>
                <w:lang w:eastAsia="zh-CN"/>
              </w:rPr>
              <w:t>s udalosťa</w:t>
            </w:r>
            <w:r w:rsidR="00C91366">
              <w:rPr>
                <w:rFonts w:eastAsia="SimSun"/>
                <w:sz w:val="22"/>
                <w:szCs w:val="22"/>
                <w:lang w:eastAsia="zh-CN"/>
              </w:rPr>
              <w:softHyphen/>
            </w:r>
            <w:r w:rsidR="004948E6" w:rsidRPr="004B560F">
              <w:rPr>
                <w:rFonts w:eastAsia="SimSun"/>
                <w:sz w:val="22"/>
                <w:szCs w:val="22"/>
                <w:lang w:eastAsia="zh-CN"/>
              </w:rPr>
              <w:t>mi</w:t>
            </w:r>
          </w:p>
        </w:tc>
        <w:tc>
          <w:tcPr>
            <w:tcW w:w="2370" w:type="dxa"/>
            <w:vAlign w:val="center"/>
          </w:tcPr>
          <w:p w14:paraId="22DE693B" w14:textId="1CBC86F0" w:rsidR="00C67B3B" w:rsidRPr="004B560F" w:rsidRDefault="00C67B3B" w:rsidP="00F436C2">
            <w:pPr>
              <w:widowControl/>
              <w:suppressAutoHyphens w:val="0"/>
              <w:overflowPunct w:val="0"/>
              <w:autoSpaceDE w:val="0"/>
              <w:autoSpaceDN w:val="0"/>
              <w:adjustRightInd w:val="0"/>
              <w:spacing w:line="276" w:lineRule="auto"/>
              <w:jc w:val="center"/>
              <w:textAlignment w:val="baseline"/>
              <w:rPr>
                <w:rFonts w:eastAsia="SimSun"/>
                <w:sz w:val="22"/>
                <w:szCs w:val="22"/>
                <w:lang w:eastAsia="zh-CN"/>
              </w:rPr>
            </w:pPr>
            <w:r w:rsidRPr="004B560F">
              <w:rPr>
                <w:rFonts w:eastAsia="SimSun"/>
                <w:color w:val="000000"/>
                <w:sz w:val="22"/>
                <w:szCs w:val="22"/>
                <w:lang w:eastAsia="zh-CN"/>
              </w:rPr>
              <w:t>134 (1</w:t>
            </w:r>
            <w:r w:rsidR="008F75F8">
              <w:rPr>
                <w:rFonts w:eastAsia="SimSun"/>
                <w:color w:val="000000"/>
                <w:sz w:val="22"/>
                <w:szCs w:val="22"/>
                <w:lang w:eastAsia="zh-CN"/>
              </w:rPr>
              <w:t>,</w:t>
            </w:r>
            <w:r w:rsidRPr="004B560F">
              <w:rPr>
                <w:rFonts w:eastAsia="SimSun"/>
                <w:color w:val="000000"/>
                <w:sz w:val="22"/>
                <w:szCs w:val="22"/>
                <w:lang w:eastAsia="zh-CN"/>
              </w:rPr>
              <w:t>7%)</w:t>
            </w:r>
          </w:p>
        </w:tc>
        <w:tc>
          <w:tcPr>
            <w:tcW w:w="2268" w:type="dxa"/>
            <w:vAlign w:val="center"/>
          </w:tcPr>
          <w:p w14:paraId="4977BCA6" w14:textId="079160FC" w:rsidR="00C67B3B" w:rsidRPr="004B560F" w:rsidRDefault="00C67B3B" w:rsidP="00F436C2">
            <w:pPr>
              <w:widowControl/>
              <w:suppressAutoHyphens w:val="0"/>
              <w:overflowPunct w:val="0"/>
              <w:autoSpaceDE w:val="0"/>
              <w:autoSpaceDN w:val="0"/>
              <w:adjustRightInd w:val="0"/>
              <w:spacing w:line="276" w:lineRule="auto"/>
              <w:jc w:val="center"/>
              <w:textAlignment w:val="baseline"/>
              <w:rPr>
                <w:rFonts w:eastAsia="SimSun"/>
                <w:color w:val="000000"/>
                <w:sz w:val="22"/>
                <w:szCs w:val="22"/>
                <w:lang w:eastAsia="zh-CN"/>
              </w:rPr>
            </w:pPr>
            <w:r w:rsidRPr="004B560F">
              <w:rPr>
                <w:rFonts w:eastAsia="SimSun"/>
                <w:color w:val="000000"/>
                <w:sz w:val="22"/>
                <w:szCs w:val="22"/>
                <w:lang w:eastAsia="zh-CN"/>
              </w:rPr>
              <w:t>155 (1</w:t>
            </w:r>
            <w:r w:rsidR="008F75F8">
              <w:rPr>
                <w:rFonts w:eastAsia="SimSun"/>
                <w:color w:val="000000"/>
                <w:sz w:val="22"/>
                <w:szCs w:val="22"/>
                <w:lang w:eastAsia="zh-CN"/>
              </w:rPr>
              <w:t>,</w:t>
            </w:r>
            <w:r w:rsidRPr="004B560F">
              <w:rPr>
                <w:rFonts w:eastAsia="SimSun"/>
                <w:color w:val="000000"/>
                <w:sz w:val="22"/>
                <w:szCs w:val="22"/>
                <w:lang w:eastAsia="zh-CN"/>
              </w:rPr>
              <w:t>9%)</w:t>
            </w:r>
          </w:p>
        </w:tc>
        <w:tc>
          <w:tcPr>
            <w:tcW w:w="1872" w:type="dxa"/>
            <w:vAlign w:val="center"/>
          </w:tcPr>
          <w:p w14:paraId="118CF956" w14:textId="6F425512" w:rsidR="00C67B3B" w:rsidRPr="004B560F" w:rsidRDefault="00C67B3B" w:rsidP="00F436C2">
            <w:pPr>
              <w:widowControl/>
              <w:suppressAutoHyphens w:val="0"/>
              <w:overflowPunct w:val="0"/>
              <w:autoSpaceDE w:val="0"/>
              <w:autoSpaceDN w:val="0"/>
              <w:adjustRightInd w:val="0"/>
              <w:spacing w:line="276" w:lineRule="auto"/>
              <w:jc w:val="center"/>
              <w:textAlignment w:val="baseline"/>
              <w:rPr>
                <w:rFonts w:eastAsia="SimSun"/>
                <w:sz w:val="22"/>
                <w:szCs w:val="22"/>
                <w:lang w:eastAsia="zh-CN"/>
              </w:rPr>
            </w:pPr>
            <w:r w:rsidRPr="004B560F">
              <w:rPr>
                <w:rFonts w:eastAsia="SimSun"/>
                <w:color w:val="000000"/>
                <w:sz w:val="22"/>
                <w:szCs w:val="22"/>
                <w:lang w:eastAsia="zh-CN"/>
              </w:rPr>
              <w:t>144 (1</w:t>
            </w:r>
            <w:r w:rsidR="008F75F8">
              <w:rPr>
                <w:rFonts w:eastAsia="SimSun"/>
                <w:color w:val="000000"/>
                <w:sz w:val="22"/>
                <w:szCs w:val="22"/>
                <w:lang w:eastAsia="zh-CN"/>
              </w:rPr>
              <w:t>,</w:t>
            </w:r>
            <w:r w:rsidRPr="004B560F">
              <w:rPr>
                <w:rFonts w:eastAsia="SimSun"/>
                <w:color w:val="000000"/>
                <w:sz w:val="22"/>
                <w:szCs w:val="22"/>
                <w:lang w:eastAsia="zh-CN"/>
              </w:rPr>
              <w:t>8%)</w:t>
            </w:r>
          </w:p>
        </w:tc>
      </w:tr>
      <w:tr w:rsidR="004948E6" w:rsidRPr="004B560F" w14:paraId="6DF35772" w14:textId="77777777" w:rsidTr="004B560F">
        <w:trPr>
          <w:trHeight w:val="288"/>
        </w:trPr>
        <w:tc>
          <w:tcPr>
            <w:tcW w:w="2166" w:type="dxa"/>
          </w:tcPr>
          <w:p w14:paraId="60A9F59F" w14:textId="77777777" w:rsidR="004948E6" w:rsidRPr="004B560F" w:rsidRDefault="004948E6" w:rsidP="00C67B3B">
            <w:pPr>
              <w:widowControl/>
              <w:suppressAutoHyphens w:val="0"/>
              <w:overflowPunct w:val="0"/>
              <w:autoSpaceDE w:val="0"/>
              <w:autoSpaceDN w:val="0"/>
              <w:adjustRightInd w:val="0"/>
              <w:spacing w:line="276" w:lineRule="auto"/>
              <w:textAlignment w:val="baseline"/>
              <w:rPr>
                <w:rFonts w:eastAsia="SimSun"/>
                <w:sz w:val="22"/>
                <w:szCs w:val="22"/>
                <w:lang w:eastAsia="zh-CN"/>
              </w:rPr>
            </w:pPr>
            <w:r w:rsidRPr="004B560F">
              <w:rPr>
                <w:rFonts w:eastAsia="SimSun"/>
                <w:sz w:val="22"/>
                <w:szCs w:val="22"/>
                <w:lang w:eastAsia="zh-CN"/>
              </w:rPr>
              <w:t>Párované porovnanie</w:t>
            </w:r>
          </w:p>
        </w:tc>
        <w:tc>
          <w:tcPr>
            <w:tcW w:w="2370" w:type="dxa"/>
          </w:tcPr>
          <w:p w14:paraId="7340AFA6" w14:textId="77777777" w:rsidR="004948E6" w:rsidRPr="004B560F" w:rsidRDefault="004948E6" w:rsidP="00C67B3B">
            <w:pPr>
              <w:widowControl/>
              <w:suppressAutoHyphens w:val="0"/>
              <w:overflowPunct w:val="0"/>
              <w:autoSpaceDE w:val="0"/>
              <w:autoSpaceDN w:val="0"/>
              <w:adjustRightInd w:val="0"/>
              <w:spacing w:line="276" w:lineRule="auto"/>
              <w:jc w:val="center"/>
              <w:textAlignment w:val="baseline"/>
              <w:rPr>
                <w:rFonts w:eastAsia="SimSun"/>
                <w:b/>
                <w:sz w:val="22"/>
                <w:szCs w:val="22"/>
                <w:lang w:eastAsia="zh-CN"/>
              </w:rPr>
            </w:pPr>
            <w:r w:rsidRPr="004B560F">
              <w:rPr>
                <w:rFonts w:eastAsia="SimSun"/>
                <w:b/>
                <w:sz w:val="22"/>
                <w:szCs w:val="22"/>
                <w:lang w:eastAsia="zh-CN"/>
              </w:rPr>
              <w:t>celekoxib vs. naproxén</w:t>
            </w:r>
          </w:p>
        </w:tc>
        <w:tc>
          <w:tcPr>
            <w:tcW w:w="2268" w:type="dxa"/>
          </w:tcPr>
          <w:p w14:paraId="139F59CF" w14:textId="77777777" w:rsidR="004948E6" w:rsidRPr="004B560F" w:rsidRDefault="004948E6" w:rsidP="00C67B3B">
            <w:pPr>
              <w:widowControl/>
              <w:suppressAutoHyphens w:val="0"/>
              <w:overflowPunct w:val="0"/>
              <w:autoSpaceDE w:val="0"/>
              <w:autoSpaceDN w:val="0"/>
              <w:adjustRightInd w:val="0"/>
              <w:spacing w:line="276" w:lineRule="auto"/>
              <w:jc w:val="center"/>
              <w:textAlignment w:val="baseline"/>
              <w:rPr>
                <w:rFonts w:eastAsia="SimSun"/>
                <w:b/>
                <w:sz w:val="22"/>
                <w:szCs w:val="22"/>
                <w:lang w:eastAsia="zh-CN"/>
              </w:rPr>
            </w:pPr>
            <w:r w:rsidRPr="004B560F">
              <w:rPr>
                <w:rFonts w:eastAsia="SimSun"/>
                <w:b/>
                <w:sz w:val="22"/>
                <w:szCs w:val="22"/>
                <w:lang w:eastAsia="zh-CN"/>
              </w:rPr>
              <w:t>celekoxib vs. ibupro</w:t>
            </w:r>
            <w:r w:rsidR="00DD3D3A">
              <w:rPr>
                <w:rFonts w:eastAsia="SimSun"/>
                <w:b/>
                <w:sz w:val="22"/>
                <w:szCs w:val="22"/>
                <w:lang w:eastAsia="zh-CN"/>
              </w:rPr>
              <w:softHyphen/>
            </w:r>
            <w:r w:rsidRPr="004B560F">
              <w:rPr>
                <w:rFonts w:eastAsia="SimSun"/>
                <w:b/>
                <w:sz w:val="22"/>
                <w:szCs w:val="22"/>
                <w:lang w:eastAsia="zh-CN"/>
              </w:rPr>
              <w:t xml:space="preserve">fén </w:t>
            </w:r>
          </w:p>
        </w:tc>
        <w:tc>
          <w:tcPr>
            <w:tcW w:w="1872" w:type="dxa"/>
          </w:tcPr>
          <w:p w14:paraId="63452041" w14:textId="77777777" w:rsidR="004948E6" w:rsidRPr="004B560F" w:rsidRDefault="004948E6" w:rsidP="00C67B3B">
            <w:pPr>
              <w:widowControl/>
              <w:suppressAutoHyphens w:val="0"/>
              <w:overflowPunct w:val="0"/>
              <w:autoSpaceDE w:val="0"/>
              <w:autoSpaceDN w:val="0"/>
              <w:adjustRightInd w:val="0"/>
              <w:spacing w:line="276" w:lineRule="auto"/>
              <w:jc w:val="center"/>
              <w:textAlignment w:val="baseline"/>
              <w:rPr>
                <w:rFonts w:eastAsia="SimSun"/>
                <w:sz w:val="22"/>
                <w:szCs w:val="22"/>
                <w:lang w:eastAsia="zh-CN"/>
              </w:rPr>
            </w:pPr>
            <w:r w:rsidRPr="004B560F">
              <w:rPr>
                <w:rFonts w:eastAsia="SimSun"/>
                <w:b/>
                <w:sz w:val="22"/>
                <w:szCs w:val="22"/>
                <w:lang w:eastAsia="zh-CN"/>
              </w:rPr>
              <w:t xml:space="preserve">ibuprofén vs. naproxén </w:t>
            </w:r>
          </w:p>
        </w:tc>
      </w:tr>
      <w:tr w:rsidR="00C67B3B" w:rsidRPr="004B560F" w14:paraId="2EF564A6" w14:textId="77777777" w:rsidTr="004B560F">
        <w:trPr>
          <w:trHeight w:val="288"/>
        </w:trPr>
        <w:tc>
          <w:tcPr>
            <w:tcW w:w="2166" w:type="dxa"/>
          </w:tcPr>
          <w:p w14:paraId="2B6E9798" w14:textId="77777777" w:rsidR="00C67B3B" w:rsidRPr="004B560F" w:rsidRDefault="00C67B3B" w:rsidP="00C67B3B">
            <w:pPr>
              <w:widowControl/>
              <w:suppressAutoHyphens w:val="0"/>
              <w:overflowPunct w:val="0"/>
              <w:autoSpaceDE w:val="0"/>
              <w:autoSpaceDN w:val="0"/>
              <w:adjustRightInd w:val="0"/>
              <w:spacing w:line="276" w:lineRule="auto"/>
              <w:textAlignment w:val="baseline"/>
              <w:rPr>
                <w:rFonts w:eastAsia="SimSun"/>
                <w:sz w:val="22"/>
                <w:szCs w:val="22"/>
                <w:lang w:eastAsia="zh-CN"/>
              </w:rPr>
            </w:pPr>
            <w:r w:rsidRPr="004B560F">
              <w:rPr>
                <w:rFonts w:eastAsia="SimSun"/>
                <w:sz w:val="22"/>
                <w:szCs w:val="22"/>
                <w:lang w:eastAsia="zh-CN"/>
              </w:rPr>
              <w:lastRenderedPageBreak/>
              <w:t xml:space="preserve">  HR (95% CI)</w:t>
            </w:r>
          </w:p>
        </w:tc>
        <w:tc>
          <w:tcPr>
            <w:tcW w:w="2370" w:type="dxa"/>
          </w:tcPr>
          <w:p w14:paraId="4CBA5A57" w14:textId="6DEAE500" w:rsidR="00C67B3B" w:rsidRPr="004B560F" w:rsidRDefault="00C67B3B" w:rsidP="00C67B3B">
            <w:pPr>
              <w:widowControl/>
              <w:suppressAutoHyphens w:val="0"/>
              <w:overflowPunct w:val="0"/>
              <w:autoSpaceDE w:val="0"/>
              <w:autoSpaceDN w:val="0"/>
              <w:adjustRightInd w:val="0"/>
              <w:spacing w:line="276" w:lineRule="auto"/>
              <w:jc w:val="center"/>
              <w:textAlignment w:val="baseline"/>
              <w:rPr>
                <w:rFonts w:eastAsia="SimSun"/>
                <w:color w:val="000000"/>
                <w:sz w:val="22"/>
                <w:szCs w:val="22"/>
                <w:lang w:eastAsia="zh-CN"/>
              </w:rPr>
            </w:pPr>
            <w:r w:rsidRPr="004B560F">
              <w:rPr>
                <w:rFonts w:eastAsia="SimSun"/>
                <w:color w:val="000000"/>
                <w:sz w:val="22"/>
                <w:szCs w:val="22"/>
                <w:lang w:eastAsia="en-US"/>
              </w:rPr>
              <w:t>0</w:t>
            </w:r>
            <w:r w:rsidR="000F6A8B">
              <w:rPr>
                <w:rFonts w:eastAsia="SimSun"/>
                <w:color w:val="000000"/>
                <w:sz w:val="22"/>
                <w:szCs w:val="22"/>
                <w:lang w:eastAsia="en-US"/>
              </w:rPr>
              <w:t>,</w:t>
            </w:r>
            <w:r w:rsidRPr="004B560F">
              <w:rPr>
                <w:rFonts w:eastAsia="SimSun"/>
                <w:color w:val="000000"/>
                <w:sz w:val="22"/>
                <w:szCs w:val="22"/>
                <w:lang w:eastAsia="en-US"/>
              </w:rPr>
              <w:t>90 (0</w:t>
            </w:r>
            <w:r w:rsidR="008F75F8">
              <w:rPr>
                <w:rFonts w:eastAsia="SimSun"/>
                <w:color w:val="000000"/>
                <w:sz w:val="22"/>
                <w:szCs w:val="22"/>
                <w:lang w:eastAsia="en-US"/>
              </w:rPr>
              <w:t>,</w:t>
            </w:r>
            <w:r w:rsidRPr="004B560F">
              <w:rPr>
                <w:rFonts w:eastAsia="SimSun"/>
                <w:color w:val="000000"/>
                <w:sz w:val="22"/>
                <w:szCs w:val="22"/>
                <w:lang w:eastAsia="en-US"/>
              </w:rPr>
              <w:t>72</w:t>
            </w:r>
            <w:r w:rsidR="008F75F8">
              <w:rPr>
                <w:rFonts w:eastAsia="SimSun"/>
                <w:color w:val="000000"/>
                <w:sz w:val="22"/>
                <w:szCs w:val="22"/>
                <w:lang w:eastAsia="en-US"/>
              </w:rPr>
              <w:t>;</w:t>
            </w:r>
            <w:r w:rsidRPr="004B560F">
              <w:rPr>
                <w:rFonts w:eastAsia="SimSun"/>
                <w:color w:val="000000"/>
                <w:sz w:val="22"/>
                <w:szCs w:val="22"/>
                <w:lang w:eastAsia="en-US"/>
              </w:rPr>
              <w:t xml:space="preserve"> 1</w:t>
            </w:r>
            <w:r w:rsidR="008F75F8">
              <w:rPr>
                <w:rFonts w:eastAsia="SimSun"/>
                <w:color w:val="000000"/>
                <w:sz w:val="22"/>
                <w:szCs w:val="22"/>
                <w:lang w:eastAsia="en-US"/>
              </w:rPr>
              <w:t>,</w:t>
            </w:r>
            <w:r w:rsidRPr="004B560F">
              <w:rPr>
                <w:rFonts w:eastAsia="SimSun"/>
                <w:color w:val="000000"/>
                <w:sz w:val="22"/>
                <w:szCs w:val="22"/>
                <w:lang w:eastAsia="en-US"/>
              </w:rPr>
              <w:t>14)</w:t>
            </w:r>
          </w:p>
        </w:tc>
        <w:tc>
          <w:tcPr>
            <w:tcW w:w="2268" w:type="dxa"/>
          </w:tcPr>
          <w:p w14:paraId="24289752" w14:textId="0E8E9EEE" w:rsidR="00C67B3B" w:rsidRPr="004B560F" w:rsidRDefault="00C67B3B" w:rsidP="00C67B3B">
            <w:pPr>
              <w:widowControl/>
              <w:suppressAutoHyphens w:val="0"/>
              <w:overflowPunct w:val="0"/>
              <w:autoSpaceDE w:val="0"/>
              <w:autoSpaceDN w:val="0"/>
              <w:adjustRightInd w:val="0"/>
              <w:spacing w:line="276" w:lineRule="auto"/>
              <w:jc w:val="center"/>
              <w:textAlignment w:val="baseline"/>
              <w:rPr>
                <w:rFonts w:eastAsia="SimSun"/>
                <w:color w:val="000000"/>
                <w:sz w:val="22"/>
                <w:szCs w:val="22"/>
                <w:lang w:eastAsia="zh-CN"/>
              </w:rPr>
            </w:pPr>
            <w:r w:rsidRPr="004B560F">
              <w:rPr>
                <w:rFonts w:eastAsia="SimSun"/>
                <w:color w:val="000000"/>
                <w:sz w:val="22"/>
                <w:szCs w:val="22"/>
                <w:lang w:eastAsia="en-US"/>
              </w:rPr>
              <w:t>0</w:t>
            </w:r>
            <w:r w:rsidR="000F6A8B">
              <w:rPr>
                <w:rFonts w:eastAsia="SimSun"/>
                <w:color w:val="000000"/>
                <w:sz w:val="22"/>
                <w:szCs w:val="22"/>
                <w:lang w:eastAsia="en-US"/>
              </w:rPr>
              <w:t>,</w:t>
            </w:r>
            <w:r w:rsidRPr="004B560F">
              <w:rPr>
                <w:rFonts w:eastAsia="SimSun"/>
                <w:color w:val="000000"/>
                <w:sz w:val="22"/>
                <w:szCs w:val="22"/>
                <w:lang w:eastAsia="en-US"/>
              </w:rPr>
              <w:t>81 (0</w:t>
            </w:r>
            <w:r w:rsidR="008F75F8">
              <w:rPr>
                <w:rFonts w:eastAsia="SimSun"/>
                <w:color w:val="000000"/>
                <w:sz w:val="22"/>
                <w:szCs w:val="22"/>
                <w:lang w:eastAsia="en-US"/>
              </w:rPr>
              <w:t>,</w:t>
            </w:r>
            <w:r w:rsidRPr="004B560F">
              <w:rPr>
                <w:rFonts w:eastAsia="SimSun"/>
                <w:color w:val="000000"/>
                <w:sz w:val="22"/>
                <w:szCs w:val="22"/>
                <w:lang w:eastAsia="en-US"/>
              </w:rPr>
              <w:t>64</w:t>
            </w:r>
            <w:r w:rsidR="008F75F8">
              <w:rPr>
                <w:rFonts w:eastAsia="SimSun"/>
                <w:color w:val="000000"/>
                <w:sz w:val="22"/>
                <w:szCs w:val="22"/>
                <w:lang w:eastAsia="en-US"/>
              </w:rPr>
              <w:t>;</w:t>
            </w:r>
            <w:r w:rsidRPr="004B560F">
              <w:rPr>
                <w:rFonts w:eastAsia="SimSun"/>
                <w:color w:val="000000"/>
                <w:sz w:val="22"/>
                <w:szCs w:val="22"/>
                <w:lang w:eastAsia="en-US"/>
              </w:rPr>
              <w:t xml:space="preserve"> 1</w:t>
            </w:r>
            <w:r w:rsidR="008F75F8">
              <w:rPr>
                <w:rFonts w:eastAsia="SimSun"/>
                <w:color w:val="000000"/>
                <w:sz w:val="22"/>
                <w:szCs w:val="22"/>
                <w:lang w:eastAsia="en-US"/>
              </w:rPr>
              <w:t>,</w:t>
            </w:r>
            <w:r w:rsidRPr="004B560F">
              <w:rPr>
                <w:rFonts w:eastAsia="SimSun"/>
                <w:color w:val="000000"/>
                <w:sz w:val="22"/>
                <w:szCs w:val="22"/>
                <w:lang w:eastAsia="en-US"/>
              </w:rPr>
              <w:t>02)</w:t>
            </w:r>
          </w:p>
        </w:tc>
        <w:tc>
          <w:tcPr>
            <w:tcW w:w="1872" w:type="dxa"/>
          </w:tcPr>
          <w:p w14:paraId="4441E4DA" w14:textId="0ECE0198" w:rsidR="00C67B3B" w:rsidRPr="004B560F" w:rsidRDefault="00C67B3B" w:rsidP="00C67B3B">
            <w:pPr>
              <w:widowControl/>
              <w:suppressAutoHyphens w:val="0"/>
              <w:overflowPunct w:val="0"/>
              <w:autoSpaceDE w:val="0"/>
              <w:autoSpaceDN w:val="0"/>
              <w:adjustRightInd w:val="0"/>
              <w:spacing w:line="276" w:lineRule="auto"/>
              <w:jc w:val="center"/>
              <w:textAlignment w:val="baseline"/>
              <w:rPr>
                <w:rFonts w:eastAsia="SimSun"/>
                <w:color w:val="000000"/>
                <w:sz w:val="22"/>
                <w:szCs w:val="22"/>
                <w:lang w:eastAsia="zh-CN"/>
              </w:rPr>
            </w:pPr>
            <w:r w:rsidRPr="004B560F">
              <w:rPr>
                <w:rFonts w:eastAsia="SimSun"/>
                <w:color w:val="000000"/>
                <w:sz w:val="22"/>
                <w:szCs w:val="22"/>
                <w:lang w:eastAsia="en-US"/>
              </w:rPr>
              <w:t>1</w:t>
            </w:r>
            <w:r w:rsidR="000F6A8B">
              <w:rPr>
                <w:rFonts w:eastAsia="SimSun"/>
                <w:color w:val="000000"/>
                <w:sz w:val="22"/>
                <w:szCs w:val="22"/>
                <w:lang w:eastAsia="en-US"/>
              </w:rPr>
              <w:t>,</w:t>
            </w:r>
            <w:r w:rsidRPr="004B560F">
              <w:rPr>
                <w:rFonts w:eastAsia="SimSun"/>
                <w:color w:val="000000"/>
                <w:sz w:val="22"/>
                <w:szCs w:val="22"/>
                <w:lang w:eastAsia="zh-CN"/>
              </w:rPr>
              <w:t>12</w:t>
            </w:r>
            <w:r w:rsidRPr="004B560F">
              <w:rPr>
                <w:rFonts w:eastAsia="SimSun"/>
                <w:color w:val="000000"/>
                <w:sz w:val="22"/>
                <w:szCs w:val="22"/>
                <w:lang w:eastAsia="en-US"/>
              </w:rPr>
              <w:t xml:space="preserve"> (0</w:t>
            </w:r>
            <w:r w:rsidR="008F75F8">
              <w:rPr>
                <w:rFonts w:eastAsia="SimSun"/>
                <w:color w:val="000000"/>
                <w:sz w:val="22"/>
                <w:szCs w:val="22"/>
                <w:lang w:eastAsia="en-US"/>
              </w:rPr>
              <w:t>,</w:t>
            </w:r>
            <w:r w:rsidRPr="004B560F">
              <w:rPr>
                <w:rFonts w:eastAsia="SimSun"/>
                <w:color w:val="000000"/>
                <w:sz w:val="22"/>
                <w:szCs w:val="22"/>
                <w:lang w:eastAsia="zh-CN"/>
              </w:rPr>
              <w:t>889</w:t>
            </w:r>
            <w:r w:rsidR="008F75F8">
              <w:rPr>
                <w:rFonts w:eastAsia="SimSun"/>
                <w:color w:val="000000"/>
                <w:sz w:val="22"/>
                <w:szCs w:val="22"/>
                <w:lang w:eastAsia="zh-CN"/>
              </w:rPr>
              <w:t>;</w:t>
            </w:r>
            <w:r w:rsidRPr="004B560F">
              <w:rPr>
                <w:rFonts w:eastAsia="SimSun"/>
                <w:color w:val="000000"/>
                <w:sz w:val="22"/>
                <w:szCs w:val="22"/>
                <w:lang w:eastAsia="en-US"/>
              </w:rPr>
              <w:t xml:space="preserve"> 1</w:t>
            </w:r>
            <w:r w:rsidR="008F75F8">
              <w:rPr>
                <w:rFonts w:eastAsia="SimSun"/>
                <w:color w:val="000000"/>
                <w:sz w:val="22"/>
                <w:szCs w:val="22"/>
                <w:lang w:eastAsia="en-US"/>
              </w:rPr>
              <w:t>,</w:t>
            </w:r>
            <w:r w:rsidRPr="004B560F">
              <w:rPr>
                <w:rFonts w:eastAsia="SimSun"/>
                <w:color w:val="000000"/>
                <w:sz w:val="22"/>
                <w:szCs w:val="22"/>
                <w:lang w:eastAsia="zh-CN"/>
              </w:rPr>
              <w:t>40</w:t>
            </w:r>
            <w:r w:rsidRPr="004B560F">
              <w:rPr>
                <w:rFonts w:eastAsia="SimSun"/>
                <w:color w:val="000000"/>
                <w:sz w:val="22"/>
                <w:szCs w:val="22"/>
                <w:lang w:eastAsia="en-US"/>
              </w:rPr>
              <w:t>)</w:t>
            </w:r>
          </w:p>
        </w:tc>
      </w:tr>
    </w:tbl>
    <w:p w14:paraId="17230BE6" w14:textId="77777777" w:rsidR="00CE32D4" w:rsidRPr="00B4110D" w:rsidRDefault="00CE32D4" w:rsidP="00F31FEF">
      <w:pPr>
        <w:tabs>
          <w:tab w:val="left" w:pos="567"/>
        </w:tabs>
        <w:rPr>
          <w:sz w:val="22"/>
          <w:szCs w:val="22"/>
        </w:rPr>
      </w:pPr>
    </w:p>
    <w:p w14:paraId="368C36FE" w14:textId="77777777" w:rsidR="004948E6" w:rsidRDefault="004948E6" w:rsidP="00F31FEF">
      <w:pPr>
        <w:tabs>
          <w:tab w:val="left" w:pos="567"/>
        </w:tabs>
        <w:rPr>
          <w:sz w:val="22"/>
          <w:szCs w:val="22"/>
        </w:rPr>
      </w:pPr>
      <w:r w:rsidRPr="00DE5A3E">
        <w:rPr>
          <w:sz w:val="22"/>
        </w:rPr>
        <w:t xml:space="preserve">Výsledky </w:t>
      </w:r>
      <w:r>
        <w:rPr>
          <w:sz w:val="22"/>
          <w:szCs w:val="22"/>
        </w:rPr>
        <w:t xml:space="preserve">boli </w:t>
      </w:r>
      <w:r w:rsidR="008A13FB">
        <w:rPr>
          <w:sz w:val="22"/>
          <w:szCs w:val="22"/>
        </w:rPr>
        <w:t xml:space="preserve">číselne </w:t>
      </w:r>
      <w:r>
        <w:rPr>
          <w:sz w:val="22"/>
          <w:szCs w:val="22"/>
        </w:rPr>
        <w:t xml:space="preserve">celkovo podobné </w:t>
      </w:r>
      <w:r w:rsidR="008A13FB">
        <w:rPr>
          <w:sz w:val="22"/>
          <w:szCs w:val="22"/>
        </w:rPr>
        <w:t>pre celekoxib</w:t>
      </w:r>
      <w:r>
        <w:rPr>
          <w:sz w:val="22"/>
          <w:szCs w:val="22"/>
        </w:rPr>
        <w:t xml:space="preserve"> a </w:t>
      </w:r>
      <w:r w:rsidR="008A13FB">
        <w:rPr>
          <w:sz w:val="22"/>
          <w:szCs w:val="22"/>
        </w:rPr>
        <w:t>porovnávané</w:t>
      </w:r>
      <w:r>
        <w:rPr>
          <w:sz w:val="22"/>
          <w:szCs w:val="22"/>
        </w:rPr>
        <w:t xml:space="preserve"> </w:t>
      </w:r>
      <w:r w:rsidR="008A13FB">
        <w:rPr>
          <w:sz w:val="22"/>
          <w:szCs w:val="22"/>
        </w:rPr>
        <w:t>skupiny</w:t>
      </w:r>
      <w:r w:rsidR="00AA001E">
        <w:rPr>
          <w:sz w:val="22"/>
          <w:szCs w:val="22"/>
        </w:rPr>
        <w:t>,</w:t>
      </w:r>
      <w:r>
        <w:rPr>
          <w:sz w:val="22"/>
          <w:szCs w:val="22"/>
        </w:rPr>
        <w:t xml:space="preserve"> </w:t>
      </w:r>
      <w:r w:rsidR="00AA001E">
        <w:rPr>
          <w:sz w:val="22"/>
          <w:szCs w:val="22"/>
        </w:rPr>
        <w:t xml:space="preserve">ako </w:t>
      </w:r>
      <w:r>
        <w:rPr>
          <w:sz w:val="22"/>
          <w:szCs w:val="22"/>
        </w:rPr>
        <w:t>aj v sekudárnych a terciárnych koncových ukazovateľoch</w:t>
      </w:r>
      <w:r w:rsidR="008A13FB">
        <w:rPr>
          <w:sz w:val="22"/>
          <w:szCs w:val="22"/>
        </w:rPr>
        <w:t>. C</w:t>
      </w:r>
      <w:r>
        <w:rPr>
          <w:sz w:val="22"/>
          <w:szCs w:val="22"/>
        </w:rPr>
        <w:t>elkovo sa neobjavili žiadne neočakávané bezpečnostné zistenia.</w:t>
      </w:r>
    </w:p>
    <w:p w14:paraId="3C269035" w14:textId="77777777" w:rsidR="004948E6" w:rsidRDefault="004948E6" w:rsidP="00F31FEF">
      <w:pPr>
        <w:tabs>
          <w:tab w:val="left" w:pos="567"/>
        </w:tabs>
        <w:rPr>
          <w:sz w:val="22"/>
          <w:szCs w:val="22"/>
        </w:rPr>
      </w:pPr>
    </w:p>
    <w:p w14:paraId="2E77043E" w14:textId="77777777" w:rsidR="004948E6" w:rsidRPr="004B560F" w:rsidRDefault="008A13FB" w:rsidP="00F31FEF">
      <w:pPr>
        <w:tabs>
          <w:tab w:val="left" w:pos="567"/>
        </w:tabs>
        <w:rPr>
          <w:sz w:val="22"/>
          <w:szCs w:val="22"/>
        </w:rPr>
      </w:pPr>
      <w:r>
        <w:rPr>
          <w:sz w:val="22"/>
          <w:szCs w:val="22"/>
        </w:rPr>
        <w:t>Š</w:t>
      </w:r>
      <w:r w:rsidR="00AA001E">
        <w:rPr>
          <w:sz w:val="22"/>
          <w:szCs w:val="22"/>
        </w:rPr>
        <w:t>túdia PRECISION</w:t>
      </w:r>
      <w:r>
        <w:rPr>
          <w:sz w:val="22"/>
          <w:szCs w:val="22"/>
        </w:rPr>
        <w:t xml:space="preserve"> </w:t>
      </w:r>
      <w:r w:rsidR="00AA001E">
        <w:rPr>
          <w:sz w:val="22"/>
          <w:szCs w:val="22"/>
        </w:rPr>
        <w:t>naznačuje, že celekoxib v najnižšej schválenej terapeutickej dávke 100</w:t>
      </w:r>
      <w:r w:rsidR="00AC0381">
        <w:rPr>
          <w:sz w:val="22"/>
          <w:szCs w:val="22"/>
        </w:rPr>
        <w:t> mg dvakrát denne je non-inferió</w:t>
      </w:r>
      <w:r w:rsidR="00AA001E">
        <w:rPr>
          <w:sz w:val="22"/>
          <w:szCs w:val="22"/>
        </w:rPr>
        <w:t>rny v porovnaní s </w:t>
      </w:r>
      <w:r w:rsidR="00C0522B">
        <w:rPr>
          <w:sz w:val="22"/>
          <w:szCs w:val="22"/>
        </w:rPr>
        <w:t>ibuprofé</w:t>
      </w:r>
      <w:r w:rsidR="00AA001E">
        <w:rPr>
          <w:sz w:val="22"/>
          <w:szCs w:val="22"/>
        </w:rPr>
        <w:t>nom v rozmedzí dávok 600 mg – 800 mg trikrát denne alebo naproxén</w:t>
      </w:r>
      <w:r w:rsidR="00AC0381">
        <w:rPr>
          <w:sz w:val="22"/>
          <w:szCs w:val="22"/>
        </w:rPr>
        <w:t>om</w:t>
      </w:r>
      <w:r w:rsidR="00AA001E">
        <w:rPr>
          <w:sz w:val="22"/>
          <w:szCs w:val="22"/>
        </w:rPr>
        <w:t xml:space="preserve"> v rozmedzí dávok 375 mg – 500 mg dvakrát denne s ohľadom na kard</w:t>
      </w:r>
      <w:r w:rsidR="00AC0381">
        <w:rPr>
          <w:sz w:val="22"/>
          <w:szCs w:val="22"/>
        </w:rPr>
        <w:t>iovaskulárne nežiaduce účinky. K</w:t>
      </w:r>
      <w:r w:rsidR="00AA001E">
        <w:rPr>
          <w:sz w:val="22"/>
          <w:szCs w:val="22"/>
        </w:rPr>
        <w:t xml:space="preserve">ardiovaskulárne riziká skupiny NSAID, vrátane koxibov sú závislé na dávke, preto výsledky pre celekoxib 200 mg denne nemožno </w:t>
      </w:r>
      <w:r w:rsidR="00021B2E">
        <w:rPr>
          <w:sz w:val="22"/>
          <w:szCs w:val="22"/>
        </w:rPr>
        <w:t xml:space="preserve">z pohľadu kombinovaných kardiovaskulárnych koncových ukazovateľov </w:t>
      </w:r>
      <w:r w:rsidR="00AA001E">
        <w:rPr>
          <w:sz w:val="22"/>
          <w:szCs w:val="22"/>
        </w:rPr>
        <w:t xml:space="preserve">extrapolovať </w:t>
      </w:r>
      <w:r w:rsidR="00021B2E">
        <w:rPr>
          <w:sz w:val="22"/>
          <w:szCs w:val="22"/>
        </w:rPr>
        <w:t>na dávkovacie režimy, ktoré vyžadujú vyššie dávky celekoxibu.</w:t>
      </w:r>
    </w:p>
    <w:p w14:paraId="26EA80D6" w14:textId="77777777" w:rsidR="00CE32D4" w:rsidRPr="00B048EB" w:rsidRDefault="00CE32D4" w:rsidP="00F31FEF">
      <w:pPr>
        <w:tabs>
          <w:tab w:val="left" w:pos="567"/>
        </w:tabs>
        <w:rPr>
          <w:b/>
          <w:sz w:val="22"/>
          <w:szCs w:val="22"/>
        </w:rPr>
      </w:pPr>
    </w:p>
    <w:p w14:paraId="0D5D6212" w14:textId="77777777" w:rsidR="00FA71B4" w:rsidRPr="00B048EB" w:rsidRDefault="00FA71B4" w:rsidP="00DE5A3E">
      <w:pPr>
        <w:keepNext/>
        <w:tabs>
          <w:tab w:val="left" w:pos="567"/>
        </w:tabs>
        <w:rPr>
          <w:b/>
          <w:sz w:val="22"/>
          <w:szCs w:val="22"/>
        </w:rPr>
      </w:pPr>
      <w:r w:rsidRPr="00B048EB">
        <w:rPr>
          <w:b/>
          <w:sz w:val="22"/>
          <w:szCs w:val="22"/>
        </w:rPr>
        <w:t>5.2</w:t>
      </w:r>
      <w:r w:rsidRPr="00B048EB">
        <w:rPr>
          <w:b/>
          <w:sz w:val="22"/>
          <w:szCs w:val="22"/>
        </w:rPr>
        <w:tab/>
        <w:t>Farmakokinetické vlastnosti</w:t>
      </w:r>
    </w:p>
    <w:p w14:paraId="5287F539" w14:textId="77777777" w:rsidR="00FA71B4" w:rsidRPr="00B048EB" w:rsidRDefault="00FA71B4" w:rsidP="00DE5A3E">
      <w:pPr>
        <w:keepNext/>
        <w:tabs>
          <w:tab w:val="left" w:pos="567"/>
        </w:tabs>
        <w:rPr>
          <w:b/>
          <w:sz w:val="22"/>
          <w:szCs w:val="22"/>
        </w:rPr>
      </w:pPr>
    </w:p>
    <w:p w14:paraId="44D77DBF" w14:textId="77777777" w:rsidR="00FA71B4" w:rsidRPr="00B048EB" w:rsidRDefault="00FA71B4" w:rsidP="00DE5A3E">
      <w:pPr>
        <w:pStyle w:val="BodyText31"/>
        <w:keepNext/>
        <w:tabs>
          <w:tab w:val="left" w:pos="567"/>
        </w:tabs>
        <w:jc w:val="left"/>
        <w:rPr>
          <w:sz w:val="22"/>
          <w:szCs w:val="22"/>
          <w:u w:val="single"/>
        </w:rPr>
      </w:pPr>
      <w:r w:rsidRPr="00B048EB">
        <w:rPr>
          <w:sz w:val="22"/>
          <w:szCs w:val="22"/>
          <w:u w:val="single"/>
        </w:rPr>
        <w:t>Absorpcia</w:t>
      </w:r>
    </w:p>
    <w:p w14:paraId="19FFF3C3" w14:textId="0B88CD06" w:rsidR="007F195F" w:rsidRPr="00B048EB" w:rsidRDefault="00FA71B4" w:rsidP="00DE5A3E">
      <w:pPr>
        <w:tabs>
          <w:tab w:val="left" w:pos="567"/>
        </w:tabs>
        <w:rPr>
          <w:sz w:val="22"/>
          <w:szCs w:val="22"/>
        </w:rPr>
      </w:pPr>
      <w:r w:rsidRPr="00B048EB">
        <w:rPr>
          <w:caps/>
          <w:sz w:val="22"/>
          <w:szCs w:val="22"/>
        </w:rPr>
        <w:t>C</w:t>
      </w:r>
      <w:r w:rsidRPr="00B048EB">
        <w:rPr>
          <w:sz w:val="22"/>
          <w:szCs w:val="22"/>
        </w:rPr>
        <w:t>elekoxib</w:t>
      </w:r>
      <w:r w:rsidRPr="00B048EB">
        <w:rPr>
          <w:b/>
          <w:sz w:val="22"/>
          <w:szCs w:val="22"/>
        </w:rPr>
        <w:t xml:space="preserve"> </w:t>
      </w:r>
      <w:r w:rsidRPr="00B048EB">
        <w:rPr>
          <w:sz w:val="22"/>
          <w:szCs w:val="22"/>
        </w:rPr>
        <w:t>sa dobre absorbuje</w:t>
      </w:r>
      <w:r w:rsidR="00731C93">
        <w:rPr>
          <w:sz w:val="22"/>
          <w:szCs w:val="22"/>
        </w:rPr>
        <w:t xml:space="preserve"> a </w:t>
      </w:r>
      <w:r w:rsidRPr="00B048EB">
        <w:rPr>
          <w:sz w:val="22"/>
          <w:szCs w:val="22"/>
        </w:rPr>
        <w:t>dosahuje maximálne plazmatické koncentrácie približne po 2</w:t>
      </w:r>
      <w:r w:rsidR="000A1421" w:rsidRPr="00B048EB">
        <w:rPr>
          <w:sz w:val="22"/>
          <w:szCs w:val="22"/>
        </w:rPr>
        <w:t xml:space="preserve"> – </w:t>
      </w:r>
      <w:r w:rsidRPr="00B048EB">
        <w:rPr>
          <w:sz w:val="22"/>
          <w:szCs w:val="22"/>
        </w:rPr>
        <w:t>3</w:t>
      </w:r>
      <w:r w:rsidR="001F5C55" w:rsidRPr="00B048EB">
        <w:rPr>
          <w:sz w:val="22"/>
          <w:szCs w:val="22"/>
        </w:rPr>
        <w:t> </w:t>
      </w:r>
      <w:r w:rsidRPr="00B048EB">
        <w:rPr>
          <w:sz w:val="22"/>
          <w:szCs w:val="22"/>
        </w:rPr>
        <w:t xml:space="preserve">hodinách. </w:t>
      </w:r>
      <w:r w:rsidR="007F195F" w:rsidRPr="00B048EB">
        <w:rPr>
          <w:sz w:val="22"/>
          <w:szCs w:val="22"/>
        </w:rPr>
        <w:t>Dávkovanie</w:t>
      </w:r>
      <w:r w:rsidR="00731C93">
        <w:rPr>
          <w:sz w:val="22"/>
          <w:szCs w:val="22"/>
        </w:rPr>
        <w:t xml:space="preserve"> s </w:t>
      </w:r>
      <w:r w:rsidR="007F195F" w:rsidRPr="00B048EB">
        <w:rPr>
          <w:sz w:val="22"/>
          <w:szCs w:val="22"/>
        </w:rPr>
        <w:t xml:space="preserve">jedlom (s vysokým obsahom tuku) </w:t>
      </w:r>
      <w:r w:rsidR="009E23A2">
        <w:rPr>
          <w:sz w:val="22"/>
          <w:szCs w:val="22"/>
        </w:rPr>
        <w:t>oneskoru</w:t>
      </w:r>
      <w:r w:rsidR="007F195F" w:rsidRPr="00B048EB">
        <w:rPr>
          <w:sz w:val="22"/>
          <w:szCs w:val="22"/>
        </w:rPr>
        <w:t>je absorpciu celekoxibu</w:t>
      </w:r>
      <w:r w:rsidR="009E23A2">
        <w:rPr>
          <w:sz w:val="22"/>
          <w:szCs w:val="22"/>
        </w:rPr>
        <w:t xml:space="preserve"> asi o 1 hodinu</w:t>
      </w:r>
      <w:r w:rsidR="007F195F" w:rsidRPr="00B048EB">
        <w:rPr>
          <w:sz w:val="22"/>
          <w:szCs w:val="22"/>
        </w:rPr>
        <w:t>, čo vedie k dosiahnutiu hodnoty času T</w:t>
      </w:r>
      <w:r w:rsidR="007F195F" w:rsidRPr="00B048EB">
        <w:rPr>
          <w:sz w:val="22"/>
          <w:szCs w:val="22"/>
          <w:vertAlign w:val="subscript"/>
        </w:rPr>
        <w:t>max</w:t>
      </w:r>
      <w:r w:rsidR="007F195F" w:rsidRPr="00B048EB">
        <w:rPr>
          <w:sz w:val="22"/>
          <w:szCs w:val="22"/>
        </w:rPr>
        <w:t xml:space="preserve"> </w:t>
      </w:r>
      <w:r w:rsidR="009E23A2">
        <w:rPr>
          <w:sz w:val="22"/>
          <w:szCs w:val="22"/>
        </w:rPr>
        <w:t xml:space="preserve">za </w:t>
      </w:r>
      <w:r w:rsidR="007F195F" w:rsidRPr="00B048EB">
        <w:rPr>
          <w:sz w:val="22"/>
          <w:szCs w:val="22"/>
        </w:rPr>
        <w:t>4 hodiny</w:t>
      </w:r>
      <w:r w:rsidR="00731C93">
        <w:rPr>
          <w:sz w:val="22"/>
          <w:szCs w:val="22"/>
        </w:rPr>
        <w:t xml:space="preserve"> a </w:t>
      </w:r>
      <w:r w:rsidR="007F195F" w:rsidRPr="00B048EB">
        <w:rPr>
          <w:sz w:val="22"/>
          <w:szCs w:val="22"/>
        </w:rPr>
        <w:t>zvyšuje biologickú dostupnosť približne</w:t>
      </w:r>
      <w:r w:rsidR="00731C93">
        <w:rPr>
          <w:sz w:val="22"/>
          <w:szCs w:val="22"/>
        </w:rPr>
        <w:t xml:space="preserve"> o </w:t>
      </w:r>
      <w:r w:rsidR="007F195F" w:rsidRPr="00B048EB">
        <w:rPr>
          <w:sz w:val="22"/>
          <w:szCs w:val="22"/>
        </w:rPr>
        <w:t>20 %.</w:t>
      </w:r>
    </w:p>
    <w:p w14:paraId="0B373E7C" w14:textId="77777777" w:rsidR="007F195F" w:rsidRPr="00B048EB" w:rsidRDefault="007F195F" w:rsidP="007F195F">
      <w:pPr>
        <w:tabs>
          <w:tab w:val="left" w:pos="567"/>
        </w:tabs>
        <w:rPr>
          <w:sz w:val="22"/>
          <w:szCs w:val="22"/>
        </w:rPr>
      </w:pPr>
    </w:p>
    <w:p w14:paraId="6164C8D4" w14:textId="729A5F34" w:rsidR="007F195F" w:rsidRPr="00B048EB" w:rsidRDefault="007F195F" w:rsidP="007F195F">
      <w:pPr>
        <w:tabs>
          <w:tab w:val="left" w:pos="567"/>
        </w:tabs>
        <w:rPr>
          <w:sz w:val="22"/>
          <w:szCs w:val="22"/>
        </w:rPr>
      </w:pPr>
      <w:r w:rsidRPr="00B048EB">
        <w:rPr>
          <w:sz w:val="22"/>
          <w:szCs w:val="22"/>
        </w:rPr>
        <w:t>U zdravých dospelých dobrovoľníkov bola celková systémová expozícia (AUC) celekoxibu pri podávaní</w:t>
      </w:r>
      <w:r w:rsidR="00731C93">
        <w:rPr>
          <w:sz w:val="22"/>
          <w:szCs w:val="22"/>
        </w:rPr>
        <w:t xml:space="preserve"> v </w:t>
      </w:r>
      <w:r w:rsidRPr="00B048EB">
        <w:rPr>
          <w:sz w:val="22"/>
          <w:szCs w:val="22"/>
        </w:rPr>
        <w:t>neporušenej kapsule ekvivalentná expozícii po konzumácii jablkovej šťavy posypanej obsahom kapsuly. Po vysypaní obsahu kapsuly na jablkovú šťavu neboli zistené žiadne významné zmeny</w:t>
      </w:r>
      <w:r w:rsidR="00731C93">
        <w:rPr>
          <w:sz w:val="22"/>
          <w:szCs w:val="22"/>
        </w:rPr>
        <w:t xml:space="preserve"> v </w:t>
      </w:r>
      <w:r w:rsidRPr="00B048EB">
        <w:rPr>
          <w:sz w:val="22"/>
          <w:szCs w:val="22"/>
        </w:rPr>
        <w:t>hodnotách C</w:t>
      </w:r>
      <w:r w:rsidRPr="00B048EB">
        <w:rPr>
          <w:sz w:val="22"/>
          <w:szCs w:val="22"/>
          <w:vertAlign w:val="subscript"/>
        </w:rPr>
        <w:t>max</w:t>
      </w:r>
      <w:r w:rsidRPr="00B048EB">
        <w:rPr>
          <w:sz w:val="22"/>
          <w:szCs w:val="22"/>
        </w:rPr>
        <w:t>, T</w:t>
      </w:r>
      <w:r w:rsidRPr="00B048EB">
        <w:rPr>
          <w:sz w:val="22"/>
          <w:szCs w:val="22"/>
          <w:vertAlign w:val="subscript"/>
        </w:rPr>
        <w:t>max</w:t>
      </w:r>
      <w:r w:rsidRPr="00B048EB">
        <w:rPr>
          <w:sz w:val="22"/>
          <w:szCs w:val="22"/>
        </w:rPr>
        <w:t>, ani T</w:t>
      </w:r>
      <w:r w:rsidRPr="00B048EB">
        <w:rPr>
          <w:sz w:val="22"/>
          <w:szCs w:val="22"/>
          <w:vertAlign w:val="subscript"/>
        </w:rPr>
        <w:t>1/2</w:t>
      </w:r>
      <w:r w:rsidRPr="00B048EB">
        <w:rPr>
          <w:sz w:val="22"/>
          <w:szCs w:val="22"/>
        </w:rPr>
        <w:t>.</w:t>
      </w:r>
    </w:p>
    <w:p w14:paraId="7279462D" w14:textId="77777777" w:rsidR="00FA71B4" w:rsidRDefault="00FA71B4" w:rsidP="00F31FEF">
      <w:pPr>
        <w:tabs>
          <w:tab w:val="left" w:pos="567"/>
        </w:tabs>
        <w:rPr>
          <w:bCs/>
          <w:sz w:val="22"/>
          <w:szCs w:val="22"/>
        </w:rPr>
      </w:pPr>
    </w:p>
    <w:p w14:paraId="31863265" w14:textId="77777777" w:rsidR="007F195F" w:rsidRDefault="007F195F" w:rsidP="004B560F">
      <w:pPr>
        <w:keepNext/>
        <w:tabs>
          <w:tab w:val="left" w:pos="567"/>
        </w:tabs>
        <w:rPr>
          <w:bCs/>
          <w:sz w:val="22"/>
          <w:szCs w:val="22"/>
        </w:rPr>
      </w:pPr>
      <w:r w:rsidRPr="007F195F">
        <w:rPr>
          <w:bCs/>
          <w:sz w:val="22"/>
          <w:szCs w:val="22"/>
          <w:u w:val="single"/>
        </w:rPr>
        <w:t>Distribúcia</w:t>
      </w:r>
    </w:p>
    <w:p w14:paraId="044824E3" w14:textId="77C69BFF" w:rsidR="007F195F" w:rsidRDefault="009E23A2" w:rsidP="00F31FEF">
      <w:pPr>
        <w:tabs>
          <w:tab w:val="left" w:pos="567"/>
        </w:tabs>
        <w:rPr>
          <w:bCs/>
          <w:sz w:val="22"/>
          <w:szCs w:val="22"/>
        </w:rPr>
      </w:pPr>
      <w:r>
        <w:rPr>
          <w:sz w:val="22"/>
          <w:szCs w:val="22"/>
        </w:rPr>
        <w:t xml:space="preserve">Väzba na plazmatické bielkoviny je približne 97% </w:t>
      </w:r>
      <w:r w:rsidR="007F195F" w:rsidRPr="00B048EB">
        <w:rPr>
          <w:sz w:val="22"/>
          <w:szCs w:val="22"/>
        </w:rPr>
        <w:t>pri terapeutick</w:t>
      </w:r>
      <w:r>
        <w:rPr>
          <w:sz w:val="22"/>
          <w:szCs w:val="22"/>
        </w:rPr>
        <w:t xml:space="preserve">ých </w:t>
      </w:r>
      <w:r w:rsidR="007F195F" w:rsidRPr="00B048EB">
        <w:rPr>
          <w:sz w:val="22"/>
          <w:szCs w:val="22"/>
        </w:rPr>
        <w:t>plazmatick</w:t>
      </w:r>
      <w:r>
        <w:rPr>
          <w:sz w:val="22"/>
          <w:szCs w:val="22"/>
        </w:rPr>
        <w:t>ých</w:t>
      </w:r>
      <w:r w:rsidR="007F195F" w:rsidRPr="00B048EB">
        <w:rPr>
          <w:sz w:val="22"/>
          <w:szCs w:val="22"/>
        </w:rPr>
        <w:t xml:space="preserve"> koncentráci</w:t>
      </w:r>
      <w:r>
        <w:rPr>
          <w:sz w:val="22"/>
          <w:szCs w:val="22"/>
        </w:rPr>
        <w:t>ách</w:t>
      </w:r>
      <w:r w:rsidR="00731C93">
        <w:rPr>
          <w:sz w:val="22"/>
          <w:szCs w:val="22"/>
        </w:rPr>
        <w:t xml:space="preserve"> a </w:t>
      </w:r>
      <w:r>
        <w:rPr>
          <w:sz w:val="22"/>
          <w:szCs w:val="22"/>
        </w:rPr>
        <w:t xml:space="preserve">liek sa </w:t>
      </w:r>
      <w:r w:rsidR="007F195F" w:rsidRPr="00B048EB">
        <w:rPr>
          <w:sz w:val="22"/>
          <w:szCs w:val="22"/>
        </w:rPr>
        <w:t>neviaže sa prednostne na erytrocyty.</w:t>
      </w:r>
    </w:p>
    <w:p w14:paraId="5EBBC3EC" w14:textId="77777777" w:rsidR="007F195F" w:rsidRPr="00B048EB" w:rsidRDefault="007F195F" w:rsidP="00F31FEF">
      <w:pPr>
        <w:tabs>
          <w:tab w:val="left" w:pos="567"/>
        </w:tabs>
        <w:rPr>
          <w:bCs/>
          <w:sz w:val="22"/>
          <w:szCs w:val="22"/>
        </w:rPr>
      </w:pPr>
    </w:p>
    <w:p w14:paraId="64581C0F" w14:textId="77777777" w:rsidR="00FA71B4" w:rsidRPr="00B048EB" w:rsidRDefault="00FA71B4" w:rsidP="00370DBB">
      <w:pPr>
        <w:keepNext/>
        <w:tabs>
          <w:tab w:val="left" w:pos="567"/>
        </w:tabs>
        <w:rPr>
          <w:bCs/>
          <w:sz w:val="22"/>
          <w:szCs w:val="22"/>
          <w:u w:val="single"/>
        </w:rPr>
      </w:pPr>
      <w:r w:rsidRPr="00B048EB">
        <w:rPr>
          <w:bCs/>
          <w:sz w:val="22"/>
          <w:szCs w:val="22"/>
          <w:u w:val="single"/>
        </w:rPr>
        <w:t>Biotransformácia</w:t>
      </w:r>
    </w:p>
    <w:p w14:paraId="233957CC" w14:textId="64337CFE" w:rsidR="00FA71B4" w:rsidRPr="00B048EB" w:rsidRDefault="00FA71B4" w:rsidP="00370DBB">
      <w:pPr>
        <w:keepNext/>
        <w:tabs>
          <w:tab w:val="left" w:pos="567"/>
        </w:tabs>
        <w:rPr>
          <w:bCs/>
          <w:sz w:val="22"/>
          <w:szCs w:val="22"/>
        </w:rPr>
      </w:pPr>
      <w:r w:rsidRPr="00B048EB">
        <w:rPr>
          <w:caps/>
          <w:sz w:val="22"/>
          <w:szCs w:val="22"/>
        </w:rPr>
        <w:t>C</w:t>
      </w:r>
      <w:r w:rsidRPr="00B048EB">
        <w:rPr>
          <w:sz w:val="22"/>
          <w:szCs w:val="22"/>
        </w:rPr>
        <w:t>elekoxib</w:t>
      </w:r>
      <w:r w:rsidRPr="00B048EB">
        <w:rPr>
          <w:b/>
          <w:sz w:val="22"/>
          <w:szCs w:val="22"/>
        </w:rPr>
        <w:t xml:space="preserve"> </w:t>
      </w:r>
      <w:r w:rsidRPr="00B048EB">
        <w:rPr>
          <w:bCs/>
          <w:sz w:val="22"/>
          <w:szCs w:val="22"/>
        </w:rPr>
        <w:t>sa metabolizuje predovšetkým prostredníctvom cytochrómu P450 2C9. Zistili sa tri metabolity, neaktívne ako COX-1 alebo COX-2 inbibítory v ľudskej plazme,</w:t>
      </w:r>
      <w:r w:rsidR="00731C93">
        <w:rPr>
          <w:bCs/>
          <w:sz w:val="22"/>
          <w:szCs w:val="22"/>
        </w:rPr>
        <w:t xml:space="preserve"> a </w:t>
      </w:r>
      <w:r w:rsidRPr="00B048EB">
        <w:rPr>
          <w:bCs/>
          <w:sz w:val="22"/>
          <w:szCs w:val="22"/>
        </w:rPr>
        <w:t>to primárny alkohol, zodpovedajúca kyselina karboxylová</w:t>
      </w:r>
      <w:r w:rsidR="00731C93">
        <w:rPr>
          <w:bCs/>
          <w:sz w:val="22"/>
          <w:szCs w:val="22"/>
        </w:rPr>
        <w:t xml:space="preserve"> a </w:t>
      </w:r>
      <w:r w:rsidRPr="00B048EB">
        <w:rPr>
          <w:bCs/>
          <w:sz w:val="22"/>
          <w:szCs w:val="22"/>
        </w:rPr>
        <w:t>jej glukuronidové konjugáty.</w:t>
      </w:r>
    </w:p>
    <w:p w14:paraId="69E9F99C" w14:textId="77777777" w:rsidR="00FA71B4" w:rsidRPr="00B048EB" w:rsidRDefault="00FA71B4" w:rsidP="000F2C6E">
      <w:pPr>
        <w:tabs>
          <w:tab w:val="left" w:pos="567"/>
        </w:tabs>
        <w:rPr>
          <w:bCs/>
          <w:sz w:val="22"/>
          <w:szCs w:val="22"/>
        </w:rPr>
      </w:pPr>
    </w:p>
    <w:p w14:paraId="5019C0F8" w14:textId="414F8529" w:rsidR="00FA71B4" w:rsidRPr="00B048EB" w:rsidRDefault="00FA71B4" w:rsidP="000F2C6E">
      <w:pPr>
        <w:tabs>
          <w:tab w:val="left" w:pos="567"/>
        </w:tabs>
        <w:rPr>
          <w:bCs/>
          <w:sz w:val="22"/>
          <w:szCs w:val="22"/>
        </w:rPr>
      </w:pPr>
      <w:r w:rsidRPr="00B048EB">
        <w:rPr>
          <w:bCs/>
          <w:sz w:val="22"/>
          <w:szCs w:val="22"/>
        </w:rPr>
        <w:t>Aktivita cytochrómu P450 2C9 je redukovaná</w:t>
      </w:r>
      <w:r w:rsidR="00731C93">
        <w:rPr>
          <w:bCs/>
          <w:sz w:val="22"/>
          <w:szCs w:val="22"/>
        </w:rPr>
        <w:t xml:space="preserve"> u </w:t>
      </w:r>
      <w:r w:rsidRPr="00B048EB">
        <w:rPr>
          <w:bCs/>
          <w:sz w:val="22"/>
          <w:szCs w:val="22"/>
        </w:rPr>
        <w:t>jednotlivcov s genetickým polymorfizmom vedúcim k redukcii enzymatickej aktivity ako</w:t>
      </w:r>
      <w:r w:rsidR="00731C93">
        <w:rPr>
          <w:bCs/>
          <w:sz w:val="22"/>
          <w:szCs w:val="22"/>
        </w:rPr>
        <w:t xml:space="preserve"> u </w:t>
      </w:r>
      <w:r w:rsidRPr="00B048EB">
        <w:rPr>
          <w:bCs/>
          <w:sz w:val="22"/>
          <w:szCs w:val="22"/>
        </w:rPr>
        <w:t xml:space="preserve">jednotlivcov s homozygotným polymorfizmom pre CYP2C9*3. </w:t>
      </w:r>
    </w:p>
    <w:p w14:paraId="070CC822" w14:textId="77777777" w:rsidR="00FA71B4" w:rsidRPr="00B048EB" w:rsidRDefault="00FA71B4" w:rsidP="000F2C6E">
      <w:pPr>
        <w:tabs>
          <w:tab w:val="left" w:pos="567"/>
        </w:tabs>
        <w:rPr>
          <w:bCs/>
          <w:sz w:val="22"/>
          <w:szCs w:val="22"/>
        </w:rPr>
      </w:pPr>
    </w:p>
    <w:p w14:paraId="10667242" w14:textId="55890AEF" w:rsidR="00FA71B4" w:rsidRPr="00B048EB" w:rsidRDefault="00FA71B4" w:rsidP="000F2C6E">
      <w:pPr>
        <w:tabs>
          <w:tab w:val="left" w:pos="567"/>
        </w:tabs>
        <w:rPr>
          <w:bCs/>
          <w:sz w:val="22"/>
          <w:szCs w:val="22"/>
        </w:rPr>
      </w:pPr>
      <w:r w:rsidRPr="00B048EB">
        <w:rPr>
          <w:bCs/>
          <w:sz w:val="22"/>
          <w:szCs w:val="22"/>
        </w:rPr>
        <w:t>Vo farmakokinetickej štúdii celekoxibu v dávke 200</w:t>
      </w:r>
      <w:r w:rsidR="00946ECA">
        <w:rPr>
          <w:bCs/>
          <w:sz w:val="22"/>
          <w:szCs w:val="22"/>
        </w:rPr>
        <w:t xml:space="preserve"> mg </w:t>
      </w:r>
      <w:r w:rsidRPr="00B048EB">
        <w:rPr>
          <w:bCs/>
          <w:sz w:val="22"/>
          <w:szCs w:val="22"/>
        </w:rPr>
        <w:t>podanej jedenkrát denne zdravým dobrovoľníkom s genotypom buď CAP2C9*1/*1, CYP2C9*1/*3 alebo CYP2C9*3/*3 bol medián C</w:t>
      </w:r>
      <w:r w:rsidRPr="00B048EB">
        <w:rPr>
          <w:bCs/>
          <w:sz w:val="22"/>
          <w:szCs w:val="22"/>
          <w:vertAlign w:val="subscript"/>
        </w:rPr>
        <w:t>max</w:t>
      </w:r>
      <w:r w:rsidR="00731C93">
        <w:rPr>
          <w:bCs/>
          <w:sz w:val="22"/>
          <w:szCs w:val="22"/>
        </w:rPr>
        <w:t xml:space="preserve"> a </w:t>
      </w:r>
      <w:r w:rsidRPr="00B048EB">
        <w:rPr>
          <w:bCs/>
          <w:sz w:val="22"/>
          <w:szCs w:val="22"/>
        </w:rPr>
        <w:t>AUC</w:t>
      </w:r>
      <w:r w:rsidRPr="00B048EB">
        <w:rPr>
          <w:bCs/>
          <w:sz w:val="22"/>
          <w:szCs w:val="22"/>
          <w:vertAlign w:val="subscript"/>
        </w:rPr>
        <w:t>0</w:t>
      </w:r>
      <w:r w:rsidR="0079643A" w:rsidRPr="00B048EB">
        <w:rPr>
          <w:bCs/>
          <w:sz w:val="22"/>
          <w:szCs w:val="22"/>
          <w:vertAlign w:val="subscript"/>
        </w:rPr>
        <w:t>-</w:t>
      </w:r>
      <w:r w:rsidRPr="00B048EB">
        <w:rPr>
          <w:bCs/>
          <w:sz w:val="22"/>
          <w:szCs w:val="22"/>
          <w:vertAlign w:val="subscript"/>
        </w:rPr>
        <w:t>24</w:t>
      </w:r>
      <w:r w:rsidRPr="00B048EB">
        <w:rPr>
          <w:bCs/>
          <w:sz w:val="22"/>
          <w:szCs w:val="22"/>
        </w:rPr>
        <w:t xml:space="preserve"> celekoxibu na 7. </w:t>
      </w:r>
      <w:r w:rsidR="00B048EB" w:rsidRPr="00B048EB">
        <w:rPr>
          <w:bCs/>
          <w:sz w:val="22"/>
          <w:szCs w:val="22"/>
        </w:rPr>
        <w:t>deň</w:t>
      </w:r>
      <w:r w:rsidRPr="00B048EB">
        <w:rPr>
          <w:bCs/>
          <w:sz w:val="22"/>
          <w:szCs w:val="22"/>
        </w:rPr>
        <w:t xml:space="preserve"> priemerne 4-násobný</w:t>
      </w:r>
      <w:r w:rsidR="00731C93">
        <w:rPr>
          <w:bCs/>
          <w:sz w:val="22"/>
          <w:szCs w:val="22"/>
        </w:rPr>
        <w:t xml:space="preserve"> a </w:t>
      </w:r>
      <w:r w:rsidRPr="00B048EB">
        <w:rPr>
          <w:bCs/>
          <w:sz w:val="22"/>
          <w:szCs w:val="22"/>
        </w:rPr>
        <w:t>7-násobný</w:t>
      </w:r>
      <w:r w:rsidR="00731C93">
        <w:rPr>
          <w:bCs/>
          <w:sz w:val="22"/>
          <w:szCs w:val="22"/>
        </w:rPr>
        <w:t xml:space="preserve"> u </w:t>
      </w:r>
      <w:r w:rsidRPr="00B048EB">
        <w:rPr>
          <w:bCs/>
          <w:sz w:val="22"/>
          <w:szCs w:val="22"/>
        </w:rPr>
        <w:t>osôb s genotypom CYP2C9*3/*3 v porovnaní s inými genotypmi. V troch samostatných jednodávkových štúdiách zahŕňajúcich celkovo 5 osôb s genotypom CYP2C9*3/*3 zvýšila jedna dávka AUC</w:t>
      </w:r>
      <w:r w:rsidRPr="00B048EB">
        <w:rPr>
          <w:bCs/>
          <w:sz w:val="22"/>
          <w:szCs w:val="22"/>
          <w:vertAlign w:val="subscript"/>
        </w:rPr>
        <w:t>0-24</w:t>
      </w:r>
      <w:r w:rsidRPr="00B048EB">
        <w:rPr>
          <w:bCs/>
          <w:sz w:val="22"/>
          <w:szCs w:val="22"/>
        </w:rPr>
        <w:t xml:space="preserve"> priemerne 3</w:t>
      </w:r>
      <w:r w:rsidRPr="00B048EB">
        <w:rPr>
          <w:bCs/>
          <w:sz w:val="22"/>
          <w:szCs w:val="22"/>
        </w:rPr>
        <w:noBreakHyphen/>
        <w:t>násobne v porovnaní ku normálnym metabolizérom. Očakáva sa, že frekvencia h</w:t>
      </w:r>
      <w:r w:rsidR="008F75F8">
        <w:rPr>
          <w:bCs/>
          <w:sz w:val="22"/>
          <w:szCs w:val="22"/>
        </w:rPr>
        <w:t>o</w:t>
      </w:r>
      <w:r w:rsidRPr="00B048EB">
        <w:rPr>
          <w:bCs/>
          <w:sz w:val="22"/>
          <w:szCs w:val="22"/>
        </w:rPr>
        <w:t>mozygotného genotypu *3/*3 je 0,3</w:t>
      </w:r>
      <w:r w:rsidR="00F47A4E" w:rsidRPr="00B048EB">
        <w:rPr>
          <w:bCs/>
          <w:sz w:val="22"/>
          <w:szCs w:val="22"/>
        </w:rPr>
        <w:t xml:space="preserve"> – </w:t>
      </w:r>
      <w:r w:rsidRPr="00B048EB">
        <w:rPr>
          <w:bCs/>
          <w:sz w:val="22"/>
          <w:szCs w:val="22"/>
        </w:rPr>
        <w:t>1,0 % medzi rozdielnymi etnickými skupinami.</w:t>
      </w:r>
    </w:p>
    <w:p w14:paraId="453A0067" w14:textId="77777777" w:rsidR="00FA71B4" w:rsidRPr="00B048EB" w:rsidRDefault="00FA71B4" w:rsidP="000F2C6E">
      <w:pPr>
        <w:tabs>
          <w:tab w:val="left" w:pos="567"/>
        </w:tabs>
        <w:rPr>
          <w:bCs/>
          <w:sz w:val="22"/>
          <w:szCs w:val="22"/>
        </w:rPr>
      </w:pPr>
    </w:p>
    <w:p w14:paraId="5D2E529F" w14:textId="587A2DAC" w:rsidR="00FA71B4" w:rsidRPr="00B048EB" w:rsidRDefault="00FA71B4" w:rsidP="000F2C6E">
      <w:pPr>
        <w:tabs>
          <w:tab w:val="left" w:pos="567"/>
        </w:tabs>
        <w:rPr>
          <w:bCs/>
          <w:sz w:val="22"/>
          <w:szCs w:val="22"/>
        </w:rPr>
      </w:pPr>
      <w:r w:rsidRPr="00B048EB">
        <w:rPr>
          <w:bCs/>
          <w:sz w:val="22"/>
          <w:szCs w:val="22"/>
        </w:rPr>
        <w:t>U pacientov,</w:t>
      </w:r>
      <w:r w:rsidR="00731C93">
        <w:rPr>
          <w:bCs/>
          <w:sz w:val="22"/>
          <w:szCs w:val="22"/>
        </w:rPr>
        <w:t xml:space="preserve"> u </w:t>
      </w:r>
      <w:r w:rsidRPr="00B048EB">
        <w:rPr>
          <w:bCs/>
          <w:sz w:val="22"/>
          <w:szCs w:val="22"/>
        </w:rPr>
        <w:t>ktorých je známe alebo sa očakáva, že majú slabú aktivitu CYP2C9 (slabí metabolizéri) založenú na predchádzajúcej anamnéze/skúsenosti s inými substrátmi CYP2C9, sa má celekoxib podávať s opatrnosťou (pozri časť 4.2</w:t>
      </w:r>
      <w:r w:rsidR="00731C93">
        <w:rPr>
          <w:bCs/>
          <w:sz w:val="22"/>
          <w:szCs w:val="22"/>
        </w:rPr>
        <w:t xml:space="preserve"> a </w:t>
      </w:r>
      <w:r w:rsidR="00B72995" w:rsidRPr="00B048EB">
        <w:rPr>
          <w:bCs/>
          <w:sz w:val="22"/>
          <w:szCs w:val="22"/>
        </w:rPr>
        <w:t>4.5</w:t>
      </w:r>
      <w:r w:rsidRPr="00B048EB">
        <w:rPr>
          <w:bCs/>
          <w:sz w:val="22"/>
          <w:szCs w:val="22"/>
        </w:rPr>
        <w:t>).</w:t>
      </w:r>
    </w:p>
    <w:p w14:paraId="55248A7B" w14:textId="77777777" w:rsidR="007F195F" w:rsidRDefault="007F195F" w:rsidP="004327C3">
      <w:pPr>
        <w:tabs>
          <w:tab w:val="left" w:pos="567"/>
        </w:tabs>
        <w:rPr>
          <w:sz w:val="22"/>
          <w:szCs w:val="22"/>
        </w:rPr>
      </w:pPr>
    </w:p>
    <w:p w14:paraId="75E18006" w14:textId="77777777" w:rsidR="00FA71B4" w:rsidRPr="00B048EB" w:rsidRDefault="00FA71B4" w:rsidP="004327C3">
      <w:pPr>
        <w:tabs>
          <w:tab w:val="left" w:pos="567"/>
        </w:tabs>
        <w:rPr>
          <w:sz w:val="22"/>
          <w:szCs w:val="22"/>
        </w:rPr>
      </w:pPr>
      <w:r w:rsidRPr="00B048EB">
        <w:rPr>
          <w:sz w:val="22"/>
          <w:szCs w:val="22"/>
        </w:rPr>
        <w:t>Nezistili sa klinicky významné rozdiely vo farmakokinetických parametroch celekoxibu medzi staršou americkou černošskou populáciou a belochmi.</w:t>
      </w:r>
    </w:p>
    <w:p w14:paraId="66F9633C" w14:textId="77777777" w:rsidR="00FA71B4" w:rsidRPr="00B048EB" w:rsidRDefault="00FA71B4" w:rsidP="004327C3">
      <w:pPr>
        <w:tabs>
          <w:tab w:val="left" w:pos="567"/>
        </w:tabs>
        <w:rPr>
          <w:sz w:val="22"/>
          <w:szCs w:val="22"/>
        </w:rPr>
      </w:pPr>
    </w:p>
    <w:p w14:paraId="0860D4C9" w14:textId="6236FC65" w:rsidR="00FA71B4" w:rsidRPr="00B048EB" w:rsidRDefault="00FA71B4" w:rsidP="004327C3">
      <w:pPr>
        <w:tabs>
          <w:tab w:val="left" w:pos="567"/>
        </w:tabs>
        <w:rPr>
          <w:bCs/>
          <w:sz w:val="22"/>
          <w:szCs w:val="22"/>
        </w:rPr>
      </w:pPr>
      <w:r w:rsidRPr="00B048EB">
        <w:rPr>
          <w:sz w:val="22"/>
          <w:szCs w:val="22"/>
        </w:rPr>
        <w:t>Staršie ženy (&gt;</w:t>
      </w:r>
      <w:r w:rsidR="001F5C55" w:rsidRPr="00B048EB">
        <w:rPr>
          <w:sz w:val="22"/>
          <w:szCs w:val="22"/>
        </w:rPr>
        <w:t xml:space="preserve"> </w:t>
      </w:r>
      <w:r w:rsidRPr="00B048EB">
        <w:rPr>
          <w:sz w:val="22"/>
          <w:szCs w:val="22"/>
        </w:rPr>
        <w:t xml:space="preserve">65 rokov) majú </w:t>
      </w:r>
      <w:r w:rsidRPr="00B048EB">
        <w:rPr>
          <w:bCs/>
          <w:sz w:val="22"/>
          <w:szCs w:val="22"/>
        </w:rPr>
        <w:t>plazmatickú koncentráciu celekoxibu zvýšenú približne o 100 %.</w:t>
      </w:r>
    </w:p>
    <w:p w14:paraId="05CFCA49" w14:textId="5D1BC70B" w:rsidR="00FA71B4" w:rsidRPr="00B048EB" w:rsidRDefault="00FA71B4" w:rsidP="004327C3">
      <w:pPr>
        <w:tabs>
          <w:tab w:val="left" w:pos="567"/>
        </w:tabs>
        <w:rPr>
          <w:bCs/>
          <w:sz w:val="22"/>
          <w:szCs w:val="22"/>
        </w:rPr>
      </w:pPr>
    </w:p>
    <w:p w14:paraId="0F900CE4" w14:textId="5A951D91" w:rsidR="00FA71B4" w:rsidRPr="00B048EB" w:rsidRDefault="00FA71B4" w:rsidP="00934323">
      <w:pPr>
        <w:tabs>
          <w:tab w:val="left" w:pos="567"/>
        </w:tabs>
        <w:rPr>
          <w:bCs/>
          <w:sz w:val="22"/>
          <w:szCs w:val="22"/>
        </w:rPr>
      </w:pPr>
      <w:r w:rsidRPr="00B048EB">
        <w:rPr>
          <w:bCs/>
          <w:sz w:val="22"/>
          <w:szCs w:val="22"/>
        </w:rPr>
        <w:t>V porovnaní</w:t>
      </w:r>
      <w:r w:rsidR="00731C93">
        <w:rPr>
          <w:bCs/>
          <w:sz w:val="22"/>
          <w:szCs w:val="22"/>
        </w:rPr>
        <w:t xml:space="preserve"> s </w:t>
      </w:r>
      <w:r w:rsidRPr="00B048EB">
        <w:rPr>
          <w:bCs/>
          <w:sz w:val="22"/>
          <w:szCs w:val="22"/>
        </w:rPr>
        <w:t xml:space="preserve">osobami s normálnou funkciou pečene </w:t>
      </w:r>
      <w:r w:rsidRPr="00B048EB">
        <w:rPr>
          <w:sz w:val="22"/>
          <w:szCs w:val="22"/>
        </w:rPr>
        <w:t>majú pacienti s miern</w:t>
      </w:r>
      <w:r w:rsidR="001F5C55" w:rsidRPr="00B048EB">
        <w:rPr>
          <w:sz w:val="22"/>
          <w:szCs w:val="22"/>
        </w:rPr>
        <w:t>ou</w:t>
      </w:r>
      <w:r w:rsidRPr="00B048EB">
        <w:rPr>
          <w:sz w:val="22"/>
          <w:szCs w:val="22"/>
        </w:rPr>
        <w:t xml:space="preserve"> po</w:t>
      </w:r>
      <w:r w:rsidR="001F5C55" w:rsidRPr="00B048EB">
        <w:rPr>
          <w:sz w:val="22"/>
          <w:szCs w:val="22"/>
        </w:rPr>
        <w:t>ruchou</w:t>
      </w:r>
      <w:r w:rsidRPr="00B048EB">
        <w:rPr>
          <w:sz w:val="22"/>
          <w:szCs w:val="22"/>
        </w:rPr>
        <w:t xml:space="preserve"> funkcie </w:t>
      </w:r>
      <w:r w:rsidRPr="00B048EB">
        <w:rPr>
          <w:sz w:val="22"/>
          <w:szCs w:val="22"/>
        </w:rPr>
        <w:lastRenderedPageBreak/>
        <w:t>pečene zvýšenie C</w:t>
      </w:r>
      <w:r w:rsidRPr="00B048EB">
        <w:rPr>
          <w:sz w:val="22"/>
          <w:szCs w:val="22"/>
          <w:vertAlign w:val="subscript"/>
        </w:rPr>
        <w:t>max</w:t>
      </w:r>
      <w:r w:rsidRPr="00B048EB">
        <w:rPr>
          <w:sz w:val="22"/>
          <w:szCs w:val="22"/>
        </w:rPr>
        <w:t xml:space="preserve"> celekoxibu priemerne o 53 % a AUC priemerne o 26 %.</w:t>
      </w:r>
      <w:r w:rsidRPr="00B048EB">
        <w:rPr>
          <w:bCs/>
          <w:sz w:val="22"/>
          <w:szCs w:val="22"/>
        </w:rPr>
        <w:t xml:space="preserve"> Zodpovedajúce hodnoty</w:t>
      </w:r>
      <w:r w:rsidR="00731C93">
        <w:rPr>
          <w:bCs/>
          <w:sz w:val="22"/>
          <w:szCs w:val="22"/>
        </w:rPr>
        <w:t xml:space="preserve"> u </w:t>
      </w:r>
      <w:r w:rsidRPr="00B048EB">
        <w:rPr>
          <w:bCs/>
          <w:sz w:val="22"/>
          <w:szCs w:val="22"/>
        </w:rPr>
        <w:t>pacientov so stredne ťažk</w:t>
      </w:r>
      <w:r w:rsidR="001F5C55" w:rsidRPr="00B048EB">
        <w:rPr>
          <w:bCs/>
          <w:sz w:val="22"/>
          <w:szCs w:val="22"/>
        </w:rPr>
        <w:t>ou</w:t>
      </w:r>
      <w:r w:rsidRPr="00B048EB">
        <w:rPr>
          <w:bCs/>
          <w:sz w:val="22"/>
          <w:szCs w:val="22"/>
        </w:rPr>
        <w:t xml:space="preserve"> </w:t>
      </w:r>
      <w:r w:rsidRPr="00B048EB">
        <w:rPr>
          <w:sz w:val="22"/>
          <w:szCs w:val="22"/>
        </w:rPr>
        <w:t>po</w:t>
      </w:r>
      <w:r w:rsidR="001F5C55" w:rsidRPr="00B048EB">
        <w:rPr>
          <w:sz w:val="22"/>
          <w:szCs w:val="22"/>
        </w:rPr>
        <w:t>ruchou</w:t>
      </w:r>
      <w:r w:rsidRPr="00B048EB">
        <w:rPr>
          <w:bCs/>
          <w:sz w:val="22"/>
          <w:szCs w:val="22"/>
        </w:rPr>
        <w:t xml:space="preserve"> funkcie pečene boli 41 %</w:t>
      </w:r>
      <w:r w:rsidR="00731C93">
        <w:rPr>
          <w:bCs/>
          <w:sz w:val="22"/>
          <w:szCs w:val="22"/>
        </w:rPr>
        <w:t xml:space="preserve"> a </w:t>
      </w:r>
      <w:r w:rsidRPr="00B048EB">
        <w:rPr>
          <w:bCs/>
          <w:sz w:val="22"/>
          <w:szCs w:val="22"/>
        </w:rPr>
        <w:t>146 %. Metabolická kapacita u</w:t>
      </w:r>
      <w:r w:rsidR="001F5C55" w:rsidRPr="00B048EB">
        <w:rPr>
          <w:bCs/>
          <w:sz w:val="22"/>
          <w:szCs w:val="22"/>
        </w:rPr>
        <w:t> </w:t>
      </w:r>
      <w:r w:rsidRPr="00B048EB">
        <w:rPr>
          <w:bCs/>
          <w:sz w:val="22"/>
          <w:szCs w:val="22"/>
        </w:rPr>
        <w:t>pacientov s miern</w:t>
      </w:r>
      <w:r w:rsidR="008F75F8">
        <w:rPr>
          <w:bCs/>
          <w:sz w:val="22"/>
          <w:szCs w:val="22"/>
        </w:rPr>
        <w:t>ou</w:t>
      </w:r>
      <w:r w:rsidRPr="00B048EB">
        <w:rPr>
          <w:bCs/>
          <w:sz w:val="22"/>
          <w:szCs w:val="22"/>
        </w:rPr>
        <w:t xml:space="preserve"> až stredne </w:t>
      </w:r>
      <w:r w:rsidR="008F75F8">
        <w:rPr>
          <w:bCs/>
          <w:sz w:val="22"/>
          <w:szCs w:val="22"/>
        </w:rPr>
        <w:t>závažnou</w:t>
      </w:r>
      <w:r w:rsidRPr="00B048EB">
        <w:rPr>
          <w:bCs/>
          <w:sz w:val="22"/>
          <w:szCs w:val="22"/>
        </w:rPr>
        <w:t xml:space="preserve"> </w:t>
      </w:r>
      <w:r w:rsidRPr="00B048EB">
        <w:rPr>
          <w:sz w:val="22"/>
          <w:szCs w:val="22"/>
        </w:rPr>
        <w:t>po</w:t>
      </w:r>
      <w:r w:rsidR="001F5C55" w:rsidRPr="00B048EB">
        <w:rPr>
          <w:sz w:val="22"/>
          <w:szCs w:val="22"/>
        </w:rPr>
        <w:t>ruchou funkcie</w:t>
      </w:r>
      <w:r w:rsidRPr="00B048EB">
        <w:rPr>
          <w:bCs/>
          <w:sz w:val="22"/>
          <w:szCs w:val="22"/>
        </w:rPr>
        <w:t xml:space="preserve"> </w:t>
      </w:r>
      <w:r w:rsidR="008F75F8">
        <w:rPr>
          <w:bCs/>
          <w:sz w:val="22"/>
          <w:szCs w:val="22"/>
        </w:rPr>
        <w:t xml:space="preserve">pečene </w:t>
      </w:r>
      <w:r w:rsidRPr="00B048EB">
        <w:rPr>
          <w:bCs/>
          <w:sz w:val="22"/>
          <w:szCs w:val="22"/>
        </w:rPr>
        <w:t>najlepšie korelovala s hodnotami ich albumínov. U</w:t>
      </w:r>
      <w:r w:rsidR="00731C93">
        <w:rPr>
          <w:bCs/>
          <w:sz w:val="22"/>
          <w:szCs w:val="22"/>
        </w:rPr>
        <w:t> </w:t>
      </w:r>
      <w:r w:rsidRPr="00B048EB">
        <w:rPr>
          <w:bCs/>
          <w:sz w:val="22"/>
          <w:szCs w:val="22"/>
        </w:rPr>
        <w:t xml:space="preserve">pacientov so stredne </w:t>
      </w:r>
      <w:r w:rsidR="008F75F8">
        <w:rPr>
          <w:bCs/>
          <w:sz w:val="22"/>
          <w:szCs w:val="22"/>
        </w:rPr>
        <w:t>závažnou</w:t>
      </w:r>
      <w:r w:rsidR="001F5C55" w:rsidRPr="00B048EB">
        <w:rPr>
          <w:bCs/>
          <w:sz w:val="22"/>
          <w:szCs w:val="22"/>
        </w:rPr>
        <w:t xml:space="preserve"> </w:t>
      </w:r>
      <w:r w:rsidRPr="00B048EB">
        <w:rPr>
          <w:bCs/>
          <w:sz w:val="22"/>
          <w:szCs w:val="22"/>
        </w:rPr>
        <w:t>po</w:t>
      </w:r>
      <w:r w:rsidR="001F5C55" w:rsidRPr="00B048EB">
        <w:rPr>
          <w:bCs/>
          <w:sz w:val="22"/>
          <w:szCs w:val="22"/>
        </w:rPr>
        <w:t>ruchou</w:t>
      </w:r>
      <w:r w:rsidRPr="00B048EB">
        <w:rPr>
          <w:bCs/>
          <w:sz w:val="22"/>
          <w:szCs w:val="22"/>
        </w:rPr>
        <w:t xml:space="preserve"> funkcie pečene (sérový albumín 25</w:t>
      </w:r>
      <w:r w:rsidR="00F47A4E" w:rsidRPr="00B048EB">
        <w:rPr>
          <w:bCs/>
          <w:sz w:val="22"/>
          <w:szCs w:val="22"/>
        </w:rPr>
        <w:t xml:space="preserve"> – </w:t>
      </w:r>
      <w:r w:rsidRPr="00B048EB">
        <w:rPr>
          <w:bCs/>
          <w:sz w:val="22"/>
          <w:szCs w:val="22"/>
        </w:rPr>
        <w:t>35 g/l) sa má liečba začať polovicou odporúčanej dávky. Pacienti s</w:t>
      </w:r>
      <w:r w:rsidR="008F75F8">
        <w:rPr>
          <w:bCs/>
          <w:sz w:val="22"/>
          <w:szCs w:val="22"/>
        </w:rPr>
        <w:t xml:space="preserve">o závažnou </w:t>
      </w:r>
      <w:r w:rsidRPr="00B048EB">
        <w:rPr>
          <w:bCs/>
          <w:sz w:val="22"/>
          <w:szCs w:val="22"/>
        </w:rPr>
        <w:t>po</w:t>
      </w:r>
      <w:r w:rsidR="001F5C55" w:rsidRPr="00B048EB">
        <w:rPr>
          <w:bCs/>
          <w:sz w:val="22"/>
          <w:szCs w:val="22"/>
        </w:rPr>
        <w:t>ruchou</w:t>
      </w:r>
      <w:r w:rsidRPr="00B048EB">
        <w:rPr>
          <w:bCs/>
          <w:sz w:val="22"/>
          <w:szCs w:val="22"/>
        </w:rPr>
        <w:t xml:space="preserve"> funkcie pečene (sérový albumín &lt;</w:t>
      </w:r>
      <w:r w:rsidR="001F5C55" w:rsidRPr="00B048EB">
        <w:rPr>
          <w:bCs/>
          <w:sz w:val="22"/>
          <w:szCs w:val="22"/>
        </w:rPr>
        <w:t xml:space="preserve"> </w:t>
      </w:r>
      <w:r w:rsidRPr="00B048EB">
        <w:rPr>
          <w:bCs/>
          <w:sz w:val="22"/>
          <w:szCs w:val="22"/>
        </w:rPr>
        <w:t>25 g/l) neboli skúmaní,</w:t>
      </w:r>
      <w:r w:rsidR="00731C93">
        <w:rPr>
          <w:bCs/>
          <w:sz w:val="22"/>
          <w:szCs w:val="22"/>
        </w:rPr>
        <w:t xml:space="preserve"> a </w:t>
      </w:r>
      <w:r w:rsidRPr="00B048EB">
        <w:rPr>
          <w:bCs/>
          <w:sz w:val="22"/>
          <w:szCs w:val="22"/>
        </w:rPr>
        <w:t xml:space="preserve">preto je </w:t>
      </w:r>
      <w:r w:rsidRPr="00B048EB">
        <w:rPr>
          <w:sz w:val="22"/>
          <w:szCs w:val="22"/>
        </w:rPr>
        <w:t>celekoxib</w:t>
      </w:r>
      <w:r w:rsidRPr="00B048EB">
        <w:rPr>
          <w:b/>
          <w:sz w:val="22"/>
          <w:szCs w:val="22"/>
        </w:rPr>
        <w:t xml:space="preserve"> </w:t>
      </w:r>
      <w:r w:rsidRPr="00B048EB">
        <w:rPr>
          <w:bCs/>
          <w:sz w:val="22"/>
          <w:szCs w:val="22"/>
        </w:rPr>
        <w:t>v tejto skupine pacientov kontraindikovaný.</w:t>
      </w:r>
    </w:p>
    <w:p w14:paraId="244B4D6A" w14:textId="77777777" w:rsidR="00FA71B4" w:rsidRPr="00B048EB" w:rsidRDefault="00FA71B4" w:rsidP="001F5C55">
      <w:pPr>
        <w:tabs>
          <w:tab w:val="left" w:pos="567"/>
        </w:tabs>
        <w:rPr>
          <w:bCs/>
          <w:sz w:val="22"/>
          <w:szCs w:val="22"/>
        </w:rPr>
      </w:pPr>
    </w:p>
    <w:p w14:paraId="77E59307" w14:textId="167AE5BE" w:rsidR="00DA2889" w:rsidRDefault="00CD0DDD" w:rsidP="001F5C55">
      <w:pPr>
        <w:tabs>
          <w:tab w:val="left" w:pos="567"/>
        </w:tabs>
        <w:rPr>
          <w:sz w:val="22"/>
          <w:szCs w:val="22"/>
        </w:rPr>
      </w:pPr>
      <w:r>
        <w:rPr>
          <w:sz w:val="22"/>
          <w:szCs w:val="22"/>
        </w:rPr>
        <w:t>S použitím celekoxibu pri poruche</w:t>
      </w:r>
      <w:r w:rsidRPr="00DE5A3E">
        <w:rPr>
          <w:sz w:val="22"/>
        </w:rPr>
        <w:t xml:space="preserve"> funkcie obličiek</w:t>
      </w:r>
      <w:r>
        <w:rPr>
          <w:sz w:val="22"/>
          <w:szCs w:val="22"/>
        </w:rPr>
        <w:t xml:space="preserve"> sú obmedzené skúsenosti. Farmakokinetika celekoxibu sa u pacientov s poruchou funkcie obličiek neštudovala, </w:t>
      </w:r>
      <w:r w:rsidR="0096599A">
        <w:rPr>
          <w:sz w:val="22"/>
          <w:szCs w:val="22"/>
        </w:rPr>
        <w:t>hoci</w:t>
      </w:r>
      <w:r>
        <w:rPr>
          <w:sz w:val="22"/>
          <w:szCs w:val="22"/>
        </w:rPr>
        <w:t xml:space="preserve"> je nepravdepodobné</w:t>
      </w:r>
      <w:r w:rsidR="0096599A">
        <w:rPr>
          <w:sz w:val="22"/>
          <w:szCs w:val="22"/>
        </w:rPr>
        <w:t>,</w:t>
      </w:r>
      <w:r>
        <w:rPr>
          <w:sz w:val="22"/>
          <w:szCs w:val="22"/>
        </w:rPr>
        <w:t xml:space="preserve"> že </w:t>
      </w:r>
      <w:r w:rsidR="0096599A">
        <w:rPr>
          <w:sz w:val="22"/>
          <w:szCs w:val="22"/>
        </w:rPr>
        <w:t>by bola</w:t>
      </w:r>
      <w:r>
        <w:rPr>
          <w:sz w:val="22"/>
          <w:szCs w:val="22"/>
        </w:rPr>
        <w:t xml:space="preserve"> u takýchto pacientov výrazne zmenená</w:t>
      </w:r>
      <w:r w:rsidR="0096599A">
        <w:rPr>
          <w:sz w:val="22"/>
          <w:szCs w:val="22"/>
        </w:rPr>
        <w:t>. Preto je u pacientov s poruchou funkcie obličiek potrebná opatrnosť. Závažná porucha funkcie obličiek je kontraindikovaná.</w:t>
      </w:r>
    </w:p>
    <w:p w14:paraId="3D46643C" w14:textId="77777777" w:rsidR="00DA2889" w:rsidRDefault="00DA2889" w:rsidP="001F5C55">
      <w:pPr>
        <w:tabs>
          <w:tab w:val="left" w:pos="567"/>
        </w:tabs>
        <w:rPr>
          <w:sz w:val="22"/>
          <w:szCs w:val="22"/>
        </w:rPr>
      </w:pPr>
    </w:p>
    <w:p w14:paraId="508032D4" w14:textId="7A106996" w:rsidR="000A1421" w:rsidRPr="00B048EB" w:rsidRDefault="000A1421" w:rsidP="00DE5A3E">
      <w:pPr>
        <w:keepNext/>
        <w:widowControl/>
        <w:tabs>
          <w:tab w:val="left" w:pos="567"/>
        </w:tabs>
        <w:suppressAutoHyphens w:val="0"/>
        <w:rPr>
          <w:bCs/>
          <w:sz w:val="22"/>
          <w:szCs w:val="22"/>
          <w:u w:val="single"/>
        </w:rPr>
      </w:pPr>
      <w:r w:rsidRPr="00B048EB">
        <w:rPr>
          <w:bCs/>
          <w:sz w:val="22"/>
          <w:szCs w:val="22"/>
          <w:u w:val="single"/>
        </w:rPr>
        <w:t>Eliminácia</w:t>
      </w:r>
    </w:p>
    <w:p w14:paraId="612AD178" w14:textId="207FF60D" w:rsidR="000A1421" w:rsidRDefault="000A1421" w:rsidP="000A1421">
      <w:pPr>
        <w:tabs>
          <w:tab w:val="left" w:pos="567"/>
        </w:tabs>
        <w:rPr>
          <w:bCs/>
          <w:sz w:val="22"/>
          <w:szCs w:val="22"/>
        </w:rPr>
      </w:pPr>
      <w:r w:rsidRPr="00B048EB">
        <w:rPr>
          <w:caps/>
          <w:sz w:val="22"/>
          <w:szCs w:val="22"/>
        </w:rPr>
        <w:t>C</w:t>
      </w:r>
      <w:r w:rsidRPr="00B048EB">
        <w:rPr>
          <w:sz w:val="22"/>
          <w:szCs w:val="22"/>
        </w:rPr>
        <w:t>elekoxib</w:t>
      </w:r>
      <w:r w:rsidRPr="00B048EB">
        <w:rPr>
          <w:b/>
          <w:sz w:val="22"/>
          <w:szCs w:val="22"/>
        </w:rPr>
        <w:t xml:space="preserve"> </w:t>
      </w:r>
      <w:r w:rsidRPr="00B048EB">
        <w:rPr>
          <w:sz w:val="22"/>
          <w:szCs w:val="22"/>
        </w:rPr>
        <w:t xml:space="preserve">sa z organizmu eliminuje predovšetkým </w:t>
      </w:r>
      <w:r w:rsidRPr="00B048EB">
        <w:rPr>
          <w:bCs/>
          <w:sz w:val="22"/>
          <w:szCs w:val="22"/>
        </w:rPr>
        <w:t xml:space="preserve">metabolizmom. Menej ako 1 % podanej dávky sa vylučuje v nezmenenej forme močom. Interindividuálna variabilita po expozícii celekoxibom je asi 10-násobná. V rozsahu terapeutického dávkovania vykazuje </w:t>
      </w:r>
      <w:r w:rsidRPr="00B048EB">
        <w:rPr>
          <w:sz w:val="22"/>
          <w:szCs w:val="22"/>
        </w:rPr>
        <w:t>celekoxib</w:t>
      </w:r>
      <w:r w:rsidRPr="00B048EB">
        <w:rPr>
          <w:bCs/>
          <w:sz w:val="22"/>
          <w:szCs w:val="22"/>
        </w:rPr>
        <w:t xml:space="preserve"> </w:t>
      </w:r>
      <w:r w:rsidRPr="00B048EB">
        <w:rPr>
          <w:sz w:val="22"/>
          <w:szCs w:val="22"/>
        </w:rPr>
        <w:t xml:space="preserve">dávkovo a časovo </w:t>
      </w:r>
      <w:r w:rsidRPr="00B048EB">
        <w:rPr>
          <w:bCs/>
          <w:sz w:val="22"/>
          <w:szCs w:val="22"/>
        </w:rPr>
        <w:t xml:space="preserve">nezávislú farmakokinetiku. Eliminačný polčas je 8 – 12 hodín. Rovnovážne plazmatické koncentrácie sa dosahujú </w:t>
      </w:r>
      <w:r w:rsidRPr="00B048EB">
        <w:rPr>
          <w:sz w:val="22"/>
          <w:szCs w:val="22"/>
        </w:rPr>
        <w:t xml:space="preserve">približne do 5 dní </w:t>
      </w:r>
      <w:r w:rsidRPr="00B048EB">
        <w:rPr>
          <w:bCs/>
          <w:sz w:val="22"/>
          <w:szCs w:val="22"/>
        </w:rPr>
        <w:t>liečby.</w:t>
      </w:r>
    </w:p>
    <w:p w14:paraId="42B2DC5C" w14:textId="77777777" w:rsidR="007F195F" w:rsidRPr="00B048EB" w:rsidRDefault="007F195F" w:rsidP="000A1421">
      <w:pPr>
        <w:tabs>
          <w:tab w:val="left" w:pos="567"/>
        </w:tabs>
        <w:rPr>
          <w:bCs/>
          <w:sz w:val="22"/>
          <w:szCs w:val="22"/>
        </w:rPr>
      </w:pPr>
    </w:p>
    <w:p w14:paraId="62BC813F" w14:textId="27795827" w:rsidR="00FA71B4" w:rsidRPr="00B048EB" w:rsidRDefault="00FA71B4" w:rsidP="00370DBB">
      <w:pPr>
        <w:keepNext/>
        <w:tabs>
          <w:tab w:val="left" w:pos="567"/>
        </w:tabs>
        <w:rPr>
          <w:b/>
          <w:sz w:val="22"/>
          <w:szCs w:val="22"/>
        </w:rPr>
      </w:pPr>
      <w:r w:rsidRPr="00B048EB">
        <w:rPr>
          <w:b/>
          <w:bCs/>
          <w:sz w:val="22"/>
          <w:szCs w:val="22"/>
        </w:rPr>
        <w:t>5.3</w:t>
      </w:r>
      <w:r w:rsidRPr="00B048EB">
        <w:rPr>
          <w:b/>
          <w:bCs/>
          <w:sz w:val="22"/>
          <w:szCs w:val="22"/>
        </w:rPr>
        <w:tab/>
      </w:r>
      <w:r w:rsidRPr="00B048EB">
        <w:rPr>
          <w:b/>
          <w:sz w:val="22"/>
          <w:szCs w:val="22"/>
        </w:rPr>
        <w:t>Predklinické údaje</w:t>
      </w:r>
      <w:r w:rsidR="00731C93">
        <w:rPr>
          <w:b/>
          <w:sz w:val="22"/>
          <w:szCs w:val="22"/>
        </w:rPr>
        <w:t xml:space="preserve"> o </w:t>
      </w:r>
      <w:r w:rsidRPr="00B048EB">
        <w:rPr>
          <w:b/>
          <w:sz w:val="22"/>
          <w:szCs w:val="22"/>
        </w:rPr>
        <w:t>bezpečnosti</w:t>
      </w:r>
    </w:p>
    <w:p w14:paraId="74B74731" w14:textId="77777777" w:rsidR="00FA71B4" w:rsidRPr="00B048EB" w:rsidRDefault="00FA71B4" w:rsidP="00370DBB">
      <w:pPr>
        <w:keepNext/>
        <w:tabs>
          <w:tab w:val="left" w:pos="567"/>
        </w:tabs>
        <w:rPr>
          <w:b/>
          <w:sz w:val="22"/>
          <w:szCs w:val="22"/>
        </w:rPr>
      </w:pPr>
    </w:p>
    <w:p w14:paraId="363325ED" w14:textId="0C4CD537" w:rsidR="00DA2889" w:rsidRDefault="00192690" w:rsidP="000F2C6E">
      <w:pPr>
        <w:pStyle w:val="BodyText31"/>
        <w:tabs>
          <w:tab w:val="left" w:pos="567"/>
        </w:tabs>
        <w:jc w:val="left"/>
        <w:rPr>
          <w:sz w:val="22"/>
          <w:szCs w:val="22"/>
        </w:rPr>
      </w:pPr>
      <w:r>
        <w:rPr>
          <w:sz w:val="22"/>
          <w:szCs w:val="22"/>
        </w:rPr>
        <w:t>Pred</w:t>
      </w:r>
      <w:r w:rsidR="00DA2889" w:rsidRPr="00B048EB">
        <w:rPr>
          <w:sz w:val="22"/>
          <w:szCs w:val="22"/>
        </w:rPr>
        <w:t>klinické údaje</w:t>
      </w:r>
      <w:r w:rsidR="00731C93">
        <w:rPr>
          <w:sz w:val="22"/>
          <w:szCs w:val="22"/>
        </w:rPr>
        <w:t xml:space="preserve"> o </w:t>
      </w:r>
      <w:r>
        <w:rPr>
          <w:sz w:val="22"/>
          <w:szCs w:val="22"/>
        </w:rPr>
        <w:t>bezpečnosti</w:t>
      </w:r>
      <w:r w:rsidR="00DA2889" w:rsidRPr="00B048EB">
        <w:rPr>
          <w:sz w:val="22"/>
          <w:szCs w:val="22"/>
        </w:rPr>
        <w:t xml:space="preserve"> založené na konvenčných štúdiách</w:t>
      </w:r>
      <w:r>
        <w:rPr>
          <w:sz w:val="22"/>
          <w:szCs w:val="22"/>
        </w:rPr>
        <w:t xml:space="preserve"> toxicity po opakovanom podaní,</w:t>
      </w:r>
      <w:r w:rsidR="00DA2889" w:rsidRPr="00B048EB">
        <w:rPr>
          <w:sz w:val="22"/>
          <w:szCs w:val="22"/>
        </w:rPr>
        <w:t xml:space="preserve"> </w:t>
      </w:r>
      <w:r w:rsidR="0016524E">
        <w:rPr>
          <w:sz w:val="22"/>
          <w:szCs w:val="22"/>
        </w:rPr>
        <w:t>mutagenity</w:t>
      </w:r>
      <w:r w:rsidR="00DA2889" w:rsidRPr="00B048EB">
        <w:rPr>
          <w:sz w:val="22"/>
          <w:szCs w:val="22"/>
        </w:rPr>
        <w:t xml:space="preserve"> alebo karcinogenity nepreukázali pre ľudí žiadne osobitné riziko okrem tých, ktoré sú uvedené v</w:t>
      </w:r>
      <w:r w:rsidR="00DA2889">
        <w:rPr>
          <w:sz w:val="22"/>
          <w:szCs w:val="22"/>
        </w:rPr>
        <w:t> </w:t>
      </w:r>
      <w:r w:rsidR="00DA2889" w:rsidRPr="00B048EB">
        <w:rPr>
          <w:sz w:val="22"/>
          <w:szCs w:val="22"/>
        </w:rPr>
        <w:t>častiach</w:t>
      </w:r>
      <w:r w:rsidR="00DA2889">
        <w:rPr>
          <w:sz w:val="22"/>
          <w:szCs w:val="22"/>
        </w:rPr>
        <w:t xml:space="preserve"> 4.4, 4.6 a 5.1</w:t>
      </w:r>
      <w:r w:rsidR="00DA2889" w:rsidRPr="00B048EB">
        <w:rPr>
          <w:sz w:val="22"/>
          <w:szCs w:val="22"/>
        </w:rPr>
        <w:t xml:space="preserve"> Súhrnu charakteristických vlastností lieku.</w:t>
      </w:r>
    </w:p>
    <w:p w14:paraId="6342CA24" w14:textId="77777777" w:rsidR="00DA2889" w:rsidRPr="00DE5A3E" w:rsidRDefault="00DA2889" w:rsidP="00DE5A3E">
      <w:pPr>
        <w:pStyle w:val="BodyText31"/>
        <w:tabs>
          <w:tab w:val="left" w:pos="567"/>
        </w:tabs>
        <w:jc w:val="left"/>
        <w:rPr>
          <w:sz w:val="22"/>
        </w:rPr>
      </w:pPr>
    </w:p>
    <w:p w14:paraId="1451A724" w14:textId="407B898B" w:rsidR="000D7DF9" w:rsidRPr="00B048EB" w:rsidRDefault="00FF5339" w:rsidP="000F2C6E">
      <w:pPr>
        <w:pStyle w:val="BodyText31"/>
        <w:tabs>
          <w:tab w:val="left" w:pos="567"/>
        </w:tabs>
        <w:jc w:val="left"/>
        <w:rPr>
          <w:sz w:val="22"/>
          <w:szCs w:val="22"/>
        </w:rPr>
      </w:pPr>
      <w:r w:rsidRPr="00B048EB">
        <w:rPr>
          <w:sz w:val="22"/>
          <w:szCs w:val="22"/>
        </w:rPr>
        <w:t>Celekoxib podávaný</w:t>
      </w:r>
      <w:r w:rsidR="00731C93">
        <w:rPr>
          <w:sz w:val="22"/>
          <w:szCs w:val="22"/>
        </w:rPr>
        <w:t xml:space="preserve"> v </w:t>
      </w:r>
      <w:r w:rsidRPr="00B048EB">
        <w:rPr>
          <w:sz w:val="22"/>
          <w:szCs w:val="22"/>
        </w:rPr>
        <w:t xml:space="preserve">perorálnej dávke </w:t>
      </w:r>
      <w:r w:rsidRPr="00B048EB">
        <w:rPr>
          <w:sz w:val="22"/>
          <w:szCs w:val="22"/>
        </w:rPr>
        <w:sym w:font="Symbol" w:char="F0B3"/>
      </w:r>
      <w:r w:rsidR="001F5C55" w:rsidRPr="00B048EB">
        <w:rPr>
          <w:sz w:val="22"/>
          <w:szCs w:val="22"/>
        </w:rPr>
        <w:t xml:space="preserve"> </w:t>
      </w:r>
      <w:r w:rsidRPr="00B048EB">
        <w:rPr>
          <w:sz w:val="22"/>
          <w:szCs w:val="22"/>
        </w:rPr>
        <w:t>150 mg/kg/deň (približne dvojnásobok ľudskej expozície pri dávke</w:t>
      </w:r>
      <w:r w:rsidR="00CB6CCF" w:rsidRPr="00B048EB">
        <w:rPr>
          <w:sz w:val="22"/>
          <w:szCs w:val="22"/>
        </w:rPr>
        <w:t xml:space="preserve"> 200</w:t>
      </w:r>
      <w:r w:rsidR="00946ECA">
        <w:rPr>
          <w:sz w:val="22"/>
          <w:szCs w:val="22"/>
        </w:rPr>
        <w:t xml:space="preserve"> mg </w:t>
      </w:r>
      <w:r w:rsidRPr="00B048EB">
        <w:rPr>
          <w:sz w:val="22"/>
          <w:szCs w:val="22"/>
        </w:rPr>
        <w:t>podávanej dvakrát denne</w:t>
      </w:r>
      <w:r w:rsidR="00C83327" w:rsidRPr="00B048EB">
        <w:rPr>
          <w:sz w:val="22"/>
          <w:szCs w:val="22"/>
        </w:rPr>
        <w:t>,</w:t>
      </w:r>
      <w:r w:rsidRPr="00B048EB">
        <w:rPr>
          <w:sz w:val="22"/>
          <w:szCs w:val="22"/>
        </w:rPr>
        <w:t xml:space="preserve"> meranej na základe AUC</w:t>
      </w:r>
      <w:r w:rsidRPr="00B048EB">
        <w:rPr>
          <w:sz w:val="22"/>
          <w:szCs w:val="22"/>
          <w:vertAlign w:val="subscript"/>
        </w:rPr>
        <w:t>0-24</w:t>
      </w:r>
      <w:r w:rsidRPr="00B048EB">
        <w:rPr>
          <w:sz w:val="22"/>
          <w:szCs w:val="22"/>
        </w:rPr>
        <w:t xml:space="preserve">) spôsobil zvýšený výskyt defektov ventrikulárneho septa, </w:t>
      </w:r>
      <w:r w:rsidR="00BC43E7" w:rsidRPr="00B048EB">
        <w:rPr>
          <w:sz w:val="22"/>
          <w:szCs w:val="22"/>
        </w:rPr>
        <w:t>zriedkavú udalosť,</w:t>
      </w:r>
      <w:r w:rsidRPr="00B048EB">
        <w:rPr>
          <w:sz w:val="22"/>
          <w:szCs w:val="22"/>
        </w:rPr>
        <w:t xml:space="preserve"> a poruchy plodu ako zrasty </w:t>
      </w:r>
      <w:r w:rsidR="00BC43E7" w:rsidRPr="00B048EB">
        <w:rPr>
          <w:sz w:val="22"/>
          <w:szCs w:val="22"/>
        </w:rPr>
        <w:t xml:space="preserve">rebier, zrasty hrudnej kosti </w:t>
      </w:r>
      <w:r w:rsidRPr="00B048EB">
        <w:rPr>
          <w:sz w:val="22"/>
          <w:szCs w:val="22"/>
        </w:rPr>
        <w:t xml:space="preserve">a deformácie hrudnej kosti u králikov liečených počas obdobia organogenézy. </w:t>
      </w:r>
      <w:r w:rsidR="00BC43E7" w:rsidRPr="00B048EB">
        <w:rPr>
          <w:sz w:val="22"/>
          <w:szCs w:val="22"/>
        </w:rPr>
        <w:t>Bolo pozorované od dávky závislé</w:t>
      </w:r>
      <w:r w:rsidRPr="00B048EB">
        <w:rPr>
          <w:sz w:val="22"/>
          <w:szCs w:val="22"/>
        </w:rPr>
        <w:t xml:space="preserve"> zvýšenie výskytu diafragmatických hernií u potkanov, ktorým boli podávané </w:t>
      </w:r>
      <w:r w:rsidR="00BC43E7" w:rsidRPr="00B048EB">
        <w:rPr>
          <w:sz w:val="22"/>
          <w:szCs w:val="22"/>
        </w:rPr>
        <w:t xml:space="preserve">perorálne </w:t>
      </w:r>
      <w:r w:rsidRPr="00B048EB">
        <w:rPr>
          <w:sz w:val="22"/>
          <w:szCs w:val="22"/>
        </w:rPr>
        <w:t xml:space="preserve">dávky </w:t>
      </w:r>
      <w:r w:rsidRPr="00B048EB">
        <w:rPr>
          <w:sz w:val="22"/>
          <w:szCs w:val="22"/>
        </w:rPr>
        <w:sym w:font="Symbol" w:char="F0B3"/>
      </w:r>
      <w:r w:rsidR="001F5C55" w:rsidRPr="00B048EB">
        <w:rPr>
          <w:sz w:val="22"/>
          <w:szCs w:val="22"/>
        </w:rPr>
        <w:t xml:space="preserve"> </w:t>
      </w:r>
      <w:r w:rsidRPr="00B048EB">
        <w:rPr>
          <w:sz w:val="22"/>
          <w:szCs w:val="22"/>
        </w:rPr>
        <w:t xml:space="preserve">30 mg/kg/deň (približne šesťnásobok ľudskej expozície pri dávke </w:t>
      </w:r>
      <w:r w:rsidR="00C83327" w:rsidRPr="00B048EB">
        <w:rPr>
          <w:sz w:val="22"/>
          <w:szCs w:val="22"/>
        </w:rPr>
        <w:t>200</w:t>
      </w:r>
      <w:r w:rsidR="00946ECA">
        <w:rPr>
          <w:sz w:val="22"/>
          <w:szCs w:val="22"/>
        </w:rPr>
        <w:t xml:space="preserve"> mg </w:t>
      </w:r>
      <w:r w:rsidRPr="00B048EB">
        <w:rPr>
          <w:sz w:val="22"/>
          <w:szCs w:val="22"/>
        </w:rPr>
        <w:t>podávanej dvakrát denne</w:t>
      </w:r>
      <w:r w:rsidR="00C83327" w:rsidRPr="00B048EB">
        <w:rPr>
          <w:sz w:val="22"/>
          <w:szCs w:val="22"/>
        </w:rPr>
        <w:t>,</w:t>
      </w:r>
      <w:r w:rsidRPr="00B048EB">
        <w:rPr>
          <w:sz w:val="22"/>
          <w:szCs w:val="22"/>
        </w:rPr>
        <w:t xml:space="preserve"> meranej na základe AUC</w:t>
      </w:r>
      <w:r w:rsidRPr="00B048EB">
        <w:rPr>
          <w:sz w:val="22"/>
          <w:szCs w:val="22"/>
          <w:vertAlign w:val="subscript"/>
        </w:rPr>
        <w:t>0-24</w:t>
      </w:r>
      <w:r w:rsidRPr="00B048EB">
        <w:rPr>
          <w:sz w:val="22"/>
          <w:szCs w:val="22"/>
        </w:rPr>
        <w:t xml:space="preserve">) počas obdobia organogenézy. </w:t>
      </w:r>
      <w:r w:rsidR="00CB6CCF" w:rsidRPr="00B048EB">
        <w:rPr>
          <w:sz w:val="22"/>
          <w:szCs w:val="22"/>
        </w:rPr>
        <w:t>T</w:t>
      </w:r>
      <w:r w:rsidRPr="00B048EB">
        <w:rPr>
          <w:sz w:val="22"/>
          <w:szCs w:val="22"/>
        </w:rPr>
        <w:t xml:space="preserve">ieto účinky </w:t>
      </w:r>
      <w:r w:rsidR="00CB6CCF" w:rsidRPr="00B048EB">
        <w:rPr>
          <w:sz w:val="22"/>
          <w:szCs w:val="22"/>
        </w:rPr>
        <w:t>sa predpokladajú následkom</w:t>
      </w:r>
      <w:r w:rsidRPr="00B048EB">
        <w:rPr>
          <w:sz w:val="22"/>
          <w:szCs w:val="22"/>
        </w:rPr>
        <w:t xml:space="preserve"> inhibíci</w:t>
      </w:r>
      <w:r w:rsidR="00CB6CCF" w:rsidRPr="00B048EB">
        <w:rPr>
          <w:sz w:val="22"/>
          <w:szCs w:val="22"/>
        </w:rPr>
        <w:t>e</w:t>
      </w:r>
      <w:r w:rsidRPr="00B048EB">
        <w:rPr>
          <w:sz w:val="22"/>
          <w:szCs w:val="22"/>
        </w:rPr>
        <w:t xml:space="preserve"> syntézy prostaglandínov. U</w:t>
      </w:r>
      <w:r w:rsidR="00731C93">
        <w:rPr>
          <w:sz w:val="22"/>
          <w:szCs w:val="22"/>
        </w:rPr>
        <w:t> </w:t>
      </w:r>
      <w:r w:rsidRPr="00B048EB">
        <w:rPr>
          <w:sz w:val="22"/>
          <w:szCs w:val="22"/>
        </w:rPr>
        <w:t>potkanov viedla expozícia celekoxibu</w:t>
      </w:r>
      <w:r w:rsidR="00731C93">
        <w:rPr>
          <w:sz w:val="22"/>
          <w:szCs w:val="22"/>
        </w:rPr>
        <w:t xml:space="preserve"> v </w:t>
      </w:r>
      <w:r w:rsidRPr="00B048EB">
        <w:rPr>
          <w:sz w:val="22"/>
          <w:szCs w:val="22"/>
        </w:rPr>
        <w:t>štádiu skorého embryonálneho výv</w:t>
      </w:r>
      <w:r w:rsidR="00CB6CCF" w:rsidRPr="00B048EB">
        <w:rPr>
          <w:sz w:val="22"/>
          <w:szCs w:val="22"/>
        </w:rPr>
        <w:t>inu</w:t>
      </w:r>
      <w:r w:rsidR="00731C93">
        <w:rPr>
          <w:sz w:val="22"/>
          <w:szCs w:val="22"/>
        </w:rPr>
        <w:t xml:space="preserve"> k </w:t>
      </w:r>
      <w:r w:rsidRPr="00B048EB">
        <w:rPr>
          <w:sz w:val="22"/>
          <w:szCs w:val="22"/>
        </w:rPr>
        <w:t>preimplantačným</w:t>
      </w:r>
      <w:r w:rsidR="00731C93">
        <w:rPr>
          <w:sz w:val="22"/>
          <w:szCs w:val="22"/>
        </w:rPr>
        <w:t xml:space="preserve"> a </w:t>
      </w:r>
      <w:r w:rsidRPr="00B048EB">
        <w:rPr>
          <w:sz w:val="22"/>
          <w:szCs w:val="22"/>
        </w:rPr>
        <w:t>postimplantačným stratám a zníženiu sch</w:t>
      </w:r>
      <w:r w:rsidR="00C83327" w:rsidRPr="00B048EB">
        <w:rPr>
          <w:sz w:val="22"/>
          <w:szCs w:val="22"/>
        </w:rPr>
        <w:t>o</w:t>
      </w:r>
      <w:r w:rsidRPr="00B048EB">
        <w:rPr>
          <w:sz w:val="22"/>
          <w:szCs w:val="22"/>
        </w:rPr>
        <w:t>pnosti prežitia embrya/plod</w:t>
      </w:r>
      <w:r w:rsidR="00C83327" w:rsidRPr="00B048EB">
        <w:rPr>
          <w:sz w:val="22"/>
          <w:szCs w:val="22"/>
        </w:rPr>
        <w:t>u</w:t>
      </w:r>
      <w:r w:rsidRPr="00B048EB">
        <w:rPr>
          <w:sz w:val="22"/>
          <w:szCs w:val="22"/>
        </w:rPr>
        <w:t>.</w:t>
      </w:r>
    </w:p>
    <w:p w14:paraId="1B85BE50" w14:textId="77777777" w:rsidR="008F75F8" w:rsidRDefault="008F75F8" w:rsidP="000F2C6E">
      <w:pPr>
        <w:pStyle w:val="BodyText31"/>
        <w:tabs>
          <w:tab w:val="left" w:pos="567"/>
        </w:tabs>
        <w:jc w:val="left"/>
        <w:rPr>
          <w:sz w:val="22"/>
          <w:szCs w:val="22"/>
        </w:rPr>
      </w:pPr>
    </w:p>
    <w:p w14:paraId="74E2B94F" w14:textId="77777777" w:rsidR="00FA71B4" w:rsidRPr="00B048EB" w:rsidRDefault="00FA71B4" w:rsidP="000F2C6E">
      <w:pPr>
        <w:pStyle w:val="BodyText31"/>
        <w:tabs>
          <w:tab w:val="left" w:pos="567"/>
        </w:tabs>
        <w:jc w:val="left"/>
        <w:rPr>
          <w:sz w:val="22"/>
          <w:szCs w:val="22"/>
        </w:rPr>
      </w:pPr>
      <w:r w:rsidRPr="00B048EB">
        <w:rPr>
          <w:sz w:val="22"/>
          <w:szCs w:val="22"/>
        </w:rPr>
        <w:t>Celekoxib sa vylučoval do materského mlieka potkanov. V peri</w:t>
      </w:r>
      <w:r w:rsidR="003E099B" w:rsidRPr="00B048EB">
        <w:rPr>
          <w:sz w:val="22"/>
          <w:szCs w:val="22"/>
        </w:rPr>
        <w:t xml:space="preserve">natálnych </w:t>
      </w:r>
      <w:r w:rsidRPr="00B048EB">
        <w:rPr>
          <w:sz w:val="22"/>
          <w:szCs w:val="22"/>
        </w:rPr>
        <w:t>a</w:t>
      </w:r>
      <w:r w:rsidR="00B22081" w:rsidRPr="00B048EB">
        <w:rPr>
          <w:sz w:val="22"/>
          <w:szCs w:val="22"/>
        </w:rPr>
        <w:t> </w:t>
      </w:r>
      <w:r w:rsidRPr="00B048EB">
        <w:rPr>
          <w:sz w:val="22"/>
          <w:szCs w:val="22"/>
        </w:rPr>
        <w:t>postnatálnych štúdiách u potkanov bola pozorovaná toxicita u mláďat.</w:t>
      </w:r>
    </w:p>
    <w:p w14:paraId="38EBF905" w14:textId="77777777" w:rsidR="00FA71B4" w:rsidRPr="00B048EB" w:rsidRDefault="00FA71B4" w:rsidP="000F2C6E">
      <w:pPr>
        <w:pStyle w:val="BodyText31"/>
        <w:tabs>
          <w:tab w:val="left" w:pos="567"/>
        </w:tabs>
        <w:jc w:val="left"/>
        <w:rPr>
          <w:sz w:val="22"/>
          <w:szCs w:val="22"/>
        </w:rPr>
      </w:pPr>
    </w:p>
    <w:p w14:paraId="4FBD0F41" w14:textId="117B37B5" w:rsidR="00FA71B4" w:rsidRPr="00B048EB" w:rsidRDefault="00FA71B4" w:rsidP="000F2C6E">
      <w:pPr>
        <w:pStyle w:val="BodyText31"/>
        <w:tabs>
          <w:tab w:val="left" w:pos="567"/>
        </w:tabs>
        <w:jc w:val="left"/>
        <w:rPr>
          <w:sz w:val="22"/>
          <w:szCs w:val="22"/>
        </w:rPr>
      </w:pPr>
      <w:r w:rsidRPr="00B048EB">
        <w:rPr>
          <w:sz w:val="22"/>
          <w:szCs w:val="22"/>
        </w:rPr>
        <w:t>V dvojročnej štúdii toxicity sa u samcov potkanov po vysokých dávkach pozoroval vzostup neadrenálnej trombózy.</w:t>
      </w:r>
    </w:p>
    <w:p w14:paraId="22FF13AC" w14:textId="77777777" w:rsidR="00FA71B4" w:rsidRPr="00B048EB" w:rsidRDefault="00FA71B4" w:rsidP="000F2C6E">
      <w:pPr>
        <w:pStyle w:val="BodyText31"/>
        <w:tabs>
          <w:tab w:val="left" w:pos="567"/>
        </w:tabs>
        <w:jc w:val="left"/>
        <w:rPr>
          <w:sz w:val="22"/>
          <w:szCs w:val="22"/>
        </w:rPr>
      </w:pPr>
    </w:p>
    <w:p w14:paraId="2EA265E8" w14:textId="77777777" w:rsidR="00FA71B4" w:rsidRPr="00B048EB" w:rsidRDefault="00FA71B4" w:rsidP="000F2C6E">
      <w:pPr>
        <w:pStyle w:val="BodyText31"/>
        <w:tabs>
          <w:tab w:val="left" w:pos="567"/>
        </w:tabs>
        <w:jc w:val="left"/>
        <w:rPr>
          <w:sz w:val="22"/>
          <w:szCs w:val="22"/>
        </w:rPr>
      </w:pPr>
    </w:p>
    <w:p w14:paraId="272C4681" w14:textId="77777777" w:rsidR="00FA71B4" w:rsidRPr="00B048EB" w:rsidRDefault="00FA71B4" w:rsidP="00DE5A3E">
      <w:pPr>
        <w:pStyle w:val="Normln"/>
        <w:keepNext/>
        <w:tabs>
          <w:tab w:val="left" w:pos="567"/>
        </w:tabs>
        <w:rPr>
          <w:b/>
          <w:sz w:val="22"/>
          <w:szCs w:val="22"/>
          <w:lang w:val="sk-SK"/>
        </w:rPr>
      </w:pPr>
      <w:r w:rsidRPr="00B048EB">
        <w:rPr>
          <w:b/>
          <w:sz w:val="22"/>
          <w:szCs w:val="22"/>
          <w:lang w:val="sk-SK"/>
        </w:rPr>
        <w:t>6.</w:t>
      </w:r>
      <w:r w:rsidRPr="00B048EB">
        <w:rPr>
          <w:b/>
          <w:sz w:val="22"/>
          <w:szCs w:val="22"/>
          <w:lang w:val="sk-SK"/>
        </w:rPr>
        <w:tab/>
        <w:t>FARMACEUTICKÉ ÚDAJE</w:t>
      </w:r>
    </w:p>
    <w:p w14:paraId="689998CE" w14:textId="77777777" w:rsidR="00FA71B4" w:rsidRPr="00B048EB" w:rsidRDefault="00FA71B4" w:rsidP="00DE5A3E">
      <w:pPr>
        <w:pStyle w:val="Normln"/>
        <w:keepNext/>
        <w:tabs>
          <w:tab w:val="left" w:pos="567"/>
        </w:tabs>
        <w:rPr>
          <w:b/>
          <w:sz w:val="22"/>
          <w:szCs w:val="22"/>
          <w:lang w:val="sk-SK"/>
        </w:rPr>
      </w:pPr>
    </w:p>
    <w:p w14:paraId="6787FDC9" w14:textId="77777777" w:rsidR="00FA71B4" w:rsidRPr="00B048EB" w:rsidRDefault="00FA71B4" w:rsidP="00DE5A3E">
      <w:pPr>
        <w:pStyle w:val="Normln"/>
        <w:keepNext/>
        <w:tabs>
          <w:tab w:val="left" w:pos="567"/>
        </w:tabs>
        <w:rPr>
          <w:b/>
          <w:sz w:val="22"/>
          <w:szCs w:val="22"/>
          <w:lang w:val="sk-SK"/>
        </w:rPr>
      </w:pPr>
      <w:r w:rsidRPr="00B048EB">
        <w:rPr>
          <w:b/>
          <w:sz w:val="22"/>
          <w:szCs w:val="22"/>
          <w:lang w:val="sk-SK"/>
        </w:rPr>
        <w:t>6.1</w:t>
      </w:r>
      <w:r w:rsidRPr="00B048EB">
        <w:rPr>
          <w:b/>
          <w:sz w:val="22"/>
          <w:szCs w:val="22"/>
          <w:lang w:val="sk-SK"/>
        </w:rPr>
        <w:tab/>
        <w:t>Zoznam pomocných látok</w:t>
      </w:r>
    </w:p>
    <w:p w14:paraId="671FF7E3" w14:textId="77777777" w:rsidR="00FA71B4" w:rsidRPr="00B048EB" w:rsidRDefault="00FA71B4" w:rsidP="00DE5A3E">
      <w:pPr>
        <w:pStyle w:val="Normln"/>
        <w:keepNext/>
        <w:tabs>
          <w:tab w:val="left" w:pos="567"/>
        </w:tabs>
        <w:rPr>
          <w:b/>
          <w:sz w:val="22"/>
          <w:szCs w:val="22"/>
          <w:lang w:val="sk-SK"/>
        </w:rPr>
      </w:pPr>
    </w:p>
    <w:p w14:paraId="5075A092" w14:textId="22AC3614" w:rsidR="0072754C" w:rsidRPr="00DE5A3E" w:rsidRDefault="0072754C" w:rsidP="00DE5A3E">
      <w:pPr>
        <w:keepNext/>
        <w:widowControl/>
        <w:tabs>
          <w:tab w:val="left" w:pos="567"/>
        </w:tabs>
        <w:suppressAutoHyphens w:val="0"/>
        <w:rPr>
          <w:sz w:val="22"/>
          <w:u w:val="single"/>
        </w:rPr>
      </w:pPr>
      <w:r w:rsidRPr="004B560F">
        <w:rPr>
          <w:sz w:val="22"/>
          <w:szCs w:val="22"/>
          <w:u w:val="single"/>
        </w:rPr>
        <w:t>Obsah</w:t>
      </w:r>
      <w:r w:rsidRPr="00DE5A3E">
        <w:rPr>
          <w:sz w:val="22"/>
          <w:u w:val="single"/>
        </w:rPr>
        <w:t xml:space="preserve"> kapsuly</w:t>
      </w:r>
    </w:p>
    <w:p w14:paraId="4B9DEA76" w14:textId="421E76E3" w:rsidR="00FA71B4" w:rsidRPr="00B048EB" w:rsidRDefault="00B46CC3" w:rsidP="00DE5A3E">
      <w:pPr>
        <w:tabs>
          <w:tab w:val="left" w:pos="567"/>
        </w:tabs>
        <w:rPr>
          <w:sz w:val="22"/>
          <w:szCs w:val="22"/>
        </w:rPr>
      </w:pPr>
      <w:r w:rsidRPr="00B048EB">
        <w:rPr>
          <w:sz w:val="22"/>
          <w:szCs w:val="22"/>
        </w:rPr>
        <w:t>monohydrát laktóz</w:t>
      </w:r>
      <w:r>
        <w:rPr>
          <w:sz w:val="22"/>
          <w:szCs w:val="22"/>
        </w:rPr>
        <w:t>y</w:t>
      </w:r>
    </w:p>
    <w:p w14:paraId="0438A084" w14:textId="77777777" w:rsidR="00FA71B4" w:rsidRPr="00B048EB" w:rsidRDefault="00A31109" w:rsidP="00DE5A3E">
      <w:pPr>
        <w:tabs>
          <w:tab w:val="left" w:pos="567"/>
        </w:tabs>
        <w:rPr>
          <w:sz w:val="22"/>
          <w:szCs w:val="22"/>
        </w:rPr>
      </w:pPr>
      <w:r w:rsidRPr="00B048EB">
        <w:rPr>
          <w:sz w:val="22"/>
          <w:szCs w:val="22"/>
        </w:rPr>
        <w:t>laurylsíran sodný</w:t>
      </w:r>
    </w:p>
    <w:p w14:paraId="0B728DCC" w14:textId="65668D53" w:rsidR="00FA71B4" w:rsidRPr="00B048EB" w:rsidRDefault="00FA71B4" w:rsidP="00DE5A3E">
      <w:pPr>
        <w:tabs>
          <w:tab w:val="left" w:pos="567"/>
        </w:tabs>
        <w:rPr>
          <w:sz w:val="22"/>
          <w:szCs w:val="22"/>
        </w:rPr>
      </w:pPr>
      <w:r w:rsidRPr="00B048EB">
        <w:rPr>
          <w:sz w:val="22"/>
          <w:szCs w:val="22"/>
        </w:rPr>
        <w:t>povidón K</w:t>
      </w:r>
      <w:r w:rsidR="00731C93">
        <w:rPr>
          <w:sz w:val="22"/>
          <w:szCs w:val="22"/>
        </w:rPr>
        <w:t> </w:t>
      </w:r>
      <w:r w:rsidRPr="00B048EB">
        <w:rPr>
          <w:sz w:val="22"/>
          <w:szCs w:val="22"/>
        </w:rPr>
        <w:t>30</w:t>
      </w:r>
    </w:p>
    <w:p w14:paraId="44B6742C" w14:textId="77777777" w:rsidR="00FA71B4" w:rsidRPr="00B048EB" w:rsidRDefault="00FA71B4" w:rsidP="00DE5A3E">
      <w:pPr>
        <w:tabs>
          <w:tab w:val="left" w:pos="567"/>
        </w:tabs>
        <w:rPr>
          <w:sz w:val="22"/>
          <w:szCs w:val="22"/>
        </w:rPr>
      </w:pPr>
      <w:r w:rsidRPr="00B048EB">
        <w:rPr>
          <w:sz w:val="22"/>
          <w:szCs w:val="22"/>
        </w:rPr>
        <w:t>sodná soľ kroskarmelózy</w:t>
      </w:r>
    </w:p>
    <w:p w14:paraId="26938424" w14:textId="25C3B5C9" w:rsidR="00FA71B4" w:rsidRPr="00B048EB" w:rsidRDefault="00B46CC3" w:rsidP="00DE5A3E">
      <w:pPr>
        <w:tabs>
          <w:tab w:val="left" w:pos="567"/>
        </w:tabs>
        <w:rPr>
          <w:sz w:val="22"/>
          <w:szCs w:val="22"/>
        </w:rPr>
      </w:pPr>
      <w:r w:rsidRPr="00B048EB">
        <w:rPr>
          <w:sz w:val="22"/>
          <w:szCs w:val="22"/>
        </w:rPr>
        <w:t>stear</w:t>
      </w:r>
      <w:r>
        <w:rPr>
          <w:sz w:val="22"/>
          <w:szCs w:val="22"/>
        </w:rPr>
        <w:t>át</w:t>
      </w:r>
      <w:r w:rsidRPr="00B048EB">
        <w:rPr>
          <w:sz w:val="22"/>
          <w:szCs w:val="22"/>
        </w:rPr>
        <w:t xml:space="preserve"> </w:t>
      </w:r>
      <w:r w:rsidR="00A31109" w:rsidRPr="00B048EB">
        <w:rPr>
          <w:sz w:val="22"/>
          <w:szCs w:val="22"/>
        </w:rPr>
        <w:t>horečnatý</w:t>
      </w:r>
    </w:p>
    <w:p w14:paraId="04412FD9" w14:textId="77777777" w:rsidR="00FA71B4" w:rsidRPr="00DE5A3E" w:rsidRDefault="00FA71B4" w:rsidP="00F31FEF">
      <w:pPr>
        <w:tabs>
          <w:tab w:val="left" w:pos="567"/>
        </w:tabs>
        <w:rPr>
          <w:sz w:val="22"/>
        </w:rPr>
      </w:pPr>
    </w:p>
    <w:p w14:paraId="53D55858" w14:textId="3C6B69B6" w:rsidR="00FA71B4" w:rsidRPr="00DE5A3E" w:rsidRDefault="00FA71B4" w:rsidP="00F31FEF">
      <w:pPr>
        <w:tabs>
          <w:tab w:val="left" w:pos="567"/>
        </w:tabs>
        <w:rPr>
          <w:sz w:val="22"/>
          <w:u w:val="single"/>
        </w:rPr>
      </w:pPr>
      <w:r w:rsidRPr="00DE5A3E">
        <w:rPr>
          <w:sz w:val="22"/>
          <w:u w:val="single"/>
        </w:rPr>
        <w:t>Obal kapsuly</w:t>
      </w:r>
    </w:p>
    <w:p w14:paraId="3AAB10DE" w14:textId="77777777" w:rsidR="00FA71B4" w:rsidRPr="00B048EB" w:rsidRDefault="00FA71B4" w:rsidP="00F31FEF">
      <w:pPr>
        <w:tabs>
          <w:tab w:val="left" w:pos="567"/>
        </w:tabs>
        <w:rPr>
          <w:sz w:val="22"/>
          <w:szCs w:val="22"/>
        </w:rPr>
      </w:pPr>
      <w:r w:rsidRPr="00B048EB">
        <w:rPr>
          <w:sz w:val="22"/>
          <w:szCs w:val="22"/>
        </w:rPr>
        <w:t>želatína</w:t>
      </w:r>
    </w:p>
    <w:p w14:paraId="4FB2F9E0" w14:textId="77777777" w:rsidR="00FA71B4" w:rsidRPr="00B048EB" w:rsidRDefault="00FA71B4" w:rsidP="00F31FEF">
      <w:pPr>
        <w:tabs>
          <w:tab w:val="left" w:pos="567"/>
        </w:tabs>
        <w:rPr>
          <w:sz w:val="22"/>
          <w:szCs w:val="22"/>
        </w:rPr>
      </w:pPr>
      <w:r w:rsidRPr="00B048EB">
        <w:rPr>
          <w:sz w:val="22"/>
          <w:szCs w:val="22"/>
        </w:rPr>
        <w:lastRenderedPageBreak/>
        <w:t>oxid titaničitý E171</w:t>
      </w:r>
    </w:p>
    <w:p w14:paraId="2028EF6D" w14:textId="77777777" w:rsidR="00FA71B4" w:rsidRPr="00DE5A3E" w:rsidRDefault="00FA71B4" w:rsidP="00F31FEF">
      <w:pPr>
        <w:tabs>
          <w:tab w:val="left" w:pos="567"/>
        </w:tabs>
        <w:rPr>
          <w:sz w:val="22"/>
        </w:rPr>
      </w:pPr>
    </w:p>
    <w:p w14:paraId="5D75F566" w14:textId="29A97BD6" w:rsidR="00FA71B4" w:rsidRPr="00DE5A3E" w:rsidRDefault="00FA71B4" w:rsidP="00DE5A3E">
      <w:pPr>
        <w:keepNext/>
        <w:widowControl/>
        <w:tabs>
          <w:tab w:val="left" w:pos="567"/>
        </w:tabs>
        <w:suppressAutoHyphens w:val="0"/>
        <w:rPr>
          <w:sz w:val="22"/>
          <w:u w:val="single"/>
        </w:rPr>
      </w:pPr>
      <w:r w:rsidRPr="00DE5A3E">
        <w:rPr>
          <w:sz w:val="22"/>
          <w:u w:val="single"/>
        </w:rPr>
        <w:t>Potlač kapsuly</w:t>
      </w:r>
    </w:p>
    <w:p w14:paraId="6D0AA283" w14:textId="77777777" w:rsidR="00695468" w:rsidRDefault="00695468" w:rsidP="00695468">
      <w:pPr>
        <w:tabs>
          <w:tab w:val="left" w:pos="567"/>
        </w:tabs>
        <w:rPr>
          <w:sz w:val="22"/>
          <w:szCs w:val="22"/>
        </w:rPr>
      </w:pPr>
      <w:r w:rsidRPr="003C5657">
        <w:rPr>
          <w:sz w:val="22"/>
          <w:szCs w:val="22"/>
        </w:rPr>
        <w:t>hlinitý lak indigokarmínu E132</w:t>
      </w:r>
      <w:r>
        <w:rPr>
          <w:sz w:val="22"/>
          <w:szCs w:val="22"/>
        </w:rPr>
        <w:t xml:space="preserve"> (CELEBREX 100 mg)</w:t>
      </w:r>
    </w:p>
    <w:p w14:paraId="4C097FFD" w14:textId="77777777" w:rsidR="00695468" w:rsidRDefault="00695468" w:rsidP="00695468">
      <w:pPr>
        <w:tabs>
          <w:tab w:val="left" w:pos="567"/>
        </w:tabs>
        <w:rPr>
          <w:sz w:val="22"/>
          <w:szCs w:val="22"/>
        </w:rPr>
      </w:pPr>
      <w:r>
        <w:rPr>
          <w:sz w:val="22"/>
          <w:szCs w:val="22"/>
        </w:rPr>
        <w:t xml:space="preserve">žltý oxid železitý </w:t>
      </w:r>
      <w:r w:rsidRPr="00872C8A">
        <w:rPr>
          <w:sz w:val="22"/>
          <w:szCs w:val="22"/>
        </w:rPr>
        <w:t>E172</w:t>
      </w:r>
      <w:r>
        <w:rPr>
          <w:sz w:val="22"/>
          <w:szCs w:val="22"/>
        </w:rPr>
        <w:t xml:space="preserve"> (CELEBREX 200 mg)</w:t>
      </w:r>
    </w:p>
    <w:p w14:paraId="11542ADD" w14:textId="77777777" w:rsidR="0072754C" w:rsidRDefault="0060318E" w:rsidP="00F31FEF">
      <w:pPr>
        <w:tabs>
          <w:tab w:val="left" w:pos="567"/>
        </w:tabs>
        <w:rPr>
          <w:sz w:val="22"/>
          <w:szCs w:val="22"/>
        </w:rPr>
      </w:pPr>
      <w:r w:rsidRPr="00E4745F">
        <w:rPr>
          <w:sz w:val="22"/>
          <w:szCs w:val="22"/>
        </w:rPr>
        <w:t>šelak</w:t>
      </w:r>
    </w:p>
    <w:p w14:paraId="7004FCF8" w14:textId="77777777" w:rsidR="0072754C" w:rsidRDefault="0072754C" w:rsidP="00F31FEF">
      <w:pPr>
        <w:tabs>
          <w:tab w:val="left" w:pos="567"/>
        </w:tabs>
        <w:rPr>
          <w:sz w:val="22"/>
          <w:szCs w:val="22"/>
        </w:rPr>
      </w:pPr>
      <w:r w:rsidRPr="00720EE0">
        <w:rPr>
          <w:sz w:val="22"/>
          <w:szCs w:val="22"/>
        </w:rPr>
        <w:t>propylénglykol</w:t>
      </w:r>
    </w:p>
    <w:p w14:paraId="4FE17488" w14:textId="77777777" w:rsidR="00FA71B4" w:rsidRPr="00B048EB" w:rsidRDefault="00FA71B4" w:rsidP="00F31FEF">
      <w:pPr>
        <w:tabs>
          <w:tab w:val="left" w:pos="567"/>
        </w:tabs>
        <w:rPr>
          <w:sz w:val="22"/>
          <w:szCs w:val="22"/>
        </w:rPr>
      </w:pPr>
    </w:p>
    <w:p w14:paraId="17406BE9" w14:textId="77777777" w:rsidR="00FA71B4" w:rsidRPr="00B048EB" w:rsidRDefault="00FA71B4" w:rsidP="00370DBB">
      <w:pPr>
        <w:pStyle w:val="Normln"/>
        <w:keepNext/>
        <w:tabs>
          <w:tab w:val="left" w:pos="567"/>
        </w:tabs>
        <w:rPr>
          <w:b/>
          <w:sz w:val="22"/>
          <w:szCs w:val="22"/>
          <w:lang w:val="sk-SK"/>
        </w:rPr>
      </w:pPr>
      <w:r w:rsidRPr="00B048EB">
        <w:rPr>
          <w:b/>
          <w:sz w:val="22"/>
          <w:szCs w:val="22"/>
          <w:lang w:val="sk-SK"/>
        </w:rPr>
        <w:t>6.2</w:t>
      </w:r>
      <w:r w:rsidRPr="00B048EB">
        <w:rPr>
          <w:b/>
          <w:sz w:val="22"/>
          <w:szCs w:val="22"/>
          <w:lang w:val="sk-SK"/>
        </w:rPr>
        <w:tab/>
        <w:t>Inkompatibility</w:t>
      </w:r>
    </w:p>
    <w:p w14:paraId="1D788FB4" w14:textId="77777777" w:rsidR="00FA71B4" w:rsidRPr="00B048EB" w:rsidRDefault="00FA71B4" w:rsidP="00370DBB">
      <w:pPr>
        <w:pStyle w:val="Normln"/>
        <w:keepNext/>
        <w:tabs>
          <w:tab w:val="left" w:pos="567"/>
        </w:tabs>
        <w:rPr>
          <w:sz w:val="22"/>
          <w:szCs w:val="22"/>
          <w:lang w:val="sk-SK"/>
        </w:rPr>
      </w:pPr>
    </w:p>
    <w:p w14:paraId="352DBFDD" w14:textId="77777777" w:rsidR="00FA71B4" w:rsidRPr="00B048EB" w:rsidRDefault="00FA71B4" w:rsidP="00370DBB">
      <w:pPr>
        <w:keepNext/>
        <w:tabs>
          <w:tab w:val="left" w:pos="0"/>
          <w:tab w:val="left" w:pos="567"/>
        </w:tabs>
        <w:rPr>
          <w:sz w:val="22"/>
          <w:szCs w:val="22"/>
        </w:rPr>
      </w:pPr>
      <w:r w:rsidRPr="00B048EB">
        <w:rPr>
          <w:sz w:val="22"/>
          <w:szCs w:val="22"/>
        </w:rPr>
        <w:t>Neaplikovateľné.</w:t>
      </w:r>
    </w:p>
    <w:p w14:paraId="37264219" w14:textId="77777777" w:rsidR="00FA71B4" w:rsidRPr="00B048EB" w:rsidRDefault="00FA71B4" w:rsidP="000F2C6E">
      <w:pPr>
        <w:pStyle w:val="Normln"/>
        <w:tabs>
          <w:tab w:val="left" w:pos="567"/>
        </w:tabs>
        <w:rPr>
          <w:sz w:val="22"/>
          <w:szCs w:val="22"/>
          <w:lang w:val="sk-SK"/>
        </w:rPr>
      </w:pPr>
    </w:p>
    <w:p w14:paraId="51C2977E" w14:textId="77777777" w:rsidR="00FA71B4" w:rsidRPr="00B048EB" w:rsidRDefault="00FA71B4" w:rsidP="00DE5A3E">
      <w:pPr>
        <w:pStyle w:val="Normln"/>
        <w:keepNext/>
        <w:tabs>
          <w:tab w:val="left" w:pos="567"/>
        </w:tabs>
        <w:rPr>
          <w:b/>
          <w:sz w:val="22"/>
          <w:szCs w:val="22"/>
          <w:lang w:val="sk-SK"/>
        </w:rPr>
      </w:pPr>
      <w:r w:rsidRPr="00B048EB">
        <w:rPr>
          <w:b/>
          <w:sz w:val="22"/>
          <w:szCs w:val="22"/>
          <w:lang w:val="sk-SK"/>
        </w:rPr>
        <w:t>6.3</w:t>
      </w:r>
      <w:r w:rsidRPr="00B048EB">
        <w:rPr>
          <w:b/>
          <w:sz w:val="22"/>
          <w:szCs w:val="22"/>
          <w:lang w:val="sk-SK"/>
        </w:rPr>
        <w:tab/>
        <w:t>Čas použiteľnosti</w:t>
      </w:r>
    </w:p>
    <w:p w14:paraId="313A9185" w14:textId="77777777" w:rsidR="00FA71B4" w:rsidRPr="00B048EB" w:rsidRDefault="00FA71B4" w:rsidP="00DE5A3E">
      <w:pPr>
        <w:pStyle w:val="Normln"/>
        <w:keepNext/>
        <w:tabs>
          <w:tab w:val="left" w:pos="567"/>
        </w:tabs>
        <w:rPr>
          <w:sz w:val="22"/>
          <w:szCs w:val="22"/>
          <w:lang w:val="sk-SK"/>
        </w:rPr>
      </w:pPr>
    </w:p>
    <w:p w14:paraId="2EED5F81" w14:textId="77777777" w:rsidR="00FA71B4" w:rsidRPr="00B048EB" w:rsidRDefault="00FA71B4" w:rsidP="00DE5A3E">
      <w:pPr>
        <w:pStyle w:val="Normln"/>
        <w:keepNext/>
        <w:tabs>
          <w:tab w:val="left" w:pos="567"/>
        </w:tabs>
        <w:rPr>
          <w:sz w:val="22"/>
          <w:szCs w:val="22"/>
          <w:lang w:val="sk-SK"/>
        </w:rPr>
      </w:pPr>
      <w:r w:rsidRPr="00B048EB">
        <w:rPr>
          <w:sz w:val="22"/>
          <w:szCs w:val="22"/>
          <w:lang w:val="sk-SK"/>
        </w:rPr>
        <w:t>3 roky</w:t>
      </w:r>
    </w:p>
    <w:p w14:paraId="63759694" w14:textId="77777777" w:rsidR="00FA71B4" w:rsidRPr="00B048EB" w:rsidRDefault="00FA71B4" w:rsidP="000F2C6E">
      <w:pPr>
        <w:pStyle w:val="Normln"/>
        <w:tabs>
          <w:tab w:val="left" w:pos="567"/>
        </w:tabs>
        <w:rPr>
          <w:sz w:val="22"/>
          <w:szCs w:val="22"/>
          <w:lang w:val="sk-SK"/>
        </w:rPr>
      </w:pPr>
    </w:p>
    <w:p w14:paraId="311E86E1" w14:textId="77777777" w:rsidR="00FA71B4" w:rsidRPr="00B048EB" w:rsidRDefault="00FA71B4" w:rsidP="00DE5A3E">
      <w:pPr>
        <w:pStyle w:val="Normln"/>
        <w:keepNext/>
        <w:tabs>
          <w:tab w:val="left" w:pos="567"/>
        </w:tabs>
        <w:rPr>
          <w:b/>
          <w:sz w:val="22"/>
          <w:szCs w:val="22"/>
          <w:lang w:val="sk-SK"/>
        </w:rPr>
      </w:pPr>
      <w:r w:rsidRPr="00B048EB">
        <w:rPr>
          <w:b/>
          <w:sz w:val="22"/>
          <w:szCs w:val="22"/>
          <w:lang w:val="sk-SK"/>
        </w:rPr>
        <w:t>6.4</w:t>
      </w:r>
      <w:r w:rsidRPr="00B048EB">
        <w:rPr>
          <w:b/>
          <w:sz w:val="22"/>
          <w:szCs w:val="22"/>
          <w:lang w:val="sk-SK"/>
        </w:rPr>
        <w:tab/>
        <w:t>Špeciálne upozornenia na uchovávanie</w:t>
      </w:r>
    </w:p>
    <w:p w14:paraId="7B293AC7" w14:textId="77777777" w:rsidR="00FA71B4" w:rsidRPr="00B048EB" w:rsidRDefault="00FA71B4" w:rsidP="00DE5A3E">
      <w:pPr>
        <w:pStyle w:val="Normln"/>
        <w:keepNext/>
        <w:tabs>
          <w:tab w:val="left" w:pos="567"/>
        </w:tabs>
        <w:rPr>
          <w:sz w:val="22"/>
          <w:szCs w:val="22"/>
          <w:lang w:val="sk-SK"/>
        </w:rPr>
      </w:pPr>
    </w:p>
    <w:p w14:paraId="77C0EAB6" w14:textId="77777777" w:rsidR="00FA71B4" w:rsidRPr="00B048EB" w:rsidRDefault="00FA71B4" w:rsidP="004327C3">
      <w:pPr>
        <w:pStyle w:val="Normln"/>
        <w:tabs>
          <w:tab w:val="left" w:pos="567"/>
        </w:tabs>
        <w:rPr>
          <w:sz w:val="22"/>
          <w:szCs w:val="22"/>
          <w:lang w:val="sk-SK"/>
        </w:rPr>
      </w:pPr>
      <w:r w:rsidRPr="00B048EB">
        <w:rPr>
          <w:sz w:val="22"/>
          <w:szCs w:val="22"/>
          <w:lang w:val="sk-SK"/>
        </w:rPr>
        <w:t>Uchovávajte pri teplote neprevyšujúcej 30 </w:t>
      </w:r>
      <w:r w:rsidR="00F47A4E" w:rsidRPr="00B048EB">
        <w:rPr>
          <w:sz w:val="22"/>
          <w:szCs w:val="22"/>
          <w:lang w:val="sk-SK"/>
        </w:rPr>
        <w:t>º</w:t>
      </w:r>
      <w:r w:rsidRPr="00B048EB">
        <w:rPr>
          <w:sz w:val="22"/>
          <w:szCs w:val="22"/>
          <w:lang w:val="sk-SK"/>
        </w:rPr>
        <w:t>C.</w:t>
      </w:r>
    </w:p>
    <w:p w14:paraId="3EF9433A" w14:textId="77777777" w:rsidR="00FA71B4" w:rsidRPr="00B048EB" w:rsidRDefault="00FA71B4" w:rsidP="004327C3">
      <w:pPr>
        <w:pStyle w:val="Normln"/>
        <w:tabs>
          <w:tab w:val="left" w:pos="567"/>
        </w:tabs>
        <w:rPr>
          <w:sz w:val="22"/>
          <w:szCs w:val="22"/>
          <w:lang w:val="sk-SK"/>
        </w:rPr>
      </w:pPr>
    </w:p>
    <w:p w14:paraId="7B94CC54" w14:textId="6C866BE2" w:rsidR="00FA71B4" w:rsidRPr="00B048EB" w:rsidRDefault="00FA71B4" w:rsidP="00DE5A3E">
      <w:pPr>
        <w:pStyle w:val="Normln"/>
        <w:keepNext/>
        <w:tabs>
          <w:tab w:val="left" w:pos="567"/>
        </w:tabs>
        <w:rPr>
          <w:b/>
          <w:spacing w:val="8"/>
          <w:sz w:val="22"/>
          <w:szCs w:val="22"/>
          <w:lang w:val="sk-SK"/>
        </w:rPr>
      </w:pPr>
      <w:r w:rsidRPr="00B048EB">
        <w:rPr>
          <w:b/>
          <w:spacing w:val="8"/>
          <w:sz w:val="22"/>
          <w:szCs w:val="22"/>
          <w:lang w:val="sk-SK"/>
        </w:rPr>
        <w:t>6.5</w:t>
      </w:r>
      <w:r w:rsidRPr="00B048EB">
        <w:rPr>
          <w:b/>
          <w:spacing w:val="8"/>
          <w:sz w:val="22"/>
          <w:szCs w:val="22"/>
          <w:lang w:val="sk-SK"/>
        </w:rPr>
        <w:tab/>
        <w:t>Druh obalu</w:t>
      </w:r>
      <w:r w:rsidR="00731C93">
        <w:rPr>
          <w:b/>
          <w:spacing w:val="8"/>
          <w:sz w:val="22"/>
          <w:szCs w:val="22"/>
          <w:lang w:val="sk-SK"/>
        </w:rPr>
        <w:t xml:space="preserve"> a </w:t>
      </w:r>
      <w:r w:rsidRPr="00B048EB">
        <w:rPr>
          <w:b/>
          <w:spacing w:val="8"/>
          <w:sz w:val="22"/>
          <w:szCs w:val="22"/>
          <w:lang w:val="sk-SK"/>
        </w:rPr>
        <w:t>obsah balenia</w:t>
      </w:r>
    </w:p>
    <w:p w14:paraId="166F9E91" w14:textId="77777777" w:rsidR="00FA71B4" w:rsidRPr="00B048EB" w:rsidRDefault="00FA71B4" w:rsidP="00DE5A3E">
      <w:pPr>
        <w:pStyle w:val="Normln"/>
        <w:keepNext/>
        <w:tabs>
          <w:tab w:val="left" w:pos="567"/>
        </w:tabs>
        <w:rPr>
          <w:sz w:val="22"/>
          <w:szCs w:val="22"/>
          <w:lang w:val="sk-SK"/>
        </w:rPr>
      </w:pPr>
    </w:p>
    <w:p w14:paraId="5322D174" w14:textId="7BE5A0C1" w:rsidR="00FA71B4" w:rsidRPr="00B048EB" w:rsidRDefault="00FA71B4" w:rsidP="001F5C55">
      <w:pPr>
        <w:pStyle w:val="Normln"/>
        <w:numPr>
          <w:ilvl w:val="0"/>
          <w:numId w:val="7"/>
        </w:numPr>
        <w:tabs>
          <w:tab w:val="left" w:pos="567"/>
        </w:tabs>
        <w:ind w:left="567" w:hanging="567"/>
        <w:rPr>
          <w:sz w:val="22"/>
          <w:szCs w:val="22"/>
          <w:lang w:val="sk-SK"/>
        </w:rPr>
      </w:pPr>
      <w:r w:rsidRPr="00B048EB">
        <w:rPr>
          <w:sz w:val="22"/>
          <w:szCs w:val="22"/>
          <w:lang w:val="sk-SK"/>
        </w:rPr>
        <w:t xml:space="preserve">priehľadné alebo nepriehľadné blistre </w:t>
      </w:r>
      <w:r w:rsidR="009B0D24">
        <w:rPr>
          <w:sz w:val="22"/>
          <w:szCs w:val="22"/>
          <w:lang w:val="sk-SK"/>
        </w:rPr>
        <w:t xml:space="preserve">typu </w:t>
      </w:r>
      <w:r w:rsidRPr="00B048EB">
        <w:rPr>
          <w:sz w:val="22"/>
          <w:szCs w:val="22"/>
          <w:lang w:val="sk-SK"/>
        </w:rPr>
        <w:t>PVC/aklar/hliníková fólia</w:t>
      </w:r>
    </w:p>
    <w:p w14:paraId="79CA327E" w14:textId="77777777" w:rsidR="00FA71B4" w:rsidRPr="00B048EB" w:rsidRDefault="00FA71B4" w:rsidP="001F5C55">
      <w:pPr>
        <w:pStyle w:val="Normln"/>
        <w:numPr>
          <w:ilvl w:val="0"/>
          <w:numId w:val="7"/>
        </w:numPr>
        <w:tabs>
          <w:tab w:val="left" w:pos="567"/>
        </w:tabs>
        <w:ind w:left="567" w:hanging="567"/>
        <w:rPr>
          <w:sz w:val="22"/>
          <w:szCs w:val="22"/>
          <w:lang w:val="sk-SK"/>
        </w:rPr>
      </w:pPr>
      <w:r w:rsidRPr="00B048EB">
        <w:rPr>
          <w:sz w:val="22"/>
          <w:szCs w:val="22"/>
          <w:lang w:val="sk-SK"/>
        </w:rPr>
        <w:t xml:space="preserve">priehľadné alebo nepriehľadné blistre </w:t>
      </w:r>
      <w:r w:rsidR="009B0D24">
        <w:rPr>
          <w:sz w:val="22"/>
          <w:szCs w:val="22"/>
          <w:lang w:val="sk-SK"/>
        </w:rPr>
        <w:t xml:space="preserve">typu </w:t>
      </w:r>
      <w:r w:rsidRPr="00B048EB">
        <w:rPr>
          <w:sz w:val="22"/>
          <w:szCs w:val="22"/>
          <w:lang w:val="sk-SK"/>
        </w:rPr>
        <w:t xml:space="preserve">PVC/hliníková fólia </w:t>
      </w:r>
    </w:p>
    <w:p w14:paraId="5D00066E" w14:textId="77777777" w:rsidR="00FA71B4" w:rsidRPr="00B048EB" w:rsidRDefault="00FA71B4" w:rsidP="00F31FEF">
      <w:pPr>
        <w:pStyle w:val="Normln"/>
        <w:numPr>
          <w:ilvl w:val="0"/>
          <w:numId w:val="7"/>
        </w:numPr>
        <w:tabs>
          <w:tab w:val="left" w:pos="567"/>
        </w:tabs>
        <w:ind w:left="567" w:hanging="567"/>
        <w:rPr>
          <w:sz w:val="22"/>
          <w:szCs w:val="22"/>
          <w:lang w:val="sk-SK"/>
        </w:rPr>
      </w:pPr>
      <w:r w:rsidRPr="00B048EB">
        <w:rPr>
          <w:sz w:val="22"/>
          <w:szCs w:val="22"/>
          <w:lang w:val="sk-SK"/>
        </w:rPr>
        <w:t>hliníkové chladom tvarované blistre</w:t>
      </w:r>
    </w:p>
    <w:p w14:paraId="65039123" w14:textId="77777777" w:rsidR="00FA71B4" w:rsidRPr="00B048EB" w:rsidRDefault="00FA71B4" w:rsidP="00F31FEF">
      <w:pPr>
        <w:pStyle w:val="Normln"/>
        <w:tabs>
          <w:tab w:val="left" w:pos="567"/>
        </w:tabs>
        <w:rPr>
          <w:sz w:val="22"/>
          <w:szCs w:val="22"/>
          <w:lang w:val="sk-SK"/>
        </w:rPr>
      </w:pPr>
    </w:p>
    <w:p w14:paraId="54E3CA20" w14:textId="77777777" w:rsidR="00FA71B4" w:rsidRPr="00B048EB" w:rsidRDefault="00BD63AD" w:rsidP="00DE5A3E">
      <w:pPr>
        <w:keepNext/>
        <w:tabs>
          <w:tab w:val="left" w:pos="567"/>
        </w:tabs>
        <w:rPr>
          <w:bCs/>
          <w:sz w:val="22"/>
          <w:szCs w:val="22"/>
          <w:u w:val="single"/>
        </w:rPr>
      </w:pPr>
      <w:r w:rsidRPr="00B048EB">
        <w:rPr>
          <w:bCs/>
          <w:sz w:val="22"/>
          <w:szCs w:val="22"/>
          <w:u w:val="single"/>
        </w:rPr>
        <w:t>CELEBREX</w:t>
      </w:r>
      <w:r w:rsidR="00FA71B4" w:rsidRPr="00B048EB">
        <w:rPr>
          <w:sz w:val="22"/>
          <w:szCs w:val="22"/>
          <w:u w:val="single"/>
        </w:rPr>
        <w:t xml:space="preserve"> </w:t>
      </w:r>
      <w:r w:rsidR="00FA71B4" w:rsidRPr="00B048EB">
        <w:rPr>
          <w:bCs/>
          <w:caps/>
          <w:sz w:val="22"/>
          <w:szCs w:val="22"/>
          <w:u w:val="single"/>
        </w:rPr>
        <w:t xml:space="preserve">100 </w:t>
      </w:r>
      <w:r w:rsidR="00FA71B4" w:rsidRPr="00B048EB">
        <w:rPr>
          <w:bCs/>
          <w:sz w:val="22"/>
          <w:szCs w:val="22"/>
          <w:u w:val="single"/>
        </w:rPr>
        <w:t xml:space="preserve">mg: </w:t>
      </w:r>
    </w:p>
    <w:p w14:paraId="41CE025E" w14:textId="77777777" w:rsidR="00FA71B4" w:rsidRPr="00B048EB" w:rsidRDefault="00FA71B4" w:rsidP="00F31FEF">
      <w:pPr>
        <w:pStyle w:val="Normln"/>
        <w:tabs>
          <w:tab w:val="left" w:pos="567"/>
        </w:tabs>
        <w:rPr>
          <w:sz w:val="22"/>
          <w:szCs w:val="22"/>
          <w:lang w:val="sk-SK"/>
        </w:rPr>
      </w:pPr>
      <w:r w:rsidRPr="00B048EB">
        <w:rPr>
          <w:sz w:val="22"/>
          <w:szCs w:val="22"/>
          <w:lang w:val="sk-SK"/>
        </w:rPr>
        <w:t>Balenia po 10, 20, 30, 40, 50, 60 alebo 100 tvrdých kapsúl.</w:t>
      </w:r>
    </w:p>
    <w:p w14:paraId="173DBAB3" w14:textId="77777777" w:rsidR="00FA71B4" w:rsidRPr="00B048EB" w:rsidRDefault="00FA71B4" w:rsidP="00F31FEF">
      <w:pPr>
        <w:tabs>
          <w:tab w:val="left" w:pos="567"/>
        </w:tabs>
        <w:ind w:left="567" w:hanging="567"/>
        <w:rPr>
          <w:b/>
          <w:bCs/>
          <w:sz w:val="22"/>
          <w:szCs w:val="22"/>
        </w:rPr>
      </w:pPr>
    </w:p>
    <w:p w14:paraId="363023BE" w14:textId="77777777" w:rsidR="00FA71B4" w:rsidRPr="00B048EB" w:rsidRDefault="00BD63AD" w:rsidP="00DE5A3E">
      <w:pPr>
        <w:keepNext/>
        <w:tabs>
          <w:tab w:val="left" w:pos="567"/>
        </w:tabs>
        <w:rPr>
          <w:bCs/>
          <w:sz w:val="22"/>
          <w:szCs w:val="22"/>
          <w:u w:val="single"/>
        </w:rPr>
      </w:pPr>
      <w:r w:rsidRPr="00B048EB">
        <w:rPr>
          <w:bCs/>
          <w:sz w:val="22"/>
          <w:szCs w:val="22"/>
          <w:u w:val="single"/>
        </w:rPr>
        <w:t>CELEBREX</w:t>
      </w:r>
      <w:r w:rsidR="00FA71B4" w:rsidRPr="00B048EB">
        <w:rPr>
          <w:sz w:val="22"/>
          <w:szCs w:val="22"/>
          <w:u w:val="single"/>
        </w:rPr>
        <w:t xml:space="preserve"> </w:t>
      </w:r>
      <w:r w:rsidR="00FA71B4" w:rsidRPr="00B048EB">
        <w:rPr>
          <w:bCs/>
          <w:caps/>
          <w:sz w:val="22"/>
          <w:szCs w:val="22"/>
          <w:u w:val="single"/>
        </w:rPr>
        <w:t xml:space="preserve">200 </w:t>
      </w:r>
      <w:r w:rsidR="00FA71B4" w:rsidRPr="00B048EB">
        <w:rPr>
          <w:bCs/>
          <w:sz w:val="22"/>
          <w:szCs w:val="22"/>
          <w:u w:val="single"/>
        </w:rPr>
        <w:t xml:space="preserve">mg: </w:t>
      </w:r>
    </w:p>
    <w:p w14:paraId="6FD80B22" w14:textId="77777777" w:rsidR="00FA71B4" w:rsidRPr="00B048EB" w:rsidRDefault="00FA71B4" w:rsidP="00F31FEF">
      <w:pPr>
        <w:pStyle w:val="Normln"/>
        <w:tabs>
          <w:tab w:val="left" w:pos="567"/>
        </w:tabs>
        <w:rPr>
          <w:sz w:val="22"/>
          <w:szCs w:val="22"/>
          <w:lang w:val="sk-SK"/>
        </w:rPr>
      </w:pPr>
      <w:r w:rsidRPr="00B048EB">
        <w:rPr>
          <w:sz w:val="22"/>
          <w:szCs w:val="22"/>
          <w:lang w:val="sk-SK"/>
        </w:rPr>
        <w:t>Balenia po 10, 20, 30, 40, 50, 60 alebo 100 tvrdých kapsúl.</w:t>
      </w:r>
    </w:p>
    <w:p w14:paraId="4E3012C2" w14:textId="77777777" w:rsidR="00FA71B4" w:rsidRPr="00B048EB" w:rsidRDefault="00FA71B4" w:rsidP="00F31FEF">
      <w:pPr>
        <w:pStyle w:val="Normln"/>
        <w:tabs>
          <w:tab w:val="left" w:pos="567"/>
        </w:tabs>
        <w:rPr>
          <w:sz w:val="22"/>
          <w:szCs w:val="22"/>
          <w:lang w:val="sk-SK"/>
        </w:rPr>
      </w:pPr>
    </w:p>
    <w:p w14:paraId="254C7C9D" w14:textId="77777777" w:rsidR="00FA71B4" w:rsidRPr="00B048EB" w:rsidRDefault="00FA71B4" w:rsidP="00F31FEF">
      <w:pPr>
        <w:pStyle w:val="Normln"/>
        <w:tabs>
          <w:tab w:val="left" w:pos="567"/>
        </w:tabs>
        <w:rPr>
          <w:sz w:val="22"/>
          <w:szCs w:val="22"/>
          <w:lang w:val="sk-SK"/>
        </w:rPr>
      </w:pPr>
      <w:r w:rsidRPr="00B048EB">
        <w:rPr>
          <w:sz w:val="22"/>
          <w:szCs w:val="22"/>
          <w:lang w:val="sk-SK"/>
        </w:rPr>
        <w:t>Na trh nemusia byť uvedené všetky veľkosti balenia.</w:t>
      </w:r>
    </w:p>
    <w:p w14:paraId="0255483D" w14:textId="77777777" w:rsidR="00FA71B4" w:rsidRPr="00B048EB" w:rsidRDefault="00FA71B4" w:rsidP="00F31FEF">
      <w:pPr>
        <w:pStyle w:val="Normln"/>
        <w:tabs>
          <w:tab w:val="left" w:pos="567"/>
        </w:tabs>
        <w:rPr>
          <w:sz w:val="22"/>
          <w:szCs w:val="22"/>
          <w:lang w:val="sk-SK"/>
        </w:rPr>
      </w:pPr>
    </w:p>
    <w:p w14:paraId="1CC0FE4A" w14:textId="044860BF" w:rsidR="00FA71B4" w:rsidRPr="00B048EB" w:rsidRDefault="00FA71B4" w:rsidP="00DE5A3E">
      <w:pPr>
        <w:pStyle w:val="Normln"/>
        <w:keepNext/>
        <w:tabs>
          <w:tab w:val="left" w:pos="567"/>
        </w:tabs>
        <w:rPr>
          <w:b/>
          <w:sz w:val="22"/>
          <w:szCs w:val="22"/>
          <w:lang w:val="sk-SK"/>
        </w:rPr>
      </w:pPr>
      <w:r w:rsidRPr="00B048EB">
        <w:rPr>
          <w:b/>
          <w:sz w:val="22"/>
          <w:szCs w:val="22"/>
          <w:lang w:val="sk-SK"/>
        </w:rPr>
        <w:t>6.6</w:t>
      </w:r>
      <w:r w:rsidRPr="00B048EB">
        <w:rPr>
          <w:b/>
          <w:sz w:val="22"/>
          <w:szCs w:val="22"/>
          <w:lang w:val="sk-SK"/>
        </w:rPr>
        <w:tab/>
        <w:t>Špeciálne opatrenia na likvidáciu</w:t>
      </w:r>
      <w:r w:rsidR="00731C93">
        <w:rPr>
          <w:b/>
          <w:bCs/>
          <w:sz w:val="22"/>
          <w:szCs w:val="22"/>
          <w:lang w:val="sk-SK"/>
        </w:rPr>
        <w:t xml:space="preserve"> a </w:t>
      </w:r>
      <w:r w:rsidRPr="00B048EB">
        <w:rPr>
          <w:b/>
          <w:bCs/>
          <w:sz w:val="22"/>
          <w:szCs w:val="22"/>
          <w:lang w:val="sk-SK"/>
        </w:rPr>
        <w:t>iné zaobchádzanie</w:t>
      </w:r>
      <w:r w:rsidR="00731C93">
        <w:rPr>
          <w:b/>
          <w:bCs/>
          <w:sz w:val="22"/>
          <w:szCs w:val="22"/>
          <w:lang w:val="sk-SK"/>
        </w:rPr>
        <w:t xml:space="preserve"> s </w:t>
      </w:r>
      <w:r w:rsidRPr="00B048EB">
        <w:rPr>
          <w:b/>
          <w:bCs/>
          <w:sz w:val="22"/>
          <w:szCs w:val="22"/>
          <w:lang w:val="sk-SK"/>
        </w:rPr>
        <w:t>liekom</w:t>
      </w:r>
    </w:p>
    <w:p w14:paraId="32E82438" w14:textId="77777777" w:rsidR="00FA71B4" w:rsidRPr="00B048EB" w:rsidRDefault="00FA71B4" w:rsidP="00DE5A3E">
      <w:pPr>
        <w:pStyle w:val="Normln"/>
        <w:keepNext/>
        <w:tabs>
          <w:tab w:val="left" w:pos="567"/>
        </w:tabs>
        <w:rPr>
          <w:sz w:val="22"/>
          <w:szCs w:val="22"/>
          <w:lang w:val="sk-SK"/>
        </w:rPr>
      </w:pPr>
    </w:p>
    <w:p w14:paraId="0EC23FD4" w14:textId="77CEBFCA" w:rsidR="00FA71B4" w:rsidRPr="00B048EB" w:rsidRDefault="00A11E7D" w:rsidP="00F31FEF">
      <w:pPr>
        <w:pStyle w:val="Normln"/>
        <w:tabs>
          <w:tab w:val="left" w:pos="567"/>
        </w:tabs>
        <w:rPr>
          <w:sz w:val="22"/>
          <w:szCs w:val="22"/>
          <w:lang w:val="sk-SK"/>
        </w:rPr>
      </w:pPr>
      <w:r w:rsidRPr="00A11E7D">
        <w:rPr>
          <w:sz w:val="22"/>
          <w:szCs w:val="22"/>
          <w:lang w:val="sk-SK"/>
        </w:rPr>
        <w:t>Všetok nepoužitý liek alebo odpad vzniknutý</w:t>
      </w:r>
      <w:r w:rsidR="00731C93">
        <w:rPr>
          <w:sz w:val="22"/>
          <w:szCs w:val="22"/>
          <w:lang w:val="sk-SK"/>
        </w:rPr>
        <w:t xml:space="preserve"> z </w:t>
      </w:r>
      <w:r w:rsidRPr="00A11E7D">
        <w:rPr>
          <w:sz w:val="22"/>
          <w:szCs w:val="22"/>
          <w:lang w:val="sk-SK"/>
        </w:rPr>
        <w:t>lieku sa má zlikvidovať</w:t>
      </w:r>
      <w:r w:rsidR="00731C93">
        <w:rPr>
          <w:sz w:val="22"/>
          <w:szCs w:val="22"/>
          <w:lang w:val="sk-SK"/>
        </w:rPr>
        <w:t xml:space="preserve"> v </w:t>
      </w:r>
      <w:r w:rsidRPr="00A11E7D">
        <w:rPr>
          <w:sz w:val="22"/>
          <w:szCs w:val="22"/>
          <w:lang w:val="sk-SK"/>
        </w:rPr>
        <w:t>súlade</w:t>
      </w:r>
      <w:r w:rsidR="00731C93">
        <w:rPr>
          <w:sz w:val="22"/>
          <w:szCs w:val="22"/>
          <w:lang w:val="sk-SK"/>
        </w:rPr>
        <w:t xml:space="preserve"> s </w:t>
      </w:r>
      <w:r w:rsidRPr="00A11E7D">
        <w:rPr>
          <w:sz w:val="22"/>
          <w:szCs w:val="22"/>
          <w:lang w:val="sk-SK"/>
        </w:rPr>
        <w:t>národnými požiadavkami.</w:t>
      </w:r>
    </w:p>
    <w:p w14:paraId="4D17666E" w14:textId="77777777" w:rsidR="00FA71B4" w:rsidRPr="00B048EB" w:rsidRDefault="00FA71B4" w:rsidP="00F31FEF">
      <w:pPr>
        <w:pStyle w:val="Normln"/>
        <w:tabs>
          <w:tab w:val="left" w:pos="567"/>
        </w:tabs>
        <w:rPr>
          <w:sz w:val="22"/>
          <w:szCs w:val="22"/>
          <w:lang w:val="sk-SK"/>
        </w:rPr>
      </w:pPr>
    </w:p>
    <w:p w14:paraId="15C16F91" w14:textId="77777777" w:rsidR="00FA71B4" w:rsidRPr="00B048EB" w:rsidRDefault="00FA71B4" w:rsidP="00F31FEF">
      <w:pPr>
        <w:pStyle w:val="Normln"/>
        <w:tabs>
          <w:tab w:val="left" w:pos="567"/>
        </w:tabs>
        <w:rPr>
          <w:sz w:val="22"/>
          <w:szCs w:val="22"/>
          <w:lang w:val="sk-SK"/>
        </w:rPr>
      </w:pPr>
    </w:p>
    <w:p w14:paraId="38E1CCD7" w14:textId="04303B12" w:rsidR="00FA71B4" w:rsidRPr="00B048EB" w:rsidRDefault="00FA71B4" w:rsidP="00F31FEF">
      <w:pPr>
        <w:pStyle w:val="Normln"/>
        <w:keepNext/>
        <w:tabs>
          <w:tab w:val="left" w:pos="567"/>
        </w:tabs>
        <w:rPr>
          <w:b/>
          <w:sz w:val="22"/>
          <w:szCs w:val="22"/>
          <w:lang w:val="sk-SK"/>
        </w:rPr>
      </w:pPr>
      <w:r w:rsidRPr="00B048EB">
        <w:rPr>
          <w:b/>
          <w:sz w:val="22"/>
          <w:szCs w:val="22"/>
          <w:lang w:val="sk-SK"/>
        </w:rPr>
        <w:t>7.</w:t>
      </w:r>
      <w:r w:rsidRPr="00B048EB">
        <w:rPr>
          <w:b/>
          <w:sz w:val="22"/>
          <w:szCs w:val="22"/>
          <w:lang w:val="sk-SK"/>
        </w:rPr>
        <w:tab/>
        <w:t>DRŽITEĽ ROZHODNUTIA O</w:t>
      </w:r>
      <w:r w:rsidR="00731C93">
        <w:rPr>
          <w:b/>
          <w:sz w:val="22"/>
          <w:szCs w:val="22"/>
          <w:lang w:val="sk-SK"/>
        </w:rPr>
        <w:t> </w:t>
      </w:r>
      <w:r w:rsidRPr="00B048EB">
        <w:rPr>
          <w:b/>
          <w:sz w:val="22"/>
          <w:szCs w:val="22"/>
          <w:lang w:val="sk-SK"/>
        </w:rPr>
        <w:t>REGISTRÁCII</w:t>
      </w:r>
    </w:p>
    <w:p w14:paraId="497C32AA" w14:textId="77777777" w:rsidR="00FA71B4" w:rsidRPr="00B048EB" w:rsidRDefault="00FA71B4" w:rsidP="00F31FEF">
      <w:pPr>
        <w:pStyle w:val="Normln"/>
        <w:keepNext/>
        <w:tabs>
          <w:tab w:val="left" w:pos="567"/>
        </w:tabs>
        <w:rPr>
          <w:sz w:val="22"/>
          <w:szCs w:val="22"/>
          <w:lang w:val="sk-SK"/>
        </w:rPr>
      </w:pPr>
    </w:p>
    <w:p w14:paraId="23B0C502" w14:textId="77777777" w:rsidR="00483F3D" w:rsidRPr="006D5EBA" w:rsidRDefault="00483F3D" w:rsidP="00483F3D">
      <w:pPr>
        <w:keepNext/>
        <w:rPr>
          <w:sz w:val="22"/>
          <w:szCs w:val="22"/>
        </w:rPr>
      </w:pPr>
      <w:bookmarkStart w:id="2" w:name="OLE_LINK1"/>
      <w:bookmarkStart w:id="3" w:name="OLE_LINK2"/>
      <w:r>
        <w:rPr>
          <w:sz w:val="22"/>
          <w:szCs w:val="22"/>
        </w:rPr>
        <w:t>Upjohn EESV</w:t>
      </w:r>
    </w:p>
    <w:p w14:paraId="4F829E9D" w14:textId="77777777" w:rsidR="00483F3D" w:rsidRPr="006D5EBA" w:rsidRDefault="00483F3D" w:rsidP="00483F3D">
      <w:pPr>
        <w:keepNext/>
        <w:rPr>
          <w:sz w:val="22"/>
          <w:szCs w:val="22"/>
        </w:rPr>
      </w:pPr>
      <w:r>
        <w:rPr>
          <w:sz w:val="22"/>
          <w:szCs w:val="22"/>
        </w:rPr>
        <w:t>Rivium Westlaan 142</w:t>
      </w:r>
    </w:p>
    <w:p w14:paraId="610BD269" w14:textId="77777777" w:rsidR="00483F3D" w:rsidRPr="006D5EBA" w:rsidRDefault="00483F3D" w:rsidP="00483F3D">
      <w:pPr>
        <w:keepNext/>
        <w:rPr>
          <w:sz w:val="22"/>
          <w:szCs w:val="22"/>
        </w:rPr>
      </w:pPr>
      <w:r>
        <w:rPr>
          <w:sz w:val="22"/>
          <w:szCs w:val="22"/>
        </w:rPr>
        <w:t>2909 LD Capelle aan den IJssel</w:t>
      </w:r>
    </w:p>
    <w:p w14:paraId="1E072F84" w14:textId="7CC9CD5D" w:rsidR="00911834" w:rsidRDefault="00483F3D" w:rsidP="00F31FEF">
      <w:pPr>
        <w:pStyle w:val="Normln"/>
        <w:tabs>
          <w:tab w:val="left" w:pos="567"/>
        </w:tabs>
        <w:rPr>
          <w:rFonts w:eastAsia="Times New Roman"/>
          <w:bCs/>
          <w:sz w:val="22"/>
          <w:szCs w:val="22"/>
          <w:lang w:val="sk-SK"/>
        </w:rPr>
      </w:pPr>
      <w:r>
        <w:rPr>
          <w:sz w:val="22"/>
          <w:szCs w:val="22"/>
        </w:rPr>
        <w:t>Holandsko</w:t>
      </w:r>
    </w:p>
    <w:bookmarkEnd w:id="2"/>
    <w:bookmarkEnd w:id="3"/>
    <w:p w14:paraId="14B6AD27" w14:textId="77777777" w:rsidR="00FA71B4" w:rsidRPr="00B048EB" w:rsidRDefault="00FA71B4" w:rsidP="00F31FEF">
      <w:pPr>
        <w:pStyle w:val="Normln"/>
        <w:tabs>
          <w:tab w:val="left" w:pos="567"/>
        </w:tabs>
        <w:rPr>
          <w:sz w:val="22"/>
          <w:szCs w:val="22"/>
          <w:lang w:val="sk-SK"/>
        </w:rPr>
      </w:pPr>
    </w:p>
    <w:p w14:paraId="3F1D6E9C" w14:textId="77777777" w:rsidR="00FA71B4" w:rsidRPr="00B048EB" w:rsidRDefault="00FA71B4" w:rsidP="00F31FEF">
      <w:pPr>
        <w:pStyle w:val="Normln"/>
        <w:tabs>
          <w:tab w:val="left" w:pos="567"/>
        </w:tabs>
        <w:rPr>
          <w:sz w:val="22"/>
          <w:szCs w:val="22"/>
          <w:lang w:val="sk-SK"/>
        </w:rPr>
      </w:pPr>
    </w:p>
    <w:p w14:paraId="67292E69" w14:textId="77777777" w:rsidR="00FA71B4" w:rsidRPr="00B048EB" w:rsidRDefault="00FA71B4" w:rsidP="00370DBB">
      <w:pPr>
        <w:pStyle w:val="Normln"/>
        <w:keepNext/>
        <w:tabs>
          <w:tab w:val="left" w:pos="567"/>
        </w:tabs>
        <w:rPr>
          <w:b/>
          <w:sz w:val="22"/>
          <w:szCs w:val="22"/>
          <w:lang w:val="sk-SK"/>
        </w:rPr>
      </w:pPr>
      <w:r w:rsidRPr="00B048EB">
        <w:rPr>
          <w:b/>
          <w:sz w:val="22"/>
          <w:szCs w:val="22"/>
          <w:lang w:val="sk-SK"/>
        </w:rPr>
        <w:t>8.</w:t>
      </w:r>
      <w:r w:rsidRPr="00B048EB">
        <w:rPr>
          <w:b/>
          <w:sz w:val="22"/>
          <w:szCs w:val="22"/>
          <w:lang w:val="sk-SK"/>
        </w:rPr>
        <w:tab/>
        <w:t>REGISTRAČNÉ ČÍSLA</w:t>
      </w:r>
    </w:p>
    <w:p w14:paraId="31E666E2" w14:textId="77777777" w:rsidR="00FA71B4" w:rsidRPr="00B048EB" w:rsidRDefault="00FA71B4" w:rsidP="00370DBB">
      <w:pPr>
        <w:pStyle w:val="Normln"/>
        <w:keepNext/>
        <w:tabs>
          <w:tab w:val="left" w:pos="567"/>
        </w:tabs>
        <w:rPr>
          <w:b/>
          <w:sz w:val="22"/>
          <w:szCs w:val="22"/>
          <w:lang w:val="sk-SK"/>
        </w:rPr>
      </w:pPr>
    </w:p>
    <w:p w14:paraId="6F05C5CA" w14:textId="77777777" w:rsidR="00FA71B4" w:rsidRPr="00B048EB" w:rsidRDefault="00BD63AD" w:rsidP="00370DBB">
      <w:pPr>
        <w:keepNext/>
        <w:tabs>
          <w:tab w:val="left" w:pos="567"/>
        </w:tabs>
        <w:ind w:left="567" w:hanging="567"/>
        <w:rPr>
          <w:sz w:val="22"/>
          <w:szCs w:val="22"/>
        </w:rPr>
      </w:pPr>
      <w:r w:rsidRPr="00B048EB">
        <w:rPr>
          <w:bCs/>
          <w:sz w:val="22"/>
          <w:szCs w:val="22"/>
        </w:rPr>
        <w:t>CELEBREX</w:t>
      </w:r>
      <w:r w:rsidR="00FA71B4" w:rsidRPr="00B048EB">
        <w:rPr>
          <w:sz w:val="22"/>
          <w:szCs w:val="22"/>
        </w:rPr>
        <w:t xml:space="preserve"> </w:t>
      </w:r>
      <w:r w:rsidR="00FA71B4" w:rsidRPr="00B048EB">
        <w:rPr>
          <w:caps/>
          <w:sz w:val="22"/>
          <w:szCs w:val="22"/>
        </w:rPr>
        <w:t xml:space="preserve">100 </w:t>
      </w:r>
      <w:r w:rsidR="00FA71B4" w:rsidRPr="00B048EB">
        <w:rPr>
          <w:sz w:val="22"/>
          <w:szCs w:val="22"/>
        </w:rPr>
        <w:t>mg: 29/0039/99-S</w:t>
      </w:r>
    </w:p>
    <w:p w14:paraId="4B81C07B" w14:textId="77777777" w:rsidR="00FA71B4" w:rsidRPr="00B048EB" w:rsidRDefault="00BD63AD" w:rsidP="00370DBB">
      <w:pPr>
        <w:keepNext/>
        <w:tabs>
          <w:tab w:val="left" w:pos="567"/>
        </w:tabs>
        <w:ind w:left="567" w:hanging="567"/>
        <w:rPr>
          <w:sz w:val="22"/>
          <w:szCs w:val="22"/>
        </w:rPr>
      </w:pPr>
      <w:r w:rsidRPr="00B048EB">
        <w:rPr>
          <w:bCs/>
          <w:sz w:val="22"/>
          <w:szCs w:val="22"/>
        </w:rPr>
        <w:t>CELEBREX</w:t>
      </w:r>
      <w:r w:rsidR="00FA71B4" w:rsidRPr="00B048EB">
        <w:rPr>
          <w:sz w:val="22"/>
          <w:szCs w:val="22"/>
        </w:rPr>
        <w:t xml:space="preserve"> </w:t>
      </w:r>
      <w:r w:rsidR="00FA71B4" w:rsidRPr="00B048EB">
        <w:rPr>
          <w:caps/>
          <w:sz w:val="22"/>
          <w:szCs w:val="22"/>
        </w:rPr>
        <w:t xml:space="preserve">200 </w:t>
      </w:r>
      <w:r w:rsidR="00FA71B4" w:rsidRPr="00B048EB">
        <w:rPr>
          <w:sz w:val="22"/>
          <w:szCs w:val="22"/>
        </w:rPr>
        <w:t>mg: 29/0040/99-S</w:t>
      </w:r>
    </w:p>
    <w:p w14:paraId="4BC21051" w14:textId="77777777" w:rsidR="00FA71B4" w:rsidRPr="00B048EB" w:rsidRDefault="00FA71B4" w:rsidP="00F31FEF">
      <w:pPr>
        <w:pStyle w:val="Normln"/>
        <w:tabs>
          <w:tab w:val="left" w:pos="567"/>
        </w:tabs>
        <w:rPr>
          <w:sz w:val="22"/>
          <w:szCs w:val="22"/>
          <w:lang w:val="sk-SK"/>
        </w:rPr>
      </w:pPr>
    </w:p>
    <w:p w14:paraId="6EF8C0E6" w14:textId="77777777" w:rsidR="00FA71B4" w:rsidRPr="00B048EB" w:rsidRDefault="00FA71B4" w:rsidP="00F31FEF">
      <w:pPr>
        <w:pStyle w:val="Normln"/>
        <w:tabs>
          <w:tab w:val="left" w:pos="567"/>
        </w:tabs>
        <w:rPr>
          <w:sz w:val="22"/>
          <w:szCs w:val="22"/>
          <w:lang w:val="sk-SK"/>
        </w:rPr>
      </w:pPr>
    </w:p>
    <w:p w14:paraId="580D30B6" w14:textId="77777777" w:rsidR="00FA71B4" w:rsidRPr="00B048EB" w:rsidRDefault="00FA71B4" w:rsidP="00DE5A3E">
      <w:pPr>
        <w:pStyle w:val="Normln"/>
        <w:keepNext/>
        <w:tabs>
          <w:tab w:val="left" w:pos="567"/>
        </w:tabs>
        <w:rPr>
          <w:b/>
          <w:sz w:val="22"/>
          <w:szCs w:val="22"/>
          <w:lang w:val="sk-SK"/>
        </w:rPr>
      </w:pPr>
      <w:r w:rsidRPr="00B048EB">
        <w:rPr>
          <w:b/>
          <w:sz w:val="22"/>
          <w:szCs w:val="22"/>
          <w:lang w:val="sk-SK"/>
        </w:rPr>
        <w:t>9.</w:t>
      </w:r>
      <w:r w:rsidRPr="00B048EB">
        <w:rPr>
          <w:b/>
          <w:sz w:val="22"/>
          <w:szCs w:val="22"/>
          <w:lang w:val="sk-SK"/>
        </w:rPr>
        <w:tab/>
        <w:t>DÁTUM PRVEJ REGISTRÁCIE/PREDĹŽENIE REGISTRÁCIE</w:t>
      </w:r>
    </w:p>
    <w:p w14:paraId="0D12AB62" w14:textId="77777777" w:rsidR="00FA71B4" w:rsidRPr="00B048EB" w:rsidRDefault="00FA71B4" w:rsidP="00DE5A3E">
      <w:pPr>
        <w:pStyle w:val="Normln"/>
        <w:keepNext/>
        <w:tabs>
          <w:tab w:val="left" w:pos="567"/>
        </w:tabs>
        <w:rPr>
          <w:b/>
          <w:sz w:val="22"/>
          <w:szCs w:val="22"/>
          <w:lang w:val="sk-SK"/>
        </w:rPr>
      </w:pPr>
    </w:p>
    <w:p w14:paraId="20458C58" w14:textId="77777777" w:rsidR="00FA71B4" w:rsidRPr="00B048EB" w:rsidRDefault="00FA71B4" w:rsidP="00F31FEF">
      <w:pPr>
        <w:pStyle w:val="Normln"/>
        <w:tabs>
          <w:tab w:val="left" w:pos="567"/>
        </w:tabs>
        <w:rPr>
          <w:sz w:val="22"/>
          <w:szCs w:val="22"/>
          <w:lang w:val="sk-SK"/>
        </w:rPr>
      </w:pPr>
      <w:r w:rsidRPr="00B048EB">
        <w:rPr>
          <w:bCs/>
          <w:sz w:val="22"/>
          <w:szCs w:val="22"/>
          <w:lang w:val="sk-SK"/>
        </w:rPr>
        <w:t xml:space="preserve">Dátum prvej registrácie: </w:t>
      </w:r>
      <w:r w:rsidRPr="00B048EB">
        <w:rPr>
          <w:sz w:val="22"/>
          <w:szCs w:val="22"/>
          <w:lang w:val="sk-SK"/>
        </w:rPr>
        <w:t>7. júl</w:t>
      </w:r>
      <w:r w:rsidR="001F5C55" w:rsidRPr="00B048EB">
        <w:rPr>
          <w:sz w:val="22"/>
          <w:szCs w:val="22"/>
          <w:lang w:val="sk-SK"/>
        </w:rPr>
        <w:t>a</w:t>
      </w:r>
      <w:r w:rsidRPr="00B048EB">
        <w:rPr>
          <w:sz w:val="22"/>
          <w:szCs w:val="22"/>
          <w:lang w:val="sk-SK"/>
        </w:rPr>
        <w:t xml:space="preserve"> 1999</w:t>
      </w:r>
    </w:p>
    <w:p w14:paraId="2725D939" w14:textId="4956C162" w:rsidR="00FA71B4" w:rsidRPr="00B048EB" w:rsidRDefault="00FA71B4" w:rsidP="00F31FEF">
      <w:pPr>
        <w:pStyle w:val="Normln"/>
        <w:tabs>
          <w:tab w:val="left" w:pos="567"/>
        </w:tabs>
        <w:rPr>
          <w:sz w:val="22"/>
          <w:szCs w:val="22"/>
          <w:lang w:val="sk-SK"/>
        </w:rPr>
      </w:pPr>
      <w:r w:rsidRPr="00B048EB">
        <w:rPr>
          <w:bCs/>
          <w:sz w:val="22"/>
          <w:szCs w:val="22"/>
          <w:lang w:val="sk-SK"/>
        </w:rPr>
        <w:lastRenderedPageBreak/>
        <w:t>Dátum posledného predĺženia registrácie: 9. február</w:t>
      </w:r>
      <w:r w:rsidR="001F5C55" w:rsidRPr="00B048EB">
        <w:rPr>
          <w:bCs/>
          <w:sz w:val="22"/>
          <w:szCs w:val="22"/>
          <w:lang w:val="sk-SK"/>
        </w:rPr>
        <w:t>a</w:t>
      </w:r>
      <w:r w:rsidRPr="00B048EB">
        <w:rPr>
          <w:bCs/>
          <w:sz w:val="22"/>
          <w:szCs w:val="22"/>
          <w:lang w:val="sk-SK"/>
        </w:rPr>
        <w:t xml:space="preserve"> 2005</w:t>
      </w:r>
    </w:p>
    <w:p w14:paraId="720B1D98" w14:textId="77777777" w:rsidR="00FA71B4" w:rsidRPr="00B048EB" w:rsidRDefault="00FA71B4" w:rsidP="00F31FEF">
      <w:pPr>
        <w:pStyle w:val="Normln"/>
        <w:tabs>
          <w:tab w:val="left" w:pos="567"/>
        </w:tabs>
        <w:rPr>
          <w:b/>
          <w:sz w:val="22"/>
          <w:szCs w:val="22"/>
          <w:lang w:val="sk-SK"/>
        </w:rPr>
      </w:pPr>
    </w:p>
    <w:p w14:paraId="2F7B51C5" w14:textId="77777777" w:rsidR="00FA71B4" w:rsidRPr="00B048EB" w:rsidRDefault="00FA71B4" w:rsidP="00F31FEF">
      <w:pPr>
        <w:pStyle w:val="Normln"/>
        <w:tabs>
          <w:tab w:val="left" w:pos="567"/>
        </w:tabs>
        <w:rPr>
          <w:b/>
          <w:sz w:val="22"/>
          <w:szCs w:val="22"/>
          <w:lang w:val="sk-SK"/>
        </w:rPr>
      </w:pPr>
    </w:p>
    <w:p w14:paraId="28FCCEA8" w14:textId="77777777" w:rsidR="00FA71B4" w:rsidRPr="00B048EB" w:rsidRDefault="00FA71B4" w:rsidP="00DE5A3E">
      <w:pPr>
        <w:pStyle w:val="Normln"/>
        <w:keepNext/>
        <w:numPr>
          <w:ilvl w:val="0"/>
          <w:numId w:val="6"/>
        </w:numPr>
        <w:tabs>
          <w:tab w:val="clear" w:pos="360"/>
          <w:tab w:val="left" w:pos="567"/>
          <w:tab w:val="num" w:pos="927"/>
        </w:tabs>
        <w:ind w:left="0" w:firstLine="0"/>
        <w:rPr>
          <w:b/>
          <w:sz w:val="22"/>
          <w:szCs w:val="22"/>
          <w:lang w:val="sk-SK"/>
        </w:rPr>
      </w:pPr>
      <w:r w:rsidRPr="00B048EB">
        <w:rPr>
          <w:b/>
          <w:sz w:val="22"/>
          <w:szCs w:val="22"/>
          <w:lang w:val="sk-SK"/>
        </w:rPr>
        <w:t>DÁTUM REVÍZIE TEXTU</w:t>
      </w:r>
    </w:p>
    <w:p w14:paraId="0590BF94" w14:textId="77777777" w:rsidR="00FA71B4" w:rsidRPr="00B048EB" w:rsidRDefault="00FA71B4" w:rsidP="00DE5A3E">
      <w:pPr>
        <w:pStyle w:val="Normln"/>
        <w:keepNext/>
        <w:tabs>
          <w:tab w:val="left" w:pos="567"/>
        </w:tabs>
        <w:rPr>
          <w:sz w:val="22"/>
          <w:szCs w:val="22"/>
          <w:lang w:val="sk-SK"/>
        </w:rPr>
      </w:pPr>
    </w:p>
    <w:p w14:paraId="1D123B41" w14:textId="6A2A0888" w:rsidR="00523EB6" w:rsidRPr="00B048EB" w:rsidRDefault="009B03CE" w:rsidP="001F5C55">
      <w:pPr>
        <w:pStyle w:val="Normln"/>
        <w:tabs>
          <w:tab w:val="left" w:pos="567"/>
        </w:tabs>
        <w:rPr>
          <w:sz w:val="22"/>
          <w:szCs w:val="22"/>
          <w:lang w:val="sk-SK"/>
        </w:rPr>
      </w:pPr>
      <w:r>
        <w:rPr>
          <w:sz w:val="22"/>
          <w:szCs w:val="22"/>
          <w:lang w:val="sk-SK"/>
        </w:rPr>
        <w:t>0</w:t>
      </w:r>
      <w:r w:rsidR="00483F3D">
        <w:rPr>
          <w:sz w:val="22"/>
          <w:szCs w:val="22"/>
          <w:lang w:val="sk-SK"/>
        </w:rPr>
        <w:t>7</w:t>
      </w:r>
      <w:r w:rsidR="000161E1">
        <w:rPr>
          <w:sz w:val="22"/>
          <w:szCs w:val="22"/>
          <w:lang w:val="sk-SK"/>
        </w:rPr>
        <w:t>/20</w:t>
      </w:r>
      <w:r w:rsidR="00483F3D">
        <w:rPr>
          <w:sz w:val="22"/>
          <w:szCs w:val="22"/>
          <w:lang w:val="sk-SK"/>
        </w:rPr>
        <w:t>20</w:t>
      </w:r>
    </w:p>
    <w:p w14:paraId="5F77DFB6" w14:textId="77777777" w:rsidR="00523EB6" w:rsidRPr="00B048EB" w:rsidRDefault="00523EB6" w:rsidP="001F5C55">
      <w:pPr>
        <w:rPr>
          <w:sz w:val="22"/>
          <w:szCs w:val="22"/>
        </w:rPr>
      </w:pPr>
    </w:p>
    <w:p w14:paraId="14CE44AD" w14:textId="77777777" w:rsidR="00FA71B4" w:rsidRPr="00370DBB" w:rsidRDefault="008E63D7" w:rsidP="00B048EB">
      <w:pPr>
        <w:rPr>
          <w:sz w:val="22"/>
          <w:szCs w:val="22"/>
          <w:lang w:val="cs-CZ"/>
        </w:rPr>
      </w:pPr>
      <w:r w:rsidRPr="008E63D7">
        <w:rPr>
          <w:sz w:val="22"/>
          <w:szCs w:val="22"/>
        </w:rPr>
        <w:t xml:space="preserve">Podrobné informácie o tomto lieku sú dostupné na internetovej stránke </w:t>
      </w:r>
      <w:r>
        <w:rPr>
          <w:sz w:val="22"/>
          <w:szCs w:val="22"/>
        </w:rPr>
        <w:t xml:space="preserve">Štátneho ústavu pre kontrolu liečiv </w:t>
      </w:r>
      <w:r w:rsidRPr="008E63D7">
        <w:rPr>
          <w:sz w:val="22"/>
          <w:szCs w:val="22"/>
        </w:rPr>
        <w:t>(</w:t>
      </w:r>
      <w:hyperlink r:id="rId10" w:history="1">
        <w:r w:rsidRPr="008E63D7">
          <w:rPr>
            <w:rStyle w:val="Hypertextovprepojenie"/>
            <w:sz w:val="22"/>
            <w:szCs w:val="22"/>
          </w:rPr>
          <w:t>www.sukl.sk</w:t>
        </w:r>
      </w:hyperlink>
      <w:r w:rsidRPr="008E63D7">
        <w:rPr>
          <w:sz w:val="22"/>
          <w:szCs w:val="22"/>
        </w:rPr>
        <w:t>)</w:t>
      </w:r>
      <w:r>
        <w:rPr>
          <w:sz w:val="22"/>
          <w:szCs w:val="22"/>
        </w:rPr>
        <w:t>.</w:t>
      </w:r>
    </w:p>
    <w:sectPr w:rsidR="00FA71B4" w:rsidRPr="00370DBB" w:rsidSect="00521145">
      <w:headerReference w:type="default" r:id="rId11"/>
      <w:footerReference w:type="default" r:id="rId12"/>
      <w:headerReference w:type="first" r:id="rId13"/>
      <w:footerReference w:type="first" r:id="rId14"/>
      <w:pgSz w:w="11905" w:h="16837"/>
      <w:pgMar w:top="1134" w:right="1418" w:bottom="1134" w:left="1418" w:header="737" w:footer="73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33ED90" w14:textId="77777777" w:rsidR="00B46CC3" w:rsidRDefault="00B46CC3">
      <w:r>
        <w:separator/>
      </w:r>
    </w:p>
  </w:endnote>
  <w:endnote w:type="continuationSeparator" w:id="0">
    <w:p w14:paraId="23FBC064" w14:textId="77777777" w:rsidR="00B46CC3" w:rsidRDefault="00B46CC3">
      <w:r>
        <w:continuationSeparator/>
      </w:r>
    </w:p>
  </w:endnote>
  <w:endnote w:type="continuationNotice" w:id="1">
    <w:p w14:paraId="4B8124FC" w14:textId="77777777" w:rsidR="00B46CC3" w:rsidRDefault="00B46C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9FFC5" w14:textId="77777777" w:rsidR="00B46CC3" w:rsidRPr="00370DBB" w:rsidRDefault="00B46CC3" w:rsidP="00370DBB">
    <w:pPr>
      <w:pStyle w:val="Pta"/>
      <w:jc w:val="center"/>
      <w:rPr>
        <w:position w:val="-6"/>
        <w:sz w:val="18"/>
        <w:szCs w:val="18"/>
      </w:rPr>
    </w:pPr>
    <w:r w:rsidRPr="00370DBB">
      <w:rPr>
        <w:position w:val="-6"/>
        <w:sz w:val="18"/>
        <w:szCs w:val="18"/>
      </w:rPr>
      <w:fldChar w:fldCharType="begin"/>
    </w:r>
    <w:r w:rsidRPr="00370DBB">
      <w:rPr>
        <w:position w:val="-6"/>
        <w:sz w:val="18"/>
        <w:szCs w:val="18"/>
      </w:rPr>
      <w:instrText xml:space="preserve"> PAGE   \* MERGEFORMAT </w:instrText>
    </w:r>
    <w:r w:rsidRPr="00370DBB">
      <w:rPr>
        <w:position w:val="-6"/>
        <w:sz w:val="18"/>
        <w:szCs w:val="18"/>
      </w:rPr>
      <w:fldChar w:fldCharType="separate"/>
    </w:r>
    <w:r w:rsidR="00AA1058">
      <w:rPr>
        <w:noProof/>
        <w:position w:val="-6"/>
        <w:sz w:val="18"/>
        <w:szCs w:val="18"/>
      </w:rPr>
      <w:t>19</w:t>
    </w:r>
    <w:r w:rsidRPr="00370DBB">
      <w:rPr>
        <w:position w:val="-6"/>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578DF" w14:textId="77777777" w:rsidR="00B46CC3" w:rsidRPr="00370DBB" w:rsidRDefault="00B46CC3" w:rsidP="002A440F">
    <w:pPr>
      <w:pStyle w:val="Pta"/>
      <w:jc w:val="cen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50C32F" w14:textId="77777777" w:rsidR="00B46CC3" w:rsidRDefault="00B46CC3">
      <w:r>
        <w:separator/>
      </w:r>
    </w:p>
  </w:footnote>
  <w:footnote w:type="continuationSeparator" w:id="0">
    <w:p w14:paraId="484D705F" w14:textId="77777777" w:rsidR="00B46CC3" w:rsidRDefault="00B46CC3">
      <w:r>
        <w:continuationSeparator/>
      </w:r>
    </w:p>
  </w:footnote>
  <w:footnote w:type="continuationNotice" w:id="1">
    <w:p w14:paraId="59E950E3" w14:textId="77777777" w:rsidR="00B46CC3" w:rsidRDefault="00B46CC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E030A" w14:textId="70456E72" w:rsidR="00B46CC3" w:rsidRPr="00DE5A3E" w:rsidRDefault="00B46CC3" w:rsidP="00DF2523">
    <w:pPr>
      <w:pStyle w:val="Hlavika"/>
      <w:rPr>
        <w:sz w:val="18"/>
        <w:szCs w:val="18"/>
      </w:rPr>
    </w:pPr>
    <w:r>
      <w:rPr>
        <w:sz w:val="18"/>
        <w:szCs w:val="18"/>
      </w:rPr>
      <w:t>Schválený text k rozhodnutiu o prevode, ev. č.: 2020/03292-TR, 2020/03293-TR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E47AD" w14:textId="6FFF3D1C" w:rsidR="00B46CC3" w:rsidRDefault="00B46CC3">
    <w:pPr>
      <w:pStyle w:val="Hlavika"/>
      <w:rPr>
        <w:sz w:val="18"/>
        <w:szCs w:val="18"/>
      </w:rPr>
    </w:pPr>
    <w:r>
      <w:rPr>
        <w:sz w:val="18"/>
        <w:szCs w:val="18"/>
      </w:rPr>
      <w:t>Schválený text k rozhodnutiu o zmene, ev. č.: 2017/00417-ZME</w:t>
    </w:r>
  </w:p>
  <w:p w14:paraId="54B09DE6" w14:textId="77777777" w:rsidR="00B46CC3" w:rsidRDefault="00B46CC3">
    <w:pPr>
      <w:pStyle w:val="Hlavika"/>
      <w:rPr>
        <w:sz w:val="18"/>
        <w:szCs w:val="18"/>
      </w:rPr>
    </w:pPr>
  </w:p>
  <w:p w14:paraId="16A669AF" w14:textId="77777777" w:rsidR="00B46CC3" w:rsidRDefault="00B46CC3" w:rsidP="00370DB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pStyle w:val="Nadpis2"/>
      <w:lvlText w:val=""/>
      <w:lvlJc w:val="left"/>
      <w:pPr>
        <w:tabs>
          <w:tab w:val="num" w:pos="576"/>
        </w:tabs>
        <w:ind w:left="576" w:hanging="576"/>
      </w:pPr>
    </w:lvl>
    <w:lvl w:ilvl="2">
      <w:start w:val="1"/>
      <w:numFmt w:val="none"/>
      <w:pStyle w:val="Nadpis3"/>
      <w:lvlText w:val=""/>
      <w:lvlJc w:val="left"/>
      <w:pPr>
        <w:tabs>
          <w:tab w:val="num" w:pos="720"/>
        </w:tabs>
        <w:ind w:left="720" w:hanging="720"/>
      </w:pPr>
    </w:lvl>
    <w:lvl w:ilvl="3">
      <w:start w:val="1"/>
      <w:numFmt w:val="none"/>
      <w:pStyle w:val="Nadpis4"/>
      <w:lvlText w:val=""/>
      <w:lvlJc w:val="left"/>
      <w:pPr>
        <w:tabs>
          <w:tab w:val="num" w:pos="864"/>
        </w:tabs>
        <w:ind w:left="864" w:hanging="864"/>
      </w:pPr>
    </w:lvl>
    <w:lvl w:ilvl="4">
      <w:start w:val="1"/>
      <w:numFmt w:val="none"/>
      <w:pStyle w:val="Nadpis5"/>
      <w:lvlText w:val=""/>
      <w:lvlJc w:val="left"/>
      <w:pPr>
        <w:tabs>
          <w:tab w:val="num" w:pos="1008"/>
        </w:tabs>
        <w:ind w:left="1008" w:hanging="1008"/>
      </w:pPr>
    </w:lvl>
    <w:lvl w:ilvl="5">
      <w:start w:val="1"/>
      <w:numFmt w:val="none"/>
      <w:pStyle w:val="Nadpis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3"/>
    <w:lvl w:ilvl="0">
      <w:start w:val="1"/>
      <w:numFmt w:val="decimal"/>
      <w:lvlText w:val="%1."/>
      <w:lvlJc w:val="left"/>
      <w:pPr>
        <w:tabs>
          <w:tab w:val="num" w:pos="420"/>
        </w:tabs>
        <w:ind w:left="420" w:hanging="420"/>
      </w:pPr>
      <w:rPr>
        <w:rFonts w:cs="Times New Roman"/>
      </w:rPr>
    </w:lvl>
  </w:abstractNum>
  <w:abstractNum w:abstractNumId="2">
    <w:nsid w:val="00000003"/>
    <w:multiLevelType w:val="singleLevel"/>
    <w:tmpl w:val="00000003"/>
    <w:name w:val="WW8Num4"/>
    <w:lvl w:ilvl="0">
      <w:start w:val="1"/>
      <w:numFmt w:val="bullet"/>
      <w:lvlText w:val=""/>
      <w:lvlJc w:val="left"/>
      <w:pPr>
        <w:tabs>
          <w:tab w:val="num" w:pos="567"/>
        </w:tabs>
        <w:ind w:left="567" w:hanging="567"/>
      </w:pPr>
      <w:rPr>
        <w:rFonts w:ascii="Symbol" w:hAnsi="Symbol"/>
      </w:rPr>
    </w:lvl>
  </w:abstractNum>
  <w:abstractNum w:abstractNumId="3">
    <w:nsid w:val="00000004"/>
    <w:multiLevelType w:val="singleLevel"/>
    <w:tmpl w:val="00000004"/>
    <w:name w:val="WW8Num5"/>
    <w:lvl w:ilvl="0">
      <w:start w:val="3"/>
      <w:numFmt w:val="decimal"/>
      <w:lvlText w:val="%1."/>
      <w:lvlJc w:val="left"/>
      <w:pPr>
        <w:tabs>
          <w:tab w:val="num" w:pos="720"/>
        </w:tabs>
        <w:ind w:left="720" w:hanging="360"/>
      </w:pPr>
      <w:rPr>
        <w:rFonts w:cs="Times New Roman"/>
      </w:rPr>
    </w:lvl>
  </w:abstractNum>
  <w:abstractNum w:abstractNumId="4">
    <w:nsid w:val="00000005"/>
    <w:multiLevelType w:val="multilevel"/>
    <w:tmpl w:val="00000005"/>
    <w:name w:val="WW8Num6"/>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5">
    <w:nsid w:val="00000006"/>
    <w:multiLevelType w:val="singleLevel"/>
    <w:tmpl w:val="00000006"/>
    <w:name w:val="WW8Num11"/>
    <w:lvl w:ilvl="0">
      <w:start w:val="10"/>
      <w:numFmt w:val="decimal"/>
      <w:lvlText w:val="%1. "/>
      <w:lvlJc w:val="left"/>
      <w:pPr>
        <w:tabs>
          <w:tab w:val="num" w:pos="360"/>
        </w:tabs>
        <w:ind w:left="283" w:hanging="283"/>
      </w:pPr>
      <w:rPr>
        <w:rFonts w:cs="Times New Roman"/>
        <w:b/>
        <w:sz w:val="22"/>
        <w:szCs w:val="22"/>
      </w:rPr>
    </w:lvl>
  </w:abstractNum>
  <w:abstractNum w:abstractNumId="6">
    <w:nsid w:val="00000007"/>
    <w:multiLevelType w:val="singleLevel"/>
    <w:tmpl w:val="00000007"/>
    <w:name w:val="WW8Num13"/>
    <w:lvl w:ilvl="0">
      <w:start w:val="1"/>
      <w:numFmt w:val="bullet"/>
      <w:lvlText w:val=""/>
      <w:lvlJc w:val="left"/>
      <w:pPr>
        <w:tabs>
          <w:tab w:val="num" w:pos="1440"/>
        </w:tabs>
        <w:ind w:left="1440" w:hanging="360"/>
      </w:pPr>
      <w:rPr>
        <w:rFonts w:ascii="Symbol" w:hAnsi="Symbol"/>
        <w:sz w:val="20"/>
      </w:rPr>
    </w:lvl>
  </w:abstractNum>
  <w:abstractNum w:abstractNumId="7">
    <w:nsid w:val="28310746"/>
    <w:multiLevelType w:val="hybridMultilevel"/>
    <w:tmpl w:val="87486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CE0A53"/>
    <w:multiLevelType w:val="hybridMultilevel"/>
    <w:tmpl w:val="6DEA0C1A"/>
    <w:lvl w:ilvl="0" w:tplc="E4A2BF68">
      <w:start w:val="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holikova, Kristina">
    <w15:presenceInfo w15:providerId="AD" w15:userId="S::PAHOLK@pfizer.com::e3b84d79-fdeb-484d-8cf6-d1e687fd83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autoHyphenation/>
  <w:hyphenationZone w:val="737"/>
  <w:doNotHyphenateCaps/>
  <w:defaultTableStyle w:val="Normlny"/>
  <w:drawingGridHorizontalSpacing w:val="120"/>
  <w:drawingGridVerticalSpacing w:val="0"/>
  <w:displayHorizontalDrawingGridEvery w:val="0"/>
  <w:displayVerticalDrawingGridEvery w:val="0"/>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A77"/>
    <w:rsid w:val="000018D9"/>
    <w:rsid w:val="00003DFB"/>
    <w:rsid w:val="000134C3"/>
    <w:rsid w:val="00014085"/>
    <w:rsid w:val="000156DB"/>
    <w:rsid w:val="000161E1"/>
    <w:rsid w:val="00021B2E"/>
    <w:rsid w:val="00023DD7"/>
    <w:rsid w:val="00024F63"/>
    <w:rsid w:val="00031D73"/>
    <w:rsid w:val="00035205"/>
    <w:rsid w:val="00037323"/>
    <w:rsid w:val="00040386"/>
    <w:rsid w:val="000443E4"/>
    <w:rsid w:val="00053D55"/>
    <w:rsid w:val="0005573E"/>
    <w:rsid w:val="000569FC"/>
    <w:rsid w:val="00057788"/>
    <w:rsid w:val="00070F1C"/>
    <w:rsid w:val="0007492F"/>
    <w:rsid w:val="00084FE5"/>
    <w:rsid w:val="0009402D"/>
    <w:rsid w:val="000969F4"/>
    <w:rsid w:val="00096AC9"/>
    <w:rsid w:val="000A1421"/>
    <w:rsid w:val="000A1C78"/>
    <w:rsid w:val="000A5E5D"/>
    <w:rsid w:val="000C0466"/>
    <w:rsid w:val="000C4475"/>
    <w:rsid w:val="000D032F"/>
    <w:rsid w:val="000D7B70"/>
    <w:rsid w:val="000D7DF9"/>
    <w:rsid w:val="000E16C0"/>
    <w:rsid w:val="000E2670"/>
    <w:rsid w:val="000E34BD"/>
    <w:rsid w:val="000F023C"/>
    <w:rsid w:val="000F1FD9"/>
    <w:rsid w:val="000F25A4"/>
    <w:rsid w:val="000F2C6E"/>
    <w:rsid w:val="000F2C98"/>
    <w:rsid w:val="000F2EFC"/>
    <w:rsid w:val="000F5074"/>
    <w:rsid w:val="000F6A8B"/>
    <w:rsid w:val="00100888"/>
    <w:rsid w:val="00102AB7"/>
    <w:rsid w:val="00105AE2"/>
    <w:rsid w:val="00106311"/>
    <w:rsid w:val="00106D28"/>
    <w:rsid w:val="0011021B"/>
    <w:rsid w:val="00116091"/>
    <w:rsid w:val="0011643C"/>
    <w:rsid w:val="00124141"/>
    <w:rsid w:val="00124E43"/>
    <w:rsid w:val="00127A77"/>
    <w:rsid w:val="001306F5"/>
    <w:rsid w:val="00135879"/>
    <w:rsid w:val="00135DAA"/>
    <w:rsid w:val="0013748E"/>
    <w:rsid w:val="00143844"/>
    <w:rsid w:val="00143B22"/>
    <w:rsid w:val="001500A6"/>
    <w:rsid w:val="00160E8B"/>
    <w:rsid w:val="0016406E"/>
    <w:rsid w:val="0016524E"/>
    <w:rsid w:val="001655CE"/>
    <w:rsid w:val="00170AC6"/>
    <w:rsid w:val="00172249"/>
    <w:rsid w:val="00172C1F"/>
    <w:rsid w:val="001735C5"/>
    <w:rsid w:val="00175998"/>
    <w:rsid w:val="0018006B"/>
    <w:rsid w:val="00180C73"/>
    <w:rsid w:val="00192690"/>
    <w:rsid w:val="0019540B"/>
    <w:rsid w:val="001977AB"/>
    <w:rsid w:val="001A2A87"/>
    <w:rsid w:val="001A6AC3"/>
    <w:rsid w:val="001A6E8E"/>
    <w:rsid w:val="001B2739"/>
    <w:rsid w:val="001B6F7C"/>
    <w:rsid w:val="001C40FF"/>
    <w:rsid w:val="001C7D97"/>
    <w:rsid w:val="001D4120"/>
    <w:rsid w:val="001D5DA1"/>
    <w:rsid w:val="001E0905"/>
    <w:rsid w:val="001E5798"/>
    <w:rsid w:val="001F36EC"/>
    <w:rsid w:val="001F3F3E"/>
    <w:rsid w:val="001F5C55"/>
    <w:rsid w:val="00200560"/>
    <w:rsid w:val="00201415"/>
    <w:rsid w:val="002015D6"/>
    <w:rsid w:val="0021046A"/>
    <w:rsid w:val="002120C8"/>
    <w:rsid w:val="0023428A"/>
    <w:rsid w:val="0023461D"/>
    <w:rsid w:val="002355CB"/>
    <w:rsid w:val="00247FA7"/>
    <w:rsid w:val="0025403E"/>
    <w:rsid w:val="00264EC7"/>
    <w:rsid w:val="00266A07"/>
    <w:rsid w:val="00280503"/>
    <w:rsid w:val="0028166A"/>
    <w:rsid w:val="002835A9"/>
    <w:rsid w:val="00285E28"/>
    <w:rsid w:val="00292007"/>
    <w:rsid w:val="00294A6F"/>
    <w:rsid w:val="00296C2F"/>
    <w:rsid w:val="002A440F"/>
    <w:rsid w:val="002B21BB"/>
    <w:rsid w:val="002B63BC"/>
    <w:rsid w:val="002C3770"/>
    <w:rsid w:val="002C5891"/>
    <w:rsid w:val="002E4693"/>
    <w:rsid w:val="002E5831"/>
    <w:rsid w:val="002F20AE"/>
    <w:rsid w:val="00303950"/>
    <w:rsid w:val="003113BA"/>
    <w:rsid w:val="00312CBD"/>
    <w:rsid w:val="0032025B"/>
    <w:rsid w:val="00321F23"/>
    <w:rsid w:val="003224EC"/>
    <w:rsid w:val="0032448D"/>
    <w:rsid w:val="00330538"/>
    <w:rsid w:val="0033224A"/>
    <w:rsid w:val="00335917"/>
    <w:rsid w:val="00337301"/>
    <w:rsid w:val="0034089B"/>
    <w:rsid w:val="003474EE"/>
    <w:rsid w:val="003502D8"/>
    <w:rsid w:val="00360B69"/>
    <w:rsid w:val="00361E58"/>
    <w:rsid w:val="00365231"/>
    <w:rsid w:val="00370DBB"/>
    <w:rsid w:val="00373869"/>
    <w:rsid w:val="00373C90"/>
    <w:rsid w:val="003778A1"/>
    <w:rsid w:val="0038350A"/>
    <w:rsid w:val="00385C06"/>
    <w:rsid w:val="00385D56"/>
    <w:rsid w:val="00390B8C"/>
    <w:rsid w:val="003920F9"/>
    <w:rsid w:val="00394EF8"/>
    <w:rsid w:val="003A01AB"/>
    <w:rsid w:val="003A1E0B"/>
    <w:rsid w:val="003A31B2"/>
    <w:rsid w:val="003A4468"/>
    <w:rsid w:val="003B1864"/>
    <w:rsid w:val="003B6ED4"/>
    <w:rsid w:val="003B7A77"/>
    <w:rsid w:val="003B7CED"/>
    <w:rsid w:val="003C2340"/>
    <w:rsid w:val="003C3555"/>
    <w:rsid w:val="003C5F3C"/>
    <w:rsid w:val="003C6D28"/>
    <w:rsid w:val="003C786D"/>
    <w:rsid w:val="003D7828"/>
    <w:rsid w:val="003E099B"/>
    <w:rsid w:val="003E6B58"/>
    <w:rsid w:val="003F3599"/>
    <w:rsid w:val="003F76B1"/>
    <w:rsid w:val="003F77C8"/>
    <w:rsid w:val="0040702E"/>
    <w:rsid w:val="00410747"/>
    <w:rsid w:val="00423B3A"/>
    <w:rsid w:val="0042738F"/>
    <w:rsid w:val="0042743C"/>
    <w:rsid w:val="004301D4"/>
    <w:rsid w:val="0043198B"/>
    <w:rsid w:val="004327C3"/>
    <w:rsid w:val="00437667"/>
    <w:rsid w:val="004379C9"/>
    <w:rsid w:val="00440C50"/>
    <w:rsid w:val="004424CB"/>
    <w:rsid w:val="00442BD3"/>
    <w:rsid w:val="0044358E"/>
    <w:rsid w:val="0044591E"/>
    <w:rsid w:val="00447D6F"/>
    <w:rsid w:val="00450B4B"/>
    <w:rsid w:val="00453773"/>
    <w:rsid w:val="004649DA"/>
    <w:rsid w:val="0046606D"/>
    <w:rsid w:val="004676C4"/>
    <w:rsid w:val="00470907"/>
    <w:rsid w:val="0047126F"/>
    <w:rsid w:val="00471548"/>
    <w:rsid w:val="004737D1"/>
    <w:rsid w:val="00475E4B"/>
    <w:rsid w:val="00476B38"/>
    <w:rsid w:val="00477327"/>
    <w:rsid w:val="00481D72"/>
    <w:rsid w:val="00483F3D"/>
    <w:rsid w:val="00490C15"/>
    <w:rsid w:val="00493E86"/>
    <w:rsid w:val="004948E6"/>
    <w:rsid w:val="004A4C5E"/>
    <w:rsid w:val="004A6517"/>
    <w:rsid w:val="004B08EC"/>
    <w:rsid w:val="004B0AE4"/>
    <w:rsid w:val="004B560F"/>
    <w:rsid w:val="004B5A68"/>
    <w:rsid w:val="004B5E0D"/>
    <w:rsid w:val="004B6B55"/>
    <w:rsid w:val="004C0A8F"/>
    <w:rsid w:val="004D1003"/>
    <w:rsid w:val="004D4860"/>
    <w:rsid w:val="004E462D"/>
    <w:rsid w:val="004E7272"/>
    <w:rsid w:val="004F4F76"/>
    <w:rsid w:val="004F5A74"/>
    <w:rsid w:val="004F5FE3"/>
    <w:rsid w:val="004F79EE"/>
    <w:rsid w:val="00503DCF"/>
    <w:rsid w:val="00507531"/>
    <w:rsid w:val="00521145"/>
    <w:rsid w:val="00523EB6"/>
    <w:rsid w:val="00527875"/>
    <w:rsid w:val="00531B7A"/>
    <w:rsid w:val="0054101D"/>
    <w:rsid w:val="00543DBC"/>
    <w:rsid w:val="0054412B"/>
    <w:rsid w:val="00545D63"/>
    <w:rsid w:val="0054631E"/>
    <w:rsid w:val="00553E09"/>
    <w:rsid w:val="0055714D"/>
    <w:rsid w:val="00557CC5"/>
    <w:rsid w:val="00561B95"/>
    <w:rsid w:val="00564C1F"/>
    <w:rsid w:val="00565A40"/>
    <w:rsid w:val="00575DD4"/>
    <w:rsid w:val="005817AA"/>
    <w:rsid w:val="00585780"/>
    <w:rsid w:val="00586CA5"/>
    <w:rsid w:val="0059582C"/>
    <w:rsid w:val="00596FA6"/>
    <w:rsid w:val="005972B2"/>
    <w:rsid w:val="005A1DC3"/>
    <w:rsid w:val="005A1E9A"/>
    <w:rsid w:val="005A38D0"/>
    <w:rsid w:val="005A516D"/>
    <w:rsid w:val="005A56C6"/>
    <w:rsid w:val="005B519E"/>
    <w:rsid w:val="005C0075"/>
    <w:rsid w:val="005C4409"/>
    <w:rsid w:val="005C6A72"/>
    <w:rsid w:val="005D1668"/>
    <w:rsid w:val="005D64F6"/>
    <w:rsid w:val="005D6905"/>
    <w:rsid w:val="005E0275"/>
    <w:rsid w:val="005E33D0"/>
    <w:rsid w:val="005E354B"/>
    <w:rsid w:val="005E4672"/>
    <w:rsid w:val="005E4E6C"/>
    <w:rsid w:val="005E6249"/>
    <w:rsid w:val="005F33EF"/>
    <w:rsid w:val="005F4EBF"/>
    <w:rsid w:val="0060318E"/>
    <w:rsid w:val="006049E1"/>
    <w:rsid w:val="006134E2"/>
    <w:rsid w:val="00621B5F"/>
    <w:rsid w:val="006234C0"/>
    <w:rsid w:val="00626FC4"/>
    <w:rsid w:val="00631B97"/>
    <w:rsid w:val="0064163E"/>
    <w:rsid w:val="00641A9E"/>
    <w:rsid w:val="00643713"/>
    <w:rsid w:val="00645171"/>
    <w:rsid w:val="006473B4"/>
    <w:rsid w:val="006529D8"/>
    <w:rsid w:val="0065302A"/>
    <w:rsid w:val="0066312B"/>
    <w:rsid w:val="006654CB"/>
    <w:rsid w:val="006703A1"/>
    <w:rsid w:val="006719EF"/>
    <w:rsid w:val="00672DDA"/>
    <w:rsid w:val="006768E7"/>
    <w:rsid w:val="00676A96"/>
    <w:rsid w:val="00681217"/>
    <w:rsid w:val="00687C61"/>
    <w:rsid w:val="00690554"/>
    <w:rsid w:val="00695468"/>
    <w:rsid w:val="00696BF1"/>
    <w:rsid w:val="006971ED"/>
    <w:rsid w:val="006B3AC7"/>
    <w:rsid w:val="006C0AF9"/>
    <w:rsid w:val="006C1DFB"/>
    <w:rsid w:val="006D73EF"/>
    <w:rsid w:val="006D7FF5"/>
    <w:rsid w:val="006E48B1"/>
    <w:rsid w:val="006F3E3F"/>
    <w:rsid w:val="006F77D4"/>
    <w:rsid w:val="006F7C6C"/>
    <w:rsid w:val="00701D22"/>
    <w:rsid w:val="00712543"/>
    <w:rsid w:val="00716B9F"/>
    <w:rsid w:val="00722B37"/>
    <w:rsid w:val="0072637B"/>
    <w:rsid w:val="007266F8"/>
    <w:rsid w:val="0072754C"/>
    <w:rsid w:val="007312EC"/>
    <w:rsid w:val="00731C93"/>
    <w:rsid w:val="0073281F"/>
    <w:rsid w:val="00740573"/>
    <w:rsid w:val="00751BCB"/>
    <w:rsid w:val="007540CB"/>
    <w:rsid w:val="00756366"/>
    <w:rsid w:val="00757F8C"/>
    <w:rsid w:val="00761379"/>
    <w:rsid w:val="00763477"/>
    <w:rsid w:val="00771F6E"/>
    <w:rsid w:val="00773091"/>
    <w:rsid w:val="00776341"/>
    <w:rsid w:val="00780E88"/>
    <w:rsid w:val="00785892"/>
    <w:rsid w:val="00786351"/>
    <w:rsid w:val="00787DC3"/>
    <w:rsid w:val="0079643A"/>
    <w:rsid w:val="007A0160"/>
    <w:rsid w:val="007A2F04"/>
    <w:rsid w:val="007A7057"/>
    <w:rsid w:val="007A73B9"/>
    <w:rsid w:val="007C0222"/>
    <w:rsid w:val="007C099B"/>
    <w:rsid w:val="007C4122"/>
    <w:rsid w:val="007C489A"/>
    <w:rsid w:val="007C7E32"/>
    <w:rsid w:val="007D19FD"/>
    <w:rsid w:val="007D228F"/>
    <w:rsid w:val="007D2C65"/>
    <w:rsid w:val="007D3460"/>
    <w:rsid w:val="007D34B3"/>
    <w:rsid w:val="007E0446"/>
    <w:rsid w:val="007E0A3E"/>
    <w:rsid w:val="007E170A"/>
    <w:rsid w:val="007E54D4"/>
    <w:rsid w:val="007F195F"/>
    <w:rsid w:val="0080103B"/>
    <w:rsid w:val="00806A9E"/>
    <w:rsid w:val="00806FFA"/>
    <w:rsid w:val="00810311"/>
    <w:rsid w:val="00813870"/>
    <w:rsid w:val="00822589"/>
    <w:rsid w:val="008243B8"/>
    <w:rsid w:val="00827050"/>
    <w:rsid w:val="00832886"/>
    <w:rsid w:val="008348DB"/>
    <w:rsid w:val="00842F3C"/>
    <w:rsid w:val="008452D5"/>
    <w:rsid w:val="00846F78"/>
    <w:rsid w:val="00851825"/>
    <w:rsid w:val="00855AA3"/>
    <w:rsid w:val="008613A4"/>
    <w:rsid w:val="008624DC"/>
    <w:rsid w:val="0086340F"/>
    <w:rsid w:val="008634A1"/>
    <w:rsid w:val="00867472"/>
    <w:rsid w:val="00867C91"/>
    <w:rsid w:val="00871862"/>
    <w:rsid w:val="008725CE"/>
    <w:rsid w:val="008810D7"/>
    <w:rsid w:val="008824C3"/>
    <w:rsid w:val="00897556"/>
    <w:rsid w:val="008A13FB"/>
    <w:rsid w:val="008A5BFE"/>
    <w:rsid w:val="008A621E"/>
    <w:rsid w:val="008B121B"/>
    <w:rsid w:val="008C17F3"/>
    <w:rsid w:val="008D52AB"/>
    <w:rsid w:val="008E0BC5"/>
    <w:rsid w:val="008E6282"/>
    <w:rsid w:val="008E63D7"/>
    <w:rsid w:val="008F177C"/>
    <w:rsid w:val="008F1A7B"/>
    <w:rsid w:val="008F2463"/>
    <w:rsid w:val="008F5C0E"/>
    <w:rsid w:val="008F75F8"/>
    <w:rsid w:val="009005B5"/>
    <w:rsid w:val="00911834"/>
    <w:rsid w:val="009129B6"/>
    <w:rsid w:val="0091633C"/>
    <w:rsid w:val="009219E9"/>
    <w:rsid w:val="00922B47"/>
    <w:rsid w:val="00922F68"/>
    <w:rsid w:val="00926191"/>
    <w:rsid w:val="00934323"/>
    <w:rsid w:val="00935C23"/>
    <w:rsid w:val="00936874"/>
    <w:rsid w:val="0093764C"/>
    <w:rsid w:val="0094309D"/>
    <w:rsid w:val="009467A6"/>
    <w:rsid w:val="00946ECA"/>
    <w:rsid w:val="00954ED0"/>
    <w:rsid w:val="00962AD0"/>
    <w:rsid w:val="0096599A"/>
    <w:rsid w:val="0097091A"/>
    <w:rsid w:val="0097225A"/>
    <w:rsid w:val="0097635D"/>
    <w:rsid w:val="00976824"/>
    <w:rsid w:val="00985D85"/>
    <w:rsid w:val="009861B6"/>
    <w:rsid w:val="00986278"/>
    <w:rsid w:val="009938E6"/>
    <w:rsid w:val="0099490B"/>
    <w:rsid w:val="00996675"/>
    <w:rsid w:val="009A1472"/>
    <w:rsid w:val="009A2E8B"/>
    <w:rsid w:val="009A4361"/>
    <w:rsid w:val="009A7FB1"/>
    <w:rsid w:val="009B03CE"/>
    <w:rsid w:val="009B0D24"/>
    <w:rsid w:val="009B2450"/>
    <w:rsid w:val="009B3293"/>
    <w:rsid w:val="009B754B"/>
    <w:rsid w:val="009C0C27"/>
    <w:rsid w:val="009C1D9E"/>
    <w:rsid w:val="009C553D"/>
    <w:rsid w:val="009C6AF1"/>
    <w:rsid w:val="009C6BFB"/>
    <w:rsid w:val="009C7C93"/>
    <w:rsid w:val="009D38B5"/>
    <w:rsid w:val="009D40B8"/>
    <w:rsid w:val="009D5F39"/>
    <w:rsid w:val="009E23A2"/>
    <w:rsid w:val="009E258A"/>
    <w:rsid w:val="009E2FCD"/>
    <w:rsid w:val="009E37DB"/>
    <w:rsid w:val="009E3CE0"/>
    <w:rsid w:val="009F1748"/>
    <w:rsid w:val="009F19DE"/>
    <w:rsid w:val="009F447B"/>
    <w:rsid w:val="009F77B1"/>
    <w:rsid w:val="00A01D9C"/>
    <w:rsid w:val="00A068D2"/>
    <w:rsid w:val="00A07658"/>
    <w:rsid w:val="00A11E7D"/>
    <w:rsid w:val="00A178AF"/>
    <w:rsid w:val="00A2212F"/>
    <w:rsid w:val="00A31109"/>
    <w:rsid w:val="00A3314E"/>
    <w:rsid w:val="00A41C5B"/>
    <w:rsid w:val="00A44B78"/>
    <w:rsid w:val="00A473B7"/>
    <w:rsid w:val="00A53DBC"/>
    <w:rsid w:val="00A55FB6"/>
    <w:rsid w:val="00A5752A"/>
    <w:rsid w:val="00A64734"/>
    <w:rsid w:val="00A657F0"/>
    <w:rsid w:val="00A65D61"/>
    <w:rsid w:val="00A971EE"/>
    <w:rsid w:val="00AA001E"/>
    <w:rsid w:val="00AA0F4A"/>
    <w:rsid w:val="00AA1058"/>
    <w:rsid w:val="00AA75E0"/>
    <w:rsid w:val="00AB02CE"/>
    <w:rsid w:val="00AB3E4F"/>
    <w:rsid w:val="00AB49EC"/>
    <w:rsid w:val="00AB6020"/>
    <w:rsid w:val="00AC0381"/>
    <w:rsid w:val="00AC069B"/>
    <w:rsid w:val="00AC311C"/>
    <w:rsid w:val="00AC6143"/>
    <w:rsid w:val="00AC7A5D"/>
    <w:rsid w:val="00AC7A97"/>
    <w:rsid w:val="00AD719E"/>
    <w:rsid w:val="00AF5528"/>
    <w:rsid w:val="00AF668B"/>
    <w:rsid w:val="00AF7C52"/>
    <w:rsid w:val="00B0125C"/>
    <w:rsid w:val="00B03490"/>
    <w:rsid w:val="00B03C6F"/>
    <w:rsid w:val="00B048EB"/>
    <w:rsid w:val="00B072BD"/>
    <w:rsid w:val="00B12527"/>
    <w:rsid w:val="00B22081"/>
    <w:rsid w:val="00B221AC"/>
    <w:rsid w:val="00B31D74"/>
    <w:rsid w:val="00B4110D"/>
    <w:rsid w:val="00B43B5F"/>
    <w:rsid w:val="00B46CC3"/>
    <w:rsid w:val="00B50D11"/>
    <w:rsid w:val="00B51B83"/>
    <w:rsid w:val="00B5349B"/>
    <w:rsid w:val="00B5494E"/>
    <w:rsid w:val="00B54A5F"/>
    <w:rsid w:val="00B55372"/>
    <w:rsid w:val="00B5602D"/>
    <w:rsid w:val="00B57DD8"/>
    <w:rsid w:val="00B7239C"/>
    <w:rsid w:val="00B72995"/>
    <w:rsid w:val="00B74B4B"/>
    <w:rsid w:val="00B931C1"/>
    <w:rsid w:val="00BA7CBD"/>
    <w:rsid w:val="00BB0B20"/>
    <w:rsid w:val="00BB168C"/>
    <w:rsid w:val="00BC43E7"/>
    <w:rsid w:val="00BC6DD5"/>
    <w:rsid w:val="00BD0391"/>
    <w:rsid w:val="00BD30C1"/>
    <w:rsid w:val="00BD63AD"/>
    <w:rsid w:val="00BE166E"/>
    <w:rsid w:val="00BE3AF5"/>
    <w:rsid w:val="00BF1E5C"/>
    <w:rsid w:val="00BF2BC3"/>
    <w:rsid w:val="00C03086"/>
    <w:rsid w:val="00C03612"/>
    <w:rsid w:val="00C04604"/>
    <w:rsid w:val="00C0522B"/>
    <w:rsid w:val="00C05911"/>
    <w:rsid w:val="00C06096"/>
    <w:rsid w:val="00C1040F"/>
    <w:rsid w:val="00C22D92"/>
    <w:rsid w:val="00C24A79"/>
    <w:rsid w:val="00C2784A"/>
    <w:rsid w:val="00C32B10"/>
    <w:rsid w:val="00C333AC"/>
    <w:rsid w:val="00C34921"/>
    <w:rsid w:val="00C34AD0"/>
    <w:rsid w:val="00C369D2"/>
    <w:rsid w:val="00C4074B"/>
    <w:rsid w:val="00C4609D"/>
    <w:rsid w:val="00C53532"/>
    <w:rsid w:val="00C5751B"/>
    <w:rsid w:val="00C57ED9"/>
    <w:rsid w:val="00C606C5"/>
    <w:rsid w:val="00C67B3B"/>
    <w:rsid w:val="00C7489B"/>
    <w:rsid w:val="00C76655"/>
    <w:rsid w:val="00C828A7"/>
    <w:rsid w:val="00C82D0F"/>
    <w:rsid w:val="00C82F61"/>
    <w:rsid w:val="00C83327"/>
    <w:rsid w:val="00C842BC"/>
    <w:rsid w:val="00C84375"/>
    <w:rsid w:val="00C85A72"/>
    <w:rsid w:val="00C87F21"/>
    <w:rsid w:val="00C90C73"/>
    <w:rsid w:val="00C91366"/>
    <w:rsid w:val="00C91950"/>
    <w:rsid w:val="00C92DD9"/>
    <w:rsid w:val="00CA1069"/>
    <w:rsid w:val="00CA1ED0"/>
    <w:rsid w:val="00CA76DA"/>
    <w:rsid w:val="00CB0B04"/>
    <w:rsid w:val="00CB4E28"/>
    <w:rsid w:val="00CB6CCF"/>
    <w:rsid w:val="00CC6467"/>
    <w:rsid w:val="00CC67DC"/>
    <w:rsid w:val="00CD0DDD"/>
    <w:rsid w:val="00CE2417"/>
    <w:rsid w:val="00CE32D4"/>
    <w:rsid w:val="00CE68A8"/>
    <w:rsid w:val="00CE73DA"/>
    <w:rsid w:val="00CF2B28"/>
    <w:rsid w:val="00CF30A1"/>
    <w:rsid w:val="00CF3A87"/>
    <w:rsid w:val="00CF3D63"/>
    <w:rsid w:val="00D030A0"/>
    <w:rsid w:val="00D069BB"/>
    <w:rsid w:val="00D06AC5"/>
    <w:rsid w:val="00D20B6F"/>
    <w:rsid w:val="00D237FF"/>
    <w:rsid w:val="00D23CBC"/>
    <w:rsid w:val="00D24187"/>
    <w:rsid w:val="00D27958"/>
    <w:rsid w:val="00D35B02"/>
    <w:rsid w:val="00D40ACC"/>
    <w:rsid w:val="00D44A8A"/>
    <w:rsid w:val="00D530A3"/>
    <w:rsid w:val="00D561C4"/>
    <w:rsid w:val="00D568D2"/>
    <w:rsid w:val="00D57AF2"/>
    <w:rsid w:val="00D67F9D"/>
    <w:rsid w:val="00D70298"/>
    <w:rsid w:val="00D709CB"/>
    <w:rsid w:val="00D7600D"/>
    <w:rsid w:val="00D838BD"/>
    <w:rsid w:val="00D86EB8"/>
    <w:rsid w:val="00D87344"/>
    <w:rsid w:val="00D9066F"/>
    <w:rsid w:val="00D91727"/>
    <w:rsid w:val="00DA1D5D"/>
    <w:rsid w:val="00DA2889"/>
    <w:rsid w:val="00DB2807"/>
    <w:rsid w:val="00DC42D6"/>
    <w:rsid w:val="00DC5167"/>
    <w:rsid w:val="00DC6B8C"/>
    <w:rsid w:val="00DC6F25"/>
    <w:rsid w:val="00DD1A73"/>
    <w:rsid w:val="00DD3D3A"/>
    <w:rsid w:val="00DE1B30"/>
    <w:rsid w:val="00DE43C1"/>
    <w:rsid w:val="00DE4546"/>
    <w:rsid w:val="00DE5A3E"/>
    <w:rsid w:val="00DF1256"/>
    <w:rsid w:val="00DF2523"/>
    <w:rsid w:val="00DF6E43"/>
    <w:rsid w:val="00DF7198"/>
    <w:rsid w:val="00DF7C7E"/>
    <w:rsid w:val="00E0575B"/>
    <w:rsid w:val="00E132B8"/>
    <w:rsid w:val="00E15D38"/>
    <w:rsid w:val="00E25CEE"/>
    <w:rsid w:val="00E26B12"/>
    <w:rsid w:val="00E307B1"/>
    <w:rsid w:val="00E32A16"/>
    <w:rsid w:val="00E32D39"/>
    <w:rsid w:val="00E35094"/>
    <w:rsid w:val="00E350C4"/>
    <w:rsid w:val="00E364AA"/>
    <w:rsid w:val="00E40750"/>
    <w:rsid w:val="00E41BB3"/>
    <w:rsid w:val="00E43270"/>
    <w:rsid w:val="00E438C2"/>
    <w:rsid w:val="00E4745F"/>
    <w:rsid w:val="00E51847"/>
    <w:rsid w:val="00E528D3"/>
    <w:rsid w:val="00E5516A"/>
    <w:rsid w:val="00E56231"/>
    <w:rsid w:val="00E6072E"/>
    <w:rsid w:val="00E65D44"/>
    <w:rsid w:val="00E701AB"/>
    <w:rsid w:val="00E70820"/>
    <w:rsid w:val="00E72B78"/>
    <w:rsid w:val="00E81CD8"/>
    <w:rsid w:val="00E86187"/>
    <w:rsid w:val="00E9322A"/>
    <w:rsid w:val="00EA189D"/>
    <w:rsid w:val="00EA3E9D"/>
    <w:rsid w:val="00EA4722"/>
    <w:rsid w:val="00EA678A"/>
    <w:rsid w:val="00EA78DB"/>
    <w:rsid w:val="00EB161E"/>
    <w:rsid w:val="00EC064E"/>
    <w:rsid w:val="00EC5643"/>
    <w:rsid w:val="00ED1CF0"/>
    <w:rsid w:val="00ED721A"/>
    <w:rsid w:val="00ED77A1"/>
    <w:rsid w:val="00ED7972"/>
    <w:rsid w:val="00EE22CA"/>
    <w:rsid w:val="00EE4158"/>
    <w:rsid w:val="00EE70A8"/>
    <w:rsid w:val="00EF0C1E"/>
    <w:rsid w:val="00EF0CF7"/>
    <w:rsid w:val="00EF21DF"/>
    <w:rsid w:val="00F03B38"/>
    <w:rsid w:val="00F113C2"/>
    <w:rsid w:val="00F1219F"/>
    <w:rsid w:val="00F12987"/>
    <w:rsid w:val="00F22CFA"/>
    <w:rsid w:val="00F22E2D"/>
    <w:rsid w:val="00F31FEF"/>
    <w:rsid w:val="00F35350"/>
    <w:rsid w:val="00F37603"/>
    <w:rsid w:val="00F436C2"/>
    <w:rsid w:val="00F455E2"/>
    <w:rsid w:val="00F47231"/>
    <w:rsid w:val="00F47A4E"/>
    <w:rsid w:val="00F6617C"/>
    <w:rsid w:val="00F67ACE"/>
    <w:rsid w:val="00F72B48"/>
    <w:rsid w:val="00F738C4"/>
    <w:rsid w:val="00F80457"/>
    <w:rsid w:val="00F87352"/>
    <w:rsid w:val="00F902E1"/>
    <w:rsid w:val="00F91C25"/>
    <w:rsid w:val="00F91CF7"/>
    <w:rsid w:val="00F9515E"/>
    <w:rsid w:val="00FA3574"/>
    <w:rsid w:val="00FA6974"/>
    <w:rsid w:val="00FA71B4"/>
    <w:rsid w:val="00FB2129"/>
    <w:rsid w:val="00FB4461"/>
    <w:rsid w:val="00FB63FD"/>
    <w:rsid w:val="00FB66EC"/>
    <w:rsid w:val="00FB6D44"/>
    <w:rsid w:val="00FC12E6"/>
    <w:rsid w:val="00FC321B"/>
    <w:rsid w:val="00FC3DEA"/>
    <w:rsid w:val="00FC41B3"/>
    <w:rsid w:val="00FC42A7"/>
    <w:rsid w:val="00FC6E15"/>
    <w:rsid w:val="00FC7702"/>
    <w:rsid w:val="00FC770F"/>
    <w:rsid w:val="00FC78E6"/>
    <w:rsid w:val="00FD7BC7"/>
    <w:rsid w:val="00FE381A"/>
    <w:rsid w:val="00FF3A4F"/>
    <w:rsid w:val="00FF5339"/>
    <w:rsid w:val="00FF7B7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oNotEmbedSmartTags/>
  <w:decimalSymbol w:val=","/>
  <w:listSeparator w:val=";"/>
  <w14:docId w14:val="5AF41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widowControl w:val="0"/>
      <w:suppressAutoHyphens/>
    </w:pPr>
    <w:rPr>
      <w:sz w:val="24"/>
      <w:lang w:eastAsia="ar-SA"/>
    </w:rPr>
  </w:style>
  <w:style w:type="paragraph" w:styleId="Nadpis1">
    <w:name w:val="heading 1"/>
    <w:basedOn w:val="Normlny"/>
    <w:next w:val="Normlny"/>
    <w:qFormat/>
    <w:pPr>
      <w:keepNext/>
      <w:numPr>
        <w:numId w:val="1"/>
      </w:numPr>
      <w:spacing w:before="120"/>
      <w:jc w:val="both"/>
      <w:outlineLvl w:val="0"/>
    </w:pPr>
    <w:rPr>
      <w:b/>
      <w:sz w:val="22"/>
      <w:u w:val="single"/>
    </w:rPr>
  </w:style>
  <w:style w:type="paragraph" w:styleId="Nadpis2">
    <w:name w:val="heading 2"/>
    <w:basedOn w:val="Normlny"/>
    <w:next w:val="Normlny"/>
    <w:qFormat/>
    <w:pPr>
      <w:keepNext/>
      <w:numPr>
        <w:ilvl w:val="1"/>
        <w:numId w:val="1"/>
      </w:numPr>
      <w:jc w:val="both"/>
      <w:outlineLvl w:val="1"/>
    </w:pPr>
    <w:rPr>
      <w:b/>
      <w:i/>
      <w:sz w:val="15"/>
    </w:rPr>
  </w:style>
  <w:style w:type="paragraph" w:styleId="Nadpis3">
    <w:name w:val="heading 3"/>
    <w:basedOn w:val="Normlny"/>
    <w:next w:val="Normlny"/>
    <w:qFormat/>
    <w:pPr>
      <w:keepNext/>
      <w:numPr>
        <w:ilvl w:val="2"/>
        <w:numId w:val="1"/>
      </w:numPr>
      <w:pBdr>
        <w:top w:val="single" w:sz="8" w:space="1" w:color="000000"/>
        <w:left w:val="single" w:sz="8" w:space="1" w:color="000000"/>
        <w:bottom w:val="single" w:sz="8" w:space="1" w:color="000000"/>
        <w:right w:val="single" w:sz="8" w:space="1" w:color="000000"/>
      </w:pBdr>
      <w:jc w:val="both"/>
      <w:outlineLvl w:val="2"/>
    </w:pPr>
    <w:rPr>
      <w:color w:val="0000FF"/>
      <w:u w:val="single"/>
    </w:rPr>
  </w:style>
  <w:style w:type="paragraph" w:styleId="Nadpis4">
    <w:name w:val="heading 4"/>
    <w:basedOn w:val="Normlny"/>
    <w:next w:val="Normlny"/>
    <w:qFormat/>
    <w:pPr>
      <w:keepNext/>
      <w:numPr>
        <w:ilvl w:val="3"/>
        <w:numId w:val="1"/>
      </w:numPr>
      <w:jc w:val="both"/>
      <w:outlineLvl w:val="3"/>
    </w:pPr>
    <w:rPr>
      <w:bCs/>
      <w:u w:val="single"/>
    </w:rPr>
  </w:style>
  <w:style w:type="paragraph" w:styleId="Nadpis5">
    <w:name w:val="heading 5"/>
    <w:basedOn w:val="Normlny"/>
    <w:next w:val="Normlny"/>
    <w:qFormat/>
    <w:pPr>
      <w:keepNext/>
      <w:numPr>
        <w:ilvl w:val="4"/>
        <w:numId w:val="1"/>
      </w:numPr>
      <w:jc w:val="both"/>
      <w:outlineLvl w:val="4"/>
    </w:pPr>
    <w:rPr>
      <w:b/>
    </w:rPr>
  </w:style>
  <w:style w:type="paragraph" w:styleId="Nadpis6">
    <w:name w:val="heading 6"/>
    <w:basedOn w:val="Normlny"/>
    <w:next w:val="Normlny"/>
    <w:qFormat/>
    <w:pPr>
      <w:keepNext/>
      <w:numPr>
        <w:ilvl w:val="5"/>
        <w:numId w:val="1"/>
      </w:numPr>
      <w:ind w:left="708" w:firstLine="0"/>
      <w:jc w:val="both"/>
      <w:outlineLvl w:val="5"/>
    </w:pPr>
    <w:rPr>
      <w:rFonts w:ascii="Arial" w:hAnsi="Arial" w:cs="Arial"/>
      <w:bCs/>
      <w:i/>
      <w:iCs/>
      <w:sz w:val="20"/>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Pr>
      <w:rFonts w:cs="Times New Roman"/>
    </w:rPr>
  </w:style>
  <w:style w:type="character" w:customStyle="1" w:styleId="WW8Num2z0">
    <w:name w:val="WW8Num2z0"/>
    <w:rPr>
      <w:rFonts w:cs="Times New Roman"/>
    </w:rPr>
  </w:style>
  <w:style w:type="character" w:customStyle="1" w:styleId="WW8Num3z0">
    <w:name w:val="WW8Num3z0"/>
    <w:rPr>
      <w:rFonts w:cs="Times New Roman"/>
    </w:rPr>
  </w:style>
  <w:style w:type="character" w:customStyle="1" w:styleId="WW8Num4z0">
    <w:name w:val="WW8Num4z0"/>
    <w:rPr>
      <w:rFonts w:ascii="Symbol" w:hAnsi="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5z0">
    <w:name w:val="WW8Num5z0"/>
    <w:rPr>
      <w:rFonts w:cs="Times New Roman"/>
    </w:rPr>
  </w:style>
  <w:style w:type="character" w:customStyle="1" w:styleId="WW8Num6z0">
    <w:name w:val="WW8Num6z0"/>
    <w:rPr>
      <w:rFonts w:cs="Times New Roman"/>
    </w:rPr>
  </w:style>
  <w:style w:type="character" w:customStyle="1" w:styleId="WW8Num7z0">
    <w:name w:val="WW8Num7z0"/>
    <w:rPr>
      <w:rFonts w:cs="Times New Roman"/>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1z0">
    <w:name w:val="WW8Num11z0"/>
    <w:rPr>
      <w:rFonts w:cs="Times New Roman"/>
      <w:b/>
      <w:sz w:val="22"/>
      <w:szCs w:val="22"/>
    </w:rPr>
  </w:style>
  <w:style w:type="character" w:customStyle="1" w:styleId="WW8Num12z0">
    <w:name w:val="WW8Num12z0"/>
    <w:rPr>
      <w:rFonts w:cs="Times New Roman"/>
    </w:rPr>
  </w:style>
  <w:style w:type="character" w:customStyle="1" w:styleId="WW8Num13z0">
    <w:name w:val="WW8Num13z0"/>
    <w:rPr>
      <w:rFonts w:ascii="Symbol" w:hAnsi="Symbol"/>
      <w:sz w:val="20"/>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Symbol" w:hAnsi="Symbol"/>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DefaultParagraphFont1">
    <w:name w:val="Default Paragraph Font1"/>
  </w:style>
  <w:style w:type="character" w:customStyle="1" w:styleId="Heading1Char">
    <w:name w:val="Heading 1 Char"/>
    <w:rPr>
      <w:rFonts w:ascii="Cambria" w:hAnsi="Cambria" w:cs="Times New Roman"/>
      <w:b/>
      <w:bCs/>
      <w:kern w:val="1"/>
      <w:sz w:val="32"/>
      <w:szCs w:val="32"/>
      <w:lang w:val="cs-CZ"/>
    </w:rPr>
  </w:style>
  <w:style w:type="character" w:customStyle="1" w:styleId="Heading2Char">
    <w:name w:val="Heading 2 Char"/>
    <w:rPr>
      <w:rFonts w:ascii="Cambria" w:hAnsi="Cambria" w:cs="Times New Roman"/>
      <w:b/>
      <w:bCs/>
      <w:i/>
      <w:iCs/>
      <w:sz w:val="28"/>
      <w:szCs w:val="28"/>
      <w:lang w:val="cs-CZ"/>
    </w:rPr>
  </w:style>
  <w:style w:type="character" w:customStyle="1" w:styleId="Heading3Char">
    <w:name w:val="Heading 3 Char"/>
    <w:rPr>
      <w:rFonts w:ascii="Cambria" w:hAnsi="Cambria" w:cs="Times New Roman"/>
      <w:b/>
      <w:bCs/>
      <w:sz w:val="26"/>
      <w:szCs w:val="26"/>
      <w:lang w:val="cs-CZ"/>
    </w:rPr>
  </w:style>
  <w:style w:type="character" w:customStyle="1" w:styleId="Heading4Char">
    <w:name w:val="Heading 4 Char"/>
    <w:rPr>
      <w:rFonts w:ascii="Calibri" w:hAnsi="Calibri" w:cs="Times New Roman"/>
      <w:b/>
      <w:bCs/>
      <w:sz w:val="28"/>
      <w:szCs w:val="28"/>
      <w:lang w:val="cs-CZ"/>
    </w:rPr>
  </w:style>
  <w:style w:type="character" w:customStyle="1" w:styleId="Heading5Char">
    <w:name w:val="Heading 5 Char"/>
    <w:rPr>
      <w:rFonts w:ascii="Calibri" w:hAnsi="Calibri" w:cs="Times New Roman"/>
      <w:b/>
      <w:bCs/>
      <w:i/>
      <w:iCs/>
      <w:sz w:val="26"/>
      <w:szCs w:val="26"/>
      <w:lang w:val="cs-CZ"/>
    </w:rPr>
  </w:style>
  <w:style w:type="character" w:customStyle="1" w:styleId="Heading6Char">
    <w:name w:val="Heading 6 Char"/>
    <w:rPr>
      <w:rFonts w:ascii="Calibri" w:hAnsi="Calibri" w:cs="Times New Roman"/>
      <w:b/>
      <w:bCs/>
      <w:lang w:val="cs-CZ"/>
    </w:rPr>
  </w:style>
  <w:style w:type="character" w:customStyle="1" w:styleId="FooterChar">
    <w:name w:val="Footer Char"/>
    <w:uiPriority w:val="99"/>
    <w:rPr>
      <w:rFonts w:cs="Times New Roman"/>
      <w:sz w:val="20"/>
      <w:szCs w:val="20"/>
      <w:lang w:val="cs-CZ"/>
    </w:rPr>
  </w:style>
  <w:style w:type="character" w:customStyle="1" w:styleId="HeaderChar">
    <w:name w:val="Header Char"/>
    <w:rPr>
      <w:rFonts w:cs="Times New Roman"/>
      <w:sz w:val="20"/>
      <w:szCs w:val="20"/>
      <w:lang w:val="cs-CZ"/>
    </w:rPr>
  </w:style>
  <w:style w:type="character" w:customStyle="1" w:styleId="TitleChar">
    <w:name w:val="Title Char"/>
    <w:rPr>
      <w:rFonts w:ascii="Cambria" w:hAnsi="Cambria" w:cs="Times New Roman"/>
      <w:b/>
      <w:bCs/>
      <w:kern w:val="1"/>
      <w:sz w:val="32"/>
      <w:szCs w:val="32"/>
      <w:lang w:val="cs-CZ"/>
    </w:rPr>
  </w:style>
  <w:style w:type="character" w:customStyle="1" w:styleId="BodyTextChar">
    <w:name w:val="Body Text Char"/>
    <w:rPr>
      <w:rFonts w:cs="Times New Roman"/>
      <w:sz w:val="20"/>
      <w:szCs w:val="20"/>
      <w:lang w:val="cs-CZ"/>
    </w:rPr>
  </w:style>
  <w:style w:type="character" w:customStyle="1" w:styleId="BodyText2Char">
    <w:name w:val="Body Text 2 Char"/>
    <w:rPr>
      <w:rFonts w:cs="Times New Roman"/>
      <w:sz w:val="20"/>
      <w:szCs w:val="20"/>
      <w:lang w:val="cs-CZ"/>
    </w:rPr>
  </w:style>
  <w:style w:type="character" w:customStyle="1" w:styleId="BodyText3Char">
    <w:name w:val="Body Text 3 Char"/>
    <w:rPr>
      <w:rFonts w:cs="Times New Roman"/>
      <w:sz w:val="16"/>
      <w:szCs w:val="16"/>
      <w:lang w:val="cs-CZ"/>
    </w:rPr>
  </w:style>
  <w:style w:type="character" w:customStyle="1" w:styleId="BodyTextIndentChar">
    <w:name w:val="Body Text Indent Char"/>
    <w:rPr>
      <w:rFonts w:cs="Times New Roman"/>
      <w:sz w:val="20"/>
      <w:szCs w:val="20"/>
      <w:lang w:val="cs-CZ"/>
    </w:rPr>
  </w:style>
  <w:style w:type="character" w:customStyle="1" w:styleId="BodyTextIndent2Char">
    <w:name w:val="Body Text Indent 2 Char"/>
    <w:rPr>
      <w:rFonts w:cs="Times New Roman"/>
      <w:sz w:val="20"/>
      <w:szCs w:val="20"/>
      <w:lang w:val="cs-CZ"/>
    </w:rPr>
  </w:style>
  <w:style w:type="character" w:customStyle="1" w:styleId="BodyTextIndent3Char">
    <w:name w:val="Body Text Indent 3 Char"/>
    <w:rPr>
      <w:rFonts w:cs="Times New Roman"/>
      <w:sz w:val="16"/>
      <w:szCs w:val="16"/>
      <w:lang w:val="cs-CZ"/>
    </w:rPr>
  </w:style>
  <w:style w:type="character" w:styleId="slostrany">
    <w:name w:val="page number"/>
    <w:rPr>
      <w:rFonts w:cs="Times New Roman"/>
    </w:rPr>
  </w:style>
  <w:style w:type="character" w:customStyle="1" w:styleId="BalloonTextChar">
    <w:name w:val="Balloon Text Char"/>
    <w:rPr>
      <w:rFonts w:cs="Times New Roman"/>
      <w:sz w:val="2"/>
      <w:lang w:val="cs-CZ"/>
    </w:rPr>
  </w:style>
  <w:style w:type="character" w:customStyle="1" w:styleId="CommentReference1">
    <w:name w:val="Comment Reference1"/>
    <w:rPr>
      <w:rFonts w:cs="Times New Roman"/>
      <w:sz w:val="16"/>
      <w:szCs w:val="16"/>
    </w:rPr>
  </w:style>
  <w:style w:type="character" w:customStyle="1" w:styleId="hps">
    <w:name w:val="hps"/>
    <w:rPr>
      <w:rFonts w:cs="Times New Roman"/>
    </w:rPr>
  </w:style>
  <w:style w:type="character" w:customStyle="1" w:styleId="CommentTextChar">
    <w:name w:val="Comment Text Char"/>
    <w:rPr>
      <w:rFonts w:cs="Times New Roman"/>
      <w:lang w:val="cs-CZ"/>
    </w:rPr>
  </w:style>
  <w:style w:type="character" w:customStyle="1" w:styleId="CommentSubjectChar">
    <w:name w:val="Comment Subject Char"/>
    <w:rPr>
      <w:rFonts w:cs="Times New Roman"/>
      <w:b/>
      <w:bCs/>
      <w:lang w:val="cs-CZ"/>
    </w:rPr>
  </w:style>
  <w:style w:type="character" w:styleId="Hypertextovprepojenie">
    <w:name w:val="Hyperlink"/>
    <w:rPr>
      <w:color w:val="0000FF"/>
      <w:u w:val="single"/>
    </w:rPr>
  </w:style>
  <w:style w:type="paragraph" w:customStyle="1" w:styleId="Heading">
    <w:name w:val="Heading"/>
    <w:basedOn w:val="Normlny"/>
    <w:next w:val="Zkladntext"/>
    <w:pPr>
      <w:keepNext/>
      <w:spacing w:before="240" w:after="120"/>
    </w:pPr>
    <w:rPr>
      <w:rFonts w:ascii="Arial" w:eastAsia="Lucida Sans Unicode" w:hAnsi="Arial" w:cs="Tahoma"/>
      <w:sz w:val="28"/>
      <w:szCs w:val="28"/>
    </w:rPr>
  </w:style>
  <w:style w:type="paragraph" w:styleId="Zkladntext">
    <w:name w:val="Body Text"/>
    <w:basedOn w:val="Normlny"/>
    <w:rPr>
      <w:b/>
      <w:i/>
      <w:sz w:val="16"/>
    </w:rPr>
  </w:style>
  <w:style w:type="paragraph" w:styleId="Zoznam">
    <w:name w:val="List"/>
    <w:basedOn w:val="Zkladntext"/>
    <w:rPr>
      <w:rFonts w:cs="Tahoma"/>
    </w:rPr>
  </w:style>
  <w:style w:type="paragraph" w:customStyle="1" w:styleId="Caption1">
    <w:name w:val="Caption1"/>
    <w:basedOn w:val="Normlny"/>
    <w:pPr>
      <w:suppressLineNumbers/>
      <w:spacing w:before="120" w:after="120"/>
    </w:pPr>
    <w:rPr>
      <w:rFonts w:cs="Tahoma"/>
      <w:i/>
      <w:iCs/>
      <w:szCs w:val="24"/>
    </w:rPr>
  </w:style>
  <w:style w:type="paragraph" w:customStyle="1" w:styleId="Index">
    <w:name w:val="Index"/>
    <w:basedOn w:val="Normlny"/>
    <w:pPr>
      <w:suppressLineNumbers/>
    </w:pPr>
    <w:rPr>
      <w:rFonts w:cs="Tahoma"/>
    </w:rPr>
  </w:style>
  <w:style w:type="paragraph" w:styleId="Pta">
    <w:name w:val="footer"/>
    <w:basedOn w:val="Normlny"/>
    <w:uiPriority w:val="99"/>
    <w:pPr>
      <w:tabs>
        <w:tab w:val="center" w:pos="4536"/>
        <w:tab w:val="right" w:pos="9072"/>
      </w:tabs>
    </w:pPr>
  </w:style>
  <w:style w:type="paragraph" w:styleId="Hlavika">
    <w:name w:val="header"/>
    <w:basedOn w:val="Normlny"/>
    <w:link w:val="HlavikaChar"/>
    <w:uiPriority w:val="99"/>
    <w:pPr>
      <w:tabs>
        <w:tab w:val="center" w:pos="4536"/>
        <w:tab w:val="right" w:pos="9072"/>
      </w:tabs>
    </w:pPr>
  </w:style>
  <w:style w:type="paragraph" w:styleId="Nzov">
    <w:name w:val="Title"/>
    <w:basedOn w:val="Normlny"/>
    <w:next w:val="Podtitul"/>
    <w:qFormat/>
    <w:pPr>
      <w:jc w:val="center"/>
    </w:pPr>
    <w:rPr>
      <w:b/>
      <w:i/>
      <w:sz w:val="28"/>
    </w:rPr>
  </w:style>
  <w:style w:type="paragraph" w:styleId="Podtitul">
    <w:name w:val="Subtitle"/>
    <w:basedOn w:val="Heading"/>
    <w:next w:val="Zkladntext"/>
    <w:qFormat/>
    <w:pPr>
      <w:jc w:val="center"/>
    </w:pPr>
    <w:rPr>
      <w:i/>
      <w:iCs/>
    </w:rPr>
  </w:style>
  <w:style w:type="paragraph" w:customStyle="1" w:styleId="BodyText21">
    <w:name w:val="Body Text 21"/>
    <w:basedOn w:val="Normlny"/>
    <w:pPr>
      <w:spacing w:before="120"/>
      <w:jc w:val="both"/>
    </w:pPr>
    <w:rPr>
      <w:sz w:val="18"/>
    </w:rPr>
  </w:style>
  <w:style w:type="paragraph" w:customStyle="1" w:styleId="Normln">
    <w:name w:val="Normální"/>
    <w:pPr>
      <w:widowControl w:val="0"/>
      <w:suppressAutoHyphens/>
    </w:pPr>
    <w:rPr>
      <w:rFonts w:eastAsia="Arial"/>
      <w:sz w:val="24"/>
      <w:lang w:val="cs-CZ" w:eastAsia="ar-SA"/>
    </w:rPr>
  </w:style>
  <w:style w:type="paragraph" w:customStyle="1" w:styleId="BodyText31">
    <w:name w:val="Body Text 31"/>
    <w:basedOn w:val="Normlny"/>
    <w:pPr>
      <w:jc w:val="both"/>
    </w:pPr>
    <w:rPr>
      <w:bCs/>
    </w:rPr>
  </w:style>
  <w:style w:type="paragraph" w:styleId="Zarkazkladnhotextu">
    <w:name w:val="Body Text Indent"/>
    <w:basedOn w:val="Normlny"/>
    <w:pPr>
      <w:ind w:left="708"/>
      <w:jc w:val="both"/>
    </w:pPr>
    <w:rPr>
      <w:rFonts w:ascii="Arial" w:hAnsi="Arial" w:cs="Arial"/>
      <w:bCs/>
      <w:sz w:val="20"/>
    </w:rPr>
  </w:style>
  <w:style w:type="paragraph" w:customStyle="1" w:styleId="BodyTextIndent21">
    <w:name w:val="Body Text Indent 21"/>
    <w:basedOn w:val="Normlny"/>
    <w:pPr>
      <w:ind w:left="567"/>
      <w:jc w:val="both"/>
    </w:pPr>
    <w:rPr>
      <w:rFonts w:ascii="Arial" w:hAnsi="Arial" w:cs="Arial"/>
      <w:sz w:val="20"/>
    </w:rPr>
  </w:style>
  <w:style w:type="paragraph" w:customStyle="1" w:styleId="BodyTextIndent31">
    <w:name w:val="Body Text Indent 31"/>
    <w:basedOn w:val="Normlny"/>
    <w:pPr>
      <w:ind w:left="705"/>
      <w:jc w:val="both"/>
    </w:pPr>
    <w:rPr>
      <w:rFonts w:ascii="Arial" w:hAnsi="Arial" w:cs="Arial"/>
      <w:bCs/>
      <w:sz w:val="20"/>
    </w:rPr>
  </w:style>
  <w:style w:type="paragraph" w:customStyle="1" w:styleId="BalloonText1">
    <w:name w:val="Balloon Text1"/>
    <w:basedOn w:val="Normlny"/>
    <w:rPr>
      <w:rFonts w:ascii="Tahoma" w:hAnsi="Tahoma" w:cs="Tahoma"/>
      <w:sz w:val="16"/>
      <w:szCs w:val="16"/>
    </w:rPr>
  </w:style>
  <w:style w:type="paragraph" w:styleId="Obsah7">
    <w:name w:val="toc 7"/>
    <w:basedOn w:val="Normlny"/>
    <w:next w:val="Normlny"/>
    <w:pPr>
      <w:widowControl/>
      <w:tabs>
        <w:tab w:val="left" w:pos="4253"/>
        <w:tab w:val="right" w:pos="9071"/>
      </w:tabs>
    </w:pPr>
    <w:rPr>
      <w:sz w:val="22"/>
      <w:lang w:val="de-DE"/>
    </w:rPr>
  </w:style>
  <w:style w:type="paragraph" w:customStyle="1" w:styleId="WW-Default">
    <w:name w:val="WW-Default"/>
    <w:pPr>
      <w:suppressAutoHyphens/>
      <w:autoSpaceDE w:val="0"/>
    </w:pPr>
    <w:rPr>
      <w:rFonts w:eastAsia="Arial"/>
      <w:color w:val="000000"/>
      <w:sz w:val="24"/>
      <w:szCs w:val="24"/>
      <w:lang w:eastAsia="ar-SA"/>
    </w:rPr>
  </w:style>
  <w:style w:type="paragraph" w:customStyle="1" w:styleId="CommentText1">
    <w:name w:val="Comment Text1"/>
    <w:basedOn w:val="Normlny"/>
    <w:rPr>
      <w:sz w:val="20"/>
    </w:rPr>
  </w:style>
  <w:style w:type="paragraph" w:customStyle="1" w:styleId="CommentSubject1">
    <w:name w:val="Comment Subject1"/>
    <w:basedOn w:val="CommentText1"/>
    <w:next w:val="CommentText1"/>
    <w:rPr>
      <w:b/>
      <w:bCs/>
    </w:rPr>
  </w:style>
  <w:style w:type="paragraph" w:customStyle="1" w:styleId="EMEAEnBodyText">
    <w:name w:val="EMEA En Body Text"/>
    <w:basedOn w:val="Normlny"/>
    <w:pPr>
      <w:widowControl/>
      <w:spacing w:before="120" w:after="120"/>
      <w:jc w:val="both"/>
    </w:pPr>
    <w:rPr>
      <w:sz w:val="22"/>
      <w:lang w:val="en-US"/>
    </w:rPr>
  </w:style>
  <w:style w:type="paragraph" w:customStyle="1" w:styleId="TableContents">
    <w:name w:val="Table Contents"/>
    <w:basedOn w:val="Normlny"/>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Zkladntext"/>
  </w:style>
  <w:style w:type="paragraph" w:styleId="Textbubliny">
    <w:name w:val="Balloon Text"/>
    <w:basedOn w:val="Normlny"/>
    <w:semiHidden/>
    <w:rsid w:val="003B7A77"/>
    <w:rPr>
      <w:rFonts w:ascii="Tahoma" w:hAnsi="Tahoma" w:cs="Tahoma"/>
      <w:sz w:val="16"/>
      <w:szCs w:val="16"/>
    </w:rPr>
  </w:style>
  <w:style w:type="character" w:styleId="Odkaznakomentr">
    <w:name w:val="annotation reference"/>
    <w:semiHidden/>
    <w:rsid w:val="003B7A77"/>
    <w:rPr>
      <w:sz w:val="16"/>
      <w:szCs w:val="16"/>
    </w:rPr>
  </w:style>
  <w:style w:type="paragraph" w:styleId="Textkomentra">
    <w:name w:val="annotation text"/>
    <w:basedOn w:val="Normlny"/>
    <w:semiHidden/>
    <w:rsid w:val="003B7A77"/>
    <w:rPr>
      <w:sz w:val="20"/>
    </w:rPr>
  </w:style>
  <w:style w:type="paragraph" w:styleId="Predmetkomentra">
    <w:name w:val="annotation subject"/>
    <w:basedOn w:val="Textkomentra"/>
    <w:next w:val="Textkomentra"/>
    <w:semiHidden/>
    <w:rsid w:val="003B7A77"/>
    <w:rPr>
      <w:b/>
      <w:bCs/>
    </w:rPr>
  </w:style>
  <w:style w:type="paragraph" w:styleId="Revzia">
    <w:name w:val="Revision"/>
    <w:hidden/>
    <w:uiPriority w:val="99"/>
    <w:semiHidden/>
    <w:rsid w:val="008F5C0E"/>
    <w:rPr>
      <w:sz w:val="24"/>
      <w:lang w:eastAsia="ar-SA"/>
    </w:rPr>
  </w:style>
  <w:style w:type="paragraph" w:customStyle="1" w:styleId="Paragraph">
    <w:name w:val="Paragraph"/>
    <w:rsid w:val="003D7828"/>
    <w:pPr>
      <w:spacing w:after="240"/>
    </w:pPr>
    <w:rPr>
      <w:rFonts w:eastAsia="SimSun"/>
      <w:sz w:val="24"/>
      <w:szCs w:val="24"/>
      <w:lang w:val="en-US" w:eastAsia="en-US"/>
    </w:rPr>
  </w:style>
  <w:style w:type="character" w:styleId="PouitHypertextovPrepojenie">
    <w:name w:val="FollowedHyperlink"/>
    <w:rsid w:val="00CE32D4"/>
    <w:rPr>
      <w:color w:val="800080"/>
      <w:u w:val="single"/>
    </w:rPr>
  </w:style>
  <w:style w:type="character" w:customStyle="1" w:styleId="TableText12">
    <w:name w:val="TableText 12"/>
    <w:rsid w:val="009C6AF1"/>
    <w:rPr>
      <w:rFonts w:ascii="Times New Roman" w:hAnsi="Times New Roman"/>
      <w:sz w:val="24"/>
    </w:rPr>
  </w:style>
  <w:style w:type="character" w:customStyle="1" w:styleId="HlavikaChar">
    <w:name w:val="Hlavička Char"/>
    <w:basedOn w:val="Predvolenpsmoodseku"/>
    <w:link w:val="Hlavika"/>
    <w:uiPriority w:val="99"/>
    <w:rsid w:val="00264EC7"/>
    <w:rPr>
      <w:sz w:val="24"/>
      <w:lang w:eastAsia="ar-SA"/>
    </w:rPr>
  </w:style>
  <w:style w:type="paragraph" w:styleId="Odsekzoznamu">
    <w:name w:val="List Paragraph"/>
    <w:basedOn w:val="Normlny"/>
    <w:uiPriority w:val="34"/>
    <w:qFormat/>
    <w:rsid w:val="00FC77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widowControl w:val="0"/>
      <w:suppressAutoHyphens/>
    </w:pPr>
    <w:rPr>
      <w:sz w:val="24"/>
      <w:lang w:eastAsia="ar-SA"/>
    </w:rPr>
  </w:style>
  <w:style w:type="paragraph" w:styleId="Nadpis1">
    <w:name w:val="heading 1"/>
    <w:basedOn w:val="Normlny"/>
    <w:next w:val="Normlny"/>
    <w:qFormat/>
    <w:pPr>
      <w:keepNext/>
      <w:numPr>
        <w:numId w:val="1"/>
      </w:numPr>
      <w:spacing w:before="120"/>
      <w:jc w:val="both"/>
      <w:outlineLvl w:val="0"/>
    </w:pPr>
    <w:rPr>
      <w:b/>
      <w:sz w:val="22"/>
      <w:u w:val="single"/>
    </w:rPr>
  </w:style>
  <w:style w:type="paragraph" w:styleId="Nadpis2">
    <w:name w:val="heading 2"/>
    <w:basedOn w:val="Normlny"/>
    <w:next w:val="Normlny"/>
    <w:qFormat/>
    <w:pPr>
      <w:keepNext/>
      <w:numPr>
        <w:ilvl w:val="1"/>
        <w:numId w:val="1"/>
      </w:numPr>
      <w:jc w:val="both"/>
      <w:outlineLvl w:val="1"/>
    </w:pPr>
    <w:rPr>
      <w:b/>
      <w:i/>
      <w:sz w:val="15"/>
    </w:rPr>
  </w:style>
  <w:style w:type="paragraph" w:styleId="Nadpis3">
    <w:name w:val="heading 3"/>
    <w:basedOn w:val="Normlny"/>
    <w:next w:val="Normlny"/>
    <w:qFormat/>
    <w:pPr>
      <w:keepNext/>
      <w:numPr>
        <w:ilvl w:val="2"/>
        <w:numId w:val="1"/>
      </w:numPr>
      <w:pBdr>
        <w:top w:val="single" w:sz="8" w:space="1" w:color="000000"/>
        <w:left w:val="single" w:sz="8" w:space="1" w:color="000000"/>
        <w:bottom w:val="single" w:sz="8" w:space="1" w:color="000000"/>
        <w:right w:val="single" w:sz="8" w:space="1" w:color="000000"/>
      </w:pBdr>
      <w:jc w:val="both"/>
      <w:outlineLvl w:val="2"/>
    </w:pPr>
    <w:rPr>
      <w:color w:val="0000FF"/>
      <w:u w:val="single"/>
    </w:rPr>
  </w:style>
  <w:style w:type="paragraph" w:styleId="Nadpis4">
    <w:name w:val="heading 4"/>
    <w:basedOn w:val="Normlny"/>
    <w:next w:val="Normlny"/>
    <w:qFormat/>
    <w:pPr>
      <w:keepNext/>
      <w:numPr>
        <w:ilvl w:val="3"/>
        <w:numId w:val="1"/>
      </w:numPr>
      <w:jc w:val="both"/>
      <w:outlineLvl w:val="3"/>
    </w:pPr>
    <w:rPr>
      <w:bCs/>
      <w:u w:val="single"/>
    </w:rPr>
  </w:style>
  <w:style w:type="paragraph" w:styleId="Nadpis5">
    <w:name w:val="heading 5"/>
    <w:basedOn w:val="Normlny"/>
    <w:next w:val="Normlny"/>
    <w:qFormat/>
    <w:pPr>
      <w:keepNext/>
      <w:numPr>
        <w:ilvl w:val="4"/>
        <w:numId w:val="1"/>
      </w:numPr>
      <w:jc w:val="both"/>
      <w:outlineLvl w:val="4"/>
    </w:pPr>
    <w:rPr>
      <w:b/>
    </w:rPr>
  </w:style>
  <w:style w:type="paragraph" w:styleId="Nadpis6">
    <w:name w:val="heading 6"/>
    <w:basedOn w:val="Normlny"/>
    <w:next w:val="Normlny"/>
    <w:qFormat/>
    <w:pPr>
      <w:keepNext/>
      <w:numPr>
        <w:ilvl w:val="5"/>
        <w:numId w:val="1"/>
      </w:numPr>
      <w:ind w:left="708" w:firstLine="0"/>
      <w:jc w:val="both"/>
      <w:outlineLvl w:val="5"/>
    </w:pPr>
    <w:rPr>
      <w:rFonts w:ascii="Arial" w:hAnsi="Arial" w:cs="Arial"/>
      <w:bCs/>
      <w:i/>
      <w:iCs/>
      <w:sz w:val="20"/>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Pr>
      <w:rFonts w:cs="Times New Roman"/>
    </w:rPr>
  </w:style>
  <w:style w:type="character" w:customStyle="1" w:styleId="WW8Num2z0">
    <w:name w:val="WW8Num2z0"/>
    <w:rPr>
      <w:rFonts w:cs="Times New Roman"/>
    </w:rPr>
  </w:style>
  <w:style w:type="character" w:customStyle="1" w:styleId="WW8Num3z0">
    <w:name w:val="WW8Num3z0"/>
    <w:rPr>
      <w:rFonts w:cs="Times New Roman"/>
    </w:rPr>
  </w:style>
  <w:style w:type="character" w:customStyle="1" w:styleId="WW8Num4z0">
    <w:name w:val="WW8Num4z0"/>
    <w:rPr>
      <w:rFonts w:ascii="Symbol" w:hAnsi="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5z0">
    <w:name w:val="WW8Num5z0"/>
    <w:rPr>
      <w:rFonts w:cs="Times New Roman"/>
    </w:rPr>
  </w:style>
  <w:style w:type="character" w:customStyle="1" w:styleId="WW8Num6z0">
    <w:name w:val="WW8Num6z0"/>
    <w:rPr>
      <w:rFonts w:cs="Times New Roman"/>
    </w:rPr>
  </w:style>
  <w:style w:type="character" w:customStyle="1" w:styleId="WW8Num7z0">
    <w:name w:val="WW8Num7z0"/>
    <w:rPr>
      <w:rFonts w:cs="Times New Roman"/>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1z0">
    <w:name w:val="WW8Num11z0"/>
    <w:rPr>
      <w:rFonts w:cs="Times New Roman"/>
      <w:b/>
      <w:sz w:val="22"/>
      <w:szCs w:val="22"/>
    </w:rPr>
  </w:style>
  <w:style w:type="character" w:customStyle="1" w:styleId="WW8Num12z0">
    <w:name w:val="WW8Num12z0"/>
    <w:rPr>
      <w:rFonts w:cs="Times New Roman"/>
    </w:rPr>
  </w:style>
  <w:style w:type="character" w:customStyle="1" w:styleId="WW8Num13z0">
    <w:name w:val="WW8Num13z0"/>
    <w:rPr>
      <w:rFonts w:ascii="Symbol" w:hAnsi="Symbol"/>
      <w:sz w:val="20"/>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Symbol" w:hAnsi="Symbol"/>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DefaultParagraphFont1">
    <w:name w:val="Default Paragraph Font1"/>
  </w:style>
  <w:style w:type="character" w:customStyle="1" w:styleId="Heading1Char">
    <w:name w:val="Heading 1 Char"/>
    <w:rPr>
      <w:rFonts w:ascii="Cambria" w:hAnsi="Cambria" w:cs="Times New Roman"/>
      <w:b/>
      <w:bCs/>
      <w:kern w:val="1"/>
      <w:sz w:val="32"/>
      <w:szCs w:val="32"/>
      <w:lang w:val="cs-CZ"/>
    </w:rPr>
  </w:style>
  <w:style w:type="character" w:customStyle="1" w:styleId="Heading2Char">
    <w:name w:val="Heading 2 Char"/>
    <w:rPr>
      <w:rFonts w:ascii="Cambria" w:hAnsi="Cambria" w:cs="Times New Roman"/>
      <w:b/>
      <w:bCs/>
      <w:i/>
      <w:iCs/>
      <w:sz w:val="28"/>
      <w:szCs w:val="28"/>
      <w:lang w:val="cs-CZ"/>
    </w:rPr>
  </w:style>
  <w:style w:type="character" w:customStyle="1" w:styleId="Heading3Char">
    <w:name w:val="Heading 3 Char"/>
    <w:rPr>
      <w:rFonts w:ascii="Cambria" w:hAnsi="Cambria" w:cs="Times New Roman"/>
      <w:b/>
      <w:bCs/>
      <w:sz w:val="26"/>
      <w:szCs w:val="26"/>
      <w:lang w:val="cs-CZ"/>
    </w:rPr>
  </w:style>
  <w:style w:type="character" w:customStyle="1" w:styleId="Heading4Char">
    <w:name w:val="Heading 4 Char"/>
    <w:rPr>
      <w:rFonts w:ascii="Calibri" w:hAnsi="Calibri" w:cs="Times New Roman"/>
      <w:b/>
      <w:bCs/>
      <w:sz w:val="28"/>
      <w:szCs w:val="28"/>
      <w:lang w:val="cs-CZ"/>
    </w:rPr>
  </w:style>
  <w:style w:type="character" w:customStyle="1" w:styleId="Heading5Char">
    <w:name w:val="Heading 5 Char"/>
    <w:rPr>
      <w:rFonts w:ascii="Calibri" w:hAnsi="Calibri" w:cs="Times New Roman"/>
      <w:b/>
      <w:bCs/>
      <w:i/>
      <w:iCs/>
      <w:sz w:val="26"/>
      <w:szCs w:val="26"/>
      <w:lang w:val="cs-CZ"/>
    </w:rPr>
  </w:style>
  <w:style w:type="character" w:customStyle="1" w:styleId="Heading6Char">
    <w:name w:val="Heading 6 Char"/>
    <w:rPr>
      <w:rFonts w:ascii="Calibri" w:hAnsi="Calibri" w:cs="Times New Roman"/>
      <w:b/>
      <w:bCs/>
      <w:lang w:val="cs-CZ"/>
    </w:rPr>
  </w:style>
  <w:style w:type="character" w:customStyle="1" w:styleId="FooterChar">
    <w:name w:val="Footer Char"/>
    <w:uiPriority w:val="99"/>
    <w:rPr>
      <w:rFonts w:cs="Times New Roman"/>
      <w:sz w:val="20"/>
      <w:szCs w:val="20"/>
      <w:lang w:val="cs-CZ"/>
    </w:rPr>
  </w:style>
  <w:style w:type="character" w:customStyle="1" w:styleId="HeaderChar">
    <w:name w:val="Header Char"/>
    <w:rPr>
      <w:rFonts w:cs="Times New Roman"/>
      <w:sz w:val="20"/>
      <w:szCs w:val="20"/>
      <w:lang w:val="cs-CZ"/>
    </w:rPr>
  </w:style>
  <w:style w:type="character" w:customStyle="1" w:styleId="TitleChar">
    <w:name w:val="Title Char"/>
    <w:rPr>
      <w:rFonts w:ascii="Cambria" w:hAnsi="Cambria" w:cs="Times New Roman"/>
      <w:b/>
      <w:bCs/>
      <w:kern w:val="1"/>
      <w:sz w:val="32"/>
      <w:szCs w:val="32"/>
      <w:lang w:val="cs-CZ"/>
    </w:rPr>
  </w:style>
  <w:style w:type="character" w:customStyle="1" w:styleId="BodyTextChar">
    <w:name w:val="Body Text Char"/>
    <w:rPr>
      <w:rFonts w:cs="Times New Roman"/>
      <w:sz w:val="20"/>
      <w:szCs w:val="20"/>
      <w:lang w:val="cs-CZ"/>
    </w:rPr>
  </w:style>
  <w:style w:type="character" w:customStyle="1" w:styleId="BodyText2Char">
    <w:name w:val="Body Text 2 Char"/>
    <w:rPr>
      <w:rFonts w:cs="Times New Roman"/>
      <w:sz w:val="20"/>
      <w:szCs w:val="20"/>
      <w:lang w:val="cs-CZ"/>
    </w:rPr>
  </w:style>
  <w:style w:type="character" w:customStyle="1" w:styleId="BodyText3Char">
    <w:name w:val="Body Text 3 Char"/>
    <w:rPr>
      <w:rFonts w:cs="Times New Roman"/>
      <w:sz w:val="16"/>
      <w:szCs w:val="16"/>
      <w:lang w:val="cs-CZ"/>
    </w:rPr>
  </w:style>
  <w:style w:type="character" w:customStyle="1" w:styleId="BodyTextIndentChar">
    <w:name w:val="Body Text Indent Char"/>
    <w:rPr>
      <w:rFonts w:cs="Times New Roman"/>
      <w:sz w:val="20"/>
      <w:szCs w:val="20"/>
      <w:lang w:val="cs-CZ"/>
    </w:rPr>
  </w:style>
  <w:style w:type="character" w:customStyle="1" w:styleId="BodyTextIndent2Char">
    <w:name w:val="Body Text Indent 2 Char"/>
    <w:rPr>
      <w:rFonts w:cs="Times New Roman"/>
      <w:sz w:val="20"/>
      <w:szCs w:val="20"/>
      <w:lang w:val="cs-CZ"/>
    </w:rPr>
  </w:style>
  <w:style w:type="character" w:customStyle="1" w:styleId="BodyTextIndent3Char">
    <w:name w:val="Body Text Indent 3 Char"/>
    <w:rPr>
      <w:rFonts w:cs="Times New Roman"/>
      <w:sz w:val="16"/>
      <w:szCs w:val="16"/>
      <w:lang w:val="cs-CZ"/>
    </w:rPr>
  </w:style>
  <w:style w:type="character" w:styleId="slostrany">
    <w:name w:val="page number"/>
    <w:rPr>
      <w:rFonts w:cs="Times New Roman"/>
    </w:rPr>
  </w:style>
  <w:style w:type="character" w:customStyle="1" w:styleId="BalloonTextChar">
    <w:name w:val="Balloon Text Char"/>
    <w:rPr>
      <w:rFonts w:cs="Times New Roman"/>
      <w:sz w:val="2"/>
      <w:lang w:val="cs-CZ"/>
    </w:rPr>
  </w:style>
  <w:style w:type="character" w:customStyle="1" w:styleId="CommentReference1">
    <w:name w:val="Comment Reference1"/>
    <w:rPr>
      <w:rFonts w:cs="Times New Roman"/>
      <w:sz w:val="16"/>
      <w:szCs w:val="16"/>
    </w:rPr>
  </w:style>
  <w:style w:type="character" w:customStyle="1" w:styleId="hps">
    <w:name w:val="hps"/>
    <w:rPr>
      <w:rFonts w:cs="Times New Roman"/>
    </w:rPr>
  </w:style>
  <w:style w:type="character" w:customStyle="1" w:styleId="CommentTextChar">
    <w:name w:val="Comment Text Char"/>
    <w:rPr>
      <w:rFonts w:cs="Times New Roman"/>
      <w:lang w:val="cs-CZ"/>
    </w:rPr>
  </w:style>
  <w:style w:type="character" w:customStyle="1" w:styleId="CommentSubjectChar">
    <w:name w:val="Comment Subject Char"/>
    <w:rPr>
      <w:rFonts w:cs="Times New Roman"/>
      <w:b/>
      <w:bCs/>
      <w:lang w:val="cs-CZ"/>
    </w:rPr>
  </w:style>
  <w:style w:type="character" w:styleId="Hypertextovprepojenie">
    <w:name w:val="Hyperlink"/>
    <w:rPr>
      <w:color w:val="0000FF"/>
      <w:u w:val="single"/>
    </w:rPr>
  </w:style>
  <w:style w:type="paragraph" w:customStyle="1" w:styleId="Heading">
    <w:name w:val="Heading"/>
    <w:basedOn w:val="Normlny"/>
    <w:next w:val="Zkladntext"/>
    <w:pPr>
      <w:keepNext/>
      <w:spacing w:before="240" w:after="120"/>
    </w:pPr>
    <w:rPr>
      <w:rFonts w:ascii="Arial" w:eastAsia="Lucida Sans Unicode" w:hAnsi="Arial" w:cs="Tahoma"/>
      <w:sz w:val="28"/>
      <w:szCs w:val="28"/>
    </w:rPr>
  </w:style>
  <w:style w:type="paragraph" w:styleId="Zkladntext">
    <w:name w:val="Body Text"/>
    <w:basedOn w:val="Normlny"/>
    <w:rPr>
      <w:b/>
      <w:i/>
      <w:sz w:val="16"/>
    </w:rPr>
  </w:style>
  <w:style w:type="paragraph" w:styleId="Zoznam">
    <w:name w:val="List"/>
    <w:basedOn w:val="Zkladntext"/>
    <w:rPr>
      <w:rFonts w:cs="Tahoma"/>
    </w:rPr>
  </w:style>
  <w:style w:type="paragraph" w:customStyle="1" w:styleId="Caption1">
    <w:name w:val="Caption1"/>
    <w:basedOn w:val="Normlny"/>
    <w:pPr>
      <w:suppressLineNumbers/>
      <w:spacing w:before="120" w:after="120"/>
    </w:pPr>
    <w:rPr>
      <w:rFonts w:cs="Tahoma"/>
      <w:i/>
      <w:iCs/>
      <w:szCs w:val="24"/>
    </w:rPr>
  </w:style>
  <w:style w:type="paragraph" w:customStyle="1" w:styleId="Index">
    <w:name w:val="Index"/>
    <w:basedOn w:val="Normlny"/>
    <w:pPr>
      <w:suppressLineNumbers/>
    </w:pPr>
    <w:rPr>
      <w:rFonts w:cs="Tahoma"/>
    </w:rPr>
  </w:style>
  <w:style w:type="paragraph" w:styleId="Pta">
    <w:name w:val="footer"/>
    <w:basedOn w:val="Normlny"/>
    <w:uiPriority w:val="99"/>
    <w:pPr>
      <w:tabs>
        <w:tab w:val="center" w:pos="4536"/>
        <w:tab w:val="right" w:pos="9072"/>
      </w:tabs>
    </w:pPr>
  </w:style>
  <w:style w:type="paragraph" w:styleId="Hlavika">
    <w:name w:val="header"/>
    <w:basedOn w:val="Normlny"/>
    <w:link w:val="HlavikaChar"/>
    <w:uiPriority w:val="99"/>
    <w:pPr>
      <w:tabs>
        <w:tab w:val="center" w:pos="4536"/>
        <w:tab w:val="right" w:pos="9072"/>
      </w:tabs>
    </w:pPr>
  </w:style>
  <w:style w:type="paragraph" w:styleId="Nzov">
    <w:name w:val="Title"/>
    <w:basedOn w:val="Normlny"/>
    <w:next w:val="Podtitul"/>
    <w:qFormat/>
    <w:pPr>
      <w:jc w:val="center"/>
    </w:pPr>
    <w:rPr>
      <w:b/>
      <w:i/>
      <w:sz w:val="28"/>
    </w:rPr>
  </w:style>
  <w:style w:type="paragraph" w:styleId="Podtitul">
    <w:name w:val="Subtitle"/>
    <w:basedOn w:val="Heading"/>
    <w:next w:val="Zkladntext"/>
    <w:qFormat/>
    <w:pPr>
      <w:jc w:val="center"/>
    </w:pPr>
    <w:rPr>
      <w:i/>
      <w:iCs/>
    </w:rPr>
  </w:style>
  <w:style w:type="paragraph" w:customStyle="1" w:styleId="BodyText21">
    <w:name w:val="Body Text 21"/>
    <w:basedOn w:val="Normlny"/>
    <w:pPr>
      <w:spacing w:before="120"/>
      <w:jc w:val="both"/>
    </w:pPr>
    <w:rPr>
      <w:sz w:val="18"/>
    </w:rPr>
  </w:style>
  <w:style w:type="paragraph" w:customStyle="1" w:styleId="Normln">
    <w:name w:val="Normální"/>
    <w:pPr>
      <w:widowControl w:val="0"/>
      <w:suppressAutoHyphens/>
    </w:pPr>
    <w:rPr>
      <w:rFonts w:eastAsia="Arial"/>
      <w:sz w:val="24"/>
      <w:lang w:val="cs-CZ" w:eastAsia="ar-SA"/>
    </w:rPr>
  </w:style>
  <w:style w:type="paragraph" w:customStyle="1" w:styleId="BodyText31">
    <w:name w:val="Body Text 31"/>
    <w:basedOn w:val="Normlny"/>
    <w:pPr>
      <w:jc w:val="both"/>
    </w:pPr>
    <w:rPr>
      <w:bCs/>
    </w:rPr>
  </w:style>
  <w:style w:type="paragraph" w:styleId="Zarkazkladnhotextu">
    <w:name w:val="Body Text Indent"/>
    <w:basedOn w:val="Normlny"/>
    <w:pPr>
      <w:ind w:left="708"/>
      <w:jc w:val="both"/>
    </w:pPr>
    <w:rPr>
      <w:rFonts w:ascii="Arial" w:hAnsi="Arial" w:cs="Arial"/>
      <w:bCs/>
      <w:sz w:val="20"/>
    </w:rPr>
  </w:style>
  <w:style w:type="paragraph" w:customStyle="1" w:styleId="BodyTextIndent21">
    <w:name w:val="Body Text Indent 21"/>
    <w:basedOn w:val="Normlny"/>
    <w:pPr>
      <w:ind w:left="567"/>
      <w:jc w:val="both"/>
    </w:pPr>
    <w:rPr>
      <w:rFonts w:ascii="Arial" w:hAnsi="Arial" w:cs="Arial"/>
      <w:sz w:val="20"/>
    </w:rPr>
  </w:style>
  <w:style w:type="paragraph" w:customStyle="1" w:styleId="BodyTextIndent31">
    <w:name w:val="Body Text Indent 31"/>
    <w:basedOn w:val="Normlny"/>
    <w:pPr>
      <w:ind w:left="705"/>
      <w:jc w:val="both"/>
    </w:pPr>
    <w:rPr>
      <w:rFonts w:ascii="Arial" w:hAnsi="Arial" w:cs="Arial"/>
      <w:bCs/>
      <w:sz w:val="20"/>
    </w:rPr>
  </w:style>
  <w:style w:type="paragraph" w:customStyle="1" w:styleId="BalloonText1">
    <w:name w:val="Balloon Text1"/>
    <w:basedOn w:val="Normlny"/>
    <w:rPr>
      <w:rFonts w:ascii="Tahoma" w:hAnsi="Tahoma" w:cs="Tahoma"/>
      <w:sz w:val="16"/>
      <w:szCs w:val="16"/>
    </w:rPr>
  </w:style>
  <w:style w:type="paragraph" w:styleId="Obsah7">
    <w:name w:val="toc 7"/>
    <w:basedOn w:val="Normlny"/>
    <w:next w:val="Normlny"/>
    <w:pPr>
      <w:widowControl/>
      <w:tabs>
        <w:tab w:val="left" w:pos="4253"/>
        <w:tab w:val="right" w:pos="9071"/>
      </w:tabs>
    </w:pPr>
    <w:rPr>
      <w:sz w:val="22"/>
      <w:lang w:val="de-DE"/>
    </w:rPr>
  </w:style>
  <w:style w:type="paragraph" w:customStyle="1" w:styleId="WW-Default">
    <w:name w:val="WW-Default"/>
    <w:pPr>
      <w:suppressAutoHyphens/>
      <w:autoSpaceDE w:val="0"/>
    </w:pPr>
    <w:rPr>
      <w:rFonts w:eastAsia="Arial"/>
      <w:color w:val="000000"/>
      <w:sz w:val="24"/>
      <w:szCs w:val="24"/>
      <w:lang w:eastAsia="ar-SA"/>
    </w:rPr>
  </w:style>
  <w:style w:type="paragraph" w:customStyle="1" w:styleId="CommentText1">
    <w:name w:val="Comment Text1"/>
    <w:basedOn w:val="Normlny"/>
    <w:rPr>
      <w:sz w:val="20"/>
    </w:rPr>
  </w:style>
  <w:style w:type="paragraph" w:customStyle="1" w:styleId="CommentSubject1">
    <w:name w:val="Comment Subject1"/>
    <w:basedOn w:val="CommentText1"/>
    <w:next w:val="CommentText1"/>
    <w:rPr>
      <w:b/>
      <w:bCs/>
    </w:rPr>
  </w:style>
  <w:style w:type="paragraph" w:customStyle="1" w:styleId="EMEAEnBodyText">
    <w:name w:val="EMEA En Body Text"/>
    <w:basedOn w:val="Normlny"/>
    <w:pPr>
      <w:widowControl/>
      <w:spacing w:before="120" w:after="120"/>
      <w:jc w:val="both"/>
    </w:pPr>
    <w:rPr>
      <w:sz w:val="22"/>
      <w:lang w:val="en-US"/>
    </w:rPr>
  </w:style>
  <w:style w:type="paragraph" w:customStyle="1" w:styleId="TableContents">
    <w:name w:val="Table Contents"/>
    <w:basedOn w:val="Normlny"/>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Zkladntext"/>
  </w:style>
  <w:style w:type="paragraph" w:styleId="Textbubliny">
    <w:name w:val="Balloon Text"/>
    <w:basedOn w:val="Normlny"/>
    <w:semiHidden/>
    <w:rsid w:val="003B7A77"/>
    <w:rPr>
      <w:rFonts w:ascii="Tahoma" w:hAnsi="Tahoma" w:cs="Tahoma"/>
      <w:sz w:val="16"/>
      <w:szCs w:val="16"/>
    </w:rPr>
  </w:style>
  <w:style w:type="character" w:styleId="Odkaznakomentr">
    <w:name w:val="annotation reference"/>
    <w:semiHidden/>
    <w:rsid w:val="003B7A77"/>
    <w:rPr>
      <w:sz w:val="16"/>
      <w:szCs w:val="16"/>
    </w:rPr>
  </w:style>
  <w:style w:type="paragraph" w:styleId="Textkomentra">
    <w:name w:val="annotation text"/>
    <w:basedOn w:val="Normlny"/>
    <w:semiHidden/>
    <w:rsid w:val="003B7A77"/>
    <w:rPr>
      <w:sz w:val="20"/>
    </w:rPr>
  </w:style>
  <w:style w:type="paragraph" w:styleId="Predmetkomentra">
    <w:name w:val="annotation subject"/>
    <w:basedOn w:val="Textkomentra"/>
    <w:next w:val="Textkomentra"/>
    <w:semiHidden/>
    <w:rsid w:val="003B7A77"/>
    <w:rPr>
      <w:b/>
      <w:bCs/>
    </w:rPr>
  </w:style>
  <w:style w:type="paragraph" w:styleId="Revzia">
    <w:name w:val="Revision"/>
    <w:hidden/>
    <w:uiPriority w:val="99"/>
    <w:semiHidden/>
    <w:rsid w:val="008F5C0E"/>
    <w:rPr>
      <w:sz w:val="24"/>
      <w:lang w:eastAsia="ar-SA"/>
    </w:rPr>
  </w:style>
  <w:style w:type="paragraph" w:customStyle="1" w:styleId="Paragraph">
    <w:name w:val="Paragraph"/>
    <w:rsid w:val="003D7828"/>
    <w:pPr>
      <w:spacing w:after="240"/>
    </w:pPr>
    <w:rPr>
      <w:rFonts w:eastAsia="SimSun"/>
      <w:sz w:val="24"/>
      <w:szCs w:val="24"/>
      <w:lang w:val="en-US" w:eastAsia="en-US"/>
    </w:rPr>
  </w:style>
  <w:style w:type="character" w:styleId="PouitHypertextovPrepojenie">
    <w:name w:val="FollowedHyperlink"/>
    <w:rsid w:val="00CE32D4"/>
    <w:rPr>
      <w:color w:val="800080"/>
      <w:u w:val="single"/>
    </w:rPr>
  </w:style>
  <w:style w:type="character" w:customStyle="1" w:styleId="TableText12">
    <w:name w:val="TableText 12"/>
    <w:rsid w:val="009C6AF1"/>
    <w:rPr>
      <w:rFonts w:ascii="Times New Roman" w:hAnsi="Times New Roman"/>
      <w:sz w:val="24"/>
    </w:rPr>
  </w:style>
  <w:style w:type="character" w:customStyle="1" w:styleId="HlavikaChar">
    <w:name w:val="Hlavička Char"/>
    <w:basedOn w:val="Predvolenpsmoodseku"/>
    <w:link w:val="Hlavika"/>
    <w:uiPriority w:val="99"/>
    <w:rsid w:val="00264EC7"/>
    <w:rPr>
      <w:sz w:val="24"/>
      <w:lang w:eastAsia="ar-SA"/>
    </w:rPr>
  </w:style>
  <w:style w:type="paragraph" w:styleId="Odsekzoznamu">
    <w:name w:val="List Paragraph"/>
    <w:basedOn w:val="Normlny"/>
    <w:uiPriority w:val="34"/>
    <w:qFormat/>
    <w:rsid w:val="00FC77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05596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ukl.sk" TargetMode="Externa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532116-06CD-4F81-AE99-FF13FA0DD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7266</Words>
  <Characters>41418</Characters>
  <Application>Microsoft Office Word</Application>
  <DocSecurity>0</DocSecurity>
  <Lines>345</Lines>
  <Paragraphs>97</Paragraphs>
  <ScaleCrop>false</ScaleCrop>
  <HeadingPairs>
    <vt:vector size="6" baseType="variant">
      <vt:variant>
        <vt:lpstr>Názov</vt:lpstr>
      </vt:variant>
      <vt:variant>
        <vt:i4>1</vt:i4>
      </vt:variant>
      <vt:variant>
        <vt:lpstr>Title</vt:lpstr>
      </vt:variant>
      <vt:variant>
        <vt:i4>1</vt:i4>
      </vt:variant>
      <vt:variant>
        <vt:lpstr>Titel</vt:lpstr>
      </vt:variant>
      <vt:variant>
        <vt:i4>1</vt:i4>
      </vt:variant>
    </vt:vector>
  </HeadingPairs>
  <TitlesOfParts>
    <vt:vector size="3" baseType="lpstr">
      <vt:lpstr>SPC</vt:lpstr>
      <vt:lpstr>SPC</vt:lpstr>
      <vt:lpstr>SPC</vt:lpstr>
    </vt:vector>
  </TitlesOfParts>
  <Company>SUKL</Company>
  <LinksUpToDate>false</LinksUpToDate>
  <CharactersWithSpaces>48587</CharactersWithSpaces>
  <SharedDoc>false</SharedDoc>
  <HLinks>
    <vt:vector size="12" baseType="variant">
      <vt:variant>
        <vt:i4>7733306</vt:i4>
      </vt:variant>
      <vt:variant>
        <vt:i4>3</vt:i4>
      </vt:variant>
      <vt:variant>
        <vt:i4>0</vt:i4>
      </vt:variant>
      <vt:variant>
        <vt:i4>5</vt:i4>
      </vt:variant>
      <vt:variant>
        <vt:lpwstr>http://www.sukl.sk/</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SPC</dc:title>
  <dc:creator>Valachovicova</dc:creator>
  <cp:lastModifiedBy>Uhnáková Milota</cp:lastModifiedBy>
  <cp:revision>2</cp:revision>
  <cp:lastPrinted>2015-08-12T12:32:00Z</cp:lastPrinted>
  <dcterms:created xsi:type="dcterms:W3CDTF">2020-07-02T06:24:00Z</dcterms:created>
  <dcterms:modified xsi:type="dcterms:W3CDTF">2020-07-02T06:24:00Z</dcterms:modified>
</cp:coreProperties>
</file>