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4D783" w14:textId="77777777" w:rsidR="008B4526" w:rsidRPr="00F439BB" w:rsidRDefault="008B4526" w:rsidP="008B4526">
      <w:pPr>
        <w:spacing w:line="240" w:lineRule="auto"/>
        <w:jc w:val="center"/>
        <w:outlineLvl w:val="0"/>
      </w:pPr>
      <w:bookmarkStart w:id="0" w:name="_GoBack"/>
      <w:bookmarkEnd w:id="0"/>
      <w:r w:rsidRPr="00F439BB">
        <w:rPr>
          <w:b/>
        </w:rPr>
        <w:t>SÚHRN CHARAKTERISTICKÝCH VLASTNOSTÍ LIEKU</w:t>
      </w:r>
    </w:p>
    <w:p w14:paraId="1C0CAE2F" w14:textId="77777777" w:rsidR="008B4526" w:rsidRPr="008960A1" w:rsidRDefault="008B4526" w:rsidP="008960A1">
      <w:pPr>
        <w:keepNext/>
        <w:suppressAutoHyphens/>
        <w:spacing w:line="240" w:lineRule="auto"/>
        <w:ind w:left="930"/>
      </w:pPr>
    </w:p>
    <w:p w14:paraId="2D8302A3" w14:textId="77777777" w:rsidR="008B4526" w:rsidRPr="008960A1" w:rsidRDefault="008B4526" w:rsidP="008960A1">
      <w:pPr>
        <w:keepNext/>
        <w:suppressAutoHyphens/>
        <w:spacing w:line="240" w:lineRule="auto"/>
        <w:ind w:left="930"/>
      </w:pPr>
    </w:p>
    <w:p w14:paraId="1608FE96" w14:textId="77777777" w:rsidR="00812D16" w:rsidRPr="00F439BB" w:rsidRDefault="00FE605C" w:rsidP="00572506">
      <w:pPr>
        <w:keepNext/>
        <w:numPr>
          <w:ilvl w:val="0"/>
          <w:numId w:val="6"/>
        </w:numPr>
        <w:suppressAutoHyphens/>
        <w:spacing w:line="240" w:lineRule="auto"/>
      </w:pPr>
      <w:r w:rsidRPr="00F439BB">
        <w:rPr>
          <w:b/>
        </w:rPr>
        <w:t>NÁZOV LIEKU</w:t>
      </w:r>
    </w:p>
    <w:p w14:paraId="721B6C06" w14:textId="77777777" w:rsidR="00812D16" w:rsidRPr="00F439BB" w:rsidRDefault="00812D16" w:rsidP="00085939">
      <w:pPr>
        <w:keepNext/>
        <w:spacing w:line="240" w:lineRule="auto"/>
      </w:pPr>
    </w:p>
    <w:p w14:paraId="210C107A" w14:textId="1FE2884C" w:rsidR="00DD6A04" w:rsidRPr="00F439BB" w:rsidRDefault="00DD6A04" w:rsidP="00DD6A04">
      <w:pPr>
        <w:rPr>
          <w:noProof/>
        </w:rPr>
      </w:pPr>
      <w:r w:rsidRPr="00F439BB">
        <w:rPr>
          <w:noProof/>
        </w:rPr>
        <w:t>L</w:t>
      </w:r>
      <w:r w:rsidR="00291E1C">
        <w:rPr>
          <w:noProof/>
        </w:rPr>
        <w:t>idbree</w:t>
      </w:r>
      <w:r w:rsidRPr="00F439BB">
        <w:rPr>
          <w:noProof/>
        </w:rPr>
        <w:t xml:space="preserve"> 42 mg/ml intrauterinný gél</w:t>
      </w:r>
    </w:p>
    <w:p w14:paraId="66E0DA2E" w14:textId="77777777" w:rsidR="00812D16" w:rsidRPr="00F439BB" w:rsidRDefault="00812D16" w:rsidP="00204AAB">
      <w:pPr>
        <w:spacing w:line="240" w:lineRule="auto"/>
      </w:pPr>
    </w:p>
    <w:p w14:paraId="5B1F09F3" w14:textId="77777777" w:rsidR="00812D16" w:rsidRPr="00F439BB" w:rsidRDefault="00812D16" w:rsidP="00204AAB">
      <w:pPr>
        <w:spacing w:line="240" w:lineRule="auto"/>
      </w:pPr>
    </w:p>
    <w:p w14:paraId="50CD970D" w14:textId="77777777" w:rsidR="00812D16" w:rsidRPr="00F439BB" w:rsidRDefault="00FE605C" w:rsidP="00572506">
      <w:pPr>
        <w:keepNext/>
        <w:numPr>
          <w:ilvl w:val="0"/>
          <w:numId w:val="6"/>
        </w:numPr>
        <w:suppressAutoHyphens/>
        <w:spacing w:line="240" w:lineRule="auto"/>
      </w:pPr>
      <w:r w:rsidRPr="00F439BB">
        <w:rPr>
          <w:b/>
        </w:rPr>
        <w:t>KVALITATÍVNE A</w:t>
      </w:r>
      <w:r w:rsidR="0082445A" w:rsidRPr="00F439BB">
        <w:rPr>
          <w:b/>
          <w:noProof/>
        </w:rPr>
        <w:t> </w:t>
      </w:r>
      <w:r w:rsidRPr="00F439BB">
        <w:rPr>
          <w:b/>
        </w:rPr>
        <w:t>KVANTITATÍVNE ZLOŽENIE</w:t>
      </w:r>
    </w:p>
    <w:p w14:paraId="7A28BD83" w14:textId="77777777" w:rsidR="00812D16" w:rsidRPr="00F439BB" w:rsidRDefault="00812D16" w:rsidP="00085939">
      <w:pPr>
        <w:keepNext/>
        <w:spacing w:line="240" w:lineRule="auto"/>
      </w:pPr>
    </w:p>
    <w:p w14:paraId="07FB4B18" w14:textId="77777777" w:rsidR="00DD6A04" w:rsidRPr="00F439BB" w:rsidRDefault="00DD6A04" w:rsidP="00DD6A04">
      <w:pPr>
        <w:jc w:val="both"/>
      </w:pPr>
      <w:r w:rsidRPr="00F439BB">
        <w:t xml:space="preserve">Každý ml obsahuje 42 mg lidokaínu. </w:t>
      </w:r>
    </w:p>
    <w:p w14:paraId="4E7C9EFA" w14:textId="77777777" w:rsidR="00812D16" w:rsidRPr="00F439BB" w:rsidRDefault="00812D16" w:rsidP="00085939">
      <w:pPr>
        <w:keepNext/>
        <w:spacing w:line="240" w:lineRule="auto"/>
      </w:pPr>
    </w:p>
    <w:p w14:paraId="1DEBACB2" w14:textId="77777777" w:rsidR="00812D16" w:rsidRPr="00F439BB" w:rsidRDefault="00DD6A04" w:rsidP="00204AAB">
      <w:pPr>
        <w:pStyle w:val="EMEAEnBodyText"/>
        <w:autoSpaceDE w:val="0"/>
        <w:autoSpaceDN w:val="0"/>
        <w:adjustRightInd w:val="0"/>
        <w:spacing w:before="0" w:after="0"/>
        <w:jc w:val="left"/>
      </w:pPr>
      <w:r w:rsidRPr="00F439BB">
        <w:rPr>
          <w:u w:val="single"/>
        </w:rPr>
        <w:t>Pomocné látky</w:t>
      </w:r>
      <w:r w:rsidR="00FE605C" w:rsidRPr="00F439BB">
        <w:rPr>
          <w:u w:val="single"/>
        </w:rPr>
        <w:t xml:space="preserve"> so známym účinkom</w:t>
      </w:r>
    </w:p>
    <w:p w14:paraId="754CF444" w14:textId="47622AF0" w:rsidR="00DD6A04" w:rsidRPr="00F439BB" w:rsidRDefault="00DD6A04" w:rsidP="00DD6A04">
      <w:r w:rsidRPr="00F439BB">
        <w:t xml:space="preserve">Každý ml gélu obsahuje 284 mg </w:t>
      </w:r>
      <w:r w:rsidR="004808F2">
        <w:t xml:space="preserve">ricínoleoylmakrogol-glycerolu </w:t>
      </w:r>
      <w:r w:rsidR="005D2D7C" w:rsidRPr="00F439BB">
        <w:t>(polyoxyl ricínového oleja</w:t>
      </w:r>
      <w:r w:rsidRPr="00F439BB">
        <w:t xml:space="preserve">) a až do 28 mikrogramov </w:t>
      </w:r>
      <w:r w:rsidR="00047116">
        <w:t xml:space="preserve">butylhydroxytoluénu </w:t>
      </w:r>
      <w:r w:rsidRPr="00F439BB">
        <w:t>(E321).</w:t>
      </w:r>
    </w:p>
    <w:p w14:paraId="36DFA855" w14:textId="77777777" w:rsidR="005A2DDA" w:rsidRDefault="005A2DDA" w:rsidP="00204AAB">
      <w:pPr>
        <w:spacing w:line="240" w:lineRule="auto"/>
        <w:outlineLvl w:val="0"/>
      </w:pPr>
    </w:p>
    <w:p w14:paraId="2443B91C" w14:textId="77777777" w:rsidR="00812D16" w:rsidRPr="00F439BB" w:rsidRDefault="00FE605C" w:rsidP="00204AAB">
      <w:pPr>
        <w:spacing w:line="240" w:lineRule="auto"/>
        <w:outlineLvl w:val="0"/>
      </w:pPr>
      <w:r w:rsidRPr="00F439BB">
        <w:t>Úplný zoznam p</w:t>
      </w:r>
      <w:r w:rsidR="00DD6A04" w:rsidRPr="00F439BB">
        <w:t>omocných látok, pozri časť 6.1.</w:t>
      </w:r>
    </w:p>
    <w:p w14:paraId="552129EF" w14:textId="77777777" w:rsidR="00812D16" w:rsidRPr="00F439BB" w:rsidRDefault="00812D16" w:rsidP="00204AAB">
      <w:pPr>
        <w:spacing w:line="240" w:lineRule="auto"/>
      </w:pPr>
    </w:p>
    <w:p w14:paraId="74528997" w14:textId="77777777" w:rsidR="00812D16" w:rsidRPr="00F439BB" w:rsidRDefault="00812D16" w:rsidP="00204AAB">
      <w:pPr>
        <w:spacing w:line="240" w:lineRule="auto"/>
      </w:pPr>
    </w:p>
    <w:p w14:paraId="1D7568E8" w14:textId="77777777" w:rsidR="00812D16" w:rsidRPr="00F439BB" w:rsidRDefault="00FE605C" w:rsidP="00572506">
      <w:pPr>
        <w:keepNext/>
        <w:numPr>
          <w:ilvl w:val="0"/>
          <w:numId w:val="6"/>
        </w:numPr>
        <w:suppressAutoHyphens/>
        <w:spacing w:line="240" w:lineRule="auto"/>
        <w:rPr>
          <w:caps/>
        </w:rPr>
      </w:pPr>
      <w:r w:rsidRPr="00F439BB">
        <w:rPr>
          <w:b/>
        </w:rPr>
        <w:t>LIEKOVÁ FORMA</w:t>
      </w:r>
    </w:p>
    <w:p w14:paraId="3C465A48" w14:textId="77777777" w:rsidR="00812D16" w:rsidRPr="00F439BB" w:rsidRDefault="00812D16" w:rsidP="00085939">
      <w:pPr>
        <w:keepNext/>
        <w:spacing w:line="240" w:lineRule="auto"/>
      </w:pPr>
    </w:p>
    <w:p w14:paraId="7202595D" w14:textId="77777777" w:rsidR="00812D16" w:rsidRPr="00F439BB" w:rsidRDefault="00537772" w:rsidP="00537772">
      <w:pPr>
        <w:spacing w:line="240" w:lineRule="auto"/>
      </w:pPr>
      <w:r w:rsidRPr="00F439BB">
        <w:t xml:space="preserve">Intrauterinný gél. Sterilná, číra až takmer číra, svetlo hnedožltá viskózna </w:t>
      </w:r>
      <w:r w:rsidR="00343CC8" w:rsidRPr="00F439BB">
        <w:t>tekutina</w:t>
      </w:r>
      <w:r w:rsidRPr="00F439BB">
        <w:t xml:space="preserve">, ktorá </w:t>
      </w:r>
      <w:r w:rsidR="00FF3DB7" w:rsidRPr="00F439BB">
        <w:t>sa</w:t>
      </w:r>
      <w:r w:rsidRPr="00F439BB">
        <w:t xml:space="preserve"> pri telesnej teplote </w:t>
      </w:r>
      <w:r w:rsidR="00FF3DB7" w:rsidRPr="00F439BB">
        <w:t>mení na</w:t>
      </w:r>
      <w:r w:rsidR="006F263C">
        <w:t xml:space="preserve"> </w:t>
      </w:r>
      <w:r w:rsidRPr="00F439BB">
        <w:t>gél.</w:t>
      </w:r>
    </w:p>
    <w:p w14:paraId="5F2B437D" w14:textId="77777777" w:rsidR="00812D16" w:rsidRPr="00F439BB" w:rsidRDefault="00812D16" w:rsidP="00204AAB">
      <w:pPr>
        <w:spacing w:line="240" w:lineRule="auto"/>
      </w:pPr>
    </w:p>
    <w:p w14:paraId="19C8F23F" w14:textId="77777777" w:rsidR="00FC63B1" w:rsidRPr="00F439BB" w:rsidRDefault="00FC63B1" w:rsidP="00204AAB">
      <w:pPr>
        <w:spacing w:line="240" w:lineRule="auto"/>
      </w:pPr>
    </w:p>
    <w:p w14:paraId="4D021A93" w14:textId="77777777" w:rsidR="00812D16" w:rsidRPr="00F439BB" w:rsidRDefault="00FE605C" w:rsidP="00572506">
      <w:pPr>
        <w:keepNext/>
        <w:numPr>
          <w:ilvl w:val="0"/>
          <w:numId w:val="6"/>
        </w:numPr>
        <w:suppressAutoHyphens/>
        <w:spacing w:line="240" w:lineRule="auto"/>
        <w:rPr>
          <w:caps/>
        </w:rPr>
      </w:pPr>
      <w:r w:rsidRPr="00F439BB">
        <w:rPr>
          <w:b/>
        </w:rPr>
        <w:t>KLINICKÉ ÚDAJE</w:t>
      </w:r>
    </w:p>
    <w:p w14:paraId="64C26260" w14:textId="77777777" w:rsidR="00812D16" w:rsidRPr="00F439BB" w:rsidRDefault="00812D16" w:rsidP="00085939">
      <w:pPr>
        <w:keepNext/>
        <w:spacing w:line="240" w:lineRule="auto"/>
      </w:pPr>
    </w:p>
    <w:p w14:paraId="1044E913" w14:textId="77777777" w:rsidR="00812D16" w:rsidRPr="00F439BB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F439BB">
        <w:rPr>
          <w:b/>
        </w:rPr>
        <w:t>Terapeutické indikácie</w:t>
      </w:r>
    </w:p>
    <w:p w14:paraId="3EAE3C78" w14:textId="77777777" w:rsidR="00FC63B1" w:rsidRPr="00F439BB" w:rsidRDefault="00FC63B1" w:rsidP="00204AAB">
      <w:pPr>
        <w:spacing w:line="240" w:lineRule="auto"/>
      </w:pPr>
    </w:p>
    <w:p w14:paraId="3D5294C5" w14:textId="1C1610C8" w:rsidR="00812D16" w:rsidRPr="00F439BB" w:rsidRDefault="00FC63B1" w:rsidP="00FC63B1">
      <w:pPr>
        <w:rPr>
          <w:noProof/>
        </w:rPr>
      </w:pPr>
      <w:r w:rsidRPr="00F439BB">
        <w:rPr>
          <w:noProof/>
        </w:rPr>
        <w:t>L</w:t>
      </w:r>
      <w:r w:rsidR="00263F7F">
        <w:rPr>
          <w:noProof/>
        </w:rPr>
        <w:t>idbree</w:t>
      </w:r>
      <w:r w:rsidRPr="00F439BB">
        <w:rPr>
          <w:noProof/>
        </w:rPr>
        <w:t xml:space="preserve"> </w:t>
      </w:r>
      <w:r w:rsidR="00FE605C" w:rsidRPr="00F439BB">
        <w:t xml:space="preserve">je indikovaný </w:t>
      </w:r>
      <w:r w:rsidRPr="00F439BB">
        <w:t xml:space="preserve">dospelým a dospievajúcim </w:t>
      </w:r>
      <w:r w:rsidR="00FF3DB7" w:rsidRPr="00F439BB">
        <w:t>starším ako</w:t>
      </w:r>
      <w:r w:rsidRPr="00F439BB">
        <w:t xml:space="preserve"> 15 rokov na topickú anestéziu </w:t>
      </w:r>
      <w:r w:rsidR="00D27C62" w:rsidRPr="00F439BB">
        <w:t xml:space="preserve">pri </w:t>
      </w:r>
      <w:r w:rsidR="00470E19">
        <w:t xml:space="preserve">miernej </w:t>
      </w:r>
      <w:r w:rsidRPr="00F439BB">
        <w:t>akútnej bolesti počas cervikálnych a intrauterinných zákrokov. Pozri časť 5.1.</w:t>
      </w:r>
    </w:p>
    <w:p w14:paraId="242226DB" w14:textId="77777777" w:rsidR="00812D16" w:rsidRPr="00F439BB" w:rsidRDefault="00812D16" w:rsidP="00204AAB">
      <w:pPr>
        <w:spacing w:line="240" w:lineRule="auto"/>
      </w:pPr>
    </w:p>
    <w:p w14:paraId="4D395881" w14:textId="77777777" w:rsidR="00812D16" w:rsidRPr="00F439BB" w:rsidRDefault="00FE605C" w:rsidP="00572506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F439BB">
        <w:rPr>
          <w:b/>
        </w:rPr>
        <w:lastRenderedPageBreak/>
        <w:t>Dávkovanie a spôsob podávania</w:t>
      </w:r>
    </w:p>
    <w:p w14:paraId="2C052881" w14:textId="77777777" w:rsidR="00812D16" w:rsidRPr="00F439BB" w:rsidRDefault="00812D16" w:rsidP="00085939">
      <w:pPr>
        <w:keepNext/>
        <w:spacing w:line="240" w:lineRule="auto"/>
      </w:pPr>
    </w:p>
    <w:p w14:paraId="5CEF95F5" w14:textId="77777777" w:rsidR="00812D16" w:rsidRPr="00F439BB" w:rsidRDefault="00FE605C" w:rsidP="00085939">
      <w:pPr>
        <w:keepNext/>
        <w:spacing w:line="240" w:lineRule="auto"/>
        <w:rPr>
          <w:u w:val="single"/>
        </w:rPr>
      </w:pPr>
      <w:r w:rsidRPr="00F439BB">
        <w:rPr>
          <w:u w:val="single"/>
        </w:rPr>
        <w:t>Dávkovanie</w:t>
      </w:r>
    </w:p>
    <w:p w14:paraId="6E58C193" w14:textId="77777777" w:rsidR="00FC63B1" w:rsidRPr="00F439BB" w:rsidRDefault="00FC63B1" w:rsidP="00085939">
      <w:pPr>
        <w:keepNext/>
        <w:spacing w:line="240" w:lineRule="auto"/>
      </w:pPr>
    </w:p>
    <w:p w14:paraId="5E0721FB" w14:textId="77777777" w:rsidR="00FC63B1" w:rsidRPr="00F439BB" w:rsidRDefault="00FC63B1" w:rsidP="00085939">
      <w:pPr>
        <w:keepNext/>
        <w:spacing w:line="240" w:lineRule="auto"/>
        <w:rPr>
          <w:i/>
        </w:rPr>
      </w:pPr>
      <w:r w:rsidRPr="00F439BB">
        <w:rPr>
          <w:i/>
        </w:rPr>
        <w:t>Cervikálne zákroky</w:t>
      </w:r>
    </w:p>
    <w:p w14:paraId="52AF8482" w14:textId="77777777" w:rsidR="00FC63B1" w:rsidRPr="00F439BB" w:rsidRDefault="00AF1FF3" w:rsidP="00085939">
      <w:pPr>
        <w:keepNext/>
        <w:spacing w:line="240" w:lineRule="auto"/>
      </w:pPr>
      <w:r w:rsidRPr="00F439BB">
        <w:t>Naneste 2 až 3 ml v hrubej vrstve na maternicový čípok (portio vaginaliscervicis) a 3 ml do cervikálneho kanála pomocou sterilného aplikátora 5 minút pred začiatkom zákroku.</w:t>
      </w:r>
    </w:p>
    <w:p w14:paraId="327B3F67" w14:textId="77777777" w:rsidR="00FC63B1" w:rsidRPr="00F439BB" w:rsidRDefault="00FC63B1" w:rsidP="00085939">
      <w:pPr>
        <w:keepNext/>
        <w:spacing w:line="240" w:lineRule="auto"/>
        <w:rPr>
          <w:i/>
        </w:rPr>
      </w:pPr>
    </w:p>
    <w:p w14:paraId="3D3C1388" w14:textId="77777777" w:rsidR="00AF1FF3" w:rsidRPr="00F439BB" w:rsidRDefault="00AF1FF3" w:rsidP="00085939">
      <w:pPr>
        <w:keepNext/>
        <w:spacing w:line="240" w:lineRule="auto"/>
        <w:rPr>
          <w:i/>
        </w:rPr>
      </w:pPr>
      <w:r w:rsidRPr="00F439BB">
        <w:rPr>
          <w:i/>
        </w:rPr>
        <w:t>Intrauterinné zákroky</w:t>
      </w:r>
    </w:p>
    <w:p w14:paraId="44C61C53" w14:textId="481B298D" w:rsidR="00AF1FF3" w:rsidRPr="00F439BB" w:rsidRDefault="00AF1FF3" w:rsidP="00085939">
      <w:pPr>
        <w:keepNext/>
        <w:spacing w:line="240" w:lineRule="auto"/>
      </w:pPr>
      <w:r w:rsidRPr="00F439BB">
        <w:t xml:space="preserve">Pomocou sterilného aplikátora naneste 1 až 2 ml na </w:t>
      </w:r>
      <w:r w:rsidR="0096480C" w:rsidRPr="00F439BB">
        <w:t>vonkajšiu bránku maternicového čípku</w:t>
      </w:r>
      <w:r w:rsidRPr="00F439BB">
        <w:t xml:space="preserve"> a 2 až 3 ml do </w:t>
      </w:r>
      <w:r w:rsidR="0096480C" w:rsidRPr="00F439BB">
        <w:t xml:space="preserve">cervikálneho </w:t>
      </w:r>
      <w:r w:rsidRPr="00F439BB">
        <w:t>k</w:t>
      </w:r>
      <w:r w:rsidR="0096480C" w:rsidRPr="00F439BB">
        <w:t>anála</w:t>
      </w:r>
      <w:r w:rsidRPr="00F439BB">
        <w:t xml:space="preserve">. Počkajte 2 minúty, </w:t>
      </w:r>
      <w:r w:rsidR="0096480C" w:rsidRPr="00F439BB">
        <w:t>aby</w:t>
      </w:r>
      <w:r w:rsidRPr="00F439BB">
        <w:t xml:space="preserve"> sa </w:t>
      </w:r>
      <w:r w:rsidR="0096480C" w:rsidRPr="00F439BB">
        <w:t xml:space="preserve">účinok prejavil </w:t>
      </w:r>
      <w:r w:rsidRPr="00F439BB">
        <w:t>na vnútorn</w:t>
      </w:r>
      <w:r w:rsidR="0096480C" w:rsidRPr="00F439BB">
        <w:t>ej</w:t>
      </w:r>
      <w:r w:rsidR="00F439BB">
        <w:t xml:space="preserve"> </w:t>
      </w:r>
      <w:r w:rsidR="0096480C" w:rsidRPr="00F439BB">
        <w:t>bránke</w:t>
      </w:r>
      <w:r w:rsidRPr="00F439BB">
        <w:t xml:space="preserve">. </w:t>
      </w:r>
      <w:r w:rsidR="0096480C" w:rsidRPr="00F439BB">
        <w:t>Následne zaveďte a</w:t>
      </w:r>
      <w:r w:rsidRPr="00F439BB">
        <w:t xml:space="preserve">plikátor do </w:t>
      </w:r>
      <w:r w:rsidR="0096480C" w:rsidRPr="00F439BB">
        <w:t xml:space="preserve">dutiny </w:t>
      </w:r>
      <w:r w:rsidRPr="00F439BB">
        <w:t>maternic</w:t>
      </w:r>
      <w:r w:rsidR="0096480C" w:rsidRPr="00F439BB">
        <w:t>e</w:t>
      </w:r>
      <w:r w:rsidR="00D529C7" w:rsidRPr="00F439BB">
        <w:t xml:space="preserve"> a do</w:t>
      </w:r>
      <w:r w:rsidRPr="00F439BB">
        <w:t>dajte 3 až 5 ml, 5 minút pred zákrokom. Aplikátor je označený stupnicou v centimetroch. M</w:t>
      </w:r>
      <w:r w:rsidR="0096480C" w:rsidRPr="00F439BB">
        <w:t>en</w:t>
      </w:r>
      <w:r w:rsidR="00DD0056" w:rsidRPr="00F439BB">
        <w:t>ší</w:t>
      </w:r>
      <w:r w:rsidR="00F439BB">
        <w:t xml:space="preserve"> </w:t>
      </w:r>
      <w:r w:rsidR="00DD0056" w:rsidRPr="00F439BB">
        <w:t>objem</w:t>
      </w:r>
      <w:r w:rsidR="0096480C" w:rsidRPr="00F439BB">
        <w:t xml:space="preserve"> sa m</w:t>
      </w:r>
      <w:r w:rsidRPr="00F439BB">
        <w:t xml:space="preserve">ôže podávať </w:t>
      </w:r>
      <w:r w:rsidR="0096480C" w:rsidRPr="00F439BB">
        <w:t xml:space="preserve">napr. v prípade nullipara pacientky, ak </w:t>
      </w:r>
      <w:r w:rsidRPr="00F439BB">
        <w:t>pacient</w:t>
      </w:r>
      <w:r w:rsidR="0096480C" w:rsidRPr="00F439BB">
        <w:t>k</w:t>
      </w:r>
      <w:r w:rsidRPr="00F439BB">
        <w:t xml:space="preserve">a </w:t>
      </w:r>
      <w:r w:rsidR="0096480C" w:rsidRPr="00F439BB">
        <w:t>pociťuje diskomfort</w:t>
      </w:r>
      <w:r w:rsidRPr="00F439BB">
        <w:t xml:space="preserve"> pred podaním celého objemu. Jedn</w:t>
      </w:r>
      <w:r w:rsidR="008B699D" w:rsidRPr="00F439BB">
        <w:t>o</w:t>
      </w:r>
      <w:r w:rsidR="005213F8" w:rsidRPr="00F439BB">
        <w:t>razo</w:t>
      </w:r>
      <w:r w:rsidR="008B699D" w:rsidRPr="00F439BB">
        <w:t>vá</w:t>
      </w:r>
      <w:r w:rsidRPr="00F439BB">
        <w:t xml:space="preserve"> intrauterinná dávka nemá prekročiť </w:t>
      </w:r>
      <w:r w:rsidR="00DD0056" w:rsidRPr="00F439BB">
        <w:t>celkov</w:t>
      </w:r>
      <w:r w:rsidR="00FF3DB7" w:rsidRPr="00F439BB">
        <w:t>o</w:t>
      </w:r>
      <w:r w:rsidR="00047116">
        <w:t xml:space="preserve"> </w:t>
      </w:r>
      <w:r w:rsidRPr="00F439BB">
        <w:t>10 ml.</w:t>
      </w:r>
    </w:p>
    <w:p w14:paraId="7F3986C6" w14:textId="77777777" w:rsidR="00AF1FF3" w:rsidRPr="00F439BB" w:rsidRDefault="00AF1FF3" w:rsidP="00085939">
      <w:pPr>
        <w:keepNext/>
        <w:spacing w:line="240" w:lineRule="auto"/>
      </w:pPr>
    </w:p>
    <w:p w14:paraId="5CF445FA" w14:textId="77777777" w:rsidR="00812D16" w:rsidRPr="00F439BB" w:rsidRDefault="00FE605C" w:rsidP="00085939">
      <w:pPr>
        <w:keepNext/>
        <w:spacing w:line="240" w:lineRule="auto"/>
        <w:rPr>
          <w:i/>
        </w:rPr>
      </w:pPr>
      <w:r w:rsidRPr="00F439BB">
        <w:rPr>
          <w:i/>
        </w:rPr>
        <w:t>Pediatrická populácia</w:t>
      </w:r>
      <w:r w:rsidR="00F439BB">
        <w:rPr>
          <w:i/>
        </w:rPr>
        <w:t xml:space="preserve"> </w:t>
      </w:r>
      <w:r w:rsidR="00FF3DB7" w:rsidRPr="00352D7D">
        <w:rPr>
          <w:i/>
        </w:rPr>
        <w:t>staršia ako</w:t>
      </w:r>
      <w:r w:rsidR="00DD0056" w:rsidRPr="00F439BB">
        <w:rPr>
          <w:i/>
        </w:rPr>
        <w:t xml:space="preserve"> 15 rokov</w:t>
      </w:r>
    </w:p>
    <w:p w14:paraId="222D5EF7" w14:textId="414CACA7" w:rsidR="009921E6" w:rsidRPr="00F439BB" w:rsidRDefault="00DD0056" w:rsidP="0056212D">
      <w:pPr>
        <w:keepNext/>
        <w:spacing w:line="240" w:lineRule="auto"/>
        <w:rPr>
          <w:szCs w:val="22"/>
        </w:rPr>
      </w:pPr>
      <w:r w:rsidRPr="00F439BB">
        <w:rPr>
          <w:szCs w:val="22"/>
        </w:rPr>
        <w:t xml:space="preserve">U dospievajúcich s nízkou </w:t>
      </w:r>
      <w:r w:rsidR="0018445B" w:rsidRPr="00F439BB">
        <w:rPr>
          <w:szCs w:val="22"/>
        </w:rPr>
        <w:t xml:space="preserve">telesnou </w:t>
      </w:r>
      <w:r w:rsidRPr="00F439BB">
        <w:rPr>
          <w:szCs w:val="22"/>
        </w:rPr>
        <w:t xml:space="preserve">hmotnosťou do 30 kg sa </w:t>
      </w:r>
      <w:r w:rsidR="0018445B" w:rsidRPr="00F439BB">
        <w:rPr>
          <w:szCs w:val="22"/>
        </w:rPr>
        <w:t xml:space="preserve">má </w:t>
      </w:r>
      <w:r w:rsidRPr="00F439BB">
        <w:rPr>
          <w:szCs w:val="22"/>
        </w:rPr>
        <w:t>dávka úmerne znížiť a jedn</w:t>
      </w:r>
      <w:r w:rsidR="00F84159">
        <w:rPr>
          <w:szCs w:val="22"/>
        </w:rPr>
        <w:t>orazová</w:t>
      </w:r>
      <w:r w:rsidRPr="00F439BB">
        <w:rPr>
          <w:szCs w:val="22"/>
        </w:rPr>
        <w:t xml:space="preserve"> dávka </w:t>
      </w:r>
      <w:r w:rsidR="0018445B" w:rsidRPr="00F439BB">
        <w:rPr>
          <w:szCs w:val="22"/>
        </w:rPr>
        <w:t>nemá</w:t>
      </w:r>
      <w:r w:rsidRPr="00F439BB">
        <w:rPr>
          <w:szCs w:val="22"/>
        </w:rPr>
        <w:t xml:space="preserve"> prekročiť maximálnu odporúčanú parenterálnu dávku (</w:t>
      </w:r>
      <w:r w:rsidR="0018445B" w:rsidRPr="00F439BB">
        <w:rPr>
          <w:szCs w:val="22"/>
        </w:rPr>
        <w:t xml:space="preserve">6 mg/kg </w:t>
      </w:r>
      <w:r w:rsidR="00047116">
        <w:rPr>
          <w:szCs w:val="22"/>
        </w:rPr>
        <w:t>l</w:t>
      </w:r>
      <w:r w:rsidR="00047116">
        <w:t>idokaínium-chloridu</w:t>
      </w:r>
      <w:r w:rsidR="0018445B" w:rsidRPr="00F439BB">
        <w:rPr>
          <w:szCs w:val="22"/>
        </w:rPr>
        <w:t>, čo zodpovedá 5,2 mg/</w:t>
      </w:r>
      <w:r w:rsidRPr="00F439BB">
        <w:rPr>
          <w:szCs w:val="22"/>
        </w:rPr>
        <w:t xml:space="preserve">kg lidokaínu v </w:t>
      </w:r>
      <w:r w:rsidR="0018445B" w:rsidRPr="00F439BB">
        <w:rPr>
          <w:noProof/>
        </w:rPr>
        <w:t>L</w:t>
      </w:r>
      <w:r w:rsidR="00291E1C">
        <w:rPr>
          <w:noProof/>
        </w:rPr>
        <w:t>idbree</w:t>
      </w:r>
      <w:r w:rsidRPr="00F439BB">
        <w:rPr>
          <w:szCs w:val="22"/>
        </w:rPr>
        <w:t>, t</w:t>
      </w:r>
      <w:r w:rsidR="0018445B" w:rsidRPr="00F439BB">
        <w:rPr>
          <w:szCs w:val="22"/>
        </w:rPr>
        <w:t>.</w:t>
      </w:r>
      <w:r w:rsidRPr="00F439BB">
        <w:rPr>
          <w:szCs w:val="22"/>
        </w:rPr>
        <w:t>j</w:t>
      </w:r>
      <w:r w:rsidR="0018445B" w:rsidRPr="00F439BB">
        <w:rPr>
          <w:szCs w:val="22"/>
        </w:rPr>
        <w:t>.</w:t>
      </w:r>
      <w:r w:rsidRPr="00F439BB">
        <w:rPr>
          <w:szCs w:val="22"/>
        </w:rPr>
        <w:t xml:space="preserve"> 1,2 </w:t>
      </w:r>
      <w:r w:rsidR="0018445B" w:rsidRPr="00F439BB">
        <w:rPr>
          <w:szCs w:val="22"/>
        </w:rPr>
        <w:t>ml na 10 kg telesnej hmotnosti)</w:t>
      </w:r>
      <w:r w:rsidR="00FF3DB7" w:rsidRPr="00F439BB">
        <w:rPr>
          <w:szCs w:val="22"/>
        </w:rPr>
        <w:t>.</w:t>
      </w:r>
      <w:r w:rsidR="00047116">
        <w:rPr>
          <w:szCs w:val="22"/>
        </w:rPr>
        <w:t xml:space="preserve"> </w:t>
      </w:r>
      <w:r w:rsidR="00FF3DB7" w:rsidRPr="00F439BB">
        <w:rPr>
          <w:szCs w:val="22"/>
        </w:rPr>
        <w:t>U</w:t>
      </w:r>
      <w:r w:rsidRPr="00F439BB">
        <w:rPr>
          <w:szCs w:val="22"/>
        </w:rPr>
        <w:t xml:space="preserve"> dospievajúcich s telesnou hmotnosťou 30 kg je maximálna dávka </w:t>
      </w:r>
      <w:r w:rsidR="00FF3DB7" w:rsidRPr="00F439BB">
        <w:rPr>
          <w:noProof/>
        </w:rPr>
        <w:t>L</w:t>
      </w:r>
      <w:r w:rsidR="00291E1C">
        <w:rPr>
          <w:noProof/>
        </w:rPr>
        <w:t>idbree</w:t>
      </w:r>
      <w:r w:rsidR="00FF3DB7" w:rsidRPr="00F439BB">
        <w:rPr>
          <w:noProof/>
        </w:rPr>
        <w:t xml:space="preserve"> </w:t>
      </w:r>
      <w:r w:rsidRPr="00F439BB">
        <w:rPr>
          <w:szCs w:val="22"/>
        </w:rPr>
        <w:t>celko</w:t>
      </w:r>
      <w:r w:rsidR="0018445B" w:rsidRPr="00F439BB">
        <w:rPr>
          <w:szCs w:val="22"/>
        </w:rPr>
        <w:t>vo</w:t>
      </w:r>
      <w:r w:rsidRPr="00F439BB">
        <w:rPr>
          <w:szCs w:val="22"/>
        </w:rPr>
        <w:t xml:space="preserve"> 3,6 ml.</w:t>
      </w:r>
    </w:p>
    <w:p w14:paraId="41A0E6B9" w14:textId="77777777" w:rsidR="00DD0056" w:rsidRPr="00F439BB" w:rsidRDefault="00DD0056" w:rsidP="0056212D">
      <w:pPr>
        <w:keepNext/>
        <w:spacing w:line="240" w:lineRule="auto"/>
        <w:rPr>
          <w:szCs w:val="22"/>
        </w:rPr>
      </w:pPr>
    </w:p>
    <w:p w14:paraId="54C01B80" w14:textId="4D8ADF4B" w:rsidR="00812D16" w:rsidRPr="00F439BB" w:rsidRDefault="0018445B" w:rsidP="00204AAB">
      <w:pPr>
        <w:autoSpaceDE w:val="0"/>
        <w:autoSpaceDN w:val="0"/>
        <w:adjustRightInd w:val="0"/>
        <w:spacing w:line="240" w:lineRule="auto"/>
      </w:pPr>
      <w:r w:rsidRPr="00F439BB">
        <w:t>Bezpečnosť a účinnosť</w:t>
      </w:r>
      <w:r w:rsidR="00F439BB" w:rsidRPr="00F439BB">
        <w:t xml:space="preserve"> </w:t>
      </w:r>
      <w:r w:rsidRPr="00F439BB">
        <w:rPr>
          <w:noProof/>
        </w:rPr>
        <w:t>L</w:t>
      </w:r>
      <w:r w:rsidR="00291E1C">
        <w:rPr>
          <w:noProof/>
        </w:rPr>
        <w:t>idbree</w:t>
      </w:r>
      <w:r w:rsidRPr="00F439BB">
        <w:rPr>
          <w:noProof/>
        </w:rPr>
        <w:t xml:space="preserve"> </w:t>
      </w:r>
      <w:r w:rsidR="00FE605C" w:rsidRPr="00F439BB">
        <w:t>u</w:t>
      </w:r>
      <w:r w:rsidR="00A72672" w:rsidRPr="00F439BB">
        <w:t> </w:t>
      </w:r>
      <w:r w:rsidR="005D2D7C" w:rsidRPr="00F439BB">
        <w:t>dojčiat</w:t>
      </w:r>
      <w:r w:rsidRPr="00F439BB">
        <w:t xml:space="preserve"> a </w:t>
      </w:r>
      <w:r w:rsidR="00FE605C" w:rsidRPr="00F439BB">
        <w:t xml:space="preserve">detí </w:t>
      </w:r>
      <w:r w:rsidR="00A17811" w:rsidRPr="00F439BB">
        <w:t>mladších ako 15 </w:t>
      </w:r>
      <w:r w:rsidRPr="00F439BB">
        <w:t xml:space="preserve">rokov </w:t>
      </w:r>
      <w:r w:rsidR="00FE605C" w:rsidRPr="00F439BB">
        <w:t>neboli</w:t>
      </w:r>
      <w:r w:rsidRPr="00F439BB">
        <w:t xml:space="preserve"> stanovené. </w:t>
      </w:r>
      <w:r w:rsidRPr="00F439BB">
        <w:rPr>
          <w:noProof/>
        </w:rPr>
        <w:t>L</w:t>
      </w:r>
      <w:r w:rsidR="00291E1C">
        <w:rPr>
          <w:noProof/>
        </w:rPr>
        <w:t>idbree</w:t>
      </w:r>
      <w:r w:rsidRPr="00F439BB">
        <w:rPr>
          <w:noProof/>
        </w:rPr>
        <w:t xml:space="preserve"> sa nemá používa</w:t>
      </w:r>
      <w:r w:rsidR="00D50F77" w:rsidRPr="00F439BB">
        <w:rPr>
          <w:noProof/>
        </w:rPr>
        <w:t>ť u de</w:t>
      </w:r>
      <w:r w:rsidRPr="00F439BB">
        <w:rPr>
          <w:noProof/>
        </w:rPr>
        <w:t xml:space="preserve">tí </w:t>
      </w:r>
      <w:r w:rsidR="00A17811" w:rsidRPr="00F439BB">
        <w:rPr>
          <w:noProof/>
        </w:rPr>
        <w:t>mladších ako</w:t>
      </w:r>
      <w:r w:rsidRPr="00F439BB">
        <w:rPr>
          <w:noProof/>
        </w:rPr>
        <w:t xml:space="preserve"> 15 rokov </w:t>
      </w:r>
      <w:r w:rsidR="00D50F77" w:rsidRPr="00F439BB">
        <w:rPr>
          <w:noProof/>
        </w:rPr>
        <w:t>vzhľadom</w:t>
      </w:r>
      <w:r w:rsidR="00404C5C">
        <w:rPr>
          <w:noProof/>
        </w:rPr>
        <w:t xml:space="preserve"> </w:t>
      </w:r>
      <w:r w:rsidR="00D50F77" w:rsidRPr="00F439BB">
        <w:rPr>
          <w:noProof/>
        </w:rPr>
        <w:t>na</w:t>
      </w:r>
      <w:r w:rsidRPr="00F439BB">
        <w:rPr>
          <w:noProof/>
        </w:rPr>
        <w:t xml:space="preserve"> bezpečnosť (pozri časti </w:t>
      </w:r>
      <w:r w:rsidRPr="00F439BB">
        <w:t xml:space="preserve">4.4 a </w:t>
      </w:r>
      <w:r w:rsidR="00FE605C" w:rsidRPr="00F439BB">
        <w:t>5.1</w:t>
      </w:r>
      <w:r w:rsidRPr="00F439BB">
        <w:t>).</w:t>
      </w:r>
    </w:p>
    <w:p w14:paraId="68EBE499" w14:textId="77777777" w:rsidR="00812D16" w:rsidRPr="00F439BB" w:rsidRDefault="00812D16" w:rsidP="00204AAB">
      <w:pPr>
        <w:autoSpaceDE w:val="0"/>
        <w:autoSpaceDN w:val="0"/>
        <w:adjustRightInd w:val="0"/>
        <w:spacing w:line="240" w:lineRule="auto"/>
      </w:pPr>
    </w:p>
    <w:p w14:paraId="3CADBF63" w14:textId="3FFD4053" w:rsidR="009921E6" w:rsidRPr="00F439BB" w:rsidRDefault="005B1DA5" w:rsidP="00204AAB">
      <w:pPr>
        <w:spacing w:line="240" w:lineRule="auto"/>
      </w:pPr>
      <w:r w:rsidRPr="00F439BB">
        <w:rPr>
          <w:i/>
        </w:rPr>
        <w:t xml:space="preserve">Staršie </w:t>
      </w:r>
      <w:r w:rsidR="00404C5C">
        <w:rPr>
          <w:i/>
        </w:rPr>
        <w:t>osoby</w:t>
      </w:r>
      <w:r w:rsidRPr="00F439BB">
        <w:rPr>
          <w:i/>
        </w:rPr>
        <w:br/>
      </w:r>
      <w:r w:rsidRPr="00F439BB">
        <w:t>U starších pacientok nie je potrebné zníženie dávky (pozri časť 5.2).</w:t>
      </w:r>
      <w:r w:rsidRPr="00F439BB">
        <w:br/>
      </w:r>
      <w:r w:rsidRPr="00F439BB">
        <w:br/>
      </w:r>
      <w:r w:rsidR="00404C5C">
        <w:rPr>
          <w:i/>
        </w:rPr>
        <w:t>Porucha</w:t>
      </w:r>
      <w:r w:rsidR="00404C5C" w:rsidRPr="00F439BB">
        <w:rPr>
          <w:i/>
        </w:rPr>
        <w:t xml:space="preserve"> </w:t>
      </w:r>
      <w:r w:rsidRPr="00F439BB">
        <w:rPr>
          <w:i/>
        </w:rPr>
        <w:t>funkcie pečene</w:t>
      </w:r>
      <w:r w:rsidRPr="00F439BB">
        <w:rPr>
          <w:i/>
        </w:rPr>
        <w:br/>
      </w:r>
      <w:r w:rsidRPr="00F439BB">
        <w:t xml:space="preserve">U pacientok s </w:t>
      </w:r>
      <w:r w:rsidR="00404C5C">
        <w:t>poruchou</w:t>
      </w:r>
      <w:r w:rsidR="00404C5C" w:rsidRPr="00F439BB">
        <w:t xml:space="preserve"> </w:t>
      </w:r>
      <w:r w:rsidRPr="00F439BB">
        <w:t>funkci</w:t>
      </w:r>
      <w:r w:rsidR="00404C5C">
        <w:t>e</w:t>
      </w:r>
      <w:r w:rsidRPr="00F439BB">
        <w:t xml:space="preserve"> pečene nie je potrebné zníženie jedn</w:t>
      </w:r>
      <w:r w:rsidR="008B699D" w:rsidRPr="00F439BB">
        <w:t>o</w:t>
      </w:r>
      <w:r w:rsidR="005213F8" w:rsidRPr="00F439BB">
        <w:t>razo</w:t>
      </w:r>
      <w:r w:rsidR="008B699D" w:rsidRPr="00F439BB">
        <w:t>v</w:t>
      </w:r>
      <w:r w:rsidRPr="00F439BB">
        <w:t>ej dávky (pozri časť 5.2).</w:t>
      </w:r>
      <w:r w:rsidRPr="00F439BB">
        <w:br/>
      </w:r>
      <w:r w:rsidRPr="00F439BB">
        <w:br/>
      </w:r>
      <w:r w:rsidR="00404C5C">
        <w:rPr>
          <w:i/>
        </w:rPr>
        <w:t xml:space="preserve">Porucha </w:t>
      </w:r>
      <w:r w:rsidRPr="00F439BB">
        <w:rPr>
          <w:i/>
        </w:rPr>
        <w:t>funkcie obličiek</w:t>
      </w:r>
      <w:r w:rsidRPr="00F439BB">
        <w:rPr>
          <w:i/>
        </w:rPr>
        <w:br/>
      </w:r>
      <w:r w:rsidRPr="00F439BB">
        <w:t>U pacientok s</w:t>
      </w:r>
      <w:r w:rsidR="00404C5C">
        <w:t xml:space="preserve"> poruchou </w:t>
      </w:r>
      <w:r w:rsidRPr="00F439BB">
        <w:t>funkci</w:t>
      </w:r>
      <w:r w:rsidR="00404C5C">
        <w:t>e</w:t>
      </w:r>
      <w:r w:rsidRPr="00F439BB">
        <w:t xml:space="preserve"> obličiek nie je potrebné zníženie dávky.</w:t>
      </w:r>
    </w:p>
    <w:p w14:paraId="709411D4" w14:textId="77777777" w:rsidR="005B1DA5" w:rsidRPr="00F439BB" w:rsidRDefault="005B1DA5" w:rsidP="00204AAB">
      <w:pPr>
        <w:spacing w:line="240" w:lineRule="auto"/>
      </w:pPr>
    </w:p>
    <w:p w14:paraId="7B7CDC30" w14:textId="77777777" w:rsidR="00812D16" w:rsidRPr="00F439BB" w:rsidRDefault="00FE605C" w:rsidP="00085939">
      <w:pPr>
        <w:keepNext/>
        <w:spacing w:line="240" w:lineRule="auto"/>
        <w:rPr>
          <w:u w:val="single"/>
        </w:rPr>
      </w:pPr>
      <w:r w:rsidRPr="00F439BB">
        <w:rPr>
          <w:u w:val="single"/>
        </w:rPr>
        <w:t>Spôsob podávania</w:t>
      </w:r>
    </w:p>
    <w:p w14:paraId="0018061E" w14:textId="77777777" w:rsidR="005B1DA5" w:rsidRPr="00F439BB" w:rsidRDefault="005B1DA5" w:rsidP="005B1DA5">
      <w:pPr>
        <w:rPr>
          <w:noProof/>
          <w:szCs w:val="22"/>
        </w:rPr>
      </w:pPr>
      <w:r w:rsidRPr="00F439BB">
        <w:rPr>
          <w:noProof/>
          <w:szCs w:val="22"/>
        </w:rPr>
        <w:t xml:space="preserve">Len </w:t>
      </w:r>
      <w:r w:rsidR="00E24B41">
        <w:rPr>
          <w:noProof/>
          <w:szCs w:val="22"/>
        </w:rPr>
        <w:t>na</w:t>
      </w:r>
      <w:r w:rsidRPr="00F439BB">
        <w:rPr>
          <w:noProof/>
          <w:szCs w:val="22"/>
        </w:rPr>
        <w:t xml:space="preserve"> cervikálne a intrauterinné použitie.</w:t>
      </w:r>
    </w:p>
    <w:p w14:paraId="34AF56EF" w14:textId="669200A2" w:rsidR="002F6DD2" w:rsidRDefault="005B1DA5" w:rsidP="002F6DD2">
      <w:pPr>
        <w:keepNext/>
        <w:spacing w:line="240" w:lineRule="auto"/>
      </w:pPr>
      <w:r w:rsidRPr="00F439BB">
        <w:t>Pri pod</w:t>
      </w:r>
      <w:r w:rsidR="00484C8F" w:rsidRPr="00F439BB">
        <w:t>áv</w:t>
      </w:r>
      <w:r w:rsidRPr="00F439BB">
        <w:t xml:space="preserve">aní </w:t>
      </w:r>
      <w:r w:rsidR="0007086A">
        <w:t>má mať</w:t>
      </w:r>
      <w:r w:rsidR="00F439BB" w:rsidRPr="00F439BB">
        <w:t xml:space="preserve"> </w:t>
      </w:r>
      <w:r w:rsidR="008B699D" w:rsidRPr="00F439BB">
        <w:rPr>
          <w:noProof/>
        </w:rPr>
        <w:t>L</w:t>
      </w:r>
      <w:r w:rsidR="00291E1C">
        <w:rPr>
          <w:noProof/>
        </w:rPr>
        <w:t>idbree</w:t>
      </w:r>
      <w:r w:rsidR="00F439BB" w:rsidRPr="00F439BB">
        <w:rPr>
          <w:noProof/>
        </w:rPr>
        <w:t xml:space="preserve"> </w:t>
      </w:r>
      <w:r w:rsidR="00484C8F" w:rsidRPr="00F439BB">
        <w:rPr>
          <w:noProof/>
        </w:rPr>
        <w:t>konzistenci</w:t>
      </w:r>
      <w:r w:rsidR="008B699D" w:rsidRPr="00F439BB">
        <w:rPr>
          <w:noProof/>
        </w:rPr>
        <w:t>u</w:t>
      </w:r>
      <w:r w:rsidR="00F439BB" w:rsidRPr="00F439BB">
        <w:rPr>
          <w:noProof/>
        </w:rPr>
        <w:t xml:space="preserve"> </w:t>
      </w:r>
      <w:r w:rsidRPr="00F439BB">
        <w:t>tekutin</w:t>
      </w:r>
      <w:r w:rsidR="00484C8F" w:rsidRPr="00F439BB">
        <w:t>y</w:t>
      </w:r>
      <w:r w:rsidRPr="00F439BB">
        <w:t xml:space="preserve">. Ak </w:t>
      </w:r>
      <w:r w:rsidR="00674353" w:rsidRPr="00F439BB">
        <w:t xml:space="preserve">je konzistencie </w:t>
      </w:r>
      <w:r w:rsidRPr="00F439BB">
        <w:t>gél</w:t>
      </w:r>
      <w:r w:rsidR="00674353" w:rsidRPr="00F439BB">
        <w:t>u</w:t>
      </w:r>
      <w:r w:rsidRPr="00F439BB">
        <w:t>, m</w:t>
      </w:r>
      <w:r w:rsidR="00674353" w:rsidRPr="00F439BB">
        <w:t>á</w:t>
      </w:r>
      <w:r w:rsidRPr="00F439BB">
        <w:t xml:space="preserve"> sa vložiť do chladničky, až kým sa znova ne</w:t>
      </w:r>
      <w:r w:rsidR="00351E6B" w:rsidRPr="00F439BB">
        <w:t>zmení na tekutin</w:t>
      </w:r>
      <w:r w:rsidRPr="00F439BB">
        <w:t xml:space="preserve">u. Vzduchová bublina viditeľná v injekčnej </w:t>
      </w:r>
      <w:r w:rsidR="00674353" w:rsidRPr="00F439BB">
        <w:t>striekačke sa potom pohne, ak injekčnú striekačku</w:t>
      </w:r>
      <w:r w:rsidRPr="00F439BB">
        <w:t xml:space="preserve"> naklon</w:t>
      </w:r>
      <w:r w:rsidR="00674353" w:rsidRPr="00F439BB">
        <w:t>íte</w:t>
      </w:r>
      <w:r w:rsidRPr="00F439BB">
        <w:t>.</w:t>
      </w:r>
      <w:r w:rsidRPr="00F439BB">
        <w:br/>
      </w:r>
      <w:r w:rsidRPr="00F439BB">
        <w:br/>
      </w:r>
      <w:r w:rsidR="008B699D" w:rsidRPr="00F439BB">
        <w:t>Zostavu</w:t>
      </w:r>
      <w:r w:rsidR="00674353" w:rsidRPr="00F439BB">
        <w:t xml:space="preserve"> z</w:t>
      </w:r>
      <w:r w:rsidRPr="00F439BB">
        <w:t xml:space="preserve">ložte </w:t>
      </w:r>
      <w:r w:rsidR="002B747C" w:rsidRPr="00F439BB">
        <w:t xml:space="preserve">podľa </w:t>
      </w:r>
      <w:r w:rsidRPr="00F439BB">
        <w:t>postup</w:t>
      </w:r>
      <w:r w:rsidR="002B747C" w:rsidRPr="00F439BB">
        <w:t>u</w:t>
      </w:r>
      <w:r w:rsidRPr="00F439BB">
        <w:t xml:space="preserve"> a naneste viskóznu </w:t>
      </w:r>
      <w:r w:rsidR="0086559C">
        <w:t>tekutinu</w:t>
      </w:r>
      <w:r w:rsidRPr="00F439BB">
        <w:t xml:space="preserve"> pomocou sterilného aplikátora</w:t>
      </w:r>
      <w:r w:rsidR="002B747C" w:rsidRPr="00F439BB">
        <w:t>, ktorý je súčasťou balenia</w:t>
      </w:r>
      <w:r w:rsidRPr="00F439BB">
        <w:t>:</w:t>
      </w:r>
      <w:r w:rsidRPr="00F439BB">
        <w:br/>
      </w:r>
      <w:r w:rsidRPr="00F439BB">
        <w:br/>
        <w:t xml:space="preserve">1) </w:t>
      </w:r>
      <w:r w:rsidR="002B747C" w:rsidRPr="00F439BB">
        <w:tab/>
      </w:r>
      <w:r w:rsidRPr="00F439BB">
        <w:t>Počas naklá</w:t>
      </w:r>
      <w:r w:rsidR="002B747C" w:rsidRPr="00F439BB">
        <w:t>ň</w:t>
      </w:r>
      <w:r w:rsidRPr="00F439BB">
        <w:t xml:space="preserve">ania skontrolujte vzhľad injekčnej striekačky. </w:t>
      </w:r>
      <w:r w:rsidR="00351E6B" w:rsidRPr="00F439BB">
        <w:t>Ak sa v</w:t>
      </w:r>
      <w:r w:rsidRPr="00F439BB">
        <w:t xml:space="preserve">zduchová bublina v </w:t>
      </w:r>
      <w:r w:rsidR="002B747C" w:rsidRPr="00F439BB">
        <w:t xml:space="preserve">injekčnej </w:t>
      </w:r>
      <w:r w:rsidR="00D529C7" w:rsidRPr="00F439BB">
        <w:tab/>
      </w:r>
      <w:r w:rsidRPr="00F439BB">
        <w:t xml:space="preserve">striekačke po naklonení pohne, </w:t>
      </w:r>
      <w:r w:rsidR="008B699D" w:rsidRPr="00F439BB">
        <w:t>liek</w:t>
      </w:r>
      <w:r w:rsidRPr="00F439BB">
        <w:t xml:space="preserve"> v tekutom stave </w:t>
      </w:r>
      <w:r w:rsidR="00351E6B" w:rsidRPr="00F439BB">
        <w:t xml:space="preserve">je </w:t>
      </w:r>
      <w:r w:rsidRPr="00F439BB">
        <w:t>pripravený na použitie. Ak sa vzduchová</w:t>
      </w:r>
      <w:r w:rsidR="002F6DD2">
        <w:t xml:space="preserve"> </w:t>
      </w:r>
    </w:p>
    <w:p w14:paraId="45A6E4D8" w14:textId="5EF70FD7" w:rsidR="002F6DD2" w:rsidRDefault="005B1DA5" w:rsidP="008960A1">
      <w:pPr>
        <w:keepNext/>
        <w:spacing w:line="240" w:lineRule="auto"/>
        <w:ind w:left="567"/>
      </w:pPr>
      <w:r w:rsidRPr="00F439BB">
        <w:t xml:space="preserve">bublina nepohybuje, </w:t>
      </w:r>
      <w:r w:rsidR="008B699D" w:rsidRPr="00F439BB">
        <w:t>liek</w:t>
      </w:r>
      <w:r w:rsidR="00351E6B" w:rsidRPr="00F439BB">
        <w:t xml:space="preserve"> je v </w:t>
      </w:r>
      <w:r w:rsidRPr="00F439BB">
        <w:t>gél</w:t>
      </w:r>
      <w:r w:rsidR="00351E6B" w:rsidRPr="00F439BB">
        <w:t>ovom stave</w:t>
      </w:r>
      <w:r w:rsidRPr="00F439BB">
        <w:t xml:space="preserve"> - vložte </w:t>
      </w:r>
      <w:r w:rsidR="00351E6B" w:rsidRPr="00F439BB">
        <w:t xml:space="preserve">ho </w:t>
      </w:r>
      <w:r w:rsidRPr="00F439BB">
        <w:t>do chladničky, až kým sa znova ne</w:t>
      </w:r>
      <w:r w:rsidR="00351E6B" w:rsidRPr="00F439BB">
        <w:t>zmení na</w:t>
      </w:r>
      <w:r w:rsidR="002F6DD2">
        <w:t xml:space="preserve"> </w:t>
      </w:r>
      <w:r w:rsidRPr="00F439BB">
        <w:t>tekutinu.</w:t>
      </w:r>
    </w:p>
    <w:p w14:paraId="2EA607AA" w14:textId="47278924" w:rsidR="00812D16" w:rsidRPr="00F439BB" w:rsidRDefault="005B1DA5">
      <w:pPr>
        <w:keepNext/>
        <w:spacing w:line="240" w:lineRule="auto"/>
      </w:pPr>
      <w:r w:rsidRPr="00F439BB">
        <w:t>2)</w:t>
      </w:r>
      <w:r w:rsidR="002B747C" w:rsidRPr="00F439BB">
        <w:tab/>
      </w:r>
      <w:r w:rsidRPr="00F439BB">
        <w:t xml:space="preserve">Pripojte piest a aplikátor k </w:t>
      </w:r>
      <w:r w:rsidR="00351E6B" w:rsidRPr="00F439BB">
        <w:t xml:space="preserve">injekčnej </w:t>
      </w:r>
      <w:r w:rsidRPr="00F439BB">
        <w:t xml:space="preserve">striekačke a uistite sa, že sú pevne </w:t>
      </w:r>
      <w:r w:rsidR="00351E6B" w:rsidRPr="00F439BB">
        <w:t>s</w:t>
      </w:r>
      <w:r w:rsidRPr="00F439BB">
        <w:t>pojené.</w:t>
      </w:r>
    </w:p>
    <w:p w14:paraId="3280CC64" w14:textId="77777777" w:rsidR="00812D16" w:rsidRPr="00F439BB" w:rsidRDefault="00812D16" w:rsidP="00204AAB">
      <w:pPr>
        <w:spacing w:line="240" w:lineRule="auto"/>
      </w:pPr>
    </w:p>
    <w:p w14:paraId="122DE4AF" w14:textId="77777777" w:rsidR="00351E6B" w:rsidRPr="00F439BB" w:rsidRDefault="00351E6B" w:rsidP="00204AAB">
      <w:pPr>
        <w:spacing w:line="240" w:lineRule="auto"/>
      </w:pPr>
    </w:p>
    <w:p w14:paraId="05AAC493" w14:textId="77777777" w:rsidR="005B1DA5" w:rsidRPr="00F439BB" w:rsidRDefault="005B1DA5" w:rsidP="00204AAB">
      <w:pPr>
        <w:spacing w:line="240" w:lineRule="auto"/>
      </w:pPr>
      <w:r w:rsidRPr="00F439BB">
        <w:rPr>
          <w:noProof/>
          <w:lang w:val="en-US" w:eastAsia="en-US" w:bidi="ar-SA"/>
        </w:rPr>
        <w:drawing>
          <wp:inline distT="0" distB="0" distL="0" distR="0" wp14:anchorId="0091C846" wp14:editId="73BCDC46">
            <wp:extent cx="5760085" cy="406400"/>
            <wp:effectExtent l="1905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ep1-2-3-appl-syringe-plung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3FB52" w14:textId="77777777" w:rsidR="005B1DA5" w:rsidRPr="00F439BB" w:rsidRDefault="005B1DA5" w:rsidP="00204AAB">
      <w:pPr>
        <w:spacing w:line="240" w:lineRule="auto"/>
      </w:pPr>
    </w:p>
    <w:p w14:paraId="620D29F1" w14:textId="77777777" w:rsidR="00351E6B" w:rsidRPr="00F439BB" w:rsidRDefault="00351E6B" w:rsidP="00204AAB">
      <w:pPr>
        <w:spacing w:line="240" w:lineRule="auto"/>
      </w:pPr>
    </w:p>
    <w:p w14:paraId="2E0EE263" w14:textId="6AF7C2C2" w:rsidR="005B1DA5" w:rsidRDefault="005B1DA5" w:rsidP="00204AAB">
      <w:pPr>
        <w:spacing w:line="240" w:lineRule="auto"/>
      </w:pPr>
      <w:r w:rsidRPr="00F439BB">
        <w:t xml:space="preserve">3) </w:t>
      </w:r>
      <w:r w:rsidR="00D529C7" w:rsidRPr="00F439BB">
        <w:tab/>
      </w:r>
      <w:r w:rsidRPr="00F439BB">
        <w:t>Vytlačte vzduchovú bublinu a naplň</w:t>
      </w:r>
      <w:r w:rsidR="00D529C7" w:rsidRPr="00F439BB">
        <w:t>te aplikátor gélom opatrným stláča</w:t>
      </w:r>
      <w:r w:rsidRPr="00F439BB">
        <w:t xml:space="preserve">ním piestu </w:t>
      </w:r>
      <w:r w:rsidR="00D529C7" w:rsidRPr="00F439BB">
        <w:t xml:space="preserve">injekčnej </w:t>
      </w:r>
      <w:r w:rsidR="00D529C7" w:rsidRPr="00F439BB">
        <w:tab/>
      </w:r>
      <w:r w:rsidRPr="00F439BB">
        <w:t>striekačky.</w:t>
      </w:r>
      <w:r w:rsidRPr="00F439BB">
        <w:br/>
        <w:t xml:space="preserve">4) </w:t>
      </w:r>
      <w:r w:rsidR="00D529C7" w:rsidRPr="00F439BB">
        <w:tab/>
      </w:r>
      <w:r w:rsidRPr="00F439BB">
        <w:t xml:space="preserve">Na umiestnenie </w:t>
      </w:r>
      <w:r w:rsidR="00D529C7" w:rsidRPr="00F439BB">
        <w:rPr>
          <w:noProof/>
        </w:rPr>
        <w:t>L</w:t>
      </w:r>
      <w:r w:rsidR="00291E1C">
        <w:rPr>
          <w:noProof/>
        </w:rPr>
        <w:t>idbree</w:t>
      </w:r>
      <w:r w:rsidR="00D529C7" w:rsidRPr="00F439BB">
        <w:rPr>
          <w:noProof/>
        </w:rPr>
        <w:t xml:space="preserve"> </w:t>
      </w:r>
      <w:r w:rsidRPr="00F439BB">
        <w:t>použite centimetrovú stupnicu aplikátora.</w:t>
      </w:r>
      <w:r w:rsidRPr="00F439BB">
        <w:br/>
      </w:r>
      <w:r w:rsidRPr="00F439BB">
        <w:br/>
        <w:t xml:space="preserve">Pri </w:t>
      </w:r>
      <w:r w:rsidR="00D529C7" w:rsidRPr="00F439BB">
        <w:t>zavedení aplikátor</w:t>
      </w:r>
      <w:r w:rsidR="00822E1D" w:rsidRPr="00F439BB">
        <w:t>a</w:t>
      </w:r>
      <w:r w:rsidRPr="00F439BB">
        <w:t xml:space="preserve"> je možné z injekčnej striekačky dodať 8,5 ml gélu. Jeden ml obs</w:t>
      </w:r>
      <w:r w:rsidR="00D529C7" w:rsidRPr="00F439BB">
        <w:t>ahuje 42 mg lidokaínu. G</w:t>
      </w:r>
      <w:r w:rsidRPr="00F439BB">
        <w:t xml:space="preserve">él </w:t>
      </w:r>
      <w:r w:rsidR="00D529C7" w:rsidRPr="00F439BB">
        <w:t xml:space="preserve">naneste </w:t>
      </w:r>
      <w:r w:rsidRPr="00F439BB">
        <w:t>postupne (</w:t>
      </w:r>
      <w:r w:rsidR="00D529C7" w:rsidRPr="00F439BB">
        <w:t>v miestach 1 až 3),</w:t>
      </w:r>
      <w:r w:rsidRPr="00F439BB">
        <w:t xml:space="preserve"> ako je to znázornené na obrázku.</w:t>
      </w:r>
    </w:p>
    <w:p w14:paraId="5A69F41B" w14:textId="77777777" w:rsidR="005B1DA5" w:rsidRDefault="005B1DA5" w:rsidP="00204AAB">
      <w:pPr>
        <w:spacing w:line="240" w:lineRule="auto"/>
      </w:pPr>
      <w:r w:rsidRPr="00F439BB">
        <w:rPr>
          <w:noProof/>
          <w:lang w:val="en-US" w:eastAsia="en-US" w:bidi="ar-SA"/>
        </w:rPr>
        <w:drawing>
          <wp:inline distT="0" distB="0" distL="0" distR="0" wp14:anchorId="2F5B6823" wp14:editId="60B6CBB9">
            <wp:extent cx="2848027" cy="293624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ep4-stepwise applicati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3628" cy="294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69C88" w14:textId="77777777" w:rsidR="006F263C" w:rsidRPr="00F439BB" w:rsidRDefault="006F263C" w:rsidP="00204AAB">
      <w:pPr>
        <w:spacing w:line="240" w:lineRule="auto"/>
      </w:pPr>
    </w:p>
    <w:p w14:paraId="376FD663" w14:textId="77777777" w:rsidR="00812D16" w:rsidRPr="00F439BB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F439BB">
        <w:rPr>
          <w:b/>
        </w:rPr>
        <w:t>Kontraindikácie</w:t>
      </w:r>
    </w:p>
    <w:p w14:paraId="58806AA8" w14:textId="77777777" w:rsidR="00812D16" w:rsidRPr="00F439BB" w:rsidRDefault="00812D16" w:rsidP="00085939">
      <w:pPr>
        <w:keepNext/>
        <w:spacing w:line="240" w:lineRule="auto"/>
      </w:pPr>
    </w:p>
    <w:p w14:paraId="51888EF0" w14:textId="77777777" w:rsidR="00812D16" w:rsidRPr="00F439BB" w:rsidRDefault="00FE605C" w:rsidP="00204AAB">
      <w:pPr>
        <w:spacing w:line="240" w:lineRule="auto"/>
      </w:pPr>
      <w:r w:rsidRPr="00F439BB">
        <w:t>Precitliven</w:t>
      </w:r>
      <w:r w:rsidR="00BD3F44" w:rsidRPr="00F439BB">
        <w:t xml:space="preserve">osť na </w:t>
      </w:r>
      <w:r w:rsidRPr="00F439BB">
        <w:t>liečivo alebo na ktorúkoľvek z</w:t>
      </w:r>
      <w:r w:rsidR="00A72672" w:rsidRPr="00F439BB">
        <w:t> </w:t>
      </w:r>
      <w:r w:rsidRPr="00F439BB">
        <w:t>pomocných látok uvedených v</w:t>
      </w:r>
      <w:r w:rsidR="00A72672" w:rsidRPr="00F439BB">
        <w:t> </w:t>
      </w:r>
      <w:r w:rsidRPr="00F439BB">
        <w:t>časti 6.1.</w:t>
      </w:r>
    </w:p>
    <w:p w14:paraId="7EE07A34" w14:textId="77777777" w:rsidR="00BD3F44" w:rsidRPr="00F439BB" w:rsidRDefault="00BD3F44" w:rsidP="00204AAB">
      <w:pPr>
        <w:spacing w:line="240" w:lineRule="auto"/>
      </w:pPr>
    </w:p>
    <w:p w14:paraId="04BD281D" w14:textId="77777777" w:rsidR="00812D16" w:rsidRPr="00F439BB" w:rsidRDefault="00FE605C" w:rsidP="00572506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F439BB">
        <w:rPr>
          <w:b/>
        </w:rPr>
        <w:t>Osobitné upozornenia a opatrenia pri používaní</w:t>
      </w:r>
    </w:p>
    <w:p w14:paraId="67B88087" w14:textId="77777777" w:rsidR="00812D16" w:rsidRPr="00F439BB" w:rsidRDefault="00812D16" w:rsidP="00085939">
      <w:pPr>
        <w:keepNext/>
        <w:spacing w:line="240" w:lineRule="auto"/>
        <w:ind w:left="567" w:hanging="567"/>
      </w:pPr>
    </w:p>
    <w:p w14:paraId="2C27AA63" w14:textId="676E63CD" w:rsidR="000D4D68" w:rsidRDefault="00BD3F44" w:rsidP="00BD3F44">
      <w:pPr>
        <w:rPr>
          <w:noProof/>
        </w:rPr>
      </w:pPr>
      <w:r w:rsidRPr="00F439BB">
        <w:rPr>
          <w:noProof/>
          <w:szCs w:val="22"/>
        </w:rPr>
        <w:t xml:space="preserve">Len </w:t>
      </w:r>
      <w:r w:rsidR="00917CF8">
        <w:rPr>
          <w:noProof/>
          <w:szCs w:val="22"/>
        </w:rPr>
        <w:t>na</w:t>
      </w:r>
      <w:r w:rsidRPr="00F439BB">
        <w:rPr>
          <w:noProof/>
          <w:szCs w:val="22"/>
        </w:rPr>
        <w:t xml:space="preserve"> cervikálne a intrauterinné použitie. </w:t>
      </w:r>
      <w:r w:rsidRPr="00F439BB">
        <w:rPr>
          <w:noProof/>
        </w:rPr>
        <w:t>Ak sa viskózna termogelizačná tekutina neúmyselne vstrekne intravaskulárne, môžu sa vyskytnúť akútne príznaky lokálnej anestetickej toxicity a život ohrozujúce embolické komplikácie (pre liečbu systémových toxických reakcií, pozri časť 4.9). Iné neúmyselné parenterálne cesty podania môžu mať za následok lokálnu tkanivovú toxicitu.</w:t>
      </w:r>
      <w:r w:rsidRPr="00F439BB">
        <w:rPr>
          <w:noProof/>
        </w:rPr>
        <w:br/>
      </w:r>
      <w:r w:rsidRPr="00F439BB">
        <w:rPr>
          <w:noProof/>
        </w:rPr>
        <w:br/>
        <w:t xml:space="preserve">V prípade </w:t>
      </w:r>
      <w:r w:rsidR="008B699D" w:rsidRPr="00E06D73">
        <w:rPr>
          <w:noProof/>
        </w:rPr>
        <w:t>ťažké</w:t>
      </w:r>
      <w:r w:rsidRPr="00E06D73">
        <w:rPr>
          <w:noProof/>
        </w:rPr>
        <w:t xml:space="preserve">ho </w:t>
      </w:r>
      <w:r w:rsidR="00E06D73">
        <w:rPr>
          <w:noProof/>
        </w:rPr>
        <w:t>zavádzania</w:t>
      </w:r>
      <w:r w:rsidRPr="00F439BB">
        <w:rPr>
          <w:noProof/>
        </w:rPr>
        <w:t xml:space="preserve"> intrauterinn</w:t>
      </w:r>
      <w:r w:rsidR="001B2556" w:rsidRPr="00F439BB">
        <w:rPr>
          <w:noProof/>
        </w:rPr>
        <w:t>ej</w:t>
      </w:r>
      <w:r w:rsidRPr="00F439BB">
        <w:rPr>
          <w:noProof/>
        </w:rPr>
        <w:t xml:space="preserve"> antikoncep</w:t>
      </w:r>
      <w:r w:rsidR="001B2556" w:rsidRPr="00F439BB">
        <w:rPr>
          <w:noProof/>
        </w:rPr>
        <w:t>cie</w:t>
      </w:r>
      <w:r w:rsidRPr="00F439BB">
        <w:rPr>
          <w:noProof/>
        </w:rPr>
        <w:t xml:space="preserve"> a/alebo mimoriadne silnej bolesti alebo krvácania počas alebo po zavedení sa musí okamžite vykonať fyzikálne a ultrazvukové vyšetrenie, aby sa vylúčilo perforovanie tela alebo krčka maternice, pretože pri účinnej topickej anestézii nemusí pacientka v prípade perforácie bolestivo reagovať.</w:t>
      </w:r>
      <w:r w:rsidRPr="00F439BB">
        <w:rPr>
          <w:noProof/>
        </w:rPr>
        <w:br/>
      </w:r>
      <w:r w:rsidRPr="00F439BB">
        <w:rPr>
          <w:noProof/>
        </w:rPr>
        <w:br/>
        <w:t>Niektoré pacientky vyžadujú osobitnú pozornosť:</w:t>
      </w:r>
      <w:r w:rsidRPr="00F439BB">
        <w:rPr>
          <w:noProof/>
        </w:rPr>
        <w:br/>
        <w:t xml:space="preserve">- </w:t>
      </w:r>
      <w:r w:rsidRPr="00F439BB">
        <w:rPr>
          <w:noProof/>
        </w:rPr>
        <w:tab/>
        <w:t xml:space="preserve">Pacientky s čiastočnou alebo úplnou blokádou vodivého systému srdca - vzhľadom na to, že </w:t>
      </w:r>
      <w:r w:rsidR="00B02911" w:rsidRPr="00F439BB">
        <w:rPr>
          <w:noProof/>
        </w:rPr>
        <w:tab/>
      </w:r>
      <w:r w:rsidRPr="00F439BB">
        <w:rPr>
          <w:noProof/>
        </w:rPr>
        <w:t>lokálne anestetiká môžu tlmiť vodivosť myokardu.</w:t>
      </w:r>
      <w:r w:rsidRPr="00F439BB">
        <w:rPr>
          <w:noProof/>
        </w:rPr>
        <w:br/>
        <w:t xml:space="preserve">- </w:t>
      </w:r>
      <w:r w:rsidRPr="00F439BB">
        <w:rPr>
          <w:noProof/>
        </w:rPr>
        <w:tab/>
        <w:t>P</w:t>
      </w:r>
      <w:r w:rsidR="00B02911" w:rsidRPr="00F439BB">
        <w:rPr>
          <w:noProof/>
        </w:rPr>
        <w:t>acientky liečené</w:t>
      </w:r>
      <w:r w:rsidRPr="00F439BB">
        <w:rPr>
          <w:noProof/>
        </w:rPr>
        <w:t xml:space="preserve"> an</w:t>
      </w:r>
      <w:r w:rsidR="00B02911" w:rsidRPr="00F439BB">
        <w:rPr>
          <w:noProof/>
        </w:rPr>
        <w:t xml:space="preserve">tiarytmikami triedy III (napr. amiodarón) </w:t>
      </w:r>
      <w:r w:rsidRPr="00F439BB">
        <w:rPr>
          <w:noProof/>
        </w:rPr>
        <w:t>ma</w:t>
      </w:r>
      <w:r w:rsidR="00B02911" w:rsidRPr="00F439BB">
        <w:rPr>
          <w:noProof/>
        </w:rPr>
        <w:t>jú</w:t>
      </w:r>
      <w:r w:rsidRPr="00F439BB">
        <w:rPr>
          <w:noProof/>
        </w:rPr>
        <w:t xml:space="preserve"> byť pod prísnym dohľadom a</w:t>
      </w:r>
      <w:r w:rsidR="000D4D68">
        <w:rPr>
          <w:noProof/>
        </w:rPr>
        <w:t> </w:t>
      </w:r>
      <w:r w:rsidRPr="00F439BB">
        <w:rPr>
          <w:noProof/>
        </w:rPr>
        <w:t>m</w:t>
      </w:r>
      <w:r w:rsidR="00B02911" w:rsidRPr="00F439BB">
        <w:rPr>
          <w:noProof/>
        </w:rPr>
        <w:t>á</w:t>
      </w:r>
      <w:r w:rsidR="000D4D68">
        <w:rPr>
          <w:noProof/>
        </w:rPr>
        <w:t xml:space="preserve">  </w:t>
      </w:r>
    </w:p>
    <w:p w14:paraId="08C06EA9" w14:textId="08A296F4" w:rsidR="000D4D68" w:rsidRDefault="000D4D68" w:rsidP="00BD3F44">
      <w:pPr>
        <w:rPr>
          <w:noProof/>
        </w:rPr>
      </w:pPr>
      <w:r>
        <w:rPr>
          <w:noProof/>
        </w:rPr>
        <w:tab/>
      </w:r>
      <w:r w:rsidR="00BD3F44" w:rsidRPr="00F439BB">
        <w:rPr>
          <w:noProof/>
        </w:rPr>
        <w:t xml:space="preserve">sa zvážiť monitorovanie EKG, pretože </w:t>
      </w:r>
      <w:r w:rsidR="00B02911" w:rsidRPr="00F439BB">
        <w:rPr>
          <w:noProof/>
        </w:rPr>
        <w:t xml:space="preserve">účinky na </w:t>
      </w:r>
      <w:r w:rsidR="00BD3F44" w:rsidRPr="00F439BB">
        <w:rPr>
          <w:noProof/>
        </w:rPr>
        <w:t>srdc</w:t>
      </w:r>
      <w:r w:rsidR="00B02911" w:rsidRPr="00F439BB">
        <w:rPr>
          <w:noProof/>
        </w:rPr>
        <w:t>e</w:t>
      </w:r>
      <w:r w:rsidR="00BD3F44" w:rsidRPr="00F439BB">
        <w:rPr>
          <w:noProof/>
        </w:rPr>
        <w:t xml:space="preserve"> môžu byť aditívne.</w:t>
      </w:r>
      <w:r w:rsidR="00BD3F44" w:rsidRPr="00F439BB">
        <w:rPr>
          <w:noProof/>
        </w:rPr>
        <w:br/>
        <w:t xml:space="preserve">- </w:t>
      </w:r>
      <w:r w:rsidR="00BD3F44" w:rsidRPr="00F439BB">
        <w:rPr>
          <w:noProof/>
        </w:rPr>
        <w:tab/>
      </w:r>
      <w:r w:rsidR="00B02911" w:rsidRPr="00F439BB">
        <w:rPr>
          <w:noProof/>
        </w:rPr>
        <w:t>Pacientky</w:t>
      </w:r>
      <w:r w:rsidR="00BD3F44" w:rsidRPr="00F439BB">
        <w:rPr>
          <w:noProof/>
        </w:rPr>
        <w:t xml:space="preserve"> s akútnou porfýriou. Lidokaín je pr</w:t>
      </w:r>
      <w:r w:rsidR="00B02911" w:rsidRPr="00F439BB">
        <w:rPr>
          <w:noProof/>
        </w:rPr>
        <w:t>avdepodobne porfyrinogénny a má</w:t>
      </w:r>
      <w:r w:rsidR="00BD3F44" w:rsidRPr="00F439BB">
        <w:rPr>
          <w:noProof/>
        </w:rPr>
        <w:t xml:space="preserve"> sa predpisovať </w:t>
      </w:r>
    </w:p>
    <w:p w14:paraId="596202F0" w14:textId="0954A977" w:rsidR="000D4D68" w:rsidRDefault="000D4D68" w:rsidP="008960A1">
      <w:pPr>
        <w:ind w:left="567" w:hanging="567"/>
        <w:rPr>
          <w:noProof/>
        </w:rPr>
      </w:pPr>
      <w:r>
        <w:rPr>
          <w:noProof/>
        </w:rPr>
        <w:tab/>
      </w:r>
      <w:r w:rsidR="00BD3F44" w:rsidRPr="00F439BB">
        <w:rPr>
          <w:noProof/>
        </w:rPr>
        <w:t>pacient</w:t>
      </w:r>
      <w:r w:rsidR="00B02911" w:rsidRPr="00F439BB">
        <w:rPr>
          <w:noProof/>
        </w:rPr>
        <w:t>kám</w:t>
      </w:r>
      <w:r w:rsidR="00BD3F44" w:rsidRPr="00F439BB">
        <w:rPr>
          <w:noProof/>
        </w:rPr>
        <w:t xml:space="preserve"> s akútnou porfýriou iba pri </w:t>
      </w:r>
      <w:r w:rsidR="001B2556" w:rsidRPr="00F439BB">
        <w:rPr>
          <w:noProof/>
        </w:rPr>
        <w:t>závažných</w:t>
      </w:r>
      <w:r w:rsidR="00BD3F44" w:rsidRPr="00F439BB">
        <w:rPr>
          <w:noProof/>
        </w:rPr>
        <w:t xml:space="preserve"> alebo </w:t>
      </w:r>
      <w:r w:rsidR="00B02911" w:rsidRPr="00F439BB">
        <w:rPr>
          <w:noProof/>
        </w:rPr>
        <w:t>urgentných indikáciách. U </w:t>
      </w:r>
      <w:r w:rsidR="00BD3F44" w:rsidRPr="00F439BB">
        <w:rPr>
          <w:noProof/>
        </w:rPr>
        <w:t>všetkých porfyrických paciento</w:t>
      </w:r>
      <w:r w:rsidR="00B02911" w:rsidRPr="00F439BB">
        <w:rPr>
          <w:noProof/>
        </w:rPr>
        <w:t>k</w:t>
      </w:r>
      <w:r w:rsidR="00BD3F44" w:rsidRPr="00F439BB">
        <w:rPr>
          <w:noProof/>
        </w:rPr>
        <w:t xml:space="preserve"> </w:t>
      </w:r>
      <w:r w:rsidR="00E06D73">
        <w:rPr>
          <w:noProof/>
        </w:rPr>
        <w:t>sa majú</w:t>
      </w:r>
      <w:r w:rsidR="00BD3F44" w:rsidRPr="00F439BB">
        <w:rPr>
          <w:noProof/>
        </w:rPr>
        <w:t xml:space="preserve"> prijať vhodné bezpečnostné opatrenia.</w:t>
      </w:r>
    </w:p>
    <w:p w14:paraId="20179E36" w14:textId="0FF60071" w:rsidR="0079480E" w:rsidRPr="00F439BB" w:rsidRDefault="00BD3F44" w:rsidP="00BD3F44">
      <w:pPr>
        <w:rPr>
          <w:noProof/>
          <w:szCs w:val="22"/>
        </w:rPr>
      </w:pPr>
      <w:r w:rsidRPr="00F439BB">
        <w:rPr>
          <w:noProof/>
        </w:rPr>
        <w:t xml:space="preserve">- </w:t>
      </w:r>
      <w:r w:rsidRPr="00F439BB">
        <w:rPr>
          <w:noProof/>
        </w:rPr>
        <w:tab/>
      </w:r>
      <w:r w:rsidR="00B02911" w:rsidRPr="00F439BB">
        <w:rPr>
          <w:noProof/>
        </w:rPr>
        <w:t>Pacientky</w:t>
      </w:r>
      <w:r w:rsidRPr="00F439BB">
        <w:rPr>
          <w:noProof/>
        </w:rPr>
        <w:t xml:space="preserve"> v </w:t>
      </w:r>
      <w:r w:rsidR="00B02911" w:rsidRPr="00F439BB">
        <w:rPr>
          <w:noProof/>
        </w:rPr>
        <w:t xml:space="preserve">celkovo </w:t>
      </w:r>
      <w:r w:rsidRPr="00F439BB">
        <w:rPr>
          <w:noProof/>
        </w:rPr>
        <w:t xml:space="preserve">zlom </w:t>
      </w:r>
      <w:r w:rsidR="00B02911" w:rsidRPr="00F439BB">
        <w:rPr>
          <w:noProof/>
        </w:rPr>
        <w:t>zdravotnom</w:t>
      </w:r>
      <w:r w:rsidRPr="00F439BB">
        <w:rPr>
          <w:noProof/>
        </w:rPr>
        <w:t xml:space="preserve"> stave.</w:t>
      </w:r>
    </w:p>
    <w:p w14:paraId="451D3C1B" w14:textId="77777777" w:rsidR="00BD3F44" w:rsidRPr="00F439BB" w:rsidRDefault="00BD3F44" w:rsidP="00204AAB">
      <w:pPr>
        <w:spacing w:line="240" w:lineRule="auto"/>
      </w:pPr>
    </w:p>
    <w:p w14:paraId="0D97C462" w14:textId="77777777" w:rsidR="00812D16" w:rsidRPr="00F439BB" w:rsidRDefault="00FE605C" w:rsidP="00204AAB">
      <w:pPr>
        <w:spacing w:line="240" w:lineRule="auto"/>
        <w:rPr>
          <w:i/>
        </w:rPr>
      </w:pPr>
      <w:r w:rsidRPr="00F439BB">
        <w:rPr>
          <w:u w:val="single"/>
        </w:rPr>
        <w:t>Pediatrická populácia</w:t>
      </w:r>
    </w:p>
    <w:p w14:paraId="12559EA6" w14:textId="66C3C913" w:rsidR="002B7E6E" w:rsidRPr="00F439BB" w:rsidRDefault="002B7E6E" w:rsidP="00204AAB">
      <w:pPr>
        <w:spacing w:line="240" w:lineRule="auto"/>
        <w:outlineLvl w:val="0"/>
      </w:pPr>
      <w:r w:rsidRPr="00F439BB">
        <w:rPr>
          <w:noProof/>
        </w:rPr>
        <w:t>L</w:t>
      </w:r>
      <w:r w:rsidR="00291E1C">
        <w:rPr>
          <w:noProof/>
        </w:rPr>
        <w:t>idbree</w:t>
      </w:r>
      <w:r w:rsidRPr="00F439BB">
        <w:rPr>
          <w:noProof/>
        </w:rPr>
        <w:t xml:space="preserve"> </w:t>
      </w:r>
      <w:r w:rsidRPr="00F439BB">
        <w:t>sa nem</w:t>
      </w:r>
      <w:r w:rsidR="005D2D7C" w:rsidRPr="00F439BB">
        <w:t>á</w:t>
      </w:r>
      <w:r w:rsidRPr="00F439BB">
        <w:t xml:space="preserve"> podávať na sliznice dojčiat a detí </w:t>
      </w:r>
      <w:r w:rsidR="005D2D7C" w:rsidRPr="00F439BB">
        <w:t>vo veku do</w:t>
      </w:r>
      <w:r w:rsidRPr="00F439BB">
        <w:t xml:space="preserve"> 15 rokov, pretože pla</w:t>
      </w:r>
      <w:r w:rsidR="00E24B41">
        <w:t xml:space="preserve">zmatické koncentrácie lidokaínu </w:t>
      </w:r>
      <w:r w:rsidRPr="00F439BB">
        <w:t>môžu prekročiť prah toxicity (pozri časť 5.1).</w:t>
      </w:r>
      <w:r w:rsidRPr="00F439BB">
        <w:br/>
      </w:r>
      <w:r w:rsidRPr="00F439BB">
        <w:br/>
      </w:r>
      <w:r w:rsidR="005D2D7C" w:rsidRPr="00F439BB">
        <w:rPr>
          <w:u w:val="single"/>
        </w:rPr>
        <w:t>P</w:t>
      </w:r>
      <w:r w:rsidRPr="00F439BB">
        <w:rPr>
          <w:u w:val="single"/>
        </w:rPr>
        <w:t>omocn</w:t>
      </w:r>
      <w:r w:rsidR="005D2D7C" w:rsidRPr="00F439BB">
        <w:rPr>
          <w:u w:val="single"/>
        </w:rPr>
        <w:t>é</w:t>
      </w:r>
      <w:r w:rsidRPr="00F439BB">
        <w:rPr>
          <w:u w:val="single"/>
        </w:rPr>
        <w:t xml:space="preserve"> látk</w:t>
      </w:r>
      <w:r w:rsidR="005D2D7C" w:rsidRPr="00F439BB">
        <w:rPr>
          <w:u w:val="single"/>
        </w:rPr>
        <w:t>y</w:t>
      </w:r>
      <w:r w:rsidRPr="00F439BB">
        <w:br/>
        <w:t xml:space="preserve">Tento liek obsahuje </w:t>
      </w:r>
      <w:r w:rsidR="00A05E6C">
        <w:t xml:space="preserve">ricínoleoylmakrogol-glycerol </w:t>
      </w:r>
      <w:r w:rsidRPr="00F439BB">
        <w:t>(</w:t>
      </w:r>
      <w:r w:rsidR="005D2D7C" w:rsidRPr="00F439BB">
        <w:t xml:space="preserve">polyoxyl </w:t>
      </w:r>
      <w:r w:rsidRPr="00F439BB">
        <w:t>ricínov</w:t>
      </w:r>
      <w:r w:rsidR="005D2D7C" w:rsidRPr="00F439BB">
        <w:t>ého</w:t>
      </w:r>
      <w:r w:rsidRPr="00F439BB">
        <w:t xml:space="preserve"> olej</w:t>
      </w:r>
      <w:r w:rsidR="005D2D7C" w:rsidRPr="00F439BB">
        <w:t>a</w:t>
      </w:r>
      <w:r w:rsidRPr="00F439BB">
        <w:t xml:space="preserve">) a </w:t>
      </w:r>
      <w:r w:rsidR="00047116">
        <w:t>butylhydroxytoluén</w:t>
      </w:r>
      <w:r w:rsidRPr="00F439BB">
        <w:t>(E 321).</w:t>
      </w:r>
      <w:r w:rsidRPr="00F439BB">
        <w:br/>
      </w:r>
      <w:r w:rsidR="00A05E6C">
        <w:t xml:space="preserve">Ricínoleoylmakrogol-glycerol </w:t>
      </w:r>
      <w:r w:rsidRPr="00F439BB">
        <w:t xml:space="preserve"> môže spôsobiť závažné alergické reakcie.</w:t>
      </w:r>
      <w:r w:rsidRPr="00F439BB">
        <w:br/>
      </w:r>
      <w:r w:rsidR="00047116">
        <w:t xml:space="preserve">Butylhydroxytoluén </w:t>
      </w:r>
      <w:r w:rsidRPr="00F439BB">
        <w:t>(E 321) môže spôsobiť podráždenie slizníc.</w:t>
      </w:r>
    </w:p>
    <w:p w14:paraId="79B3FEDF" w14:textId="77777777" w:rsidR="002B7E6E" w:rsidRPr="00F439BB" w:rsidRDefault="002B7E6E" w:rsidP="00204AAB">
      <w:pPr>
        <w:spacing w:line="240" w:lineRule="auto"/>
        <w:outlineLvl w:val="0"/>
      </w:pPr>
    </w:p>
    <w:p w14:paraId="0945B68A" w14:textId="77777777" w:rsidR="00812D16" w:rsidRPr="00F439BB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F439BB">
        <w:rPr>
          <w:b/>
        </w:rPr>
        <w:t>Liekové a iné interakcie</w:t>
      </w:r>
    </w:p>
    <w:p w14:paraId="5278739F" w14:textId="77777777" w:rsidR="00812D16" w:rsidRPr="00F439BB" w:rsidRDefault="00812D16" w:rsidP="00085939">
      <w:pPr>
        <w:keepNext/>
        <w:spacing w:line="240" w:lineRule="auto"/>
      </w:pPr>
    </w:p>
    <w:p w14:paraId="71F86A08" w14:textId="0005BE0A" w:rsidR="008D6BE8" w:rsidRPr="00F439BB" w:rsidRDefault="00CB477E" w:rsidP="00204AAB">
      <w:pPr>
        <w:spacing w:line="240" w:lineRule="auto"/>
      </w:pPr>
      <w:r w:rsidRPr="00F439BB">
        <w:t xml:space="preserve">V prípade súbežného použitia </w:t>
      </w:r>
      <w:r w:rsidR="00181374" w:rsidRPr="00F439BB">
        <w:rPr>
          <w:noProof/>
        </w:rPr>
        <w:t>L</w:t>
      </w:r>
      <w:r w:rsidR="00291E1C">
        <w:rPr>
          <w:noProof/>
        </w:rPr>
        <w:t>idbree</w:t>
      </w:r>
      <w:r w:rsidR="00181374" w:rsidRPr="00F439BB">
        <w:rPr>
          <w:noProof/>
        </w:rPr>
        <w:t xml:space="preserve"> </w:t>
      </w:r>
      <w:r w:rsidRPr="00F439BB">
        <w:t xml:space="preserve">a iných </w:t>
      </w:r>
      <w:r w:rsidR="00181374" w:rsidRPr="00F439BB">
        <w:t>prípravkov s </w:t>
      </w:r>
      <w:r w:rsidRPr="00F439BB">
        <w:t>obsah</w:t>
      </w:r>
      <w:r w:rsidR="00181374" w:rsidRPr="00F439BB">
        <w:t>om</w:t>
      </w:r>
      <w:r w:rsidRPr="00F439BB">
        <w:t xml:space="preserve"> lidokaín</w:t>
      </w:r>
      <w:r w:rsidR="00181374" w:rsidRPr="00F439BB">
        <w:t>u</w:t>
      </w:r>
      <w:r w:rsidRPr="00F439BB">
        <w:t xml:space="preserve"> sa </w:t>
      </w:r>
      <w:r w:rsidR="00181374" w:rsidRPr="00F439BB">
        <w:t xml:space="preserve">majú </w:t>
      </w:r>
      <w:r w:rsidRPr="00F439BB">
        <w:t>veľké dávky lidokaínu používať opatrne u pacient</w:t>
      </w:r>
      <w:r w:rsidR="00181374" w:rsidRPr="00F439BB">
        <w:t>ok</w:t>
      </w:r>
      <w:r w:rsidRPr="00F439BB">
        <w:t>, ktor</w:t>
      </w:r>
      <w:r w:rsidR="00181374" w:rsidRPr="00F439BB">
        <w:t>é</w:t>
      </w:r>
      <w:r w:rsidRPr="00F439BB">
        <w:t xml:space="preserve"> dostávajú iné lokálne anestetiká alebo látky štrukturálne súvisiace s lokálnymi anestetikami amidového typu, napr. určité antiarytmiká, </w:t>
      </w:r>
      <w:r w:rsidR="008E585B" w:rsidRPr="00F439BB">
        <w:t>ako je</w:t>
      </w:r>
      <w:r w:rsidRPr="00F439BB">
        <w:t xml:space="preserve"> mexiletín, pretože systémové toxické účinky sú aditívne. Špecifické i</w:t>
      </w:r>
      <w:r w:rsidR="006F263C">
        <w:t>nterakčné štúdie s lidokaínom a </w:t>
      </w:r>
      <w:r w:rsidRPr="00F439BB">
        <w:t>an</w:t>
      </w:r>
      <w:r w:rsidR="008E585B" w:rsidRPr="00F439BB">
        <w:t>tiarytmikami triedy III (napr. a</w:t>
      </w:r>
      <w:r w:rsidRPr="00F439BB">
        <w:t>miodarónom) sa nevykonali, odporúča sa však opatrnosť (pozri tiež časť 4.4).</w:t>
      </w:r>
    </w:p>
    <w:p w14:paraId="6208BBDA" w14:textId="77777777" w:rsidR="00812D16" w:rsidRPr="00F439BB" w:rsidRDefault="00812D16" w:rsidP="00204AAB">
      <w:pPr>
        <w:spacing w:line="240" w:lineRule="auto"/>
      </w:pPr>
    </w:p>
    <w:p w14:paraId="041B7949" w14:textId="77777777" w:rsidR="00812D16" w:rsidRPr="00F439BB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F439BB">
        <w:rPr>
          <w:b/>
        </w:rPr>
        <w:t>Fertilita, gravidita a laktácia</w:t>
      </w:r>
    </w:p>
    <w:p w14:paraId="2D0885E4" w14:textId="77777777" w:rsidR="00812D16" w:rsidRPr="00F439BB" w:rsidRDefault="00812D16" w:rsidP="00085939">
      <w:pPr>
        <w:keepNext/>
        <w:spacing w:line="240" w:lineRule="auto"/>
      </w:pPr>
    </w:p>
    <w:p w14:paraId="3B05414A" w14:textId="77777777" w:rsidR="00812D16" w:rsidRPr="00F439BB" w:rsidRDefault="00FE605C" w:rsidP="00204AAB">
      <w:pPr>
        <w:spacing w:line="240" w:lineRule="auto"/>
        <w:rPr>
          <w:u w:val="single"/>
        </w:rPr>
      </w:pPr>
      <w:r w:rsidRPr="00F439BB">
        <w:rPr>
          <w:u w:val="single"/>
        </w:rPr>
        <w:t>Gravidita</w:t>
      </w:r>
    </w:p>
    <w:p w14:paraId="53A675F8" w14:textId="77583AD4" w:rsidR="00A61D3E" w:rsidRPr="00F439BB" w:rsidRDefault="00A61D3E" w:rsidP="00204AAB">
      <w:pPr>
        <w:spacing w:line="240" w:lineRule="auto"/>
      </w:pPr>
      <w:r w:rsidRPr="00F439BB">
        <w:t xml:space="preserve">S </w:t>
      </w:r>
      <w:r w:rsidR="00D7607E" w:rsidRPr="00F439BB">
        <w:rPr>
          <w:noProof/>
        </w:rPr>
        <w:t>L</w:t>
      </w:r>
      <w:r w:rsidR="00291E1C">
        <w:rPr>
          <w:noProof/>
        </w:rPr>
        <w:t>idbree</w:t>
      </w:r>
      <w:r w:rsidR="00D7607E" w:rsidRPr="00F439BB">
        <w:rPr>
          <w:noProof/>
        </w:rPr>
        <w:t xml:space="preserve"> </w:t>
      </w:r>
      <w:r w:rsidRPr="00F439BB">
        <w:t xml:space="preserve">sa nevykonali žiadne štúdie reprodukčnej a vývojovej toxicity. Lidokaín prechádza placentou. Je rozumné predpokladať, že sa lidokaín používa u veľkého počtu </w:t>
      </w:r>
      <w:r w:rsidR="009721D9" w:rsidRPr="00F439BB">
        <w:t>gravidných</w:t>
      </w:r>
      <w:r w:rsidRPr="00F439BB">
        <w:t xml:space="preserve"> žien a žien v</w:t>
      </w:r>
      <w:r w:rsidR="009721D9" w:rsidRPr="00F439BB">
        <w:t>o</w:t>
      </w:r>
      <w:r w:rsidR="004C6434">
        <w:t xml:space="preserve"> </w:t>
      </w:r>
      <w:r w:rsidR="009721D9" w:rsidRPr="00F439BB">
        <w:t>fertilnom</w:t>
      </w:r>
      <w:r w:rsidRPr="00F439BB">
        <w:t xml:space="preserve"> veku. Neexistuje dôkaz o tom, že lidokaín spôsobuje poruchy reprodukčného procesu, ako je zvýšený výskyt malformácií. Riziko pre ľudí však nebolo úplne preskúmané. Reprodukčná toxicita lidokaínu bola skúmaná na neklinických modeloch, ktoré nezistili poškodenie plodu.</w:t>
      </w:r>
    </w:p>
    <w:p w14:paraId="34088CE0" w14:textId="77777777" w:rsidR="00A61D3E" w:rsidRPr="00F439BB" w:rsidRDefault="00A61D3E" w:rsidP="00204AAB">
      <w:pPr>
        <w:spacing w:line="240" w:lineRule="auto"/>
      </w:pPr>
    </w:p>
    <w:p w14:paraId="471148CA" w14:textId="77777777" w:rsidR="00812D16" w:rsidRPr="00F439BB" w:rsidRDefault="00FE605C" w:rsidP="00204AAB">
      <w:pPr>
        <w:spacing w:line="240" w:lineRule="auto"/>
      </w:pPr>
      <w:r w:rsidRPr="00F439BB">
        <w:rPr>
          <w:u w:val="single"/>
        </w:rPr>
        <w:t>Dojčenie</w:t>
      </w:r>
    </w:p>
    <w:p w14:paraId="7D2237EF" w14:textId="0ED5D5E0" w:rsidR="00A61D3E" w:rsidRPr="00F439BB" w:rsidRDefault="00A61D3E" w:rsidP="00204AAB">
      <w:pPr>
        <w:spacing w:line="240" w:lineRule="auto"/>
      </w:pPr>
      <w:r w:rsidRPr="00F439BB">
        <w:t>Lidokaín sa môže dostať do materského mlieka, ale v tak mal</w:t>
      </w:r>
      <w:r w:rsidR="009721D9" w:rsidRPr="00F439BB">
        <w:t>ých</w:t>
      </w:r>
      <w:r w:rsidRPr="00F439BB">
        <w:t xml:space="preserve"> množstv</w:t>
      </w:r>
      <w:r w:rsidR="009721D9" w:rsidRPr="00F439BB">
        <w:t>ách</w:t>
      </w:r>
      <w:r w:rsidRPr="00F439BB">
        <w:t>, že vo všeobecnosti neexistuje žiadne riziko</w:t>
      </w:r>
      <w:r w:rsidR="009721D9" w:rsidRPr="00F439BB">
        <w:t xml:space="preserve"> jeho</w:t>
      </w:r>
      <w:r w:rsidRPr="00F439BB">
        <w:t xml:space="preserve"> vplyv</w:t>
      </w:r>
      <w:r w:rsidR="009721D9" w:rsidRPr="00F439BB">
        <w:t>u</w:t>
      </w:r>
      <w:r w:rsidRPr="00F439BB">
        <w:t xml:space="preserve"> na novorodenca. Dojčenie môže preto v prípade liečby </w:t>
      </w:r>
      <w:r w:rsidR="009721D9" w:rsidRPr="00F439BB">
        <w:rPr>
          <w:noProof/>
        </w:rPr>
        <w:t>L</w:t>
      </w:r>
      <w:r w:rsidR="00291E1C">
        <w:rPr>
          <w:noProof/>
        </w:rPr>
        <w:t>idbree</w:t>
      </w:r>
      <w:r w:rsidR="009721D9" w:rsidRPr="00F439BB">
        <w:rPr>
          <w:noProof/>
        </w:rPr>
        <w:t xml:space="preserve"> </w:t>
      </w:r>
      <w:r w:rsidRPr="00F439BB">
        <w:t>pokračovať.</w:t>
      </w:r>
    </w:p>
    <w:p w14:paraId="24C8C1C3" w14:textId="77777777" w:rsidR="00A61D3E" w:rsidRPr="00F439BB" w:rsidRDefault="00A61D3E" w:rsidP="00204AAB">
      <w:pPr>
        <w:spacing w:line="240" w:lineRule="auto"/>
      </w:pPr>
    </w:p>
    <w:p w14:paraId="44BE2C15" w14:textId="77777777" w:rsidR="00812D16" w:rsidRPr="00F439BB" w:rsidRDefault="00FE605C" w:rsidP="00204AAB">
      <w:pPr>
        <w:spacing w:line="240" w:lineRule="auto"/>
      </w:pPr>
      <w:r w:rsidRPr="00F439BB">
        <w:rPr>
          <w:u w:val="single"/>
        </w:rPr>
        <w:t>Fertilita</w:t>
      </w:r>
    </w:p>
    <w:p w14:paraId="4EADFE17" w14:textId="3C7AA135" w:rsidR="00812D16" w:rsidRPr="00F439BB" w:rsidRDefault="00A61D3E" w:rsidP="00204AAB">
      <w:pPr>
        <w:spacing w:line="240" w:lineRule="auto"/>
      </w:pPr>
      <w:r w:rsidRPr="00F439BB">
        <w:t xml:space="preserve">Nie sú k dispozícii dostatočné údaje o vplyve </w:t>
      </w:r>
      <w:r w:rsidR="009721D9" w:rsidRPr="00F439BB">
        <w:rPr>
          <w:noProof/>
        </w:rPr>
        <w:t>L</w:t>
      </w:r>
      <w:r w:rsidR="00291E1C">
        <w:rPr>
          <w:noProof/>
        </w:rPr>
        <w:t>idbree</w:t>
      </w:r>
      <w:r w:rsidR="009721D9" w:rsidRPr="00F439BB">
        <w:rPr>
          <w:noProof/>
        </w:rPr>
        <w:t xml:space="preserve"> </w:t>
      </w:r>
      <w:r w:rsidRPr="00F439BB">
        <w:t>na fertilitu. Pre lidokaín nie je známy žiadny vplyv na fertilitu alebo včasný embryonálny vývoj.</w:t>
      </w:r>
    </w:p>
    <w:p w14:paraId="03F997BE" w14:textId="77777777" w:rsidR="00A61D3E" w:rsidRPr="00F439BB" w:rsidRDefault="00A61D3E" w:rsidP="00204AAB">
      <w:pPr>
        <w:spacing w:line="240" w:lineRule="auto"/>
      </w:pPr>
    </w:p>
    <w:p w14:paraId="193F1045" w14:textId="77777777" w:rsidR="00812D16" w:rsidRPr="00F439BB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F439BB">
        <w:rPr>
          <w:b/>
        </w:rPr>
        <w:t>Ovplyvnenie schopnosti viesť vozidlá a obsluhovať stroje</w:t>
      </w:r>
    </w:p>
    <w:p w14:paraId="235FDC0B" w14:textId="77777777" w:rsidR="00B64B2F" w:rsidRPr="00F439BB" w:rsidRDefault="00B64B2F" w:rsidP="00204AAB">
      <w:pPr>
        <w:spacing w:line="240" w:lineRule="auto"/>
      </w:pPr>
    </w:p>
    <w:p w14:paraId="2F895595" w14:textId="478735E3" w:rsidR="00812D16" w:rsidRPr="00F439BB" w:rsidRDefault="00AD58C6" w:rsidP="00204AAB">
      <w:pPr>
        <w:spacing w:line="240" w:lineRule="auto"/>
      </w:pPr>
      <w:r w:rsidRPr="00F439BB">
        <w:rPr>
          <w:noProof/>
        </w:rPr>
        <w:t>L</w:t>
      </w:r>
      <w:r w:rsidR="00291E1C">
        <w:rPr>
          <w:noProof/>
        </w:rPr>
        <w:t>idbree</w:t>
      </w:r>
      <w:r w:rsidRPr="00F439BB">
        <w:rPr>
          <w:noProof/>
        </w:rPr>
        <w:t xml:space="preserve"> </w:t>
      </w:r>
      <w:r w:rsidRPr="00F439BB">
        <w:t>nemá žiadny alebo má zanedbateľný vplyv na schopnosť viesť vozidlá a obsluhovať stroje.</w:t>
      </w:r>
    </w:p>
    <w:p w14:paraId="42A508D3" w14:textId="77777777" w:rsidR="00AD58C6" w:rsidRPr="00F439BB" w:rsidRDefault="00AD58C6" w:rsidP="00204AAB">
      <w:pPr>
        <w:spacing w:line="240" w:lineRule="auto"/>
      </w:pPr>
    </w:p>
    <w:p w14:paraId="50505C5F" w14:textId="77777777" w:rsidR="00812D16" w:rsidRPr="00F439BB" w:rsidRDefault="00FE605C" w:rsidP="00572506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F439BB">
        <w:rPr>
          <w:b/>
        </w:rPr>
        <w:t>Nežiaduce účinky</w:t>
      </w:r>
    </w:p>
    <w:p w14:paraId="35F47A8F" w14:textId="77777777" w:rsidR="00033D26" w:rsidRPr="00F439BB" w:rsidRDefault="00033D26" w:rsidP="00085939">
      <w:pPr>
        <w:autoSpaceDE w:val="0"/>
        <w:autoSpaceDN w:val="0"/>
        <w:adjustRightInd w:val="0"/>
        <w:spacing w:line="240" w:lineRule="auto"/>
        <w:jc w:val="both"/>
      </w:pPr>
    </w:p>
    <w:p w14:paraId="7F0E95D0" w14:textId="74575C49" w:rsidR="00AD58C6" w:rsidRPr="00F439BB" w:rsidRDefault="00AD58C6" w:rsidP="00AD58C6">
      <w:pPr>
        <w:autoSpaceDE w:val="0"/>
        <w:autoSpaceDN w:val="0"/>
        <w:adjustRightInd w:val="0"/>
        <w:spacing w:line="240" w:lineRule="auto"/>
      </w:pPr>
      <w:r w:rsidRPr="00F439BB">
        <w:rPr>
          <w:u w:val="single"/>
        </w:rPr>
        <w:t>Zhrnutie bezpečnostného profilu</w:t>
      </w:r>
      <w:r w:rsidRPr="00F439BB">
        <w:rPr>
          <w:u w:val="single"/>
        </w:rPr>
        <w:br/>
      </w:r>
      <w:r w:rsidRPr="00F439BB">
        <w:t xml:space="preserve">Nežiaduce reakcie hlásené v klinických štúdiách </w:t>
      </w:r>
      <w:r w:rsidR="00822E1D" w:rsidRPr="00F439BB">
        <w:t xml:space="preserve">sa </w:t>
      </w:r>
      <w:r w:rsidRPr="00F439BB">
        <w:t xml:space="preserve">u žien liečených </w:t>
      </w:r>
      <w:r w:rsidR="00822E1D" w:rsidRPr="00F439BB">
        <w:rPr>
          <w:noProof/>
        </w:rPr>
        <w:t>L</w:t>
      </w:r>
      <w:r w:rsidR="00291E1C">
        <w:rPr>
          <w:noProof/>
        </w:rPr>
        <w:t>idbree</w:t>
      </w:r>
      <w:r w:rsidR="00822E1D" w:rsidRPr="00F439BB">
        <w:rPr>
          <w:noProof/>
        </w:rPr>
        <w:t xml:space="preserve"> </w:t>
      </w:r>
      <w:r w:rsidRPr="00F439BB">
        <w:t xml:space="preserve">a žien liečených placebo gélom </w:t>
      </w:r>
      <w:r w:rsidR="00822E1D" w:rsidRPr="00F439BB">
        <w:t>podobali v type a frekvencii,</w:t>
      </w:r>
      <w:r w:rsidR="00F439BB">
        <w:t xml:space="preserve"> </w:t>
      </w:r>
      <w:r w:rsidRPr="00F439BB">
        <w:t>a boli reprezentatívne pre prechodné nežiaduce účinky</w:t>
      </w:r>
      <w:r w:rsidR="00822E1D" w:rsidRPr="00F439BB">
        <w:t>, pozorované v súvislosti so zavádzaním intrauterinný</w:t>
      </w:r>
      <w:r w:rsidRPr="00F439BB">
        <w:t xml:space="preserve">ch </w:t>
      </w:r>
      <w:r w:rsidR="00822E1D" w:rsidRPr="00F439BB">
        <w:t>antikoncepčných pomôcok</w:t>
      </w:r>
      <w:r w:rsidRPr="00F439BB">
        <w:t>. Neboli hlásené žiadne závažné ne</w:t>
      </w:r>
      <w:r w:rsidR="00B70255" w:rsidRPr="00F439BB">
        <w:t>žiaduce</w:t>
      </w:r>
      <w:r w:rsidRPr="00F439BB">
        <w:t xml:space="preserve"> účinky.</w:t>
      </w:r>
      <w:r w:rsidRPr="00F439BB">
        <w:br/>
      </w:r>
      <w:r w:rsidRPr="00F439BB">
        <w:br/>
      </w:r>
      <w:r w:rsidRPr="00F439BB">
        <w:rPr>
          <w:u w:val="single"/>
        </w:rPr>
        <w:t>Zoznam nežiaducich reakcií v tabuľke</w:t>
      </w:r>
      <w:r w:rsidRPr="00F439BB">
        <w:rPr>
          <w:u w:val="single"/>
        </w:rPr>
        <w:br/>
      </w:r>
      <w:r w:rsidRPr="00F439BB">
        <w:t>Nežiaduce reakcie sú klasifikované podľa frekvencie a triedy orgánových systémov. Kategórie frekvencie sú definované podľa nasledujúcej konvencie: Veľmi časté (≥ 1/10); Časté (≥ 1</w:t>
      </w:r>
      <w:r w:rsidR="00B70255" w:rsidRPr="00F439BB">
        <w:t>/100 až &lt;1/10); Menej časté (≥1/</w:t>
      </w:r>
      <w:r w:rsidRPr="00F439BB">
        <w:t>1 000 až &lt;1/100); Zriedkavé (≥ 1/10 000 až &lt;1/1 000); Veľmi zriedkavé (&lt;1/10 000); Neznáme (</w:t>
      </w:r>
      <w:r w:rsidR="00B70255" w:rsidRPr="00F439BB">
        <w:t xml:space="preserve">nemožno odhadnúť </w:t>
      </w:r>
      <w:r w:rsidRPr="00F439BB">
        <w:t xml:space="preserve">z dostupných údajov). Nasledujúce nežiaduce účinky boli hlásené pri 2% alebo vyššej frekvencii po podaní </w:t>
      </w:r>
      <w:r w:rsidR="00B70255" w:rsidRPr="00F439BB">
        <w:rPr>
          <w:noProof/>
        </w:rPr>
        <w:t>L</w:t>
      </w:r>
      <w:r w:rsidR="00291E1C">
        <w:rPr>
          <w:noProof/>
        </w:rPr>
        <w:t>idbree</w:t>
      </w:r>
      <w:r w:rsidRPr="00F439BB">
        <w:t>.</w:t>
      </w:r>
    </w:p>
    <w:p w14:paraId="6D9652E8" w14:textId="77777777" w:rsidR="00AD58C6" w:rsidRPr="00F439BB" w:rsidRDefault="00AD58C6" w:rsidP="00AD58C6">
      <w:pPr>
        <w:pStyle w:val="Textkomentra"/>
        <w:spacing w:line="240" w:lineRule="auto"/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03"/>
        <w:gridCol w:w="2303"/>
        <w:gridCol w:w="2303"/>
      </w:tblGrid>
      <w:tr w:rsidR="00AD58C6" w:rsidRPr="00F439BB" w14:paraId="7C838D10" w14:textId="77777777" w:rsidTr="001A2CA7">
        <w:tc>
          <w:tcPr>
            <w:tcW w:w="2303" w:type="dxa"/>
          </w:tcPr>
          <w:p w14:paraId="3AF78259" w14:textId="77777777" w:rsidR="00AD58C6" w:rsidRPr="00F439BB" w:rsidRDefault="00AD58C6" w:rsidP="00AD58C6">
            <w:pPr>
              <w:pStyle w:val="Textkomentra"/>
              <w:keepNext/>
              <w:spacing w:line="240" w:lineRule="auto"/>
              <w:rPr>
                <w:b/>
                <w:sz w:val="22"/>
                <w:szCs w:val="22"/>
                <w:lang w:val="sk-SK"/>
              </w:rPr>
            </w:pPr>
            <w:r w:rsidRPr="00F439BB">
              <w:rPr>
                <w:b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2303" w:type="dxa"/>
          </w:tcPr>
          <w:p w14:paraId="445051BF" w14:textId="77777777" w:rsidR="00AD58C6" w:rsidRPr="00F439BB" w:rsidRDefault="00AD58C6" w:rsidP="00AD58C6">
            <w:pPr>
              <w:pStyle w:val="Textkomentra"/>
              <w:keepNext/>
              <w:spacing w:line="240" w:lineRule="auto"/>
              <w:rPr>
                <w:b/>
                <w:sz w:val="22"/>
                <w:szCs w:val="22"/>
                <w:lang w:val="sk-SK"/>
              </w:rPr>
            </w:pPr>
            <w:r w:rsidRPr="00F439BB">
              <w:rPr>
                <w:b/>
                <w:sz w:val="22"/>
                <w:szCs w:val="22"/>
                <w:lang w:val="sk-SK"/>
              </w:rPr>
              <w:t>Frekvencia</w:t>
            </w:r>
          </w:p>
        </w:tc>
        <w:tc>
          <w:tcPr>
            <w:tcW w:w="2303" w:type="dxa"/>
          </w:tcPr>
          <w:p w14:paraId="585CD5D1" w14:textId="77777777" w:rsidR="00AD58C6" w:rsidRPr="00F439BB" w:rsidRDefault="00AD58C6" w:rsidP="001A2CA7">
            <w:pPr>
              <w:keepNext/>
              <w:spacing w:line="240" w:lineRule="auto"/>
              <w:rPr>
                <w:b/>
              </w:rPr>
            </w:pPr>
            <w:r w:rsidRPr="00F439BB">
              <w:rPr>
                <w:b/>
              </w:rPr>
              <w:t>Nežiaduci účinok</w:t>
            </w:r>
          </w:p>
        </w:tc>
      </w:tr>
      <w:tr w:rsidR="00AD58C6" w:rsidRPr="00F439BB" w14:paraId="06ED47F9" w14:textId="77777777" w:rsidTr="001A2CA7">
        <w:tc>
          <w:tcPr>
            <w:tcW w:w="2303" w:type="dxa"/>
          </w:tcPr>
          <w:p w14:paraId="5DC78C5B" w14:textId="77777777" w:rsidR="00AD58C6" w:rsidRPr="00F439BB" w:rsidRDefault="00AD58C6" w:rsidP="00AD58C6">
            <w:pPr>
              <w:pStyle w:val="Textkomentra"/>
              <w:keepNext/>
              <w:spacing w:line="240" w:lineRule="auto"/>
              <w:rPr>
                <w:sz w:val="22"/>
                <w:szCs w:val="24"/>
                <w:lang w:val="sk-SK"/>
              </w:rPr>
            </w:pPr>
            <w:r w:rsidRPr="00F439BB">
              <w:rPr>
                <w:i/>
                <w:sz w:val="22"/>
                <w:szCs w:val="24"/>
                <w:lang w:val="sk-SK"/>
              </w:rPr>
              <w:t>Poruchy nervového systému</w:t>
            </w:r>
          </w:p>
        </w:tc>
        <w:tc>
          <w:tcPr>
            <w:tcW w:w="2303" w:type="dxa"/>
          </w:tcPr>
          <w:p w14:paraId="4B606E7A" w14:textId="77777777" w:rsidR="00AD58C6" w:rsidRPr="00F439BB" w:rsidRDefault="00AD58C6" w:rsidP="001A2CA7">
            <w:pPr>
              <w:pStyle w:val="Textkomentra"/>
              <w:keepNext/>
              <w:spacing w:line="240" w:lineRule="auto"/>
              <w:rPr>
                <w:sz w:val="22"/>
                <w:szCs w:val="24"/>
                <w:lang w:val="sk-SK"/>
              </w:rPr>
            </w:pPr>
            <w:r w:rsidRPr="00F439BB">
              <w:rPr>
                <w:sz w:val="22"/>
                <w:szCs w:val="24"/>
                <w:lang w:val="sk-SK"/>
              </w:rPr>
              <w:t>Časté</w:t>
            </w:r>
          </w:p>
        </w:tc>
        <w:tc>
          <w:tcPr>
            <w:tcW w:w="2303" w:type="dxa"/>
          </w:tcPr>
          <w:p w14:paraId="4D7B1BFB" w14:textId="77777777" w:rsidR="00AD58C6" w:rsidRPr="00F439BB" w:rsidRDefault="004C32A9" w:rsidP="004C32A9">
            <w:pPr>
              <w:pStyle w:val="Textkomentra"/>
              <w:keepNext/>
              <w:spacing w:line="240" w:lineRule="auto"/>
              <w:rPr>
                <w:sz w:val="22"/>
                <w:szCs w:val="24"/>
                <w:lang w:val="sk-SK"/>
              </w:rPr>
            </w:pPr>
            <w:r w:rsidRPr="00F439BB">
              <w:rPr>
                <w:sz w:val="22"/>
                <w:szCs w:val="24"/>
                <w:lang w:val="sk-SK"/>
              </w:rPr>
              <w:t>Závrat</w:t>
            </w:r>
            <w:r w:rsidR="00AD58C6" w:rsidRPr="00F439BB">
              <w:rPr>
                <w:sz w:val="22"/>
                <w:szCs w:val="24"/>
                <w:lang w:val="sk-SK"/>
              </w:rPr>
              <w:t xml:space="preserve">, </w:t>
            </w:r>
            <w:r w:rsidRPr="00F439BB">
              <w:rPr>
                <w:sz w:val="22"/>
                <w:szCs w:val="24"/>
                <w:lang w:val="sk-SK"/>
              </w:rPr>
              <w:t>bolesť hlavy</w:t>
            </w:r>
          </w:p>
        </w:tc>
      </w:tr>
      <w:tr w:rsidR="00AD58C6" w:rsidRPr="00F439BB" w14:paraId="3F4CC331" w14:textId="77777777" w:rsidTr="001A2CA7">
        <w:tc>
          <w:tcPr>
            <w:tcW w:w="2303" w:type="dxa"/>
            <w:tcBorders>
              <w:bottom w:val="nil"/>
            </w:tcBorders>
          </w:tcPr>
          <w:p w14:paraId="57EEE27D" w14:textId="77777777" w:rsidR="00AD58C6" w:rsidRPr="00F439BB" w:rsidRDefault="00AD58C6" w:rsidP="00AD58C6">
            <w:pPr>
              <w:pStyle w:val="Textkomentra"/>
              <w:keepNext/>
              <w:spacing w:line="240" w:lineRule="auto"/>
              <w:rPr>
                <w:sz w:val="22"/>
                <w:szCs w:val="24"/>
                <w:lang w:val="sk-SK"/>
              </w:rPr>
            </w:pPr>
            <w:r w:rsidRPr="00F439BB">
              <w:rPr>
                <w:i/>
                <w:sz w:val="22"/>
                <w:szCs w:val="24"/>
                <w:lang w:val="sk-SK"/>
              </w:rPr>
              <w:t>Poruchy gastrointestinálneho</w:t>
            </w:r>
            <w:r w:rsidR="00F439BB">
              <w:rPr>
                <w:i/>
                <w:sz w:val="22"/>
                <w:szCs w:val="24"/>
                <w:lang w:val="sk-SK"/>
              </w:rPr>
              <w:t xml:space="preserve"> </w:t>
            </w:r>
            <w:r w:rsidRPr="00F439BB">
              <w:rPr>
                <w:i/>
                <w:sz w:val="22"/>
                <w:szCs w:val="24"/>
                <w:lang w:val="sk-SK"/>
              </w:rPr>
              <w:t>systému</w:t>
            </w:r>
          </w:p>
        </w:tc>
        <w:tc>
          <w:tcPr>
            <w:tcW w:w="2303" w:type="dxa"/>
          </w:tcPr>
          <w:p w14:paraId="0273B6BF" w14:textId="77777777" w:rsidR="00AD58C6" w:rsidRPr="00F439BB" w:rsidRDefault="00AD58C6" w:rsidP="001A2CA7">
            <w:pPr>
              <w:pStyle w:val="Textkomentra"/>
              <w:keepNext/>
              <w:spacing w:line="240" w:lineRule="auto"/>
              <w:rPr>
                <w:sz w:val="22"/>
                <w:szCs w:val="22"/>
                <w:lang w:val="sk-SK"/>
              </w:rPr>
            </w:pPr>
            <w:r w:rsidRPr="00F439BB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2303" w:type="dxa"/>
          </w:tcPr>
          <w:p w14:paraId="2C366EFE" w14:textId="77777777" w:rsidR="00AD58C6" w:rsidRPr="00F439BB" w:rsidRDefault="004C32A9" w:rsidP="001A2CA7">
            <w:pPr>
              <w:pStyle w:val="Textkomentra"/>
              <w:keepNext/>
              <w:spacing w:line="240" w:lineRule="auto"/>
              <w:rPr>
                <w:sz w:val="22"/>
                <w:szCs w:val="24"/>
                <w:lang w:val="sk-SK"/>
              </w:rPr>
            </w:pPr>
            <w:r w:rsidRPr="00F439BB">
              <w:rPr>
                <w:sz w:val="22"/>
                <w:szCs w:val="24"/>
                <w:lang w:val="sk-SK"/>
              </w:rPr>
              <w:t>Nauz</w:t>
            </w:r>
            <w:r w:rsidR="00AD58C6" w:rsidRPr="00F439BB">
              <w:rPr>
                <w:sz w:val="22"/>
                <w:szCs w:val="24"/>
                <w:lang w:val="sk-SK"/>
              </w:rPr>
              <w:t>ea</w:t>
            </w:r>
          </w:p>
        </w:tc>
      </w:tr>
      <w:tr w:rsidR="00AD58C6" w:rsidRPr="00F439BB" w14:paraId="7C6822EE" w14:textId="77777777" w:rsidTr="001A2CA7">
        <w:tc>
          <w:tcPr>
            <w:tcW w:w="2303" w:type="dxa"/>
            <w:tcBorders>
              <w:top w:val="nil"/>
            </w:tcBorders>
          </w:tcPr>
          <w:p w14:paraId="7EE91320" w14:textId="77777777" w:rsidR="00AD58C6" w:rsidRPr="00F439BB" w:rsidRDefault="00AD58C6" w:rsidP="001A2CA7">
            <w:pPr>
              <w:pStyle w:val="Textkomentra"/>
              <w:keepNext/>
              <w:spacing w:line="240" w:lineRule="auto"/>
              <w:rPr>
                <w:i/>
                <w:sz w:val="22"/>
                <w:szCs w:val="24"/>
                <w:lang w:val="sk-SK"/>
              </w:rPr>
            </w:pPr>
          </w:p>
        </w:tc>
        <w:tc>
          <w:tcPr>
            <w:tcW w:w="2303" w:type="dxa"/>
          </w:tcPr>
          <w:p w14:paraId="4E8FBB25" w14:textId="77777777" w:rsidR="00AD58C6" w:rsidRPr="00F439BB" w:rsidRDefault="00AD58C6" w:rsidP="001A2CA7">
            <w:pPr>
              <w:keepNext/>
              <w:spacing w:line="240" w:lineRule="auto"/>
              <w:rPr>
                <w:szCs w:val="24"/>
              </w:rPr>
            </w:pPr>
            <w:r w:rsidRPr="00F439BB">
              <w:rPr>
                <w:szCs w:val="24"/>
              </w:rPr>
              <w:t>Časté</w:t>
            </w:r>
          </w:p>
        </w:tc>
        <w:tc>
          <w:tcPr>
            <w:tcW w:w="2303" w:type="dxa"/>
          </w:tcPr>
          <w:p w14:paraId="7B0B527B" w14:textId="77777777" w:rsidR="00AD58C6" w:rsidRPr="00F439BB" w:rsidRDefault="00AD58C6" w:rsidP="001A2CA7">
            <w:pPr>
              <w:pStyle w:val="Textkomentra"/>
              <w:keepNext/>
              <w:spacing w:line="240" w:lineRule="auto"/>
              <w:rPr>
                <w:sz w:val="22"/>
                <w:szCs w:val="24"/>
                <w:lang w:val="sk-SK"/>
              </w:rPr>
            </w:pPr>
            <w:r w:rsidRPr="00F439BB">
              <w:rPr>
                <w:sz w:val="22"/>
                <w:szCs w:val="24"/>
                <w:lang w:val="sk-SK"/>
              </w:rPr>
              <w:t>Iné</w:t>
            </w:r>
            <w:r w:rsidR="00F439BB">
              <w:rPr>
                <w:sz w:val="22"/>
                <w:szCs w:val="24"/>
                <w:lang w:val="sk-SK"/>
              </w:rPr>
              <w:t xml:space="preserve"> </w:t>
            </w:r>
            <w:r w:rsidRPr="00F439BB">
              <w:rPr>
                <w:sz w:val="22"/>
                <w:szCs w:val="24"/>
                <w:lang w:val="sk-SK"/>
              </w:rPr>
              <w:t>poruchy gastrointestinálneho systému</w:t>
            </w:r>
          </w:p>
        </w:tc>
      </w:tr>
    </w:tbl>
    <w:p w14:paraId="4210F42E" w14:textId="77777777" w:rsidR="00AD58C6" w:rsidRPr="00F439BB" w:rsidRDefault="00AD58C6" w:rsidP="00085939">
      <w:pPr>
        <w:autoSpaceDE w:val="0"/>
        <w:autoSpaceDN w:val="0"/>
        <w:adjustRightInd w:val="0"/>
        <w:spacing w:line="240" w:lineRule="auto"/>
        <w:jc w:val="both"/>
      </w:pPr>
    </w:p>
    <w:p w14:paraId="1F745BF5" w14:textId="77777777" w:rsidR="00B12D42" w:rsidRPr="00F439BB" w:rsidRDefault="00FE605C" w:rsidP="00B12D42">
      <w:pPr>
        <w:keepNext/>
        <w:autoSpaceDE w:val="0"/>
        <w:autoSpaceDN w:val="0"/>
        <w:adjustRightInd w:val="0"/>
        <w:spacing w:line="240" w:lineRule="auto"/>
        <w:rPr>
          <w:u w:val="single"/>
        </w:rPr>
      </w:pPr>
      <w:r w:rsidRPr="00F439BB">
        <w:rPr>
          <w:u w:val="single"/>
        </w:rPr>
        <w:t>Hlásenie podozrení na nežiaduce reakcie</w:t>
      </w:r>
    </w:p>
    <w:p w14:paraId="4DF89846" w14:textId="77777777" w:rsidR="00B12D42" w:rsidRPr="00F439BB" w:rsidRDefault="00FE605C" w:rsidP="00B12D42">
      <w:pPr>
        <w:autoSpaceDE w:val="0"/>
        <w:autoSpaceDN w:val="0"/>
        <w:adjustRightInd w:val="0"/>
        <w:spacing w:line="240" w:lineRule="auto"/>
      </w:pPr>
      <w:r w:rsidRPr="00F439BB">
        <w:t>Hlásenie podozrení na nežiaduce reakcie po registrácii lieku je dôležité. Umožňuje priebežné monitorovanie pomeru prínosu a rizika lieku. Od zdravotníckych pracovníkov sa vyžaduje, aby hlásili akékoľvek podozrenia na</w:t>
      </w:r>
      <w:r w:rsidR="00F439BB" w:rsidRPr="00F439BB">
        <w:t xml:space="preserve"> </w:t>
      </w:r>
      <w:r w:rsidRPr="00F439BB">
        <w:t>nežiaduce reakcie na</w:t>
      </w:r>
      <w:r w:rsidR="00F439BB" w:rsidRPr="00F439BB">
        <w:t xml:space="preserve"> </w:t>
      </w:r>
      <w:r w:rsidRPr="00F439BB">
        <w:rPr>
          <w:highlight w:val="lightGray"/>
        </w:rPr>
        <w:t>národné</w:t>
      </w:r>
      <w:r w:rsidR="00F439BB" w:rsidRPr="00F439BB">
        <w:rPr>
          <w:highlight w:val="lightGray"/>
        </w:rPr>
        <w:t xml:space="preserve"> </w:t>
      </w:r>
      <w:r w:rsidRPr="00F439BB">
        <w:rPr>
          <w:highlight w:val="lightGray"/>
        </w:rPr>
        <w:t>centrum hlásenia uvedené v </w:t>
      </w:r>
      <w:hyperlink r:id="rId10" w:history="1">
        <w:r w:rsidRPr="00F439BB">
          <w:rPr>
            <w:rStyle w:val="Hypertextovprepojenie1"/>
          </w:rPr>
          <w:t>Prílohe V</w:t>
        </w:r>
      </w:hyperlink>
      <w:r w:rsidRPr="00F439BB">
        <w:rPr>
          <w:color w:val="008000"/>
        </w:rPr>
        <w:t>.</w:t>
      </w:r>
    </w:p>
    <w:p w14:paraId="54F6A034" w14:textId="77777777" w:rsidR="008D35AD" w:rsidRPr="00F439BB" w:rsidRDefault="008D35AD" w:rsidP="00204AAB">
      <w:pPr>
        <w:spacing w:line="240" w:lineRule="auto"/>
      </w:pPr>
    </w:p>
    <w:p w14:paraId="146CBE83" w14:textId="77777777" w:rsidR="00812D16" w:rsidRPr="00F439BB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F439BB">
        <w:rPr>
          <w:b/>
        </w:rPr>
        <w:t>Predávkovanie</w:t>
      </w:r>
    </w:p>
    <w:p w14:paraId="2AD57657" w14:textId="77777777" w:rsidR="00812D16" w:rsidRPr="00F439BB" w:rsidRDefault="00812D16" w:rsidP="00204AAB">
      <w:pPr>
        <w:spacing w:line="240" w:lineRule="auto"/>
      </w:pPr>
    </w:p>
    <w:p w14:paraId="5A29BDC6" w14:textId="2FC5F3C7" w:rsidR="00812D16" w:rsidRPr="00F439BB" w:rsidRDefault="00D46C6F" w:rsidP="00204AAB">
      <w:pPr>
        <w:spacing w:line="240" w:lineRule="auto"/>
      </w:pPr>
      <w:r w:rsidRPr="00F439BB">
        <w:t xml:space="preserve">Je nepravdepodobné, že by </w:t>
      </w:r>
      <w:r w:rsidR="00FE3C96" w:rsidRPr="00F439BB">
        <w:rPr>
          <w:noProof/>
        </w:rPr>
        <w:t>L</w:t>
      </w:r>
      <w:r w:rsidR="00291E1C">
        <w:rPr>
          <w:noProof/>
        </w:rPr>
        <w:t>idbree</w:t>
      </w:r>
      <w:r w:rsidR="00FE3C96" w:rsidRPr="00F439BB">
        <w:rPr>
          <w:noProof/>
        </w:rPr>
        <w:t xml:space="preserve"> </w:t>
      </w:r>
      <w:r w:rsidR="00FE3C96" w:rsidRPr="00F439BB">
        <w:t xml:space="preserve">použitý podľa odporúčania </w:t>
      </w:r>
      <w:r w:rsidRPr="00F439BB">
        <w:t xml:space="preserve">spôsoboval toxickú plazmatickú koncentráciu lidokaínu. Ak sa </w:t>
      </w:r>
      <w:r w:rsidR="00FE3C96" w:rsidRPr="00F439BB">
        <w:t>však súbež</w:t>
      </w:r>
      <w:r w:rsidRPr="00F439BB">
        <w:t>ne podávajú iné lokálne a</w:t>
      </w:r>
      <w:r w:rsidR="006F263C">
        <w:t>nestetiká, účinky sú aditívne a </w:t>
      </w:r>
      <w:r w:rsidRPr="00F439BB">
        <w:t xml:space="preserve">môžu spôsobiť </w:t>
      </w:r>
      <w:r w:rsidR="00FE3C96" w:rsidRPr="00F439BB">
        <w:t>predávkovanie, tak ako aj neúmyseln</w:t>
      </w:r>
      <w:r w:rsidR="00642DE5" w:rsidRPr="00F439BB">
        <w:t>é</w:t>
      </w:r>
      <w:r w:rsidR="00FE3C96" w:rsidRPr="00F439BB">
        <w:t xml:space="preserve"> intravaskulárn</w:t>
      </w:r>
      <w:r w:rsidR="00642DE5" w:rsidRPr="00F439BB">
        <w:t>e injekčné podanie</w:t>
      </w:r>
      <w:r w:rsidRPr="00F439BB">
        <w:t xml:space="preserve"> (pozri časť 4.4) so systémovými toxickými reakciami.</w:t>
      </w:r>
      <w:r w:rsidRPr="00F439BB">
        <w:br/>
      </w:r>
      <w:r w:rsidRPr="00F439BB">
        <w:br/>
      </w:r>
      <w:r w:rsidRPr="00F439BB">
        <w:rPr>
          <w:i/>
        </w:rPr>
        <w:t>Príznaky</w:t>
      </w:r>
      <w:r w:rsidRPr="00F439BB">
        <w:rPr>
          <w:i/>
        </w:rPr>
        <w:br/>
      </w:r>
      <w:r w:rsidRPr="00F439BB">
        <w:t>Systémové toxické reakcie sa primárne týkajú centrál</w:t>
      </w:r>
      <w:r w:rsidR="00FE3C96" w:rsidRPr="00F439BB">
        <w:t>neho nervového systému (CNS) a </w:t>
      </w:r>
      <w:r w:rsidRPr="00F439BB">
        <w:t>kardiovaskulárneho systému (CVS) a sú čoraz zreteľnejšie pri zvyšov</w:t>
      </w:r>
      <w:r w:rsidR="00FE3C96" w:rsidRPr="00F439BB">
        <w:t>aní plazmatickej koncentrácie z 5 000 na 10 000 ng/</w:t>
      </w:r>
      <w:r w:rsidRPr="00F439BB">
        <w:t xml:space="preserve">ml. </w:t>
      </w:r>
      <w:r w:rsidR="00FE3C96" w:rsidRPr="00F439BB">
        <w:t>Vo všeobecnosti</w:t>
      </w:r>
      <w:r w:rsidR="00642DE5" w:rsidRPr="00F439BB">
        <w:t xml:space="preserve"> platí, že</w:t>
      </w:r>
      <w:r w:rsidR="00D05FE3">
        <w:t xml:space="preserve"> prejavy</w:t>
      </w:r>
      <w:r w:rsidR="00642DE5" w:rsidRPr="00F439BB">
        <w:t xml:space="preserve"> toxicity pre</w:t>
      </w:r>
      <w:r w:rsidRPr="00F439BB">
        <w:t xml:space="preserve"> CNS predchádzajú kardiovaskulárnym toxickým účinkom.</w:t>
      </w:r>
      <w:r w:rsidRPr="00F439BB">
        <w:br/>
      </w:r>
      <w:r w:rsidRPr="00F439BB">
        <w:br/>
      </w:r>
      <w:r w:rsidR="00642DE5" w:rsidRPr="00F439BB">
        <w:t>Toxicita pre</w:t>
      </w:r>
      <w:r w:rsidRPr="00F439BB">
        <w:t xml:space="preserve"> CNS je o</w:t>
      </w:r>
      <w:r w:rsidR="006127FF" w:rsidRPr="00F439BB">
        <w:t xml:space="preserve">dstupňovaná reakcia s príznakmi </w:t>
      </w:r>
      <w:r w:rsidRPr="00F439BB">
        <w:t xml:space="preserve">a </w:t>
      </w:r>
      <w:r w:rsidR="005A6CC1">
        <w:t>prejav</w:t>
      </w:r>
      <w:r w:rsidR="006127FF" w:rsidRPr="00F439BB">
        <w:t>mi</w:t>
      </w:r>
      <w:r w:rsidRPr="00F439BB">
        <w:t xml:space="preserve"> stupňujúcej sa závažnosti. Prvými príznakmi sú zvyčajne periférna parestézia, znecitlivenie jazyka, </w:t>
      </w:r>
      <w:r w:rsidR="00B619DC" w:rsidRPr="00F439BB">
        <w:t>omámenie</w:t>
      </w:r>
      <w:r w:rsidRPr="00F439BB">
        <w:t xml:space="preserve">, hyperakúzia, </w:t>
      </w:r>
      <w:r w:rsidR="00B619DC" w:rsidRPr="00F439BB">
        <w:t>tinitus a </w:t>
      </w:r>
      <w:r w:rsidRPr="00F439BB">
        <w:t>poruchy zraku. Dysartria, svalové zášklby alebo chvenie sú závažnejšie a predchádzajú vzniku generalizovaných kŕčov. Môže dôjsť k bezvedomiu a kŕčom</w:t>
      </w:r>
      <w:r w:rsidR="00B619DC" w:rsidRPr="00F439BB">
        <w:t xml:space="preserve"> typu grand mal</w:t>
      </w:r>
      <w:r w:rsidRPr="00F439BB">
        <w:t xml:space="preserve">, ktoré môžu trvať od niekoľkých sekúnd do niekoľkých minút. Hypoxia a hyperkarbia sa </w:t>
      </w:r>
      <w:r w:rsidR="00B619DC" w:rsidRPr="00F439BB">
        <w:t>objavujú rýchlo po kŕčoch v </w:t>
      </w:r>
      <w:r w:rsidRPr="00F439BB">
        <w:t xml:space="preserve">dôsledku zvýšenej svalovej aktivity, spolu s narušením dýchania a možnou stratou funkčných dýchacích ciest. V závažných prípadoch sa môže vyskytnúť apnoe. </w:t>
      </w:r>
      <w:r w:rsidR="00B619DC" w:rsidRPr="00F439BB">
        <w:t>Acidóza, h</w:t>
      </w:r>
      <w:r w:rsidRPr="00F439BB">
        <w:t xml:space="preserve">yperkaliémia, hypokalciémia a hypoxia </w:t>
      </w:r>
      <w:r w:rsidR="00B619DC" w:rsidRPr="00F439BB">
        <w:t xml:space="preserve">sa </w:t>
      </w:r>
      <w:r w:rsidRPr="00F439BB">
        <w:t xml:space="preserve">zvyšujú a </w:t>
      </w:r>
      <w:r w:rsidR="00B619DC" w:rsidRPr="00F439BB">
        <w:t>predlžujú</w:t>
      </w:r>
      <w:r w:rsidRPr="00F439BB">
        <w:t xml:space="preserve"> toxické účinky lokálnych anestetík.</w:t>
      </w:r>
      <w:r w:rsidRPr="00F439BB">
        <w:br/>
      </w:r>
      <w:r w:rsidRPr="00F439BB">
        <w:br/>
        <w:t xml:space="preserve">Zotavenie je spôsobené redistribúciou lokálneho anestetika z </w:t>
      </w:r>
      <w:r w:rsidR="00B619DC" w:rsidRPr="00F439BB">
        <w:t>centrálneho nervového systému a </w:t>
      </w:r>
      <w:r w:rsidRPr="00F439BB">
        <w:t xml:space="preserve">následným metabolizmom a </w:t>
      </w:r>
      <w:r w:rsidR="00B619DC" w:rsidRPr="00F439BB">
        <w:t>elimináciou</w:t>
      </w:r>
      <w:r w:rsidRPr="00F439BB">
        <w:t>.</w:t>
      </w:r>
      <w:r w:rsidRPr="00F439BB">
        <w:br/>
      </w:r>
      <w:r w:rsidRPr="00F439BB">
        <w:br/>
        <w:t xml:space="preserve">V závažných prípadoch sa môže vyskytnúť toxicita </w:t>
      </w:r>
      <w:r w:rsidR="00642DE5" w:rsidRPr="00F439BB">
        <w:t>pre</w:t>
      </w:r>
      <w:r w:rsidRPr="00F439BB">
        <w:t xml:space="preserve"> kardiovaskulárny systém a vo všeobecnosti j</w:t>
      </w:r>
      <w:r w:rsidR="00642DE5" w:rsidRPr="00F439BB">
        <w:t xml:space="preserve">ej predchádzajú </w:t>
      </w:r>
      <w:r w:rsidR="005A6CC1">
        <w:t>prejav</w:t>
      </w:r>
      <w:r w:rsidR="00642DE5" w:rsidRPr="00F439BB">
        <w:t xml:space="preserve">y toxicity </w:t>
      </w:r>
      <w:r w:rsidR="00316F35" w:rsidRPr="00F439BB">
        <w:t>centráln</w:t>
      </w:r>
      <w:r w:rsidR="00316F35">
        <w:t>eho</w:t>
      </w:r>
      <w:r w:rsidR="00316F35" w:rsidRPr="00F439BB">
        <w:t xml:space="preserve"> </w:t>
      </w:r>
      <w:r w:rsidRPr="00F439BB">
        <w:t>nervo</w:t>
      </w:r>
      <w:r w:rsidR="00316F35">
        <w:t>vého</w:t>
      </w:r>
      <w:r w:rsidRPr="00F439BB">
        <w:t xml:space="preserve"> systém</w:t>
      </w:r>
      <w:r w:rsidR="00316F35">
        <w:t>u</w:t>
      </w:r>
      <w:r w:rsidRPr="00F439BB">
        <w:t>. V dôsledku vysokých systémových koncentr</w:t>
      </w:r>
      <w:r w:rsidR="009F1A49" w:rsidRPr="00F439BB">
        <w:t>ácií lokálnych anestetík sa môžu</w:t>
      </w:r>
      <w:r w:rsidRPr="00F439BB">
        <w:t xml:space="preserve"> vyskytnúť hypotenzia, bradykardia, arytmia a dokonca aj zástava srdca, ale v</w:t>
      </w:r>
      <w:r w:rsidR="009F1A49" w:rsidRPr="00F439BB">
        <w:t xml:space="preserve"> zriedkavých prípadoch k zástav</w:t>
      </w:r>
      <w:r w:rsidRPr="00F439BB">
        <w:t>e srdca dochádza bez prodromálnych účinkov na CNS.</w:t>
      </w:r>
      <w:r w:rsidRPr="00F439BB">
        <w:br/>
      </w:r>
      <w:r w:rsidRPr="00F439BB">
        <w:br/>
      </w:r>
      <w:r w:rsidRPr="00F439BB">
        <w:rPr>
          <w:i/>
        </w:rPr>
        <w:t>Liečba</w:t>
      </w:r>
      <w:r w:rsidRPr="00F439BB">
        <w:rPr>
          <w:i/>
        </w:rPr>
        <w:br/>
      </w:r>
      <w:r w:rsidRPr="00F439BB">
        <w:t>Závažné</w:t>
      </w:r>
      <w:r w:rsidR="00F439BB" w:rsidRPr="00F439BB">
        <w:t xml:space="preserve"> </w:t>
      </w:r>
      <w:r w:rsidR="0084651E" w:rsidRPr="00F439BB">
        <w:t>CNS</w:t>
      </w:r>
      <w:r w:rsidRPr="00F439BB">
        <w:t xml:space="preserve"> príznaky (kŕče, </w:t>
      </w:r>
      <w:r w:rsidR="0084651E" w:rsidRPr="00F439BB">
        <w:t>útlm</w:t>
      </w:r>
      <w:r w:rsidRPr="00F439BB">
        <w:t xml:space="preserve"> CNS) sa musia okamžite liečiť vho</w:t>
      </w:r>
      <w:r w:rsidR="009F1A49" w:rsidRPr="00F439BB">
        <w:t>dnou podporou dýchacích ciest/dýchania</w:t>
      </w:r>
      <w:r w:rsidRPr="00F439BB">
        <w:t xml:space="preserve"> a podávaním antikonvulzív.</w:t>
      </w:r>
      <w:r w:rsidRPr="00F439BB">
        <w:br/>
      </w:r>
      <w:r w:rsidRPr="00F439BB">
        <w:br/>
        <w:t>Ak sa vyskytne kardiovaskulárn</w:t>
      </w:r>
      <w:r w:rsidR="0084651E" w:rsidRPr="00F439BB">
        <w:t>y útlm</w:t>
      </w:r>
      <w:r w:rsidRPr="00F439BB">
        <w:t xml:space="preserve"> (hypotenzia, bradykardia), má sa zvážiť vhodná liečba vazopresorom, chronotropnými a inotropnými lá</w:t>
      </w:r>
      <w:r w:rsidR="009F1A49" w:rsidRPr="00F439BB">
        <w:t>tkami.</w:t>
      </w:r>
      <w:r w:rsidR="009F1A49" w:rsidRPr="00F439BB">
        <w:br/>
      </w:r>
      <w:r w:rsidR="009F1A49" w:rsidRPr="00F439BB">
        <w:br/>
        <w:t>Ak dôjde k zástave</w:t>
      </w:r>
      <w:r w:rsidRPr="00F439BB">
        <w:t xml:space="preserve"> obehu, má sa vykonať okamžitá kardiopulmonálna resuscitá</w:t>
      </w:r>
      <w:r w:rsidR="009F1A49" w:rsidRPr="00F439BB">
        <w:t>cia. Zásadný význam majú optimálne</w:t>
      </w:r>
      <w:r w:rsidRPr="00F439BB">
        <w:t xml:space="preserve"> okysličovanie, ventilácia a podpora</w:t>
      </w:r>
      <w:r w:rsidR="009F1A49" w:rsidRPr="00F439BB">
        <w:t xml:space="preserve"> obehu</w:t>
      </w:r>
      <w:r w:rsidRPr="00F439BB">
        <w:t>, ako aj liečba acidózy.</w:t>
      </w:r>
    </w:p>
    <w:p w14:paraId="0E622A6D" w14:textId="77777777" w:rsidR="007E4269" w:rsidRPr="00F439BB" w:rsidRDefault="007E4269" w:rsidP="00204AAB">
      <w:pPr>
        <w:spacing w:line="240" w:lineRule="auto"/>
      </w:pPr>
    </w:p>
    <w:p w14:paraId="670254BD" w14:textId="77777777" w:rsidR="009F1A49" w:rsidRPr="00F439BB" w:rsidRDefault="009F1A49" w:rsidP="00204AAB">
      <w:pPr>
        <w:spacing w:line="240" w:lineRule="auto"/>
      </w:pPr>
    </w:p>
    <w:p w14:paraId="5F79B8E4" w14:textId="77777777" w:rsidR="00812D16" w:rsidRPr="00F439BB" w:rsidRDefault="00FE605C" w:rsidP="00572506">
      <w:pPr>
        <w:keepNext/>
        <w:numPr>
          <w:ilvl w:val="0"/>
          <w:numId w:val="6"/>
        </w:numPr>
        <w:suppressAutoHyphens/>
        <w:spacing w:line="240" w:lineRule="auto"/>
      </w:pPr>
      <w:r w:rsidRPr="00F439BB">
        <w:rPr>
          <w:b/>
        </w:rPr>
        <w:t>FARMAKOLOGICKÉ VLASTNOSTI</w:t>
      </w:r>
    </w:p>
    <w:p w14:paraId="5BB6E1B0" w14:textId="77777777" w:rsidR="00812D16" w:rsidRPr="00F439BB" w:rsidRDefault="00812D16" w:rsidP="00085939">
      <w:pPr>
        <w:keepNext/>
        <w:spacing w:line="240" w:lineRule="auto"/>
      </w:pPr>
    </w:p>
    <w:p w14:paraId="11FCF522" w14:textId="77777777" w:rsidR="00812D16" w:rsidRPr="00F439BB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F439BB">
        <w:rPr>
          <w:b/>
        </w:rPr>
        <w:t>Farmakodynamické vlastnosti</w:t>
      </w:r>
    </w:p>
    <w:p w14:paraId="3054C4D0" w14:textId="77777777" w:rsidR="00812D16" w:rsidRPr="00F439BB" w:rsidRDefault="00812D16" w:rsidP="00085939">
      <w:pPr>
        <w:keepNext/>
        <w:spacing w:line="240" w:lineRule="auto"/>
      </w:pPr>
    </w:p>
    <w:p w14:paraId="3F0F2087" w14:textId="77777777" w:rsidR="00812D16" w:rsidRPr="00F439BB" w:rsidRDefault="00FE605C" w:rsidP="00204AAB">
      <w:pPr>
        <w:spacing w:line="240" w:lineRule="auto"/>
        <w:outlineLvl w:val="0"/>
      </w:pPr>
      <w:r w:rsidRPr="00F439BB">
        <w:t>Farmakoterap</w:t>
      </w:r>
      <w:r w:rsidR="009F1A49" w:rsidRPr="00F439BB">
        <w:t>eutická skupina: Anestetiká</w:t>
      </w:r>
      <w:r w:rsidR="00725783" w:rsidRPr="00F439BB">
        <w:t>;</w:t>
      </w:r>
      <w:r w:rsidR="009F1A49" w:rsidRPr="00F439BB">
        <w:t xml:space="preserve"> Lokálne anestetiká</w:t>
      </w:r>
      <w:r w:rsidRPr="00F439BB">
        <w:t>, ATC kód:</w:t>
      </w:r>
      <w:r w:rsidR="009F1A49" w:rsidRPr="00F439BB">
        <w:t xml:space="preserve"> N01BB02</w:t>
      </w:r>
    </w:p>
    <w:p w14:paraId="425FA107" w14:textId="77777777" w:rsidR="00812D16" w:rsidRPr="00F439BB" w:rsidRDefault="00812D16" w:rsidP="00204AAB">
      <w:pPr>
        <w:autoSpaceDE w:val="0"/>
        <w:autoSpaceDN w:val="0"/>
        <w:adjustRightInd w:val="0"/>
        <w:spacing w:line="240" w:lineRule="auto"/>
      </w:pPr>
    </w:p>
    <w:p w14:paraId="69B1560B" w14:textId="77777777" w:rsidR="00812D16" w:rsidRPr="00F439BB" w:rsidRDefault="00FE605C" w:rsidP="00204AAB">
      <w:pPr>
        <w:autoSpaceDE w:val="0"/>
        <w:autoSpaceDN w:val="0"/>
        <w:adjustRightInd w:val="0"/>
        <w:spacing w:line="240" w:lineRule="auto"/>
        <w:rPr>
          <w:u w:val="single"/>
        </w:rPr>
      </w:pPr>
      <w:r w:rsidRPr="00F439BB">
        <w:rPr>
          <w:u w:val="single"/>
        </w:rPr>
        <w:t>Mechanizmus účinku</w:t>
      </w:r>
    </w:p>
    <w:p w14:paraId="533ECF4B" w14:textId="77777777" w:rsidR="00725783" w:rsidRPr="00F439BB" w:rsidRDefault="00725783" w:rsidP="00204AAB">
      <w:pPr>
        <w:autoSpaceDE w:val="0"/>
        <w:autoSpaceDN w:val="0"/>
        <w:adjustRightInd w:val="0"/>
        <w:spacing w:line="240" w:lineRule="auto"/>
      </w:pPr>
      <w:r w:rsidRPr="00F439BB">
        <w:t>Lidokaín je lokálne anestetikum amidového typu. Lidokaín reverzibilne stabilizuje neurónové membrány a zabraňuje iniciácii a vedeniu nervových vzruchov, čím zabezpečuje lokálnu anestéziu. Pri vysokých plazmatických koncentráciách môže lidokaín tiež znižovať vodivosť excitačných nervových membrán v mozgu a srdcovom svale.</w:t>
      </w:r>
    </w:p>
    <w:p w14:paraId="2BA34E48" w14:textId="77777777" w:rsidR="00725783" w:rsidRPr="00F439BB" w:rsidRDefault="00725783" w:rsidP="00204AAB">
      <w:pPr>
        <w:autoSpaceDE w:val="0"/>
        <w:autoSpaceDN w:val="0"/>
        <w:adjustRightInd w:val="0"/>
        <w:spacing w:line="240" w:lineRule="auto"/>
      </w:pPr>
    </w:p>
    <w:p w14:paraId="32FEF86C" w14:textId="77777777" w:rsidR="00812D16" w:rsidRPr="00F439BB" w:rsidRDefault="00FE605C" w:rsidP="00204AAB">
      <w:pPr>
        <w:autoSpaceDE w:val="0"/>
        <w:autoSpaceDN w:val="0"/>
        <w:adjustRightInd w:val="0"/>
        <w:spacing w:line="240" w:lineRule="auto"/>
        <w:rPr>
          <w:u w:val="single"/>
        </w:rPr>
      </w:pPr>
      <w:r w:rsidRPr="00F439BB">
        <w:rPr>
          <w:u w:val="single"/>
        </w:rPr>
        <w:t>Farmakodynamické účinky</w:t>
      </w:r>
    </w:p>
    <w:p w14:paraId="7A8D2005" w14:textId="414F43A6" w:rsidR="000C1F8A" w:rsidRPr="00F439BB" w:rsidRDefault="00725783" w:rsidP="00204AAB">
      <w:pPr>
        <w:autoSpaceDE w:val="0"/>
        <w:autoSpaceDN w:val="0"/>
        <w:adjustRightInd w:val="0"/>
        <w:spacing w:line="240" w:lineRule="auto"/>
      </w:pPr>
      <w:r w:rsidRPr="00F439BB">
        <w:rPr>
          <w:noProof/>
        </w:rPr>
        <w:t>L</w:t>
      </w:r>
      <w:r w:rsidR="00291E1C">
        <w:rPr>
          <w:noProof/>
        </w:rPr>
        <w:t>idbree</w:t>
      </w:r>
      <w:r w:rsidRPr="00F439BB">
        <w:rPr>
          <w:noProof/>
        </w:rPr>
        <w:t xml:space="preserve"> </w:t>
      </w:r>
      <w:r w:rsidRPr="00F439BB">
        <w:t xml:space="preserve">je anestetická viskózna tekutina bez konzervačných látok, ktorá pri zmene teploty nadobúda konzistenciu gélu. Pri dosiahnutí telesnej teploty sa vytvorí gél, </w:t>
      </w:r>
      <w:r w:rsidR="00F67ED0" w:rsidRPr="00F439BB">
        <w:t>ktorý</w:t>
      </w:r>
      <w:r w:rsidR="00F439BB">
        <w:t xml:space="preserve"> </w:t>
      </w:r>
      <w:r w:rsidRPr="00F439BB">
        <w:t>priľne k slizniciam</w:t>
      </w:r>
      <w:r w:rsidR="00F439BB">
        <w:t xml:space="preserve"> </w:t>
      </w:r>
      <w:r w:rsidRPr="00F439BB">
        <w:t>v</w:t>
      </w:r>
      <w:r w:rsidR="006F263C">
        <w:t> </w:t>
      </w:r>
      <w:r w:rsidRPr="00F439BB">
        <w:t>cervikálnom kanáli a maternici (</w:t>
      </w:r>
      <w:r w:rsidR="00F67ED0" w:rsidRPr="00F439BB">
        <w:t xml:space="preserve">čím sa </w:t>
      </w:r>
      <w:r w:rsidRPr="00F439BB">
        <w:t>minimaliz</w:t>
      </w:r>
      <w:r w:rsidR="00F67ED0" w:rsidRPr="00F439BB">
        <w:t>uje únik</w:t>
      </w:r>
      <w:r w:rsidRPr="00F439BB">
        <w:t xml:space="preserve">, ku ktorému by </w:t>
      </w:r>
      <w:r w:rsidR="00F67ED0" w:rsidRPr="00F439BB">
        <w:t>došlo</w:t>
      </w:r>
      <w:r w:rsidRPr="00F439BB">
        <w:t xml:space="preserve"> pri </w:t>
      </w:r>
      <w:r w:rsidR="00F67ED0" w:rsidRPr="00F439BB">
        <w:t>tekutej konzistenci</w:t>
      </w:r>
      <w:r w:rsidR="0084651E" w:rsidRPr="00F439BB">
        <w:t>i</w:t>
      </w:r>
      <w:r w:rsidRPr="00F439BB">
        <w:t xml:space="preserve">). </w:t>
      </w:r>
      <w:r w:rsidR="00F67ED0" w:rsidRPr="00F439BB">
        <w:t>Tvorba gélu</w:t>
      </w:r>
      <w:r w:rsidRPr="00F439BB">
        <w:t xml:space="preserve"> obmedzuje riedenie </w:t>
      </w:r>
      <w:r w:rsidR="00F67ED0" w:rsidRPr="00F439BB">
        <w:t>pri sekrécii</w:t>
      </w:r>
      <w:r w:rsidRPr="00F439BB">
        <w:t xml:space="preserve"> hlienu a lokálne anestetikum funguje ako tlmivý systém.</w:t>
      </w:r>
      <w:r w:rsidRPr="00F439BB">
        <w:br/>
      </w:r>
      <w:r w:rsidRPr="00F439BB">
        <w:br/>
      </w:r>
      <w:r w:rsidR="00F67ED0" w:rsidRPr="00F439BB">
        <w:t>Čas nástupu a</w:t>
      </w:r>
      <w:r w:rsidRPr="00F439BB">
        <w:t>nestetick</w:t>
      </w:r>
      <w:r w:rsidR="00F67ED0" w:rsidRPr="00F439BB">
        <w:t>ého účinku</w:t>
      </w:r>
      <w:r w:rsidR="00F439BB" w:rsidRPr="00F439BB">
        <w:t xml:space="preserve"> </w:t>
      </w:r>
      <w:r w:rsidR="00F67ED0" w:rsidRPr="00F439BB">
        <w:rPr>
          <w:noProof/>
        </w:rPr>
        <w:t>L</w:t>
      </w:r>
      <w:r w:rsidR="00291E1C">
        <w:rPr>
          <w:noProof/>
        </w:rPr>
        <w:t>idbree</w:t>
      </w:r>
      <w:r w:rsidR="00F67ED0" w:rsidRPr="00F439BB">
        <w:rPr>
          <w:noProof/>
        </w:rPr>
        <w:t xml:space="preserve"> </w:t>
      </w:r>
      <w:r w:rsidRPr="00F439BB">
        <w:t xml:space="preserve">po </w:t>
      </w:r>
      <w:r w:rsidR="00F67ED0" w:rsidRPr="00F439BB">
        <w:t>topickej</w:t>
      </w:r>
      <w:r w:rsidRPr="00F439BB">
        <w:t xml:space="preserve"> aplikácii na </w:t>
      </w:r>
      <w:r w:rsidR="00F67ED0" w:rsidRPr="00F439BB">
        <w:t>cervikálne sliznice</w:t>
      </w:r>
      <w:r w:rsidR="00F439BB">
        <w:t xml:space="preserve"> </w:t>
      </w:r>
      <w:r w:rsidR="00F67ED0" w:rsidRPr="00F439BB">
        <w:t>sú</w:t>
      </w:r>
      <w:r w:rsidRPr="00F439BB">
        <w:t xml:space="preserve"> 2 minúty. Lokálna anestézia </w:t>
      </w:r>
      <w:r w:rsidR="000C1F8A" w:rsidRPr="00F439BB">
        <w:t>tela maternice</w:t>
      </w:r>
      <w:r w:rsidRPr="00F439BB">
        <w:t xml:space="preserve"> pre </w:t>
      </w:r>
      <w:r w:rsidR="000C1F8A" w:rsidRPr="00F439BB">
        <w:t>intrauterinné</w:t>
      </w:r>
      <w:r w:rsidR="00F439BB">
        <w:t xml:space="preserve"> </w:t>
      </w:r>
      <w:r w:rsidR="000C1F8A" w:rsidRPr="00F439BB">
        <w:t>zákrok</w:t>
      </w:r>
      <w:r w:rsidRPr="00F439BB">
        <w:t xml:space="preserve">y sa dosiahne do 5 minút po podaní do </w:t>
      </w:r>
      <w:r w:rsidR="000C1F8A" w:rsidRPr="00F439BB">
        <w:t xml:space="preserve">dutiny </w:t>
      </w:r>
      <w:r w:rsidRPr="00F439BB">
        <w:t>maternic</w:t>
      </w:r>
      <w:r w:rsidR="000C1F8A" w:rsidRPr="00F439BB">
        <w:t>e</w:t>
      </w:r>
      <w:r w:rsidRPr="00F439BB">
        <w:t>. Trva</w:t>
      </w:r>
      <w:r w:rsidR="000C1F8A" w:rsidRPr="00F439BB">
        <w:t>nie účinku je najmenej 30 minút.</w:t>
      </w:r>
      <w:r w:rsidR="00F439BB">
        <w:t xml:space="preserve"> </w:t>
      </w:r>
      <w:r w:rsidR="000C1F8A" w:rsidRPr="00F439BB">
        <w:t>V porovnaní s placebo gélom účinok na</w:t>
      </w:r>
      <w:r w:rsidR="00F439BB" w:rsidRPr="00F439BB">
        <w:t xml:space="preserve"> </w:t>
      </w:r>
      <w:r w:rsidR="000C1F8A" w:rsidRPr="00F439BB">
        <w:t xml:space="preserve">pooperačnú </w:t>
      </w:r>
      <w:r w:rsidRPr="00F439BB">
        <w:t>boles</w:t>
      </w:r>
      <w:r w:rsidR="000C1F8A" w:rsidRPr="00F439BB">
        <w:t xml:space="preserve">ť </w:t>
      </w:r>
      <w:r w:rsidR="004D3574" w:rsidRPr="00F439BB">
        <w:t>pretrváva do</w:t>
      </w:r>
      <w:r w:rsidR="000C1F8A" w:rsidRPr="00F439BB">
        <w:t xml:space="preserve"> 60 minút.</w:t>
      </w:r>
    </w:p>
    <w:p w14:paraId="13126963" w14:textId="77777777" w:rsidR="000C1F8A" w:rsidRPr="00F439BB" w:rsidRDefault="000C1F8A" w:rsidP="00204AAB">
      <w:pPr>
        <w:autoSpaceDE w:val="0"/>
        <w:autoSpaceDN w:val="0"/>
        <w:adjustRightInd w:val="0"/>
        <w:spacing w:line="240" w:lineRule="auto"/>
      </w:pPr>
    </w:p>
    <w:p w14:paraId="4461C153" w14:textId="77777777" w:rsidR="00725783" w:rsidRPr="00F439BB" w:rsidRDefault="00725783" w:rsidP="00204AAB">
      <w:pPr>
        <w:autoSpaceDE w:val="0"/>
        <w:autoSpaceDN w:val="0"/>
        <w:adjustRightInd w:val="0"/>
        <w:spacing w:line="240" w:lineRule="auto"/>
      </w:pPr>
      <w:r w:rsidRPr="00F439BB">
        <w:t>Viditeľnosť počas hysteroskopie nie je narušená.</w:t>
      </w:r>
    </w:p>
    <w:p w14:paraId="75425621" w14:textId="77777777" w:rsidR="00725783" w:rsidRPr="00F439BB" w:rsidRDefault="00725783" w:rsidP="00204AAB">
      <w:pPr>
        <w:autoSpaceDE w:val="0"/>
        <w:autoSpaceDN w:val="0"/>
        <w:adjustRightInd w:val="0"/>
        <w:spacing w:line="240" w:lineRule="auto"/>
      </w:pPr>
    </w:p>
    <w:p w14:paraId="0CEF2D0C" w14:textId="77777777" w:rsidR="00812D16" w:rsidRPr="00F439BB" w:rsidRDefault="00FE605C" w:rsidP="0014342A">
      <w:pPr>
        <w:keepNext/>
        <w:autoSpaceDE w:val="0"/>
        <w:autoSpaceDN w:val="0"/>
        <w:adjustRightInd w:val="0"/>
        <w:spacing w:line="240" w:lineRule="auto"/>
        <w:rPr>
          <w:u w:val="single"/>
        </w:rPr>
      </w:pPr>
      <w:r w:rsidRPr="00F439BB">
        <w:rPr>
          <w:u w:val="single"/>
        </w:rPr>
        <w:t>Klinická účinnosť a</w:t>
      </w:r>
      <w:r w:rsidR="007E4269" w:rsidRPr="00F439BB">
        <w:rPr>
          <w:u w:val="single"/>
        </w:rPr>
        <w:t> </w:t>
      </w:r>
      <w:r w:rsidRPr="00F439BB">
        <w:rPr>
          <w:u w:val="single"/>
        </w:rPr>
        <w:t>bezpečnosť</w:t>
      </w:r>
    </w:p>
    <w:p w14:paraId="4E9FDEFB" w14:textId="4A115053" w:rsidR="0014342A" w:rsidRPr="00F439BB" w:rsidRDefault="0014342A" w:rsidP="00204AAB">
      <w:pPr>
        <w:autoSpaceDE w:val="0"/>
        <w:autoSpaceDN w:val="0"/>
        <w:adjustRightInd w:val="0"/>
        <w:spacing w:line="240" w:lineRule="auto"/>
      </w:pPr>
      <w:r w:rsidRPr="00F439BB">
        <w:t xml:space="preserve">Účinnosť a bezpečnosť </w:t>
      </w:r>
      <w:r w:rsidR="00B90582" w:rsidRPr="00F439BB">
        <w:rPr>
          <w:noProof/>
        </w:rPr>
        <w:t>L</w:t>
      </w:r>
      <w:r w:rsidR="00291E1C">
        <w:rPr>
          <w:noProof/>
        </w:rPr>
        <w:t>idbree</w:t>
      </w:r>
      <w:r w:rsidR="00B90582" w:rsidRPr="00F439BB">
        <w:rPr>
          <w:noProof/>
        </w:rPr>
        <w:t xml:space="preserve"> </w:t>
      </w:r>
      <w:r w:rsidR="0098458B" w:rsidRPr="00F439BB">
        <w:t>ako topického</w:t>
      </w:r>
      <w:r w:rsidRPr="00F439BB">
        <w:t xml:space="preserve"> anestetika pre </w:t>
      </w:r>
      <w:r w:rsidR="0098458B" w:rsidRPr="00F439BB">
        <w:t>cervikálne</w:t>
      </w:r>
      <w:r w:rsidRPr="00F439BB">
        <w:t xml:space="preserve"> a </w:t>
      </w:r>
      <w:r w:rsidR="0098458B" w:rsidRPr="00F439BB">
        <w:t>intrauterinné</w:t>
      </w:r>
      <w:r w:rsidR="00F439BB">
        <w:t xml:space="preserve"> </w:t>
      </w:r>
      <w:r w:rsidR="0098458B" w:rsidRPr="00F439BB">
        <w:t>zákrok</w:t>
      </w:r>
      <w:r w:rsidRPr="00F439BB">
        <w:t xml:space="preserve">y sa preukázala na modeli bolesti: v placebom kontrolovanej multicentrickej štúdii u 218 </w:t>
      </w:r>
      <w:r w:rsidR="0098458B" w:rsidRPr="00F439BB">
        <w:t>nullipara</w:t>
      </w:r>
      <w:r w:rsidR="00F439BB">
        <w:t xml:space="preserve"> </w:t>
      </w:r>
      <w:r w:rsidR="0098458B" w:rsidRPr="00F439BB">
        <w:t>pacientok, ktoré</w:t>
      </w:r>
      <w:r w:rsidR="00F439BB">
        <w:t xml:space="preserve"> </w:t>
      </w:r>
      <w:r w:rsidR="0098458B" w:rsidRPr="00F439BB">
        <w:t>po</w:t>
      </w:r>
      <w:r w:rsidRPr="00F439BB">
        <w:t>žad</w:t>
      </w:r>
      <w:r w:rsidR="0098458B" w:rsidRPr="00F439BB">
        <w:t>ovali</w:t>
      </w:r>
      <w:r w:rsidR="00F439BB">
        <w:t xml:space="preserve"> </w:t>
      </w:r>
      <w:r w:rsidR="0098458B" w:rsidRPr="00F439BB">
        <w:t>zavedenie</w:t>
      </w:r>
      <w:r w:rsidR="00F439BB">
        <w:t xml:space="preserve"> </w:t>
      </w:r>
      <w:r w:rsidR="0098458B" w:rsidRPr="00F439BB">
        <w:t>intrauterinnej antikoncepčnej pomôcky</w:t>
      </w:r>
      <w:r w:rsidRPr="00F439BB">
        <w:t xml:space="preserve"> (</w:t>
      </w:r>
      <w:r w:rsidR="0098458B" w:rsidRPr="00F439BB">
        <w:t>z anglického "intrauterine contraceptive device",</w:t>
      </w:r>
      <w:r w:rsidRPr="00F439BB">
        <w:t>IUD). Tento model bolesti predstavuje bolesť, ktor</w:t>
      </w:r>
      <w:r w:rsidR="0098458B" w:rsidRPr="00F439BB">
        <w:t>ú pacient</w:t>
      </w:r>
      <w:r w:rsidR="00AB23BE" w:rsidRPr="00F439BB">
        <w:t>k</w:t>
      </w:r>
      <w:r w:rsidR="0098458B" w:rsidRPr="00F439BB">
        <w:t>a pociťuje</w:t>
      </w:r>
      <w:r w:rsidRPr="00F439BB">
        <w:t xml:space="preserve"> pri </w:t>
      </w:r>
      <w:r w:rsidR="0098458B" w:rsidRPr="00F439BB">
        <w:t>intrauterinných zákrokoch</w:t>
      </w:r>
      <w:r w:rsidRPr="00F439BB">
        <w:t>, ako j</w:t>
      </w:r>
      <w:r w:rsidR="0098458B" w:rsidRPr="00F439BB">
        <w:t xml:space="preserve">e diagnostická hysteroskopia, a </w:t>
      </w:r>
      <w:r w:rsidRPr="00F439BB">
        <w:t>pri cervikálnych a</w:t>
      </w:r>
      <w:r w:rsidR="006F263C">
        <w:t> </w:t>
      </w:r>
      <w:r w:rsidRPr="00F439BB">
        <w:t>endometriálnych biopsiách, pri ktorých dochádza k rovnak</w:t>
      </w:r>
      <w:r w:rsidR="0098458B" w:rsidRPr="00F439BB">
        <w:t>o</w:t>
      </w:r>
      <w:r w:rsidRPr="00F439BB">
        <w:t xml:space="preserve"> bolestivým stimulom </w:t>
      </w:r>
      <w:r w:rsidR="0098458B" w:rsidRPr="00F439BB">
        <w:t>(uchopenie krčka maternice ten</w:t>
      </w:r>
      <w:r w:rsidR="00AB23BE" w:rsidRPr="00F439BB">
        <w:t>á</w:t>
      </w:r>
      <w:r w:rsidR="0098458B" w:rsidRPr="00F439BB">
        <w:t>k</w:t>
      </w:r>
      <w:r w:rsidR="00AB23BE" w:rsidRPr="00F439BB">
        <w:t>u</w:t>
      </w:r>
      <w:r w:rsidRPr="00F439BB">
        <w:t xml:space="preserve">lom, manipulácia </w:t>
      </w:r>
      <w:r w:rsidR="0098458B" w:rsidRPr="00F439BB">
        <w:t xml:space="preserve">s </w:t>
      </w:r>
      <w:r w:rsidRPr="00F439BB">
        <w:t>krčk</w:t>
      </w:r>
      <w:r w:rsidR="0098458B" w:rsidRPr="00F439BB">
        <w:t>om maternice a </w:t>
      </w:r>
      <w:r w:rsidRPr="00F439BB">
        <w:t>distenzia maternice). V plac</w:t>
      </w:r>
      <w:r w:rsidR="0098458B" w:rsidRPr="00F439BB">
        <w:t>ebom kontrolovanej štúdii bol gé</w:t>
      </w:r>
      <w:r w:rsidRPr="00F439BB">
        <w:t xml:space="preserve">l aplikovaný na </w:t>
      </w:r>
      <w:r w:rsidR="0098458B" w:rsidRPr="00F439BB">
        <w:t>prednú bránku</w:t>
      </w:r>
      <w:r w:rsidR="007E5279" w:rsidRPr="00F439BB">
        <w:t xml:space="preserve"> a</w:t>
      </w:r>
      <w:r w:rsidR="0098458B" w:rsidRPr="00F439BB">
        <w:t xml:space="preserve"> do cervikálneho kanála</w:t>
      </w:r>
      <w:r w:rsidR="007E5279" w:rsidRPr="00F439BB">
        <w:t>,</w:t>
      </w:r>
      <w:r w:rsidR="00822C56">
        <w:t xml:space="preserve"> </w:t>
      </w:r>
      <w:r w:rsidR="007E5279" w:rsidRPr="00F439BB">
        <w:t>telo</w:t>
      </w:r>
      <w:r w:rsidR="00822C56">
        <w:t xml:space="preserve"> </w:t>
      </w:r>
      <w:r w:rsidRPr="00F439BB">
        <w:t>maternic</w:t>
      </w:r>
      <w:r w:rsidR="0098458B" w:rsidRPr="00F439BB">
        <w:t>e</w:t>
      </w:r>
      <w:r w:rsidRPr="00F439BB">
        <w:t xml:space="preserve"> bol</w:t>
      </w:r>
      <w:r w:rsidR="007E5279" w:rsidRPr="00F439BB">
        <w:t>o</w:t>
      </w:r>
      <w:r w:rsidRPr="00F439BB">
        <w:t xml:space="preserve"> naplnen</w:t>
      </w:r>
      <w:r w:rsidR="007E5279" w:rsidRPr="00F439BB">
        <w:t>é</w:t>
      </w:r>
      <w:r w:rsidRPr="00F439BB">
        <w:t xml:space="preserve"> gélom 5 minút pred </w:t>
      </w:r>
      <w:r w:rsidR="007E5279" w:rsidRPr="00F439BB">
        <w:t>zaved</w:t>
      </w:r>
      <w:r w:rsidRPr="00F439BB">
        <w:t>ením IUD. Cel</w:t>
      </w:r>
      <w:r w:rsidR="007E5279" w:rsidRPr="00F439BB">
        <w:t>kový</w:t>
      </w:r>
      <w:r w:rsidRPr="00F439BB">
        <w:t xml:space="preserve"> objem 8,5 ml ne</w:t>
      </w:r>
      <w:r w:rsidR="007E5279" w:rsidRPr="00F439BB">
        <w:t xml:space="preserve">bolo </w:t>
      </w:r>
      <w:r w:rsidRPr="00F439BB">
        <w:t>mo</w:t>
      </w:r>
      <w:r w:rsidR="007E5279" w:rsidRPr="00F439BB">
        <w:t>žné</w:t>
      </w:r>
      <w:r w:rsidRPr="00F439BB">
        <w:t xml:space="preserve"> podať </w:t>
      </w:r>
      <w:r w:rsidR="007E5279" w:rsidRPr="00F439BB">
        <w:t xml:space="preserve">u </w:t>
      </w:r>
      <w:r w:rsidRPr="00F439BB">
        <w:t xml:space="preserve">72 z 218 </w:t>
      </w:r>
      <w:r w:rsidR="007E5279" w:rsidRPr="00F439BB">
        <w:t>pacientok</w:t>
      </w:r>
      <w:r w:rsidRPr="00F439BB">
        <w:t xml:space="preserve">, </w:t>
      </w:r>
      <w:r w:rsidR="007E5279" w:rsidRPr="00F439BB">
        <w:t>nakoľko nullipara pacientky</w:t>
      </w:r>
      <w:r w:rsidR="00F439BB">
        <w:t xml:space="preserve"> </w:t>
      </w:r>
      <w:r w:rsidR="007E5279" w:rsidRPr="00F439BB">
        <w:t xml:space="preserve">majú </w:t>
      </w:r>
      <w:r w:rsidRPr="00F439BB">
        <w:t xml:space="preserve">menšiu maternicu. Maximálna intenzita bolesti, </w:t>
      </w:r>
      <w:r w:rsidR="007E5279" w:rsidRPr="00F439BB">
        <w:t>pociťovaná</w:t>
      </w:r>
      <w:r w:rsidRPr="00F439BB">
        <w:t xml:space="preserve"> počas 10 minút po začiatku </w:t>
      </w:r>
      <w:r w:rsidR="007E5279" w:rsidRPr="00F439BB">
        <w:t>zavádza</w:t>
      </w:r>
      <w:r w:rsidRPr="00F439BB">
        <w:t xml:space="preserve">nia IUD, </w:t>
      </w:r>
      <w:r w:rsidR="007E5279" w:rsidRPr="00F439BB">
        <w:t>odstupňovaná</w:t>
      </w:r>
      <w:r w:rsidR="00F439BB">
        <w:t xml:space="preserve"> </w:t>
      </w:r>
      <w:r w:rsidR="007E5279" w:rsidRPr="00F439BB">
        <w:t xml:space="preserve">na </w:t>
      </w:r>
      <w:r w:rsidRPr="00F439BB">
        <w:t>100 mm vizuáln</w:t>
      </w:r>
      <w:r w:rsidR="007E5279" w:rsidRPr="00F439BB">
        <w:t>ej</w:t>
      </w:r>
      <w:r w:rsidRPr="00F439BB">
        <w:t xml:space="preserve"> analógov</w:t>
      </w:r>
      <w:r w:rsidR="007E5279" w:rsidRPr="00F439BB">
        <w:t>ej</w:t>
      </w:r>
      <w:r w:rsidRPr="00F439BB">
        <w:t xml:space="preserve"> stupnic</w:t>
      </w:r>
      <w:r w:rsidR="007E5279" w:rsidRPr="00F439BB">
        <w:t>i</w:t>
      </w:r>
      <w:r w:rsidRPr="00F439BB">
        <w:t xml:space="preserve"> (</w:t>
      </w:r>
      <w:r w:rsidR="007E5279" w:rsidRPr="00F439BB">
        <w:t>z anglického "visual analogue scale",</w:t>
      </w:r>
      <w:r w:rsidRPr="00F439BB">
        <w:t xml:space="preserve">VAS), bola významne nižšia u </w:t>
      </w:r>
      <w:r w:rsidR="007E5279" w:rsidRPr="00F439BB">
        <w:t>pacientok</w:t>
      </w:r>
      <w:r w:rsidRPr="00F439BB">
        <w:t>, ktor</w:t>
      </w:r>
      <w:r w:rsidR="007E5279" w:rsidRPr="00F439BB">
        <w:t>ým</w:t>
      </w:r>
      <w:r w:rsidR="00F439BB" w:rsidRPr="00F439BB">
        <w:t xml:space="preserve"> </w:t>
      </w:r>
      <w:r w:rsidR="007E5279" w:rsidRPr="00F439BB">
        <w:t xml:space="preserve">bol podaný </w:t>
      </w:r>
      <w:r w:rsidR="007E5279" w:rsidRPr="00F439BB">
        <w:rPr>
          <w:noProof/>
        </w:rPr>
        <w:t>L</w:t>
      </w:r>
      <w:r w:rsidR="00291E1C">
        <w:rPr>
          <w:noProof/>
        </w:rPr>
        <w:t>idbree</w:t>
      </w:r>
      <w:r w:rsidR="007E5279" w:rsidRPr="00F439BB">
        <w:rPr>
          <w:noProof/>
        </w:rPr>
        <w:t xml:space="preserve"> </w:t>
      </w:r>
      <w:r w:rsidR="007E5279" w:rsidRPr="00F439BB">
        <w:t>(p</w:t>
      </w:r>
      <w:r w:rsidRPr="00F439BB">
        <w:t>&lt;0,0001), s odhadovanou veľkosťou účinku 16 mm (priemerný rozdiel), čo zodpovedá 36% nižšiemu priemernému skóre bolesti VAS, v porovnaní so ženami, ktorým bol podaný placebo gél. Po</w:t>
      </w:r>
      <w:r w:rsidR="00874136" w:rsidRPr="00F439BB">
        <w:t>mer</w:t>
      </w:r>
      <w:r w:rsidRPr="00F439BB">
        <w:t xml:space="preserve"> paciento</w:t>
      </w:r>
      <w:r w:rsidR="007E5279" w:rsidRPr="00F439BB">
        <w:t>k</w:t>
      </w:r>
      <w:r w:rsidRPr="00F439BB">
        <w:t xml:space="preserve"> v skupine s </w:t>
      </w:r>
      <w:r w:rsidR="007E5279" w:rsidRPr="00F439BB">
        <w:rPr>
          <w:noProof/>
        </w:rPr>
        <w:t>L</w:t>
      </w:r>
      <w:r w:rsidR="00291E1C">
        <w:rPr>
          <w:noProof/>
        </w:rPr>
        <w:t>idbree</w:t>
      </w:r>
      <w:r w:rsidR="007E5279" w:rsidRPr="00F439BB">
        <w:rPr>
          <w:noProof/>
        </w:rPr>
        <w:t xml:space="preserve"> </w:t>
      </w:r>
      <w:r w:rsidRPr="00F439BB">
        <w:t xml:space="preserve">a </w:t>
      </w:r>
      <w:r w:rsidR="007E5279" w:rsidRPr="00F439BB">
        <w:t xml:space="preserve">v skupine s </w:t>
      </w:r>
      <w:r w:rsidRPr="00F439BB">
        <w:t>placebo</w:t>
      </w:r>
      <w:r w:rsidR="007E5279" w:rsidRPr="00F439BB">
        <w:t xml:space="preserve"> gélom s </w:t>
      </w:r>
      <w:r w:rsidRPr="00F439BB">
        <w:t>takmer bezbolestným skóre (0-10) a po</w:t>
      </w:r>
      <w:r w:rsidR="00874136" w:rsidRPr="00F439BB">
        <w:t>mer</w:t>
      </w:r>
      <w:r w:rsidRPr="00F439BB">
        <w:t xml:space="preserve"> s </w:t>
      </w:r>
      <w:r w:rsidR="007E5279" w:rsidRPr="00F439BB">
        <w:t>vysokým</w:t>
      </w:r>
      <w:r w:rsidRPr="00F439BB">
        <w:t xml:space="preserve"> skóre</w:t>
      </w:r>
      <w:r w:rsidR="00DF04A0" w:rsidRPr="00F439BB">
        <w:t>, naznačujúcim</w:t>
      </w:r>
      <w:r w:rsidR="00F439BB">
        <w:t xml:space="preserve"> </w:t>
      </w:r>
      <w:r w:rsidR="00874136" w:rsidRPr="00F439BB">
        <w:t>stredne silnú</w:t>
      </w:r>
      <w:r w:rsidRPr="00F439BB">
        <w:t xml:space="preserve"> alebo silnú bolesť (51 </w:t>
      </w:r>
      <w:r w:rsidR="00874136" w:rsidRPr="00F439BB">
        <w:t>- 100) bol 31% oproti 9,7% a</w:t>
      </w:r>
      <w:r w:rsidR="00AB23BE" w:rsidRPr="00F439BB">
        <w:t> </w:t>
      </w:r>
      <w:r w:rsidR="00874136" w:rsidRPr="00F439BB">
        <w:t>18</w:t>
      </w:r>
      <w:r w:rsidRPr="00F439BB">
        <w:t>% oproti 40%, v danom poradí. Po</w:t>
      </w:r>
      <w:r w:rsidR="00874136" w:rsidRPr="00F439BB">
        <w:t>mer</w:t>
      </w:r>
      <w:r w:rsidRPr="00F439BB">
        <w:t xml:space="preserve"> paciento</w:t>
      </w:r>
      <w:r w:rsidR="00874136" w:rsidRPr="00F439BB">
        <w:t>k</w:t>
      </w:r>
      <w:r w:rsidRPr="00F439BB">
        <w:t xml:space="preserve"> so skóre bolesti</w:t>
      </w:r>
      <w:r w:rsidR="0038445E" w:rsidRPr="00F439BB">
        <w:t>, ktoré</w:t>
      </w:r>
      <w:r w:rsidRPr="00F439BB">
        <w:t xml:space="preserve"> naznač</w:t>
      </w:r>
      <w:r w:rsidR="0038445E" w:rsidRPr="00F439BB">
        <w:t>ovalo</w:t>
      </w:r>
      <w:r w:rsidRPr="00F439BB">
        <w:t xml:space="preserve"> silnú bolesť (71 - 100)</w:t>
      </w:r>
      <w:r w:rsidR="00AB23BE" w:rsidRPr="00F439BB">
        <w:t>,</w:t>
      </w:r>
      <w:r w:rsidRPr="00F439BB">
        <w:t xml:space="preserve"> bol 9,4% oproti 19,4%. Potreba </w:t>
      </w:r>
      <w:r w:rsidR="0038445E" w:rsidRPr="00F439BB">
        <w:t xml:space="preserve">podania </w:t>
      </w:r>
      <w:r w:rsidRPr="00F439BB">
        <w:t xml:space="preserve">analgetík počas prvej hodiny po dokončení </w:t>
      </w:r>
      <w:r w:rsidR="0038445E" w:rsidRPr="00F439BB">
        <w:t>zavádzan</w:t>
      </w:r>
      <w:r w:rsidRPr="00F439BB">
        <w:t xml:space="preserve">ia IUD bola 15,4% v skupine </w:t>
      </w:r>
      <w:r w:rsidR="0038445E" w:rsidRPr="00F439BB">
        <w:t xml:space="preserve">s </w:t>
      </w:r>
      <w:r w:rsidR="0038445E" w:rsidRPr="00F439BB">
        <w:rPr>
          <w:noProof/>
        </w:rPr>
        <w:t>L</w:t>
      </w:r>
      <w:r w:rsidR="00291E1C">
        <w:rPr>
          <w:noProof/>
        </w:rPr>
        <w:t>idbree</w:t>
      </w:r>
      <w:r w:rsidR="0038445E" w:rsidRPr="00F439BB">
        <w:rPr>
          <w:noProof/>
        </w:rPr>
        <w:t xml:space="preserve"> </w:t>
      </w:r>
      <w:r w:rsidRPr="00F439BB">
        <w:t>a 30,5% v skupine s</w:t>
      </w:r>
      <w:r w:rsidR="006F263C">
        <w:t> </w:t>
      </w:r>
      <w:r w:rsidRPr="00F439BB">
        <w:t>placebo</w:t>
      </w:r>
      <w:r w:rsidR="0038445E" w:rsidRPr="00F439BB">
        <w:t xml:space="preserve"> gélom</w:t>
      </w:r>
      <w:r w:rsidRPr="00F439BB">
        <w:t>. Po</w:t>
      </w:r>
      <w:r w:rsidR="00B87E15" w:rsidRPr="00F439BB">
        <w:t>mer</w:t>
      </w:r>
      <w:r w:rsidRPr="00F439BB">
        <w:t xml:space="preserve"> paciento</w:t>
      </w:r>
      <w:r w:rsidR="00B87E15" w:rsidRPr="00F439BB">
        <w:t>k</w:t>
      </w:r>
      <w:r w:rsidRPr="00F439BB">
        <w:t xml:space="preserve"> v skupine s </w:t>
      </w:r>
      <w:r w:rsidR="00B87E15" w:rsidRPr="00F439BB">
        <w:rPr>
          <w:noProof/>
        </w:rPr>
        <w:t>L</w:t>
      </w:r>
      <w:r w:rsidR="00291E1C">
        <w:rPr>
          <w:noProof/>
        </w:rPr>
        <w:t>idbree</w:t>
      </w:r>
      <w:r w:rsidR="00B87E15" w:rsidRPr="00F439BB">
        <w:rPr>
          <w:noProof/>
        </w:rPr>
        <w:t xml:space="preserve"> </w:t>
      </w:r>
      <w:r w:rsidRPr="00F439BB">
        <w:t>a placebo</w:t>
      </w:r>
      <w:r w:rsidR="00B87E15" w:rsidRPr="00F439BB">
        <w:t xml:space="preserve"> gélo</w:t>
      </w:r>
      <w:r w:rsidRPr="00F439BB">
        <w:t>m s takmer bezbolestným skóre (VAS 0-10) po 30 minútach bol 34,5% a 16,1% (p &lt;0,01) a po 60 minútach 38,7% a 32,4%</w:t>
      </w:r>
      <w:r w:rsidR="00B87E15" w:rsidRPr="00F439BB">
        <w:t>, v</w:t>
      </w:r>
      <w:r w:rsidR="006F263C">
        <w:t> </w:t>
      </w:r>
      <w:r w:rsidR="00B87E15" w:rsidRPr="00F439BB">
        <w:t>danom poradí</w:t>
      </w:r>
      <w:r w:rsidRPr="00F439BB">
        <w:t>.</w:t>
      </w:r>
      <w:r w:rsidRPr="00F439BB">
        <w:br/>
        <w:t xml:space="preserve">Pri </w:t>
      </w:r>
      <w:r w:rsidR="00B87E15" w:rsidRPr="00F439BB">
        <w:t xml:space="preserve">ultrazvukovom </w:t>
      </w:r>
      <w:r w:rsidRPr="00F439BB">
        <w:t xml:space="preserve">vyšetrení sa </w:t>
      </w:r>
      <w:r w:rsidR="00B87E15" w:rsidRPr="00F439BB">
        <w:t>u</w:t>
      </w:r>
      <w:r w:rsidRPr="00F439BB">
        <w:t xml:space="preserve"> žiadn</w:t>
      </w:r>
      <w:r w:rsidR="00B87E15" w:rsidRPr="00F439BB">
        <w:t>ej</w:t>
      </w:r>
      <w:r w:rsidR="00F439BB">
        <w:t xml:space="preserve"> </w:t>
      </w:r>
      <w:r w:rsidR="00B87E15" w:rsidRPr="00F439BB">
        <w:t>z pacientok</w:t>
      </w:r>
      <w:r w:rsidRPr="00F439BB">
        <w:t xml:space="preserve"> nepozorovala perforácia maternice. </w:t>
      </w:r>
      <w:r w:rsidR="00AB23BE" w:rsidRPr="00F439BB">
        <w:t>Nev</w:t>
      </w:r>
      <w:r w:rsidRPr="00F439BB">
        <w:t>yskytli sa n</w:t>
      </w:r>
      <w:r w:rsidR="00B87E15" w:rsidRPr="00F439BB">
        <w:t>ijaké závažné</w:t>
      </w:r>
      <w:r w:rsidRPr="00F439BB">
        <w:t xml:space="preserve"> ne</w:t>
      </w:r>
      <w:r w:rsidR="00B87E15" w:rsidRPr="00F439BB">
        <w:t>žiaduce</w:t>
      </w:r>
      <w:r w:rsidRPr="00F439BB">
        <w:t xml:space="preserve"> udalosti.</w:t>
      </w:r>
    </w:p>
    <w:p w14:paraId="663A10CF" w14:textId="77777777" w:rsidR="0014342A" w:rsidRPr="00F439BB" w:rsidRDefault="0014342A" w:rsidP="00204AAB">
      <w:pPr>
        <w:autoSpaceDE w:val="0"/>
        <w:autoSpaceDN w:val="0"/>
        <w:adjustRightInd w:val="0"/>
        <w:spacing w:line="240" w:lineRule="auto"/>
      </w:pPr>
    </w:p>
    <w:p w14:paraId="5CA3B5EE" w14:textId="77777777" w:rsidR="00812D16" w:rsidRPr="00F439BB" w:rsidRDefault="00FE605C" w:rsidP="00204AAB">
      <w:pPr>
        <w:spacing w:line="240" w:lineRule="auto"/>
      </w:pPr>
      <w:r w:rsidRPr="00F439BB">
        <w:rPr>
          <w:u w:val="single"/>
        </w:rPr>
        <w:t>Pediatrická populácia</w:t>
      </w:r>
    </w:p>
    <w:p w14:paraId="0F875869" w14:textId="3448BEF7" w:rsidR="00C546B4" w:rsidRPr="00F439BB" w:rsidRDefault="00C546B4" w:rsidP="006F263C">
      <w:pPr>
        <w:spacing w:line="240" w:lineRule="auto"/>
      </w:pPr>
      <w:r w:rsidRPr="00F439BB">
        <w:rPr>
          <w:noProof/>
        </w:rPr>
        <w:t>L</w:t>
      </w:r>
      <w:r w:rsidR="00291E1C">
        <w:rPr>
          <w:noProof/>
        </w:rPr>
        <w:t>idbree</w:t>
      </w:r>
      <w:r w:rsidRPr="00F439BB">
        <w:rPr>
          <w:noProof/>
        </w:rPr>
        <w:t xml:space="preserve"> </w:t>
      </w:r>
      <w:r w:rsidRPr="00F439BB">
        <w:t xml:space="preserve">sa neskúmal u pediatrických pacientok mladších ako 18 rokov. Je známe, že lidokaín </w:t>
      </w:r>
      <w:r w:rsidR="00EA5AF1" w:rsidRPr="00F439BB">
        <w:t>je účinné</w:t>
      </w:r>
      <w:r w:rsidRPr="00F439BB">
        <w:t xml:space="preserve"> lokálne anestetikum u detí, dospievajúcich a dospelých. Dávkovanie pre dospievajúcich sa </w:t>
      </w:r>
      <w:r w:rsidR="00EA5AF1" w:rsidRPr="00F439BB">
        <w:t>stanovilo</w:t>
      </w:r>
      <w:r w:rsidRPr="00F439BB">
        <w:t xml:space="preserve"> na základe štúdie účinnosti u dospelých (pozri časť 4.2). Podávanie </w:t>
      </w:r>
      <w:r w:rsidR="00EA5AF1" w:rsidRPr="00F439BB">
        <w:rPr>
          <w:noProof/>
        </w:rPr>
        <w:t>L</w:t>
      </w:r>
      <w:r w:rsidR="00291E1C">
        <w:rPr>
          <w:noProof/>
        </w:rPr>
        <w:t>idbree</w:t>
      </w:r>
      <w:r w:rsidR="00EA5AF1" w:rsidRPr="00F439BB">
        <w:rPr>
          <w:noProof/>
        </w:rPr>
        <w:t xml:space="preserve"> </w:t>
      </w:r>
      <w:r w:rsidR="00136803" w:rsidRPr="00F439BB">
        <w:t xml:space="preserve">na sliznice </w:t>
      </w:r>
      <w:r w:rsidRPr="00F439BB">
        <w:t xml:space="preserve">dojčiat a detí mladších ako 15 rokov nie je </w:t>
      </w:r>
      <w:r w:rsidR="00AB23BE" w:rsidRPr="00F439BB">
        <w:t>indikované</w:t>
      </w:r>
      <w:r w:rsidRPr="00F439BB">
        <w:t xml:space="preserve"> (pozri časť 4.2) a môže viesť k lokálnej anestetickej systémovej toxicite u jedincov s telesn</w:t>
      </w:r>
      <w:r w:rsidR="00AB23BE" w:rsidRPr="00F439BB">
        <w:t>ou</w:t>
      </w:r>
      <w:r w:rsidRPr="00F439BB">
        <w:t xml:space="preserve"> hmotnosť</w:t>
      </w:r>
      <w:r w:rsidR="00AB23BE" w:rsidRPr="00F439BB">
        <w:t>ou</w:t>
      </w:r>
      <w:r w:rsidR="00F439BB" w:rsidRPr="00F439BB">
        <w:t xml:space="preserve"> </w:t>
      </w:r>
      <w:r w:rsidR="00AB23BE" w:rsidRPr="00F439BB">
        <w:t>menšou ako</w:t>
      </w:r>
      <w:r w:rsidRPr="00F439BB">
        <w:t xml:space="preserve"> 30 kg, ak je aplikovaná dávka lidokaínu vyššia ako maximálna odporúčaná parenterálna dávka (</w:t>
      </w:r>
      <w:r w:rsidR="00136803" w:rsidRPr="00F439BB">
        <w:t>6 mg/</w:t>
      </w:r>
      <w:r w:rsidRPr="00F439BB">
        <w:t>kg telesnej hmotnosti</w:t>
      </w:r>
      <w:r w:rsidR="00F439BB">
        <w:t xml:space="preserve"> </w:t>
      </w:r>
      <w:r w:rsidR="00047116">
        <w:t>lidokaínium-chloridu</w:t>
      </w:r>
      <w:r w:rsidR="00136803" w:rsidRPr="00F439BB">
        <w:t>, čo zodpovedá 5,2 mg/</w:t>
      </w:r>
      <w:r w:rsidRPr="00F439BB">
        <w:t xml:space="preserve">kg lidokaínu </w:t>
      </w:r>
      <w:r w:rsidR="00136803" w:rsidRPr="00F439BB">
        <w:t>v </w:t>
      </w:r>
      <w:r w:rsidR="00136803" w:rsidRPr="00F439BB">
        <w:rPr>
          <w:noProof/>
        </w:rPr>
        <w:t>L</w:t>
      </w:r>
      <w:r w:rsidR="00291E1C">
        <w:rPr>
          <w:noProof/>
        </w:rPr>
        <w:t>idbree</w:t>
      </w:r>
      <w:r w:rsidRPr="00F439BB">
        <w:t>, t</w:t>
      </w:r>
      <w:r w:rsidR="00136803" w:rsidRPr="00F439BB">
        <w:t>.</w:t>
      </w:r>
      <w:r w:rsidRPr="00F439BB">
        <w:t>j</w:t>
      </w:r>
      <w:r w:rsidR="00136803" w:rsidRPr="00F439BB">
        <w:t xml:space="preserve">. 1,2 ml </w:t>
      </w:r>
      <w:r w:rsidR="00136803" w:rsidRPr="00F439BB">
        <w:rPr>
          <w:noProof/>
        </w:rPr>
        <w:t>L</w:t>
      </w:r>
      <w:r w:rsidR="00291E1C">
        <w:rPr>
          <w:noProof/>
        </w:rPr>
        <w:t>idbree na</w:t>
      </w:r>
      <w:r w:rsidR="00136803" w:rsidRPr="00F439BB">
        <w:t xml:space="preserve"> 10 </w:t>
      </w:r>
      <w:r w:rsidRPr="00F439BB">
        <w:t>kg).</w:t>
      </w:r>
    </w:p>
    <w:p w14:paraId="56576BAA" w14:textId="77777777" w:rsidR="00812D16" w:rsidRPr="00F439BB" w:rsidRDefault="00812D16" w:rsidP="00204AAB">
      <w:pPr>
        <w:numPr>
          <w:ilvl w:val="12"/>
          <w:numId w:val="0"/>
        </w:numPr>
        <w:spacing w:line="240" w:lineRule="auto"/>
        <w:ind w:right="-2"/>
      </w:pPr>
    </w:p>
    <w:p w14:paraId="72CA4972" w14:textId="77777777" w:rsidR="00812D16" w:rsidRPr="00F439BB" w:rsidRDefault="00FE605C" w:rsidP="00572506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F439BB">
        <w:rPr>
          <w:b/>
        </w:rPr>
        <w:t>Farmakokinetické vlastnosti</w:t>
      </w:r>
    </w:p>
    <w:p w14:paraId="5570A1CF" w14:textId="77777777" w:rsidR="00812D16" w:rsidRPr="00F439BB" w:rsidRDefault="00812D16" w:rsidP="00085939">
      <w:pPr>
        <w:keepNext/>
        <w:spacing w:line="240" w:lineRule="auto"/>
        <w:ind w:left="567" w:hanging="567"/>
        <w:outlineLvl w:val="0"/>
      </w:pPr>
    </w:p>
    <w:p w14:paraId="5CFC64BA" w14:textId="77777777" w:rsidR="00812D16" w:rsidRPr="00F439BB" w:rsidRDefault="00D46C6F" w:rsidP="00204AA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F439BB">
        <w:rPr>
          <w:u w:val="single"/>
        </w:rPr>
        <w:t>Absorpcia</w:t>
      </w:r>
    </w:p>
    <w:p w14:paraId="59B12E4D" w14:textId="5F6C93A5" w:rsidR="00915A62" w:rsidRPr="00F439BB" w:rsidRDefault="00915A62" w:rsidP="00204AAB">
      <w:pPr>
        <w:numPr>
          <w:ilvl w:val="12"/>
          <w:numId w:val="0"/>
        </w:numPr>
        <w:spacing w:line="240" w:lineRule="auto"/>
        <w:ind w:right="-2"/>
      </w:pPr>
      <w:r w:rsidRPr="00F439BB">
        <w:t xml:space="preserve">Systémová absorpcia lidokaínu z </w:t>
      </w:r>
      <w:r w:rsidRPr="00F439BB">
        <w:rPr>
          <w:noProof/>
        </w:rPr>
        <w:t>L</w:t>
      </w:r>
      <w:r w:rsidR="00291E1C">
        <w:rPr>
          <w:noProof/>
        </w:rPr>
        <w:t>idbree</w:t>
      </w:r>
      <w:r w:rsidRPr="00F439BB">
        <w:rPr>
          <w:noProof/>
        </w:rPr>
        <w:t xml:space="preserve"> </w:t>
      </w:r>
      <w:r w:rsidRPr="00F439BB">
        <w:t>závisí od podanej dávky. V predklinických štúdiách</w:t>
      </w:r>
      <w:r w:rsidR="00453AAC" w:rsidRPr="00F439BB">
        <w:t xml:space="preserve"> boli</w:t>
      </w:r>
      <w:r w:rsidR="00F439BB" w:rsidRPr="00F439BB">
        <w:t xml:space="preserve"> </w:t>
      </w:r>
      <w:r w:rsidRPr="00F439BB">
        <w:t>plazmatické koncentrácie po intrauterinnom podaní menšie ako dávke-úmerné</w:t>
      </w:r>
      <w:r w:rsidR="00F439BB">
        <w:t xml:space="preserve"> </w:t>
      </w:r>
      <w:r w:rsidRPr="00F439BB">
        <w:t>zvýšenie pri maximálnej koncentrácii.</w:t>
      </w:r>
      <w:r w:rsidRPr="00F439BB">
        <w:br/>
        <w:t>Vysoká koncentrácia lidokaínu môže dočasne zvýšiť pH v sekrécii hlienu v mieste podania, čo zvýši stupeň absorpcie lokálneho anestetika.</w:t>
      </w:r>
      <w:r w:rsidRPr="00F439BB">
        <w:br/>
        <w:t>Absorpcia lidokaínu bola študovaná po jednorazovom cervikálno</w:t>
      </w:r>
      <w:r w:rsidR="00CD5A10" w:rsidRPr="00F439BB">
        <w:t xml:space="preserve">m a intrauterinnom podaní 8,5 ml </w:t>
      </w:r>
      <w:r w:rsidR="00CD5A10" w:rsidRPr="00F439BB">
        <w:rPr>
          <w:noProof/>
        </w:rPr>
        <w:t>L</w:t>
      </w:r>
      <w:r w:rsidR="00291E1C">
        <w:rPr>
          <w:noProof/>
        </w:rPr>
        <w:t>idbree</w:t>
      </w:r>
      <w:r w:rsidR="00CD5A10" w:rsidRPr="00F439BB">
        <w:rPr>
          <w:noProof/>
        </w:rPr>
        <w:t xml:space="preserve"> </w:t>
      </w:r>
      <w:r w:rsidRPr="00F439BB">
        <w:t xml:space="preserve">u pätnástich </w:t>
      </w:r>
      <w:r w:rsidR="00CD5A10" w:rsidRPr="00F439BB">
        <w:t>pacientok</w:t>
      </w:r>
      <w:r w:rsidRPr="00F439BB">
        <w:t xml:space="preserve"> vo veku 20 až 36 rokov, </w:t>
      </w:r>
      <w:r w:rsidR="00CD5A10" w:rsidRPr="00F439BB">
        <w:t>u viacerých</w:t>
      </w:r>
      <w:r w:rsidR="00F439BB">
        <w:t xml:space="preserve"> </w:t>
      </w:r>
      <w:r w:rsidR="00CD5A10" w:rsidRPr="00F439BB">
        <w:t xml:space="preserve">v 1. a 6. deň </w:t>
      </w:r>
      <w:r w:rsidRPr="00F439BB">
        <w:t>menštruačn</w:t>
      </w:r>
      <w:r w:rsidR="00CD5A10" w:rsidRPr="00F439BB">
        <w:t>ého</w:t>
      </w:r>
      <w:r w:rsidRPr="00F439BB">
        <w:t xml:space="preserve"> cykl</w:t>
      </w:r>
      <w:r w:rsidR="00CD5A10" w:rsidRPr="00F439BB">
        <w:t>u</w:t>
      </w:r>
      <w:r w:rsidRPr="00F439BB">
        <w:t xml:space="preserve">, pred </w:t>
      </w:r>
      <w:r w:rsidR="00CD5A10" w:rsidRPr="00F439BB">
        <w:t>zaved</w:t>
      </w:r>
      <w:r w:rsidRPr="00F439BB">
        <w:t>ením IUD. U všetkých paciento</w:t>
      </w:r>
      <w:r w:rsidR="00CD5A10" w:rsidRPr="00F439BB">
        <w:t>k</w:t>
      </w:r>
      <w:r w:rsidRPr="00F439BB">
        <w:t xml:space="preserve"> bol lidokaín </w:t>
      </w:r>
      <w:r w:rsidR="00453AAC" w:rsidRPr="00F439BB">
        <w:t>zistený</w:t>
      </w:r>
      <w:r w:rsidRPr="00F439BB">
        <w:t xml:space="preserve"> v plazme </w:t>
      </w:r>
      <w:r w:rsidR="00CD5A10" w:rsidRPr="00F439BB">
        <w:t xml:space="preserve">po </w:t>
      </w:r>
      <w:r w:rsidRPr="00F439BB">
        <w:t xml:space="preserve">5 </w:t>
      </w:r>
      <w:r w:rsidR="00CD5A10" w:rsidRPr="00F439BB">
        <w:t>až</w:t>
      </w:r>
      <w:r w:rsidRPr="00F439BB">
        <w:t xml:space="preserve"> 10 minút</w:t>
      </w:r>
      <w:r w:rsidR="00453AAC" w:rsidRPr="00F439BB">
        <w:t>ach</w:t>
      </w:r>
      <w:r w:rsidRPr="00F439BB">
        <w:t xml:space="preserve"> po intrauterinnom podaní gélu. Maximálne plazmatické koncentrácie boli pozorované p</w:t>
      </w:r>
      <w:r w:rsidR="00CD5A10" w:rsidRPr="00F439BB">
        <w:t>o</w:t>
      </w:r>
      <w:r w:rsidRPr="00F439BB">
        <w:t xml:space="preserve"> 30 až 180 minútach, priemerne </w:t>
      </w:r>
      <w:r w:rsidR="00CD5A10" w:rsidRPr="00F439BB">
        <w:t xml:space="preserve">po </w:t>
      </w:r>
      <w:r w:rsidRPr="00F439BB">
        <w:t>68 minút</w:t>
      </w:r>
      <w:r w:rsidR="00453AAC" w:rsidRPr="00F439BB">
        <w:t>ach</w:t>
      </w:r>
      <w:r w:rsidRPr="00F439BB">
        <w:t>. Priemerná (SD) maximálna plazmatická koncentrácia (C</w:t>
      </w:r>
      <w:r w:rsidR="0098412B" w:rsidRPr="00F439BB">
        <w:rPr>
          <w:vertAlign w:val="subscript"/>
        </w:rPr>
        <w:t>max</w:t>
      </w:r>
      <w:r w:rsidRPr="00F439BB">
        <w:t>) bola 351 (20</w:t>
      </w:r>
      <w:r w:rsidR="00CD5A10" w:rsidRPr="00F439BB">
        <w:t>5) ng/ml s rozsahom 65 až 725 ng/</w:t>
      </w:r>
      <w:r w:rsidRPr="00F439BB">
        <w:t>ml. Pri zvyšovaní plazmatickej konc</w:t>
      </w:r>
      <w:r w:rsidR="006F263C">
        <w:t>entrácie z 5 000 na </w:t>
      </w:r>
      <w:r w:rsidR="00CD5A10" w:rsidRPr="00F439BB">
        <w:t>10 000 ng/</w:t>
      </w:r>
      <w:r w:rsidRPr="00F439BB">
        <w:t xml:space="preserve">ml </w:t>
      </w:r>
      <w:r w:rsidR="00CD5A10" w:rsidRPr="00F439BB">
        <w:t xml:space="preserve">sú čoraz zreteľnejšie </w:t>
      </w:r>
      <w:r w:rsidRPr="00F439BB">
        <w:t>príznaky lokálnej anestetickej toxicity a pozorovaná priemerná C</w:t>
      </w:r>
      <w:r w:rsidR="0098412B" w:rsidRPr="00F439BB">
        <w:rPr>
          <w:vertAlign w:val="subscript"/>
        </w:rPr>
        <w:t>max</w:t>
      </w:r>
      <w:r w:rsidRPr="00F439BB">
        <w:t xml:space="preserve"> je </w:t>
      </w:r>
      <w:r w:rsidR="00CD5A10" w:rsidRPr="00F439BB">
        <w:t xml:space="preserve">pri počiatočných príznakoch toxicity pre CNS </w:t>
      </w:r>
      <w:r w:rsidRPr="00F439BB">
        <w:t xml:space="preserve">nižšia ako 10% maximálnej hodnoty. Počas 3 hodín sa </w:t>
      </w:r>
      <w:r w:rsidR="00CD5A10" w:rsidRPr="00F439BB">
        <w:t>koncentrácie u väčšiny pacientok</w:t>
      </w:r>
      <w:r w:rsidRPr="00F439BB">
        <w:t xml:space="preserve"> znížili na 30 </w:t>
      </w:r>
      <w:r w:rsidR="00453AAC" w:rsidRPr="00F439BB">
        <w:t>–</w:t>
      </w:r>
      <w:r w:rsidRPr="00F439BB">
        <w:t xml:space="preserve"> 50% maximálnych hodnôt.</w:t>
      </w:r>
    </w:p>
    <w:p w14:paraId="7D4A2E0A" w14:textId="77777777" w:rsidR="00915A62" w:rsidRPr="00F439BB" w:rsidRDefault="00915A62" w:rsidP="00204AAB">
      <w:pPr>
        <w:numPr>
          <w:ilvl w:val="12"/>
          <w:numId w:val="0"/>
        </w:numPr>
        <w:spacing w:line="240" w:lineRule="auto"/>
        <w:ind w:right="-2"/>
      </w:pPr>
    </w:p>
    <w:p w14:paraId="21D52F52" w14:textId="77777777" w:rsidR="00812D16" w:rsidRPr="00F439BB" w:rsidRDefault="00D46C6F" w:rsidP="00204AA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F439BB">
        <w:rPr>
          <w:u w:val="single"/>
        </w:rPr>
        <w:t>Biotransformácia, e</w:t>
      </w:r>
      <w:r w:rsidR="00FE605C" w:rsidRPr="00F439BB">
        <w:rPr>
          <w:u w:val="single"/>
        </w:rPr>
        <w:t>liminácia</w:t>
      </w:r>
    </w:p>
    <w:p w14:paraId="0A850FAB" w14:textId="636903EB" w:rsidR="00812D16" w:rsidRPr="00F439BB" w:rsidRDefault="000F1FA1" w:rsidP="00204AAB">
      <w:pPr>
        <w:numPr>
          <w:ilvl w:val="12"/>
          <w:numId w:val="0"/>
        </w:numPr>
        <w:spacing w:line="240" w:lineRule="auto"/>
        <w:ind w:right="-2"/>
      </w:pPr>
      <w:r w:rsidRPr="00F439BB">
        <w:t xml:space="preserve">Hlavnou cestou eliminácie lidokaínu je metabolizmus v pečeni, ktorý zahŕňa CYP 1A2 a 3A4, tvoriac monoetylglycinxylidid (MEGX), ktorý má farmakologickú aktivitu podobnú lidokaínu. MEGX sa ďalej metabolizuje prostredníctvom CYP2A6 a výsledné metabolity sa vylučujú obličkami. Po i.v. podaní je systémový klírens lidokaínu 10 až 20 ml/min/kg a eliminačný polčas 1,5 až 2 hodiny. </w:t>
      </w:r>
      <w:r w:rsidR="001A2CA7" w:rsidRPr="00F439BB">
        <w:t>Avšak, r</w:t>
      </w:r>
      <w:r w:rsidRPr="00F439BB">
        <w:t xml:space="preserve">ýchlosť metabolizmu a eliminácie lokálneho anestetika po </w:t>
      </w:r>
      <w:r w:rsidR="004E0057" w:rsidRPr="00F439BB">
        <w:t>topickom</w:t>
      </w:r>
      <w:r w:rsidR="00F439BB" w:rsidRPr="00F439BB">
        <w:t xml:space="preserve"> </w:t>
      </w:r>
      <w:r w:rsidR="004E0057" w:rsidRPr="00F439BB">
        <w:t>podaní</w:t>
      </w:r>
      <w:r w:rsidR="00F439BB" w:rsidRPr="00F439BB">
        <w:t xml:space="preserve"> </w:t>
      </w:r>
      <w:r w:rsidR="001A2CA7" w:rsidRPr="00F439BB">
        <w:rPr>
          <w:noProof/>
        </w:rPr>
        <w:t>L</w:t>
      </w:r>
      <w:r w:rsidR="00291E1C">
        <w:rPr>
          <w:noProof/>
        </w:rPr>
        <w:t>idbree</w:t>
      </w:r>
      <w:r w:rsidR="001A2CA7" w:rsidRPr="00F439BB">
        <w:rPr>
          <w:noProof/>
        </w:rPr>
        <w:t xml:space="preserve"> </w:t>
      </w:r>
      <w:r w:rsidRPr="00F439BB">
        <w:t>sa riadi rýchlosťou absorpcie. Z tohto dôvodu má zníženie klí</w:t>
      </w:r>
      <w:r w:rsidR="001A2CA7" w:rsidRPr="00F439BB">
        <w:t>rensu, ako napríklad u pacientok</w:t>
      </w:r>
      <w:r w:rsidRPr="00F439BB">
        <w:t xml:space="preserve"> s ťažkým poškodením funkcie pečene, po jednorazovej dávke obmedzené účinky na systémové plazmatické koncentrácie.</w:t>
      </w:r>
    </w:p>
    <w:p w14:paraId="2DB6D369" w14:textId="77777777" w:rsidR="000F1FA1" w:rsidRPr="00F439BB" w:rsidRDefault="000F1FA1" w:rsidP="00204AAB">
      <w:pPr>
        <w:numPr>
          <w:ilvl w:val="12"/>
          <w:numId w:val="0"/>
        </w:numPr>
        <w:spacing w:line="240" w:lineRule="auto"/>
        <w:ind w:right="-2"/>
      </w:pPr>
    </w:p>
    <w:p w14:paraId="59D93723" w14:textId="77777777" w:rsidR="004E0057" w:rsidRPr="00F439BB" w:rsidRDefault="004E0057" w:rsidP="00204AA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F439BB">
        <w:rPr>
          <w:u w:val="single"/>
        </w:rPr>
        <w:t>Špecifické populácie</w:t>
      </w:r>
    </w:p>
    <w:p w14:paraId="7D252B4D" w14:textId="4EC84C8D" w:rsidR="004E0057" w:rsidRPr="00F439BB" w:rsidRDefault="004E0057" w:rsidP="00204AAB">
      <w:pPr>
        <w:numPr>
          <w:ilvl w:val="12"/>
          <w:numId w:val="0"/>
        </w:numPr>
        <w:spacing w:line="240" w:lineRule="auto"/>
        <w:ind w:right="-2"/>
      </w:pPr>
      <w:r w:rsidRPr="00F439BB">
        <w:rPr>
          <w:i/>
        </w:rPr>
        <w:t>Staršie pacientky</w:t>
      </w:r>
      <w:r w:rsidRPr="00F439BB">
        <w:rPr>
          <w:i/>
        </w:rPr>
        <w:br/>
      </w:r>
      <w:r w:rsidRPr="00F439BB">
        <w:t>Klírens lidokaínu po epidurálnom podaní sa znižuje približne o</w:t>
      </w:r>
      <w:r w:rsidR="00487F48" w:rsidRPr="00F439BB">
        <w:t> </w:t>
      </w:r>
      <w:r w:rsidRPr="00F439BB">
        <w:t>40% u pacientok s priemerným vekom 77 rokov v porovnaní s pacient</w:t>
      </w:r>
      <w:r w:rsidR="00487F48" w:rsidRPr="00F439BB">
        <w:t>k</w:t>
      </w:r>
      <w:r w:rsidRPr="00F439BB">
        <w:t>ami s priemerným vekom 42 rokov, zatiaľ čo neexistujú žiadne významné rozdiely v plazmatických koncentráciách lidokaínu. Pretože rýchlosť metabolizmu a eliminácie lokálneho anestetika po topickom</w:t>
      </w:r>
      <w:r w:rsidR="00F439BB" w:rsidRPr="00F439BB">
        <w:t xml:space="preserve"> </w:t>
      </w:r>
      <w:r w:rsidRPr="00F439BB">
        <w:t xml:space="preserve">podaní </w:t>
      </w:r>
      <w:r w:rsidRPr="00F439BB">
        <w:rPr>
          <w:noProof/>
        </w:rPr>
        <w:t>L</w:t>
      </w:r>
      <w:r w:rsidR="00291E1C">
        <w:rPr>
          <w:noProof/>
        </w:rPr>
        <w:t>idbree</w:t>
      </w:r>
      <w:r w:rsidRPr="00F439BB">
        <w:rPr>
          <w:noProof/>
        </w:rPr>
        <w:t xml:space="preserve"> </w:t>
      </w:r>
      <w:r w:rsidRPr="00F439BB">
        <w:t>sa riadi rýchlosťou absorpcie, zníženie klírensu má po jednorazovej dávke obmedzené účinky na plazmatické koncentrácie.</w:t>
      </w:r>
      <w:r w:rsidRPr="00F439BB">
        <w:br/>
      </w:r>
      <w:r w:rsidRPr="00F439BB">
        <w:br/>
        <w:t xml:space="preserve">Nie sú dostupné žiadne farmakokinetické údaje o intrauterinnom a </w:t>
      </w:r>
      <w:r w:rsidR="002E077B" w:rsidRPr="00F439BB">
        <w:t>cervikálnom použití lidokaínu u </w:t>
      </w:r>
      <w:r w:rsidRPr="00F439BB">
        <w:t xml:space="preserve">postmenopauzálnych </w:t>
      </w:r>
      <w:r w:rsidR="002E077B" w:rsidRPr="00F439BB">
        <w:t>pacientok</w:t>
      </w:r>
      <w:r w:rsidRPr="00F439BB">
        <w:t xml:space="preserve">. Údaje o bezpečnosti nepreukázali zvýšené riziko po jednorazovej dávke </w:t>
      </w:r>
      <w:r w:rsidR="002E077B" w:rsidRPr="00F439BB">
        <w:t>cervikálneho</w:t>
      </w:r>
      <w:r w:rsidRPr="00F439BB">
        <w:t xml:space="preserve"> a intrauterinného lidokaínu u </w:t>
      </w:r>
      <w:r w:rsidR="002E077B" w:rsidRPr="00F439BB">
        <w:t>postmenopauzálnych pacientok</w:t>
      </w:r>
      <w:r w:rsidRPr="00F439BB">
        <w:t>.</w:t>
      </w:r>
    </w:p>
    <w:p w14:paraId="15FB3744" w14:textId="77777777" w:rsidR="004E0057" w:rsidRPr="00F439BB" w:rsidRDefault="004E0057" w:rsidP="00204AAB">
      <w:pPr>
        <w:numPr>
          <w:ilvl w:val="12"/>
          <w:numId w:val="0"/>
        </w:numPr>
        <w:spacing w:line="240" w:lineRule="auto"/>
        <w:ind w:right="-2"/>
      </w:pPr>
    </w:p>
    <w:p w14:paraId="6183DCC8" w14:textId="77777777" w:rsidR="00812D16" w:rsidRPr="00F439BB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F439BB">
        <w:rPr>
          <w:b/>
        </w:rPr>
        <w:t>Predklinické údaje o bezpečnosti</w:t>
      </w:r>
    </w:p>
    <w:p w14:paraId="1AB9BD86" w14:textId="77777777" w:rsidR="00812D16" w:rsidRPr="00F439BB" w:rsidRDefault="00812D16" w:rsidP="00085939">
      <w:pPr>
        <w:keepNext/>
        <w:spacing w:line="240" w:lineRule="auto"/>
      </w:pPr>
    </w:p>
    <w:p w14:paraId="62A8817D" w14:textId="200C5784" w:rsidR="002E077B" w:rsidRPr="00F439BB" w:rsidRDefault="002E077B" w:rsidP="00204AAB">
      <w:pPr>
        <w:spacing w:line="240" w:lineRule="auto"/>
      </w:pPr>
      <w:r w:rsidRPr="00F439BB">
        <w:t xml:space="preserve">Bola skúmaná </w:t>
      </w:r>
      <w:r w:rsidR="00554431" w:rsidRPr="00F439BB">
        <w:t>lokálna</w:t>
      </w:r>
      <w:r w:rsidRPr="00F439BB">
        <w:t xml:space="preserve"> a systémová toxicita </w:t>
      </w:r>
      <w:r w:rsidR="00554431" w:rsidRPr="00F439BB">
        <w:rPr>
          <w:noProof/>
        </w:rPr>
        <w:t>L</w:t>
      </w:r>
      <w:r w:rsidR="00291E1C">
        <w:rPr>
          <w:noProof/>
        </w:rPr>
        <w:t>idbree</w:t>
      </w:r>
      <w:r w:rsidR="00554431" w:rsidRPr="00F439BB">
        <w:rPr>
          <w:noProof/>
        </w:rPr>
        <w:t xml:space="preserve"> </w:t>
      </w:r>
      <w:r w:rsidR="00554431" w:rsidRPr="00F439BB">
        <w:t>obsahujúceho 40 alebo 50 mg/</w:t>
      </w:r>
      <w:r w:rsidRPr="00F439BB">
        <w:t>ml lidokaínu až do maximálneho obj</w:t>
      </w:r>
      <w:r w:rsidR="00554431" w:rsidRPr="00F439BB">
        <w:t>emu intrauterinnej dávky 1 ml/</w:t>
      </w:r>
      <w:r w:rsidRPr="00F439BB">
        <w:t xml:space="preserve">kg u </w:t>
      </w:r>
      <w:r w:rsidR="005213F8" w:rsidRPr="00F439BB">
        <w:t>feniek</w:t>
      </w:r>
      <w:r w:rsidRPr="00F439BB">
        <w:t xml:space="preserve"> bígla po</w:t>
      </w:r>
      <w:r w:rsidR="00554431" w:rsidRPr="00F439BB">
        <w:t>čas</w:t>
      </w:r>
      <w:r w:rsidRPr="00F439BB">
        <w:t xml:space="preserve"> 28 dní. V dôsledku prítomnosti </w:t>
      </w:r>
      <w:r w:rsidR="00313288">
        <w:t xml:space="preserve">ricínoleoylmakrogol-glycerolu </w:t>
      </w:r>
      <w:r w:rsidRPr="00F439BB">
        <w:t>a drobných zmien svedčiacich o periférnej neuropatii v 28-dňovej štúdii sa uskutočnila štúdia s jedno</w:t>
      </w:r>
      <w:r w:rsidR="00487F48" w:rsidRPr="00F439BB">
        <w:t>razovo</w:t>
      </w:r>
      <w:r w:rsidRPr="00F439BB">
        <w:t xml:space="preserve">u dávkou </w:t>
      </w:r>
      <w:r w:rsidR="007235AC" w:rsidRPr="00F439BB">
        <w:rPr>
          <w:noProof/>
        </w:rPr>
        <w:t>L</w:t>
      </w:r>
      <w:r w:rsidR="00284E9A">
        <w:rPr>
          <w:noProof/>
        </w:rPr>
        <w:t>idbree</w:t>
      </w:r>
      <w:r w:rsidR="007235AC" w:rsidRPr="00F439BB">
        <w:rPr>
          <w:noProof/>
        </w:rPr>
        <w:t>,</w:t>
      </w:r>
      <w:r w:rsidR="00313288">
        <w:rPr>
          <w:noProof/>
        </w:rPr>
        <w:t xml:space="preserve"> </w:t>
      </w:r>
      <w:r w:rsidRPr="00F439BB">
        <w:t>hodnotiaca periférne ner</w:t>
      </w:r>
      <w:r w:rsidR="007235AC" w:rsidRPr="00F439BB">
        <w:t xml:space="preserve">vy pri maximálnom objeme </w:t>
      </w:r>
      <w:r w:rsidR="00313288" w:rsidRPr="00F439BB">
        <w:t>1</w:t>
      </w:r>
      <w:r w:rsidR="00313288">
        <w:t> </w:t>
      </w:r>
      <w:r w:rsidR="007235AC" w:rsidRPr="00F439BB">
        <w:t>ml/</w:t>
      </w:r>
      <w:r w:rsidRPr="00F439BB">
        <w:t xml:space="preserve">kg </w:t>
      </w:r>
      <w:r w:rsidR="007235AC" w:rsidRPr="00F439BB">
        <w:rPr>
          <w:noProof/>
        </w:rPr>
        <w:t>L</w:t>
      </w:r>
      <w:r w:rsidR="00284E9A">
        <w:rPr>
          <w:noProof/>
        </w:rPr>
        <w:t>idbree</w:t>
      </w:r>
      <w:r w:rsidRPr="00F439BB">
        <w:t>. Dáv</w:t>
      </w:r>
      <w:r w:rsidR="00922259" w:rsidRPr="00F439BB">
        <w:t>ka lidokaínu pri 40 alebo 50 mg/</w:t>
      </w:r>
      <w:r w:rsidRPr="00F439BB">
        <w:t xml:space="preserve">kg bola pri terapeutickom použití 7 až 10-násobkom dávky u ľudí. Intrauterinná aplikácia </w:t>
      </w:r>
      <w:r w:rsidR="00922259" w:rsidRPr="00F439BB">
        <w:rPr>
          <w:noProof/>
        </w:rPr>
        <w:t>L</w:t>
      </w:r>
      <w:r w:rsidR="00284E9A">
        <w:rPr>
          <w:noProof/>
        </w:rPr>
        <w:t>idbree</w:t>
      </w:r>
      <w:r w:rsidR="00922259" w:rsidRPr="00F439BB">
        <w:rPr>
          <w:noProof/>
        </w:rPr>
        <w:t xml:space="preserve"> </w:t>
      </w:r>
      <w:r w:rsidR="00487F48" w:rsidRPr="00F439BB">
        <w:t>fenám</w:t>
      </w:r>
      <w:r w:rsidRPr="00F439BB">
        <w:t xml:space="preserve"> bíglov naznačovala rýchle systémové vychytávanie lidokaínu. Pri tejto dávke </w:t>
      </w:r>
      <w:r w:rsidR="00217758" w:rsidRPr="00F439BB">
        <w:rPr>
          <w:noProof/>
        </w:rPr>
        <w:t>L</w:t>
      </w:r>
      <w:r w:rsidR="00284E9A">
        <w:rPr>
          <w:noProof/>
        </w:rPr>
        <w:t>idbree</w:t>
      </w:r>
      <w:r w:rsidR="00217758" w:rsidRPr="00F439BB">
        <w:rPr>
          <w:noProof/>
        </w:rPr>
        <w:t xml:space="preserve"> </w:t>
      </w:r>
      <w:r w:rsidRPr="00F439BB">
        <w:t>sa n</w:t>
      </w:r>
      <w:r w:rsidR="000F783C" w:rsidRPr="00F439BB">
        <w:t>epozorovali ná</w:t>
      </w:r>
      <w:r w:rsidRPr="00F439BB">
        <w:t>zna</w:t>
      </w:r>
      <w:r w:rsidR="000F783C" w:rsidRPr="00F439BB">
        <w:t>ky systémovej toxicity</w:t>
      </w:r>
      <w:r w:rsidRPr="00F439BB">
        <w:t xml:space="preserve"> lidokaínu alebo </w:t>
      </w:r>
      <w:r w:rsidR="000F783C" w:rsidRPr="00F439BB">
        <w:t>lokálnych</w:t>
      </w:r>
      <w:r w:rsidRPr="00F439BB">
        <w:t xml:space="preserve"> reakci</w:t>
      </w:r>
      <w:r w:rsidR="000F783C" w:rsidRPr="00F439BB">
        <w:t>í</w:t>
      </w:r>
      <w:r w:rsidR="00F439BB">
        <w:t xml:space="preserve"> </w:t>
      </w:r>
      <w:r w:rsidR="000F783C" w:rsidRPr="00F439BB">
        <w:t>na</w:t>
      </w:r>
      <w:r w:rsidRPr="00F439BB">
        <w:t xml:space="preserve"> vaginálnych, </w:t>
      </w:r>
      <w:r w:rsidR="000F783C" w:rsidRPr="00F439BB">
        <w:t>cervikálnych</w:t>
      </w:r>
      <w:r w:rsidRPr="00F439BB">
        <w:t xml:space="preserve"> alebo </w:t>
      </w:r>
      <w:r w:rsidR="000F783C" w:rsidRPr="00F439BB">
        <w:t>uterinných</w:t>
      </w:r>
      <w:r w:rsidR="00F439BB">
        <w:t xml:space="preserve"> </w:t>
      </w:r>
      <w:r w:rsidR="000F783C" w:rsidRPr="00F439BB">
        <w:t>sliznicia</w:t>
      </w:r>
      <w:r w:rsidRPr="00F439BB">
        <w:t xml:space="preserve">ch. </w:t>
      </w:r>
      <w:r w:rsidR="000F783C" w:rsidRPr="00F439BB">
        <w:t>Výsledky</w:t>
      </w:r>
      <w:r w:rsidR="00F439BB">
        <w:t xml:space="preserve"> </w:t>
      </w:r>
      <w:r w:rsidR="000F783C" w:rsidRPr="00F439BB">
        <w:t>zo</w:t>
      </w:r>
      <w:r w:rsidRPr="00F439BB">
        <w:t xml:space="preserve"> štúdi</w:t>
      </w:r>
      <w:r w:rsidR="000F783C" w:rsidRPr="00F439BB">
        <w:t>e s jednorazovou dávkou 40 mg/</w:t>
      </w:r>
      <w:r w:rsidRPr="00F439BB">
        <w:t xml:space="preserve">kg lidokaínu </w:t>
      </w:r>
      <w:r w:rsidR="000F783C" w:rsidRPr="00F439BB">
        <w:t>neodhalili žiadne</w:t>
      </w:r>
      <w:r w:rsidRPr="00F439BB">
        <w:t xml:space="preserve"> riziko systémovej toxicity alebo periférnej ne</w:t>
      </w:r>
      <w:r w:rsidR="000F783C" w:rsidRPr="00F439BB">
        <w:t>ur</w:t>
      </w:r>
      <w:r w:rsidRPr="00F439BB">
        <w:t>ot</w:t>
      </w:r>
      <w:r w:rsidR="000F783C" w:rsidRPr="00F439BB">
        <w:t xml:space="preserve">oxicity po jednorazovej dávke pre </w:t>
      </w:r>
      <w:r w:rsidRPr="00F439BB">
        <w:t>ľudí.</w:t>
      </w:r>
    </w:p>
    <w:p w14:paraId="757C8102" w14:textId="77777777" w:rsidR="002E077B" w:rsidRPr="00F439BB" w:rsidRDefault="002E077B" w:rsidP="00204AAB">
      <w:pPr>
        <w:spacing w:line="240" w:lineRule="auto"/>
      </w:pPr>
    </w:p>
    <w:p w14:paraId="446E1972" w14:textId="14862CD6" w:rsidR="000F783C" w:rsidRPr="00F439BB" w:rsidRDefault="000F783C" w:rsidP="00204AAB">
      <w:pPr>
        <w:spacing w:line="240" w:lineRule="auto"/>
      </w:pPr>
      <w:r w:rsidRPr="00F439BB">
        <w:rPr>
          <w:i/>
        </w:rPr>
        <w:t>Reprodukčná toxikológia</w:t>
      </w:r>
      <w:r w:rsidRPr="00F439BB">
        <w:rPr>
          <w:i/>
        </w:rPr>
        <w:br/>
      </w:r>
      <w:r w:rsidRPr="00F439BB">
        <w:t xml:space="preserve">S </w:t>
      </w:r>
      <w:r w:rsidRPr="00F439BB">
        <w:rPr>
          <w:noProof/>
        </w:rPr>
        <w:t>L</w:t>
      </w:r>
      <w:r w:rsidR="00284E9A">
        <w:rPr>
          <w:noProof/>
        </w:rPr>
        <w:t>idbree</w:t>
      </w:r>
      <w:r w:rsidRPr="00F439BB">
        <w:rPr>
          <w:noProof/>
        </w:rPr>
        <w:t xml:space="preserve"> </w:t>
      </w:r>
      <w:r w:rsidRPr="00F439BB">
        <w:t>sa nevykonali žiadne predklinické štúdie fertility, embryofetálneho vývinu alebo pred- a</w:t>
      </w:r>
      <w:r w:rsidR="006F263C">
        <w:t> </w:t>
      </w:r>
      <w:r w:rsidRPr="00F439BB">
        <w:t>postnatálnej toxicity. V štúdiách s lidokaínom sa nepozorovalo zhoršenie fertility samcov alebo samíc potkanov.</w:t>
      </w:r>
      <w:r w:rsidRPr="00F439BB">
        <w:br/>
      </w:r>
      <w:r w:rsidRPr="00F439BB">
        <w:br/>
        <w:t>Lidoka</w:t>
      </w:r>
      <w:r w:rsidR="005213F8" w:rsidRPr="00F439BB">
        <w:t>í</w:t>
      </w:r>
      <w:r w:rsidRPr="00F439BB">
        <w:t>n prechádza placentárnou bariérou prostredníctvom jednoduchej difúzie. Embryotoxické alebo fetotoxické účinky lidokaínu sa zistili u králikov, ale iba pri dávkach toxických pre matku, ktoré sú vyššie ako klinická dávka.</w:t>
      </w:r>
    </w:p>
    <w:p w14:paraId="4ED2FDA9" w14:textId="77777777" w:rsidR="000F783C" w:rsidRPr="00F439BB" w:rsidRDefault="000F783C" w:rsidP="00204AAB">
      <w:pPr>
        <w:spacing w:line="240" w:lineRule="auto"/>
      </w:pPr>
    </w:p>
    <w:p w14:paraId="0F5A0EAB" w14:textId="1FFB0C8D" w:rsidR="000F783C" w:rsidRPr="00F439BB" w:rsidRDefault="000F783C" w:rsidP="00204AAB">
      <w:pPr>
        <w:spacing w:line="240" w:lineRule="auto"/>
      </w:pPr>
      <w:r w:rsidRPr="00F439BB">
        <w:rPr>
          <w:i/>
        </w:rPr>
        <w:t>Genotoxicita a karcinogenita</w:t>
      </w:r>
      <w:r w:rsidRPr="00F439BB">
        <w:br/>
      </w:r>
      <w:r w:rsidR="004B0B8E" w:rsidRPr="00F439BB">
        <w:t xml:space="preserve">S </w:t>
      </w:r>
      <w:r w:rsidR="004B0B8E" w:rsidRPr="00F439BB">
        <w:rPr>
          <w:noProof/>
        </w:rPr>
        <w:t>L</w:t>
      </w:r>
      <w:r w:rsidR="00284E9A">
        <w:rPr>
          <w:noProof/>
        </w:rPr>
        <w:t>idbree</w:t>
      </w:r>
      <w:r w:rsidR="00F439BB" w:rsidRPr="00F439BB">
        <w:rPr>
          <w:noProof/>
        </w:rPr>
        <w:t xml:space="preserve"> </w:t>
      </w:r>
      <w:r w:rsidR="004B0B8E" w:rsidRPr="00F439BB">
        <w:t>sa nevykonali š</w:t>
      </w:r>
      <w:r w:rsidRPr="00F439BB">
        <w:t>túdie genotoxicity alebo karcinogenity.</w:t>
      </w:r>
      <w:r w:rsidRPr="00F439BB">
        <w:br/>
        <w:t xml:space="preserve">Testy genotoxicity s lidokaínom nepreukázali mutagénny potenciál. Metabolit lidokaínu, 2,6-dimetylanilín, vykazoval slabý dôkaz aktivity v niektorých testoch genotoxicity. V predklinických toxikologických štúdiách hodnotiacich chronickú expozíciu sa preukázalo, že metabolit 2,6-dimetylanilín má karcinogénny potenciál. Hodnotenia rizika porovnávajúce vypočítanú maximálnu expozíciu </w:t>
      </w:r>
      <w:r w:rsidR="00893EE0" w:rsidRPr="00F439BB">
        <w:t xml:space="preserve">u </w:t>
      </w:r>
      <w:r w:rsidRPr="00F439BB">
        <w:t xml:space="preserve">ľudí pri </w:t>
      </w:r>
      <w:r w:rsidR="00893EE0" w:rsidRPr="00F439BB">
        <w:t>intermitentnom používaní</w:t>
      </w:r>
      <w:r w:rsidRPr="00F439BB">
        <w:t xml:space="preserve"> lidokaínu</w:t>
      </w:r>
      <w:r w:rsidR="00893EE0" w:rsidRPr="00F439BB">
        <w:t>,</w:t>
      </w:r>
      <w:r w:rsidRPr="00F439BB">
        <w:t xml:space="preserve"> s expozíciou použitou v predklinických štúdiách naznačujú veľkú mieru bezpečnosti pre klinické použitie. Štúdie rakoviny s lidokaínom sa nevykonali z dôvodu oblasti a </w:t>
      </w:r>
      <w:r w:rsidR="00DC0B1A" w:rsidRPr="00F439BB">
        <w:t>trvania terapeutického použitia</w:t>
      </w:r>
      <w:r w:rsidRPr="00F439BB">
        <w:t xml:space="preserve"> pre tento liek.</w:t>
      </w:r>
    </w:p>
    <w:p w14:paraId="0CF17A89" w14:textId="77777777" w:rsidR="00812D16" w:rsidRPr="00F439BB" w:rsidRDefault="00812D16" w:rsidP="00204AAB">
      <w:pPr>
        <w:spacing w:line="240" w:lineRule="auto"/>
      </w:pPr>
    </w:p>
    <w:p w14:paraId="26F68707" w14:textId="77777777" w:rsidR="00812D16" w:rsidRPr="00F439BB" w:rsidRDefault="00FE605C" w:rsidP="00572506">
      <w:pPr>
        <w:keepNext/>
        <w:numPr>
          <w:ilvl w:val="0"/>
          <w:numId w:val="6"/>
        </w:numPr>
        <w:suppressAutoHyphens/>
        <w:spacing w:line="240" w:lineRule="auto"/>
        <w:rPr>
          <w:b/>
        </w:rPr>
      </w:pPr>
      <w:r w:rsidRPr="00F439BB">
        <w:rPr>
          <w:b/>
        </w:rPr>
        <w:t>FARMACEUTICKÉ INFORMÁCIE</w:t>
      </w:r>
    </w:p>
    <w:p w14:paraId="5AA6E64B" w14:textId="77777777" w:rsidR="00812D16" w:rsidRPr="00F439BB" w:rsidRDefault="00812D16" w:rsidP="00085939">
      <w:pPr>
        <w:keepNext/>
        <w:spacing w:line="240" w:lineRule="auto"/>
      </w:pPr>
    </w:p>
    <w:p w14:paraId="4FDDA16A" w14:textId="77777777" w:rsidR="00812D16" w:rsidRPr="00F439BB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F439BB">
        <w:rPr>
          <w:b/>
        </w:rPr>
        <w:t>Zoznam pomocných látok</w:t>
      </w:r>
    </w:p>
    <w:p w14:paraId="04863501" w14:textId="77777777" w:rsidR="00812D16" w:rsidRPr="00F439BB" w:rsidRDefault="00812D16" w:rsidP="00085939">
      <w:pPr>
        <w:keepNext/>
        <w:spacing w:line="240" w:lineRule="auto"/>
        <w:rPr>
          <w:i/>
        </w:rPr>
      </w:pPr>
    </w:p>
    <w:p w14:paraId="2BAC2482" w14:textId="7D1D485F" w:rsidR="00DC0B1A" w:rsidRPr="00F439BB" w:rsidRDefault="00313288" w:rsidP="00DC0B1A">
      <w:r>
        <w:t xml:space="preserve">Ricínoleoylmakrogol-glycerol </w:t>
      </w:r>
      <w:r w:rsidR="00DC0B1A" w:rsidRPr="00F439BB">
        <w:t>(polyoxyl ricínového oleja)</w:t>
      </w:r>
    </w:p>
    <w:p w14:paraId="06014B19" w14:textId="676E6BD5" w:rsidR="00DC0B1A" w:rsidRPr="00F439BB" w:rsidRDefault="00DC0B1A" w:rsidP="00DC0B1A">
      <w:r w:rsidRPr="00F439BB">
        <w:t xml:space="preserve">Poloxamér (obsahujúci </w:t>
      </w:r>
      <w:r w:rsidR="00047116">
        <w:t xml:space="preserve">butylhydroxytoluén </w:t>
      </w:r>
      <w:r w:rsidRPr="00F439BB">
        <w:t>(E321))</w:t>
      </w:r>
    </w:p>
    <w:p w14:paraId="7AAAB693" w14:textId="122BA605" w:rsidR="00DC0B1A" w:rsidRPr="00F439BB" w:rsidRDefault="00313288" w:rsidP="00DC0B1A">
      <w:r>
        <w:t>Askorbát sodný</w:t>
      </w:r>
      <w:r w:rsidR="00DC0B1A" w:rsidRPr="00F439BB">
        <w:t xml:space="preserve"> (E301)</w:t>
      </w:r>
    </w:p>
    <w:p w14:paraId="022B23F6" w14:textId="77777777" w:rsidR="00DC0B1A" w:rsidRPr="00F439BB" w:rsidRDefault="00DC0B1A" w:rsidP="00DC0B1A">
      <w:r w:rsidRPr="00F439BB">
        <w:t>Kyselina chlorovodíková na úpravu pH</w:t>
      </w:r>
    </w:p>
    <w:p w14:paraId="4C0F3FE6" w14:textId="77777777" w:rsidR="00DC0B1A" w:rsidRPr="00F439BB" w:rsidRDefault="00DC0B1A" w:rsidP="00DC0B1A">
      <w:r w:rsidRPr="00F439BB">
        <w:t>Hydroxid sodný na úpravu pH</w:t>
      </w:r>
    </w:p>
    <w:p w14:paraId="001348DB" w14:textId="2F8CC6EA" w:rsidR="00DC0B1A" w:rsidRPr="00F439BB" w:rsidRDefault="00DC0B1A" w:rsidP="00DC0B1A">
      <w:r w:rsidRPr="00F439BB">
        <w:t xml:space="preserve">Voda na </w:t>
      </w:r>
      <w:r w:rsidR="00313288" w:rsidRPr="00F439BB">
        <w:t>injekci</w:t>
      </w:r>
      <w:r w:rsidR="00313288">
        <w:t>e</w:t>
      </w:r>
    </w:p>
    <w:p w14:paraId="7EDEAC0F" w14:textId="77777777" w:rsidR="00812D16" w:rsidRPr="00F439BB" w:rsidRDefault="00812D16" w:rsidP="00204AAB">
      <w:pPr>
        <w:spacing w:line="240" w:lineRule="auto"/>
      </w:pPr>
    </w:p>
    <w:p w14:paraId="3F7BA5A0" w14:textId="77777777" w:rsidR="00812D16" w:rsidRPr="00F439BB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F439BB">
        <w:rPr>
          <w:b/>
        </w:rPr>
        <w:t>Inkompatibility</w:t>
      </w:r>
    </w:p>
    <w:p w14:paraId="058DBB14" w14:textId="77777777" w:rsidR="00812D16" w:rsidRPr="00F439BB" w:rsidRDefault="00812D16" w:rsidP="00085939">
      <w:pPr>
        <w:keepNext/>
        <w:spacing w:line="240" w:lineRule="auto"/>
      </w:pPr>
    </w:p>
    <w:p w14:paraId="294E9A7A" w14:textId="77777777" w:rsidR="00812D16" w:rsidRPr="00F439BB" w:rsidRDefault="00DC0B1A" w:rsidP="00204AAB">
      <w:pPr>
        <w:spacing w:line="240" w:lineRule="auto"/>
      </w:pPr>
      <w:r w:rsidRPr="00F439BB">
        <w:t>Neaplikovateľné.</w:t>
      </w:r>
    </w:p>
    <w:p w14:paraId="4788F43D" w14:textId="77777777" w:rsidR="00812D16" w:rsidRPr="00F439BB" w:rsidRDefault="00812D16" w:rsidP="00204AAB">
      <w:pPr>
        <w:spacing w:line="240" w:lineRule="auto"/>
      </w:pPr>
    </w:p>
    <w:p w14:paraId="6C0EB1A8" w14:textId="77777777" w:rsidR="00812D16" w:rsidRPr="00F439BB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F439BB">
        <w:rPr>
          <w:b/>
        </w:rPr>
        <w:t>Čas použiteľnosti</w:t>
      </w:r>
    </w:p>
    <w:p w14:paraId="0AC270A5" w14:textId="77777777" w:rsidR="00812D16" w:rsidRPr="00F439BB" w:rsidRDefault="00812D16" w:rsidP="00085939">
      <w:pPr>
        <w:keepNext/>
        <w:spacing w:line="240" w:lineRule="auto"/>
      </w:pPr>
    </w:p>
    <w:p w14:paraId="60683218" w14:textId="77777777" w:rsidR="00812D16" w:rsidRPr="00F439BB" w:rsidRDefault="00FE605C" w:rsidP="00204AAB">
      <w:pPr>
        <w:spacing w:line="240" w:lineRule="auto"/>
      </w:pPr>
      <w:r w:rsidRPr="00F439BB">
        <w:t>2 roky</w:t>
      </w:r>
      <w:r w:rsidR="00DC0B1A" w:rsidRPr="00F439BB">
        <w:t>.</w:t>
      </w:r>
    </w:p>
    <w:p w14:paraId="1856BFDA" w14:textId="77777777" w:rsidR="00812D16" w:rsidRPr="00F439BB" w:rsidRDefault="00812D16" w:rsidP="00204AAB">
      <w:pPr>
        <w:spacing w:line="240" w:lineRule="auto"/>
      </w:pPr>
    </w:p>
    <w:p w14:paraId="530ACEB5" w14:textId="77777777" w:rsidR="00812D16" w:rsidRPr="00F439BB" w:rsidRDefault="00FE605C" w:rsidP="00572506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F439BB">
        <w:rPr>
          <w:b/>
        </w:rPr>
        <w:t>Špeciálne upozornenia na uchovávanie</w:t>
      </w:r>
    </w:p>
    <w:p w14:paraId="60A8DEA7" w14:textId="77777777" w:rsidR="005108A3" w:rsidRPr="00F439BB" w:rsidRDefault="005108A3" w:rsidP="00085939">
      <w:pPr>
        <w:keepNext/>
        <w:spacing w:line="240" w:lineRule="auto"/>
        <w:ind w:left="567" w:hanging="567"/>
        <w:outlineLvl w:val="0"/>
      </w:pPr>
    </w:p>
    <w:p w14:paraId="497291E5" w14:textId="77777777" w:rsidR="00812D16" w:rsidRPr="00F439BB" w:rsidRDefault="00DC0B1A" w:rsidP="00204AAB">
      <w:pPr>
        <w:spacing w:line="240" w:lineRule="auto"/>
        <w:rPr>
          <w:i/>
        </w:rPr>
      </w:pPr>
      <w:r w:rsidRPr="00F439BB">
        <w:t>L</w:t>
      </w:r>
      <w:r w:rsidR="00FE605C" w:rsidRPr="00F439BB">
        <w:t>iek</w:t>
      </w:r>
      <w:r w:rsidRPr="00F439BB">
        <w:t xml:space="preserve"> nevyžaduje žiadne špeciálne podmienky na uchovávanie.</w:t>
      </w:r>
    </w:p>
    <w:p w14:paraId="4B53E73E" w14:textId="77777777" w:rsidR="00812D16" w:rsidRPr="00F439BB" w:rsidRDefault="00812D16" w:rsidP="00204AAB">
      <w:pPr>
        <w:spacing w:line="240" w:lineRule="auto"/>
      </w:pPr>
    </w:p>
    <w:p w14:paraId="6CDB0253" w14:textId="77777777" w:rsidR="00812D16" w:rsidRPr="00F439BB" w:rsidRDefault="00FE605C" w:rsidP="00572506">
      <w:pPr>
        <w:keepNext/>
        <w:numPr>
          <w:ilvl w:val="1"/>
          <w:numId w:val="6"/>
        </w:numP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F439BB">
        <w:rPr>
          <w:b/>
        </w:rPr>
        <w:t>Druh obalu a</w:t>
      </w:r>
      <w:r w:rsidR="00851AE0" w:rsidRPr="00F439BB">
        <w:rPr>
          <w:b/>
        </w:rPr>
        <w:t> </w:t>
      </w:r>
      <w:r w:rsidR="00DC0B1A" w:rsidRPr="00F439BB">
        <w:rPr>
          <w:b/>
        </w:rPr>
        <w:t>obsah balenia</w:t>
      </w:r>
    </w:p>
    <w:p w14:paraId="28F50AF6" w14:textId="77777777" w:rsidR="00812D16" w:rsidRPr="00F439BB" w:rsidRDefault="00812D16" w:rsidP="00085939">
      <w:pPr>
        <w:keepNext/>
        <w:spacing w:line="240" w:lineRule="auto"/>
        <w:outlineLvl w:val="0"/>
      </w:pPr>
    </w:p>
    <w:p w14:paraId="5BB24CEB" w14:textId="5C02629A" w:rsidR="00DC0B1A" w:rsidRPr="00F439BB" w:rsidRDefault="00DC0B1A" w:rsidP="00085939">
      <w:pPr>
        <w:keepNext/>
        <w:spacing w:line="240" w:lineRule="auto"/>
        <w:outlineLvl w:val="0"/>
      </w:pPr>
      <w:r w:rsidRPr="00F439BB">
        <w:rPr>
          <w:noProof/>
        </w:rPr>
        <w:t>L</w:t>
      </w:r>
      <w:r w:rsidR="00284E9A">
        <w:rPr>
          <w:noProof/>
        </w:rPr>
        <w:t>idbree</w:t>
      </w:r>
      <w:r w:rsidRPr="00F439BB">
        <w:rPr>
          <w:noProof/>
        </w:rPr>
        <w:t xml:space="preserve"> 42 mg/ml intrauterinný gél</w:t>
      </w:r>
      <w:r w:rsidRPr="00F439BB">
        <w:t xml:space="preserve"> sa dodáva v sterilnej </w:t>
      </w:r>
      <w:r w:rsidR="005A2DDA">
        <w:t>na</w:t>
      </w:r>
      <w:r w:rsidR="005A2DDA" w:rsidRPr="00F439BB">
        <w:t xml:space="preserve">plnenej </w:t>
      </w:r>
      <w:r w:rsidRPr="00F439BB">
        <w:t>injekčnej striekačke s objemom 10 ml (cyklický olefínový kopolymér)</w:t>
      </w:r>
      <w:r w:rsidR="00ED6BB2" w:rsidRPr="00F439BB">
        <w:t>,</w:t>
      </w:r>
      <w:r w:rsidRPr="00F439BB">
        <w:t xml:space="preserve"> s brómbutylov</w:t>
      </w:r>
      <w:r w:rsidR="00D34B0A" w:rsidRPr="00F439BB">
        <w:t>ým</w:t>
      </w:r>
      <w:r w:rsidRPr="00F439BB">
        <w:t xml:space="preserve"> gumov</w:t>
      </w:r>
      <w:r w:rsidR="00D34B0A" w:rsidRPr="00F439BB">
        <w:t>ým</w:t>
      </w:r>
      <w:r w:rsidR="00F439BB">
        <w:t xml:space="preserve"> </w:t>
      </w:r>
      <w:r w:rsidR="00D34B0A" w:rsidRPr="00F439BB">
        <w:t>klobúčikom</w:t>
      </w:r>
      <w:r w:rsidRPr="00F439BB">
        <w:t xml:space="preserve"> a zátkou, balen</w:t>
      </w:r>
      <w:r w:rsidR="00ED6BB2" w:rsidRPr="00F439BB">
        <w:t>ej</w:t>
      </w:r>
      <w:r w:rsidRPr="00F439BB">
        <w:t xml:space="preserve"> v </w:t>
      </w:r>
      <w:r w:rsidR="00ED6BB2" w:rsidRPr="00F439BB">
        <w:t>jednom</w:t>
      </w:r>
      <w:r w:rsidRPr="00F439BB">
        <w:t xml:space="preserve"> blistri </w:t>
      </w:r>
      <w:r w:rsidR="00ED6BB2" w:rsidRPr="00F439BB">
        <w:t xml:space="preserve">spolu s </w:t>
      </w:r>
      <w:r w:rsidRPr="00F439BB">
        <w:t>piest</w:t>
      </w:r>
      <w:r w:rsidR="00ED6BB2" w:rsidRPr="00F439BB">
        <w:t>o</w:t>
      </w:r>
      <w:r w:rsidR="00CC3E86">
        <w:t>m</w:t>
      </w:r>
      <w:r w:rsidRPr="00F439BB">
        <w:t xml:space="preserve">. Injekčná striekačka </w:t>
      </w:r>
      <w:r w:rsidR="00FF3DB7" w:rsidRPr="00F439BB">
        <w:t>je označená</w:t>
      </w:r>
      <w:r w:rsidR="00ED6BB2" w:rsidRPr="00F439BB">
        <w:t xml:space="preserve"> stupnic</w:t>
      </w:r>
      <w:r w:rsidR="00FF3DB7" w:rsidRPr="00F439BB">
        <w:t>o</w:t>
      </w:r>
      <w:r w:rsidR="00ED6BB2" w:rsidRPr="00F439BB">
        <w:t xml:space="preserve">u </w:t>
      </w:r>
      <w:r w:rsidRPr="00F439BB">
        <w:t xml:space="preserve">v ml. Sterilný (polypropylénový) aplikátor s Luerovým zámkom kompatibilným s </w:t>
      </w:r>
      <w:r w:rsidR="005A2DDA">
        <w:t>na</w:t>
      </w:r>
      <w:r w:rsidR="005A2DDA" w:rsidRPr="00F439BB">
        <w:t xml:space="preserve">plnenou </w:t>
      </w:r>
      <w:r w:rsidRPr="00F439BB">
        <w:t>injekčnou striekačkou sa dodá</w:t>
      </w:r>
      <w:r w:rsidR="00ED6BB2" w:rsidRPr="00F439BB">
        <w:t>va v samostatnom vrecku v škatuľke</w:t>
      </w:r>
      <w:r w:rsidRPr="00F439BB">
        <w:t>. Z aplikátora</w:t>
      </w:r>
      <w:r w:rsidR="00ED6BB2" w:rsidRPr="00F439BB">
        <w:t xml:space="preserve"> injekčnej</w:t>
      </w:r>
      <w:r w:rsidRPr="00F439BB">
        <w:t xml:space="preserve"> striekačky </w:t>
      </w:r>
      <w:r w:rsidR="00ED6BB2" w:rsidRPr="00F439BB">
        <w:t>je</w:t>
      </w:r>
      <w:r w:rsidRPr="00F439BB">
        <w:t xml:space="preserve"> m</w:t>
      </w:r>
      <w:r w:rsidR="00ED6BB2" w:rsidRPr="00F439BB">
        <w:t>o</w:t>
      </w:r>
      <w:r w:rsidRPr="00F439BB">
        <w:t>ž</w:t>
      </w:r>
      <w:r w:rsidR="00ED6BB2" w:rsidRPr="00F439BB">
        <w:t>né</w:t>
      </w:r>
      <w:r w:rsidRPr="00F439BB">
        <w:t xml:space="preserve"> extrudovať 8,5 ml.</w:t>
      </w:r>
    </w:p>
    <w:p w14:paraId="623DAD22" w14:textId="77777777" w:rsidR="00DC0B1A" w:rsidRPr="00F439BB" w:rsidRDefault="00DC0B1A" w:rsidP="00085939">
      <w:pPr>
        <w:keepNext/>
        <w:spacing w:line="240" w:lineRule="auto"/>
        <w:outlineLvl w:val="0"/>
      </w:pPr>
    </w:p>
    <w:p w14:paraId="7327E26A" w14:textId="628D956B" w:rsidR="00DC0B1A" w:rsidRPr="00F439BB" w:rsidRDefault="00DC0B1A" w:rsidP="00DC0B1A">
      <w:pPr>
        <w:rPr>
          <w:noProof/>
          <w:szCs w:val="22"/>
        </w:rPr>
      </w:pPr>
      <w:r w:rsidRPr="00F439BB">
        <w:rPr>
          <w:noProof/>
          <w:szCs w:val="22"/>
        </w:rPr>
        <w:t>Veľkosť balenia: 1×10 ml intrauterinný gél</w:t>
      </w:r>
      <w:r w:rsidR="005A2DDA">
        <w:rPr>
          <w:noProof/>
          <w:szCs w:val="22"/>
        </w:rPr>
        <w:t xml:space="preserve"> </w:t>
      </w:r>
      <w:r w:rsidRPr="00F439BB">
        <w:rPr>
          <w:noProof/>
          <w:szCs w:val="22"/>
        </w:rPr>
        <w:t>v</w:t>
      </w:r>
      <w:r w:rsidR="005213F8" w:rsidRPr="00F439BB">
        <w:rPr>
          <w:noProof/>
          <w:szCs w:val="22"/>
        </w:rPr>
        <w:t> </w:t>
      </w:r>
      <w:r w:rsidR="005A2DDA">
        <w:rPr>
          <w:noProof/>
          <w:szCs w:val="22"/>
        </w:rPr>
        <w:t>na</w:t>
      </w:r>
      <w:r w:rsidR="005A2DDA" w:rsidRPr="00F439BB">
        <w:rPr>
          <w:noProof/>
          <w:szCs w:val="22"/>
        </w:rPr>
        <w:t>plnenej</w:t>
      </w:r>
      <w:r w:rsidR="005A2DDA">
        <w:rPr>
          <w:noProof/>
          <w:szCs w:val="22"/>
        </w:rPr>
        <w:t xml:space="preserve"> </w:t>
      </w:r>
      <w:r w:rsidRPr="00F439BB">
        <w:rPr>
          <w:noProof/>
          <w:szCs w:val="22"/>
        </w:rPr>
        <w:t>injekčnej striekačke.</w:t>
      </w:r>
    </w:p>
    <w:p w14:paraId="5C260061" w14:textId="77777777" w:rsidR="00812D16" w:rsidRPr="00F439BB" w:rsidRDefault="00812D16" w:rsidP="00204AAB">
      <w:pPr>
        <w:spacing w:line="240" w:lineRule="auto"/>
      </w:pPr>
    </w:p>
    <w:p w14:paraId="38E97D74" w14:textId="77777777" w:rsidR="00812D16" w:rsidRPr="00F439BB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bookmarkStart w:id="1" w:name="OLE_LINK1"/>
      <w:r w:rsidRPr="00F439BB">
        <w:rPr>
          <w:b/>
        </w:rPr>
        <w:t>Špe</w:t>
      </w:r>
      <w:r w:rsidR="00ED6BB2" w:rsidRPr="00F439BB">
        <w:rPr>
          <w:b/>
        </w:rPr>
        <w:t xml:space="preserve">ciálne opatrenia na likvidáciu </w:t>
      </w:r>
      <w:r w:rsidRPr="00F439BB">
        <w:rPr>
          <w:b/>
        </w:rPr>
        <w:t>a</w:t>
      </w:r>
      <w:r w:rsidR="00851AE0" w:rsidRPr="00F439BB">
        <w:rPr>
          <w:b/>
          <w:noProof/>
        </w:rPr>
        <w:t> </w:t>
      </w:r>
      <w:r w:rsidRPr="00F439BB">
        <w:rPr>
          <w:b/>
        </w:rPr>
        <w:t>iné zaobchádzanie s</w:t>
      </w:r>
      <w:r w:rsidR="00851AE0" w:rsidRPr="00F439BB">
        <w:rPr>
          <w:b/>
          <w:noProof/>
        </w:rPr>
        <w:t> </w:t>
      </w:r>
      <w:r w:rsidRPr="00F439BB">
        <w:rPr>
          <w:b/>
        </w:rPr>
        <w:t>liekom</w:t>
      </w:r>
    </w:p>
    <w:p w14:paraId="707E9A6A" w14:textId="77777777" w:rsidR="00560EDA" w:rsidRPr="00F439BB" w:rsidRDefault="00560EDA" w:rsidP="00204AAB">
      <w:pPr>
        <w:spacing w:line="240" w:lineRule="auto"/>
      </w:pPr>
    </w:p>
    <w:p w14:paraId="43F6B517" w14:textId="77777777" w:rsidR="00812D16" w:rsidRPr="00F439BB" w:rsidRDefault="00FE605C" w:rsidP="00204AAB">
      <w:pPr>
        <w:spacing w:line="240" w:lineRule="auto"/>
      </w:pPr>
      <w:r w:rsidRPr="00F439BB">
        <w:t>Všetok nepoužitý liek alebo odpad vzniknutý z</w:t>
      </w:r>
      <w:r w:rsidR="00851AE0" w:rsidRPr="00F439BB">
        <w:t> </w:t>
      </w:r>
      <w:r w:rsidRPr="00F439BB">
        <w:t>lieku sa má zlikvidovať v súlade s národnými požiada</w:t>
      </w:r>
      <w:r w:rsidR="00DC0B1A" w:rsidRPr="00F439BB">
        <w:t>vkami.</w:t>
      </w:r>
    </w:p>
    <w:bookmarkEnd w:id="1"/>
    <w:p w14:paraId="6A8E1270" w14:textId="77777777" w:rsidR="00812D16" w:rsidRPr="00F439BB" w:rsidRDefault="00812D16" w:rsidP="00204AAB">
      <w:pPr>
        <w:spacing w:line="240" w:lineRule="auto"/>
      </w:pPr>
    </w:p>
    <w:p w14:paraId="67663FC8" w14:textId="77777777" w:rsidR="00812D16" w:rsidRPr="00F439BB" w:rsidRDefault="00812D16" w:rsidP="00204AAB">
      <w:pPr>
        <w:spacing w:line="240" w:lineRule="auto"/>
      </w:pPr>
    </w:p>
    <w:p w14:paraId="58A9C77A" w14:textId="77777777" w:rsidR="00812D16" w:rsidRPr="00F439BB" w:rsidRDefault="00FE605C" w:rsidP="00572506">
      <w:pPr>
        <w:keepNext/>
        <w:numPr>
          <w:ilvl w:val="0"/>
          <w:numId w:val="6"/>
        </w:numPr>
        <w:spacing w:line="240" w:lineRule="auto"/>
      </w:pPr>
      <w:r w:rsidRPr="00F439BB">
        <w:rPr>
          <w:b/>
        </w:rPr>
        <w:t>DRŽITEĽ ROZHODNUTIA O</w:t>
      </w:r>
      <w:r w:rsidRPr="00F439BB">
        <w:rPr>
          <w:b/>
          <w:noProof/>
        </w:rPr>
        <w:t> </w:t>
      </w:r>
      <w:r w:rsidRPr="00F439BB">
        <w:rPr>
          <w:b/>
        </w:rPr>
        <w:t>REGISTRÁCII</w:t>
      </w:r>
    </w:p>
    <w:p w14:paraId="04567BC6" w14:textId="77777777" w:rsidR="00812D16" w:rsidRPr="00F439BB" w:rsidRDefault="00812D16" w:rsidP="00085939">
      <w:pPr>
        <w:keepNext/>
        <w:spacing w:line="240" w:lineRule="auto"/>
      </w:pPr>
    </w:p>
    <w:p w14:paraId="04D7165A" w14:textId="77777777" w:rsidR="00DC0B1A" w:rsidRPr="00F439BB" w:rsidRDefault="00DC0B1A" w:rsidP="00DC0B1A">
      <w:pPr>
        <w:spacing w:line="240" w:lineRule="auto"/>
      </w:pPr>
      <w:r w:rsidRPr="00F439BB">
        <w:t>Gedeon Richter Plc.</w:t>
      </w:r>
    </w:p>
    <w:p w14:paraId="4A812FBF" w14:textId="77777777" w:rsidR="00DC0B1A" w:rsidRPr="00F439BB" w:rsidRDefault="00DC0B1A" w:rsidP="00DC0B1A">
      <w:pPr>
        <w:spacing w:line="240" w:lineRule="auto"/>
      </w:pPr>
      <w:r w:rsidRPr="00F439BB">
        <w:t>Gyömrőiút 19-21.</w:t>
      </w:r>
    </w:p>
    <w:p w14:paraId="59117CF0" w14:textId="77777777" w:rsidR="00DC0B1A" w:rsidRPr="00F439BB" w:rsidRDefault="00DC0B1A" w:rsidP="00DC0B1A">
      <w:pPr>
        <w:spacing w:line="240" w:lineRule="auto"/>
      </w:pPr>
      <w:r w:rsidRPr="00F439BB">
        <w:t>Budapest H-1103</w:t>
      </w:r>
    </w:p>
    <w:p w14:paraId="0EF2F921" w14:textId="77777777" w:rsidR="00DC0B1A" w:rsidRPr="00F439BB" w:rsidRDefault="00DC0B1A" w:rsidP="00DC0B1A">
      <w:pPr>
        <w:spacing w:line="240" w:lineRule="auto"/>
      </w:pPr>
      <w:r w:rsidRPr="00F439BB">
        <w:t>Maďarsko</w:t>
      </w:r>
    </w:p>
    <w:p w14:paraId="1A4C16B8" w14:textId="77777777" w:rsidR="00812D16" w:rsidRPr="00F439BB" w:rsidRDefault="00812D16" w:rsidP="00204AAB">
      <w:pPr>
        <w:spacing w:line="240" w:lineRule="auto"/>
      </w:pPr>
    </w:p>
    <w:p w14:paraId="74105F5E" w14:textId="77777777" w:rsidR="00812D16" w:rsidRPr="00F439BB" w:rsidRDefault="00812D16" w:rsidP="00204AAB">
      <w:pPr>
        <w:spacing w:line="240" w:lineRule="auto"/>
      </w:pPr>
    </w:p>
    <w:p w14:paraId="332780C6" w14:textId="77777777" w:rsidR="00812D16" w:rsidRPr="00F439BB" w:rsidRDefault="00ED6BB2" w:rsidP="00572506">
      <w:pPr>
        <w:keepNext/>
        <w:numPr>
          <w:ilvl w:val="0"/>
          <w:numId w:val="6"/>
        </w:numPr>
        <w:spacing w:line="240" w:lineRule="auto"/>
        <w:rPr>
          <w:b/>
        </w:rPr>
      </w:pPr>
      <w:r w:rsidRPr="00F439BB">
        <w:rPr>
          <w:b/>
        </w:rPr>
        <w:t xml:space="preserve">REGISTRAČNÉ </w:t>
      </w:r>
      <w:r w:rsidR="00FE605C" w:rsidRPr="00F439BB">
        <w:rPr>
          <w:b/>
        </w:rPr>
        <w:t>ČÍSLO</w:t>
      </w:r>
      <w:r w:rsidRPr="00F439BB">
        <w:rPr>
          <w:b/>
        </w:rPr>
        <w:t>/ČÍSLA</w:t>
      </w:r>
    </w:p>
    <w:p w14:paraId="0D840DDD" w14:textId="77777777" w:rsidR="00812D16" w:rsidRDefault="00812D16" w:rsidP="00085939">
      <w:pPr>
        <w:keepNext/>
        <w:spacing w:line="240" w:lineRule="auto"/>
      </w:pPr>
    </w:p>
    <w:p w14:paraId="79E7E16C" w14:textId="0EC7AE7E" w:rsidR="00586DDA" w:rsidRDefault="00586DDA" w:rsidP="00085939">
      <w:pPr>
        <w:keepNext/>
        <w:spacing w:line="240" w:lineRule="auto"/>
      </w:pPr>
      <w:r>
        <w:t>01/0163/20-S</w:t>
      </w:r>
    </w:p>
    <w:p w14:paraId="1D7DD105" w14:textId="77777777" w:rsidR="00586DDA" w:rsidRPr="00F439BB" w:rsidRDefault="00586DDA" w:rsidP="00085939">
      <w:pPr>
        <w:keepNext/>
        <w:spacing w:line="240" w:lineRule="auto"/>
      </w:pPr>
    </w:p>
    <w:p w14:paraId="1E149A46" w14:textId="77777777" w:rsidR="00812D16" w:rsidRPr="00F439BB" w:rsidRDefault="00812D16" w:rsidP="00204AAB">
      <w:pPr>
        <w:spacing w:line="240" w:lineRule="auto"/>
      </w:pPr>
    </w:p>
    <w:p w14:paraId="176F31BE" w14:textId="77777777" w:rsidR="00812D16" w:rsidRPr="00F439BB" w:rsidRDefault="00FE605C" w:rsidP="00572506">
      <w:pPr>
        <w:keepNext/>
        <w:numPr>
          <w:ilvl w:val="0"/>
          <w:numId w:val="6"/>
        </w:numPr>
        <w:spacing w:line="240" w:lineRule="auto"/>
      </w:pPr>
      <w:r w:rsidRPr="00F439BB">
        <w:rPr>
          <w:b/>
        </w:rPr>
        <w:t>DÁTUM PRVEJ REGISTRÁCIE/PREDĹŽENIA REGISTRÁCIE</w:t>
      </w:r>
    </w:p>
    <w:p w14:paraId="1FD41659" w14:textId="77777777" w:rsidR="00812D16" w:rsidRPr="00F439BB" w:rsidRDefault="00812D16" w:rsidP="00085939">
      <w:pPr>
        <w:keepNext/>
        <w:spacing w:line="240" w:lineRule="auto"/>
        <w:rPr>
          <w:i/>
        </w:rPr>
      </w:pPr>
    </w:p>
    <w:p w14:paraId="2A81B92B" w14:textId="77777777" w:rsidR="00812D16" w:rsidRPr="00F439BB" w:rsidRDefault="00812D16" w:rsidP="00204AAB">
      <w:pPr>
        <w:spacing w:line="240" w:lineRule="auto"/>
      </w:pPr>
    </w:p>
    <w:p w14:paraId="4DA96543" w14:textId="77777777" w:rsidR="00812D16" w:rsidRPr="00F439BB" w:rsidRDefault="00812D16" w:rsidP="00204AAB">
      <w:pPr>
        <w:spacing w:line="240" w:lineRule="auto"/>
      </w:pPr>
    </w:p>
    <w:p w14:paraId="769E8F7B" w14:textId="77777777" w:rsidR="00812D16" w:rsidRPr="00F439BB" w:rsidRDefault="00FE605C" w:rsidP="00572506">
      <w:pPr>
        <w:keepNext/>
        <w:numPr>
          <w:ilvl w:val="0"/>
          <w:numId w:val="6"/>
        </w:numPr>
        <w:spacing w:line="240" w:lineRule="auto"/>
        <w:rPr>
          <w:b/>
        </w:rPr>
      </w:pPr>
      <w:r w:rsidRPr="00F439BB">
        <w:rPr>
          <w:b/>
        </w:rPr>
        <w:t>DÁTUM REVÍZIE TEXTU</w:t>
      </w:r>
    </w:p>
    <w:p w14:paraId="3BF36136" w14:textId="77777777" w:rsidR="00812D16" w:rsidRPr="00F439BB" w:rsidRDefault="00812D16" w:rsidP="00085939">
      <w:pPr>
        <w:keepNext/>
        <w:spacing w:line="240" w:lineRule="auto"/>
      </w:pPr>
    </w:p>
    <w:p w14:paraId="375E7EFE" w14:textId="05728744" w:rsidR="005108A3" w:rsidRPr="00F439BB" w:rsidRDefault="005A2DDA" w:rsidP="00204AAB">
      <w:pPr>
        <w:spacing w:line="240" w:lineRule="auto"/>
        <w:rPr>
          <w:i/>
        </w:rPr>
      </w:pPr>
      <w:r>
        <w:t>07/2020</w:t>
      </w:r>
    </w:p>
    <w:p w14:paraId="3F3AB31C" w14:textId="77777777" w:rsidR="00812D16" w:rsidRPr="00F439BB" w:rsidRDefault="00812D16" w:rsidP="00204AAB">
      <w:pPr>
        <w:spacing w:line="240" w:lineRule="auto"/>
      </w:pPr>
    </w:p>
    <w:p w14:paraId="49F61509" w14:textId="77777777" w:rsidR="00D75DF0" w:rsidRPr="00F439BB" w:rsidRDefault="00D75DF0" w:rsidP="00204AAB">
      <w:pPr>
        <w:spacing w:line="240" w:lineRule="auto"/>
      </w:pPr>
    </w:p>
    <w:sectPr w:rsidR="00D75DF0" w:rsidRPr="00F439BB" w:rsidSect="008960A1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418" w:right="1134" w:bottom="1418" w:left="1134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EDB60" w14:textId="77777777" w:rsidR="005F15A1" w:rsidRDefault="005F15A1" w:rsidP="00B6346C">
      <w:pPr>
        <w:spacing w:line="240" w:lineRule="auto"/>
      </w:pPr>
      <w:r>
        <w:separator/>
      </w:r>
    </w:p>
  </w:endnote>
  <w:endnote w:type="continuationSeparator" w:id="0">
    <w:p w14:paraId="10E90AA9" w14:textId="77777777" w:rsidR="005F15A1" w:rsidRDefault="005F15A1" w:rsidP="00B63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F61F3" w14:textId="77777777" w:rsidR="001A2CA7" w:rsidRPr="00A72672" w:rsidRDefault="0098412B" w:rsidP="00085939">
    <w:pPr>
      <w:pStyle w:val="Pta1"/>
      <w:tabs>
        <w:tab w:val="right" w:pos="8931"/>
      </w:tabs>
      <w:ind w:right="96"/>
      <w:jc w:val="center"/>
    </w:pPr>
    <w:r w:rsidRPr="00A72672">
      <w:fldChar w:fldCharType="begin"/>
    </w:r>
    <w:r w:rsidR="001A2CA7" w:rsidRPr="00A72672">
      <w:instrText xml:space="preserve"> EQ </w:instrText>
    </w:r>
    <w:r w:rsidRPr="00A72672">
      <w:fldChar w:fldCharType="end"/>
    </w:r>
    <w:r w:rsidRPr="00A72672">
      <w:rPr>
        <w:rStyle w:val="slostrany1"/>
      </w:rPr>
      <w:fldChar w:fldCharType="begin"/>
    </w:r>
    <w:r w:rsidR="001A2CA7" w:rsidRPr="00A72672">
      <w:rPr>
        <w:rStyle w:val="slostrany1"/>
      </w:rPr>
      <w:instrText xml:space="preserve">PAGE  </w:instrText>
    </w:r>
    <w:r w:rsidRPr="00A72672">
      <w:rPr>
        <w:rStyle w:val="slostrany1"/>
      </w:rPr>
      <w:fldChar w:fldCharType="separate"/>
    </w:r>
    <w:r w:rsidR="008960A1">
      <w:rPr>
        <w:rStyle w:val="slostrany1"/>
      </w:rPr>
      <w:t>1</w:t>
    </w:r>
    <w:r w:rsidRPr="00A72672">
      <w:rPr>
        <w:rStyle w:val="slostrany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6645A" w14:textId="77777777" w:rsidR="001A2CA7" w:rsidRDefault="0098412B" w:rsidP="00085939">
    <w:pPr>
      <w:pStyle w:val="Pta1"/>
      <w:tabs>
        <w:tab w:val="right" w:pos="8931"/>
      </w:tabs>
      <w:ind w:right="96"/>
      <w:jc w:val="center"/>
    </w:pPr>
    <w:r>
      <w:fldChar w:fldCharType="begin"/>
    </w:r>
    <w:r w:rsidR="001A2CA7">
      <w:instrText xml:space="preserve"> EQ </w:instrText>
    </w:r>
    <w:r>
      <w:fldChar w:fldCharType="end"/>
    </w:r>
    <w:r w:rsidRPr="00BF5AB0">
      <w:rPr>
        <w:rStyle w:val="slostrany1"/>
      </w:rPr>
      <w:fldChar w:fldCharType="begin"/>
    </w:r>
    <w:r w:rsidR="001A2CA7" w:rsidRPr="00A72672">
      <w:rPr>
        <w:rStyle w:val="slostrany1"/>
      </w:rPr>
      <w:instrText xml:space="preserve">PAGE  </w:instrText>
    </w:r>
    <w:r w:rsidRPr="00BF5AB0">
      <w:rPr>
        <w:rStyle w:val="slostrany1"/>
      </w:rPr>
      <w:fldChar w:fldCharType="separate"/>
    </w:r>
    <w:r w:rsidR="001A2CA7">
      <w:rPr>
        <w:rStyle w:val="slostrany1"/>
      </w:rPr>
      <w:t>1</w:t>
    </w:r>
    <w:r w:rsidRPr="00BF5AB0">
      <w:rPr>
        <w:rStyle w:val="slostrany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AD930" w14:textId="77777777" w:rsidR="005F15A1" w:rsidRDefault="005F15A1" w:rsidP="00B6346C">
      <w:pPr>
        <w:spacing w:line="240" w:lineRule="auto"/>
      </w:pPr>
      <w:r>
        <w:separator/>
      </w:r>
    </w:p>
  </w:footnote>
  <w:footnote w:type="continuationSeparator" w:id="0">
    <w:p w14:paraId="3ACFC622" w14:textId="77777777" w:rsidR="005F15A1" w:rsidRDefault="005F15A1" w:rsidP="00B634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B1B0E" w14:textId="1DA57DEB" w:rsidR="0047454B" w:rsidRPr="008960A1" w:rsidRDefault="0047454B">
    <w:pPr>
      <w:pStyle w:val="Hlavika"/>
      <w:rPr>
        <w:sz w:val="18"/>
        <w:szCs w:val="18"/>
      </w:rPr>
    </w:pPr>
    <w:r w:rsidRPr="008960A1">
      <w:rPr>
        <w:sz w:val="18"/>
        <w:szCs w:val="18"/>
      </w:rPr>
      <w:t>Schválený text k rozhodnutiu o registrácii, ev.č.:2018/07136-REG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C44CC1"/>
    <w:multiLevelType w:val="hybridMultilevel"/>
    <w:tmpl w:val="7FF2C56E"/>
    <w:lvl w:ilvl="0" w:tplc="0DD86D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461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C4A6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45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EAD6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1A18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4C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682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CE32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E7F96"/>
    <w:multiLevelType w:val="hybridMultilevel"/>
    <w:tmpl w:val="1806E65A"/>
    <w:lvl w:ilvl="0" w:tplc="012080E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B00C5FDC" w:tentative="1">
      <w:start w:val="1"/>
      <w:numFmt w:val="lowerLetter"/>
      <w:lvlText w:val="%2."/>
      <w:lvlJc w:val="left"/>
      <w:pPr>
        <w:ind w:left="1440" w:hanging="360"/>
      </w:pPr>
    </w:lvl>
    <w:lvl w:ilvl="2" w:tplc="0DD616E8" w:tentative="1">
      <w:start w:val="1"/>
      <w:numFmt w:val="lowerRoman"/>
      <w:lvlText w:val="%3."/>
      <w:lvlJc w:val="right"/>
      <w:pPr>
        <w:ind w:left="2160" w:hanging="180"/>
      </w:pPr>
    </w:lvl>
    <w:lvl w:ilvl="3" w:tplc="0ECC0652" w:tentative="1">
      <w:start w:val="1"/>
      <w:numFmt w:val="decimal"/>
      <w:lvlText w:val="%4."/>
      <w:lvlJc w:val="left"/>
      <w:pPr>
        <w:ind w:left="2880" w:hanging="360"/>
      </w:pPr>
    </w:lvl>
    <w:lvl w:ilvl="4" w:tplc="DA604F7A" w:tentative="1">
      <w:start w:val="1"/>
      <w:numFmt w:val="lowerLetter"/>
      <w:lvlText w:val="%5."/>
      <w:lvlJc w:val="left"/>
      <w:pPr>
        <w:ind w:left="3600" w:hanging="360"/>
      </w:pPr>
    </w:lvl>
    <w:lvl w:ilvl="5" w:tplc="499407DC" w:tentative="1">
      <w:start w:val="1"/>
      <w:numFmt w:val="lowerRoman"/>
      <w:lvlText w:val="%6."/>
      <w:lvlJc w:val="right"/>
      <w:pPr>
        <w:ind w:left="4320" w:hanging="180"/>
      </w:pPr>
    </w:lvl>
    <w:lvl w:ilvl="6" w:tplc="FD263EC0" w:tentative="1">
      <w:start w:val="1"/>
      <w:numFmt w:val="decimal"/>
      <w:lvlText w:val="%7."/>
      <w:lvlJc w:val="left"/>
      <w:pPr>
        <w:ind w:left="5040" w:hanging="360"/>
      </w:pPr>
    </w:lvl>
    <w:lvl w:ilvl="7" w:tplc="CBB21B36" w:tentative="1">
      <w:start w:val="1"/>
      <w:numFmt w:val="lowerLetter"/>
      <w:lvlText w:val="%8."/>
      <w:lvlJc w:val="left"/>
      <w:pPr>
        <w:ind w:left="5760" w:hanging="360"/>
      </w:pPr>
    </w:lvl>
    <w:lvl w:ilvl="8" w:tplc="5806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F14CF"/>
    <w:multiLevelType w:val="hybridMultilevel"/>
    <w:tmpl w:val="6FC0A652"/>
    <w:lvl w:ilvl="0" w:tplc="D96699C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B02ADD4" w:tentative="1">
      <w:start w:val="1"/>
      <w:numFmt w:val="lowerLetter"/>
      <w:lvlText w:val="%2."/>
      <w:lvlJc w:val="left"/>
      <w:pPr>
        <w:ind w:left="1440" w:hanging="360"/>
      </w:pPr>
    </w:lvl>
    <w:lvl w:ilvl="2" w:tplc="1DC8F336" w:tentative="1">
      <w:start w:val="1"/>
      <w:numFmt w:val="lowerRoman"/>
      <w:lvlText w:val="%3."/>
      <w:lvlJc w:val="right"/>
      <w:pPr>
        <w:ind w:left="2160" w:hanging="180"/>
      </w:pPr>
    </w:lvl>
    <w:lvl w:ilvl="3" w:tplc="10A84FEE" w:tentative="1">
      <w:start w:val="1"/>
      <w:numFmt w:val="decimal"/>
      <w:lvlText w:val="%4."/>
      <w:lvlJc w:val="left"/>
      <w:pPr>
        <w:ind w:left="2880" w:hanging="360"/>
      </w:pPr>
    </w:lvl>
    <w:lvl w:ilvl="4" w:tplc="F56A8476" w:tentative="1">
      <w:start w:val="1"/>
      <w:numFmt w:val="lowerLetter"/>
      <w:lvlText w:val="%5."/>
      <w:lvlJc w:val="left"/>
      <w:pPr>
        <w:ind w:left="3600" w:hanging="360"/>
      </w:pPr>
    </w:lvl>
    <w:lvl w:ilvl="5" w:tplc="11F42518" w:tentative="1">
      <w:start w:val="1"/>
      <w:numFmt w:val="lowerRoman"/>
      <w:lvlText w:val="%6."/>
      <w:lvlJc w:val="right"/>
      <w:pPr>
        <w:ind w:left="4320" w:hanging="180"/>
      </w:pPr>
    </w:lvl>
    <w:lvl w:ilvl="6" w:tplc="5A1EA320" w:tentative="1">
      <w:start w:val="1"/>
      <w:numFmt w:val="decimal"/>
      <w:lvlText w:val="%7."/>
      <w:lvlJc w:val="left"/>
      <w:pPr>
        <w:ind w:left="5040" w:hanging="360"/>
      </w:pPr>
    </w:lvl>
    <w:lvl w:ilvl="7" w:tplc="B066D1CA" w:tentative="1">
      <w:start w:val="1"/>
      <w:numFmt w:val="lowerLetter"/>
      <w:lvlText w:val="%8."/>
      <w:lvlJc w:val="left"/>
      <w:pPr>
        <w:ind w:left="5760" w:hanging="360"/>
      </w:pPr>
    </w:lvl>
    <w:lvl w:ilvl="8" w:tplc="CFE04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C0446"/>
    <w:multiLevelType w:val="hybridMultilevel"/>
    <w:tmpl w:val="B20E620E"/>
    <w:lvl w:ilvl="0" w:tplc="6B24C3EC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B6E4C0AE" w:tentative="1">
      <w:start w:val="1"/>
      <w:numFmt w:val="lowerLetter"/>
      <w:lvlText w:val="%2."/>
      <w:lvlJc w:val="left"/>
      <w:pPr>
        <w:ind w:left="1440" w:hanging="360"/>
      </w:pPr>
    </w:lvl>
    <w:lvl w:ilvl="2" w:tplc="6E867920" w:tentative="1">
      <w:start w:val="1"/>
      <w:numFmt w:val="lowerRoman"/>
      <w:lvlText w:val="%3."/>
      <w:lvlJc w:val="right"/>
      <w:pPr>
        <w:ind w:left="2160" w:hanging="180"/>
      </w:pPr>
    </w:lvl>
    <w:lvl w:ilvl="3" w:tplc="22EAE382" w:tentative="1">
      <w:start w:val="1"/>
      <w:numFmt w:val="decimal"/>
      <w:lvlText w:val="%4."/>
      <w:lvlJc w:val="left"/>
      <w:pPr>
        <w:ind w:left="2880" w:hanging="360"/>
      </w:pPr>
    </w:lvl>
    <w:lvl w:ilvl="4" w:tplc="7FC08194" w:tentative="1">
      <w:start w:val="1"/>
      <w:numFmt w:val="lowerLetter"/>
      <w:lvlText w:val="%5."/>
      <w:lvlJc w:val="left"/>
      <w:pPr>
        <w:ind w:left="3600" w:hanging="360"/>
      </w:pPr>
    </w:lvl>
    <w:lvl w:ilvl="5" w:tplc="B44A0668" w:tentative="1">
      <w:start w:val="1"/>
      <w:numFmt w:val="lowerRoman"/>
      <w:lvlText w:val="%6."/>
      <w:lvlJc w:val="right"/>
      <w:pPr>
        <w:ind w:left="4320" w:hanging="180"/>
      </w:pPr>
    </w:lvl>
    <w:lvl w:ilvl="6" w:tplc="43A22DC8" w:tentative="1">
      <w:start w:val="1"/>
      <w:numFmt w:val="decimal"/>
      <w:lvlText w:val="%7."/>
      <w:lvlJc w:val="left"/>
      <w:pPr>
        <w:ind w:left="5040" w:hanging="360"/>
      </w:pPr>
    </w:lvl>
    <w:lvl w:ilvl="7" w:tplc="D9F06A9C" w:tentative="1">
      <w:start w:val="1"/>
      <w:numFmt w:val="lowerLetter"/>
      <w:lvlText w:val="%8."/>
      <w:lvlJc w:val="left"/>
      <w:pPr>
        <w:ind w:left="5760" w:hanging="360"/>
      </w:pPr>
    </w:lvl>
    <w:lvl w:ilvl="8" w:tplc="53F2E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00A91"/>
    <w:multiLevelType w:val="hybridMultilevel"/>
    <w:tmpl w:val="2272E4E2"/>
    <w:lvl w:ilvl="0" w:tplc="F266CF88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10BEAC6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4C6C4EAA" w:tentative="1">
      <w:start w:val="1"/>
      <w:numFmt w:val="lowerRoman"/>
      <w:lvlText w:val="%3."/>
      <w:lvlJc w:val="right"/>
      <w:pPr>
        <w:ind w:left="2793" w:hanging="180"/>
      </w:pPr>
    </w:lvl>
    <w:lvl w:ilvl="3" w:tplc="4B520D6A" w:tentative="1">
      <w:start w:val="1"/>
      <w:numFmt w:val="decimal"/>
      <w:lvlText w:val="%4."/>
      <w:lvlJc w:val="left"/>
      <w:pPr>
        <w:ind w:left="3513" w:hanging="360"/>
      </w:pPr>
    </w:lvl>
    <w:lvl w:ilvl="4" w:tplc="20049588" w:tentative="1">
      <w:start w:val="1"/>
      <w:numFmt w:val="lowerLetter"/>
      <w:lvlText w:val="%5."/>
      <w:lvlJc w:val="left"/>
      <w:pPr>
        <w:ind w:left="4233" w:hanging="360"/>
      </w:pPr>
    </w:lvl>
    <w:lvl w:ilvl="5" w:tplc="25686150" w:tentative="1">
      <w:start w:val="1"/>
      <w:numFmt w:val="lowerRoman"/>
      <w:lvlText w:val="%6."/>
      <w:lvlJc w:val="right"/>
      <w:pPr>
        <w:ind w:left="4953" w:hanging="180"/>
      </w:pPr>
    </w:lvl>
    <w:lvl w:ilvl="6" w:tplc="A19C7838" w:tentative="1">
      <w:start w:val="1"/>
      <w:numFmt w:val="decimal"/>
      <w:lvlText w:val="%7."/>
      <w:lvlJc w:val="left"/>
      <w:pPr>
        <w:ind w:left="5673" w:hanging="360"/>
      </w:pPr>
    </w:lvl>
    <w:lvl w:ilvl="7" w:tplc="6E32F8A8" w:tentative="1">
      <w:start w:val="1"/>
      <w:numFmt w:val="lowerLetter"/>
      <w:lvlText w:val="%8."/>
      <w:lvlJc w:val="left"/>
      <w:pPr>
        <w:ind w:left="6393" w:hanging="360"/>
      </w:pPr>
    </w:lvl>
    <w:lvl w:ilvl="8" w:tplc="E962E0AC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F9337D0"/>
    <w:multiLevelType w:val="hybridMultilevel"/>
    <w:tmpl w:val="B6C885E6"/>
    <w:lvl w:ilvl="0" w:tplc="56626F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3C66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BE07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8024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40A9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A017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00FB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E462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129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00D28"/>
    <w:multiLevelType w:val="hybridMultilevel"/>
    <w:tmpl w:val="2F94C0BA"/>
    <w:lvl w:ilvl="0" w:tplc="25B88AF0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AF76C8F8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749E4534" w:tentative="1">
      <w:start w:val="1"/>
      <w:numFmt w:val="lowerRoman"/>
      <w:lvlText w:val="%3."/>
      <w:lvlJc w:val="right"/>
      <w:pPr>
        <w:ind w:left="2160" w:hanging="180"/>
      </w:pPr>
    </w:lvl>
    <w:lvl w:ilvl="3" w:tplc="70DE7CA4" w:tentative="1">
      <w:start w:val="1"/>
      <w:numFmt w:val="decimal"/>
      <w:lvlText w:val="%4."/>
      <w:lvlJc w:val="left"/>
      <w:pPr>
        <w:ind w:left="2880" w:hanging="360"/>
      </w:pPr>
    </w:lvl>
    <w:lvl w:ilvl="4" w:tplc="41BC2988" w:tentative="1">
      <w:start w:val="1"/>
      <w:numFmt w:val="lowerLetter"/>
      <w:lvlText w:val="%5."/>
      <w:lvlJc w:val="left"/>
      <w:pPr>
        <w:ind w:left="3600" w:hanging="360"/>
      </w:pPr>
    </w:lvl>
    <w:lvl w:ilvl="5" w:tplc="936E56C6" w:tentative="1">
      <w:start w:val="1"/>
      <w:numFmt w:val="lowerRoman"/>
      <w:lvlText w:val="%6."/>
      <w:lvlJc w:val="right"/>
      <w:pPr>
        <w:ind w:left="4320" w:hanging="180"/>
      </w:pPr>
    </w:lvl>
    <w:lvl w:ilvl="6" w:tplc="5BD2DA9A" w:tentative="1">
      <w:start w:val="1"/>
      <w:numFmt w:val="decimal"/>
      <w:lvlText w:val="%7."/>
      <w:lvlJc w:val="left"/>
      <w:pPr>
        <w:ind w:left="5040" w:hanging="360"/>
      </w:pPr>
    </w:lvl>
    <w:lvl w:ilvl="7" w:tplc="DEE471C6" w:tentative="1">
      <w:start w:val="1"/>
      <w:numFmt w:val="lowerLetter"/>
      <w:lvlText w:val="%8."/>
      <w:lvlJc w:val="left"/>
      <w:pPr>
        <w:ind w:left="5760" w:hanging="360"/>
      </w:pPr>
    </w:lvl>
    <w:lvl w:ilvl="8" w:tplc="3EFA878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7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5701"/>
    <w:rsid w:val="00005A09"/>
    <w:rsid w:val="00006669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152"/>
    <w:rsid w:val="00020AE8"/>
    <w:rsid w:val="000212BB"/>
    <w:rsid w:val="00023A2C"/>
    <w:rsid w:val="00024ECC"/>
    <w:rsid w:val="000258E4"/>
    <w:rsid w:val="00025D86"/>
    <w:rsid w:val="00025EBE"/>
    <w:rsid w:val="00026BF2"/>
    <w:rsid w:val="000271F6"/>
    <w:rsid w:val="00027F9B"/>
    <w:rsid w:val="00030445"/>
    <w:rsid w:val="00030773"/>
    <w:rsid w:val="000318C7"/>
    <w:rsid w:val="00031954"/>
    <w:rsid w:val="00033D26"/>
    <w:rsid w:val="00033FDB"/>
    <w:rsid w:val="000344F6"/>
    <w:rsid w:val="000410CC"/>
    <w:rsid w:val="00042263"/>
    <w:rsid w:val="00042C8C"/>
    <w:rsid w:val="00043505"/>
    <w:rsid w:val="00043C70"/>
    <w:rsid w:val="00043E88"/>
    <w:rsid w:val="00044042"/>
    <w:rsid w:val="00047116"/>
    <w:rsid w:val="000474D2"/>
    <w:rsid w:val="000479C5"/>
    <w:rsid w:val="00050DFD"/>
    <w:rsid w:val="0005336C"/>
    <w:rsid w:val="00053809"/>
    <w:rsid w:val="00053914"/>
    <w:rsid w:val="00053960"/>
    <w:rsid w:val="00054756"/>
    <w:rsid w:val="000560C5"/>
    <w:rsid w:val="00056C49"/>
    <w:rsid w:val="00056FE0"/>
    <w:rsid w:val="000603C8"/>
    <w:rsid w:val="000608A4"/>
    <w:rsid w:val="00060AA1"/>
    <w:rsid w:val="000631FD"/>
    <w:rsid w:val="000643D3"/>
    <w:rsid w:val="0006440A"/>
    <w:rsid w:val="00066F1A"/>
    <w:rsid w:val="00067B16"/>
    <w:rsid w:val="0007086A"/>
    <w:rsid w:val="00071F8A"/>
    <w:rsid w:val="00071FC3"/>
    <w:rsid w:val="0007200A"/>
    <w:rsid w:val="00072BF9"/>
    <w:rsid w:val="00073431"/>
    <w:rsid w:val="00073E04"/>
    <w:rsid w:val="0007401B"/>
    <w:rsid w:val="00074632"/>
    <w:rsid w:val="000759AB"/>
    <w:rsid w:val="0007628D"/>
    <w:rsid w:val="00077D20"/>
    <w:rsid w:val="00081DAB"/>
    <w:rsid w:val="0008506F"/>
    <w:rsid w:val="000851A9"/>
    <w:rsid w:val="00085600"/>
    <w:rsid w:val="00085939"/>
    <w:rsid w:val="00086028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091"/>
    <w:rsid w:val="000A1232"/>
    <w:rsid w:val="000A30E5"/>
    <w:rsid w:val="000A3675"/>
    <w:rsid w:val="000A3767"/>
    <w:rsid w:val="000A39C5"/>
    <w:rsid w:val="000A40D0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7A8"/>
    <w:rsid w:val="000B382B"/>
    <w:rsid w:val="000B472B"/>
    <w:rsid w:val="000B4999"/>
    <w:rsid w:val="000B51D9"/>
    <w:rsid w:val="000C03FB"/>
    <w:rsid w:val="000C1F8A"/>
    <w:rsid w:val="000C308F"/>
    <w:rsid w:val="000C36E0"/>
    <w:rsid w:val="000C3BDD"/>
    <w:rsid w:val="000C428B"/>
    <w:rsid w:val="000C5A4E"/>
    <w:rsid w:val="000C6225"/>
    <w:rsid w:val="000C635D"/>
    <w:rsid w:val="000C6D5B"/>
    <w:rsid w:val="000C7F49"/>
    <w:rsid w:val="000D1AEE"/>
    <w:rsid w:val="000D1F4F"/>
    <w:rsid w:val="000D2C1D"/>
    <w:rsid w:val="000D2EAA"/>
    <w:rsid w:val="000D4D07"/>
    <w:rsid w:val="000D4D68"/>
    <w:rsid w:val="000D7535"/>
    <w:rsid w:val="000E0BCE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0CCA"/>
    <w:rsid w:val="000F1BB2"/>
    <w:rsid w:val="000F1FA1"/>
    <w:rsid w:val="000F217A"/>
    <w:rsid w:val="000F3F94"/>
    <w:rsid w:val="000F4279"/>
    <w:rsid w:val="000F5235"/>
    <w:rsid w:val="000F5B21"/>
    <w:rsid w:val="000F783C"/>
    <w:rsid w:val="001018E2"/>
    <w:rsid w:val="00102E27"/>
    <w:rsid w:val="00103501"/>
    <w:rsid w:val="00103AE7"/>
    <w:rsid w:val="00103B2D"/>
    <w:rsid w:val="00103CD2"/>
    <w:rsid w:val="00104061"/>
    <w:rsid w:val="00107236"/>
    <w:rsid w:val="001101A2"/>
    <w:rsid w:val="001106F7"/>
    <w:rsid w:val="001108A9"/>
    <w:rsid w:val="0011162C"/>
    <w:rsid w:val="00112EDA"/>
    <w:rsid w:val="00113935"/>
    <w:rsid w:val="00113E6B"/>
    <w:rsid w:val="001140D5"/>
    <w:rsid w:val="00114174"/>
    <w:rsid w:val="00117A50"/>
    <w:rsid w:val="00117C1D"/>
    <w:rsid w:val="00117C33"/>
    <w:rsid w:val="00123688"/>
    <w:rsid w:val="00126B26"/>
    <w:rsid w:val="001278C1"/>
    <w:rsid w:val="00127F47"/>
    <w:rsid w:val="00133572"/>
    <w:rsid w:val="00133CA3"/>
    <w:rsid w:val="00135F24"/>
    <w:rsid w:val="001364FB"/>
    <w:rsid w:val="001365F2"/>
    <w:rsid w:val="00136803"/>
    <w:rsid w:val="00136A93"/>
    <w:rsid w:val="00136D7A"/>
    <w:rsid w:val="001374C5"/>
    <w:rsid w:val="00140476"/>
    <w:rsid w:val="00141470"/>
    <w:rsid w:val="00141540"/>
    <w:rsid w:val="0014342A"/>
    <w:rsid w:val="00143516"/>
    <w:rsid w:val="001449DF"/>
    <w:rsid w:val="00145459"/>
    <w:rsid w:val="0014569B"/>
    <w:rsid w:val="001470E0"/>
    <w:rsid w:val="001478B8"/>
    <w:rsid w:val="00150060"/>
    <w:rsid w:val="001507A2"/>
    <w:rsid w:val="00154C69"/>
    <w:rsid w:val="00155D7F"/>
    <w:rsid w:val="00156108"/>
    <w:rsid w:val="0015704C"/>
    <w:rsid w:val="00157895"/>
    <w:rsid w:val="00161701"/>
    <w:rsid w:val="00161E87"/>
    <w:rsid w:val="00162098"/>
    <w:rsid w:val="0016566C"/>
    <w:rsid w:val="0016718C"/>
    <w:rsid w:val="00170769"/>
    <w:rsid w:val="00170A61"/>
    <w:rsid w:val="001722BB"/>
    <w:rsid w:val="001727F0"/>
    <w:rsid w:val="00172B06"/>
    <w:rsid w:val="0017347E"/>
    <w:rsid w:val="00173E7A"/>
    <w:rsid w:val="001752D8"/>
    <w:rsid w:val="00175931"/>
    <w:rsid w:val="00176A15"/>
    <w:rsid w:val="00176B25"/>
    <w:rsid w:val="00177736"/>
    <w:rsid w:val="00181374"/>
    <w:rsid w:val="0018238B"/>
    <w:rsid w:val="00183419"/>
    <w:rsid w:val="0018394A"/>
    <w:rsid w:val="0018445B"/>
    <w:rsid w:val="001845BE"/>
    <w:rsid w:val="00184DCC"/>
    <w:rsid w:val="00186A9D"/>
    <w:rsid w:val="001874A6"/>
    <w:rsid w:val="0018765B"/>
    <w:rsid w:val="00187DC4"/>
    <w:rsid w:val="00190913"/>
    <w:rsid w:val="0019236A"/>
    <w:rsid w:val="00193B21"/>
    <w:rsid w:val="00193DD3"/>
    <w:rsid w:val="001946BE"/>
    <w:rsid w:val="001948AA"/>
    <w:rsid w:val="00195F65"/>
    <w:rsid w:val="001960DE"/>
    <w:rsid w:val="001967A7"/>
    <w:rsid w:val="00197377"/>
    <w:rsid w:val="001A07E2"/>
    <w:rsid w:val="001A0A5D"/>
    <w:rsid w:val="001A2018"/>
    <w:rsid w:val="001A25FF"/>
    <w:rsid w:val="001A2CA7"/>
    <w:rsid w:val="001A43C4"/>
    <w:rsid w:val="001A485F"/>
    <w:rsid w:val="001A56F1"/>
    <w:rsid w:val="001A5D0E"/>
    <w:rsid w:val="001A749C"/>
    <w:rsid w:val="001B01C8"/>
    <w:rsid w:val="001B0B52"/>
    <w:rsid w:val="001B13F6"/>
    <w:rsid w:val="001B1747"/>
    <w:rsid w:val="001B2556"/>
    <w:rsid w:val="001B2D44"/>
    <w:rsid w:val="001B42BD"/>
    <w:rsid w:val="001B59BD"/>
    <w:rsid w:val="001B6224"/>
    <w:rsid w:val="001B62A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C75F7"/>
    <w:rsid w:val="001C7F88"/>
    <w:rsid w:val="001D19A4"/>
    <w:rsid w:val="001D2953"/>
    <w:rsid w:val="001D3C05"/>
    <w:rsid w:val="001D6AF4"/>
    <w:rsid w:val="001D6F48"/>
    <w:rsid w:val="001E0CC1"/>
    <w:rsid w:val="001E1C10"/>
    <w:rsid w:val="001E2B3E"/>
    <w:rsid w:val="001E2E9B"/>
    <w:rsid w:val="001E3CC0"/>
    <w:rsid w:val="001E77C3"/>
    <w:rsid w:val="001F090B"/>
    <w:rsid w:val="001F180A"/>
    <w:rsid w:val="001F1A28"/>
    <w:rsid w:val="001F1AD0"/>
    <w:rsid w:val="001F21D4"/>
    <w:rsid w:val="001F2E7F"/>
    <w:rsid w:val="001F35E8"/>
    <w:rsid w:val="001F4014"/>
    <w:rsid w:val="001F4441"/>
    <w:rsid w:val="001F445E"/>
    <w:rsid w:val="001F45C4"/>
    <w:rsid w:val="001F6423"/>
    <w:rsid w:val="001F6D16"/>
    <w:rsid w:val="001F7494"/>
    <w:rsid w:val="00201213"/>
    <w:rsid w:val="0020165E"/>
    <w:rsid w:val="0020272E"/>
    <w:rsid w:val="00202E50"/>
    <w:rsid w:val="00204AAB"/>
    <w:rsid w:val="00205180"/>
    <w:rsid w:val="00206D54"/>
    <w:rsid w:val="00207CED"/>
    <w:rsid w:val="00207F81"/>
    <w:rsid w:val="0021055C"/>
    <w:rsid w:val="002109F4"/>
    <w:rsid w:val="0021174D"/>
    <w:rsid w:val="00211FDA"/>
    <w:rsid w:val="002128BC"/>
    <w:rsid w:val="00213FB8"/>
    <w:rsid w:val="002157EA"/>
    <w:rsid w:val="00215FDA"/>
    <w:rsid w:val="002160C2"/>
    <w:rsid w:val="00217758"/>
    <w:rsid w:val="0022043D"/>
    <w:rsid w:val="00222BB9"/>
    <w:rsid w:val="002258D6"/>
    <w:rsid w:val="0022625B"/>
    <w:rsid w:val="002274FB"/>
    <w:rsid w:val="002277EC"/>
    <w:rsid w:val="002309D2"/>
    <w:rsid w:val="00231B61"/>
    <w:rsid w:val="00232C35"/>
    <w:rsid w:val="00232F52"/>
    <w:rsid w:val="0023315B"/>
    <w:rsid w:val="002347FE"/>
    <w:rsid w:val="002365F7"/>
    <w:rsid w:val="00236876"/>
    <w:rsid w:val="0024178D"/>
    <w:rsid w:val="00242244"/>
    <w:rsid w:val="00242619"/>
    <w:rsid w:val="0024392B"/>
    <w:rsid w:val="002450C6"/>
    <w:rsid w:val="00245DCF"/>
    <w:rsid w:val="00246C65"/>
    <w:rsid w:val="0024721F"/>
    <w:rsid w:val="00251A10"/>
    <w:rsid w:val="00252BFF"/>
    <w:rsid w:val="0025349D"/>
    <w:rsid w:val="00253732"/>
    <w:rsid w:val="002542A8"/>
    <w:rsid w:val="002572CD"/>
    <w:rsid w:val="00260A11"/>
    <w:rsid w:val="00261316"/>
    <w:rsid w:val="0026169A"/>
    <w:rsid w:val="00262763"/>
    <w:rsid w:val="002636C8"/>
    <w:rsid w:val="00263F7F"/>
    <w:rsid w:val="00264BEA"/>
    <w:rsid w:val="002669E0"/>
    <w:rsid w:val="00267850"/>
    <w:rsid w:val="00267D53"/>
    <w:rsid w:val="00271032"/>
    <w:rsid w:val="00273E3E"/>
    <w:rsid w:val="00274147"/>
    <w:rsid w:val="00275189"/>
    <w:rsid w:val="002756DC"/>
    <w:rsid w:val="00276412"/>
    <w:rsid w:val="00276437"/>
    <w:rsid w:val="002771C9"/>
    <w:rsid w:val="00280053"/>
    <w:rsid w:val="0028063F"/>
    <w:rsid w:val="00280740"/>
    <w:rsid w:val="00280CD6"/>
    <w:rsid w:val="00283B02"/>
    <w:rsid w:val="00283C5D"/>
    <w:rsid w:val="002844B0"/>
    <w:rsid w:val="00284E9A"/>
    <w:rsid w:val="00285DE6"/>
    <w:rsid w:val="00286136"/>
    <w:rsid w:val="00286322"/>
    <w:rsid w:val="00291302"/>
    <w:rsid w:val="00291E1C"/>
    <w:rsid w:val="00296B03"/>
    <w:rsid w:val="00296C1F"/>
    <w:rsid w:val="002A1A88"/>
    <w:rsid w:val="002A2434"/>
    <w:rsid w:val="002A294E"/>
    <w:rsid w:val="002A3A10"/>
    <w:rsid w:val="002A41E6"/>
    <w:rsid w:val="002A44C8"/>
    <w:rsid w:val="002A5E48"/>
    <w:rsid w:val="002B0059"/>
    <w:rsid w:val="002B0455"/>
    <w:rsid w:val="002B1941"/>
    <w:rsid w:val="002B261C"/>
    <w:rsid w:val="002B2BEE"/>
    <w:rsid w:val="002B35C5"/>
    <w:rsid w:val="002B3935"/>
    <w:rsid w:val="002B406A"/>
    <w:rsid w:val="002B41D4"/>
    <w:rsid w:val="002B543F"/>
    <w:rsid w:val="002B6165"/>
    <w:rsid w:val="002B747C"/>
    <w:rsid w:val="002B7D73"/>
    <w:rsid w:val="002B7E6E"/>
    <w:rsid w:val="002C054C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2B9"/>
    <w:rsid w:val="002D5B65"/>
    <w:rsid w:val="002D6396"/>
    <w:rsid w:val="002D7E5E"/>
    <w:rsid w:val="002E077B"/>
    <w:rsid w:val="002E07BA"/>
    <w:rsid w:val="002E07EF"/>
    <w:rsid w:val="002E0D06"/>
    <w:rsid w:val="002E1810"/>
    <w:rsid w:val="002E23DA"/>
    <w:rsid w:val="002E374A"/>
    <w:rsid w:val="002E3E9F"/>
    <w:rsid w:val="002E4E94"/>
    <w:rsid w:val="002E6D7E"/>
    <w:rsid w:val="002E7CBB"/>
    <w:rsid w:val="002F1F28"/>
    <w:rsid w:val="002F43CA"/>
    <w:rsid w:val="002F57AA"/>
    <w:rsid w:val="002F6DD2"/>
    <w:rsid w:val="002F6EF7"/>
    <w:rsid w:val="002F714C"/>
    <w:rsid w:val="002F77BF"/>
    <w:rsid w:val="003004A2"/>
    <w:rsid w:val="00302CA4"/>
    <w:rsid w:val="00303DD5"/>
    <w:rsid w:val="00305D2B"/>
    <w:rsid w:val="003071E9"/>
    <w:rsid w:val="00307B74"/>
    <w:rsid w:val="003102C6"/>
    <w:rsid w:val="0031034C"/>
    <w:rsid w:val="00310764"/>
    <w:rsid w:val="00311BFD"/>
    <w:rsid w:val="00313288"/>
    <w:rsid w:val="00314718"/>
    <w:rsid w:val="00314875"/>
    <w:rsid w:val="0031488A"/>
    <w:rsid w:val="00316F35"/>
    <w:rsid w:val="003175E1"/>
    <w:rsid w:val="0032003B"/>
    <w:rsid w:val="00320203"/>
    <w:rsid w:val="00320F02"/>
    <w:rsid w:val="00321FEB"/>
    <w:rsid w:val="00322002"/>
    <w:rsid w:val="00323EEC"/>
    <w:rsid w:val="003247B0"/>
    <w:rsid w:val="00325E81"/>
    <w:rsid w:val="00326948"/>
    <w:rsid w:val="00327052"/>
    <w:rsid w:val="003336BB"/>
    <w:rsid w:val="0033486D"/>
    <w:rsid w:val="00335228"/>
    <w:rsid w:val="003367C4"/>
    <w:rsid w:val="00336D8E"/>
    <w:rsid w:val="003376B3"/>
    <w:rsid w:val="00340BF3"/>
    <w:rsid w:val="00340C09"/>
    <w:rsid w:val="00343CC8"/>
    <w:rsid w:val="00345F79"/>
    <w:rsid w:val="00345F9C"/>
    <w:rsid w:val="0034654B"/>
    <w:rsid w:val="0034699C"/>
    <w:rsid w:val="00347776"/>
    <w:rsid w:val="0035165F"/>
    <w:rsid w:val="003519C0"/>
    <w:rsid w:val="00351A91"/>
    <w:rsid w:val="00351E6B"/>
    <w:rsid w:val="003520C4"/>
    <w:rsid w:val="00352D7D"/>
    <w:rsid w:val="003533AE"/>
    <w:rsid w:val="00355E14"/>
    <w:rsid w:val="00356CFA"/>
    <w:rsid w:val="00357C5E"/>
    <w:rsid w:val="003608BD"/>
    <w:rsid w:val="00360D84"/>
    <w:rsid w:val="00361109"/>
    <w:rsid w:val="00361280"/>
    <w:rsid w:val="003615F1"/>
    <w:rsid w:val="00361A6E"/>
    <w:rsid w:val="00361F27"/>
    <w:rsid w:val="003626AF"/>
    <w:rsid w:val="00363D7F"/>
    <w:rsid w:val="0036655E"/>
    <w:rsid w:val="003665D5"/>
    <w:rsid w:val="00367C66"/>
    <w:rsid w:val="003700B2"/>
    <w:rsid w:val="0037233D"/>
    <w:rsid w:val="003736EF"/>
    <w:rsid w:val="003737E3"/>
    <w:rsid w:val="00373D26"/>
    <w:rsid w:val="00374297"/>
    <w:rsid w:val="00380448"/>
    <w:rsid w:val="00380A1A"/>
    <w:rsid w:val="00380A57"/>
    <w:rsid w:val="00380D80"/>
    <w:rsid w:val="0038445E"/>
    <w:rsid w:val="0038500E"/>
    <w:rsid w:val="003874A8"/>
    <w:rsid w:val="0038761D"/>
    <w:rsid w:val="003906F8"/>
    <w:rsid w:val="003935EE"/>
    <w:rsid w:val="00393EE9"/>
    <w:rsid w:val="0039408A"/>
    <w:rsid w:val="003945F5"/>
    <w:rsid w:val="0039673D"/>
    <w:rsid w:val="00396F05"/>
    <w:rsid w:val="003975DA"/>
    <w:rsid w:val="00397893"/>
    <w:rsid w:val="003A2407"/>
    <w:rsid w:val="003A2CF0"/>
    <w:rsid w:val="003A33D3"/>
    <w:rsid w:val="003A3880"/>
    <w:rsid w:val="003A4B52"/>
    <w:rsid w:val="003A5119"/>
    <w:rsid w:val="003A547B"/>
    <w:rsid w:val="003A5BC5"/>
    <w:rsid w:val="003A5D55"/>
    <w:rsid w:val="003A5F95"/>
    <w:rsid w:val="003A75E6"/>
    <w:rsid w:val="003A76CC"/>
    <w:rsid w:val="003A77D2"/>
    <w:rsid w:val="003B1382"/>
    <w:rsid w:val="003B255B"/>
    <w:rsid w:val="003B3317"/>
    <w:rsid w:val="003B4B2F"/>
    <w:rsid w:val="003B4C50"/>
    <w:rsid w:val="003B52D4"/>
    <w:rsid w:val="003B7828"/>
    <w:rsid w:val="003C02A6"/>
    <w:rsid w:val="003C1CA5"/>
    <w:rsid w:val="003C1EC7"/>
    <w:rsid w:val="003C3D8E"/>
    <w:rsid w:val="003C5E61"/>
    <w:rsid w:val="003C64A0"/>
    <w:rsid w:val="003C6DB0"/>
    <w:rsid w:val="003C6F0B"/>
    <w:rsid w:val="003C7BA3"/>
    <w:rsid w:val="003C7D52"/>
    <w:rsid w:val="003D3642"/>
    <w:rsid w:val="003D4E9C"/>
    <w:rsid w:val="003D5EE8"/>
    <w:rsid w:val="003E0D78"/>
    <w:rsid w:val="003E1CAB"/>
    <w:rsid w:val="003E1CB1"/>
    <w:rsid w:val="003E374A"/>
    <w:rsid w:val="003E3A1D"/>
    <w:rsid w:val="003E3E49"/>
    <w:rsid w:val="003E5991"/>
    <w:rsid w:val="003E6CA0"/>
    <w:rsid w:val="003F1F41"/>
    <w:rsid w:val="003F2FDE"/>
    <w:rsid w:val="003F330B"/>
    <w:rsid w:val="003F6FDF"/>
    <w:rsid w:val="003F7DA0"/>
    <w:rsid w:val="00400D04"/>
    <w:rsid w:val="004016F5"/>
    <w:rsid w:val="00402B07"/>
    <w:rsid w:val="004045AA"/>
    <w:rsid w:val="00404C5C"/>
    <w:rsid w:val="0040549A"/>
    <w:rsid w:val="00405CC9"/>
    <w:rsid w:val="00405FDA"/>
    <w:rsid w:val="004063D0"/>
    <w:rsid w:val="0040711E"/>
    <w:rsid w:val="00407D67"/>
    <w:rsid w:val="00407D6C"/>
    <w:rsid w:val="00412450"/>
    <w:rsid w:val="004138DE"/>
    <w:rsid w:val="00413B39"/>
    <w:rsid w:val="004143E8"/>
    <w:rsid w:val="00414B2F"/>
    <w:rsid w:val="00415E58"/>
    <w:rsid w:val="00416231"/>
    <w:rsid w:val="004208AB"/>
    <w:rsid w:val="00420F63"/>
    <w:rsid w:val="004219EF"/>
    <w:rsid w:val="00421A72"/>
    <w:rsid w:val="00424348"/>
    <w:rsid w:val="00426A7B"/>
    <w:rsid w:val="00426CD9"/>
    <w:rsid w:val="00426DE2"/>
    <w:rsid w:val="00430E61"/>
    <w:rsid w:val="00430FEB"/>
    <w:rsid w:val="004310EE"/>
    <w:rsid w:val="00433677"/>
    <w:rsid w:val="0043384D"/>
    <w:rsid w:val="004340D5"/>
    <w:rsid w:val="00434880"/>
    <w:rsid w:val="00434A21"/>
    <w:rsid w:val="0043526D"/>
    <w:rsid w:val="00442DF1"/>
    <w:rsid w:val="004431FE"/>
    <w:rsid w:val="00444F0D"/>
    <w:rsid w:val="0044516D"/>
    <w:rsid w:val="004460E9"/>
    <w:rsid w:val="0044728C"/>
    <w:rsid w:val="00447B6F"/>
    <w:rsid w:val="00447E35"/>
    <w:rsid w:val="00447FF2"/>
    <w:rsid w:val="004501D4"/>
    <w:rsid w:val="004512D5"/>
    <w:rsid w:val="00451555"/>
    <w:rsid w:val="00452E50"/>
    <w:rsid w:val="004531E1"/>
    <w:rsid w:val="00453623"/>
    <w:rsid w:val="00453AAC"/>
    <w:rsid w:val="00453C11"/>
    <w:rsid w:val="0045548E"/>
    <w:rsid w:val="004557B0"/>
    <w:rsid w:val="00457946"/>
    <w:rsid w:val="00457D8B"/>
    <w:rsid w:val="00460466"/>
    <w:rsid w:val="00460A17"/>
    <w:rsid w:val="0046236C"/>
    <w:rsid w:val="00462F79"/>
    <w:rsid w:val="00463438"/>
    <w:rsid w:val="0046383A"/>
    <w:rsid w:val="00463ECE"/>
    <w:rsid w:val="00465388"/>
    <w:rsid w:val="004677C9"/>
    <w:rsid w:val="00467D90"/>
    <w:rsid w:val="0047002E"/>
    <w:rsid w:val="00470CB5"/>
    <w:rsid w:val="00470E19"/>
    <w:rsid w:val="00471EAB"/>
    <w:rsid w:val="004723EE"/>
    <w:rsid w:val="004738E9"/>
    <w:rsid w:val="0047454B"/>
    <w:rsid w:val="00475A92"/>
    <w:rsid w:val="00477BB9"/>
    <w:rsid w:val="004800EF"/>
    <w:rsid w:val="004808F2"/>
    <w:rsid w:val="0048417C"/>
    <w:rsid w:val="00484C8F"/>
    <w:rsid w:val="00485117"/>
    <w:rsid w:val="004859EE"/>
    <w:rsid w:val="004866D9"/>
    <w:rsid w:val="00487366"/>
    <w:rsid w:val="004873E4"/>
    <w:rsid w:val="00487F48"/>
    <w:rsid w:val="0049072C"/>
    <w:rsid w:val="004907AD"/>
    <w:rsid w:val="00490FD1"/>
    <w:rsid w:val="00491444"/>
    <w:rsid w:val="00491AD2"/>
    <w:rsid w:val="004935C0"/>
    <w:rsid w:val="00493B43"/>
    <w:rsid w:val="00494EB1"/>
    <w:rsid w:val="0049619F"/>
    <w:rsid w:val="00496414"/>
    <w:rsid w:val="00497339"/>
    <w:rsid w:val="00497A38"/>
    <w:rsid w:val="004A0A74"/>
    <w:rsid w:val="004A1F0E"/>
    <w:rsid w:val="004A2C56"/>
    <w:rsid w:val="004A3CAA"/>
    <w:rsid w:val="004A45BD"/>
    <w:rsid w:val="004A4656"/>
    <w:rsid w:val="004A4D5A"/>
    <w:rsid w:val="004A7536"/>
    <w:rsid w:val="004A77B0"/>
    <w:rsid w:val="004B08A9"/>
    <w:rsid w:val="004B0B8E"/>
    <w:rsid w:val="004B109A"/>
    <w:rsid w:val="004B1CED"/>
    <w:rsid w:val="004B34A7"/>
    <w:rsid w:val="004B3B06"/>
    <w:rsid w:val="004B3ED5"/>
    <w:rsid w:val="004B4643"/>
    <w:rsid w:val="004B5D02"/>
    <w:rsid w:val="004B7F67"/>
    <w:rsid w:val="004C06BE"/>
    <w:rsid w:val="004C0938"/>
    <w:rsid w:val="004C0FD6"/>
    <w:rsid w:val="004C147B"/>
    <w:rsid w:val="004C1994"/>
    <w:rsid w:val="004C2E5C"/>
    <w:rsid w:val="004C32A9"/>
    <w:rsid w:val="004C6434"/>
    <w:rsid w:val="004C6B22"/>
    <w:rsid w:val="004C6B2B"/>
    <w:rsid w:val="004C70FC"/>
    <w:rsid w:val="004D0477"/>
    <w:rsid w:val="004D2675"/>
    <w:rsid w:val="004D26B3"/>
    <w:rsid w:val="004D3574"/>
    <w:rsid w:val="004D4080"/>
    <w:rsid w:val="004D7448"/>
    <w:rsid w:val="004E0057"/>
    <w:rsid w:val="004E05FD"/>
    <w:rsid w:val="004E1A0D"/>
    <w:rsid w:val="004E23F5"/>
    <w:rsid w:val="004E5418"/>
    <w:rsid w:val="004E5C4A"/>
    <w:rsid w:val="004E63E5"/>
    <w:rsid w:val="004E6B76"/>
    <w:rsid w:val="004F1437"/>
    <w:rsid w:val="004F29DB"/>
    <w:rsid w:val="004F3540"/>
    <w:rsid w:val="004F52DB"/>
    <w:rsid w:val="004F5624"/>
    <w:rsid w:val="004F5DA4"/>
    <w:rsid w:val="004F62B2"/>
    <w:rsid w:val="004F6424"/>
    <w:rsid w:val="005040CD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12EB"/>
    <w:rsid w:val="005213F8"/>
    <w:rsid w:val="005221F0"/>
    <w:rsid w:val="0052256B"/>
    <w:rsid w:val="00522AE6"/>
    <w:rsid w:val="0052379E"/>
    <w:rsid w:val="005237D2"/>
    <w:rsid w:val="00523E07"/>
    <w:rsid w:val="00524140"/>
    <w:rsid w:val="00524807"/>
    <w:rsid w:val="005252FE"/>
    <w:rsid w:val="00525FF9"/>
    <w:rsid w:val="00532C41"/>
    <w:rsid w:val="00532D3F"/>
    <w:rsid w:val="00532DC5"/>
    <w:rsid w:val="0053386D"/>
    <w:rsid w:val="00533A2A"/>
    <w:rsid w:val="00533A3F"/>
    <w:rsid w:val="00534700"/>
    <w:rsid w:val="00535ACD"/>
    <w:rsid w:val="00537772"/>
    <w:rsid w:val="0053791F"/>
    <w:rsid w:val="00540AA5"/>
    <w:rsid w:val="00542104"/>
    <w:rsid w:val="00544F5D"/>
    <w:rsid w:val="0054506E"/>
    <w:rsid w:val="00546622"/>
    <w:rsid w:val="00547538"/>
    <w:rsid w:val="005502FA"/>
    <w:rsid w:val="005522E0"/>
    <w:rsid w:val="00553BFA"/>
    <w:rsid w:val="00554431"/>
    <w:rsid w:val="005546C5"/>
    <w:rsid w:val="00554D05"/>
    <w:rsid w:val="0056077E"/>
    <w:rsid w:val="00560EDA"/>
    <w:rsid w:val="0056212D"/>
    <w:rsid w:val="005629EE"/>
    <w:rsid w:val="00562D53"/>
    <w:rsid w:val="0056378C"/>
    <w:rsid w:val="00563E46"/>
    <w:rsid w:val="00564472"/>
    <w:rsid w:val="0056447C"/>
    <w:rsid w:val="005648FA"/>
    <w:rsid w:val="00564D50"/>
    <w:rsid w:val="00567346"/>
    <w:rsid w:val="00572506"/>
    <w:rsid w:val="0057371B"/>
    <w:rsid w:val="00573F55"/>
    <w:rsid w:val="00575EB8"/>
    <w:rsid w:val="0057613A"/>
    <w:rsid w:val="00576A4F"/>
    <w:rsid w:val="00576E5E"/>
    <w:rsid w:val="00582A9B"/>
    <w:rsid w:val="005832AB"/>
    <w:rsid w:val="00584001"/>
    <w:rsid w:val="0058437C"/>
    <w:rsid w:val="00586DDA"/>
    <w:rsid w:val="00587B6A"/>
    <w:rsid w:val="00592E6E"/>
    <w:rsid w:val="005935F4"/>
    <w:rsid w:val="005938C8"/>
    <w:rsid w:val="00593E0A"/>
    <w:rsid w:val="005965DA"/>
    <w:rsid w:val="00596683"/>
    <w:rsid w:val="005971B0"/>
    <w:rsid w:val="005A0DFB"/>
    <w:rsid w:val="005A167F"/>
    <w:rsid w:val="005A2DDA"/>
    <w:rsid w:val="005A346E"/>
    <w:rsid w:val="005A454E"/>
    <w:rsid w:val="005A4EE0"/>
    <w:rsid w:val="005A5A3E"/>
    <w:rsid w:val="005A6CC1"/>
    <w:rsid w:val="005A73CF"/>
    <w:rsid w:val="005B1DA5"/>
    <w:rsid w:val="005B3F6F"/>
    <w:rsid w:val="005B4002"/>
    <w:rsid w:val="005B41F4"/>
    <w:rsid w:val="005B528A"/>
    <w:rsid w:val="005B798B"/>
    <w:rsid w:val="005C1FAE"/>
    <w:rsid w:val="005C2CFA"/>
    <w:rsid w:val="005C39E8"/>
    <w:rsid w:val="005C5660"/>
    <w:rsid w:val="005C7072"/>
    <w:rsid w:val="005C71E4"/>
    <w:rsid w:val="005C72E3"/>
    <w:rsid w:val="005D11B2"/>
    <w:rsid w:val="005D2D7C"/>
    <w:rsid w:val="005D33D8"/>
    <w:rsid w:val="005D3CF4"/>
    <w:rsid w:val="005D4788"/>
    <w:rsid w:val="005D48D7"/>
    <w:rsid w:val="005D4B68"/>
    <w:rsid w:val="005D6D4B"/>
    <w:rsid w:val="005D783D"/>
    <w:rsid w:val="005E0ABB"/>
    <w:rsid w:val="005E0C85"/>
    <w:rsid w:val="005E11C1"/>
    <w:rsid w:val="005E2563"/>
    <w:rsid w:val="005E2EBE"/>
    <w:rsid w:val="005E31AC"/>
    <w:rsid w:val="005E394C"/>
    <w:rsid w:val="005E42BF"/>
    <w:rsid w:val="005E4E70"/>
    <w:rsid w:val="005E65BB"/>
    <w:rsid w:val="005F0143"/>
    <w:rsid w:val="005F0161"/>
    <w:rsid w:val="005F0DA0"/>
    <w:rsid w:val="005F15A1"/>
    <w:rsid w:val="005F2767"/>
    <w:rsid w:val="005F4914"/>
    <w:rsid w:val="005F62B7"/>
    <w:rsid w:val="005F67FC"/>
    <w:rsid w:val="005F6869"/>
    <w:rsid w:val="005F6BB9"/>
    <w:rsid w:val="00603148"/>
    <w:rsid w:val="00606FC7"/>
    <w:rsid w:val="00610456"/>
    <w:rsid w:val="0061053A"/>
    <w:rsid w:val="00611473"/>
    <w:rsid w:val="00611B36"/>
    <w:rsid w:val="006127FF"/>
    <w:rsid w:val="0061378B"/>
    <w:rsid w:val="00613A34"/>
    <w:rsid w:val="00615ADA"/>
    <w:rsid w:val="006221CD"/>
    <w:rsid w:val="00622220"/>
    <w:rsid w:val="00622E32"/>
    <w:rsid w:val="006266A9"/>
    <w:rsid w:val="00630426"/>
    <w:rsid w:val="006316C1"/>
    <w:rsid w:val="00631ED4"/>
    <w:rsid w:val="006320E0"/>
    <w:rsid w:val="00633BC7"/>
    <w:rsid w:val="00633C24"/>
    <w:rsid w:val="00635015"/>
    <w:rsid w:val="00635174"/>
    <w:rsid w:val="00635AC7"/>
    <w:rsid w:val="00635E9C"/>
    <w:rsid w:val="0063753F"/>
    <w:rsid w:val="00637B41"/>
    <w:rsid w:val="00637EFA"/>
    <w:rsid w:val="00640197"/>
    <w:rsid w:val="006414EE"/>
    <w:rsid w:val="00641BDE"/>
    <w:rsid w:val="00642524"/>
    <w:rsid w:val="00642D0A"/>
    <w:rsid w:val="00642DE5"/>
    <w:rsid w:val="0064431A"/>
    <w:rsid w:val="0064630E"/>
    <w:rsid w:val="00646FE1"/>
    <w:rsid w:val="00647075"/>
    <w:rsid w:val="00647BDA"/>
    <w:rsid w:val="0065043E"/>
    <w:rsid w:val="00651099"/>
    <w:rsid w:val="00651E31"/>
    <w:rsid w:val="006529DB"/>
    <w:rsid w:val="0065380A"/>
    <w:rsid w:val="0065581D"/>
    <w:rsid w:val="00655C2F"/>
    <w:rsid w:val="00657765"/>
    <w:rsid w:val="00660403"/>
    <w:rsid w:val="00661140"/>
    <w:rsid w:val="00663594"/>
    <w:rsid w:val="00664999"/>
    <w:rsid w:val="0066578D"/>
    <w:rsid w:val="006659D2"/>
    <w:rsid w:val="00665C4B"/>
    <w:rsid w:val="00670863"/>
    <w:rsid w:val="00670B10"/>
    <w:rsid w:val="006710DD"/>
    <w:rsid w:val="00671FC9"/>
    <w:rsid w:val="00673200"/>
    <w:rsid w:val="00674353"/>
    <w:rsid w:val="0067499B"/>
    <w:rsid w:val="0067501E"/>
    <w:rsid w:val="006773D2"/>
    <w:rsid w:val="00680498"/>
    <w:rsid w:val="00680581"/>
    <w:rsid w:val="00681A41"/>
    <w:rsid w:val="006821B2"/>
    <w:rsid w:val="0068380E"/>
    <w:rsid w:val="006838C0"/>
    <w:rsid w:val="006857EB"/>
    <w:rsid w:val="00685901"/>
    <w:rsid w:val="00685BB9"/>
    <w:rsid w:val="00686EAB"/>
    <w:rsid w:val="00687E61"/>
    <w:rsid w:val="00690127"/>
    <w:rsid w:val="00691BFF"/>
    <w:rsid w:val="00692C52"/>
    <w:rsid w:val="006943E4"/>
    <w:rsid w:val="006953C1"/>
    <w:rsid w:val="00696EB2"/>
    <w:rsid w:val="006A1466"/>
    <w:rsid w:val="006A1600"/>
    <w:rsid w:val="006A16E9"/>
    <w:rsid w:val="006A5450"/>
    <w:rsid w:val="006B0199"/>
    <w:rsid w:val="006B0A32"/>
    <w:rsid w:val="006B0BD8"/>
    <w:rsid w:val="006B301A"/>
    <w:rsid w:val="006B34B6"/>
    <w:rsid w:val="006B4557"/>
    <w:rsid w:val="006C0251"/>
    <w:rsid w:val="006C0320"/>
    <w:rsid w:val="006C2B9A"/>
    <w:rsid w:val="006C39BB"/>
    <w:rsid w:val="006C4502"/>
    <w:rsid w:val="006C6114"/>
    <w:rsid w:val="006C65BE"/>
    <w:rsid w:val="006C68C0"/>
    <w:rsid w:val="006C6C6A"/>
    <w:rsid w:val="006D2288"/>
    <w:rsid w:val="006D4464"/>
    <w:rsid w:val="006D4EF4"/>
    <w:rsid w:val="006D5E91"/>
    <w:rsid w:val="006D7E87"/>
    <w:rsid w:val="006E10B2"/>
    <w:rsid w:val="006E14E6"/>
    <w:rsid w:val="006E1AEE"/>
    <w:rsid w:val="006E2F52"/>
    <w:rsid w:val="006E32A9"/>
    <w:rsid w:val="006E3B9C"/>
    <w:rsid w:val="006E3E10"/>
    <w:rsid w:val="006E51A2"/>
    <w:rsid w:val="006F0953"/>
    <w:rsid w:val="006F0DE2"/>
    <w:rsid w:val="006F11BD"/>
    <w:rsid w:val="006F25B4"/>
    <w:rsid w:val="006F263C"/>
    <w:rsid w:val="006F32C7"/>
    <w:rsid w:val="006F3392"/>
    <w:rsid w:val="006F3495"/>
    <w:rsid w:val="006F417D"/>
    <w:rsid w:val="006F5C83"/>
    <w:rsid w:val="006F67CC"/>
    <w:rsid w:val="006F6B89"/>
    <w:rsid w:val="006F6E73"/>
    <w:rsid w:val="00701A6B"/>
    <w:rsid w:val="00701C2D"/>
    <w:rsid w:val="00702162"/>
    <w:rsid w:val="00703930"/>
    <w:rsid w:val="0070610E"/>
    <w:rsid w:val="00707759"/>
    <w:rsid w:val="00707C0F"/>
    <w:rsid w:val="00710081"/>
    <w:rsid w:val="00710B0D"/>
    <w:rsid w:val="0071343E"/>
    <w:rsid w:val="00713907"/>
    <w:rsid w:val="00713CB5"/>
    <w:rsid w:val="0071434A"/>
    <w:rsid w:val="00714E3F"/>
    <w:rsid w:val="0071558B"/>
    <w:rsid w:val="0071776A"/>
    <w:rsid w:val="00717893"/>
    <w:rsid w:val="007207E5"/>
    <w:rsid w:val="00721189"/>
    <w:rsid w:val="007221C3"/>
    <w:rsid w:val="007227E4"/>
    <w:rsid w:val="00722F2C"/>
    <w:rsid w:val="007235AC"/>
    <w:rsid w:val="007254D1"/>
    <w:rsid w:val="00725783"/>
    <w:rsid w:val="00725B32"/>
    <w:rsid w:val="00725B3C"/>
    <w:rsid w:val="007270A0"/>
    <w:rsid w:val="00732B42"/>
    <w:rsid w:val="00733D54"/>
    <w:rsid w:val="00735501"/>
    <w:rsid w:val="00736A4F"/>
    <w:rsid w:val="0073708B"/>
    <w:rsid w:val="00737753"/>
    <w:rsid w:val="00737768"/>
    <w:rsid w:val="00740BB8"/>
    <w:rsid w:val="00740CE9"/>
    <w:rsid w:val="007428E3"/>
    <w:rsid w:val="0074394E"/>
    <w:rsid w:val="007441DC"/>
    <w:rsid w:val="0074422D"/>
    <w:rsid w:val="00750D0A"/>
    <w:rsid w:val="00751D93"/>
    <w:rsid w:val="00752300"/>
    <w:rsid w:val="00753BF5"/>
    <w:rsid w:val="007546F8"/>
    <w:rsid w:val="0075579B"/>
    <w:rsid w:val="00755BAB"/>
    <w:rsid w:val="00755F5B"/>
    <w:rsid w:val="00757ECC"/>
    <w:rsid w:val="0076080E"/>
    <w:rsid w:val="00762C91"/>
    <w:rsid w:val="0076411D"/>
    <w:rsid w:val="00764505"/>
    <w:rsid w:val="00764D4B"/>
    <w:rsid w:val="0076670C"/>
    <w:rsid w:val="0076690F"/>
    <w:rsid w:val="007670F8"/>
    <w:rsid w:val="007671D4"/>
    <w:rsid w:val="00770A85"/>
    <w:rsid w:val="00773C8C"/>
    <w:rsid w:val="00773DC9"/>
    <w:rsid w:val="0077572E"/>
    <w:rsid w:val="00777BE4"/>
    <w:rsid w:val="00777F55"/>
    <w:rsid w:val="0078031B"/>
    <w:rsid w:val="007803D0"/>
    <w:rsid w:val="00784F44"/>
    <w:rsid w:val="00786672"/>
    <w:rsid w:val="007872CF"/>
    <w:rsid w:val="00790668"/>
    <w:rsid w:val="007917B0"/>
    <w:rsid w:val="0079201C"/>
    <w:rsid w:val="007926D0"/>
    <w:rsid w:val="0079307F"/>
    <w:rsid w:val="007940C5"/>
    <w:rsid w:val="007947C4"/>
    <w:rsid w:val="0079480E"/>
    <w:rsid w:val="00795812"/>
    <w:rsid w:val="00795CE1"/>
    <w:rsid w:val="00796540"/>
    <w:rsid w:val="007976DB"/>
    <w:rsid w:val="007A047D"/>
    <w:rsid w:val="007A0646"/>
    <w:rsid w:val="007A06AC"/>
    <w:rsid w:val="007A1B2F"/>
    <w:rsid w:val="007A31B8"/>
    <w:rsid w:val="007A4636"/>
    <w:rsid w:val="007A513E"/>
    <w:rsid w:val="007A54E2"/>
    <w:rsid w:val="007A5510"/>
    <w:rsid w:val="007A5B78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39F"/>
    <w:rsid w:val="007C264B"/>
    <w:rsid w:val="007C309E"/>
    <w:rsid w:val="007C322E"/>
    <w:rsid w:val="007C33AD"/>
    <w:rsid w:val="007C3A2B"/>
    <w:rsid w:val="007C45D3"/>
    <w:rsid w:val="007C597B"/>
    <w:rsid w:val="007C5DDD"/>
    <w:rsid w:val="007C760C"/>
    <w:rsid w:val="007D08FD"/>
    <w:rsid w:val="007D0A87"/>
    <w:rsid w:val="007D1584"/>
    <w:rsid w:val="007D2044"/>
    <w:rsid w:val="007D4F33"/>
    <w:rsid w:val="007D554B"/>
    <w:rsid w:val="007D65C7"/>
    <w:rsid w:val="007D74D2"/>
    <w:rsid w:val="007D79B5"/>
    <w:rsid w:val="007E0419"/>
    <w:rsid w:val="007E0DCA"/>
    <w:rsid w:val="007E18B3"/>
    <w:rsid w:val="007E2334"/>
    <w:rsid w:val="007E23CE"/>
    <w:rsid w:val="007E2CE7"/>
    <w:rsid w:val="007E4041"/>
    <w:rsid w:val="007E4269"/>
    <w:rsid w:val="007E43D0"/>
    <w:rsid w:val="007E4F00"/>
    <w:rsid w:val="007E5279"/>
    <w:rsid w:val="007E54F8"/>
    <w:rsid w:val="007E5987"/>
    <w:rsid w:val="007E5BD8"/>
    <w:rsid w:val="007E5BED"/>
    <w:rsid w:val="007E6FA7"/>
    <w:rsid w:val="007E71EA"/>
    <w:rsid w:val="007E7BF9"/>
    <w:rsid w:val="007F0235"/>
    <w:rsid w:val="007F02BC"/>
    <w:rsid w:val="007F1670"/>
    <w:rsid w:val="007F1D17"/>
    <w:rsid w:val="007F20D7"/>
    <w:rsid w:val="007F2E65"/>
    <w:rsid w:val="007F3CDF"/>
    <w:rsid w:val="007F43BA"/>
    <w:rsid w:val="007F45D1"/>
    <w:rsid w:val="007F595A"/>
    <w:rsid w:val="007F64BE"/>
    <w:rsid w:val="007F66BA"/>
    <w:rsid w:val="007F6DC3"/>
    <w:rsid w:val="008006B4"/>
    <w:rsid w:val="008015B6"/>
    <w:rsid w:val="00801913"/>
    <w:rsid w:val="00803FD4"/>
    <w:rsid w:val="0080481C"/>
    <w:rsid w:val="00804C54"/>
    <w:rsid w:val="008056DD"/>
    <w:rsid w:val="00806E4A"/>
    <w:rsid w:val="008101CD"/>
    <w:rsid w:val="00810D3E"/>
    <w:rsid w:val="0081104C"/>
    <w:rsid w:val="008121F2"/>
    <w:rsid w:val="00812D16"/>
    <w:rsid w:val="0081315F"/>
    <w:rsid w:val="00816C51"/>
    <w:rsid w:val="008175B3"/>
    <w:rsid w:val="00820708"/>
    <w:rsid w:val="00821865"/>
    <w:rsid w:val="008225EB"/>
    <w:rsid w:val="00822C56"/>
    <w:rsid w:val="00822E1D"/>
    <w:rsid w:val="0082327D"/>
    <w:rsid w:val="0082433D"/>
    <w:rsid w:val="0082445A"/>
    <w:rsid w:val="00825558"/>
    <w:rsid w:val="00826509"/>
    <w:rsid w:val="00826B20"/>
    <w:rsid w:val="00831425"/>
    <w:rsid w:val="00831B01"/>
    <w:rsid w:val="0083354D"/>
    <w:rsid w:val="0083561B"/>
    <w:rsid w:val="00837D78"/>
    <w:rsid w:val="00840D79"/>
    <w:rsid w:val="00840FD3"/>
    <w:rsid w:val="0084128E"/>
    <w:rsid w:val="00842A21"/>
    <w:rsid w:val="008442F6"/>
    <w:rsid w:val="00845DAD"/>
    <w:rsid w:val="00846172"/>
    <w:rsid w:val="0084651E"/>
    <w:rsid w:val="00851377"/>
    <w:rsid w:val="008513C1"/>
    <w:rsid w:val="00851AE0"/>
    <w:rsid w:val="0085375B"/>
    <w:rsid w:val="00853C5F"/>
    <w:rsid w:val="0085437C"/>
    <w:rsid w:val="00854B2F"/>
    <w:rsid w:val="00855481"/>
    <w:rsid w:val="00855508"/>
    <w:rsid w:val="00856354"/>
    <w:rsid w:val="008568E1"/>
    <w:rsid w:val="00856BE9"/>
    <w:rsid w:val="00856F6B"/>
    <w:rsid w:val="008578F8"/>
    <w:rsid w:val="00857E29"/>
    <w:rsid w:val="00860566"/>
    <w:rsid w:val="0086129A"/>
    <w:rsid w:val="0086165C"/>
    <w:rsid w:val="00861B26"/>
    <w:rsid w:val="00862EED"/>
    <w:rsid w:val="008634FF"/>
    <w:rsid w:val="00863A18"/>
    <w:rsid w:val="008640FA"/>
    <w:rsid w:val="008643FC"/>
    <w:rsid w:val="008645FF"/>
    <w:rsid w:val="008648F8"/>
    <w:rsid w:val="008649B9"/>
    <w:rsid w:val="0086559C"/>
    <w:rsid w:val="008657DF"/>
    <w:rsid w:val="00865D13"/>
    <w:rsid w:val="00865DBD"/>
    <w:rsid w:val="00867040"/>
    <w:rsid w:val="0086784F"/>
    <w:rsid w:val="00870394"/>
    <w:rsid w:val="0087073B"/>
    <w:rsid w:val="00873967"/>
    <w:rsid w:val="00874136"/>
    <w:rsid w:val="008743BB"/>
    <w:rsid w:val="00874C17"/>
    <w:rsid w:val="00875E32"/>
    <w:rsid w:val="008763DF"/>
    <w:rsid w:val="0087673D"/>
    <w:rsid w:val="008770D4"/>
    <w:rsid w:val="008800E5"/>
    <w:rsid w:val="0088127F"/>
    <w:rsid w:val="008815EF"/>
    <w:rsid w:val="00883ED5"/>
    <w:rsid w:val="00885273"/>
    <w:rsid w:val="00885F2C"/>
    <w:rsid w:val="008861F4"/>
    <w:rsid w:val="00886386"/>
    <w:rsid w:val="0088701C"/>
    <w:rsid w:val="00891D76"/>
    <w:rsid w:val="00892459"/>
    <w:rsid w:val="008929AA"/>
    <w:rsid w:val="00892AA5"/>
    <w:rsid w:val="00893EE0"/>
    <w:rsid w:val="0089499B"/>
    <w:rsid w:val="00894ACA"/>
    <w:rsid w:val="00894EC5"/>
    <w:rsid w:val="00895B09"/>
    <w:rsid w:val="008960A1"/>
    <w:rsid w:val="00896658"/>
    <w:rsid w:val="008967B5"/>
    <w:rsid w:val="008A03AC"/>
    <w:rsid w:val="008A06DF"/>
    <w:rsid w:val="008A1008"/>
    <w:rsid w:val="008A1F1A"/>
    <w:rsid w:val="008A345A"/>
    <w:rsid w:val="008A3DB9"/>
    <w:rsid w:val="008A5552"/>
    <w:rsid w:val="008A6A5C"/>
    <w:rsid w:val="008A7316"/>
    <w:rsid w:val="008A7352"/>
    <w:rsid w:val="008B01A4"/>
    <w:rsid w:val="008B1696"/>
    <w:rsid w:val="008B4526"/>
    <w:rsid w:val="008B4A1C"/>
    <w:rsid w:val="008B500A"/>
    <w:rsid w:val="008B699D"/>
    <w:rsid w:val="008B7973"/>
    <w:rsid w:val="008C090B"/>
    <w:rsid w:val="008C1610"/>
    <w:rsid w:val="008C2F1E"/>
    <w:rsid w:val="008C30E5"/>
    <w:rsid w:val="008C3B5B"/>
    <w:rsid w:val="008C409F"/>
    <w:rsid w:val="008C602D"/>
    <w:rsid w:val="008C6BCC"/>
    <w:rsid w:val="008D098D"/>
    <w:rsid w:val="008D0CBD"/>
    <w:rsid w:val="008D135A"/>
    <w:rsid w:val="008D2205"/>
    <w:rsid w:val="008D2331"/>
    <w:rsid w:val="008D28EA"/>
    <w:rsid w:val="008D347F"/>
    <w:rsid w:val="008D35AD"/>
    <w:rsid w:val="008D36CD"/>
    <w:rsid w:val="008D4380"/>
    <w:rsid w:val="008D48D1"/>
    <w:rsid w:val="008D4EED"/>
    <w:rsid w:val="008D52E1"/>
    <w:rsid w:val="008D6BE8"/>
    <w:rsid w:val="008E27E9"/>
    <w:rsid w:val="008E2A0F"/>
    <w:rsid w:val="008E42DE"/>
    <w:rsid w:val="008E5373"/>
    <w:rsid w:val="008E585B"/>
    <w:rsid w:val="008E66A2"/>
    <w:rsid w:val="008F0CAC"/>
    <w:rsid w:val="008F1F3A"/>
    <w:rsid w:val="008F2C49"/>
    <w:rsid w:val="008F32CD"/>
    <w:rsid w:val="008F36F0"/>
    <w:rsid w:val="008F66BC"/>
    <w:rsid w:val="008F7CFF"/>
    <w:rsid w:val="008F7ED1"/>
    <w:rsid w:val="008F7FEA"/>
    <w:rsid w:val="009018CF"/>
    <w:rsid w:val="00901C8D"/>
    <w:rsid w:val="009038FC"/>
    <w:rsid w:val="00904945"/>
    <w:rsid w:val="00904A4D"/>
    <w:rsid w:val="00905643"/>
    <w:rsid w:val="00905A0F"/>
    <w:rsid w:val="00905EE9"/>
    <w:rsid w:val="009065F4"/>
    <w:rsid w:val="009075A7"/>
    <w:rsid w:val="009076A7"/>
    <w:rsid w:val="00907DD5"/>
    <w:rsid w:val="00907DFB"/>
    <w:rsid w:val="00910624"/>
    <w:rsid w:val="00910FBA"/>
    <w:rsid w:val="00911D39"/>
    <w:rsid w:val="00912B9F"/>
    <w:rsid w:val="00912BFD"/>
    <w:rsid w:val="00912E25"/>
    <w:rsid w:val="00914BE6"/>
    <w:rsid w:val="00914E0E"/>
    <w:rsid w:val="00915A62"/>
    <w:rsid w:val="00916E86"/>
    <w:rsid w:val="00917907"/>
    <w:rsid w:val="00917C0F"/>
    <w:rsid w:val="00917CF8"/>
    <w:rsid w:val="0092040E"/>
    <w:rsid w:val="00920C6C"/>
    <w:rsid w:val="00921897"/>
    <w:rsid w:val="00921C6D"/>
    <w:rsid w:val="00922259"/>
    <w:rsid w:val="009227D9"/>
    <w:rsid w:val="009232A2"/>
    <w:rsid w:val="00923C44"/>
    <w:rsid w:val="0092505A"/>
    <w:rsid w:val="00925180"/>
    <w:rsid w:val="00927791"/>
    <w:rsid w:val="00927FCA"/>
    <w:rsid w:val="00930607"/>
    <w:rsid w:val="00930D0A"/>
    <w:rsid w:val="009329BA"/>
    <w:rsid w:val="0093304D"/>
    <w:rsid w:val="009348E5"/>
    <w:rsid w:val="00934A94"/>
    <w:rsid w:val="00934DBA"/>
    <w:rsid w:val="00935536"/>
    <w:rsid w:val="00936939"/>
    <w:rsid w:val="00937479"/>
    <w:rsid w:val="0094053B"/>
    <w:rsid w:val="009413E2"/>
    <w:rsid w:val="009417F7"/>
    <w:rsid w:val="00942040"/>
    <w:rsid w:val="0094258D"/>
    <w:rsid w:val="00942C9F"/>
    <w:rsid w:val="00942EFC"/>
    <w:rsid w:val="00943F98"/>
    <w:rsid w:val="009445C9"/>
    <w:rsid w:val="00945631"/>
    <w:rsid w:val="00947549"/>
    <w:rsid w:val="00947CF3"/>
    <w:rsid w:val="00956958"/>
    <w:rsid w:val="00956C5C"/>
    <w:rsid w:val="009572C4"/>
    <w:rsid w:val="0095793C"/>
    <w:rsid w:val="0096045D"/>
    <w:rsid w:val="0096111E"/>
    <w:rsid w:val="00961125"/>
    <w:rsid w:val="009623D8"/>
    <w:rsid w:val="00963362"/>
    <w:rsid w:val="00963BD1"/>
    <w:rsid w:val="009641CC"/>
    <w:rsid w:val="0096480C"/>
    <w:rsid w:val="00966AD5"/>
    <w:rsid w:val="00966B1F"/>
    <w:rsid w:val="00967D26"/>
    <w:rsid w:val="00970A7E"/>
    <w:rsid w:val="0097116E"/>
    <w:rsid w:val="009721D9"/>
    <w:rsid w:val="00972BF8"/>
    <w:rsid w:val="00972EF6"/>
    <w:rsid w:val="00973CB3"/>
    <w:rsid w:val="00974518"/>
    <w:rsid w:val="009747F1"/>
    <w:rsid w:val="00974F2B"/>
    <w:rsid w:val="0097513C"/>
    <w:rsid w:val="00975617"/>
    <w:rsid w:val="009759C1"/>
    <w:rsid w:val="00975D53"/>
    <w:rsid w:val="00976C34"/>
    <w:rsid w:val="0098035D"/>
    <w:rsid w:val="00980FE0"/>
    <w:rsid w:val="0098412B"/>
    <w:rsid w:val="0098458B"/>
    <w:rsid w:val="00985686"/>
    <w:rsid w:val="00985F8B"/>
    <w:rsid w:val="00987D67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A18AD"/>
    <w:rsid w:val="009A4C2D"/>
    <w:rsid w:val="009B0152"/>
    <w:rsid w:val="009B061C"/>
    <w:rsid w:val="009B2C91"/>
    <w:rsid w:val="009B3096"/>
    <w:rsid w:val="009B3DC4"/>
    <w:rsid w:val="009B536C"/>
    <w:rsid w:val="009B5C19"/>
    <w:rsid w:val="009B6496"/>
    <w:rsid w:val="009C01DA"/>
    <w:rsid w:val="009C03B2"/>
    <w:rsid w:val="009C10C1"/>
    <w:rsid w:val="009C1528"/>
    <w:rsid w:val="009C20CC"/>
    <w:rsid w:val="009C2BDF"/>
    <w:rsid w:val="009C3057"/>
    <w:rsid w:val="009C3558"/>
    <w:rsid w:val="009C504A"/>
    <w:rsid w:val="009C562E"/>
    <w:rsid w:val="009C5E44"/>
    <w:rsid w:val="009C7531"/>
    <w:rsid w:val="009D0862"/>
    <w:rsid w:val="009D220C"/>
    <w:rsid w:val="009D221F"/>
    <w:rsid w:val="009D55B7"/>
    <w:rsid w:val="009E09F0"/>
    <w:rsid w:val="009E19E8"/>
    <w:rsid w:val="009E377C"/>
    <w:rsid w:val="009E411C"/>
    <w:rsid w:val="009E44EC"/>
    <w:rsid w:val="009E458A"/>
    <w:rsid w:val="009E4ED8"/>
    <w:rsid w:val="009E5316"/>
    <w:rsid w:val="009E5D7C"/>
    <w:rsid w:val="009E5DFC"/>
    <w:rsid w:val="009E68E0"/>
    <w:rsid w:val="009E6B3B"/>
    <w:rsid w:val="009E728F"/>
    <w:rsid w:val="009E74EA"/>
    <w:rsid w:val="009F1789"/>
    <w:rsid w:val="009F1A49"/>
    <w:rsid w:val="009F2E3B"/>
    <w:rsid w:val="009F36D2"/>
    <w:rsid w:val="009F39E9"/>
    <w:rsid w:val="009F3B6B"/>
    <w:rsid w:val="009F4504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2A8E"/>
    <w:rsid w:val="00A04AD9"/>
    <w:rsid w:val="00A05C86"/>
    <w:rsid w:val="00A05E6C"/>
    <w:rsid w:val="00A06E6E"/>
    <w:rsid w:val="00A076F9"/>
    <w:rsid w:val="00A07997"/>
    <w:rsid w:val="00A07F87"/>
    <w:rsid w:val="00A13659"/>
    <w:rsid w:val="00A158E7"/>
    <w:rsid w:val="00A1637F"/>
    <w:rsid w:val="00A17811"/>
    <w:rsid w:val="00A206ED"/>
    <w:rsid w:val="00A20806"/>
    <w:rsid w:val="00A20C7F"/>
    <w:rsid w:val="00A21D41"/>
    <w:rsid w:val="00A22422"/>
    <w:rsid w:val="00A22DBA"/>
    <w:rsid w:val="00A230F6"/>
    <w:rsid w:val="00A2329D"/>
    <w:rsid w:val="00A238A8"/>
    <w:rsid w:val="00A2490E"/>
    <w:rsid w:val="00A25442"/>
    <w:rsid w:val="00A25BFF"/>
    <w:rsid w:val="00A26648"/>
    <w:rsid w:val="00A26F79"/>
    <w:rsid w:val="00A27522"/>
    <w:rsid w:val="00A30F9A"/>
    <w:rsid w:val="00A3136F"/>
    <w:rsid w:val="00A3237A"/>
    <w:rsid w:val="00A34D0C"/>
    <w:rsid w:val="00A34D76"/>
    <w:rsid w:val="00A365D0"/>
    <w:rsid w:val="00A37645"/>
    <w:rsid w:val="00A402B8"/>
    <w:rsid w:val="00A4043E"/>
    <w:rsid w:val="00A4164C"/>
    <w:rsid w:val="00A4264A"/>
    <w:rsid w:val="00A437D9"/>
    <w:rsid w:val="00A43B7C"/>
    <w:rsid w:val="00A43C16"/>
    <w:rsid w:val="00A4422A"/>
    <w:rsid w:val="00A443A6"/>
    <w:rsid w:val="00A45A1A"/>
    <w:rsid w:val="00A45E61"/>
    <w:rsid w:val="00A472DD"/>
    <w:rsid w:val="00A47E66"/>
    <w:rsid w:val="00A47F32"/>
    <w:rsid w:val="00A505E4"/>
    <w:rsid w:val="00A5185B"/>
    <w:rsid w:val="00A53220"/>
    <w:rsid w:val="00A538E6"/>
    <w:rsid w:val="00A54465"/>
    <w:rsid w:val="00A54514"/>
    <w:rsid w:val="00A5597C"/>
    <w:rsid w:val="00A55A3C"/>
    <w:rsid w:val="00A56102"/>
    <w:rsid w:val="00A56800"/>
    <w:rsid w:val="00A56D7E"/>
    <w:rsid w:val="00A57404"/>
    <w:rsid w:val="00A575BD"/>
    <w:rsid w:val="00A60EEC"/>
    <w:rsid w:val="00A617FB"/>
    <w:rsid w:val="00A61D3E"/>
    <w:rsid w:val="00A63B83"/>
    <w:rsid w:val="00A63F14"/>
    <w:rsid w:val="00A65BD9"/>
    <w:rsid w:val="00A66718"/>
    <w:rsid w:val="00A66A7C"/>
    <w:rsid w:val="00A671EF"/>
    <w:rsid w:val="00A70B31"/>
    <w:rsid w:val="00A72672"/>
    <w:rsid w:val="00A734B6"/>
    <w:rsid w:val="00A73A74"/>
    <w:rsid w:val="00A759FE"/>
    <w:rsid w:val="00A75CF2"/>
    <w:rsid w:val="00A75FE1"/>
    <w:rsid w:val="00A76D67"/>
    <w:rsid w:val="00A77562"/>
    <w:rsid w:val="00A776B8"/>
    <w:rsid w:val="00A77DB9"/>
    <w:rsid w:val="00A81A9F"/>
    <w:rsid w:val="00A81EB6"/>
    <w:rsid w:val="00A82F2D"/>
    <w:rsid w:val="00A837FE"/>
    <w:rsid w:val="00A85357"/>
    <w:rsid w:val="00A871E5"/>
    <w:rsid w:val="00A87396"/>
    <w:rsid w:val="00A902DD"/>
    <w:rsid w:val="00A91617"/>
    <w:rsid w:val="00A91EAC"/>
    <w:rsid w:val="00A93C1C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B19F8"/>
    <w:rsid w:val="00AB23BE"/>
    <w:rsid w:val="00AB2A61"/>
    <w:rsid w:val="00AB3A12"/>
    <w:rsid w:val="00AB49D5"/>
    <w:rsid w:val="00AB4FB3"/>
    <w:rsid w:val="00AB59FE"/>
    <w:rsid w:val="00AB5A8D"/>
    <w:rsid w:val="00AB6642"/>
    <w:rsid w:val="00AC26A9"/>
    <w:rsid w:val="00AC2EFE"/>
    <w:rsid w:val="00AC3930"/>
    <w:rsid w:val="00AC3AB1"/>
    <w:rsid w:val="00AC68C6"/>
    <w:rsid w:val="00AC720F"/>
    <w:rsid w:val="00AC79C1"/>
    <w:rsid w:val="00AC7CA4"/>
    <w:rsid w:val="00AD1FF3"/>
    <w:rsid w:val="00AD41A2"/>
    <w:rsid w:val="00AD493B"/>
    <w:rsid w:val="00AD4A64"/>
    <w:rsid w:val="00AD4D4E"/>
    <w:rsid w:val="00AD58C6"/>
    <w:rsid w:val="00AD598F"/>
    <w:rsid w:val="00AD6D09"/>
    <w:rsid w:val="00AD78CE"/>
    <w:rsid w:val="00AE07DA"/>
    <w:rsid w:val="00AE098E"/>
    <w:rsid w:val="00AE0BBA"/>
    <w:rsid w:val="00AE2291"/>
    <w:rsid w:val="00AE25C8"/>
    <w:rsid w:val="00AE2CBE"/>
    <w:rsid w:val="00AE4003"/>
    <w:rsid w:val="00AE4113"/>
    <w:rsid w:val="00AE4380"/>
    <w:rsid w:val="00AE4FAC"/>
    <w:rsid w:val="00AE5525"/>
    <w:rsid w:val="00AE6381"/>
    <w:rsid w:val="00AE640C"/>
    <w:rsid w:val="00AE656F"/>
    <w:rsid w:val="00AE6CB0"/>
    <w:rsid w:val="00AE7C3A"/>
    <w:rsid w:val="00AE7D78"/>
    <w:rsid w:val="00AF0C33"/>
    <w:rsid w:val="00AF1FF3"/>
    <w:rsid w:val="00AF2CCF"/>
    <w:rsid w:val="00AF308B"/>
    <w:rsid w:val="00AF41F6"/>
    <w:rsid w:val="00AF438E"/>
    <w:rsid w:val="00AF45CA"/>
    <w:rsid w:val="00AF4910"/>
    <w:rsid w:val="00AF5912"/>
    <w:rsid w:val="00AF5CEE"/>
    <w:rsid w:val="00AF6366"/>
    <w:rsid w:val="00AF7506"/>
    <w:rsid w:val="00AF7769"/>
    <w:rsid w:val="00B007DD"/>
    <w:rsid w:val="00B0097C"/>
    <w:rsid w:val="00B0098A"/>
    <w:rsid w:val="00B00F54"/>
    <w:rsid w:val="00B01016"/>
    <w:rsid w:val="00B0146E"/>
    <w:rsid w:val="00B02160"/>
    <w:rsid w:val="00B026E7"/>
    <w:rsid w:val="00B027CB"/>
    <w:rsid w:val="00B02911"/>
    <w:rsid w:val="00B02B28"/>
    <w:rsid w:val="00B0352B"/>
    <w:rsid w:val="00B06370"/>
    <w:rsid w:val="00B073E6"/>
    <w:rsid w:val="00B074F8"/>
    <w:rsid w:val="00B11A3D"/>
    <w:rsid w:val="00B121B0"/>
    <w:rsid w:val="00B12D42"/>
    <w:rsid w:val="00B13B87"/>
    <w:rsid w:val="00B17FAB"/>
    <w:rsid w:val="00B21221"/>
    <w:rsid w:val="00B22C5F"/>
    <w:rsid w:val="00B230A3"/>
    <w:rsid w:val="00B23487"/>
    <w:rsid w:val="00B23687"/>
    <w:rsid w:val="00B25710"/>
    <w:rsid w:val="00B27B03"/>
    <w:rsid w:val="00B31160"/>
    <w:rsid w:val="00B31B62"/>
    <w:rsid w:val="00B3208E"/>
    <w:rsid w:val="00B328C1"/>
    <w:rsid w:val="00B33711"/>
    <w:rsid w:val="00B34889"/>
    <w:rsid w:val="00B35303"/>
    <w:rsid w:val="00B357FE"/>
    <w:rsid w:val="00B37550"/>
    <w:rsid w:val="00B402C6"/>
    <w:rsid w:val="00B4195B"/>
    <w:rsid w:val="00B41DC1"/>
    <w:rsid w:val="00B42607"/>
    <w:rsid w:val="00B42F69"/>
    <w:rsid w:val="00B43C2C"/>
    <w:rsid w:val="00B46EC7"/>
    <w:rsid w:val="00B50A91"/>
    <w:rsid w:val="00B5160B"/>
    <w:rsid w:val="00B51761"/>
    <w:rsid w:val="00B51871"/>
    <w:rsid w:val="00B52022"/>
    <w:rsid w:val="00B52187"/>
    <w:rsid w:val="00B544C8"/>
    <w:rsid w:val="00B54691"/>
    <w:rsid w:val="00B56D93"/>
    <w:rsid w:val="00B60CCD"/>
    <w:rsid w:val="00B619DC"/>
    <w:rsid w:val="00B62854"/>
    <w:rsid w:val="00B62C0E"/>
    <w:rsid w:val="00B62EF1"/>
    <w:rsid w:val="00B6346C"/>
    <w:rsid w:val="00B63DE7"/>
    <w:rsid w:val="00B640CC"/>
    <w:rsid w:val="00B645B6"/>
    <w:rsid w:val="00B64B2F"/>
    <w:rsid w:val="00B664ED"/>
    <w:rsid w:val="00B667BF"/>
    <w:rsid w:val="00B674D6"/>
    <w:rsid w:val="00B6797D"/>
    <w:rsid w:val="00B67BF9"/>
    <w:rsid w:val="00B70255"/>
    <w:rsid w:val="00B713FF"/>
    <w:rsid w:val="00B71803"/>
    <w:rsid w:val="00B7245B"/>
    <w:rsid w:val="00B735B8"/>
    <w:rsid w:val="00B73AC8"/>
    <w:rsid w:val="00B73FF8"/>
    <w:rsid w:val="00B74858"/>
    <w:rsid w:val="00B752EB"/>
    <w:rsid w:val="00B76313"/>
    <w:rsid w:val="00B77BE4"/>
    <w:rsid w:val="00B812BE"/>
    <w:rsid w:val="00B813D5"/>
    <w:rsid w:val="00B81EA6"/>
    <w:rsid w:val="00B8258D"/>
    <w:rsid w:val="00B825B4"/>
    <w:rsid w:val="00B83704"/>
    <w:rsid w:val="00B84E7E"/>
    <w:rsid w:val="00B8643B"/>
    <w:rsid w:val="00B86608"/>
    <w:rsid w:val="00B875F2"/>
    <w:rsid w:val="00B87847"/>
    <w:rsid w:val="00B87E15"/>
    <w:rsid w:val="00B90477"/>
    <w:rsid w:val="00B90582"/>
    <w:rsid w:val="00B91047"/>
    <w:rsid w:val="00B92AA5"/>
    <w:rsid w:val="00B9368A"/>
    <w:rsid w:val="00B93904"/>
    <w:rsid w:val="00B94C2B"/>
    <w:rsid w:val="00B955FE"/>
    <w:rsid w:val="00B96634"/>
    <w:rsid w:val="00B96744"/>
    <w:rsid w:val="00B97F4D"/>
    <w:rsid w:val="00BA010A"/>
    <w:rsid w:val="00BA0B9F"/>
    <w:rsid w:val="00BA126E"/>
    <w:rsid w:val="00BA3287"/>
    <w:rsid w:val="00BA5273"/>
    <w:rsid w:val="00BA5821"/>
    <w:rsid w:val="00BA6419"/>
    <w:rsid w:val="00BA6550"/>
    <w:rsid w:val="00BB0FC6"/>
    <w:rsid w:val="00BB3642"/>
    <w:rsid w:val="00BB4A3B"/>
    <w:rsid w:val="00BB59F6"/>
    <w:rsid w:val="00BB5EF0"/>
    <w:rsid w:val="00BB61AC"/>
    <w:rsid w:val="00BB66AB"/>
    <w:rsid w:val="00BB7BBA"/>
    <w:rsid w:val="00BC0AD6"/>
    <w:rsid w:val="00BC122E"/>
    <w:rsid w:val="00BC3584"/>
    <w:rsid w:val="00BC5838"/>
    <w:rsid w:val="00BC6075"/>
    <w:rsid w:val="00BC6DC2"/>
    <w:rsid w:val="00BD3F44"/>
    <w:rsid w:val="00BE4ED6"/>
    <w:rsid w:val="00BE54F3"/>
    <w:rsid w:val="00BE5F67"/>
    <w:rsid w:val="00BE7920"/>
    <w:rsid w:val="00BF1E46"/>
    <w:rsid w:val="00BF22CD"/>
    <w:rsid w:val="00BF2A3A"/>
    <w:rsid w:val="00BF2CD1"/>
    <w:rsid w:val="00BF4B6A"/>
    <w:rsid w:val="00BF5135"/>
    <w:rsid w:val="00BF5AB0"/>
    <w:rsid w:val="00BF7DD0"/>
    <w:rsid w:val="00C00312"/>
    <w:rsid w:val="00C00828"/>
    <w:rsid w:val="00C009F5"/>
    <w:rsid w:val="00C01129"/>
    <w:rsid w:val="00C015E8"/>
    <w:rsid w:val="00C02239"/>
    <w:rsid w:val="00C022E1"/>
    <w:rsid w:val="00C0398D"/>
    <w:rsid w:val="00C03E65"/>
    <w:rsid w:val="00C03EA6"/>
    <w:rsid w:val="00C05C3D"/>
    <w:rsid w:val="00C071AC"/>
    <w:rsid w:val="00C07EF8"/>
    <w:rsid w:val="00C100F1"/>
    <w:rsid w:val="00C109A2"/>
    <w:rsid w:val="00C11E4C"/>
    <w:rsid w:val="00C12A1E"/>
    <w:rsid w:val="00C12CE4"/>
    <w:rsid w:val="00C145C8"/>
    <w:rsid w:val="00C14954"/>
    <w:rsid w:val="00C14E7E"/>
    <w:rsid w:val="00C1519B"/>
    <w:rsid w:val="00C16C78"/>
    <w:rsid w:val="00C179B0"/>
    <w:rsid w:val="00C2015D"/>
    <w:rsid w:val="00C20245"/>
    <w:rsid w:val="00C20CA6"/>
    <w:rsid w:val="00C226F9"/>
    <w:rsid w:val="00C23398"/>
    <w:rsid w:val="00C233E9"/>
    <w:rsid w:val="00C23B23"/>
    <w:rsid w:val="00C2428B"/>
    <w:rsid w:val="00C25BB2"/>
    <w:rsid w:val="00C26C22"/>
    <w:rsid w:val="00C27B03"/>
    <w:rsid w:val="00C3089B"/>
    <w:rsid w:val="00C34B40"/>
    <w:rsid w:val="00C35836"/>
    <w:rsid w:val="00C4116B"/>
    <w:rsid w:val="00C41CD3"/>
    <w:rsid w:val="00C43438"/>
    <w:rsid w:val="00C44264"/>
    <w:rsid w:val="00C44632"/>
    <w:rsid w:val="00C46251"/>
    <w:rsid w:val="00C46B49"/>
    <w:rsid w:val="00C4790F"/>
    <w:rsid w:val="00C47FC0"/>
    <w:rsid w:val="00C5189F"/>
    <w:rsid w:val="00C52357"/>
    <w:rsid w:val="00C528CC"/>
    <w:rsid w:val="00C53ABD"/>
    <w:rsid w:val="00C53AD3"/>
    <w:rsid w:val="00C53C94"/>
    <w:rsid w:val="00C546B4"/>
    <w:rsid w:val="00C5485D"/>
    <w:rsid w:val="00C56A1A"/>
    <w:rsid w:val="00C57741"/>
    <w:rsid w:val="00C57E3F"/>
    <w:rsid w:val="00C6074F"/>
    <w:rsid w:val="00C6111C"/>
    <w:rsid w:val="00C6152D"/>
    <w:rsid w:val="00C61E45"/>
    <w:rsid w:val="00C62568"/>
    <w:rsid w:val="00C64143"/>
    <w:rsid w:val="00C6434D"/>
    <w:rsid w:val="00C652E5"/>
    <w:rsid w:val="00C67446"/>
    <w:rsid w:val="00C701F5"/>
    <w:rsid w:val="00C702CC"/>
    <w:rsid w:val="00C70898"/>
    <w:rsid w:val="00C70962"/>
    <w:rsid w:val="00C71674"/>
    <w:rsid w:val="00C742D9"/>
    <w:rsid w:val="00C76238"/>
    <w:rsid w:val="00C7697F"/>
    <w:rsid w:val="00C77AB6"/>
    <w:rsid w:val="00C8136C"/>
    <w:rsid w:val="00C823C1"/>
    <w:rsid w:val="00C828FF"/>
    <w:rsid w:val="00C82FAC"/>
    <w:rsid w:val="00C82FFA"/>
    <w:rsid w:val="00C837DE"/>
    <w:rsid w:val="00C84A1B"/>
    <w:rsid w:val="00C85521"/>
    <w:rsid w:val="00C856C0"/>
    <w:rsid w:val="00C85ECE"/>
    <w:rsid w:val="00C863EE"/>
    <w:rsid w:val="00C92646"/>
    <w:rsid w:val="00C9316A"/>
    <w:rsid w:val="00C937E7"/>
    <w:rsid w:val="00C93B5E"/>
    <w:rsid w:val="00C93D7A"/>
    <w:rsid w:val="00C95D8D"/>
    <w:rsid w:val="00C97890"/>
    <w:rsid w:val="00C97C7F"/>
    <w:rsid w:val="00CA12AB"/>
    <w:rsid w:val="00CA2283"/>
    <w:rsid w:val="00CA2AEF"/>
    <w:rsid w:val="00CA2CA3"/>
    <w:rsid w:val="00CA325F"/>
    <w:rsid w:val="00CA33B8"/>
    <w:rsid w:val="00CA4D80"/>
    <w:rsid w:val="00CA666D"/>
    <w:rsid w:val="00CA6AF5"/>
    <w:rsid w:val="00CB0721"/>
    <w:rsid w:val="00CB0AAA"/>
    <w:rsid w:val="00CB1582"/>
    <w:rsid w:val="00CB22B7"/>
    <w:rsid w:val="00CB31DA"/>
    <w:rsid w:val="00CB477E"/>
    <w:rsid w:val="00CB5032"/>
    <w:rsid w:val="00CB5F46"/>
    <w:rsid w:val="00CB69E2"/>
    <w:rsid w:val="00CB7DF6"/>
    <w:rsid w:val="00CC1229"/>
    <w:rsid w:val="00CC303F"/>
    <w:rsid w:val="00CC31C8"/>
    <w:rsid w:val="00CC3324"/>
    <w:rsid w:val="00CC3ADE"/>
    <w:rsid w:val="00CC3C96"/>
    <w:rsid w:val="00CC3E86"/>
    <w:rsid w:val="00CC544E"/>
    <w:rsid w:val="00CD077C"/>
    <w:rsid w:val="00CD2B1A"/>
    <w:rsid w:val="00CD342A"/>
    <w:rsid w:val="00CD3940"/>
    <w:rsid w:val="00CD46E4"/>
    <w:rsid w:val="00CD5A10"/>
    <w:rsid w:val="00CD7577"/>
    <w:rsid w:val="00CE2F14"/>
    <w:rsid w:val="00CE4239"/>
    <w:rsid w:val="00CE52B8"/>
    <w:rsid w:val="00CE6A0B"/>
    <w:rsid w:val="00CE7BF6"/>
    <w:rsid w:val="00CF0950"/>
    <w:rsid w:val="00CF3B07"/>
    <w:rsid w:val="00CF4C13"/>
    <w:rsid w:val="00CF4D03"/>
    <w:rsid w:val="00CF62E0"/>
    <w:rsid w:val="00CF6384"/>
    <w:rsid w:val="00CF6902"/>
    <w:rsid w:val="00D01B7E"/>
    <w:rsid w:val="00D02B8F"/>
    <w:rsid w:val="00D03851"/>
    <w:rsid w:val="00D039E7"/>
    <w:rsid w:val="00D0401F"/>
    <w:rsid w:val="00D05FE3"/>
    <w:rsid w:val="00D06E88"/>
    <w:rsid w:val="00D11F90"/>
    <w:rsid w:val="00D13527"/>
    <w:rsid w:val="00D15B0B"/>
    <w:rsid w:val="00D15E4E"/>
    <w:rsid w:val="00D16F06"/>
    <w:rsid w:val="00D17601"/>
    <w:rsid w:val="00D200D5"/>
    <w:rsid w:val="00D20D6E"/>
    <w:rsid w:val="00D2109D"/>
    <w:rsid w:val="00D21300"/>
    <w:rsid w:val="00D22F39"/>
    <w:rsid w:val="00D22F7B"/>
    <w:rsid w:val="00D230DC"/>
    <w:rsid w:val="00D25130"/>
    <w:rsid w:val="00D26C9A"/>
    <w:rsid w:val="00D27C62"/>
    <w:rsid w:val="00D303E8"/>
    <w:rsid w:val="00D31BA6"/>
    <w:rsid w:val="00D33373"/>
    <w:rsid w:val="00D335E1"/>
    <w:rsid w:val="00D33A7D"/>
    <w:rsid w:val="00D34B0A"/>
    <w:rsid w:val="00D3545E"/>
    <w:rsid w:val="00D35FEA"/>
    <w:rsid w:val="00D3604C"/>
    <w:rsid w:val="00D3664B"/>
    <w:rsid w:val="00D366E4"/>
    <w:rsid w:val="00D374D5"/>
    <w:rsid w:val="00D40D80"/>
    <w:rsid w:val="00D411D5"/>
    <w:rsid w:val="00D41BAA"/>
    <w:rsid w:val="00D423AC"/>
    <w:rsid w:val="00D44B15"/>
    <w:rsid w:val="00D44DC6"/>
    <w:rsid w:val="00D46C6F"/>
    <w:rsid w:val="00D476EA"/>
    <w:rsid w:val="00D50AA5"/>
    <w:rsid w:val="00D50F77"/>
    <w:rsid w:val="00D514E5"/>
    <w:rsid w:val="00D5174E"/>
    <w:rsid w:val="00D529C7"/>
    <w:rsid w:val="00D53589"/>
    <w:rsid w:val="00D539D5"/>
    <w:rsid w:val="00D544D5"/>
    <w:rsid w:val="00D56795"/>
    <w:rsid w:val="00D57897"/>
    <w:rsid w:val="00D57EDB"/>
    <w:rsid w:val="00D602DE"/>
    <w:rsid w:val="00D6096A"/>
    <w:rsid w:val="00D60ABE"/>
    <w:rsid w:val="00D60CE5"/>
    <w:rsid w:val="00D60D9E"/>
    <w:rsid w:val="00D61811"/>
    <w:rsid w:val="00D6203B"/>
    <w:rsid w:val="00D62DDB"/>
    <w:rsid w:val="00D63F9F"/>
    <w:rsid w:val="00D646D3"/>
    <w:rsid w:val="00D662F2"/>
    <w:rsid w:val="00D665F1"/>
    <w:rsid w:val="00D6711E"/>
    <w:rsid w:val="00D72E79"/>
    <w:rsid w:val="00D73B08"/>
    <w:rsid w:val="00D740C3"/>
    <w:rsid w:val="00D75DF0"/>
    <w:rsid w:val="00D7607E"/>
    <w:rsid w:val="00D80127"/>
    <w:rsid w:val="00D804E2"/>
    <w:rsid w:val="00D805D1"/>
    <w:rsid w:val="00D80F13"/>
    <w:rsid w:val="00D81FB3"/>
    <w:rsid w:val="00D82FD7"/>
    <w:rsid w:val="00D84FA6"/>
    <w:rsid w:val="00D85585"/>
    <w:rsid w:val="00D85C5F"/>
    <w:rsid w:val="00D85ECC"/>
    <w:rsid w:val="00D864C7"/>
    <w:rsid w:val="00D86EB7"/>
    <w:rsid w:val="00D907A5"/>
    <w:rsid w:val="00D91E9F"/>
    <w:rsid w:val="00D92B5E"/>
    <w:rsid w:val="00D93388"/>
    <w:rsid w:val="00D936F4"/>
    <w:rsid w:val="00D93CFF"/>
    <w:rsid w:val="00D93FDB"/>
    <w:rsid w:val="00D94571"/>
    <w:rsid w:val="00D95457"/>
    <w:rsid w:val="00D96760"/>
    <w:rsid w:val="00D97A7B"/>
    <w:rsid w:val="00DA1259"/>
    <w:rsid w:val="00DA1AAD"/>
    <w:rsid w:val="00DA1CFD"/>
    <w:rsid w:val="00DA1E08"/>
    <w:rsid w:val="00DA25D9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B7C0D"/>
    <w:rsid w:val="00DC011A"/>
    <w:rsid w:val="00DC0146"/>
    <w:rsid w:val="00DC03EE"/>
    <w:rsid w:val="00DC0B1A"/>
    <w:rsid w:val="00DC26FD"/>
    <w:rsid w:val="00DC36B8"/>
    <w:rsid w:val="00DC53F2"/>
    <w:rsid w:val="00DC6B01"/>
    <w:rsid w:val="00DC7797"/>
    <w:rsid w:val="00DC7E53"/>
    <w:rsid w:val="00DD0056"/>
    <w:rsid w:val="00DD078A"/>
    <w:rsid w:val="00DD1737"/>
    <w:rsid w:val="00DD18B5"/>
    <w:rsid w:val="00DD2490"/>
    <w:rsid w:val="00DD34E1"/>
    <w:rsid w:val="00DD45E7"/>
    <w:rsid w:val="00DD46D1"/>
    <w:rsid w:val="00DD4FF2"/>
    <w:rsid w:val="00DD66FA"/>
    <w:rsid w:val="00DD6A04"/>
    <w:rsid w:val="00DD71F6"/>
    <w:rsid w:val="00DD7667"/>
    <w:rsid w:val="00DD777C"/>
    <w:rsid w:val="00DE0D2F"/>
    <w:rsid w:val="00DE0D75"/>
    <w:rsid w:val="00DE11BE"/>
    <w:rsid w:val="00DE19EB"/>
    <w:rsid w:val="00DE5B0F"/>
    <w:rsid w:val="00DE684D"/>
    <w:rsid w:val="00DE79FA"/>
    <w:rsid w:val="00DF04A0"/>
    <w:rsid w:val="00DF0FE3"/>
    <w:rsid w:val="00DF2CB1"/>
    <w:rsid w:val="00DF3EAF"/>
    <w:rsid w:val="00DF641F"/>
    <w:rsid w:val="00DF69F9"/>
    <w:rsid w:val="00E020B8"/>
    <w:rsid w:val="00E02579"/>
    <w:rsid w:val="00E02B50"/>
    <w:rsid w:val="00E0478E"/>
    <w:rsid w:val="00E04B3F"/>
    <w:rsid w:val="00E053DD"/>
    <w:rsid w:val="00E060C1"/>
    <w:rsid w:val="00E06B1E"/>
    <w:rsid w:val="00E06D73"/>
    <w:rsid w:val="00E075C5"/>
    <w:rsid w:val="00E07787"/>
    <w:rsid w:val="00E109F8"/>
    <w:rsid w:val="00E10AAF"/>
    <w:rsid w:val="00E11D49"/>
    <w:rsid w:val="00E147D5"/>
    <w:rsid w:val="00E14C0E"/>
    <w:rsid w:val="00E16642"/>
    <w:rsid w:val="00E1787C"/>
    <w:rsid w:val="00E179B7"/>
    <w:rsid w:val="00E17B3D"/>
    <w:rsid w:val="00E202EC"/>
    <w:rsid w:val="00E2109D"/>
    <w:rsid w:val="00E2249E"/>
    <w:rsid w:val="00E22B76"/>
    <w:rsid w:val="00E234F1"/>
    <w:rsid w:val="00E241ED"/>
    <w:rsid w:val="00E2472E"/>
    <w:rsid w:val="00E24B41"/>
    <w:rsid w:val="00E24E24"/>
    <w:rsid w:val="00E24E3A"/>
    <w:rsid w:val="00E25AF8"/>
    <w:rsid w:val="00E25CE8"/>
    <w:rsid w:val="00E26C55"/>
    <w:rsid w:val="00E26F6C"/>
    <w:rsid w:val="00E30F1E"/>
    <w:rsid w:val="00E31BD0"/>
    <w:rsid w:val="00E34CA3"/>
    <w:rsid w:val="00E35C4A"/>
    <w:rsid w:val="00E37A0F"/>
    <w:rsid w:val="00E37DA6"/>
    <w:rsid w:val="00E37FE3"/>
    <w:rsid w:val="00E40EB7"/>
    <w:rsid w:val="00E43AAA"/>
    <w:rsid w:val="00E44B4A"/>
    <w:rsid w:val="00E44C62"/>
    <w:rsid w:val="00E45642"/>
    <w:rsid w:val="00E45B54"/>
    <w:rsid w:val="00E51141"/>
    <w:rsid w:val="00E5387C"/>
    <w:rsid w:val="00E53E2C"/>
    <w:rsid w:val="00E54EF2"/>
    <w:rsid w:val="00E56AB2"/>
    <w:rsid w:val="00E60A5E"/>
    <w:rsid w:val="00E60DC5"/>
    <w:rsid w:val="00E61036"/>
    <w:rsid w:val="00E63559"/>
    <w:rsid w:val="00E646F4"/>
    <w:rsid w:val="00E64DCB"/>
    <w:rsid w:val="00E67180"/>
    <w:rsid w:val="00E676E2"/>
    <w:rsid w:val="00E72D27"/>
    <w:rsid w:val="00E74B53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2672"/>
    <w:rsid w:val="00E93F3F"/>
    <w:rsid w:val="00E95403"/>
    <w:rsid w:val="00EA05D9"/>
    <w:rsid w:val="00EA1104"/>
    <w:rsid w:val="00EA1D72"/>
    <w:rsid w:val="00EA5257"/>
    <w:rsid w:val="00EA59B6"/>
    <w:rsid w:val="00EA5AF1"/>
    <w:rsid w:val="00EA7415"/>
    <w:rsid w:val="00EB0062"/>
    <w:rsid w:val="00EB0433"/>
    <w:rsid w:val="00EB1B8B"/>
    <w:rsid w:val="00EB24EC"/>
    <w:rsid w:val="00EB3C54"/>
    <w:rsid w:val="00EB4951"/>
    <w:rsid w:val="00EB566F"/>
    <w:rsid w:val="00EB595B"/>
    <w:rsid w:val="00EC098E"/>
    <w:rsid w:val="00EC0BCB"/>
    <w:rsid w:val="00EC0E71"/>
    <w:rsid w:val="00EC2AF7"/>
    <w:rsid w:val="00EC4094"/>
    <w:rsid w:val="00ED0778"/>
    <w:rsid w:val="00ED1A18"/>
    <w:rsid w:val="00ED399C"/>
    <w:rsid w:val="00ED613A"/>
    <w:rsid w:val="00ED6BB2"/>
    <w:rsid w:val="00ED6CFA"/>
    <w:rsid w:val="00ED6D53"/>
    <w:rsid w:val="00EE1855"/>
    <w:rsid w:val="00EE266A"/>
    <w:rsid w:val="00EE2B68"/>
    <w:rsid w:val="00EE359F"/>
    <w:rsid w:val="00EE35A8"/>
    <w:rsid w:val="00EE3733"/>
    <w:rsid w:val="00EE395E"/>
    <w:rsid w:val="00EE4CD6"/>
    <w:rsid w:val="00EE6D70"/>
    <w:rsid w:val="00EF04B4"/>
    <w:rsid w:val="00EF1386"/>
    <w:rsid w:val="00EF1485"/>
    <w:rsid w:val="00EF2491"/>
    <w:rsid w:val="00EF256B"/>
    <w:rsid w:val="00EF5277"/>
    <w:rsid w:val="00EF5CAD"/>
    <w:rsid w:val="00EF611F"/>
    <w:rsid w:val="00EF76E1"/>
    <w:rsid w:val="00F029AF"/>
    <w:rsid w:val="00F03441"/>
    <w:rsid w:val="00F03E0D"/>
    <w:rsid w:val="00F04099"/>
    <w:rsid w:val="00F05B66"/>
    <w:rsid w:val="00F05FC8"/>
    <w:rsid w:val="00F07C09"/>
    <w:rsid w:val="00F1030E"/>
    <w:rsid w:val="00F10925"/>
    <w:rsid w:val="00F12063"/>
    <w:rsid w:val="00F12F6C"/>
    <w:rsid w:val="00F13DAE"/>
    <w:rsid w:val="00F13DCE"/>
    <w:rsid w:val="00F14BCA"/>
    <w:rsid w:val="00F157D8"/>
    <w:rsid w:val="00F201AD"/>
    <w:rsid w:val="00F21189"/>
    <w:rsid w:val="00F213FA"/>
    <w:rsid w:val="00F21481"/>
    <w:rsid w:val="00F215B1"/>
    <w:rsid w:val="00F21B21"/>
    <w:rsid w:val="00F222BB"/>
    <w:rsid w:val="00F2252E"/>
    <w:rsid w:val="00F24594"/>
    <w:rsid w:val="00F2491A"/>
    <w:rsid w:val="00F24EF6"/>
    <w:rsid w:val="00F254E4"/>
    <w:rsid w:val="00F25719"/>
    <w:rsid w:val="00F26AAB"/>
    <w:rsid w:val="00F26F5D"/>
    <w:rsid w:val="00F26FF8"/>
    <w:rsid w:val="00F274AA"/>
    <w:rsid w:val="00F277CD"/>
    <w:rsid w:val="00F34C92"/>
    <w:rsid w:val="00F3543E"/>
    <w:rsid w:val="00F35D19"/>
    <w:rsid w:val="00F377AE"/>
    <w:rsid w:val="00F40712"/>
    <w:rsid w:val="00F41269"/>
    <w:rsid w:val="00F41319"/>
    <w:rsid w:val="00F439BB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25C"/>
    <w:rsid w:val="00F5273A"/>
    <w:rsid w:val="00F52D6B"/>
    <w:rsid w:val="00F52E18"/>
    <w:rsid w:val="00F535E2"/>
    <w:rsid w:val="00F546FB"/>
    <w:rsid w:val="00F55335"/>
    <w:rsid w:val="00F55CF7"/>
    <w:rsid w:val="00F56340"/>
    <w:rsid w:val="00F56FA8"/>
    <w:rsid w:val="00F57D1C"/>
    <w:rsid w:val="00F6086A"/>
    <w:rsid w:val="00F6169B"/>
    <w:rsid w:val="00F62824"/>
    <w:rsid w:val="00F62D7C"/>
    <w:rsid w:val="00F634C8"/>
    <w:rsid w:val="00F64B9B"/>
    <w:rsid w:val="00F64CD1"/>
    <w:rsid w:val="00F65618"/>
    <w:rsid w:val="00F658B9"/>
    <w:rsid w:val="00F66B4E"/>
    <w:rsid w:val="00F67155"/>
    <w:rsid w:val="00F6785E"/>
    <w:rsid w:val="00F67ED0"/>
    <w:rsid w:val="00F7058F"/>
    <w:rsid w:val="00F70D21"/>
    <w:rsid w:val="00F70FEF"/>
    <w:rsid w:val="00F7105D"/>
    <w:rsid w:val="00F721FB"/>
    <w:rsid w:val="00F73F06"/>
    <w:rsid w:val="00F74F3A"/>
    <w:rsid w:val="00F7505D"/>
    <w:rsid w:val="00F750B4"/>
    <w:rsid w:val="00F75630"/>
    <w:rsid w:val="00F75C02"/>
    <w:rsid w:val="00F77ECB"/>
    <w:rsid w:val="00F81583"/>
    <w:rsid w:val="00F819E3"/>
    <w:rsid w:val="00F81BF8"/>
    <w:rsid w:val="00F81E47"/>
    <w:rsid w:val="00F824EF"/>
    <w:rsid w:val="00F8298B"/>
    <w:rsid w:val="00F84159"/>
    <w:rsid w:val="00F84408"/>
    <w:rsid w:val="00F86474"/>
    <w:rsid w:val="00F868B4"/>
    <w:rsid w:val="00F86AF5"/>
    <w:rsid w:val="00F8730A"/>
    <w:rsid w:val="00F9016F"/>
    <w:rsid w:val="00F90601"/>
    <w:rsid w:val="00F90AC3"/>
    <w:rsid w:val="00F93703"/>
    <w:rsid w:val="00F95BB8"/>
    <w:rsid w:val="00F97A0A"/>
    <w:rsid w:val="00FA0B78"/>
    <w:rsid w:val="00FA2A20"/>
    <w:rsid w:val="00FA3883"/>
    <w:rsid w:val="00FA5654"/>
    <w:rsid w:val="00FA74EB"/>
    <w:rsid w:val="00FA78FD"/>
    <w:rsid w:val="00FB11BE"/>
    <w:rsid w:val="00FB1357"/>
    <w:rsid w:val="00FB1799"/>
    <w:rsid w:val="00FB1B56"/>
    <w:rsid w:val="00FB27F1"/>
    <w:rsid w:val="00FB4C6F"/>
    <w:rsid w:val="00FB52A0"/>
    <w:rsid w:val="00FB76CC"/>
    <w:rsid w:val="00FC34DF"/>
    <w:rsid w:val="00FC5E76"/>
    <w:rsid w:val="00FC63B1"/>
    <w:rsid w:val="00FC66A5"/>
    <w:rsid w:val="00FC69CF"/>
    <w:rsid w:val="00FC7214"/>
    <w:rsid w:val="00FD058F"/>
    <w:rsid w:val="00FD0B70"/>
    <w:rsid w:val="00FD11B8"/>
    <w:rsid w:val="00FD1440"/>
    <w:rsid w:val="00FD1489"/>
    <w:rsid w:val="00FD17D7"/>
    <w:rsid w:val="00FD2065"/>
    <w:rsid w:val="00FD2DA9"/>
    <w:rsid w:val="00FD35FA"/>
    <w:rsid w:val="00FD43AC"/>
    <w:rsid w:val="00FD4864"/>
    <w:rsid w:val="00FD4C02"/>
    <w:rsid w:val="00FD59F1"/>
    <w:rsid w:val="00FD6FE2"/>
    <w:rsid w:val="00FD74CB"/>
    <w:rsid w:val="00FD7543"/>
    <w:rsid w:val="00FD7BF5"/>
    <w:rsid w:val="00FE0148"/>
    <w:rsid w:val="00FE0E1A"/>
    <w:rsid w:val="00FE185C"/>
    <w:rsid w:val="00FE3C5F"/>
    <w:rsid w:val="00FE3C96"/>
    <w:rsid w:val="00FE401B"/>
    <w:rsid w:val="00FE4705"/>
    <w:rsid w:val="00FE4868"/>
    <w:rsid w:val="00FE557C"/>
    <w:rsid w:val="00FE605C"/>
    <w:rsid w:val="00FE6458"/>
    <w:rsid w:val="00FE7A03"/>
    <w:rsid w:val="00FF16CF"/>
    <w:rsid w:val="00FF2EC0"/>
    <w:rsid w:val="00FF3DB7"/>
    <w:rsid w:val="00FF4C3A"/>
    <w:rsid w:val="00FF62F4"/>
    <w:rsid w:val="00FF651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E02F4"/>
  <w15:docId w15:val="{4E4B8941-9340-4B93-BB0B-F1E80E0E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"/>
    <w:qFormat/>
    <w:rsid w:val="00340C09"/>
    <w:pPr>
      <w:tabs>
        <w:tab w:val="clear" w:pos="567"/>
      </w:tabs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bidi="ar-SA"/>
    </w:rPr>
  </w:style>
  <w:style w:type="numbering" w:customStyle="1" w:styleId="Bezzoznamu1">
    <w:name w:val="Bez zoznamu1"/>
    <w:uiPriority w:val="99"/>
    <w:semiHidden/>
    <w:unhideWhenUsed/>
    <w:rsid w:val="00B6346C"/>
  </w:style>
  <w:style w:type="paragraph" w:customStyle="1" w:styleId="Pta1">
    <w:name w:val="Päta1"/>
    <w:basedOn w:val="Normlny"/>
    <w:link w:val="PtaChar"/>
    <w:uiPriority w:val="99"/>
    <w:rsid w:val="00B328C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Hlavika1">
    <w:name w:val="Hlavička1"/>
    <w:basedOn w:val="Normlny"/>
    <w:link w:val="HlavikaChar"/>
    <w:uiPriority w:val="99"/>
    <w:rsid w:val="00B328C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rsid w:val="00B6346C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slostrany1">
    <w:name w:val="Číslo strany1"/>
    <w:basedOn w:val="Predvolenpsmoodseku"/>
    <w:uiPriority w:val="99"/>
    <w:rsid w:val="00812D16"/>
  </w:style>
  <w:style w:type="paragraph" w:customStyle="1" w:styleId="Zkladntext1">
    <w:name w:val="Základný text1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Textkomentra1">
    <w:name w:val="Text komentára1"/>
    <w:basedOn w:val="Normlny"/>
    <w:link w:val="TextkomentraChar"/>
    <w:uiPriority w:val="99"/>
    <w:unhideWhenUsed/>
    <w:rsid w:val="00B328C1"/>
    <w:pPr>
      <w:spacing w:line="240" w:lineRule="auto"/>
    </w:pPr>
    <w:rPr>
      <w:sz w:val="20"/>
    </w:rPr>
  </w:style>
  <w:style w:type="character" w:customStyle="1" w:styleId="Hypertextovprepojenie1">
    <w:name w:val="Hypertextové prepojenie1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Textbubliny1">
    <w:name w:val="Text bubliny1"/>
    <w:basedOn w:val="Normlny"/>
    <w:link w:val="TextbublinyChar"/>
    <w:uiPriority w:val="99"/>
    <w:rsid w:val="00B328C1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uiPriority w:val="99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uiPriority w:val="99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customStyle="1" w:styleId="Odkaznakomentr1">
    <w:name w:val="Odkaz na komentár1"/>
    <w:uiPriority w:val="99"/>
    <w:unhideWhenUsed/>
    <w:rsid w:val="00B328C1"/>
    <w:rPr>
      <w:sz w:val="16"/>
      <w:szCs w:val="16"/>
    </w:rPr>
  </w:style>
  <w:style w:type="paragraph" w:customStyle="1" w:styleId="Predmetkomentra1">
    <w:name w:val="Predmet komentára1"/>
    <w:basedOn w:val="Textkomentra1"/>
    <w:next w:val="Textkomentra1"/>
    <w:link w:val="PredmetkomentraChar"/>
    <w:uiPriority w:val="99"/>
    <w:rsid w:val="00B328C1"/>
    <w:rPr>
      <w:b/>
      <w:bCs/>
    </w:rPr>
  </w:style>
  <w:style w:type="character" w:customStyle="1" w:styleId="TextkomentraChar">
    <w:name w:val="Text komentára Char"/>
    <w:link w:val="Textkomentra1"/>
    <w:uiPriority w:val="99"/>
    <w:rsid w:val="00BC6DC2"/>
    <w:rPr>
      <w:rFonts w:eastAsia="Times New Roman"/>
      <w:lang w:val="sk-SK" w:eastAsia="sk-SK" w:bidi="sk-SK"/>
    </w:rPr>
  </w:style>
  <w:style w:type="character" w:customStyle="1" w:styleId="PredmetkomentraChar">
    <w:name w:val="Predmet komentára Char"/>
    <w:link w:val="Predmetkomentra1"/>
    <w:uiPriority w:val="99"/>
    <w:rsid w:val="00BC6DC2"/>
    <w:rPr>
      <w:rFonts w:eastAsia="Times New Roman"/>
      <w:b/>
      <w:bCs/>
      <w:lang w:val="sk-SK" w:eastAsia="sk-SK" w:bidi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Odsekzoznamu1">
    <w:name w:val="Odsek zoznamu1"/>
    <w:basedOn w:val="Normlny"/>
    <w:uiPriority w:val="34"/>
    <w:qFormat/>
    <w:rsid w:val="002D52B9"/>
    <w:pPr>
      <w:ind w:left="720"/>
      <w:contextualSpacing/>
    </w:pPr>
  </w:style>
  <w:style w:type="character" w:customStyle="1" w:styleId="FooterChar">
    <w:name w:val="Footer Char"/>
    <w:uiPriority w:val="99"/>
    <w:rsid w:val="00B328C1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B328C1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B328C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328C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328C1"/>
    <w:rPr>
      <w:color w:val="0000FF"/>
    </w:rPr>
  </w:style>
  <w:style w:type="character" w:customStyle="1" w:styleId="tw4winPopup">
    <w:name w:val="tw4winPopup"/>
    <w:uiPriority w:val="99"/>
    <w:rsid w:val="00B328C1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328C1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328C1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328C1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328C1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1"/>
    <w:uiPriority w:val="99"/>
    <w:locked/>
    <w:rsid w:val="00B328C1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customStyle="1" w:styleId="PouitHypertextovPrepojenie1">
    <w:name w:val="PoužitéHypertextovéPrepojenie1"/>
    <w:uiPriority w:val="99"/>
    <w:rsid w:val="00B328C1"/>
    <w:rPr>
      <w:rFonts w:cs="Times New Roman"/>
      <w:color w:val="800080"/>
      <w:u w:val="single"/>
    </w:rPr>
  </w:style>
  <w:style w:type="paragraph" w:customStyle="1" w:styleId="Revzia1">
    <w:name w:val="Revízia1"/>
    <w:hidden/>
    <w:uiPriority w:val="99"/>
    <w:semiHidden/>
    <w:rsid w:val="00B328C1"/>
    <w:rPr>
      <w:rFonts w:eastAsia="Times New Roman"/>
      <w:sz w:val="22"/>
      <w:lang w:eastAsia="en-US"/>
    </w:rPr>
  </w:style>
  <w:style w:type="character" w:customStyle="1" w:styleId="HlavikaChar">
    <w:name w:val="Hlavička Char"/>
    <w:link w:val="Hlavika1"/>
    <w:uiPriority w:val="99"/>
    <w:locked/>
    <w:rsid w:val="00B328C1"/>
    <w:rPr>
      <w:rFonts w:ascii="Arial" w:eastAsia="Times New Roman" w:hAnsi="Arial"/>
      <w:lang w:val="sk-SK" w:eastAsia="sk-SK" w:bidi="sk-SK"/>
    </w:rPr>
  </w:style>
  <w:style w:type="character" w:customStyle="1" w:styleId="PtaChar">
    <w:name w:val="Päta Char"/>
    <w:link w:val="Pta1"/>
    <w:uiPriority w:val="99"/>
    <w:locked/>
    <w:rsid w:val="00B328C1"/>
    <w:rPr>
      <w:rFonts w:ascii="Arial" w:eastAsia="Times New Roman" w:hAnsi="Arial"/>
      <w:noProof/>
      <w:sz w:val="16"/>
      <w:lang w:val="sk-SK" w:eastAsia="sk-SK" w:bidi="sk-SK"/>
    </w:rPr>
  </w:style>
  <w:style w:type="character" w:customStyle="1" w:styleId="tlid-translation">
    <w:name w:val="tlid-translation"/>
    <w:rsid w:val="00F07C09"/>
  </w:style>
  <w:style w:type="character" w:customStyle="1" w:styleId="Nadpis1Char">
    <w:name w:val="Nadpis 1 Char"/>
    <w:link w:val="Nadpis11"/>
    <w:uiPriority w:val="9"/>
    <w:rsid w:val="00340C09"/>
    <w:rPr>
      <w:rFonts w:eastAsia="Times New Roman"/>
      <w:b/>
      <w:bCs/>
      <w:kern w:val="36"/>
      <w:sz w:val="48"/>
      <w:szCs w:val="48"/>
    </w:rPr>
  </w:style>
  <w:style w:type="paragraph" w:styleId="Textkomentra">
    <w:name w:val="annotation text"/>
    <w:basedOn w:val="Normlny"/>
    <w:link w:val="TextkomentraChar1"/>
    <w:uiPriority w:val="99"/>
    <w:rsid w:val="00AD58C6"/>
    <w:rPr>
      <w:sz w:val="20"/>
      <w:lang w:val="en-GB" w:eastAsia="en-US" w:bidi="ar-SA"/>
    </w:rPr>
  </w:style>
  <w:style w:type="character" w:customStyle="1" w:styleId="TextkomentraChar1">
    <w:name w:val="Text komentára Char1"/>
    <w:basedOn w:val="Predvolenpsmoodseku"/>
    <w:link w:val="Textkomentra"/>
    <w:uiPriority w:val="99"/>
    <w:rsid w:val="00AD58C6"/>
    <w:rPr>
      <w:rFonts w:eastAsia="Times New Roman"/>
      <w:lang w:val="sk-SK" w:eastAsia="sk-SK" w:bidi="sk-SK"/>
    </w:rPr>
  </w:style>
  <w:style w:type="paragraph" w:styleId="Textbubliny">
    <w:name w:val="Balloon Text"/>
    <w:basedOn w:val="Normlny"/>
    <w:link w:val="TextbublinyChar1"/>
    <w:uiPriority w:val="99"/>
    <w:rsid w:val="00D27C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Predvolenpsmoodseku"/>
    <w:link w:val="Textbubliny"/>
    <w:uiPriority w:val="99"/>
    <w:rsid w:val="00D27C62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808F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unhideWhenUsed/>
    <w:rsid w:val="004808F2"/>
    <w:pPr>
      <w:spacing w:line="240" w:lineRule="auto"/>
    </w:pPr>
    <w:rPr>
      <w:b/>
      <w:bCs/>
      <w:lang w:val="sk-SK" w:eastAsia="sk-SK" w:bidi="sk-SK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4808F2"/>
    <w:rPr>
      <w:rFonts w:eastAsia="Times New Roman"/>
      <w:b/>
      <w:bCs/>
      <w:lang w:val="sk-SK" w:eastAsia="sk-SK" w:bidi="sk-SK"/>
    </w:rPr>
  </w:style>
  <w:style w:type="paragraph" w:styleId="Hlavika">
    <w:name w:val="header"/>
    <w:basedOn w:val="Normlny"/>
    <w:link w:val="HlavikaChar1"/>
    <w:uiPriority w:val="99"/>
    <w:unhideWhenUsed/>
    <w:rsid w:val="0047454B"/>
    <w:pPr>
      <w:tabs>
        <w:tab w:val="clear" w:pos="567"/>
        <w:tab w:val="center" w:pos="4703"/>
        <w:tab w:val="right" w:pos="9406"/>
      </w:tabs>
      <w:spacing w:line="240" w:lineRule="auto"/>
    </w:pPr>
  </w:style>
  <w:style w:type="character" w:customStyle="1" w:styleId="HlavikaChar1">
    <w:name w:val="Hlavička Char1"/>
    <w:basedOn w:val="Predvolenpsmoodseku"/>
    <w:link w:val="Hlavika"/>
    <w:uiPriority w:val="99"/>
    <w:rsid w:val="0047454B"/>
    <w:rPr>
      <w:rFonts w:eastAsia="Times New Roman"/>
      <w:sz w:val="22"/>
      <w:lang w:val="sk-SK" w:eastAsia="sk-SK" w:bidi="sk-SK"/>
    </w:rPr>
  </w:style>
  <w:style w:type="paragraph" w:styleId="Pta">
    <w:name w:val="footer"/>
    <w:basedOn w:val="Normlny"/>
    <w:link w:val="PtaChar1"/>
    <w:uiPriority w:val="99"/>
    <w:unhideWhenUsed/>
    <w:rsid w:val="0047454B"/>
    <w:pPr>
      <w:tabs>
        <w:tab w:val="clear" w:pos="567"/>
        <w:tab w:val="center" w:pos="4703"/>
        <w:tab w:val="right" w:pos="9406"/>
      </w:tabs>
      <w:spacing w:line="240" w:lineRule="auto"/>
    </w:pPr>
  </w:style>
  <w:style w:type="character" w:customStyle="1" w:styleId="PtaChar1">
    <w:name w:val="Päta Char1"/>
    <w:basedOn w:val="Predvolenpsmoodseku"/>
    <w:link w:val="Pta"/>
    <w:uiPriority w:val="99"/>
    <w:rsid w:val="0047454B"/>
    <w:rPr>
      <w:rFonts w:eastAsia="Times New Roman"/>
      <w:sz w:val="22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35F52-A4E7-49EA-A6CA-A170AC4C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3206</Words>
  <Characters>18278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Hqrdtemplateclean_sk</vt:lpstr>
      <vt:lpstr>Hqrdtemplateclean_sk</vt:lpstr>
    </vt:vector>
  </TitlesOfParts>
  <Company>Translation Centre</Company>
  <LinksUpToDate>false</LinksUpToDate>
  <CharactersWithSpaces>21442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Hqrdtemplateclean_sk</dc:title>
  <dc:creator>European Medicines Agency</dc:creator>
  <cp:lastModifiedBy>Kristína Ráczová</cp:lastModifiedBy>
  <cp:revision>6</cp:revision>
  <cp:lastPrinted>2019-06-11T20:08:00Z</cp:lastPrinted>
  <dcterms:created xsi:type="dcterms:W3CDTF">2020-07-10T09:46:00Z</dcterms:created>
  <dcterms:modified xsi:type="dcterms:W3CDTF">2020-07-10T12:45:00Z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11/06/2019 22:12:40</vt:lpwstr>
  </property>
  <property fmtid="{D5CDD505-2E9C-101B-9397-08002B2CF9AE}" pid="6" name="DM_Creator_Name">
    <vt:lpwstr>Akhtar Timea</vt:lpwstr>
  </property>
  <property fmtid="{D5CDD505-2E9C-101B-9397-08002B2CF9AE}" pid="7" name="DM_DocRefId">
    <vt:lpwstr>EMA/330169/2019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423415</vt:lpwstr>
  </property>
  <property fmtid="{D5CDD505-2E9C-101B-9397-08002B2CF9AE}" pid="13" name="DM_emea_doc_ref_id">
    <vt:lpwstr>EMA/330169/2019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11/06/2019 22:12:40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11/06/2019 22:12:40</vt:lpwstr>
  </property>
  <property fmtid="{D5CDD505-2E9C-101B-9397-08002B2CF9AE}" pid="36" name="DM_Name">
    <vt:lpwstr>Hqrdtemplateclean_sk</vt:lpwstr>
  </property>
  <property fmtid="{D5CDD505-2E9C-101B-9397-08002B2CF9AE}" pid="37" name="DM_Owner">
    <vt:lpwstr>Espinasse Claire</vt:lpwstr>
  </property>
  <property fmtid="{D5CDD505-2E9C-101B-9397-08002B2CF9AE}" pid="38" name="DM_Path">
    <vt:lpwstr>/02b. Administration of Scientific Meeting/WPs SAGs DGs and other WGs/CxMP - QRD/3. Other activities/02. Procedures/01. QRD PI templates/01 QRD Human Templates/07 H-qrd template v10.1/Translations FINAL versions for publication/Clean files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_NewReviewCycle">
    <vt:lpwstr/>
  </property>
</Properties>
</file>