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58" w:rsidRPr="00795AA9" w:rsidRDefault="00117058" w:rsidP="00CA33F3">
      <w:pPr>
        <w:pStyle w:val="Nzov"/>
        <w:jc w:val="lef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117058" w:rsidRPr="00D054F2" w:rsidRDefault="00117058" w:rsidP="00F645B1">
      <w:pPr>
        <w:pStyle w:val="Nzov"/>
        <w:rPr>
          <w:rFonts w:ascii="Times New Roman" w:hAnsi="Times New Roman"/>
          <w:sz w:val="22"/>
          <w:szCs w:val="22"/>
        </w:rPr>
      </w:pPr>
      <w:r w:rsidRPr="00795AA9">
        <w:rPr>
          <w:rFonts w:ascii="Times New Roman" w:hAnsi="Times New Roman"/>
          <w:noProof/>
          <w:sz w:val="22"/>
          <w:szCs w:val="22"/>
        </w:rPr>
        <w:t>SÚHRN CHARAKTERISTICKÝCH VLASTNOSTÍ LIEKU</w:t>
      </w:r>
    </w:p>
    <w:p w:rsidR="00117058" w:rsidRPr="00D054F2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567BC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</w:r>
      <w:r w:rsidRPr="00404E4B">
        <w:rPr>
          <w:rFonts w:ascii="Times New Roman" w:hAnsi="Times New Roman"/>
          <w:b/>
          <w:caps/>
          <w:sz w:val="22"/>
          <w:szCs w:val="22"/>
          <w:lang w:val="sk-SK"/>
        </w:rPr>
        <w:t>Názov liEku</w:t>
      </w:r>
    </w:p>
    <w:p w:rsidR="00117058" w:rsidRPr="00404E4B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AB3A9A">
      <w:pPr>
        <w:pStyle w:val="Nadpis3"/>
        <w:rPr>
          <w:rFonts w:ascii="Times New Roman" w:hAnsi="Times New Roman" w:cs="Times New Roman"/>
          <w:b w:val="0"/>
          <w:sz w:val="22"/>
          <w:szCs w:val="22"/>
        </w:rPr>
      </w:pPr>
      <w:r w:rsidRPr="00795AA9">
        <w:rPr>
          <w:rFonts w:ascii="Times New Roman" w:hAnsi="Times New Roman" w:cs="Times New Roman"/>
          <w:b w:val="0"/>
          <w:sz w:val="22"/>
          <w:szCs w:val="22"/>
        </w:rPr>
        <w:t>Canespor sada na nechty</w:t>
      </w:r>
    </w:p>
    <w:p w:rsidR="00117058" w:rsidRPr="00795AA9" w:rsidRDefault="00117058" w:rsidP="00795AA9">
      <w:pPr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10 mg/g + 400 mg/g dermálna masť</w:t>
      </w:r>
    </w:p>
    <w:p w:rsidR="00117058" w:rsidRPr="00EF6AD3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D054F2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4567BC">
        <w:rPr>
          <w:rFonts w:ascii="Times New Roman" w:hAnsi="Times New Roman"/>
          <w:b/>
          <w:sz w:val="22"/>
          <w:szCs w:val="22"/>
          <w:lang w:val="sk-SK"/>
        </w:rPr>
        <w:tab/>
        <w:t xml:space="preserve">KVALITATÍVNE A KVANTITATÍVNE </w:t>
      </w:r>
      <w:r w:rsidRPr="004567BC">
        <w:rPr>
          <w:rFonts w:ascii="Times New Roman" w:hAnsi="Times New Roman"/>
          <w:b/>
          <w:caps/>
          <w:sz w:val="22"/>
          <w:szCs w:val="22"/>
          <w:lang w:val="sk-SK"/>
        </w:rPr>
        <w:t>Zloženie</w:t>
      </w:r>
    </w:p>
    <w:p w:rsidR="00117058" w:rsidRPr="00404E4B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>1 g dermálnej masti obsahuje 10 mg bifonazolu a 400 mg močoviny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04E4B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4849E0">
      <w:pPr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u w:val="single"/>
          <w:lang w:val="sk-SK"/>
        </w:rPr>
        <w:t>Pomocná látka so známym účinkom: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lanolín.</w:t>
      </w:r>
    </w:p>
    <w:p w:rsidR="00117058" w:rsidRPr="00F355E3" w:rsidRDefault="00117058" w:rsidP="00BB4ABA">
      <w:pPr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795AA9">
      <w:pPr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</w:r>
      <w:r w:rsidRPr="00404E4B">
        <w:rPr>
          <w:rFonts w:ascii="Times New Roman" w:hAnsi="Times New Roman"/>
          <w:b/>
          <w:caps/>
          <w:sz w:val="22"/>
          <w:szCs w:val="22"/>
          <w:lang w:val="sk-SK"/>
        </w:rPr>
        <w:t>Lieková forma</w:t>
      </w:r>
    </w:p>
    <w:p w:rsidR="00117058" w:rsidRPr="00404E4B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>Dermálna masť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567BC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17058" w:rsidRPr="004567BC" w:rsidRDefault="00117058" w:rsidP="00BB4AB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</w:t>
      </w:r>
      <w:r w:rsidRPr="004567BC">
        <w:rPr>
          <w:rFonts w:ascii="Times New Roman" w:hAnsi="Times New Roman"/>
          <w:sz w:val="22"/>
          <w:szCs w:val="22"/>
          <w:lang w:val="sk-SK"/>
        </w:rPr>
        <w:t>ltkastá homogénna masť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404E4B">
        <w:rPr>
          <w:rFonts w:ascii="Times New Roman" w:hAnsi="Times New Roman"/>
          <w:b/>
          <w:caps/>
          <w:sz w:val="22"/>
          <w:szCs w:val="22"/>
          <w:lang w:val="sk-SK"/>
        </w:rPr>
        <w:tab/>
        <w:t>Klinické údaje</w:t>
      </w:r>
    </w:p>
    <w:p w:rsidR="00117058" w:rsidRPr="00404E4B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  <w:t>Terapeutické indikácie</w:t>
      </w:r>
    </w:p>
    <w:p w:rsidR="00117058" w:rsidRPr="00F132B1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AB3A9A">
      <w:pPr>
        <w:pStyle w:val="Zkladntext2"/>
        <w:rPr>
          <w:szCs w:val="22"/>
        </w:rPr>
      </w:pPr>
      <w:r w:rsidRPr="00F645B1">
        <w:rPr>
          <w:szCs w:val="22"/>
        </w:rPr>
        <w:t xml:space="preserve">Liečba </w:t>
      </w:r>
      <w:r w:rsidRPr="00AB3A9A">
        <w:rPr>
          <w:szCs w:val="22"/>
        </w:rPr>
        <w:t xml:space="preserve">mykotických infekcií </w:t>
      </w:r>
      <w:r w:rsidRPr="004C044D">
        <w:rPr>
          <w:szCs w:val="22"/>
        </w:rPr>
        <w:t>nechto</w:t>
      </w:r>
      <w:r>
        <w:rPr>
          <w:szCs w:val="22"/>
        </w:rPr>
        <w:t>v</w:t>
      </w:r>
      <w:r w:rsidRPr="004567BC">
        <w:rPr>
          <w:szCs w:val="22"/>
        </w:rPr>
        <w:t xml:space="preserve"> r</w:t>
      </w:r>
      <w:r>
        <w:rPr>
          <w:szCs w:val="22"/>
        </w:rPr>
        <w:t>ú</w:t>
      </w:r>
      <w:r w:rsidRPr="004567BC">
        <w:rPr>
          <w:szCs w:val="22"/>
        </w:rPr>
        <w:t>k a n</w:t>
      </w:r>
      <w:r>
        <w:rPr>
          <w:szCs w:val="22"/>
        </w:rPr>
        <w:t>ô</w:t>
      </w:r>
      <w:r w:rsidRPr="004567BC">
        <w:rPr>
          <w:szCs w:val="22"/>
        </w:rPr>
        <w:t>h, vrátane atraumatického odstráneni</w:t>
      </w:r>
      <w:r>
        <w:rPr>
          <w:szCs w:val="22"/>
        </w:rPr>
        <w:t>a</w:t>
      </w:r>
      <w:r w:rsidRPr="004567BC">
        <w:rPr>
          <w:szCs w:val="22"/>
        </w:rPr>
        <w:t xml:space="preserve"> nechtov</w:t>
      </w:r>
      <w:r>
        <w:rPr>
          <w:szCs w:val="22"/>
        </w:rPr>
        <w:t xml:space="preserve"> </w:t>
      </w:r>
      <w:r w:rsidRPr="004567BC">
        <w:rPr>
          <w:szCs w:val="22"/>
        </w:rPr>
        <w:t>so súčasn</w:t>
      </w:r>
      <w:r>
        <w:rPr>
          <w:szCs w:val="22"/>
        </w:rPr>
        <w:t>ým</w:t>
      </w:r>
      <w:r w:rsidRPr="004567BC">
        <w:rPr>
          <w:szCs w:val="22"/>
        </w:rPr>
        <w:t xml:space="preserve"> antimykotick</w:t>
      </w:r>
      <w:r>
        <w:rPr>
          <w:szCs w:val="22"/>
        </w:rPr>
        <w:t>ým</w:t>
      </w:r>
      <w:r w:rsidRPr="004567BC">
        <w:rPr>
          <w:szCs w:val="22"/>
        </w:rPr>
        <w:t xml:space="preserve"> účin</w:t>
      </w:r>
      <w:r>
        <w:rPr>
          <w:szCs w:val="22"/>
        </w:rPr>
        <w:t>kom</w:t>
      </w:r>
      <w:r w:rsidRPr="004567BC">
        <w:rPr>
          <w:szCs w:val="22"/>
        </w:rPr>
        <w:t>.</w:t>
      </w:r>
    </w:p>
    <w:p w:rsidR="00117058" w:rsidRPr="00404E4B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4.2      Dávkovanie a spôsob podávania</w:t>
      </w:r>
    </w:p>
    <w:p w:rsidR="00117058" w:rsidRPr="00404E4B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4849E0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>Z </w:t>
      </w:r>
      <w:r>
        <w:rPr>
          <w:rFonts w:ascii="Times New Roman" w:hAnsi="Times New Roman"/>
          <w:sz w:val="22"/>
          <w:szCs w:val="22"/>
          <w:lang w:val="sk-SK"/>
        </w:rPr>
        <w:t>tuby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sa jedenkrát denne nanesie na postihnutý necht toľko masti, aby pokrývala v tenkej vrstve celú nechtovú plochu.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F645B1">
        <w:rPr>
          <w:rFonts w:ascii="Times New Roman" w:hAnsi="Times New Roman"/>
          <w:sz w:val="22"/>
          <w:szCs w:val="22"/>
          <w:lang w:val="sk-SK"/>
        </w:rPr>
        <w:t xml:space="preserve">Po nanesení masti sa liečené nechty na ruke alebo nohe prikryjú </w:t>
      </w:r>
      <w:r>
        <w:rPr>
          <w:rFonts w:ascii="Times New Roman" w:hAnsi="Times New Roman"/>
          <w:sz w:val="22"/>
          <w:szCs w:val="22"/>
          <w:lang w:val="sk-SK"/>
        </w:rPr>
        <w:t xml:space="preserve">na 24 hodín </w:t>
      </w:r>
      <w:r w:rsidRPr="00404E4B">
        <w:rPr>
          <w:rFonts w:ascii="Times New Roman" w:hAnsi="Times New Roman"/>
          <w:sz w:val="22"/>
          <w:szCs w:val="22"/>
          <w:lang w:val="sk-SK"/>
        </w:rPr>
        <w:t>náplasťou. Náplasť možno rozdeliť na polovicu v závislosti od veľkosti nechtu. Aby sa zabezpečilo zachovanie priľnavosti náplasti, presvedčte sa, že v mieste aplikácie priľnavej vrstvy sa na koži nenachádza žiadna masť. Okrem toho sa vyhnite kontaktu s priľnavou vrstvou náplast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prstami.  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  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Náplasť sa má denne vymieňať. 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Počas každodennej výmeny náplasti sa prsty na rukách alebo nohách (prípadne celá ruka alebo noha) namočia na </w:t>
      </w:r>
      <w:r>
        <w:rPr>
          <w:rFonts w:ascii="Times New Roman" w:hAnsi="Times New Roman"/>
          <w:sz w:val="22"/>
          <w:szCs w:val="22"/>
          <w:lang w:val="sk-SK"/>
        </w:rPr>
        <w:t xml:space="preserve">približne 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10 minút do teplej vody a potom sa zmäknutá časť postihnutého nechtu odstráni priloženou škrabkou. Po osušení liečených nechtov sa znovu nanesie masť a necht sa prikryje náplasťou. 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132B1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Nanášanie masti a zábal s náplasťou sa musia denne dôkladne opakovať tak dlho, </w:t>
      </w:r>
      <w:r>
        <w:rPr>
          <w:rFonts w:ascii="Times New Roman" w:hAnsi="Times New Roman"/>
          <w:sz w:val="22"/>
          <w:szCs w:val="22"/>
          <w:lang w:val="sk-SK"/>
        </w:rPr>
        <w:t>kým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nechtové lôžko nie je hladké a žiadn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zmäknut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nechtov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tkanivo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(postihnut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plesňou) sa už nedá odstrániť. Podľa závažnosti infekcie a h</w:t>
      </w:r>
      <w:r w:rsidRPr="00F132B1">
        <w:rPr>
          <w:rFonts w:ascii="Times New Roman" w:hAnsi="Times New Roman"/>
          <w:sz w:val="22"/>
          <w:szCs w:val="22"/>
          <w:lang w:val="sk-SK"/>
        </w:rPr>
        <w:t>rúbky nechtu trvá liečba zvyčajne 7 až 14 dní. Masť pôsobí iba na postihnut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 nechtov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tkanivo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, zdravé </w:t>
      </w:r>
      <w:r>
        <w:rPr>
          <w:rFonts w:ascii="Times New Roman" w:hAnsi="Times New Roman"/>
          <w:sz w:val="22"/>
          <w:szCs w:val="22"/>
          <w:lang w:val="sk-SK"/>
        </w:rPr>
        <w:t>tkanivo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 nie </w:t>
      </w:r>
      <w:r>
        <w:rPr>
          <w:rFonts w:ascii="Times New Roman" w:hAnsi="Times New Roman"/>
          <w:sz w:val="22"/>
          <w:szCs w:val="22"/>
          <w:lang w:val="sk-SK"/>
        </w:rPr>
        <w:t>je</w:t>
      </w:r>
      <w:r w:rsidRPr="00F132B1">
        <w:rPr>
          <w:rFonts w:ascii="Times New Roman" w:hAnsi="Times New Roman"/>
          <w:sz w:val="22"/>
          <w:szCs w:val="22"/>
          <w:lang w:val="sk-SK"/>
        </w:rPr>
        <w:t xml:space="preserve"> ovplyvnené.</w:t>
      </w:r>
    </w:p>
    <w:p w:rsidR="00117058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A17983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F645B1">
        <w:rPr>
          <w:rFonts w:ascii="Times New Roman" w:hAnsi="Times New Roman"/>
          <w:sz w:val="22"/>
          <w:szCs w:val="22"/>
          <w:lang w:val="sk-SK"/>
        </w:rPr>
        <w:t xml:space="preserve">Prikrytie kože okolo nechtu nie je zvyčajne potrebné. Ak sa však vo výnimočných prípadoch vyskytne podráždenie, na kožu okolo </w:t>
      </w:r>
      <w:r w:rsidRPr="00AB3A9A">
        <w:rPr>
          <w:rFonts w:ascii="Times New Roman" w:hAnsi="Times New Roman"/>
          <w:sz w:val="22"/>
          <w:szCs w:val="22"/>
          <w:lang w:val="sk-SK"/>
        </w:rPr>
        <w:t xml:space="preserve">nechtu sa má </w:t>
      </w:r>
      <w:r>
        <w:rPr>
          <w:rFonts w:ascii="Times New Roman" w:hAnsi="Times New Roman"/>
          <w:sz w:val="22"/>
          <w:szCs w:val="22"/>
          <w:lang w:val="sk-SK"/>
        </w:rPr>
        <w:t xml:space="preserve">pred aplikáciu náplasti </w:t>
      </w:r>
      <w:r w:rsidRPr="00A17983">
        <w:rPr>
          <w:rFonts w:ascii="Times New Roman" w:hAnsi="Times New Roman"/>
          <w:sz w:val="22"/>
          <w:szCs w:val="22"/>
          <w:lang w:val="sk-SK"/>
        </w:rPr>
        <w:t xml:space="preserve">naniesť napr. zinková </w:t>
      </w:r>
      <w:r>
        <w:rPr>
          <w:rFonts w:ascii="Times New Roman" w:hAnsi="Times New Roman"/>
          <w:sz w:val="22"/>
          <w:szCs w:val="22"/>
          <w:lang w:val="sk-SK"/>
        </w:rPr>
        <w:t>pasta</w:t>
      </w:r>
      <w:r w:rsidRPr="00A17983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117058" w:rsidRPr="00F645B1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C044D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AB3A9A">
        <w:rPr>
          <w:rFonts w:ascii="Times New Roman" w:hAnsi="Times New Roman"/>
          <w:sz w:val="22"/>
          <w:szCs w:val="22"/>
          <w:lang w:val="sk-SK"/>
        </w:rPr>
        <w:t xml:space="preserve">Po odstránení nechtu sa má systematicky pokračovať asi 4 týždne v antimykotickej liečbe liekom Canespor krém. </w:t>
      </w:r>
    </w:p>
    <w:p w:rsidR="00117058" w:rsidRPr="004849E0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Dôkladné odstránenie</w:t>
      </w:r>
      <w:r w:rsidRPr="00A17983">
        <w:rPr>
          <w:rFonts w:ascii="Times New Roman" w:hAnsi="Times New Roman"/>
          <w:sz w:val="22"/>
          <w:szCs w:val="22"/>
          <w:lang w:val="sk-SK"/>
        </w:rPr>
        <w:t xml:space="preserve"> postihnutých častí nechtu a následné </w:t>
      </w:r>
      <w:r w:rsidRPr="00795AA9">
        <w:rPr>
          <w:rFonts w:ascii="Times New Roman" w:hAnsi="Times New Roman"/>
          <w:sz w:val="22"/>
          <w:szCs w:val="22"/>
          <w:lang w:val="sk-SK"/>
        </w:rPr>
        <w:t>starostlivé ošetrenie</w:t>
      </w:r>
      <w:r w:rsidRPr="00A17983">
        <w:rPr>
          <w:rFonts w:ascii="Times New Roman" w:hAnsi="Times New Roman"/>
          <w:sz w:val="22"/>
          <w:szCs w:val="22"/>
          <w:lang w:val="sk-SK"/>
        </w:rPr>
        <w:t xml:space="preserve"> liekom Canespor krém sú dôležité pre dlhodobú úspešnú liečbu mykotickej infekcie nechtu.</w:t>
      </w:r>
      <w:r w:rsidRPr="00F355E3">
        <w:rPr>
          <w:rFonts w:ascii="Times New Roman" w:hAnsi="Times New Roman"/>
          <w:sz w:val="22"/>
          <w:szCs w:val="22"/>
          <w:lang w:val="sk-SK"/>
        </w:rPr>
        <w:t>V závažných prípadoch sa má liečba nahradiť systémovou antimykotickou liečbou  alebo chirurgickým zákrokom.</w:t>
      </w:r>
    </w:p>
    <w:p w:rsidR="00117058" w:rsidRPr="00AB3A9A" w:rsidRDefault="00117058" w:rsidP="00795AA9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4849E0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C044D">
        <w:rPr>
          <w:rFonts w:ascii="Times New Roman" w:hAnsi="Times New Roman"/>
          <w:sz w:val="22"/>
          <w:szCs w:val="22"/>
          <w:lang w:val="sk-SK"/>
        </w:rPr>
        <w:t>V zriedkavých prípadoch, ak je pacient alergický na náplasť, je potrebné použiť inú vod</w:t>
      </w:r>
      <w:r>
        <w:rPr>
          <w:rFonts w:ascii="Times New Roman" w:hAnsi="Times New Roman"/>
          <w:sz w:val="22"/>
          <w:szCs w:val="22"/>
          <w:lang w:val="sk-SK"/>
        </w:rPr>
        <w:t>ovzdor</w:t>
      </w:r>
      <w:r w:rsidRPr="004C044D">
        <w:rPr>
          <w:rFonts w:ascii="Times New Roman" w:hAnsi="Times New Roman"/>
          <w:sz w:val="22"/>
          <w:szCs w:val="22"/>
          <w:lang w:val="sk-SK"/>
        </w:rPr>
        <w:t>nú náplasť alebo gumo</w:t>
      </w:r>
      <w:r w:rsidRPr="004849E0">
        <w:rPr>
          <w:rFonts w:ascii="Times New Roman" w:hAnsi="Times New Roman"/>
          <w:sz w:val="22"/>
          <w:szCs w:val="22"/>
          <w:lang w:val="sk-SK"/>
        </w:rPr>
        <w:t>vé rukavicové prsty.</w:t>
      </w:r>
    </w:p>
    <w:p w:rsidR="00117058" w:rsidRPr="00BB4ABA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rPr>
          <w:rFonts w:ascii="Times New Roman" w:hAnsi="Times New Roman"/>
          <w:b/>
          <w:i/>
          <w:sz w:val="22"/>
          <w:szCs w:val="22"/>
          <w:lang w:val="sk-SK"/>
        </w:rPr>
      </w:pPr>
      <w:r w:rsidRPr="00795AA9">
        <w:rPr>
          <w:rFonts w:ascii="Times New Roman" w:hAnsi="Times New Roman"/>
          <w:i/>
          <w:noProof/>
          <w:sz w:val="22"/>
          <w:szCs w:val="22"/>
          <w:lang w:val="sk-SK"/>
        </w:rPr>
        <w:t>Pediatrická populácia</w:t>
      </w:r>
    </w:p>
    <w:p w:rsidR="00117058" w:rsidRPr="00D054F2" w:rsidRDefault="00117058" w:rsidP="00795AA9">
      <w:pPr>
        <w:pStyle w:val="Zkladntext"/>
        <w:spacing w:line="240" w:lineRule="auto"/>
        <w:rPr>
          <w:rFonts w:ascii="Times New Roman" w:hAnsi="Times New Roman"/>
          <w:b/>
          <w:i/>
          <w:sz w:val="22"/>
          <w:szCs w:val="22"/>
        </w:rPr>
      </w:pP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sz w:val="22"/>
          <w:szCs w:val="22"/>
          <w:lang w:val="sk-SK"/>
        </w:rPr>
        <w:t>Hĺbkov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štúdie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 u detí </w:t>
      </w:r>
      <w:r>
        <w:rPr>
          <w:rFonts w:ascii="Times New Roman" w:hAnsi="Times New Roman"/>
          <w:sz w:val="22"/>
          <w:szCs w:val="22"/>
          <w:lang w:val="sk-SK"/>
        </w:rPr>
        <w:t>sa nevykonali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hodnotenie hlásených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 klinických údajov nepreukázal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567BC">
        <w:rPr>
          <w:rFonts w:ascii="Times New Roman" w:hAnsi="Times New Roman"/>
          <w:sz w:val="22"/>
          <w:szCs w:val="22"/>
          <w:lang w:val="sk-SK"/>
        </w:rPr>
        <w:t xml:space="preserve"> žiadne indikácie, pri ktorých by bolo možné očakávať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vznik nežiaducich účinkov u detí. 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I napriek tomu sa smie Canespor sada na nechty u dojčiat </w:t>
      </w:r>
      <w:r w:rsidRPr="00AB3A9A">
        <w:rPr>
          <w:rFonts w:ascii="Times New Roman" w:hAnsi="Times New Roman"/>
          <w:sz w:val="22"/>
          <w:szCs w:val="22"/>
          <w:lang w:val="sk-SK"/>
        </w:rPr>
        <w:t>a detí do 3 rokov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 podávať len pod lekárskym dohľadom.</w:t>
      </w:r>
    </w:p>
    <w:p w:rsidR="00117058" w:rsidRPr="00404E4B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132B1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132B1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F132B1">
        <w:rPr>
          <w:rFonts w:ascii="Times New Roman" w:hAnsi="Times New Roman"/>
          <w:b/>
          <w:sz w:val="22"/>
          <w:szCs w:val="22"/>
          <w:lang w:val="sk-SK"/>
        </w:rPr>
        <w:tab/>
        <w:t>Kontraindikácie</w:t>
      </w:r>
    </w:p>
    <w:p w:rsidR="00117058" w:rsidRPr="00F645B1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AB3A9A" w:rsidRDefault="00117058" w:rsidP="00AB3A9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AB3A9A">
        <w:rPr>
          <w:rFonts w:ascii="Times New Roman" w:hAnsi="Times New Roman"/>
          <w:sz w:val="22"/>
          <w:szCs w:val="22"/>
        </w:rPr>
        <w:t>Precitlivenosť na bifonazol alebo na ktorúkoľvek z pomocných látok uvedených v časti 6.1.</w:t>
      </w:r>
    </w:p>
    <w:p w:rsidR="00117058" w:rsidRPr="004849E0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849E0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849E0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849E0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4849E0"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:rsidR="00117058" w:rsidRPr="00BB4ABA" w:rsidRDefault="00117058" w:rsidP="00AB3A9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B43357" w:rsidRDefault="00117058" w:rsidP="004C044D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  <w:r w:rsidRPr="00795AA9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Pacienti s anamnézou reakcií 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z </w:t>
      </w:r>
      <w:r w:rsidRPr="00B43357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precitlivenosti na iné imidazolové antimykotiká (napr. ekonazol, klotrimazol, mikonazol), musia užívať lieky s obsahom bifonazolu s opatrnosťou. </w:t>
      </w:r>
    </w:p>
    <w:p w:rsidR="00117058" w:rsidRPr="00F645B1" w:rsidRDefault="00117058" w:rsidP="004849E0">
      <w:pPr>
        <w:pStyle w:val="Nadpis3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17058" w:rsidRPr="00B43357" w:rsidRDefault="00117058" w:rsidP="004849E0">
      <w:pPr>
        <w:pStyle w:val="Nadpis3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B3A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Canespor sada na nechty sa nesmie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dostať do kontaktu s očami</w:t>
      </w:r>
      <w:r w:rsidRPr="00B43357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95AA9">
        <w:rPr>
          <w:rFonts w:ascii="Times New Roman" w:hAnsi="Times New Roman"/>
          <w:b w:val="0"/>
          <w:sz w:val="22"/>
          <w:szCs w:val="22"/>
        </w:rPr>
        <w:t>Perorálnemu požitiu je potrebné zabrániť.</w:t>
      </w:r>
      <w:r w:rsidRPr="00B4335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117058" w:rsidRPr="00F645B1" w:rsidRDefault="00117058" w:rsidP="00BB4AB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D0078B" w:rsidRDefault="00117058" w:rsidP="00795AA9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AB3A9A">
        <w:rPr>
          <w:rFonts w:ascii="Times New Roman" w:hAnsi="Times New Roman"/>
          <w:sz w:val="22"/>
          <w:szCs w:val="22"/>
        </w:rPr>
        <w:t>Canespor sada na nechty</w:t>
      </w:r>
      <w:r w:rsidRPr="00AB3A9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B3A9A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môže</w:t>
      </w:r>
      <w:r w:rsidRPr="00AB3A9A">
        <w:rPr>
          <w:rFonts w:ascii="Times New Roman" w:hAnsi="Times New Roman"/>
          <w:sz w:val="22"/>
          <w:szCs w:val="22"/>
        </w:rPr>
        <w:t xml:space="preserve"> používať u</w:t>
      </w:r>
      <w:r w:rsidRPr="004C044D">
        <w:rPr>
          <w:rFonts w:ascii="Times New Roman" w:hAnsi="Times New Roman"/>
          <w:sz w:val="22"/>
          <w:szCs w:val="22"/>
        </w:rPr>
        <w:t xml:space="preserve"> dojčiat </w:t>
      </w:r>
      <w:r w:rsidRPr="004849E0">
        <w:rPr>
          <w:rFonts w:ascii="Times New Roman" w:hAnsi="Times New Roman"/>
          <w:sz w:val="22"/>
          <w:szCs w:val="22"/>
        </w:rPr>
        <w:t xml:space="preserve">a detí do 3 rokov </w:t>
      </w:r>
      <w:r>
        <w:rPr>
          <w:rFonts w:ascii="Times New Roman" w:hAnsi="Times New Roman"/>
          <w:sz w:val="22"/>
          <w:szCs w:val="22"/>
        </w:rPr>
        <w:t>len pod</w:t>
      </w:r>
      <w:r w:rsidRPr="004849E0">
        <w:rPr>
          <w:rFonts w:ascii="Times New Roman" w:hAnsi="Times New Roman"/>
          <w:sz w:val="22"/>
          <w:szCs w:val="22"/>
        </w:rPr>
        <w:t xml:space="preserve"> dohľad</w:t>
      </w:r>
      <w:r>
        <w:rPr>
          <w:rFonts w:ascii="Times New Roman" w:hAnsi="Times New Roman"/>
          <w:sz w:val="22"/>
          <w:szCs w:val="22"/>
        </w:rPr>
        <w:t>om</w:t>
      </w:r>
      <w:r w:rsidRPr="004849E0">
        <w:rPr>
          <w:rFonts w:ascii="Times New Roman" w:hAnsi="Times New Roman"/>
          <w:sz w:val="22"/>
          <w:szCs w:val="22"/>
        </w:rPr>
        <w:t xml:space="preserve"> lekára. </w:t>
      </w:r>
    </w:p>
    <w:p w:rsidR="00117058" w:rsidRPr="00BB4ABA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B43357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DA7801">
        <w:rPr>
          <w:rFonts w:ascii="Times New Roman" w:hAnsi="Times New Roman"/>
          <w:sz w:val="22"/>
          <w:szCs w:val="22"/>
        </w:rPr>
        <w:t>Canespor</w:t>
      </w:r>
      <w:proofErr w:type="spellEnd"/>
      <w:r w:rsidRPr="00DA78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A7801">
        <w:rPr>
          <w:rFonts w:ascii="Times New Roman" w:hAnsi="Times New Roman"/>
          <w:sz w:val="22"/>
          <w:szCs w:val="22"/>
        </w:rPr>
        <w:t>sada</w:t>
      </w:r>
      <w:proofErr w:type="spellEnd"/>
      <w:r w:rsidRPr="00DA78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A7801">
        <w:rPr>
          <w:rFonts w:ascii="Times New Roman" w:hAnsi="Times New Roman"/>
          <w:sz w:val="22"/>
          <w:szCs w:val="22"/>
        </w:rPr>
        <w:t>na</w:t>
      </w:r>
      <w:proofErr w:type="spellEnd"/>
      <w:r w:rsidRPr="00DA78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43357">
        <w:rPr>
          <w:rFonts w:ascii="Times New Roman" w:hAnsi="Times New Roman"/>
          <w:sz w:val="22"/>
          <w:szCs w:val="22"/>
        </w:rPr>
        <w:t>nechty</w:t>
      </w:r>
      <w:proofErr w:type="spellEnd"/>
      <w:r w:rsidRPr="00795AA9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95AA9">
        <w:rPr>
          <w:rFonts w:ascii="Times New Roman" w:hAnsi="Times New Roman"/>
          <w:bCs/>
          <w:sz w:val="22"/>
          <w:szCs w:val="22"/>
        </w:rPr>
        <w:t>obsahuje</w:t>
      </w:r>
      <w:proofErr w:type="spellEnd"/>
      <w:r w:rsidRPr="00795AA9">
        <w:rPr>
          <w:rFonts w:ascii="Times New Roman" w:hAnsi="Times New Roman"/>
          <w:bCs/>
          <w:sz w:val="22"/>
          <w:szCs w:val="22"/>
        </w:rPr>
        <w:t xml:space="preserve"> </w:t>
      </w:r>
      <w:r w:rsidRPr="00B43357">
        <w:rPr>
          <w:rFonts w:ascii="Times New Roman" w:hAnsi="Times New Roman"/>
          <w:bCs/>
          <w:sz w:val="22"/>
          <w:szCs w:val="22"/>
          <w:lang w:val="sk-SK"/>
        </w:rPr>
        <w:t>lanolín</w:t>
      </w:r>
      <w:r>
        <w:rPr>
          <w:rFonts w:ascii="Times New Roman" w:hAnsi="Times New Roman"/>
          <w:bCs/>
          <w:sz w:val="22"/>
          <w:szCs w:val="22"/>
          <w:lang w:val="sk-SK"/>
        </w:rPr>
        <w:t>.</w:t>
      </w:r>
      <w:r w:rsidRPr="00B43357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k-SK"/>
        </w:rPr>
        <w:t>M</w:t>
      </w:r>
      <w:r w:rsidRPr="00B43357">
        <w:rPr>
          <w:rFonts w:ascii="Times New Roman" w:hAnsi="Times New Roman"/>
          <w:bCs/>
          <w:sz w:val="22"/>
          <w:szCs w:val="22"/>
          <w:lang w:val="sk-SK"/>
        </w:rPr>
        <w:t xml:space="preserve">ôže </w:t>
      </w:r>
      <w:r>
        <w:rPr>
          <w:rFonts w:ascii="Times New Roman" w:hAnsi="Times New Roman"/>
          <w:bCs/>
          <w:sz w:val="22"/>
          <w:szCs w:val="22"/>
          <w:lang w:val="sk-SK"/>
        </w:rPr>
        <w:t>vyvolať</w:t>
      </w:r>
      <w:r w:rsidRPr="00B43357">
        <w:rPr>
          <w:rFonts w:ascii="Times New Roman" w:hAnsi="Times New Roman"/>
          <w:bCs/>
          <w:sz w:val="22"/>
          <w:szCs w:val="22"/>
          <w:lang w:val="sk-SK"/>
        </w:rPr>
        <w:t xml:space="preserve"> lokálne kožné reakcie (napr. kontaktnú dermatitídu).</w:t>
      </w:r>
    </w:p>
    <w:p w:rsidR="00117058" w:rsidRPr="00F645B1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AB3A9A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AB3A9A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AB3A9A">
        <w:rPr>
          <w:rFonts w:ascii="Times New Roman" w:hAnsi="Times New Roman"/>
          <w:b/>
          <w:sz w:val="22"/>
          <w:szCs w:val="22"/>
          <w:lang w:val="sk-SK"/>
        </w:rPr>
        <w:tab/>
        <w:t>Liekové a iné interakcie</w:t>
      </w:r>
    </w:p>
    <w:p w:rsidR="00117058" w:rsidRPr="00AB3A9A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4C044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 xml:space="preserve"> Z obmedzených údajov vyplýva, že môže dochádzať k interakcii medzi lokálne podávaným bifonazolom a warfarínom, čo môže viesť k zvýšeniu INR. Pri súbežnom podávaní warfarínu a bifonazolu je potrebné pacienta primerane sledovať.</w:t>
      </w:r>
    </w:p>
    <w:p w:rsidR="00117058" w:rsidRPr="00F355E3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EF6AD3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567BC" w:rsidRDefault="00117058" w:rsidP="00795AA9">
      <w:pPr>
        <w:numPr>
          <w:ilvl w:val="1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D054F2">
        <w:rPr>
          <w:rFonts w:ascii="Times New Roman" w:hAnsi="Times New Roman"/>
          <w:b/>
          <w:sz w:val="22"/>
          <w:szCs w:val="22"/>
        </w:rPr>
        <w:t>Fertilita</w:t>
      </w:r>
      <w:proofErr w:type="spellEnd"/>
      <w:r w:rsidRPr="00D054F2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D054F2">
        <w:rPr>
          <w:rFonts w:ascii="Times New Roman" w:hAnsi="Times New Roman"/>
          <w:b/>
          <w:sz w:val="22"/>
          <w:szCs w:val="22"/>
        </w:rPr>
        <w:t>gravidita</w:t>
      </w:r>
      <w:proofErr w:type="spellEnd"/>
      <w:r w:rsidRPr="00D054F2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Pr="00D054F2">
        <w:rPr>
          <w:rFonts w:ascii="Times New Roman" w:hAnsi="Times New Roman"/>
          <w:b/>
          <w:sz w:val="22"/>
          <w:szCs w:val="22"/>
        </w:rPr>
        <w:t>laktácia</w:t>
      </w:r>
      <w:proofErr w:type="spellEnd"/>
    </w:p>
    <w:p w:rsidR="00117058" w:rsidRPr="00404E4B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AB3A9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795AA9">
        <w:rPr>
          <w:rFonts w:ascii="Times New Roman" w:hAnsi="Times New Roman"/>
          <w:sz w:val="22"/>
          <w:szCs w:val="22"/>
          <w:u w:val="single"/>
        </w:rPr>
        <w:t>Gravidita</w:t>
      </w:r>
    </w:p>
    <w:p w:rsidR="00117058" w:rsidRDefault="00117058" w:rsidP="004849E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 xml:space="preserve">Predklinické údaje o bezpečnosti a farmakokinetické údaje u ľudí nenaznačujú škodlivé účinky na matku a dieťa pri používaní bifonazolu počas gravidity </w:t>
      </w:r>
      <w:r w:rsidRPr="00795AA9">
        <w:rPr>
          <w:rFonts w:ascii="Times New Roman" w:hAnsi="Times New Roman"/>
          <w:sz w:val="22"/>
          <w:szCs w:val="22"/>
          <w:lang w:val="sk-SK"/>
        </w:rPr>
        <w:t>(pozri časť 5.3).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sz w:val="22"/>
          <w:szCs w:val="22"/>
          <w:lang w:val="sk-SK"/>
        </w:rPr>
        <w:t>Nie sú však dostupné žiadne klinické údaje.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Ako preventívne opatrenie sa odporúča nepoužívať bifonazol počas prvého trimestra </w:t>
      </w:r>
      <w:r>
        <w:rPr>
          <w:rFonts w:ascii="Times New Roman" w:hAnsi="Times New Roman"/>
          <w:sz w:val="22"/>
          <w:szCs w:val="22"/>
          <w:lang w:val="sk-SK"/>
        </w:rPr>
        <w:t>gravidity</w:t>
      </w:r>
      <w:r w:rsidRPr="00795AA9">
        <w:rPr>
          <w:rFonts w:ascii="Times New Roman" w:hAnsi="Times New Roman"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17058" w:rsidRDefault="00117058" w:rsidP="00BB4AB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Nie sú k dispozícii žiadne údaje o použ</w:t>
      </w:r>
      <w:r>
        <w:rPr>
          <w:rFonts w:ascii="Times New Roman" w:hAnsi="Times New Roman"/>
          <w:sz w:val="22"/>
          <w:szCs w:val="22"/>
          <w:lang w:val="sk-SK"/>
        </w:rPr>
        <w:t>ití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močoviny u gravidných žien. Zo štúdií </w:t>
      </w:r>
      <w:r>
        <w:rPr>
          <w:rFonts w:ascii="Times New Roman" w:hAnsi="Times New Roman"/>
          <w:sz w:val="22"/>
          <w:szCs w:val="22"/>
          <w:lang w:val="sk-SK"/>
        </w:rPr>
        <w:t xml:space="preserve">reprodukčnej toxicity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na zvieratách nevyplývajú žiadne priame ani nepriame škodlivé účinky (pozri časť 5.3). Ako preventívne opatrenie sa odporúča nepoužívať močovinu (alebo </w:t>
      </w:r>
      <w:r>
        <w:rPr>
          <w:rFonts w:ascii="Times New Roman" w:hAnsi="Times New Roman"/>
          <w:sz w:val="22"/>
          <w:szCs w:val="22"/>
          <w:lang w:val="sk-SK"/>
        </w:rPr>
        <w:t xml:space="preserve">dermálnu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masť) počas prvého trimestra </w:t>
      </w:r>
      <w:r>
        <w:rPr>
          <w:rFonts w:ascii="Times New Roman" w:hAnsi="Times New Roman"/>
          <w:sz w:val="22"/>
          <w:szCs w:val="22"/>
          <w:lang w:val="sk-SK"/>
        </w:rPr>
        <w:t>gravidity</w:t>
      </w:r>
      <w:r w:rsidRPr="00795AA9"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404E4B" w:rsidRDefault="00117058" w:rsidP="00795AA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117058" w:rsidRPr="00795AA9" w:rsidRDefault="00117058" w:rsidP="00795AA9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EF6AD3">
        <w:rPr>
          <w:rFonts w:ascii="Times New Roman" w:hAnsi="Times New Roman"/>
          <w:iCs/>
          <w:spacing w:val="-4"/>
          <w:sz w:val="22"/>
          <w:szCs w:val="22"/>
          <w:lang w:val="sk-SK"/>
        </w:rPr>
        <w:lastRenderedPageBreak/>
        <w:t xml:space="preserve">Nie je známe, či sa bifonazol vylučuje do materského mlieka u ľudí. </w:t>
      </w:r>
      <w:r w:rsidRPr="00D054F2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Vylučovanie bifonazolu do mlieka sa  skúmalo na zvieratách. </w:t>
      </w:r>
      <w:r w:rsidRPr="00795AA9">
        <w:rPr>
          <w:rFonts w:ascii="Times New Roman" w:hAnsi="Times New Roman"/>
          <w:sz w:val="22"/>
          <w:szCs w:val="22"/>
          <w:lang w:val="sk-SK"/>
        </w:rPr>
        <w:t>Dostupné farmakodynamické/toxikologické údaje u zvierat dokázali vylučovanie bifonazolu</w:t>
      </w:r>
      <w:r>
        <w:rPr>
          <w:rFonts w:ascii="Times New Roman" w:hAnsi="Times New Roman"/>
          <w:sz w:val="22"/>
          <w:szCs w:val="22"/>
          <w:lang w:val="sk-SK"/>
        </w:rPr>
        <w:t xml:space="preserve"> a jeho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metabolitov do mlieka (pozri časť 5.3). Počas liečby bifonazolom sa </w:t>
      </w:r>
      <w:r>
        <w:rPr>
          <w:rFonts w:ascii="Times New Roman" w:hAnsi="Times New Roman"/>
          <w:sz w:val="22"/>
          <w:szCs w:val="22"/>
          <w:lang w:val="sk-SK"/>
        </w:rPr>
        <w:t xml:space="preserve">má </w:t>
      </w:r>
      <w:r w:rsidRPr="00795AA9">
        <w:rPr>
          <w:rFonts w:ascii="Times New Roman" w:hAnsi="Times New Roman"/>
          <w:sz w:val="22"/>
          <w:szCs w:val="22"/>
          <w:lang w:val="sk-SK"/>
        </w:rPr>
        <w:t>dojčenie prerušiť.</w:t>
      </w:r>
    </w:p>
    <w:p w:rsidR="00117058" w:rsidRDefault="00117058" w:rsidP="00F645B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AA654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 xml:space="preserve">Nie je známe, či sa močovina vylučuje do </w:t>
      </w:r>
      <w:r>
        <w:rPr>
          <w:rFonts w:ascii="Times New Roman" w:hAnsi="Times New Roman"/>
          <w:sz w:val="22"/>
          <w:szCs w:val="22"/>
          <w:lang w:val="sk-SK"/>
        </w:rPr>
        <w:t>mater</w:t>
      </w:r>
      <w:r w:rsidRPr="00795AA9">
        <w:rPr>
          <w:rFonts w:ascii="Times New Roman" w:hAnsi="Times New Roman"/>
          <w:sz w:val="22"/>
          <w:szCs w:val="22"/>
          <w:lang w:val="sk-SK"/>
        </w:rPr>
        <w:t>ského mlieka</w:t>
      </w:r>
      <w:r>
        <w:rPr>
          <w:rFonts w:ascii="Times New Roman" w:hAnsi="Times New Roman"/>
          <w:sz w:val="22"/>
          <w:szCs w:val="22"/>
          <w:lang w:val="sk-SK"/>
        </w:rPr>
        <w:t xml:space="preserve"> u ľudí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F355E3">
        <w:rPr>
          <w:rFonts w:ascii="Times New Roman" w:hAnsi="Times New Roman"/>
          <w:sz w:val="22"/>
          <w:szCs w:val="22"/>
          <w:lang w:val="sk-SK"/>
        </w:rPr>
        <w:t>Počas liečby močovinou alebo dermálnou masťou sa má dojčenie prerušiť.</w:t>
      </w:r>
    </w:p>
    <w:p w:rsidR="00117058" w:rsidRPr="00F355E3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795AA9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</w:p>
    <w:p w:rsidR="00117058" w:rsidRPr="00795AA9" w:rsidRDefault="00117058" w:rsidP="004C044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Predklinické štúdie ne</w:t>
      </w:r>
      <w:r>
        <w:rPr>
          <w:rFonts w:ascii="Times New Roman" w:hAnsi="Times New Roman"/>
          <w:sz w:val="22"/>
          <w:szCs w:val="22"/>
          <w:lang w:val="sk-SK"/>
        </w:rPr>
        <w:t>preu</w:t>
      </w:r>
      <w:r w:rsidRPr="00795AA9">
        <w:rPr>
          <w:rFonts w:ascii="Times New Roman" w:hAnsi="Times New Roman"/>
          <w:sz w:val="22"/>
          <w:szCs w:val="22"/>
          <w:lang w:val="sk-SK"/>
        </w:rPr>
        <w:t>kázali, že bifonazol m</w:t>
      </w:r>
      <w:r>
        <w:rPr>
          <w:rFonts w:ascii="Times New Roman" w:hAnsi="Times New Roman"/>
          <w:sz w:val="22"/>
          <w:szCs w:val="22"/>
          <w:lang w:val="sk-SK"/>
        </w:rPr>
        <w:t>ôže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poškodzovať mužskú alebo ženskú fertilitu (pozri časť 5.3).</w:t>
      </w:r>
    </w:p>
    <w:p w:rsidR="00117058" w:rsidRPr="00404E4B" w:rsidRDefault="00117058" w:rsidP="004849E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17058" w:rsidRPr="00795AA9" w:rsidRDefault="00117058" w:rsidP="004849E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Predklinické štúdie ne</w:t>
      </w:r>
      <w:r>
        <w:rPr>
          <w:rFonts w:ascii="Times New Roman" w:hAnsi="Times New Roman"/>
          <w:sz w:val="22"/>
          <w:szCs w:val="22"/>
          <w:lang w:val="sk-SK"/>
        </w:rPr>
        <w:t>preu</w:t>
      </w:r>
      <w:r w:rsidRPr="00795AA9">
        <w:rPr>
          <w:rFonts w:ascii="Times New Roman" w:hAnsi="Times New Roman"/>
          <w:sz w:val="22"/>
          <w:szCs w:val="22"/>
          <w:lang w:val="sk-SK"/>
        </w:rPr>
        <w:t>kázali</w:t>
      </w:r>
      <w:r>
        <w:rPr>
          <w:rFonts w:ascii="Times New Roman" w:hAnsi="Times New Roman"/>
          <w:sz w:val="22"/>
          <w:szCs w:val="22"/>
          <w:lang w:val="sk-SK"/>
        </w:rPr>
        <w:t xml:space="preserve"> potenciálny škodlivý účinok močoviny na spermie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(pozri časť 5.3). O možných účinkoch na ženskú fertilitu nie sú k dispozícii žiadne </w:t>
      </w:r>
      <w:r>
        <w:rPr>
          <w:rFonts w:ascii="Times New Roman" w:hAnsi="Times New Roman"/>
          <w:sz w:val="22"/>
          <w:szCs w:val="22"/>
          <w:lang w:val="sk-SK"/>
        </w:rPr>
        <w:t>údaje</w:t>
      </w:r>
      <w:r w:rsidRPr="00795AA9">
        <w:rPr>
          <w:rFonts w:ascii="Times New Roman" w:hAnsi="Times New Roman"/>
          <w:sz w:val="22"/>
          <w:szCs w:val="22"/>
          <w:lang w:val="sk-SK"/>
        </w:rPr>
        <w:t>.</w:t>
      </w:r>
    </w:p>
    <w:p w:rsidR="00117058" w:rsidRPr="00EF6AD3" w:rsidRDefault="00117058" w:rsidP="00BB4AB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E75159">
      <w:pPr>
        <w:numPr>
          <w:ilvl w:val="1"/>
          <w:numId w:val="11"/>
        </w:numPr>
        <w:rPr>
          <w:rFonts w:ascii="Times New Roman" w:hAnsi="Times New Roman"/>
          <w:b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:rsidR="00117058" w:rsidRPr="00404E4B" w:rsidRDefault="00117058" w:rsidP="00E75159">
      <w:pPr>
        <w:ind w:left="72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noProof/>
          <w:sz w:val="22"/>
          <w:szCs w:val="22"/>
          <w:lang w:val="sk-SK"/>
        </w:rPr>
        <w:t xml:space="preserve">Canespor sada na nechty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nemá žiadny alebo má zanedbateľný vplyv na schopnosť viesť vozidlá a obsluhovať stroje.</w:t>
      </w:r>
    </w:p>
    <w:p w:rsidR="00117058" w:rsidRPr="00404E4B" w:rsidRDefault="00117058" w:rsidP="00BB4AB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117058" w:rsidRPr="00F132B1" w:rsidRDefault="00117058" w:rsidP="004C044D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E75159">
        <w:rPr>
          <w:rFonts w:ascii="Times New Roman" w:hAnsi="Times New Roman"/>
          <w:bCs/>
          <w:sz w:val="22"/>
          <w:szCs w:val="22"/>
          <w:u w:val="single"/>
          <w:lang w:val="sk-SK"/>
        </w:rPr>
        <w:t>Poruchy kože a podkožného tkaniva</w:t>
      </w:r>
      <w:r w:rsidRPr="00F132B1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:rsidR="00117058" w:rsidRPr="00D054F2" w:rsidRDefault="00117058" w:rsidP="004C044D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Kontaktná dermatitída, macerácia kože, </w:t>
      </w:r>
      <w:r>
        <w:rPr>
          <w:rFonts w:ascii="Times New Roman" w:hAnsi="Times New Roman"/>
          <w:sz w:val="22"/>
          <w:szCs w:val="22"/>
          <w:lang w:val="sk-SK"/>
        </w:rPr>
        <w:t>odlupovanie pokožky (deskvamácia)</w:t>
      </w:r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>porucha</w:t>
      </w:r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nechtov, zmena farby nechtov, erytém,  podráždenie kože,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bolesť v mieste </w:t>
      </w:r>
      <w:r>
        <w:rPr>
          <w:rFonts w:ascii="Times New Roman" w:hAnsi="Times New Roman"/>
          <w:sz w:val="22"/>
          <w:szCs w:val="22"/>
          <w:lang w:val="sk-SK"/>
        </w:rPr>
        <w:t>podania</w:t>
      </w:r>
      <w:r w:rsidRPr="00795AA9">
        <w:rPr>
          <w:rFonts w:ascii="Times New Roman" w:hAnsi="Times New Roman"/>
          <w:sz w:val="22"/>
          <w:szCs w:val="22"/>
          <w:lang w:val="sk-SK"/>
        </w:rPr>
        <w:t>, bolesť končatín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EF6AD3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</w:t>
      </w:r>
      <w:r w:rsidRPr="00D054F2">
        <w:rPr>
          <w:rFonts w:ascii="Times New Roman" w:hAnsi="Times New Roman"/>
          <w:iCs/>
          <w:spacing w:val="-4"/>
          <w:sz w:val="22"/>
          <w:szCs w:val="22"/>
          <w:lang w:val="sk-SK"/>
        </w:rPr>
        <w:t>pruritus, vyrážka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>.</w:t>
      </w:r>
    </w:p>
    <w:p w:rsidR="00117058" w:rsidRPr="004567BC" w:rsidRDefault="00117058" w:rsidP="004849E0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</w:p>
    <w:p w:rsidR="00117058" w:rsidRPr="00404E4B" w:rsidRDefault="00117058" w:rsidP="00BB4ABA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 w:eastAsia="en-US"/>
        </w:rPr>
      </w:pPr>
      <w:r w:rsidRPr="00404E4B">
        <w:rPr>
          <w:rFonts w:ascii="Times New Roman" w:hAnsi="Times New Roman"/>
          <w:sz w:val="22"/>
          <w:szCs w:val="22"/>
          <w:lang w:val="sk-SK" w:eastAsia="en-US"/>
        </w:rPr>
        <w:t xml:space="preserve">Tieto nežiaduce účinky sú po </w:t>
      </w:r>
      <w:r>
        <w:rPr>
          <w:rFonts w:ascii="Times New Roman" w:hAnsi="Times New Roman"/>
          <w:sz w:val="22"/>
          <w:szCs w:val="22"/>
          <w:lang w:val="sk-SK" w:eastAsia="en-US"/>
        </w:rPr>
        <w:t>ukončení</w:t>
      </w:r>
      <w:r w:rsidRPr="00404E4B">
        <w:rPr>
          <w:rFonts w:ascii="Times New Roman" w:hAnsi="Times New Roman"/>
          <w:sz w:val="22"/>
          <w:szCs w:val="22"/>
          <w:lang w:val="sk-SK" w:eastAsia="en-US"/>
        </w:rPr>
        <w:t xml:space="preserve"> liečby reverzibilné. </w:t>
      </w:r>
    </w:p>
    <w:p w:rsidR="00117058" w:rsidRPr="00404E4B" w:rsidRDefault="00117058" w:rsidP="00795AA9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:rsidR="00117058" w:rsidRPr="003847F5" w:rsidRDefault="00117058" w:rsidP="00F645B1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3847F5">
        <w:rPr>
          <w:rFonts w:ascii="Times New Roman" w:hAnsi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117058" w:rsidRPr="00795AA9" w:rsidRDefault="00117058" w:rsidP="00AB3A9A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  <w:lang w:val="sk-SK"/>
        </w:rPr>
      </w:pPr>
      <w:r w:rsidRPr="00795AA9">
        <w:rPr>
          <w:rFonts w:ascii="Times New Roman" w:hAnsi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Umožňuje priebežné monitorovanie pomeru prínosu a rizika lieku.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Od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505296" w:rsidRPr="00505296">
        <w:rPr>
          <w:rFonts w:ascii="Times New Roman" w:hAnsi="Times New Roman"/>
          <w:noProof/>
          <w:sz w:val="22"/>
          <w:szCs w:val="22"/>
          <w:lang w:val="sk-SK"/>
        </w:rPr>
        <w:t xml:space="preserve">na </w:t>
      </w:r>
      <w:r w:rsidR="00505296" w:rsidRPr="00505296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národné centrum hlásenia uvedené</w:t>
      </w:r>
      <w:r w:rsidR="00505296" w:rsidRPr="00505296">
        <w:rPr>
          <w:noProof/>
          <w:szCs w:val="22"/>
          <w:highlight w:val="lightGray"/>
          <w:lang w:val="sk-SK"/>
        </w:rPr>
        <w:t xml:space="preserve"> </w:t>
      </w:r>
      <w:r w:rsidRPr="00795AA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v </w:t>
      </w:r>
      <w:hyperlink r:id="rId7" w:history="1">
        <w:r w:rsidRPr="00FC62BA">
          <w:rPr>
            <w:rStyle w:val="Hypertextovprepojenie"/>
            <w:rFonts w:ascii="Times New Roman" w:hAnsi="Times New Roman"/>
            <w:noProof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FC62BA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117058" w:rsidRPr="00EF6AD3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D054F2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D054F2">
        <w:rPr>
          <w:rFonts w:ascii="Times New Roman" w:hAnsi="Times New Roman"/>
          <w:b/>
          <w:sz w:val="22"/>
          <w:szCs w:val="22"/>
          <w:lang w:val="sk-SK"/>
        </w:rPr>
        <w:t xml:space="preserve">4.9 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D054F2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:rsidR="00117058" w:rsidRPr="004567BC" w:rsidRDefault="00117058" w:rsidP="004C044D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404E4B" w:rsidRDefault="00117058" w:rsidP="004849E0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404E4B">
        <w:rPr>
          <w:rFonts w:ascii="Times New Roman" w:hAnsi="Times New Roman"/>
          <w:sz w:val="22"/>
          <w:szCs w:val="22"/>
        </w:rPr>
        <w:t xml:space="preserve">Nepredpokladá sa žiadne riziko akútnej intoxikácie, pretože je nepravdepodobné, že by došlo k predávkovaniu prostredníctvom </w:t>
      </w:r>
      <w:r w:rsidRPr="00DA7801">
        <w:rPr>
          <w:rFonts w:ascii="Times New Roman" w:hAnsi="Times New Roman"/>
          <w:sz w:val="22"/>
          <w:szCs w:val="22"/>
        </w:rPr>
        <w:t>jedin</w:t>
      </w:r>
      <w:r>
        <w:rPr>
          <w:rFonts w:ascii="Times New Roman" w:hAnsi="Times New Roman"/>
          <w:sz w:val="22"/>
          <w:szCs w:val="22"/>
        </w:rPr>
        <w:t>ého</w:t>
      </w:r>
      <w:r w:rsidRPr="00DA7801">
        <w:rPr>
          <w:rFonts w:ascii="Times New Roman" w:hAnsi="Times New Roman"/>
          <w:sz w:val="22"/>
          <w:szCs w:val="22"/>
        </w:rPr>
        <w:t xml:space="preserve"> kožn</w:t>
      </w:r>
      <w:r>
        <w:rPr>
          <w:rFonts w:ascii="Times New Roman" w:hAnsi="Times New Roman"/>
          <w:sz w:val="22"/>
          <w:szCs w:val="22"/>
        </w:rPr>
        <w:t>ého</w:t>
      </w:r>
      <w:r w:rsidRPr="00DA780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podania</w:t>
      </w:r>
      <w:r w:rsidRPr="00DA7801">
        <w:rPr>
          <w:rFonts w:ascii="Times New Roman" w:hAnsi="Times New Roman"/>
          <w:sz w:val="22"/>
          <w:szCs w:val="22"/>
        </w:rPr>
        <w:t xml:space="preserve"> </w:t>
      </w:r>
      <w:r w:rsidRPr="00404E4B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podanie</w:t>
      </w:r>
      <w:r w:rsidRPr="00404E4B">
        <w:rPr>
          <w:rFonts w:ascii="Times New Roman" w:hAnsi="Times New Roman"/>
          <w:sz w:val="22"/>
          <w:szCs w:val="22"/>
        </w:rPr>
        <w:t xml:space="preserve"> na veľkú plochu a to v podmienkach priaznivých pre absorpciu) alebo prostredníctvom neúmyselného perorálneho požitia.</w:t>
      </w:r>
    </w:p>
    <w:p w:rsidR="00117058" w:rsidRPr="00404E4B" w:rsidRDefault="00117058" w:rsidP="00BB4AB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F132B1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132B1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F132B1">
        <w:rPr>
          <w:rFonts w:ascii="Times New Roman" w:hAnsi="Times New Roman"/>
          <w:b/>
          <w:sz w:val="22"/>
          <w:szCs w:val="22"/>
          <w:lang w:val="sk-SK"/>
        </w:rPr>
        <w:tab/>
        <w:t>FARMAKOLOGICKÉ VLASTNOSTI</w:t>
      </w:r>
    </w:p>
    <w:p w:rsidR="00117058" w:rsidRPr="00F645B1" w:rsidRDefault="00117058" w:rsidP="00AB3A9A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117058" w:rsidRPr="004C044D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B3A9A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AB3A9A">
        <w:rPr>
          <w:rFonts w:ascii="Times New Roman" w:hAnsi="Times New Roman"/>
          <w:b/>
          <w:sz w:val="22"/>
          <w:szCs w:val="22"/>
          <w:lang w:val="sk-SK"/>
        </w:rPr>
        <w:tab/>
        <w:t>Farmakodynamické vlastnosti</w:t>
      </w:r>
    </w:p>
    <w:p w:rsidR="00117058" w:rsidRPr="004849E0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F645B1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BB4ABA">
        <w:rPr>
          <w:rFonts w:ascii="Times New Roman" w:hAnsi="Times New Roman"/>
          <w:sz w:val="22"/>
          <w:szCs w:val="22"/>
          <w:lang w:val="sk-SK"/>
        </w:rPr>
        <w:t xml:space="preserve">Farmakoterapeutická skupina: </w:t>
      </w:r>
      <w:r w:rsidRPr="00F355E3">
        <w:rPr>
          <w:rFonts w:ascii="Times New Roman" w:hAnsi="Times New Roman"/>
          <w:sz w:val="22"/>
          <w:szCs w:val="22"/>
          <w:lang w:val="sk-SK"/>
        </w:rPr>
        <w:t>antimykotiká používané v dermatológii, imidazolové a triazolové deriváty</w:t>
      </w:r>
    </w:p>
    <w:p w:rsidR="00117058" w:rsidRPr="00404E4B" w:rsidRDefault="00117058" w:rsidP="00AB3A9A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>ATC kód: D01AC60</w:t>
      </w:r>
    </w:p>
    <w:p w:rsidR="00117058" w:rsidRPr="00404E4B" w:rsidRDefault="00117058" w:rsidP="004C044D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EF6AD3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noProof/>
          <w:sz w:val="22"/>
          <w:szCs w:val="22"/>
          <w:u w:val="single"/>
          <w:lang w:val="sk-SK"/>
        </w:rPr>
        <w:t>Mechanizmus účinku</w:t>
      </w:r>
    </w:p>
    <w:p w:rsidR="00117058" w:rsidRPr="00795AA9" w:rsidRDefault="00117058" w:rsidP="004C044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Bifonazol je imidazolový derivát so širokým antimykotickým spektrom účinku, ktoré zahŕňa dermatofyty, kvasinky, plesne a iné huby. Močovina pôsobí keratoplasticky.</w:t>
      </w:r>
    </w:p>
    <w:p w:rsidR="00117058" w:rsidRPr="00404E4B" w:rsidRDefault="00117058" w:rsidP="004849E0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F132B1" w:rsidRDefault="00117058" w:rsidP="00BB4AB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F132B1">
        <w:rPr>
          <w:rFonts w:ascii="Times New Roman" w:hAnsi="Times New Roman"/>
          <w:sz w:val="22"/>
          <w:szCs w:val="22"/>
        </w:rPr>
        <w:t>Bifonazol inhibuje biosyntézu ergosterolu na dvoch rôznych úrovniach</w:t>
      </w:r>
      <w:r>
        <w:rPr>
          <w:rFonts w:ascii="Times New Roman" w:hAnsi="Times New Roman"/>
          <w:sz w:val="22"/>
          <w:szCs w:val="22"/>
        </w:rPr>
        <w:t>,</w:t>
      </w:r>
      <w:r w:rsidRPr="00F132B1">
        <w:rPr>
          <w:rFonts w:ascii="Times New Roman" w:hAnsi="Times New Roman"/>
          <w:sz w:val="22"/>
          <w:szCs w:val="22"/>
        </w:rPr>
        <w:t xml:space="preserve"> na rozdiel od azolových derivátov a od ostatných antimykotík, ktoré pôsobia iba na jednej úrovni</w:t>
      </w:r>
      <w:r>
        <w:rPr>
          <w:rFonts w:ascii="Times New Roman" w:hAnsi="Times New Roman"/>
          <w:sz w:val="22"/>
          <w:szCs w:val="22"/>
        </w:rPr>
        <w:t>.</w:t>
      </w:r>
      <w:r w:rsidRPr="00F132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Inhibícia syntézy ergosterolu </w:t>
      </w:r>
      <w:r w:rsidRPr="00F132B1">
        <w:rPr>
          <w:rFonts w:ascii="Times New Roman" w:hAnsi="Times New Roman"/>
          <w:sz w:val="22"/>
          <w:szCs w:val="22"/>
        </w:rPr>
        <w:t>vedie k poruchám štruktúry a funkcie cytoplazmatickej membrány.</w:t>
      </w:r>
    </w:p>
    <w:p w:rsidR="00117058" w:rsidRPr="00795AA9" w:rsidRDefault="00117058" w:rsidP="00795AA9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117058" w:rsidRPr="00F355E3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lastRenderedPageBreak/>
        <w:t xml:space="preserve">Hodnoty minimálnej inhibičnej koncentrácie (MIC) pre uvedené typy húb sú v rozmedzí 0,062 – 16 µg/ml. Bifonazol vykazuje fungicídny účinok proti dermatofytom, predovšetkým </w:t>
      </w:r>
      <w:r w:rsidRPr="00F355E3">
        <w:rPr>
          <w:rFonts w:ascii="Times New Roman" w:hAnsi="Times New Roman"/>
          <w:i/>
          <w:sz w:val="22"/>
          <w:szCs w:val="22"/>
          <w:lang w:val="sk-SK"/>
        </w:rPr>
        <w:t>Trichophyton spp.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, ktorý sa dosiahne pri koncentrácií 5 µg/ml a expozícii 6 hodín. Účinok bifonazolu na kvasinky, napr. </w:t>
      </w:r>
      <w:r w:rsidRPr="00F355E3">
        <w:rPr>
          <w:rFonts w:ascii="Times New Roman" w:hAnsi="Times New Roman"/>
          <w:i/>
          <w:sz w:val="22"/>
          <w:szCs w:val="22"/>
          <w:lang w:val="sk-SK"/>
        </w:rPr>
        <w:t>Candida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je pri koncentrácii 1 – 4 µg/ml fungistatický, pri koncentrácii 20 µg/ml fungicídny. U grampozitívnych kokov s výnimkou enterokokov sú hodnoty MIC bifonazolu v rozmedzí 4 – 16 µg/ml. U korynebaktérií je MIC medzi 0,5 – 2 µg/ml. </w:t>
      </w:r>
      <w:r w:rsidRPr="00EF6AD3">
        <w:rPr>
          <w:rFonts w:ascii="Times New Roman" w:hAnsi="Times New Roman"/>
          <w:sz w:val="22"/>
          <w:szCs w:val="22"/>
          <w:lang w:val="sk-SK"/>
        </w:rPr>
        <w:t>Z hľadiska rezistencie je situ</w:t>
      </w:r>
      <w:r w:rsidRPr="00D054F2">
        <w:rPr>
          <w:rFonts w:ascii="Times New Roman" w:hAnsi="Times New Roman"/>
          <w:sz w:val="22"/>
          <w:szCs w:val="22"/>
          <w:lang w:val="sk-SK"/>
        </w:rPr>
        <w:t>ácia pri bifonazol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D054F2">
        <w:rPr>
          <w:rFonts w:ascii="Times New Roman" w:hAnsi="Times New Roman"/>
          <w:sz w:val="22"/>
          <w:szCs w:val="22"/>
          <w:lang w:val="sk-SK"/>
        </w:rPr>
        <w:t xml:space="preserve"> priaznivá. </w:t>
      </w:r>
      <w:r w:rsidRPr="00F355E3">
        <w:rPr>
          <w:rFonts w:ascii="Times New Roman" w:hAnsi="Times New Roman"/>
          <w:sz w:val="22"/>
          <w:szCs w:val="22"/>
          <w:lang w:val="sk-SK"/>
        </w:rPr>
        <w:t>Primárne rezistentné kmene sú vzácne. Výskumy doteraz nepreukázali vývoj sekundárnej rezistencie u primárne citlivých kmeňov.</w:t>
      </w:r>
    </w:p>
    <w:p w:rsidR="00117058" w:rsidRPr="00F355E3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 xml:space="preserve">Močovina je prirodzene sa vyskytujúcou látkou, ktorá sa nachádza napr. v ľudskom tele. Pri používaní dermálnej masti sa keratín infikovaného nechtu zmäkčuje prostredníctvom močoviny, čo umožňuje neinvazívne a bezbolestné odstránenie infikovaného nechtu. Okrem toho </w:t>
      </w:r>
      <w:r w:rsidRPr="00F355E3">
        <w:rPr>
          <w:rFonts w:ascii="Times New Roman" w:hAnsi="Times New Roman"/>
          <w:i/>
          <w:sz w:val="22"/>
          <w:szCs w:val="22"/>
          <w:lang w:val="sk-SK"/>
        </w:rPr>
        <w:t>in vitro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štúdie preukázali, že na infikovaných nechtoch nôh močovina zlepšuje penetráciu bifonazolu. Kombinácia týchto látok teda zlepšuje antimykotický účinok.</w:t>
      </w:r>
    </w:p>
    <w:p w:rsidR="00117058" w:rsidRPr="00F355E3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17058" w:rsidRPr="00EF6AD3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EF6AD3">
        <w:rPr>
          <w:rFonts w:ascii="Times New Roman" w:hAnsi="Times New Roman"/>
          <w:b/>
          <w:sz w:val="22"/>
          <w:szCs w:val="22"/>
          <w:lang w:val="sk-SK"/>
        </w:rPr>
        <w:t>5.2.</w:t>
      </w:r>
      <w:r w:rsidRPr="00EF6AD3">
        <w:rPr>
          <w:rFonts w:ascii="Times New Roman" w:hAnsi="Times New Roman"/>
          <w:b/>
          <w:sz w:val="22"/>
          <w:szCs w:val="22"/>
          <w:lang w:val="sk-SK"/>
        </w:rPr>
        <w:tab/>
        <w:t xml:space="preserve"> Farmakokinetické vlastnosti</w:t>
      </w:r>
    </w:p>
    <w:p w:rsidR="00117058" w:rsidRPr="00D054F2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795AA9">
        <w:rPr>
          <w:rFonts w:ascii="Times New Roman" w:hAnsi="Times New Roman"/>
          <w:sz w:val="22"/>
          <w:szCs w:val="22"/>
          <w:u w:val="single"/>
          <w:lang w:val="sk-SK"/>
        </w:rPr>
        <w:t>Absorpcia</w:t>
      </w: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Príslušné plazmatické hladiny</w:t>
      </w:r>
      <w:r>
        <w:rPr>
          <w:rFonts w:ascii="Times New Roman" w:hAnsi="Times New Roman"/>
          <w:sz w:val="22"/>
          <w:szCs w:val="22"/>
          <w:lang w:val="sk-SK"/>
        </w:rPr>
        <w:t xml:space="preserve"> bifonazolu</w:t>
      </w:r>
      <w:r w:rsidRPr="00795AA9">
        <w:rPr>
          <w:rFonts w:ascii="Times New Roman" w:hAnsi="Times New Roman"/>
          <w:sz w:val="22"/>
          <w:szCs w:val="22"/>
          <w:lang w:val="sk-SK"/>
        </w:rPr>
        <w:t>, ktoré boli výsledkom lieč</w:t>
      </w:r>
      <w:r>
        <w:rPr>
          <w:rFonts w:ascii="Times New Roman" w:hAnsi="Times New Roman"/>
          <w:sz w:val="22"/>
          <w:szCs w:val="22"/>
          <w:lang w:val="sk-SK"/>
        </w:rPr>
        <w:t>by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dermálnou masťou s obsahom bifonazolu</w:t>
      </w:r>
      <w:r w:rsidRPr="00795AA9">
        <w:rPr>
          <w:rFonts w:ascii="Times New Roman" w:hAnsi="Times New Roman"/>
          <w:sz w:val="22"/>
          <w:szCs w:val="22"/>
          <w:lang w:val="sk-SK"/>
        </w:rPr>
        <w:t>, boli vždy nižšie ako detekčný limit bifonazolu (tzn. &lt; 1 ng/ml).</w:t>
      </w:r>
    </w:p>
    <w:p w:rsidR="00117058" w:rsidRPr="00D054F2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EF6AD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17058" w:rsidRPr="00404E4B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4567BC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117058" w:rsidRPr="00404E4B" w:rsidRDefault="00117058" w:rsidP="00AB3A9A">
      <w:pPr>
        <w:pStyle w:val="Nadpis1"/>
        <w:spacing w:line="240" w:lineRule="auto"/>
        <w:jc w:val="left"/>
        <w:rPr>
          <w:rFonts w:ascii="Times New Roman" w:hAnsi="Times New Roman"/>
          <w:b/>
          <w:i/>
          <w:sz w:val="22"/>
          <w:szCs w:val="22"/>
          <w:u w:val="none"/>
        </w:rPr>
      </w:pPr>
    </w:p>
    <w:p w:rsidR="00117058" w:rsidRPr="00F645B1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 xml:space="preserve">Predklinické údaje na základe obvyklých </w:t>
      </w:r>
      <w:r>
        <w:rPr>
          <w:rFonts w:ascii="Times New Roman" w:hAnsi="Times New Roman"/>
          <w:sz w:val="22"/>
          <w:szCs w:val="22"/>
          <w:lang w:val="sk-SK"/>
        </w:rPr>
        <w:t xml:space="preserve">farmakologických </w:t>
      </w:r>
      <w:r w:rsidRPr="00404E4B">
        <w:rPr>
          <w:rFonts w:ascii="Times New Roman" w:hAnsi="Times New Roman"/>
          <w:sz w:val="22"/>
          <w:szCs w:val="22"/>
          <w:lang w:val="sk-SK"/>
        </w:rPr>
        <w:t xml:space="preserve">štúdií bezpečnosti, toxicity po jednorazovom podaní a genotoxicity neodhalili žiadne osobitné riziko pre ľudí. Účinky na pečeň </w:t>
      </w:r>
      <w:r w:rsidRPr="00404E4B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(indukcia enzýmov, odbúravanie tukov) sa pozorovali v štúdiách toxicity po opakovanom perorálnom podávaní, no iba pri expozíciách presahujúcich maximálne expozície u ľudí, </w:t>
      </w:r>
      <w:r w:rsidRPr="00F132B1">
        <w:rPr>
          <w:rFonts w:ascii="Times New Roman" w:hAnsi="Times New Roman"/>
          <w:noProof/>
          <w:sz w:val="22"/>
          <w:szCs w:val="22"/>
          <w:lang w:val="sk-SK"/>
        </w:rPr>
        <w:t xml:space="preserve">čo poukazuje na malý význam pre klinické použitie. </w:t>
      </w:r>
      <w:r w:rsidRPr="00F645B1">
        <w:rPr>
          <w:rFonts w:ascii="Times New Roman" w:hAnsi="Times New Roman"/>
          <w:iCs/>
          <w:spacing w:val="-4"/>
          <w:sz w:val="22"/>
          <w:szCs w:val="22"/>
          <w:lang w:val="sk-SK"/>
        </w:rPr>
        <w:t>Štúdie karcinogenity s bifonazolom sa nevykonali.</w:t>
      </w:r>
    </w:p>
    <w:p w:rsidR="00117058" w:rsidRPr="00AB3A9A" w:rsidRDefault="00117058" w:rsidP="00514227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</w:p>
    <w:p w:rsidR="00117058" w:rsidRPr="00EF6AD3" w:rsidRDefault="00117058" w:rsidP="005142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Štúdie reprodukčnej toxicity na  králikoch s perorálnymi dávkami 30 mg/kg telesnej hmotnosti  viedli k embryotoxicite, vrátane letality.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U potkanov nebol bifonazol embryotoxický v perorálnych dávkach do 100 mg/kg telesnej hmotnosti, ale pri dávke 100 mg/kg sa </w:t>
      </w:r>
      <w:r>
        <w:rPr>
          <w:rFonts w:ascii="Times New Roman" w:hAnsi="Times New Roman"/>
          <w:sz w:val="22"/>
          <w:szCs w:val="22"/>
          <w:lang w:val="sk-SK"/>
        </w:rPr>
        <w:t xml:space="preserve">u plodu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pozoroval retardovaný vývoj skeletu. Tento účinok na </w:t>
      </w:r>
      <w:r>
        <w:rPr>
          <w:rFonts w:ascii="Times New Roman" w:hAnsi="Times New Roman"/>
          <w:sz w:val="22"/>
          <w:szCs w:val="22"/>
          <w:lang w:val="sk-SK"/>
        </w:rPr>
        <w:t xml:space="preserve">fetálny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vývoj skeletu sa môže považovať za sekundárny účinok v dôsledku maternálnej toxicity (redukcia telesnej hmotnosti). Vzhľadom na nízku absorpciu liečiva cez kožu </w:t>
      </w:r>
      <w:r w:rsidRPr="00795AA9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majú tieto nálezy malý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význam pre klinické použitie.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U potkanov s perorálnymi dávkami do 40 mg/kg telesnej hmotnosti sa nepozorovalo žiadne poškodenie fertility samcov a samíc.</w:t>
      </w:r>
    </w:p>
    <w:p w:rsidR="00117058" w:rsidRPr="00D054F2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Neklinické údaje ne</w:t>
      </w:r>
      <w:r>
        <w:rPr>
          <w:rFonts w:ascii="Times New Roman" w:hAnsi="Times New Roman"/>
          <w:sz w:val="22"/>
          <w:szCs w:val="22"/>
          <w:lang w:val="sk-SK"/>
        </w:rPr>
        <w:t>naznač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ujú žiadne špeciálne nebezpečenstvo pre ľudí, ktoré by vyplývalo z použitia močoviny, a to na základe bežných štúdií jednodávkovej toxicity, toxicity </w:t>
      </w:r>
      <w:r>
        <w:rPr>
          <w:rFonts w:ascii="Times New Roman" w:hAnsi="Times New Roman"/>
          <w:sz w:val="22"/>
          <w:szCs w:val="22"/>
          <w:lang w:val="sk-SK"/>
        </w:rPr>
        <w:t>po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opakovanej dávke, štúdii karcinogénneho potenciálu a reprodukčnej a vývojovej toxicity.</w:t>
      </w: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Š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túdie </w:t>
      </w:r>
      <w:r>
        <w:rPr>
          <w:rFonts w:ascii="Times New Roman" w:hAnsi="Times New Roman"/>
          <w:sz w:val="22"/>
          <w:szCs w:val="22"/>
          <w:lang w:val="sk-SK"/>
        </w:rPr>
        <w:t xml:space="preserve">genotoxicity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poskytli zmiešané výsledky. Genotoxické účinky hlásené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niektorých štúdiách môžu súvisieť s rozvinutím DNA pri koncentráciách močoviny, </w:t>
      </w:r>
      <w:r>
        <w:rPr>
          <w:rFonts w:ascii="Times New Roman" w:hAnsi="Times New Roman"/>
          <w:sz w:val="22"/>
          <w:szCs w:val="22"/>
          <w:lang w:val="sk-SK"/>
        </w:rPr>
        <w:t xml:space="preserve">ktoré výrazne prekračujú 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maximálnu expozíciu </w:t>
      </w:r>
      <w:r>
        <w:rPr>
          <w:rFonts w:ascii="Times New Roman" w:hAnsi="Times New Roman"/>
          <w:sz w:val="22"/>
          <w:szCs w:val="22"/>
          <w:lang w:val="sk-SK"/>
        </w:rPr>
        <w:t xml:space="preserve">u ľudí, a preto sú </w:t>
      </w:r>
      <w:r w:rsidRPr="00795AA9">
        <w:rPr>
          <w:rFonts w:ascii="Times New Roman" w:hAnsi="Times New Roman"/>
          <w:sz w:val="22"/>
          <w:szCs w:val="22"/>
          <w:lang w:val="sk-SK"/>
        </w:rPr>
        <w:t>minimálne relevantné pre klinické použitie.</w:t>
      </w:r>
    </w:p>
    <w:p w:rsidR="00117058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Znášanlivosť dermálnej masti bifonazolu sa hodnotila v štúdiách subakútnej toxicity po dermálnom podaní na králikoch. Podanie dávky 300 mg dermálnej masti/kg telesnej hmotnosti (čo zodpovedá 3 mg bifonazolu/kg telesnej hmotnosti a 120 mg močoviny/kg telesnej hmotnosti) nepreukázali látkovo špecifické poškodenie kože alebo vnútorných orgánov. Nevyskytla sa žiadna ulcerácia liečených oblastí kože. Lokálna znášanlivosť dermálnej masti bifonazolu bola dobrá.</w:t>
      </w:r>
    </w:p>
    <w:p w:rsidR="00117058" w:rsidRDefault="00117058" w:rsidP="00795AA9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  <w:lang w:val="sk-SK"/>
        </w:rPr>
      </w:pPr>
    </w:p>
    <w:p w:rsidR="00117058" w:rsidRPr="00F355E3" w:rsidRDefault="00117058" w:rsidP="005142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F355E3">
        <w:rPr>
          <w:rFonts w:ascii="Times New Roman" w:hAnsi="Times New Roman"/>
          <w:sz w:val="22"/>
          <w:szCs w:val="22"/>
          <w:lang w:val="sk-SK"/>
        </w:rPr>
        <w:t xml:space="preserve">Štúdie peri- a postnatálneho vývoja na potkanoch preukázali, že dávka toxická pre matku 40 mg/kg je smrteľná pre plod. Avšak dávka 20 mg/kg nemala žiaden nežiaduci účinok na samicu ani peri- a postnatálny vývoj mláďať. </w:t>
      </w:r>
    </w:p>
    <w:p w:rsidR="00117058" w:rsidRPr="00F355E3" w:rsidRDefault="00117058" w:rsidP="005142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795AA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B</w:t>
      </w:r>
      <w:r w:rsidRPr="00A94490">
        <w:rPr>
          <w:rFonts w:ascii="Times New Roman" w:hAnsi="Times New Roman"/>
          <w:sz w:val="22"/>
          <w:szCs w:val="22"/>
          <w:lang w:val="sk-SK"/>
        </w:rPr>
        <w:t xml:space="preserve">ifonazol prechádza cez placentálnu bariéru. V štúdii s </w:t>
      </w:r>
      <w:r>
        <w:rPr>
          <w:rFonts w:ascii="Times New Roman" w:hAnsi="Times New Roman"/>
          <w:sz w:val="22"/>
          <w:szCs w:val="22"/>
          <w:lang w:val="sk-SK"/>
        </w:rPr>
        <w:t>dojčiacimi</w:t>
      </w:r>
      <w:r w:rsidRPr="00A94490">
        <w:rPr>
          <w:rFonts w:ascii="Times New Roman" w:hAnsi="Times New Roman"/>
          <w:sz w:val="22"/>
          <w:szCs w:val="22"/>
          <w:lang w:val="sk-SK"/>
        </w:rPr>
        <w:t xml:space="preserve"> potkanmi, ktorým sa intravenózne podával bifonazol, sa </w:t>
      </w:r>
      <w:r>
        <w:rPr>
          <w:rFonts w:ascii="Times New Roman" w:hAnsi="Times New Roman"/>
          <w:sz w:val="22"/>
          <w:szCs w:val="22"/>
          <w:lang w:val="sk-SK"/>
        </w:rPr>
        <w:t>preu</w:t>
      </w:r>
      <w:r w:rsidRPr="00A94490">
        <w:rPr>
          <w:rFonts w:ascii="Times New Roman" w:hAnsi="Times New Roman"/>
          <w:sz w:val="22"/>
          <w:szCs w:val="22"/>
          <w:lang w:val="sk-SK"/>
        </w:rPr>
        <w:t>kázalo</w:t>
      </w:r>
      <w:r>
        <w:rPr>
          <w:rFonts w:ascii="Times New Roman" w:hAnsi="Times New Roman"/>
          <w:sz w:val="22"/>
          <w:szCs w:val="22"/>
          <w:lang w:val="sk-SK"/>
        </w:rPr>
        <w:t xml:space="preserve"> jeho</w:t>
      </w:r>
      <w:r w:rsidRPr="00A94490">
        <w:rPr>
          <w:rFonts w:ascii="Times New Roman" w:hAnsi="Times New Roman"/>
          <w:sz w:val="22"/>
          <w:szCs w:val="22"/>
          <w:lang w:val="sk-SK"/>
        </w:rPr>
        <w:t xml:space="preserve"> vyluč</w:t>
      </w:r>
      <w:r>
        <w:rPr>
          <w:rFonts w:ascii="Times New Roman" w:hAnsi="Times New Roman"/>
          <w:sz w:val="22"/>
          <w:szCs w:val="22"/>
          <w:lang w:val="sk-SK"/>
        </w:rPr>
        <w:t>ovanie</w:t>
      </w:r>
      <w:r w:rsidRPr="00A94490">
        <w:rPr>
          <w:rFonts w:ascii="Times New Roman" w:hAnsi="Times New Roman"/>
          <w:sz w:val="22"/>
          <w:szCs w:val="22"/>
          <w:lang w:val="sk-SK"/>
        </w:rPr>
        <w:t xml:space="preserve"> do mlieka.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Nie </w:t>
      </w:r>
      <w:r w:rsidRPr="00F355E3">
        <w:rPr>
          <w:rFonts w:ascii="Times New Roman" w:hAnsi="Times New Roman"/>
          <w:noProof/>
          <w:sz w:val="22"/>
          <w:szCs w:val="22"/>
          <w:lang w:val="sk-SK"/>
        </w:rPr>
        <w:t>sú k dispozícii údaje o použití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bifonazolu u gravidných a dojčiacich žien. </w:t>
      </w:r>
    </w:p>
    <w:p w:rsidR="00117058" w:rsidRPr="00F355E3" w:rsidRDefault="00117058" w:rsidP="003B7F7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3B7F7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>Testy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mutagenity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i/>
          <w:sz w:val="22"/>
          <w:szCs w:val="22"/>
        </w:rPr>
        <w:t>in vitro</w:t>
      </w:r>
      <w:r w:rsidRPr="00FD464F">
        <w:rPr>
          <w:rFonts w:ascii="Times New Roman" w:hAnsi="Times New Roman"/>
          <w:sz w:val="22"/>
          <w:szCs w:val="22"/>
        </w:rPr>
        <w:t xml:space="preserve"> a </w:t>
      </w:r>
      <w:r w:rsidRPr="00FD464F">
        <w:rPr>
          <w:rFonts w:ascii="Times New Roman" w:hAnsi="Times New Roman"/>
          <w:i/>
          <w:sz w:val="22"/>
          <w:szCs w:val="22"/>
        </w:rPr>
        <w:t>in vivo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nepreukázali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mutagénny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potenciál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 w:rsidRPr="00FD464F">
        <w:rPr>
          <w:rFonts w:ascii="Times New Roman" w:hAnsi="Times New Roman"/>
          <w:sz w:val="22"/>
          <w:szCs w:val="22"/>
        </w:rPr>
        <w:t>.</w:t>
      </w:r>
    </w:p>
    <w:p w:rsidR="00117058" w:rsidRPr="004C044D" w:rsidRDefault="00117058" w:rsidP="00BB4ABA">
      <w:pPr>
        <w:pStyle w:val="Nadpis1"/>
        <w:spacing w:line="240" w:lineRule="auto"/>
        <w:jc w:val="left"/>
        <w:rPr>
          <w:rFonts w:ascii="Times New Roman" w:hAnsi="Times New Roman"/>
          <w:bCs/>
          <w:iCs/>
          <w:sz w:val="22"/>
          <w:szCs w:val="22"/>
          <w:u w:val="none"/>
        </w:rPr>
      </w:pPr>
      <w:r w:rsidRPr="004C044D">
        <w:rPr>
          <w:rFonts w:ascii="Times New Roman" w:hAnsi="Times New Roman"/>
          <w:bCs/>
          <w:iCs/>
          <w:sz w:val="22"/>
          <w:szCs w:val="22"/>
          <w:u w:val="none"/>
        </w:rPr>
        <w:t xml:space="preserve">   </w:t>
      </w:r>
    </w:p>
    <w:p w:rsidR="00117058" w:rsidRPr="004849E0" w:rsidRDefault="00117058" w:rsidP="00795AA9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117058" w:rsidRPr="004849E0" w:rsidRDefault="00117058" w:rsidP="00795AA9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849E0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4849E0">
        <w:rPr>
          <w:rFonts w:ascii="Times New Roman" w:hAnsi="Times New Roman"/>
          <w:b/>
          <w:sz w:val="22"/>
          <w:szCs w:val="22"/>
          <w:lang w:val="sk-SK"/>
        </w:rPr>
        <w:tab/>
        <w:t>FARMACEUTICKÉ INFORMÁCIE</w:t>
      </w:r>
    </w:p>
    <w:p w:rsidR="00117058" w:rsidRPr="00BB4ABA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795AA9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4C044D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</w:t>
      </w:r>
      <w:r w:rsidRPr="004C044D">
        <w:rPr>
          <w:rFonts w:ascii="Times New Roman" w:hAnsi="Times New Roman"/>
          <w:sz w:val="22"/>
          <w:szCs w:val="22"/>
          <w:lang w:val="sk-SK"/>
        </w:rPr>
        <w:t>anolín</w:t>
      </w:r>
    </w:p>
    <w:p w:rsidR="00117058" w:rsidRDefault="00117058" w:rsidP="004C044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4C044D">
        <w:rPr>
          <w:rFonts w:ascii="Times New Roman" w:hAnsi="Times New Roman"/>
          <w:sz w:val="22"/>
          <w:szCs w:val="22"/>
          <w:lang w:val="sk-SK"/>
        </w:rPr>
        <w:t>biely vosk</w:t>
      </w:r>
    </w:p>
    <w:p w:rsidR="00117058" w:rsidRPr="004C044D" w:rsidRDefault="00117058" w:rsidP="004C044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4C044D">
        <w:rPr>
          <w:rFonts w:ascii="Times New Roman" w:hAnsi="Times New Roman"/>
          <w:sz w:val="22"/>
          <w:szCs w:val="22"/>
          <w:lang w:val="sk-SK"/>
        </w:rPr>
        <w:t>biela vazelína</w:t>
      </w:r>
    </w:p>
    <w:p w:rsidR="00117058" w:rsidRPr="00514227" w:rsidRDefault="00117058" w:rsidP="00514227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849E0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849E0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4849E0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117058" w:rsidRPr="00BB4ABA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BB4ABA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 w:rsidRPr="00BB4ABA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117058" w:rsidRPr="00795AA9" w:rsidRDefault="00117058" w:rsidP="00514227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795AA9">
        <w:rPr>
          <w:rFonts w:ascii="Times New Roman" w:hAnsi="Times New Roman"/>
          <w:b/>
          <w:sz w:val="22"/>
          <w:szCs w:val="22"/>
          <w:lang w:val="sk-SK"/>
        </w:rPr>
        <w:t>6.3.</w:t>
      </w:r>
      <w:r w:rsidRPr="00795AA9"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:rsidR="00117058" w:rsidRPr="00795AA9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3 roky</w:t>
      </w:r>
    </w:p>
    <w:p w:rsidR="008D60EA" w:rsidRPr="00B95022" w:rsidRDefault="008D60EA" w:rsidP="008D60E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prvom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otvorení</w:t>
      </w:r>
      <w:proofErr w:type="spellEnd"/>
      <w:r>
        <w:rPr>
          <w:sz w:val="22"/>
          <w:szCs w:val="22"/>
        </w:rPr>
        <w:t xml:space="preserve">: 3 </w:t>
      </w:r>
      <w:proofErr w:type="spellStart"/>
      <w:r>
        <w:rPr>
          <w:sz w:val="22"/>
          <w:szCs w:val="22"/>
        </w:rPr>
        <w:t>mesiace</w:t>
      </w:r>
      <w:proofErr w:type="spellEnd"/>
    </w:p>
    <w:p w:rsidR="008D60EA" w:rsidRPr="00795AA9" w:rsidRDefault="008D60EA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514227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795AA9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EF6AD3" w:rsidRDefault="00117058" w:rsidP="004C044D">
      <w:pPr>
        <w:tabs>
          <w:tab w:val="left" w:pos="720"/>
          <w:tab w:val="left" w:pos="1584"/>
          <w:tab w:val="left" w:pos="2448"/>
          <w:tab w:val="left" w:pos="5927"/>
        </w:tabs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 xml:space="preserve">Uchovávajte pri teplote do </w:t>
      </w:r>
      <w:r w:rsidR="00747207">
        <w:rPr>
          <w:rFonts w:ascii="Times New Roman" w:hAnsi="Times New Roman"/>
          <w:sz w:val="22"/>
          <w:szCs w:val="22"/>
          <w:lang w:val="sk-SK"/>
        </w:rPr>
        <w:t>30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F6AD3">
        <w:rPr>
          <w:rFonts w:ascii="Times New Roman" w:hAnsi="Times New Roman"/>
          <w:sz w:val="22"/>
          <w:szCs w:val="22"/>
          <w:lang w:val="sk-SK"/>
        </w:rPr>
        <w:t>°C.</w:t>
      </w:r>
      <w:r w:rsidRPr="00EF6AD3">
        <w:rPr>
          <w:rFonts w:ascii="Times New Roman" w:hAnsi="Times New Roman"/>
          <w:sz w:val="22"/>
          <w:szCs w:val="22"/>
          <w:lang w:val="sk-SK"/>
        </w:rPr>
        <w:tab/>
      </w:r>
    </w:p>
    <w:p w:rsidR="00117058" w:rsidRPr="00D054F2" w:rsidRDefault="00117058" w:rsidP="0051422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4567BC">
        <w:rPr>
          <w:rFonts w:ascii="Times New Roman" w:hAnsi="Times New Roman"/>
          <w:b/>
          <w:sz w:val="22"/>
          <w:szCs w:val="22"/>
          <w:lang w:val="sk-SK"/>
        </w:rPr>
        <w:tab/>
        <w:t>Druh obalu a obsah balenia</w:t>
      </w:r>
      <w:r w:rsidRPr="00404E4B">
        <w:rPr>
          <w:rFonts w:ascii="Times New Roman" w:hAnsi="Times New Roman"/>
          <w:b/>
          <w:color w:val="0000FF"/>
          <w:sz w:val="22"/>
          <w:szCs w:val="22"/>
          <w:lang w:val="sk-SK"/>
        </w:rPr>
        <w:t xml:space="preserve"> </w:t>
      </w:r>
    </w:p>
    <w:p w:rsidR="00117058" w:rsidRPr="00404E4B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F355E3" w:rsidRDefault="00117058" w:rsidP="00795AA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Canespor sada na nechty sa dodáva v</w:t>
      </w:r>
      <w:r w:rsidRPr="00F355E3">
        <w:rPr>
          <w:rFonts w:ascii="Times New Roman" w:hAnsi="Times New Roman"/>
          <w:sz w:val="22"/>
          <w:szCs w:val="22"/>
          <w:lang w:val="sk-SK"/>
        </w:rPr>
        <w:t xml:space="preserve"> hliníkovej tube spolu s 15 prúžkami vodovzdornej náplasti a 1 škrabkou na nechty.</w:t>
      </w:r>
    </w:p>
    <w:p w:rsidR="00117058" w:rsidRPr="00AB3A9A" w:rsidRDefault="00117058" w:rsidP="00AB3A9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C044D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Veľkosť balenia</w:t>
      </w:r>
      <w:r w:rsidRPr="004C044D">
        <w:rPr>
          <w:rFonts w:ascii="Times New Roman" w:hAnsi="Times New Roman"/>
          <w:sz w:val="22"/>
          <w:szCs w:val="22"/>
          <w:lang w:val="sk-SK"/>
        </w:rPr>
        <w:t>: 10 g masti</w:t>
      </w:r>
    </w:p>
    <w:p w:rsidR="00117058" w:rsidRPr="00514227" w:rsidRDefault="00117058" w:rsidP="00514227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849E0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4849E0">
        <w:rPr>
          <w:rFonts w:ascii="Times New Roman" w:hAnsi="Times New Roman"/>
          <w:b/>
          <w:sz w:val="22"/>
          <w:szCs w:val="22"/>
          <w:lang w:val="sk-SK"/>
        </w:rPr>
        <w:tab/>
      </w:r>
      <w:r w:rsidRPr="00BB4ABA">
        <w:rPr>
          <w:rFonts w:ascii="Times New Roman" w:hAnsi="Times New Roman"/>
          <w:b/>
          <w:bCs/>
          <w:sz w:val="22"/>
          <w:szCs w:val="22"/>
          <w:lang w:val="sk-SK"/>
        </w:rPr>
        <w:t>Špeciálne opatrenia na likvidáciu a iné zaobchádzanie s liekom</w:t>
      </w: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:rsidR="00117058" w:rsidRPr="00795AA9" w:rsidRDefault="00117058" w:rsidP="00514227">
      <w:pPr>
        <w:pStyle w:val="Pta"/>
        <w:tabs>
          <w:tab w:val="clear" w:pos="4819"/>
          <w:tab w:val="clear" w:pos="9071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4849E0">
      <w:pPr>
        <w:pStyle w:val="Pta"/>
        <w:tabs>
          <w:tab w:val="clear" w:pos="4819"/>
          <w:tab w:val="clear" w:pos="9071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795AA9">
        <w:rPr>
          <w:rFonts w:ascii="Times New Roman" w:hAnsi="Times New Roman"/>
          <w:b/>
          <w:sz w:val="22"/>
          <w:szCs w:val="22"/>
          <w:lang w:val="sk-SK"/>
        </w:rPr>
        <w:tab/>
        <w:t>DRŽITEĽ ROZHODNUTIA O REGISTRÁCII</w:t>
      </w:r>
    </w:p>
    <w:p w:rsidR="00117058" w:rsidRPr="00795AA9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795AA9" w:rsidRDefault="00117058" w:rsidP="004C044D">
      <w:pPr>
        <w:rPr>
          <w:rFonts w:ascii="Times New Roman" w:hAnsi="Times New Roman"/>
          <w:color w:val="000000"/>
          <w:sz w:val="22"/>
          <w:szCs w:val="22"/>
        </w:rPr>
      </w:pPr>
      <w:r w:rsidRPr="00795AA9">
        <w:rPr>
          <w:rFonts w:ascii="Times New Roman" w:hAnsi="Times New Roman"/>
          <w:color w:val="000000"/>
          <w:sz w:val="22"/>
          <w:szCs w:val="22"/>
        </w:rPr>
        <w:t xml:space="preserve">Bayer, </w:t>
      </w:r>
      <w:proofErr w:type="spellStart"/>
      <w:r w:rsidRPr="00795AA9">
        <w:rPr>
          <w:rFonts w:ascii="Times New Roman" w:hAnsi="Times New Roman"/>
          <w:color w:val="000000"/>
          <w:sz w:val="22"/>
          <w:szCs w:val="22"/>
        </w:rPr>
        <w:t>spol</w:t>
      </w:r>
      <w:proofErr w:type="spellEnd"/>
      <w:r w:rsidRPr="00795AA9">
        <w:rPr>
          <w:rFonts w:ascii="Times New Roman" w:hAnsi="Times New Roman"/>
          <w:color w:val="000000"/>
          <w:sz w:val="22"/>
          <w:szCs w:val="22"/>
        </w:rPr>
        <w:t xml:space="preserve">. s </w:t>
      </w:r>
      <w:proofErr w:type="spellStart"/>
      <w:r w:rsidRPr="00795AA9">
        <w:rPr>
          <w:rFonts w:ascii="Times New Roman" w:hAnsi="Times New Roman"/>
          <w:color w:val="000000"/>
          <w:sz w:val="22"/>
          <w:szCs w:val="22"/>
        </w:rPr>
        <w:t>r.o</w:t>
      </w:r>
      <w:proofErr w:type="spellEnd"/>
      <w:r w:rsidRPr="00795AA9">
        <w:rPr>
          <w:rFonts w:ascii="Times New Roman" w:hAnsi="Times New Roman"/>
          <w:color w:val="000000"/>
          <w:sz w:val="22"/>
          <w:szCs w:val="22"/>
        </w:rPr>
        <w:t>.</w:t>
      </w:r>
    </w:p>
    <w:p w:rsidR="00117058" w:rsidRPr="00E9665A" w:rsidRDefault="00117058" w:rsidP="00E9665A">
      <w:pPr>
        <w:rPr>
          <w:rFonts w:ascii="Times New Roman" w:hAnsi="Times New Roman"/>
          <w:bCs/>
          <w:sz w:val="22"/>
          <w:szCs w:val="22"/>
          <w:lang w:val="sk-SK" w:eastAsia="sk-SK"/>
        </w:rPr>
      </w:pPr>
      <w:r w:rsidRPr="00E9665A">
        <w:rPr>
          <w:rFonts w:ascii="Times New Roman" w:hAnsi="Times New Roman"/>
          <w:bCs/>
          <w:sz w:val="22"/>
          <w:szCs w:val="22"/>
          <w:lang w:val="sk-SK" w:eastAsia="sk-SK"/>
        </w:rPr>
        <w:t>Karadžičova 2</w:t>
      </w:r>
    </w:p>
    <w:p w:rsidR="00117058" w:rsidRPr="00795AA9" w:rsidRDefault="00117058" w:rsidP="004849E0">
      <w:pPr>
        <w:rPr>
          <w:rFonts w:ascii="Times New Roman" w:hAnsi="Times New Roman"/>
          <w:color w:val="000000"/>
          <w:sz w:val="22"/>
          <w:szCs w:val="22"/>
          <w:lang w:val="sv-SE"/>
        </w:rPr>
      </w:pPr>
      <w:r w:rsidRPr="00E9665A">
        <w:rPr>
          <w:rFonts w:ascii="Times New Roman" w:hAnsi="Times New Roman"/>
          <w:bCs/>
          <w:sz w:val="22"/>
          <w:szCs w:val="22"/>
          <w:lang w:val="sk-SK" w:eastAsia="sk-SK"/>
        </w:rPr>
        <w:t>811 09 Bratislava</w:t>
      </w:r>
    </w:p>
    <w:p w:rsidR="00117058" w:rsidRPr="00795AA9" w:rsidRDefault="00117058" w:rsidP="00BB4ABA">
      <w:pPr>
        <w:rPr>
          <w:rFonts w:ascii="Times New Roman" w:hAnsi="Times New Roman"/>
          <w:color w:val="000000"/>
          <w:sz w:val="22"/>
          <w:szCs w:val="22"/>
          <w:lang w:val="pt-PT"/>
        </w:rPr>
      </w:pPr>
      <w:r w:rsidRPr="00795AA9">
        <w:rPr>
          <w:rFonts w:ascii="Times New Roman" w:hAnsi="Times New Roman"/>
          <w:color w:val="000000"/>
          <w:sz w:val="22"/>
          <w:szCs w:val="22"/>
          <w:lang w:val="sv-SE"/>
        </w:rPr>
        <w:t>Slovenská republika</w:t>
      </w:r>
      <w:r w:rsidRPr="00795AA9">
        <w:rPr>
          <w:rFonts w:ascii="Times New Roman" w:hAnsi="Times New Roman"/>
          <w:color w:val="000000"/>
          <w:sz w:val="22"/>
          <w:szCs w:val="22"/>
          <w:lang w:val="pt-PT"/>
        </w:rPr>
        <w:t xml:space="preserve"> </w:t>
      </w:r>
    </w:p>
    <w:p w:rsidR="00117058" w:rsidRPr="00C27B14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EF6AD3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D054F2" w:rsidRDefault="00117058" w:rsidP="00795AA9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567BC" w:rsidRDefault="00117058" w:rsidP="00795AA9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567BC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4567BC">
        <w:rPr>
          <w:rFonts w:ascii="Times New Roman" w:hAnsi="Times New Roman"/>
          <w:b/>
          <w:sz w:val="22"/>
          <w:szCs w:val="22"/>
          <w:lang w:val="sk-SK"/>
        </w:rPr>
        <w:tab/>
        <w:t>REGISTRAČNÉ ČÍSLO</w:t>
      </w:r>
    </w:p>
    <w:p w:rsidR="00117058" w:rsidRPr="00404E4B" w:rsidRDefault="00117058" w:rsidP="00AB3A9A">
      <w:pPr>
        <w:pStyle w:val="Pta"/>
        <w:tabs>
          <w:tab w:val="clear" w:pos="4819"/>
          <w:tab w:val="clear" w:pos="9071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4C04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sz w:val="22"/>
          <w:szCs w:val="22"/>
          <w:lang w:val="sk-SK"/>
        </w:rPr>
        <w:t>26/0221/92-CS</w:t>
      </w:r>
    </w:p>
    <w:p w:rsidR="00117058" w:rsidRPr="00404E4B" w:rsidRDefault="00117058" w:rsidP="00514227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4849E0">
      <w:pPr>
        <w:rPr>
          <w:rFonts w:ascii="Times New Roman" w:hAnsi="Times New Roman"/>
          <w:sz w:val="22"/>
          <w:szCs w:val="22"/>
          <w:lang w:val="sk-SK"/>
        </w:rPr>
      </w:pPr>
    </w:p>
    <w:p w:rsidR="00117058" w:rsidRPr="00404E4B" w:rsidRDefault="00117058" w:rsidP="00795AA9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  <w:t>DÁTUM PRVEJ REGISTRÁCIE/ PREDĹŽENIA REGISTRÁCIE</w:t>
      </w:r>
    </w:p>
    <w:p w:rsidR="00117058" w:rsidRPr="00F132B1" w:rsidRDefault="00117058" w:rsidP="00AB3A9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4C044D">
      <w:pPr>
        <w:rPr>
          <w:rFonts w:ascii="Times New Roman" w:hAnsi="Times New Roman"/>
          <w:noProof/>
          <w:sz w:val="22"/>
          <w:szCs w:val="22"/>
          <w:lang w:val="sk-SK"/>
        </w:rPr>
      </w:pPr>
      <w:r w:rsidRPr="00795AA9">
        <w:rPr>
          <w:rFonts w:ascii="Times New Roman" w:hAnsi="Times New Roman"/>
          <w:noProof/>
          <w:sz w:val="22"/>
          <w:szCs w:val="22"/>
          <w:lang w:val="sk-SK"/>
        </w:rPr>
        <w:t>Dátum prvej registrácie: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1.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>apríl</w:t>
      </w:r>
      <w:r>
        <w:rPr>
          <w:rFonts w:ascii="Times New Roman" w:hAnsi="Times New Roman"/>
          <w:noProof/>
          <w:sz w:val="22"/>
          <w:szCs w:val="22"/>
          <w:lang w:val="sk-SK"/>
        </w:rPr>
        <w:t>a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 xml:space="preserve"> 1992</w:t>
      </w:r>
    </w:p>
    <w:p w:rsidR="00117058" w:rsidRPr="00795AA9" w:rsidRDefault="00117058" w:rsidP="004C044D">
      <w:pPr>
        <w:rPr>
          <w:rFonts w:ascii="Times New Roman" w:hAnsi="Times New Roman"/>
          <w:sz w:val="22"/>
          <w:szCs w:val="22"/>
          <w:lang w:val="sk-SK"/>
        </w:rPr>
      </w:pPr>
      <w:r w:rsidRPr="00795AA9">
        <w:rPr>
          <w:rFonts w:ascii="Times New Roman" w:hAnsi="Times New Roman"/>
          <w:noProof/>
          <w:sz w:val="22"/>
          <w:szCs w:val="22"/>
          <w:lang w:val="sk-SK"/>
        </w:rPr>
        <w:t>Dátum posledného predĺženia registrácie:</w:t>
      </w:r>
      <w:r w:rsidRPr="00795AA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18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noProof/>
          <w:sz w:val="22"/>
          <w:szCs w:val="22"/>
          <w:lang w:val="sk-SK"/>
        </w:rPr>
        <w:t>apríla</w:t>
      </w:r>
      <w:r w:rsidRPr="00795AA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k-SK"/>
        </w:rPr>
        <w:t>2006</w:t>
      </w:r>
    </w:p>
    <w:p w:rsidR="00117058" w:rsidRPr="00404E4B" w:rsidRDefault="00117058" w:rsidP="00BB4ABA">
      <w:pPr>
        <w:rPr>
          <w:rFonts w:ascii="Times New Roman" w:hAnsi="Times New Roman"/>
          <w:sz w:val="22"/>
          <w:szCs w:val="22"/>
          <w:lang w:val="sk-SK"/>
        </w:rPr>
      </w:pPr>
    </w:p>
    <w:p w:rsidR="00117058" w:rsidRDefault="00117058" w:rsidP="00795AA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404E4B" w:rsidRDefault="00117058" w:rsidP="00795AA9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04E4B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404E4B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117058" w:rsidRPr="00F132B1" w:rsidRDefault="00117058" w:rsidP="00AB3A9A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17058" w:rsidRPr="00795AA9" w:rsidRDefault="00A34960" w:rsidP="004C044D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Júl 2020</w:t>
      </w:r>
    </w:p>
    <w:sectPr w:rsidR="00117058" w:rsidRPr="00795AA9" w:rsidSect="00795A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134" w:right="1418" w:bottom="1134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DF" w:rsidRDefault="007638DF">
      <w:r>
        <w:separator/>
      </w:r>
    </w:p>
  </w:endnote>
  <w:endnote w:type="continuationSeparator" w:id="0">
    <w:p w:rsidR="007638DF" w:rsidRDefault="0076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58" w:rsidRDefault="0050529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1705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17058" w:rsidRDefault="0011705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58" w:rsidRPr="00795AA9" w:rsidRDefault="00505296">
    <w:pPr>
      <w:pStyle w:val="Pta"/>
      <w:jc w:val="center"/>
      <w:rPr>
        <w:rFonts w:ascii="Times New Roman" w:hAnsi="Times New Roman"/>
        <w:sz w:val="18"/>
      </w:rPr>
    </w:pPr>
    <w:r w:rsidRPr="00795AA9">
      <w:rPr>
        <w:rFonts w:ascii="Times New Roman" w:hAnsi="Times New Roman"/>
        <w:sz w:val="18"/>
      </w:rPr>
      <w:fldChar w:fldCharType="begin"/>
    </w:r>
    <w:r w:rsidR="00117058" w:rsidRPr="00795AA9">
      <w:rPr>
        <w:rFonts w:ascii="Times New Roman" w:hAnsi="Times New Roman"/>
        <w:sz w:val="18"/>
      </w:rPr>
      <w:instrText>PAGE   \* MERGEFORMAT</w:instrText>
    </w:r>
    <w:r w:rsidRPr="00795AA9">
      <w:rPr>
        <w:rFonts w:ascii="Times New Roman" w:hAnsi="Times New Roman"/>
        <w:sz w:val="18"/>
      </w:rPr>
      <w:fldChar w:fldCharType="separate"/>
    </w:r>
    <w:r w:rsidR="00C06741" w:rsidRPr="00C06741">
      <w:rPr>
        <w:rFonts w:ascii="Times New Roman" w:hAnsi="Times New Roman"/>
        <w:noProof/>
        <w:sz w:val="18"/>
        <w:lang w:val="sk-SK"/>
      </w:rPr>
      <w:t>2</w:t>
    </w:r>
    <w:r w:rsidRPr="00795AA9">
      <w:rPr>
        <w:rFonts w:ascii="Times New Roman" w:hAnsi="Times New Roman"/>
        <w:sz w:val="18"/>
      </w:rPr>
      <w:fldChar w:fldCharType="end"/>
    </w:r>
  </w:p>
  <w:p w:rsidR="00117058" w:rsidRPr="00795AA9" w:rsidRDefault="00117058">
    <w:pPr>
      <w:pStyle w:val="Pta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right="360"/>
      <w:jc w:val="both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58" w:rsidRPr="00795AA9" w:rsidRDefault="00505296">
    <w:pPr>
      <w:pStyle w:val="Pta"/>
      <w:jc w:val="center"/>
      <w:rPr>
        <w:rFonts w:ascii="Times New Roman" w:hAnsi="Times New Roman"/>
        <w:sz w:val="18"/>
      </w:rPr>
    </w:pPr>
    <w:r w:rsidRPr="00795AA9">
      <w:rPr>
        <w:rFonts w:ascii="Times New Roman" w:hAnsi="Times New Roman"/>
        <w:sz w:val="18"/>
      </w:rPr>
      <w:fldChar w:fldCharType="begin"/>
    </w:r>
    <w:r w:rsidR="00117058" w:rsidRPr="00795AA9">
      <w:rPr>
        <w:rFonts w:ascii="Times New Roman" w:hAnsi="Times New Roman"/>
        <w:sz w:val="18"/>
      </w:rPr>
      <w:instrText>PAGE   \* MERGEFORMAT</w:instrText>
    </w:r>
    <w:r w:rsidRPr="00795AA9">
      <w:rPr>
        <w:rFonts w:ascii="Times New Roman" w:hAnsi="Times New Roman"/>
        <w:sz w:val="18"/>
      </w:rPr>
      <w:fldChar w:fldCharType="separate"/>
    </w:r>
    <w:r w:rsidR="00C06741" w:rsidRPr="00C06741">
      <w:rPr>
        <w:rFonts w:ascii="Times New Roman" w:hAnsi="Times New Roman"/>
        <w:noProof/>
        <w:sz w:val="18"/>
        <w:lang w:val="sk-SK"/>
      </w:rPr>
      <w:t>1</w:t>
    </w:r>
    <w:r w:rsidRPr="00795AA9">
      <w:rPr>
        <w:rFonts w:ascii="Times New Roman" w:hAnsi="Times New Roman"/>
        <w:sz w:val="18"/>
      </w:rPr>
      <w:fldChar w:fldCharType="end"/>
    </w:r>
  </w:p>
  <w:p w:rsidR="00117058" w:rsidRPr="00795AA9" w:rsidRDefault="00117058">
    <w:pPr>
      <w:pStyle w:val="Pta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DF" w:rsidRDefault="007638DF">
      <w:r>
        <w:separator/>
      </w:r>
    </w:p>
  </w:footnote>
  <w:footnote w:type="continuationSeparator" w:id="0">
    <w:p w:rsidR="007638DF" w:rsidRDefault="00763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58" w:rsidRDefault="00A34960">
    <w:pPr>
      <w:pStyle w:val="Hlavika"/>
      <w:rPr>
        <w:rFonts w:ascii="Times New Roman" w:hAnsi="Times New Roman"/>
        <w:bCs/>
        <w:sz w:val="18"/>
        <w:szCs w:val="18"/>
      </w:rPr>
    </w:pPr>
    <w:proofErr w:type="spellStart"/>
    <w:r>
      <w:rPr>
        <w:rFonts w:ascii="Times New Roman" w:hAnsi="Times New Roman"/>
        <w:bCs/>
        <w:sz w:val="18"/>
        <w:szCs w:val="18"/>
      </w:rPr>
      <w:t>Príloha</w:t>
    </w:r>
    <w:proofErr w:type="spellEnd"/>
    <w:r>
      <w:rPr>
        <w:rFonts w:ascii="Times New Roman" w:hAnsi="Times New Roman"/>
        <w:bCs/>
        <w:sz w:val="18"/>
        <w:szCs w:val="18"/>
      </w:rPr>
      <w:t xml:space="preserve"> č.1 k </w:t>
    </w:r>
    <w:proofErr w:type="spellStart"/>
    <w:r>
      <w:rPr>
        <w:rFonts w:ascii="Times New Roman" w:hAnsi="Times New Roman"/>
        <w:bCs/>
        <w:sz w:val="18"/>
        <w:szCs w:val="18"/>
      </w:rPr>
      <w:t>notifikácii</w:t>
    </w:r>
    <w:proofErr w:type="spellEnd"/>
    <w:r>
      <w:rPr>
        <w:rFonts w:ascii="Times New Roman" w:hAnsi="Times New Roman"/>
        <w:bCs/>
        <w:sz w:val="18"/>
        <w:szCs w:val="18"/>
      </w:rPr>
      <w:t xml:space="preserve"> </w:t>
    </w:r>
    <w:r w:rsidRPr="00FF4BB4">
      <w:rPr>
        <w:rFonts w:ascii="Times New Roman" w:hAnsi="Times New Roman"/>
        <w:bCs/>
        <w:sz w:val="18"/>
        <w:szCs w:val="18"/>
      </w:rPr>
      <w:t>o </w:t>
    </w:r>
    <w:proofErr w:type="spellStart"/>
    <w:r w:rsidRPr="00FF4BB4">
      <w:rPr>
        <w:rFonts w:ascii="Times New Roman" w:hAnsi="Times New Roman"/>
        <w:bCs/>
        <w:sz w:val="18"/>
        <w:szCs w:val="18"/>
      </w:rPr>
      <w:t>zmene</w:t>
    </w:r>
    <w:proofErr w:type="spellEnd"/>
    <w:r w:rsidRPr="00820AFB">
      <w:rPr>
        <w:rFonts w:ascii="Times New Roman" w:hAnsi="Times New Roman"/>
        <w:b/>
        <w:bCs/>
        <w:sz w:val="18"/>
        <w:szCs w:val="18"/>
      </w:rPr>
      <w:t xml:space="preserve">, </w:t>
    </w:r>
    <w:proofErr w:type="spellStart"/>
    <w:r w:rsidRPr="00820AFB">
      <w:rPr>
        <w:rFonts w:ascii="Times New Roman" w:hAnsi="Times New Roman"/>
        <w:bCs/>
        <w:sz w:val="18"/>
        <w:szCs w:val="18"/>
      </w:rPr>
      <w:t>ev</w:t>
    </w:r>
    <w:proofErr w:type="spellEnd"/>
    <w:r w:rsidRPr="00820AFB">
      <w:rPr>
        <w:rFonts w:ascii="Times New Roman" w:hAnsi="Times New Roman"/>
        <w:bCs/>
        <w:sz w:val="18"/>
        <w:szCs w:val="18"/>
      </w:rPr>
      <w:t>. č.</w:t>
    </w:r>
    <w:r>
      <w:rPr>
        <w:rFonts w:ascii="Times New Roman" w:hAnsi="Times New Roman"/>
        <w:bCs/>
        <w:sz w:val="18"/>
        <w:szCs w:val="18"/>
      </w:rPr>
      <w:t>: 2019/06540-ZIB</w:t>
    </w:r>
  </w:p>
  <w:p w:rsidR="00117058" w:rsidRDefault="00117058" w:rsidP="004567B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58" w:rsidRDefault="00117058" w:rsidP="004567BC">
    <w:pPr>
      <w:pStyle w:val="Hlavika"/>
    </w:pPr>
    <w:proofErr w:type="spellStart"/>
    <w:r>
      <w:rPr>
        <w:rFonts w:ascii="Times New Roman" w:hAnsi="Times New Roman"/>
        <w:bCs/>
        <w:sz w:val="18"/>
        <w:szCs w:val="18"/>
      </w:rPr>
      <w:t>Príloha</w:t>
    </w:r>
    <w:proofErr w:type="spellEnd"/>
    <w:r>
      <w:rPr>
        <w:rFonts w:ascii="Times New Roman" w:hAnsi="Times New Roman"/>
        <w:bCs/>
        <w:sz w:val="18"/>
        <w:szCs w:val="18"/>
      </w:rPr>
      <w:t xml:space="preserve"> č.</w:t>
    </w:r>
    <w:r w:rsidR="008D60EA">
      <w:rPr>
        <w:rFonts w:ascii="Times New Roman" w:hAnsi="Times New Roman"/>
        <w:bCs/>
        <w:sz w:val="18"/>
        <w:szCs w:val="18"/>
      </w:rPr>
      <w:t>1</w:t>
    </w:r>
    <w:r>
      <w:rPr>
        <w:rFonts w:ascii="Times New Roman" w:hAnsi="Times New Roman"/>
        <w:bCs/>
        <w:sz w:val="18"/>
        <w:szCs w:val="18"/>
      </w:rPr>
      <w:t xml:space="preserve"> k </w:t>
    </w:r>
    <w:proofErr w:type="spellStart"/>
    <w:r>
      <w:rPr>
        <w:rFonts w:ascii="Times New Roman" w:hAnsi="Times New Roman"/>
        <w:bCs/>
        <w:sz w:val="18"/>
        <w:szCs w:val="18"/>
      </w:rPr>
      <w:t>notifikácii</w:t>
    </w:r>
    <w:proofErr w:type="spellEnd"/>
    <w:r>
      <w:rPr>
        <w:rFonts w:ascii="Times New Roman" w:hAnsi="Times New Roman"/>
        <w:bCs/>
        <w:sz w:val="18"/>
        <w:szCs w:val="18"/>
      </w:rPr>
      <w:t xml:space="preserve"> </w:t>
    </w:r>
    <w:r w:rsidRPr="00FF4BB4">
      <w:rPr>
        <w:rFonts w:ascii="Times New Roman" w:hAnsi="Times New Roman"/>
        <w:bCs/>
        <w:sz w:val="18"/>
        <w:szCs w:val="18"/>
      </w:rPr>
      <w:t>o </w:t>
    </w:r>
    <w:proofErr w:type="spellStart"/>
    <w:r w:rsidRPr="00FF4BB4">
      <w:rPr>
        <w:rFonts w:ascii="Times New Roman" w:hAnsi="Times New Roman"/>
        <w:bCs/>
        <w:sz w:val="18"/>
        <w:szCs w:val="18"/>
      </w:rPr>
      <w:t>zmene</w:t>
    </w:r>
    <w:proofErr w:type="spellEnd"/>
    <w:r w:rsidRPr="00820AFB">
      <w:rPr>
        <w:rFonts w:ascii="Times New Roman" w:hAnsi="Times New Roman"/>
        <w:b/>
        <w:bCs/>
        <w:sz w:val="18"/>
        <w:szCs w:val="18"/>
      </w:rPr>
      <w:t xml:space="preserve">, </w:t>
    </w:r>
    <w:proofErr w:type="spellStart"/>
    <w:r w:rsidRPr="00820AFB">
      <w:rPr>
        <w:rFonts w:ascii="Times New Roman" w:hAnsi="Times New Roman"/>
        <w:bCs/>
        <w:sz w:val="18"/>
        <w:szCs w:val="18"/>
      </w:rPr>
      <w:t>ev</w:t>
    </w:r>
    <w:proofErr w:type="spellEnd"/>
    <w:r w:rsidRPr="00820AFB">
      <w:rPr>
        <w:rFonts w:ascii="Times New Roman" w:hAnsi="Times New Roman"/>
        <w:bCs/>
        <w:sz w:val="18"/>
        <w:szCs w:val="18"/>
      </w:rPr>
      <w:t>. č.</w:t>
    </w:r>
    <w:r>
      <w:rPr>
        <w:rFonts w:ascii="Times New Roman" w:hAnsi="Times New Roman"/>
        <w:bCs/>
        <w:sz w:val="18"/>
        <w:szCs w:val="18"/>
      </w:rPr>
      <w:t xml:space="preserve">: </w:t>
    </w:r>
    <w:r w:rsidR="00A34960">
      <w:rPr>
        <w:rFonts w:ascii="Times New Roman" w:hAnsi="Times New Roman"/>
        <w:bCs/>
        <w:sz w:val="18"/>
        <w:szCs w:val="18"/>
      </w:rPr>
      <w:t>2019/06540-ZIB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0DD"/>
    <w:multiLevelType w:val="singleLevel"/>
    <w:tmpl w:val="7A2205A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1" w15:restartNumberingAfterBreak="0">
    <w:nsid w:val="1D33710C"/>
    <w:multiLevelType w:val="multilevel"/>
    <w:tmpl w:val="53A448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1E0439CE"/>
    <w:multiLevelType w:val="multilevel"/>
    <w:tmpl w:val="C55614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87726F4"/>
    <w:multiLevelType w:val="multilevel"/>
    <w:tmpl w:val="51B630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0000C0F"/>
    <w:multiLevelType w:val="multilevel"/>
    <w:tmpl w:val="C04CC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3B36DCE"/>
    <w:multiLevelType w:val="multilevel"/>
    <w:tmpl w:val="8F92574A"/>
    <w:lvl w:ilvl="0">
      <w:start w:val="5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5440073"/>
    <w:multiLevelType w:val="singleLevel"/>
    <w:tmpl w:val="041B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95622CD"/>
    <w:multiLevelType w:val="singleLevel"/>
    <w:tmpl w:val="82FEF072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single"/>
      </w:rPr>
    </w:lvl>
  </w:abstractNum>
  <w:abstractNum w:abstractNumId="8" w15:restartNumberingAfterBreak="0">
    <w:nsid w:val="5C864EFD"/>
    <w:multiLevelType w:val="singleLevel"/>
    <w:tmpl w:val="06E6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5F9D5122"/>
    <w:multiLevelType w:val="multilevel"/>
    <w:tmpl w:val="885468D6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E8744B1"/>
    <w:multiLevelType w:val="singleLevel"/>
    <w:tmpl w:val="18468F78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single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A9"/>
    <w:rsid w:val="00010EB8"/>
    <w:rsid w:val="00027EE6"/>
    <w:rsid w:val="00034315"/>
    <w:rsid w:val="00063B38"/>
    <w:rsid w:val="000701E5"/>
    <w:rsid w:val="00070FBD"/>
    <w:rsid w:val="000A6139"/>
    <w:rsid w:val="000C30DC"/>
    <w:rsid w:val="00101608"/>
    <w:rsid w:val="00117058"/>
    <w:rsid w:val="00126A95"/>
    <w:rsid w:val="00152368"/>
    <w:rsid w:val="00155034"/>
    <w:rsid w:val="001679E5"/>
    <w:rsid w:val="001A2533"/>
    <w:rsid w:val="002C4DDC"/>
    <w:rsid w:val="002C53A1"/>
    <w:rsid w:val="003650D7"/>
    <w:rsid w:val="003847F5"/>
    <w:rsid w:val="003B7F72"/>
    <w:rsid w:val="004014CF"/>
    <w:rsid w:val="00404E4B"/>
    <w:rsid w:val="00410976"/>
    <w:rsid w:val="004567BC"/>
    <w:rsid w:val="004849E0"/>
    <w:rsid w:val="004854AF"/>
    <w:rsid w:val="004C044D"/>
    <w:rsid w:val="004E355D"/>
    <w:rsid w:val="00505296"/>
    <w:rsid w:val="00514227"/>
    <w:rsid w:val="0055521B"/>
    <w:rsid w:val="00611494"/>
    <w:rsid w:val="00736054"/>
    <w:rsid w:val="00747207"/>
    <w:rsid w:val="007638DF"/>
    <w:rsid w:val="00795AA9"/>
    <w:rsid w:val="007C260B"/>
    <w:rsid w:val="007F525B"/>
    <w:rsid w:val="00800EA9"/>
    <w:rsid w:val="00820AFB"/>
    <w:rsid w:val="00851FF2"/>
    <w:rsid w:val="00862330"/>
    <w:rsid w:val="00871A4B"/>
    <w:rsid w:val="008D60EA"/>
    <w:rsid w:val="00930B8C"/>
    <w:rsid w:val="0093502E"/>
    <w:rsid w:val="00972DD9"/>
    <w:rsid w:val="00977FFD"/>
    <w:rsid w:val="0099757D"/>
    <w:rsid w:val="009A30CC"/>
    <w:rsid w:val="009F6579"/>
    <w:rsid w:val="00A13348"/>
    <w:rsid w:val="00A17983"/>
    <w:rsid w:val="00A34960"/>
    <w:rsid w:val="00A4103A"/>
    <w:rsid w:val="00A4793D"/>
    <w:rsid w:val="00A60B2B"/>
    <w:rsid w:val="00A64BA9"/>
    <w:rsid w:val="00A90229"/>
    <w:rsid w:val="00A94490"/>
    <w:rsid w:val="00AA654C"/>
    <w:rsid w:val="00AB11C8"/>
    <w:rsid w:val="00AB3A9A"/>
    <w:rsid w:val="00B40FBF"/>
    <w:rsid w:val="00B43357"/>
    <w:rsid w:val="00B43B7D"/>
    <w:rsid w:val="00B7629D"/>
    <w:rsid w:val="00BB4ABA"/>
    <w:rsid w:val="00BF59DA"/>
    <w:rsid w:val="00C06741"/>
    <w:rsid w:val="00C27B14"/>
    <w:rsid w:val="00CA33F3"/>
    <w:rsid w:val="00CE6163"/>
    <w:rsid w:val="00D006A6"/>
    <w:rsid w:val="00D0078B"/>
    <w:rsid w:val="00D054F2"/>
    <w:rsid w:val="00D8079B"/>
    <w:rsid w:val="00D95617"/>
    <w:rsid w:val="00DA7801"/>
    <w:rsid w:val="00E5416A"/>
    <w:rsid w:val="00E75159"/>
    <w:rsid w:val="00E9665A"/>
    <w:rsid w:val="00EC0B74"/>
    <w:rsid w:val="00EF6AD3"/>
    <w:rsid w:val="00F132B1"/>
    <w:rsid w:val="00F15664"/>
    <w:rsid w:val="00F17A8B"/>
    <w:rsid w:val="00F323D7"/>
    <w:rsid w:val="00F355E3"/>
    <w:rsid w:val="00F645B1"/>
    <w:rsid w:val="00FC62BA"/>
    <w:rsid w:val="00FD464F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2EB28B-1D94-496A-A5FB-E3AD35BF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ms Rm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5296"/>
    <w:rPr>
      <w:rFonts w:cs="Times New Roman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5296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360" w:lineRule="atLeast"/>
      <w:jc w:val="both"/>
      <w:outlineLvl w:val="0"/>
    </w:pPr>
    <w:rPr>
      <w:rFonts w:ascii="Arial" w:hAnsi="Arial"/>
      <w:sz w:val="24"/>
      <w:u w:val="single"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505296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360" w:lineRule="atLeast"/>
      <w:jc w:val="both"/>
      <w:outlineLvl w:val="1"/>
    </w:pPr>
    <w:rPr>
      <w:rFonts w:ascii="Arial" w:hAnsi="Arial"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505296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utlineLvl w:val="2"/>
    </w:pPr>
    <w:rPr>
      <w:rFonts w:ascii="Arial" w:hAnsi="Arial" w:cs="Arial"/>
      <w:b/>
      <w:bCs/>
      <w:lang w:val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505296"/>
    <w:pPr>
      <w:ind w:left="354"/>
      <w:outlineLvl w:val="3"/>
    </w:pPr>
    <w:rPr>
      <w:sz w:val="24"/>
      <w:u w:val="single"/>
    </w:rPr>
  </w:style>
  <w:style w:type="paragraph" w:styleId="Nadpis5">
    <w:name w:val="heading 5"/>
    <w:basedOn w:val="Normlny"/>
    <w:next w:val="Normlny"/>
    <w:link w:val="Nadpis5Char"/>
    <w:uiPriority w:val="9"/>
    <w:qFormat/>
    <w:rsid w:val="00505296"/>
    <w:pPr>
      <w:ind w:left="708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uiPriority w:val="9"/>
    <w:qFormat/>
    <w:rsid w:val="00505296"/>
    <w:pPr>
      <w:ind w:left="708"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"/>
    <w:qFormat/>
    <w:rsid w:val="00505296"/>
    <w:pPr>
      <w:ind w:left="708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505296"/>
    <w:pPr>
      <w:ind w:left="708"/>
      <w:outlineLvl w:val="7"/>
    </w:pPr>
    <w:rPr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505296"/>
    <w:pPr>
      <w:ind w:left="708"/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40B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40B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40B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40B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40B7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40B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40B7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40B7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40B7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505296"/>
    <w:pPr>
      <w:tabs>
        <w:tab w:val="center" w:pos="4819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04E4B"/>
    <w:rPr>
      <w:lang w:val="en-US" w:eastAsia="en-US"/>
    </w:rPr>
  </w:style>
  <w:style w:type="paragraph" w:styleId="Hlavika">
    <w:name w:val="header"/>
    <w:basedOn w:val="Normlny"/>
    <w:link w:val="HlavikaChar"/>
    <w:uiPriority w:val="99"/>
    <w:rsid w:val="00505296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640B7"/>
    <w:rPr>
      <w:rFonts w:cs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rsid w:val="00505296"/>
    <w:rPr>
      <w:position w:val="6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0529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640B7"/>
    <w:rPr>
      <w:rFonts w:cs="Times New Roman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505296"/>
    <w:pPr>
      <w:spacing w:line="360" w:lineRule="atLeast"/>
      <w:jc w:val="both"/>
    </w:pPr>
    <w:rPr>
      <w:rFonts w:ascii="Arial" w:hAnsi="Arial"/>
      <w:sz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40B7"/>
    <w:rPr>
      <w:rFonts w:cs="Times New Roman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50529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360" w:lineRule="atLeast"/>
      <w:ind w:left="360"/>
      <w:jc w:val="both"/>
    </w:pPr>
    <w:rPr>
      <w:rFonts w:ascii="Arial" w:hAnsi="Arial"/>
      <w:sz w:val="24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640B7"/>
    <w:rPr>
      <w:rFonts w:cs="Times New Roman"/>
      <w:lang w:val="en-US" w:eastAsia="en-US"/>
    </w:rPr>
  </w:style>
  <w:style w:type="paragraph" w:styleId="Nzov">
    <w:name w:val="Title"/>
    <w:basedOn w:val="Normlny"/>
    <w:link w:val="NzovChar"/>
    <w:uiPriority w:val="10"/>
    <w:qFormat/>
    <w:rsid w:val="0050529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center"/>
    </w:pPr>
    <w:rPr>
      <w:rFonts w:ascii="Arial" w:hAnsi="Arial"/>
      <w:b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64BA9"/>
    <w:rPr>
      <w:rFonts w:ascii="Arial" w:hAnsi="Arial"/>
      <w:b/>
      <w:sz w:val="24"/>
      <w:lang w:val="sk-SK"/>
    </w:rPr>
  </w:style>
  <w:style w:type="character" w:styleId="slostrany">
    <w:name w:val="page number"/>
    <w:basedOn w:val="Predvolenpsmoodseku"/>
    <w:uiPriority w:val="99"/>
    <w:rsid w:val="00505296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50529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Times New Roman" w:hAnsi="Times New Roman"/>
      <w:sz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640B7"/>
    <w:rPr>
      <w:rFonts w:cs="Times New Roman"/>
      <w:lang w:val="en-US" w:eastAsia="en-US"/>
    </w:rPr>
  </w:style>
  <w:style w:type="character" w:customStyle="1" w:styleId="GlobalBayerBodyTextCharCharChar">
    <w:name w:val="Global Bayer Body Text Char Char Char"/>
    <w:link w:val="GlobalBayerBodyTextCharChar"/>
    <w:locked/>
    <w:rsid w:val="00505296"/>
    <w:rPr>
      <w:rFonts w:ascii="Arial" w:hAnsi="Arial"/>
      <w:sz w:val="24"/>
      <w:lang w:val="en-US" w:eastAsia="de-DE"/>
    </w:rPr>
  </w:style>
  <w:style w:type="paragraph" w:customStyle="1" w:styleId="GlobalBayerBodyTextCharChar">
    <w:name w:val="Global Bayer Body Text Char Char"/>
    <w:basedOn w:val="Normlny"/>
    <w:link w:val="GlobalBayerBodyTextCharCharChar"/>
    <w:rsid w:val="00505296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/>
      <w:sz w:val="24"/>
      <w:lang w:eastAsia="de-DE"/>
    </w:rPr>
  </w:style>
  <w:style w:type="paragraph" w:customStyle="1" w:styleId="GlobalBayerBodyTextChar">
    <w:name w:val="Global Bayer Body Text Char"/>
    <w:basedOn w:val="Normlny"/>
    <w:rsid w:val="00505296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/>
      <w:sz w:val="24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5052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0B7"/>
    <w:rPr>
      <w:rFonts w:ascii="Times New Roman" w:hAnsi="Times New Roman" w:cs="Times New Roman"/>
      <w:sz w:val="0"/>
      <w:szCs w:val="0"/>
      <w:lang w:val="en-US"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A64BA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645B1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5B1"/>
    <w:rPr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645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Bayer, s.r.o.</Company>
  <LinksUpToDate>false</LinksUpToDate>
  <CharactersWithSpaces>11913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Bolebruchová Monika</cp:lastModifiedBy>
  <cp:revision>2</cp:revision>
  <cp:lastPrinted>2020-07-13T08:23:00Z</cp:lastPrinted>
  <dcterms:created xsi:type="dcterms:W3CDTF">2020-07-13T08:23:00Z</dcterms:created>
  <dcterms:modified xsi:type="dcterms:W3CDTF">2020-07-13T08:23:00Z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2016-08-07T12:58:08Z</vt:lpwstr>
  </property>
  <property fmtid="{D5CDD505-2E9C-101B-9397-08002B2CF9AE}" pid="3" name="TaxCatchAll">
    <vt:lpwstr/>
  </property>
  <property fmtid="{D5CDD505-2E9C-101B-9397-08002B2CF9AE}" pid="4" name="gbbd9102adcd43839cd73b51972a464c">
    <vt:lpwstr>Short-Term|6d967203-8346-4b9c-90f8-b3828a3fa508</vt:lpwstr>
  </property>
</Properties>
</file>