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38" w:rsidRPr="00FD6438" w:rsidRDefault="00FD6438" w:rsidP="00B15F20">
      <w:pPr>
        <w:pStyle w:val="Hlavika"/>
        <w:jc w:val="center"/>
        <w:outlineLvl w:val="0"/>
        <w:rPr>
          <w:rFonts w:ascii="Times New Roman" w:hAnsi="Times New Roman"/>
          <w:caps/>
          <w:noProof/>
          <w:sz w:val="22"/>
          <w:szCs w:val="22"/>
        </w:rPr>
      </w:pPr>
    </w:p>
    <w:p w:rsidR="00777F2C" w:rsidRPr="0065458E" w:rsidRDefault="00777F2C" w:rsidP="00B15F20">
      <w:pPr>
        <w:pStyle w:val="Hlavika"/>
        <w:jc w:val="center"/>
        <w:outlineLvl w:val="0"/>
        <w:rPr>
          <w:rFonts w:ascii="Times New Roman" w:hAnsi="Times New Roman"/>
          <w:b/>
          <w:caps/>
          <w:noProof/>
          <w:sz w:val="22"/>
          <w:szCs w:val="22"/>
        </w:rPr>
      </w:pPr>
      <w:r w:rsidRPr="0065458E">
        <w:rPr>
          <w:rFonts w:ascii="Times New Roman" w:hAnsi="Times New Roman"/>
          <w:b/>
          <w:caps/>
          <w:noProof/>
          <w:sz w:val="22"/>
          <w:szCs w:val="22"/>
        </w:rPr>
        <w:t>Súhrn charakteristických vlastností lieku</w:t>
      </w:r>
    </w:p>
    <w:p w:rsidR="00777F2C" w:rsidRPr="00FD6438" w:rsidRDefault="00777F2C" w:rsidP="00E90E60">
      <w:pPr>
        <w:pStyle w:val="Hlavika"/>
        <w:rPr>
          <w:rFonts w:ascii="Times New Roman" w:hAnsi="Times New Roman"/>
          <w:caps/>
          <w:noProof/>
          <w:sz w:val="22"/>
          <w:szCs w:val="22"/>
        </w:rPr>
      </w:pP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1.</w:t>
      </w:r>
      <w:r w:rsidRPr="0065458E">
        <w:rPr>
          <w:b/>
          <w:bCs/>
          <w:noProof/>
          <w:sz w:val="22"/>
          <w:szCs w:val="22"/>
        </w:rPr>
        <w:tab/>
        <w:t>NÁZOV LIEKU</w:t>
      </w:r>
    </w:p>
    <w:p w:rsidR="00777F2C" w:rsidRPr="00FD6438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>50 mg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tablety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2.</w:t>
      </w:r>
      <w:r w:rsidRPr="0065458E">
        <w:rPr>
          <w:b/>
          <w:bCs/>
          <w:noProof/>
          <w:sz w:val="22"/>
          <w:szCs w:val="22"/>
        </w:rPr>
        <w:tab/>
        <w:t>KVALITATÍVNE A KVANTITATÍVNE ZLOŽENIE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Každá tableta obsahuje 50 mg itopridiumchloridu.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EB16FD">
        <w:rPr>
          <w:noProof/>
          <w:sz w:val="22"/>
          <w:szCs w:val="22"/>
          <w:u w:val="single"/>
        </w:rPr>
        <w:t>Pomocná látka so známym účinkom</w:t>
      </w:r>
      <w:r w:rsidRPr="0065458E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 xml:space="preserve">66,56 mg </w:t>
      </w:r>
      <w:r w:rsidRPr="0065458E">
        <w:rPr>
          <w:noProof/>
          <w:sz w:val="22"/>
          <w:szCs w:val="22"/>
        </w:rPr>
        <w:t>monohydrát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 xml:space="preserve"> laktóz</w:t>
      </w:r>
      <w:r>
        <w:rPr>
          <w:noProof/>
          <w:sz w:val="22"/>
          <w:szCs w:val="22"/>
        </w:rPr>
        <w:t>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Úplný zoznam pomocných látok, pozri časť 6.1.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3.</w:t>
      </w:r>
      <w:r w:rsidRPr="0065458E">
        <w:rPr>
          <w:b/>
          <w:bCs/>
          <w:noProof/>
          <w:sz w:val="22"/>
          <w:szCs w:val="22"/>
        </w:rPr>
        <w:tab/>
        <w:t>LIEKOVÁ FORMA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tableta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Biela až takmer biela okrúhla </w:t>
      </w:r>
      <w:r>
        <w:rPr>
          <w:noProof/>
          <w:sz w:val="22"/>
          <w:szCs w:val="22"/>
        </w:rPr>
        <w:t>šošovkovitá</w:t>
      </w:r>
      <w:r w:rsidRPr="0065458E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ne</w:t>
      </w:r>
      <w:r w:rsidRPr="0065458E">
        <w:rPr>
          <w:noProof/>
          <w:sz w:val="22"/>
          <w:szCs w:val="22"/>
        </w:rPr>
        <w:t>obalená tableta s deliacou ryhou na jednej strane</w:t>
      </w:r>
      <w:r>
        <w:rPr>
          <w:noProof/>
          <w:sz w:val="22"/>
          <w:szCs w:val="22"/>
        </w:rPr>
        <w:t xml:space="preserve">, priemer </w:t>
      </w:r>
      <w:smartTag w:uri="urn:schemas-microsoft-com:office:smarttags" w:element="metricconverter">
        <w:smartTagPr>
          <w:attr w:name="ProductID" w:val="7 mm"/>
        </w:smartTagPr>
        <w:r>
          <w:rPr>
            <w:noProof/>
            <w:sz w:val="22"/>
            <w:szCs w:val="22"/>
          </w:rPr>
          <w:t>7 mm</w:t>
        </w:r>
      </w:smartTag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65458E">
        <w:rPr>
          <w:bCs/>
          <w:noProof/>
          <w:sz w:val="22"/>
          <w:szCs w:val="22"/>
        </w:rPr>
        <w:t>Tableta sa môže rozdeliť na rovnaké dávky.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</w:t>
      </w:r>
      <w:r w:rsidRPr="0065458E">
        <w:rPr>
          <w:b/>
          <w:bCs/>
          <w:noProof/>
          <w:sz w:val="22"/>
          <w:szCs w:val="22"/>
        </w:rPr>
        <w:tab/>
        <w:t>KLINICKÉ ÚDAJE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4.1</w:t>
      </w:r>
      <w:r w:rsidRPr="0065458E">
        <w:rPr>
          <w:b/>
          <w:bCs/>
          <w:noProof/>
          <w:sz w:val="22"/>
          <w:szCs w:val="22"/>
        </w:rPr>
        <w:tab/>
        <w:t>Terapeutické indikácie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>je určený na liečbu gastrointestinálnych príznakov pri funkčnej neulceróznej dyspepsii, ako je pocit nafúknutia, pocit plnosti žalúdka, bolesť v hornej časti brucha, anorexia, pyróza, nauzea a vracanie.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>je indikovaný dospelým.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4.2</w:t>
      </w:r>
      <w:r w:rsidRPr="0065458E">
        <w:rPr>
          <w:b/>
          <w:bCs/>
          <w:noProof/>
          <w:sz w:val="22"/>
          <w:szCs w:val="22"/>
        </w:rPr>
        <w:tab/>
        <w:t>Dávkovanie a spôsob podávania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 xml:space="preserve">Dávkovanie </w:t>
      </w:r>
    </w:p>
    <w:p w:rsidR="00777F2C" w:rsidRPr="0065458E" w:rsidRDefault="00777F2C" w:rsidP="00B677BA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Obvyklá denná dávka pre dospelých je 150 mg itopridiumchloridu, to znamená jedna tableta 3-krát denne pred jedlom.</w:t>
      </w:r>
    </w:p>
    <w:p w:rsidR="00777F2C" w:rsidRPr="0065458E" w:rsidRDefault="00777F2C" w:rsidP="00B677BA">
      <w:pPr>
        <w:autoSpaceDE w:val="0"/>
        <w:autoSpaceDN w:val="0"/>
        <w:adjustRightInd w:val="0"/>
        <w:jc w:val="both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Táto dávka môže byť znížená podľa priebehu ochorenia (napr. na ½ tablety 3-krát denne).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Presné dávkovanie a dĺžka terapie závisí od klinického stavu pacienta.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V klinických štúdiách bol itopridiumchlorid podávaný </w:t>
      </w:r>
      <w:r>
        <w:rPr>
          <w:noProof/>
          <w:sz w:val="22"/>
          <w:szCs w:val="22"/>
        </w:rPr>
        <w:t>maximálne</w:t>
      </w:r>
      <w:r w:rsidRPr="0065458E">
        <w:rPr>
          <w:noProof/>
          <w:sz w:val="22"/>
          <w:szCs w:val="22"/>
        </w:rPr>
        <w:t xml:space="preserve"> 8 týždňov.</w:t>
      </w:r>
    </w:p>
    <w:p w:rsidR="00777F2C" w:rsidRPr="00FD6438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B16FD">
      <w:pPr>
        <w:autoSpaceDE w:val="0"/>
        <w:autoSpaceDN w:val="0"/>
        <w:adjustRightInd w:val="0"/>
        <w:rPr>
          <w:i/>
          <w:noProof/>
          <w:sz w:val="22"/>
          <w:szCs w:val="22"/>
          <w:u w:val="single"/>
        </w:rPr>
      </w:pPr>
      <w:r w:rsidRPr="0065458E">
        <w:rPr>
          <w:i/>
          <w:noProof/>
          <w:sz w:val="22"/>
          <w:szCs w:val="22"/>
          <w:u w:val="single"/>
        </w:rPr>
        <w:t>Pediatrická populácia</w:t>
      </w:r>
    </w:p>
    <w:p w:rsidR="00777F2C" w:rsidRPr="0065458E" w:rsidRDefault="00777F2C" w:rsidP="00EB16FD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B</w:t>
      </w:r>
      <w:r w:rsidRPr="0065458E">
        <w:rPr>
          <w:noProof/>
          <w:sz w:val="22"/>
          <w:szCs w:val="22"/>
        </w:rPr>
        <w:t>ezpečnosť a úč</w:t>
      </w:r>
      <w:r>
        <w:rPr>
          <w:noProof/>
          <w:sz w:val="22"/>
          <w:szCs w:val="22"/>
        </w:rPr>
        <w:t>innosť nebola u detí stanovená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i/>
          <w:noProof/>
          <w:sz w:val="22"/>
          <w:szCs w:val="22"/>
          <w:u w:val="single"/>
        </w:rPr>
      </w:pPr>
      <w:r w:rsidRPr="0065458E">
        <w:rPr>
          <w:i/>
          <w:noProof/>
          <w:sz w:val="22"/>
          <w:szCs w:val="22"/>
          <w:u w:val="single"/>
        </w:rPr>
        <w:t>Pacienti s po</w:t>
      </w:r>
      <w:r>
        <w:rPr>
          <w:i/>
          <w:noProof/>
          <w:sz w:val="22"/>
          <w:szCs w:val="22"/>
          <w:u w:val="single"/>
        </w:rPr>
        <w:t>ruchou</w:t>
      </w:r>
      <w:r w:rsidRPr="0065458E">
        <w:rPr>
          <w:i/>
          <w:noProof/>
          <w:sz w:val="22"/>
          <w:szCs w:val="22"/>
          <w:u w:val="single"/>
        </w:rPr>
        <w:t xml:space="preserve"> funkcie obličiek alebo pečene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je metabolizovaný v pečeni a primárna cesta vylučovania je prostredníctvom obličiek. Pacientov s po</w:t>
      </w:r>
      <w:r>
        <w:rPr>
          <w:noProof/>
          <w:sz w:val="22"/>
          <w:szCs w:val="22"/>
        </w:rPr>
        <w:t>ruchou funkcie</w:t>
      </w:r>
      <w:r w:rsidRPr="0065458E">
        <w:rPr>
          <w:noProof/>
          <w:sz w:val="22"/>
          <w:szCs w:val="22"/>
        </w:rPr>
        <w:t xml:space="preserve"> obličiek alebo pečene, ktorí liek užívajú, je treba pozorne sledovať a v prípade výskytu nežiaducich účinkov urobiť vhodné opatrenia, napríklad znížiť dávku alebo terapiu </w:t>
      </w:r>
      <w:r>
        <w:rPr>
          <w:noProof/>
          <w:sz w:val="22"/>
          <w:szCs w:val="22"/>
        </w:rPr>
        <w:t>ukončiť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777F2C" w:rsidRPr="0065458E" w:rsidRDefault="00777F2C" w:rsidP="00817126">
      <w:pPr>
        <w:autoSpaceDE w:val="0"/>
        <w:autoSpaceDN w:val="0"/>
        <w:adjustRightInd w:val="0"/>
        <w:rPr>
          <w:i/>
          <w:noProof/>
          <w:sz w:val="22"/>
          <w:szCs w:val="22"/>
          <w:u w:val="single"/>
        </w:rPr>
      </w:pPr>
      <w:r w:rsidRPr="0065458E">
        <w:rPr>
          <w:i/>
          <w:noProof/>
          <w:sz w:val="22"/>
          <w:szCs w:val="22"/>
          <w:u w:val="single"/>
        </w:rPr>
        <w:t>Starší pacienti</w:t>
      </w:r>
    </w:p>
    <w:p w:rsidR="00777F2C" w:rsidRPr="0065458E" w:rsidRDefault="00777F2C" w:rsidP="00F17540">
      <w:pPr>
        <w:rPr>
          <w:rStyle w:val="longtext1"/>
          <w:noProof/>
          <w:sz w:val="22"/>
          <w:szCs w:val="22"/>
          <w:shd w:val="clear" w:color="auto" w:fill="FFFFFF"/>
        </w:rPr>
      </w:pPr>
      <w:r w:rsidRPr="0065458E">
        <w:rPr>
          <w:rStyle w:val="longtext1"/>
          <w:noProof/>
          <w:sz w:val="22"/>
          <w:szCs w:val="22"/>
          <w:shd w:val="clear" w:color="auto" w:fill="FFFFFF"/>
        </w:rPr>
        <w:t>V klinických štúdiách sa preukázalo, že výskyt nežiaducich účinkov u populácie vo veku 65 rokov a starších nebol vyšší ako u mladších pacientov.</w:t>
      </w:r>
      <w:r>
        <w:rPr>
          <w:rStyle w:val="longtext1"/>
          <w:noProof/>
          <w:sz w:val="22"/>
          <w:szCs w:val="22"/>
          <w:shd w:val="clear" w:color="auto" w:fill="FFFFFF"/>
        </w:rPr>
        <w:t xml:space="preserve"> Itoprid sa má podávať starším pacientom s primeranou </w:t>
      </w:r>
      <w:r>
        <w:rPr>
          <w:rStyle w:val="longtext1"/>
          <w:noProof/>
          <w:sz w:val="22"/>
          <w:szCs w:val="22"/>
          <w:shd w:val="clear" w:color="auto" w:fill="FFFFFF"/>
        </w:rPr>
        <w:lastRenderedPageBreak/>
        <w:t xml:space="preserve">opatrnosťou vzhľadom na zvýšený výskyt porúch hepatálnej alebo renálnej funkcie, iných ochorení alebo liečbu inými liekmi. </w:t>
      </w:r>
      <w:r w:rsidRPr="0065458E">
        <w:rPr>
          <w:rStyle w:val="longtext1"/>
          <w:noProof/>
          <w:sz w:val="22"/>
          <w:szCs w:val="22"/>
          <w:shd w:val="clear" w:color="auto" w:fill="FFFFFF"/>
        </w:rPr>
        <w:t>Starších pacientov užívajúcich tento liek je treba pozorne sledovať a v prípade výskytu nežiaducich reakcií urobiť vhodné opatrenia, ako napríklad znížiť dávku alebo terapiu prerušiť.</w:t>
      </w:r>
    </w:p>
    <w:p w:rsidR="00777F2C" w:rsidRPr="0065458E" w:rsidRDefault="00777F2C" w:rsidP="00627649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627649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Spôsob podávania</w:t>
      </w:r>
    </w:p>
    <w:p w:rsidR="00777F2C" w:rsidRPr="0065458E" w:rsidRDefault="00777F2C" w:rsidP="00627649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Tablety sa majú zapiť </w:t>
      </w:r>
      <w:r>
        <w:rPr>
          <w:noProof/>
          <w:sz w:val="22"/>
          <w:szCs w:val="22"/>
        </w:rPr>
        <w:t xml:space="preserve">dostatočným možstvom </w:t>
      </w:r>
      <w:r w:rsidRPr="0065458E">
        <w:rPr>
          <w:noProof/>
          <w:sz w:val="22"/>
          <w:szCs w:val="22"/>
        </w:rPr>
        <w:t>vod</w:t>
      </w:r>
      <w:r>
        <w:rPr>
          <w:noProof/>
          <w:sz w:val="22"/>
          <w:szCs w:val="22"/>
        </w:rPr>
        <w:t>y</w:t>
      </w:r>
      <w:r w:rsidRPr="0065458E">
        <w:rPr>
          <w:noProof/>
          <w:sz w:val="22"/>
          <w:szCs w:val="22"/>
        </w:rPr>
        <w:t>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4.3</w:t>
      </w:r>
      <w:r w:rsidRPr="0065458E">
        <w:rPr>
          <w:b/>
          <w:bCs/>
          <w:noProof/>
          <w:sz w:val="22"/>
          <w:szCs w:val="22"/>
        </w:rPr>
        <w:tab/>
        <w:t>Kontraindikácie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Precitlivenosť na </w:t>
      </w:r>
      <w:r>
        <w:rPr>
          <w:noProof/>
          <w:sz w:val="22"/>
          <w:szCs w:val="22"/>
        </w:rPr>
        <w:t>liečivo</w:t>
      </w:r>
      <w:r w:rsidRPr="0065458E">
        <w:rPr>
          <w:noProof/>
          <w:sz w:val="22"/>
          <w:szCs w:val="22"/>
        </w:rPr>
        <w:t xml:space="preserve"> alebo na ktorúkoľvek z pomocných látok uvedených v časti 6.1.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Itoprid Xantis </w:t>
      </w:r>
      <w:r w:rsidRPr="0065458E">
        <w:rPr>
          <w:noProof/>
          <w:sz w:val="22"/>
          <w:szCs w:val="22"/>
        </w:rPr>
        <w:t xml:space="preserve">sa nesmie podávať pacientom, u ktorých môže byť </w:t>
      </w:r>
      <w:r w:rsidRPr="00034EE7">
        <w:rPr>
          <w:noProof/>
          <w:sz w:val="22"/>
          <w:szCs w:val="22"/>
        </w:rPr>
        <w:t>zvýšená gastrointestinálna motilita</w:t>
      </w:r>
      <w:r w:rsidRPr="0065458E">
        <w:rPr>
          <w:noProof/>
          <w:sz w:val="22"/>
          <w:szCs w:val="22"/>
        </w:rPr>
        <w:t xml:space="preserve"> škodliv</w:t>
      </w:r>
      <w:r>
        <w:rPr>
          <w:noProof/>
          <w:sz w:val="22"/>
          <w:szCs w:val="22"/>
        </w:rPr>
        <w:t>á</w:t>
      </w:r>
      <w:r w:rsidRPr="0065458E">
        <w:rPr>
          <w:noProof/>
          <w:sz w:val="22"/>
          <w:szCs w:val="22"/>
        </w:rPr>
        <w:t>, ako v prípade krvácania z tráviaceho traktu, mechanickej obštrukcie alebo perforácie.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4.4</w:t>
      </w:r>
      <w:r w:rsidRPr="0065458E">
        <w:rPr>
          <w:b/>
          <w:bCs/>
          <w:noProof/>
          <w:sz w:val="22"/>
          <w:szCs w:val="22"/>
        </w:rPr>
        <w:tab/>
        <w:t>Osobitné upozornenia a opatrenia pri používaní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zosilňuje účinok acetylcholínu a môže vyvolať nežiaduce chol</w:t>
      </w:r>
      <w:r>
        <w:rPr>
          <w:noProof/>
          <w:sz w:val="22"/>
          <w:szCs w:val="22"/>
        </w:rPr>
        <w:t>í</w:t>
      </w:r>
      <w:r w:rsidRPr="0065458E">
        <w:rPr>
          <w:noProof/>
          <w:sz w:val="22"/>
          <w:szCs w:val="22"/>
        </w:rPr>
        <w:t>nergné účinky.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Údaje o dlhodobom užívaní </w:t>
      </w:r>
      <w:r>
        <w:rPr>
          <w:noProof/>
          <w:sz w:val="22"/>
          <w:szCs w:val="22"/>
        </w:rPr>
        <w:t xml:space="preserve">itopridu </w:t>
      </w:r>
      <w:r w:rsidRPr="0065458E">
        <w:rPr>
          <w:noProof/>
          <w:sz w:val="22"/>
          <w:szCs w:val="22"/>
        </w:rPr>
        <w:t>nie sú dostupné.</w:t>
      </w:r>
    </w:p>
    <w:p w:rsidR="00777F2C" w:rsidRPr="0065458E" w:rsidRDefault="00777F2C" w:rsidP="00E90E60">
      <w:pPr>
        <w:autoSpaceDE w:val="0"/>
        <w:autoSpaceDN w:val="0"/>
        <w:adjustRightInd w:val="0"/>
        <w:rPr>
          <w:rStyle w:val="longtext1"/>
          <w:noProof/>
          <w:sz w:val="22"/>
          <w:szCs w:val="22"/>
          <w:shd w:val="clear" w:color="auto" w:fill="FFFFFF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rStyle w:val="longtext1"/>
          <w:noProof/>
          <w:sz w:val="22"/>
          <w:szCs w:val="22"/>
          <w:u w:val="single"/>
          <w:shd w:val="clear" w:color="auto" w:fill="FFFFFF"/>
        </w:rPr>
        <w:t xml:space="preserve">Itoprid </w:t>
      </w:r>
      <w:r w:rsidRPr="00DC0153">
        <w:rPr>
          <w:noProof/>
          <w:sz w:val="22"/>
          <w:szCs w:val="22"/>
          <w:u w:val="single"/>
        </w:rPr>
        <w:t>Xantis</w:t>
      </w:r>
      <w:r>
        <w:rPr>
          <w:noProof/>
          <w:sz w:val="22"/>
          <w:szCs w:val="22"/>
        </w:rPr>
        <w:t xml:space="preserve"> </w:t>
      </w:r>
      <w:r w:rsidRPr="0065458E">
        <w:rPr>
          <w:rStyle w:val="longtext1"/>
          <w:noProof/>
          <w:sz w:val="22"/>
          <w:szCs w:val="22"/>
          <w:u w:val="single"/>
          <w:shd w:val="clear" w:color="auto" w:fill="FFFFFF"/>
        </w:rPr>
        <w:t>obsahuje monohydrát laktózy</w:t>
      </w:r>
      <w:r w:rsidRPr="0065458E">
        <w:rPr>
          <w:rStyle w:val="longtext1"/>
          <w:noProof/>
          <w:sz w:val="22"/>
          <w:szCs w:val="22"/>
          <w:shd w:val="clear" w:color="auto" w:fill="FFFFFF"/>
        </w:rPr>
        <w:t>.</w:t>
      </w:r>
      <w:r>
        <w:rPr>
          <w:rStyle w:val="longtext1"/>
          <w:noProof/>
          <w:sz w:val="22"/>
          <w:szCs w:val="22"/>
          <w:shd w:val="clear" w:color="auto" w:fill="FFFFFF"/>
        </w:rPr>
        <w:t xml:space="preserve"> </w:t>
      </w:r>
      <w:r w:rsidRPr="0065458E">
        <w:rPr>
          <w:noProof/>
          <w:sz w:val="22"/>
          <w:szCs w:val="22"/>
        </w:rPr>
        <w:t>Pacienti so zriedkavými dedičnými problémami galaktózovej intolerancie, deficitom laktázy alebo glukózo-galaktózovej malabsorpcie nesmú užívať tento liek.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37654F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4.5</w:t>
      </w:r>
      <w:r w:rsidRPr="0065458E">
        <w:rPr>
          <w:b/>
          <w:bCs/>
          <w:noProof/>
          <w:sz w:val="22"/>
          <w:szCs w:val="22"/>
        </w:rPr>
        <w:tab/>
        <w:t>Liekové a iné interakcie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Interakcie na úrovni cytochrómu P 450 sa nepredpokladajú, pretože itoprid je metabolizovaný predovšetkým pomocou flavínmonooxygenázy.</w:t>
      </w:r>
    </w:p>
    <w:p w:rsidR="00777F2C" w:rsidRDefault="00777F2C" w:rsidP="00EB16FD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B16FD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Nezistili sa interakcie pri súbežnom podávaní itopridu s warfarínom, diazepamom, diklofenakom, tiklopidínom, nifedipínom, nikardipínom.</w:t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má gastrokinetický účinok, čo môže ovplyvniť absorpciu súbežne podávaných perorálnych liekov. Osobitná pozornosť sa má venovať liekom s úzkym terapeutickým indexom, liekom s predĺženým uvoľňovaním alebo gastrorezistentným liekovým formám.</w:t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Anticholinergné látky môžu znižovať účinok itopridu.</w:t>
      </w:r>
    </w:p>
    <w:p w:rsidR="00777F2C" w:rsidRPr="0065458E" w:rsidRDefault="00777F2C" w:rsidP="00F17540">
      <w:pPr>
        <w:tabs>
          <w:tab w:val="left" w:pos="0"/>
        </w:tabs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Látky, ako napr. cimetidín, ranitidín, tepronón a cetraxát neovplyvňujú prokinetickú aktivitu itopridu.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4.6</w:t>
      </w:r>
      <w:r w:rsidRPr="0065458E">
        <w:rPr>
          <w:b/>
          <w:bCs/>
          <w:noProof/>
          <w:sz w:val="22"/>
          <w:szCs w:val="22"/>
        </w:rPr>
        <w:tab/>
        <w:t>Fertilita, gravidita a laktácia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74605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  <w:u w:val="single"/>
        </w:rPr>
        <w:t>Gravidita</w:t>
      </w:r>
    </w:p>
    <w:p w:rsidR="00777F2C" w:rsidRPr="0065458E" w:rsidRDefault="00777F2C" w:rsidP="0074605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Bezpečnosť </w:t>
      </w:r>
      <w:r>
        <w:rPr>
          <w:noProof/>
          <w:sz w:val="22"/>
          <w:szCs w:val="22"/>
        </w:rPr>
        <w:t>itopridu</w:t>
      </w:r>
      <w:r w:rsidRPr="0065458E">
        <w:rPr>
          <w:noProof/>
          <w:sz w:val="22"/>
          <w:szCs w:val="22"/>
        </w:rPr>
        <w:t xml:space="preserve"> v tehotenstve nebola stanovená. Preto sa itoprid môže podávať tehotným pacientkám a ženám, u ktorých tehotenstvo nie je vylúčené, len vtedy, keď prínos liečby preváži možné riziko.</w:t>
      </w:r>
    </w:p>
    <w:p w:rsidR="00777F2C" w:rsidRPr="0065458E" w:rsidRDefault="00777F2C" w:rsidP="00746057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Nie sú známe žiadne účinky itoprid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 xml:space="preserve"> na priebeh pôrodu.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Dojčenie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I</w:t>
      </w:r>
      <w:r w:rsidRPr="0065458E">
        <w:rPr>
          <w:noProof/>
          <w:sz w:val="22"/>
          <w:szCs w:val="22"/>
        </w:rPr>
        <w:t xml:space="preserve">toprid sa vylučuje do mlieka </w:t>
      </w:r>
      <w:r>
        <w:rPr>
          <w:noProof/>
          <w:sz w:val="22"/>
          <w:szCs w:val="22"/>
        </w:rPr>
        <w:t>laktujúcich</w:t>
      </w:r>
      <w:r w:rsidRPr="0065458E">
        <w:rPr>
          <w:noProof/>
          <w:sz w:val="22"/>
          <w:szCs w:val="22"/>
        </w:rPr>
        <w:t xml:space="preserve"> potkanov.</w:t>
      </w:r>
      <w:r>
        <w:rPr>
          <w:noProof/>
          <w:sz w:val="22"/>
          <w:szCs w:val="22"/>
        </w:rPr>
        <w:t xml:space="preserve"> Vzhľadom na nedostatok skúseností s podávaním itopridu počas dojčenia u ľudí, má sa urobiť rozhodnutie, či ukončiť dojčenie alebo liečbu itopridom s ohľadom na prínos </w:t>
      </w:r>
      <w:r w:rsidRPr="0010027B">
        <w:rPr>
          <w:noProof/>
          <w:sz w:val="22"/>
          <w:szCs w:val="22"/>
        </w:rPr>
        <w:t>dojčenia pre dieťa alebo liečby pre matku.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4.7</w:t>
      </w:r>
      <w:r w:rsidRPr="0065458E">
        <w:rPr>
          <w:b/>
          <w:bCs/>
          <w:noProof/>
          <w:sz w:val="22"/>
          <w:szCs w:val="22"/>
        </w:rPr>
        <w:tab/>
        <w:t>Ovplyvnenie schopnosti viesť vozidlá a obsluhovať stroje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Hoci sa nezistil vplyv lieku na schopnosť viesť vozidlá a obsluhovať stroje, napriek tomu nemožno vylúčiť zhoršenie schopnosti sústrediť pozornosť v dôsledku </w:t>
      </w:r>
      <w:r>
        <w:rPr>
          <w:noProof/>
          <w:sz w:val="22"/>
          <w:szCs w:val="22"/>
        </w:rPr>
        <w:t xml:space="preserve">veľmi </w:t>
      </w:r>
      <w:r w:rsidRPr="0065458E">
        <w:rPr>
          <w:noProof/>
          <w:sz w:val="22"/>
          <w:szCs w:val="22"/>
        </w:rPr>
        <w:t>zriedkavého výskytu závratov.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FD6438">
      <w:pPr>
        <w:keepNext/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4.8</w:t>
      </w:r>
      <w:r w:rsidRPr="0065458E">
        <w:rPr>
          <w:b/>
          <w:bCs/>
          <w:noProof/>
          <w:sz w:val="22"/>
          <w:szCs w:val="22"/>
        </w:rPr>
        <w:tab/>
        <w:t>Nežiaduce účinky</w:t>
      </w:r>
    </w:p>
    <w:p w:rsidR="00777F2C" w:rsidRPr="0065458E" w:rsidRDefault="00777F2C" w:rsidP="00FD6438">
      <w:pPr>
        <w:keepNext/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V nasledujúcej tabuľke sú zhrnuté nežiaduce reakcie itopridu rozdelené do skupín podľa terminológie MedDRA spolu s ich frekvenciou: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veľmi časté (≥ 1/10), časté (≥ 1/100 až &lt; 1/10), menej časté (≥ 1/1 000 až &lt; 1/100), zriedkavé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(≥ 1/10 000 až &lt; 1/1 000), veľmi zriedkavé (&lt; 1/10 000), neznáme (nie je možné stanoviť z dostupných údajov).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 xml:space="preserve">Poruchy krvi a lymfatického </w:t>
      </w:r>
      <w:r>
        <w:rPr>
          <w:noProof/>
          <w:sz w:val="22"/>
          <w:szCs w:val="22"/>
          <w:u w:val="single"/>
        </w:rPr>
        <w:t>s</w:t>
      </w:r>
      <w:r w:rsidRPr="00BE108C">
        <w:rPr>
          <w:noProof/>
          <w:sz w:val="22"/>
          <w:szCs w:val="22"/>
          <w:u w:val="single"/>
        </w:rPr>
        <w:t>ystému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leukopénia*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trombocytopénia</w:t>
      </w:r>
    </w:p>
    <w:p w:rsidR="00777F2C" w:rsidRPr="0065458E" w:rsidRDefault="00777F2C" w:rsidP="00BE108C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*</w:t>
      </w:r>
      <w:r w:rsidRPr="00BE108C"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Osobitná pozornosť sa musí venovať pacientom počas hematologického vyšetrenia. V prípade výskytu neobvyklých príznakov je potrebné prerušiť liečbu.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endokrinného systému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zvýšená hladina prolaktínu**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gynekomastia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**</w:t>
      </w:r>
      <w:r w:rsidRPr="00BE108C"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Ak sa vyskytne napr. galaktorea alebo gynekomastia, je treba liečbu prerušiť alebo ukončiť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gastrointestinálneho traktu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hnačka, zápcha, bolesť brucha, zvýšená tvorba slín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nauzea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Celkové poruchy a reakcie v mieste podania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únava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pečene a žlčových ciest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žltačka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imunitného systému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anafylaktoidná reakcia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Laboratórne a funkčné vyšetrenia</w:t>
      </w:r>
    </w:p>
    <w:p w:rsidR="00777F2C" w:rsidRPr="0065458E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zvýšenie hladín AST, ALT, GGT, alkalickej fosfatázy alebo bilirubínu</w:t>
      </w:r>
    </w:p>
    <w:p w:rsidR="00777F2C" w:rsidRPr="0065458E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kostrovej a svalovej sústavy a spojivového tkaniva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bolesť na hrudníku a bolesť chrbta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nervového systému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bolesť hlavy, poruchy spánku, závrat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neznáme</w:t>
      </w:r>
      <w:r>
        <w:rPr>
          <w:noProof/>
          <w:sz w:val="22"/>
          <w:szCs w:val="22"/>
        </w:rPr>
        <w:t>: tremor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Psycické poruchy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časté</w:t>
      </w:r>
      <w:r>
        <w:rPr>
          <w:noProof/>
          <w:sz w:val="22"/>
          <w:szCs w:val="22"/>
        </w:rPr>
        <w:t>: podráždenosť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0F2D9C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BE108C">
        <w:rPr>
          <w:noProof/>
          <w:sz w:val="22"/>
          <w:szCs w:val="22"/>
          <w:u w:val="single"/>
        </w:rPr>
        <w:t>Poruchy obličiek a močových ciest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menej ča</w:t>
      </w:r>
      <w:r>
        <w:rPr>
          <w:i/>
          <w:noProof/>
          <w:sz w:val="22"/>
          <w:szCs w:val="22"/>
        </w:rPr>
        <w:t>s</w:t>
      </w:r>
      <w:r w:rsidRPr="00BE108C">
        <w:rPr>
          <w:i/>
          <w:noProof/>
          <w:sz w:val="22"/>
          <w:szCs w:val="22"/>
        </w:rPr>
        <w:t>té</w:t>
      </w:r>
      <w:r>
        <w:rPr>
          <w:noProof/>
          <w:sz w:val="22"/>
          <w:szCs w:val="22"/>
        </w:rPr>
        <w:t>: zvýšená hladina dusíka močoviny v krvi (BUN) a kreatínu</w:t>
      </w:r>
    </w:p>
    <w:p w:rsidR="00777F2C" w:rsidRDefault="00777F2C" w:rsidP="000F2D9C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BE108C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>
        <w:rPr>
          <w:noProof/>
          <w:sz w:val="22"/>
          <w:szCs w:val="22"/>
          <w:u w:val="single"/>
        </w:rPr>
        <w:t>P</w:t>
      </w:r>
      <w:r w:rsidRPr="00BE108C">
        <w:rPr>
          <w:noProof/>
          <w:sz w:val="22"/>
          <w:szCs w:val="22"/>
          <w:u w:val="single"/>
        </w:rPr>
        <w:t>oruchy kože a podkožného tkaniva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BE108C">
        <w:rPr>
          <w:i/>
          <w:noProof/>
          <w:sz w:val="22"/>
          <w:szCs w:val="22"/>
        </w:rPr>
        <w:t>zriedkavé</w:t>
      </w:r>
      <w:r>
        <w:rPr>
          <w:noProof/>
          <w:sz w:val="22"/>
          <w:szCs w:val="22"/>
        </w:rPr>
        <w:t>: vyrážka, sčervenanie, svrbenie</w:t>
      </w:r>
    </w:p>
    <w:p w:rsidR="00777F2C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2F79EB">
      <w:pPr>
        <w:suppressLineNumbers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Hlásenie podozrení na nežiaduce reakcie</w:t>
      </w:r>
    </w:p>
    <w:p w:rsidR="00777F2C" w:rsidRPr="0065458E" w:rsidRDefault="00777F2C" w:rsidP="00F17540">
      <w:pPr>
        <w:rPr>
          <w:bCs/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</w:t>
      </w:r>
      <w:r w:rsidRPr="0065458E">
        <w:rPr>
          <w:noProof/>
          <w:sz w:val="22"/>
          <w:szCs w:val="22"/>
        </w:rPr>
        <w:lastRenderedPageBreak/>
        <w:t xml:space="preserve">akékoľvek podozrenia na nežiaduce reakcie prostredníctvom </w:t>
      </w:r>
      <w:r w:rsidRPr="00A270F4">
        <w:rPr>
          <w:noProof/>
          <w:sz w:val="22"/>
          <w:szCs w:val="22"/>
          <w:highlight w:val="lightGray"/>
        </w:rPr>
        <w:t>národného systému hlásenia uvedeného v </w:t>
      </w:r>
      <w:hyperlink r:id="rId8" w:history="1">
        <w:r w:rsidRPr="00A270F4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4.9</w:t>
      </w:r>
      <w:r w:rsidRPr="0065458E">
        <w:rPr>
          <w:b/>
          <w:bCs/>
          <w:noProof/>
          <w:sz w:val="22"/>
          <w:szCs w:val="22"/>
        </w:rPr>
        <w:tab/>
        <w:t>Predávkovanie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Doposiaľ neboli hlásené žiadne prípady predávkovania itoprid</w:t>
      </w:r>
      <w:r>
        <w:rPr>
          <w:noProof/>
          <w:sz w:val="22"/>
          <w:szCs w:val="22"/>
        </w:rPr>
        <w:t xml:space="preserve">om </w:t>
      </w:r>
      <w:r w:rsidRPr="0065458E">
        <w:rPr>
          <w:noProof/>
          <w:sz w:val="22"/>
          <w:szCs w:val="22"/>
        </w:rPr>
        <w:t>u ľudí. V prípade predávkovania sú potrebné štandardné opatrenia, ako je laváž žalúdka a symptomatická liečba.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</w:t>
      </w:r>
      <w:r w:rsidRPr="0065458E">
        <w:rPr>
          <w:b/>
          <w:bCs/>
          <w:noProof/>
          <w:sz w:val="22"/>
          <w:szCs w:val="22"/>
        </w:rPr>
        <w:tab/>
        <w:t>FARMAKOLOGICKÉ VLASTNOSTI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5.1</w:t>
      </w:r>
      <w:r w:rsidRPr="0065458E">
        <w:rPr>
          <w:b/>
          <w:bCs/>
          <w:noProof/>
          <w:sz w:val="22"/>
          <w:szCs w:val="22"/>
        </w:rPr>
        <w:tab/>
        <w:t>Farmakodynamické vlastnosti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Farmakoterapeutická skupina: </w:t>
      </w:r>
      <w:r>
        <w:rPr>
          <w:noProof/>
          <w:sz w:val="22"/>
          <w:szCs w:val="22"/>
        </w:rPr>
        <w:t xml:space="preserve">liečivá na funkčné gastrointestinálne poruchy, </w:t>
      </w:r>
      <w:r w:rsidRPr="0065458E">
        <w:rPr>
          <w:noProof/>
          <w:sz w:val="22"/>
          <w:szCs w:val="22"/>
        </w:rPr>
        <w:t>prokinetiká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ATC kód: A03FA07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2F79EB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Mechanizmus účinku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aktivuje gastrointestinálnu propulzívnu motilitu antagonistickým účinkom na dopamínové D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  <w:vertAlign w:val="subscript"/>
        </w:rPr>
        <w:t>2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-receptory a inhibičným účinkom na acetylcholínesterázu. Itoprid aktivuje uvoľnenie acetylcholínu a inhibuje jeho degradáciu.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má aj antiemetický účinok, založený na interakcii s D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  <w:vertAlign w:val="subscript"/>
        </w:rPr>
        <w:t>2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-receptormi nachádzajúcimi sa v chemoreceptorovej spúšťacej zóne. Tento účinok sa demonštroval od dávky závislou inhibíciou apomorfínom navodeného vracania u psov.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urýchľuje vyprázdňovanie žalúdka u ľudí.</w:t>
      </w:r>
    </w:p>
    <w:p w:rsidR="00777F2C" w:rsidRPr="0065458E" w:rsidRDefault="00777F2C" w:rsidP="002F79EB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 jednodávkových štúdiách na psoch bolo dokázané, že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i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toprid podporuje vyprázdňovanie žalúdka.</w:t>
      </w:r>
    </w:p>
    <w:p w:rsidR="00777F2C" w:rsidRPr="0065458E" w:rsidRDefault="00777F2C" w:rsidP="00F17540">
      <w:pPr>
        <w:pStyle w:val="Default"/>
        <w:rPr>
          <w:noProof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Itoprid má vysoko špecifický účinok na hornú časť gastrointestinálneho traktu.</w:t>
      </w:r>
    </w:p>
    <w:p w:rsidR="00777F2C" w:rsidRPr="0065458E" w:rsidRDefault="00777F2C" w:rsidP="002F79EB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neovplyvňuje sérové koncentrácie gastrínu.</w:t>
      </w:r>
    </w:p>
    <w:p w:rsidR="00777F2C" w:rsidRPr="00FD6438" w:rsidRDefault="00777F2C" w:rsidP="00836005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5.2</w:t>
      </w:r>
      <w:r w:rsidRPr="0065458E">
        <w:rPr>
          <w:b/>
          <w:bCs/>
          <w:noProof/>
          <w:sz w:val="22"/>
          <w:szCs w:val="22"/>
        </w:rPr>
        <w:tab/>
        <w:t>Farmakokinetické vlastnosti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Absorpcia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Itoprid je rýchlo a takmer úplne absorbovaný v gastrointestinálnom trakte. Relatívna biologická dostupnosť asi 60 % je daná metabolizmom pri prvom prechode pečeňou (first-pass metabolizmus). Jedlo neovplyvňuje biologickú dostupnosť lieku. Maximálna plazmatická</w:t>
      </w:r>
      <w:r>
        <w:rPr>
          <w:noProof/>
          <w:sz w:val="22"/>
          <w:szCs w:val="22"/>
        </w:rPr>
        <w:t xml:space="preserve"> koncentrácia sa dosiahne 30 – </w:t>
      </w:r>
      <w:r w:rsidRPr="0065458E">
        <w:rPr>
          <w:noProof/>
          <w:sz w:val="22"/>
          <w:szCs w:val="22"/>
        </w:rPr>
        <w:t>5</w:t>
      </w:r>
      <w:r>
        <w:rPr>
          <w:noProof/>
          <w:sz w:val="22"/>
          <w:szCs w:val="22"/>
        </w:rPr>
        <w:t>0</w:t>
      </w:r>
      <w:r w:rsidRPr="0065458E">
        <w:rPr>
          <w:noProof/>
          <w:sz w:val="22"/>
          <w:szCs w:val="22"/>
        </w:rPr>
        <w:t xml:space="preserve"> minút po podaní 50 mg </w:t>
      </w:r>
      <w:r>
        <w:rPr>
          <w:noProof/>
          <w:sz w:val="22"/>
          <w:szCs w:val="22"/>
        </w:rPr>
        <w:t>i</w:t>
      </w:r>
      <w:r w:rsidRPr="0065458E">
        <w:rPr>
          <w:noProof/>
          <w:sz w:val="22"/>
          <w:szCs w:val="22"/>
        </w:rPr>
        <w:t>toprid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>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Po opakovanom podaní dávok itoprid</w:t>
      </w:r>
      <w:r>
        <w:rPr>
          <w:noProof/>
          <w:sz w:val="22"/>
          <w:szCs w:val="22"/>
        </w:rPr>
        <w:t>u</w:t>
      </w:r>
      <w:r w:rsidRPr="0065458E">
        <w:rPr>
          <w:noProof/>
          <w:sz w:val="22"/>
          <w:szCs w:val="22"/>
        </w:rPr>
        <w:t xml:space="preserve"> v rozsahu 50 až 200 mg 3-krát denne počas 7 dní vykazoval </w:t>
      </w:r>
      <w:r>
        <w:rPr>
          <w:noProof/>
          <w:sz w:val="22"/>
          <w:szCs w:val="22"/>
        </w:rPr>
        <w:t>itoprid</w:t>
      </w:r>
      <w:r w:rsidRPr="0065458E">
        <w:rPr>
          <w:noProof/>
          <w:sz w:val="22"/>
          <w:szCs w:val="22"/>
        </w:rPr>
        <w:t xml:space="preserve"> a jeho metabolity lineárnu farmakokinetiku s minimálnou akumuláciou.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Distribúcia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Približne 96 % itopri</w:t>
      </w:r>
      <w:r>
        <w:rPr>
          <w:noProof/>
          <w:sz w:val="22"/>
          <w:szCs w:val="22"/>
        </w:rPr>
        <w:t>d</w:t>
      </w:r>
      <w:r w:rsidRPr="0065458E">
        <w:rPr>
          <w:noProof/>
          <w:sz w:val="22"/>
          <w:szCs w:val="22"/>
        </w:rPr>
        <w:t>u sa viaže na plazmatické bielkoviny</w:t>
      </w:r>
      <w:r>
        <w:rPr>
          <w:noProof/>
          <w:sz w:val="22"/>
          <w:szCs w:val="22"/>
        </w:rPr>
        <w:t>, najmä albumín</w:t>
      </w:r>
      <w:r w:rsidRPr="0065458E">
        <w:rPr>
          <w:noProof/>
          <w:sz w:val="22"/>
          <w:szCs w:val="22"/>
        </w:rPr>
        <w:t>. Vo väzbe podiel α-1-kyslého glykoproteínu predstavuje menej ako 15 % väzby.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 xml:space="preserve">U potkanov sa </w:t>
      </w:r>
      <w:r>
        <w:rPr>
          <w:noProof/>
          <w:sz w:val="22"/>
          <w:szCs w:val="22"/>
        </w:rPr>
        <w:t>itoprid</w:t>
      </w:r>
      <w:r w:rsidRPr="0065458E">
        <w:rPr>
          <w:noProof/>
          <w:sz w:val="22"/>
          <w:szCs w:val="22"/>
        </w:rPr>
        <w:t xml:space="preserve"> distribuuje do tkanív v rozsiahlej miere</w:t>
      </w:r>
      <w:r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(Vd</w:t>
      </w:r>
      <w:r w:rsidRPr="0065458E">
        <w:rPr>
          <w:noProof/>
          <w:sz w:val="22"/>
          <w:szCs w:val="22"/>
          <w:vertAlign w:val="subscript"/>
        </w:rPr>
        <w:t>ß</w:t>
      </w:r>
      <w:r w:rsidRPr="0065458E">
        <w:rPr>
          <w:noProof/>
          <w:sz w:val="22"/>
          <w:szCs w:val="22"/>
        </w:rPr>
        <w:t xml:space="preserve">= 6,1 l/kg) s výnimkou centrálneho nervového systému. Vysokú koncentráciu dosahuje v obličkách, tenkom čreve, pečeni, nadobličkách a v žalúdku. Väzba na proteíny u potkanov bola nižšia ako u ľudí (78 % oproti 96 %). Prechod do CNS bol minimálny. </w:t>
      </w:r>
      <w:r>
        <w:rPr>
          <w:noProof/>
          <w:sz w:val="22"/>
          <w:szCs w:val="22"/>
        </w:rPr>
        <w:t>Itoprid</w:t>
      </w:r>
      <w:r w:rsidRPr="0065458E">
        <w:rPr>
          <w:noProof/>
          <w:sz w:val="22"/>
          <w:szCs w:val="22"/>
        </w:rPr>
        <w:t xml:space="preserve"> prechádza do materského mlieka </w:t>
      </w:r>
      <w:r>
        <w:rPr>
          <w:noProof/>
          <w:sz w:val="22"/>
          <w:szCs w:val="22"/>
        </w:rPr>
        <w:t>laktujú</w:t>
      </w:r>
      <w:r w:rsidRPr="0065458E">
        <w:rPr>
          <w:noProof/>
          <w:sz w:val="22"/>
          <w:szCs w:val="22"/>
        </w:rPr>
        <w:t>cich potkanov.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  <w:r w:rsidRPr="0065458E">
        <w:rPr>
          <w:noProof/>
          <w:sz w:val="22"/>
          <w:szCs w:val="22"/>
          <w:u w:val="single"/>
        </w:rPr>
        <w:t>Biotransformácia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Itoprid </w:t>
      </w:r>
      <w:r w:rsidRPr="0065458E">
        <w:rPr>
          <w:rFonts w:ascii="Times New Roman" w:hAnsi="Times New Roman" w:cs="Times New Roman"/>
          <w:noProof/>
          <w:sz w:val="22"/>
          <w:szCs w:val="22"/>
        </w:rPr>
        <w:t xml:space="preserve">sa u ľudí v rozsiahlej miere metabolizuje v pečeni. Identifikovali sa tri metabolity, </w:t>
      </w:r>
      <w:r w:rsidRPr="00BE108C">
        <w:rPr>
          <w:rFonts w:ascii="Times New Roman" w:hAnsi="Times New Roman" w:cs="Times New Roman"/>
          <w:noProof/>
          <w:sz w:val="22"/>
          <w:szCs w:val="22"/>
        </w:rPr>
        <w:t>z ktorých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</w:t>
      </w:r>
      <w:r w:rsidRPr="005E0CBF">
        <w:rPr>
          <w:rFonts w:ascii="Times New Roman" w:hAnsi="Times New Roman" w:cs="Times New Roman"/>
          <w:noProof/>
          <w:sz w:val="22"/>
          <w:szCs w:val="22"/>
        </w:rPr>
        <w:t>len jeden vykazuje slabú aktivitu bez farmakologického významu (približne 2 až 3 % účinku itopridu).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Primárnym metabolitom u ľudí je N-oxid, ktorý vzniká oxidáciou terciárnej amino-N-dimetylovej skupiny.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Itoprid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sa metabolizuje flavín monooxygenázou (FMO3).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M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nožstvo a účinnosť ľudských izoenzýmov FMO môže mať súvislosť s genetickým polymorfizmom, čo môže viesť k zriedkavému autozomálne recesívnemu stavu, známemu ako trimetylaminúria (syndróm rybieho zápachu). Polčas </w:t>
      </w:r>
      <w:r w:rsidRPr="00BE108C">
        <w:rPr>
          <w:rFonts w:ascii="Times New Roman" w:hAnsi="Times New Roman" w:cs="Times New Roman"/>
          <w:noProof/>
          <w:sz w:val="22"/>
          <w:szCs w:val="22"/>
        </w:rPr>
        <w:t>itoprid</w:t>
      </w:r>
      <w:r>
        <w:rPr>
          <w:rFonts w:ascii="Times New Roman" w:hAnsi="Times New Roman" w:cs="Times New Roman"/>
          <w:noProof/>
          <w:sz w:val="22"/>
          <w:szCs w:val="22"/>
        </w:rPr>
        <w:t>u</w:t>
      </w: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môže byť u pacientov s trimetylaminúriou dlhší.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Farmakokinetické štúdie reakcií sprostredkovaných CYP </w:t>
      </w:r>
      <w:r w:rsidRPr="0065458E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 xml:space="preserve">in vivo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nepreukázali inhibičný ani indukčný účinok </w:t>
      </w:r>
      <w:r w:rsidRPr="00BE108C">
        <w:rPr>
          <w:rFonts w:ascii="Times New Roman" w:hAnsi="Times New Roman" w:cs="Times New Roman"/>
          <w:noProof/>
          <w:sz w:val="22"/>
          <w:szCs w:val="22"/>
        </w:rPr>
        <w:t>itoprid</w:t>
      </w:r>
      <w:r>
        <w:rPr>
          <w:rFonts w:ascii="Times New Roman" w:hAnsi="Times New Roman" w:cs="Times New Roman"/>
          <w:noProof/>
          <w:sz w:val="22"/>
          <w:szCs w:val="22"/>
        </w:rPr>
        <w:t>u</w:t>
      </w: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na CYP2C19 a CYP2E1. Podanie itopri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du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nemalo vplyv na obsah CYP ani aktivitu uridíndifosfátglukuronyltransferázy. 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iCs/>
          <w:noProof/>
          <w:color w:val="auto"/>
          <w:sz w:val="22"/>
          <w:szCs w:val="22"/>
          <w:u w:val="single"/>
        </w:rPr>
      </w:pP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  <w:u w:val="single"/>
        </w:rPr>
      </w:pPr>
      <w:r w:rsidRPr="0065458E">
        <w:rPr>
          <w:rFonts w:ascii="Times New Roman" w:hAnsi="Times New Roman" w:cs="Times New Roman"/>
          <w:iCs/>
          <w:noProof/>
          <w:color w:val="auto"/>
          <w:sz w:val="22"/>
          <w:szCs w:val="22"/>
          <w:u w:val="single"/>
        </w:rPr>
        <w:t>Eliminácia</w:t>
      </w:r>
    </w:p>
    <w:p w:rsidR="00777F2C" w:rsidRPr="0065458E" w:rsidRDefault="00777F2C" w:rsidP="002E7F3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Itoprid</w:t>
      </w:r>
      <w:r w:rsidRPr="00BE108C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a jeho metabolity sa primárne vylučujú do moču. Množstvo močom vylúčeného itopridu po jednorazovom perorálnom podaní liečebnej dávky zdravým jedincom je 3,7 % a jeho N-oxidu 75,4 %. </w:t>
      </w:r>
    </w:p>
    <w:p w:rsidR="00777F2C" w:rsidRPr="0065458E" w:rsidRDefault="00777F2C" w:rsidP="002E7F3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Polčas vylučovania itopridu je približne 6 hodín.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5.3</w:t>
      </w:r>
      <w:r w:rsidRPr="0065458E">
        <w:rPr>
          <w:b/>
          <w:bCs/>
          <w:noProof/>
          <w:sz w:val="22"/>
          <w:szCs w:val="22"/>
        </w:rPr>
        <w:tab/>
        <w:t>Predklinické údaje o bezpečnosti</w:t>
      </w:r>
    </w:p>
    <w:p w:rsidR="00777F2C" w:rsidRPr="0065458E" w:rsidRDefault="00777F2C" w:rsidP="00910078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Predklinické štúdie bezpečnosti sa vykonali len s dávkami vysoko presahujúcimi liečebné dávky u človeka a zistené účinky majú malý význam pre použitie itopridu u ľudí. Okrem toho, ľudia sú menej náchylní na hormonálne účinky, ktoré sa zaznamenali u zvierat.</w:t>
      </w:r>
    </w:p>
    <w:p w:rsidR="00777F2C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5E0CBF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Perorálne podaná jednorazová letálna dávka bola 2 000 mg/kg u myší a potkanov a približne 600 mg/kg u psov.</w:t>
      </w:r>
    </w:p>
    <w:p w:rsidR="00777F2C" w:rsidRPr="0065458E" w:rsidRDefault="00777F2C" w:rsidP="005E0CBF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Vysoké dávky itopridu (30 mg/kg/deň) vyvolali u potkanov hyperprolaktinémiu a sekundárnu reverzibilnú hyperpláziu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sliznice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maternice, avšak tento jav nebol pozorovaný u psov (do dávky 100 mg/kg/deň) alebo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opíc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(do dávky 300 mg/kg/deň).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 3-mesačnej štúdii toxicity na psoch sa zistila atrofia prostaty po perorálnych dávkach itopridu 30 mg/kg/deň, avšak nie po perorálnom podávaní vyšších dávok (100 mg/kg/deň) potkanom alebo ešte vyšších dávok (300 mg/kg/deň) 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opiciam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– tieto dávky boli podávané po dobu až 6 mesiacov.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Dlhodobé štúdie karcinogénneho potenciálu itoprid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u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 na zvieratách sa nevykonali.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V sérii </w:t>
      </w:r>
      <w:r w:rsidRPr="0065458E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 xml:space="preserve">in vitro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 xml:space="preserve">a </w:t>
      </w:r>
      <w:r w:rsidRPr="0065458E">
        <w:rPr>
          <w:rFonts w:ascii="Times New Roman" w:hAnsi="Times New Roman" w:cs="Times New Roman"/>
          <w:i/>
          <w:iCs/>
          <w:noProof/>
          <w:color w:val="auto"/>
          <w:sz w:val="22"/>
          <w:szCs w:val="22"/>
        </w:rPr>
        <w:t xml:space="preserve">in vivo 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skúšok sa nezistil klastogénny ani mutagénny účinok itoprid</w:t>
      </w:r>
      <w:r>
        <w:rPr>
          <w:rFonts w:ascii="Times New Roman" w:hAnsi="Times New Roman" w:cs="Times New Roman"/>
          <w:noProof/>
          <w:color w:val="auto"/>
          <w:sz w:val="22"/>
          <w:szCs w:val="22"/>
        </w:rPr>
        <w:t>u</w:t>
      </w:r>
      <w:r w:rsidRPr="0065458E">
        <w:rPr>
          <w:rFonts w:ascii="Times New Roman" w:hAnsi="Times New Roman" w:cs="Times New Roman"/>
          <w:noProof/>
          <w:color w:val="auto"/>
          <w:sz w:val="22"/>
          <w:szCs w:val="22"/>
        </w:rPr>
        <w:t>.</w:t>
      </w:r>
    </w:p>
    <w:p w:rsidR="00777F2C" w:rsidRPr="0065458E" w:rsidRDefault="00777F2C" w:rsidP="00F17540">
      <w:pPr>
        <w:pStyle w:val="Default"/>
        <w:rPr>
          <w:rFonts w:ascii="Times New Roman" w:hAnsi="Times New Roman" w:cs="Times New Roman"/>
          <w:noProof/>
          <w:color w:val="auto"/>
          <w:sz w:val="22"/>
          <w:szCs w:val="22"/>
        </w:rPr>
      </w:pPr>
    </w:p>
    <w:p w:rsidR="00777F2C" w:rsidRPr="0065458E" w:rsidRDefault="00777F2C" w:rsidP="00910078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V štúdiách fertility u</w:t>
      </w:r>
      <w:r>
        <w:rPr>
          <w:noProof/>
          <w:sz w:val="22"/>
          <w:szCs w:val="22"/>
        </w:rPr>
        <w:t> </w:t>
      </w:r>
      <w:r w:rsidRPr="0065458E">
        <w:rPr>
          <w:noProof/>
          <w:sz w:val="22"/>
          <w:szCs w:val="22"/>
        </w:rPr>
        <w:t>samíc</w:t>
      </w:r>
      <w:r>
        <w:rPr>
          <w:noProof/>
          <w:sz w:val="22"/>
          <w:szCs w:val="22"/>
        </w:rPr>
        <w:t xml:space="preserve"> potkanov</w:t>
      </w:r>
      <w:r w:rsidRPr="0065458E">
        <w:rPr>
          <w:noProof/>
          <w:sz w:val="22"/>
          <w:szCs w:val="22"/>
        </w:rPr>
        <w:t>, ktoré dostávali dávku 30 mg/kg/deň alebo vyššiu, sa zistila hyperprolaktinémia a sekundárn</w:t>
      </w:r>
      <w:r>
        <w:rPr>
          <w:noProof/>
          <w:sz w:val="22"/>
          <w:szCs w:val="22"/>
        </w:rPr>
        <w:t>e</w:t>
      </w:r>
      <w:r w:rsidRPr="0065458E">
        <w:rPr>
          <w:noProof/>
          <w:sz w:val="22"/>
          <w:szCs w:val="22"/>
        </w:rPr>
        <w:t xml:space="preserve"> predĺžen</w:t>
      </w:r>
      <w:r>
        <w:rPr>
          <w:noProof/>
          <w:sz w:val="22"/>
          <w:szCs w:val="22"/>
        </w:rPr>
        <w:t>ie</w:t>
      </w:r>
      <w:r w:rsidRPr="0065458E">
        <w:rPr>
          <w:noProof/>
          <w:sz w:val="22"/>
          <w:szCs w:val="22"/>
        </w:rPr>
        <w:t xml:space="preserve"> estr</w:t>
      </w:r>
      <w:r>
        <w:rPr>
          <w:noProof/>
          <w:sz w:val="22"/>
          <w:szCs w:val="22"/>
        </w:rPr>
        <w:t>álneho</w:t>
      </w:r>
      <w:r w:rsidRPr="0065458E">
        <w:rPr>
          <w:noProof/>
          <w:sz w:val="22"/>
          <w:szCs w:val="22"/>
        </w:rPr>
        <w:t xml:space="preserve"> cyklu. Pri dávkach 300 mg/kg/deň sa pozoroval aj predĺžený predkoitálny interval. Nezistil sa vedľajší účinok na kopuláciu alebo fertilitu.</w:t>
      </w:r>
    </w:p>
    <w:p w:rsidR="00777F2C" w:rsidRPr="00FD6438" w:rsidRDefault="00777F2C" w:rsidP="00836005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FD6438" w:rsidRDefault="00777F2C" w:rsidP="00756206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</w:t>
      </w:r>
      <w:r w:rsidRPr="0065458E">
        <w:rPr>
          <w:b/>
          <w:bCs/>
          <w:noProof/>
          <w:sz w:val="22"/>
          <w:szCs w:val="22"/>
        </w:rPr>
        <w:tab/>
        <w:t>FARMACEUTICKÉ INFORMÁCIE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6.1</w:t>
      </w:r>
      <w:r w:rsidRPr="0065458E">
        <w:rPr>
          <w:b/>
          <w:bCs/>
          <w:noProof/>
          <w:sz w:val="22"/>
          <w:szCs w:val="22"/>
        </w:rPr>
        <w:tab/>
        <w:t>Zoznam pomocných látok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monohydrát laktózy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predželatinovaný škrob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sodná soľ kroskarme</w:t>
      </w:r>
      <w:r>
        <w:rPr>
          <w:noProof/>
          <w:sz w:val="22"/>
          <w:szCs w:val="22"/>
        </w:rPr>
        <w:t>l</w:t>
      </w:r>
      <w:r w:rsidRPr="0065458E">
        <w:rPr>
          <w:noProof/>
          <w:sz w:val="22"/>
          <w:szCs w:val="22"/>
        </w:rPr>
        <w:t>ózy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koloidný </w:t>
      </w:r>
      <w:r w:rsidRPr="0065458E">
        <w:rPr>
          <w:noProof/>
          <w:sz w:val="22"/>
          <w:szCs w:val="22"/>
        </w:rPr>
        <w:t>oxid kremičitý</w:t>
      </w:r>
      <w:r>
        <w:rPr>
          <w:noProof/>
          <w:sz w:val="22"/>
          <w:szCs w:val="22"/>
        </w:rPr>
        <w:t xml:space="preserve"> </w:t>
      </w:r>
      <w:r w:rsidRPr="0065458E">
        <w:rPr>
          <w:noProof/>
          <w:sz w:val="22"/>
          <w:szCs w:val="22"/>
        </w:rPr>
        <w:t>bezvodý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magnéziumstearát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6.2</w:t>
      </w:r>
      <w:r w:rsidRPr="0065458E">
        <w:rPr>
          <w:b/>
          <w:bCs/>
          <w:noProof/>
          <w:sz w:val="22"/>
          <w:szCs w:val="22"/>
        </w:rPr>
        <w:tab/>
        <w:t>Inkompatibility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Neaplikovateľné.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6.3</w:t>
      </w:r>
      <w:r w:rsidRPr="0065458E">
        <w:rPr>
          <w:b/>
          <w:bCs/>
          <w:noProof/>
          <w:sz w:val="22"/>
          <w:szCs w:val="22"/>
        </w:rPr>
        <w:tab/>
        <w:t>Čas použiteľnosti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9A41EE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4 </w:t>
      </w:r>
      <w:r w:rsidR="00A86630">
        <w:rPr>
          <w:noProof/>
          <w:sz w:val="22"/>
          <w:szCs w:val="22"/>
        </w:rPr>
        <w:t>roky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6.4</w:t>
      </w:r>
      <w:r w:rsidRPr="0065458E">
        <w:rPr>
          <w:b/>
          <w:bCs/>
          <w:noProof/>
          <w:sz w:val="22"/>
          <w:szCs w:val="22"/>
        </w:rPr>
        <w:tab/>
        <w:t>Špeciálne upozornenia na uchovávanie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Uchovávajte pri teplote do 30°C, uchovávajte v originálnom balení na ochranu pred vlhkosťou.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6.5</w:t>
      </w:r>
      <w:r w:rsidRPr="0065458E">
        <w:rPr>
          <w:b/>
          <w:bCs/>
          <w:noProof/>
          <w:sz w:val="22"/>
          <w:szCs w:val="22"/>
        </w:rPr>
        <w:tab/>
        <w:t>Druh obalu a obsah balenia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3E0B8D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B</w:t>
      </w:r>
      <w:r w:rsidR="00777F2C" w:rsidRPr="0065458E">
        <w:rPr>
          <w:noProof/>
          <w:sz w:val="22"/>
          <w:szCs w:val="22"/>
        </w:rPr>
        <w:t>lister, transparentná PVC/PV</w:t>
      </w:r>
      <w:r w:rsidR="00777F2C">
        <w:rPr>
          <w:noProof/>
          <w:sz w:val="22"/>
          <w:szCs w:val="22"/>
        </w:rPr>
        <w:t>d</w:t>
      </w:r>
      <w:r w:rsidR="00777F2C" w:rsidRPr="0065458E">
        <w:rPr>
          <w:noProof/>
          <w:sz w:val="22"/>
          <w:szCs w:val="22"/>
        </w:rPr>
        <w:t>C/A</w:t>
      </w:r>
      <w:r w:rsidR="00777F2C">
        <w:rPr>
          <w:noProof/>
          <w:sz w:val="22"/>
          <w:szCs w:val="22"/>
        </w:rPr>
        <w:t>LU</w:t>
      </w:r>
      <w:r w:rsidR="00777F2C" w:rsidRPr="0065458E">
        <w:rPr>
          <w:noProof/>
          <w:sz w:val="22"/>
          <w:szCs w:val="22"/>
        </w:rPr>
        <w:t xml:space="preserve"> fólia</w:t>
      </w:r>
      <w:r w:rsidR="00777F2C">
        <w:rPr>
          <w:noProof/>
          <w:sz w:val="22"/>
          <w:szCs w:val="22"/>
        </w:rPr>
        <w:t>,</w:t>
      </w:r>
      <w:r w:rsidR="00777F2C" w:rsidRPr="0065458E">
        <w:rPr>
          <w:noProof/>
          <w:sz w:val="22"/>
          <w:szCs w:val="22"/>
        </w:rPr>
        <w:t xml:space="preserve"> papierová škatuľka</w:t>
      </w:r>
      <w:r w:rsidR="00777F2C">
        <w:rPr>
          <w:noProof/>
          <w:sz w:val="22"/>
          <w:szCs w:val="22"/>
        </w:rPr>
        <w:t>, písomná informácia</w:t>
      </w:r>
      <w:r w:rsidR="00777F2C" w:rsidRPr="0065458E">
        <w:rPr>
          <w:noProof/>
          <w:sz w:val="22"/>
          <w:szCs w:val="22"/>
        </w:rPr>
        <w:t xml:space="preserve"> pre používateľa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525CBF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0F2D9C">
        <w:rPr>
          <w:noProof/>
          <w:sz w:val="22"/>
          <w:szCs w:val="22"/>
        </w:rPr>
        <w:t>Veľkosť balenia</w:t>
      </w:r>
      <w:bookmarkStart w:id="0" w:name="_GoBack"/>
      <w:bookmarkEnd w:id="0"/>
      <w:r w:rsidRPr="0065458E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10, 20, 30,</w:t>
      </w:r>
      <w:r w:rsidRPr="0065458E">
        <w:rPr>
          <w:noProof/>
          <w:sz w:val="22"/>
          <w:szCs w:val="22"/>
        </w:rPr>
        <w:t>40</w:t>
      </w:r>
      <w:r>
        <w:rPr>
          <w:noProof/>
          <w:sz w:val="22"/>
          <w:szCs w:val="22"/>
        </w:rPr>
        <w:t xml:space="preserve">, 50, 60, 90, </w:t>
      </w:r>
      <w:r w:rsidRPr="0065458E">
        <w:rPr>
          <w:noProof/>
          <w:sz w:val="22"/>
          <w:szCs w:val="22"/>
        </w:rPr>
        <w:t>100 tabliet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Na trh nemusia byť uvedené všetky veľkosti balenia.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6.6</w:t>
      </w:r>
      <w:r w:rsidRPr="0065458E">
        <w:rPr>
          <w:b/>
          <w:bCs/>
          <w:noProof/>
          <w:sz w:val="22"/>
          <w:szCs w:val="22"/>
        </w:rPr>
        <w:tab/>
        <w:t>Špeciálne opatrenia na likvidáciu a iné zaobchádzanie s liekom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0F2D9C" w:rsidRDefault="00777F2C" w:rsidP="005E0CBF">
      <w:pPr>
        <w:rPr>
          <w:sz w:val="22"/>
          <w:szCs w:val="22"/>
        </w:rPr>
      </w:pPr>
      <w:r w:rsidRPr="000F2D9C">
        <w:rPr>
          <w:sz w:val="22"/>
          <w:szCs w:val="22"/>
        </w:rPr>
        <w:t>Žiadne zvláštne požiadavky na likvidáciu.</w:t>
      </w:r>
    </w:p>
    <w:p w:rsidR="00777F2C" w:rsidRPr="0065458E" w:rsidRDefault="00777F2C" w:rsidP="00E90E60">
      <w:pPr>
        <w:autoSpaceDE w:val="0"/>
        <w:autoSpaceDN w:val="0"/>
        <w:adjustRightInd w:val="0"/>
        <w:rPr>
          <w:rStyle w:val="shorttext1"/>
          <w:noProof/>
          <w:sz w:val="22"/>
          <w:szCs w:val="22"/>
          <w:shd w:val="clear" w:color="auto" w:fill="EBEFF9"/>
        </w:rPr>
      </w:pP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7.</w:t>
      </w:r>
      <w:r w:rsidRPr="0065458E">
        <w:rPr>
          <w:b/>
          <w:bCs/>
          <w:noProof/>
          <w:sz w:val="22"/>
          <w:szCs w:val="22"/>
        </w:rPr>
        <w:tab/>
        <w:t>DRŽITEĽ ROZHODNUTIA O REGISTRÁCII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57837" w:rsidRDefault="00777F2C" w:rsidP="000F2511">
      <w:pPr>
        <w:rPr>
          <w:sz w:val="22"/>
          <w:szCs w:val="22"/>
        </w:rPr>
      </w:pPr>
      <w:r w:rsidRPr="00D57837">
        <w:rPr>
          <w:sz w:val="22"/>
          <w:szCs w:val="22"/>
        </w:rPr>
        <w:t>XANTIS PHARMA LIMITED</w:t>
      </w:r>
    </w:p>
    <w:p w:rsidR="00777F2C" w:rsidRPr="00D57837" w:rsidRDefault="00777F2C" w:rsidP="000F2511">
      <w:pPr>
        <w:rPr>
          <w:sz w:val="22"/>
          <w:szCs w:val="22"/>
        </w:rPr>
      </w:pPr>
      <w:proofErr w:type="spellStart"/>
      <w:r w:rsidRPr="00D57837">
        <w:rPr>
          <w:sz w:val="22"/>
          <w:szCs w:val="22"/>
        </w:rPr>
        <w:t>Lemesou</w:t>
      </w:r>
      <w:proofErr w:type="spellEnd"/>
      <w:r w:rsidRPr="00D57837">
        <w:rPr>
          <w:sz w:val="22"/>
          <w:szCs w:val="22"/>
        </w:rPr>
        <w:t xml:space="preserve"> 5, EUROSURE TOWER</w:t>
      </w:r>
    </w:p>
    <w:p w:rsidR="00777F2C" w:rsidRPr="00D57837" w:rsidRDefault="00777F2C" w:rsidP="000F2511">
      <w:pPr>
        <w:rPr>
          <w:sz w:val="22"/>
          <w:szCs w:val="22"/>
        </w:rPr>
      </w:pPr>
      <w:r w:rsidRPr="00D57837">
        <w:rPr>
          <w:sz w:val="22"/>
          <w:szCs w:val="22"/>
        </w:rPr>
        <w:t xml:space="preserve">1st </w:t>
      </w:r>
      <w:proofErr w:type="spellStart"/>
      <w:r w:rsidRPr="00D57837">
        <w:rPr>
          <w:sz w:val="22"/>
          <w:szCs w:val="22"/>
        </w:rPr>
        <w:t>floor</w:t>
      </w:r>
      <w:proofErr w:type="spellEnd"/>
      <w:r w:rsidRPr="00D57837">
        <w:rPr>
          <w:sz w:val="22"/>
          <w:szCs w:val="22"/>
        </w:rPr>
        <w:t xml:space="preserve">, </w:t>
      </w:r>
      <w:proofErr w:type="spellStart"/>
      <w:r w:rsidRPr="00D57837">
        <w:rPr>
          <w:sz w:val="22"/>
          <w:szCs w:val="22"/>
        </w:rPr>
        <w:t>Flat</w:t>
      </w:r>
      <w:proofErr w:type="spellEnd"/>
      <w:r w:rsidRPr="00D57837">
        <w:rPr>
          <w:sz w:val="22"/>
          <w:szCs w:val="22"/>
        </w:rPr>
        <w:t>/Office 101</w:t>
      </w:r>
    </w:p>
    <w:p w:rsidR="00777F2C" w:rsidRPr="00D57837" w:rsidRDefault="00777F2C" w:rsidP="000F2511">
      <w:pPr>
        <w:rPr>
          <w:sz w:val="22"/>
          <w:szCs w:val="22"/>
        </w:rPr>
      </w:pPr>
      <w:r w:rsidRPr="00D57837">
        <w:rPr>
          <w:sz w:val="22"/>
          <w:szCs w:val="22"/>
        </w:rPr>
        <w:t xml:space="preserve">2112, </w:t>
      </w:r>
      <w:proofErr w:type="spellStart"/>
      <w:r w:rsidRPr="00D57837">
        <w:rPr>
          <w:sz w:val="22"/>
          <w:szCs w:val="22"/>
        </w:rPr>
        <w:t>Nicosia</w:t>
      </w:r>
      <w:proofErr w:type="spellEnd"/>
      <w:r w:rsidRPr="00D57837">
        <w:rPr>
          <w:sz w:val="22"/>
          <w:szCs w:val="22"/>
        </w:rPr>
        <w:t>, Cyprus</w:t>
      </w:r>
    </w:p>
    <w:p w:rsidR="00777F2C" w:rsidRPr="0065458E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8.</w:t>
      </w:r>
      <w:r w:rsidRPr="0065458E">
        <w:rPr>
          <w:b/>
          <w:bCs/>
          <w:noProof/>
          <w:sz w:val="22"/>
          <w:szCs w:val="22"/>
        </w:rPr>
        <w:tab/>
        <w:t>REGISTRAČNÉ ČÍSLO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95784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  <w:r w:rsidRPr="00241EBE">
        <w:rPr>
          <w:bCs/>
          <w:noProof/>
          <w:sz w:val="22"/>
          <w:szCs w:val="22"/>
        </w:rPr>
        <w:t>49/0272/16-S</w:t>
      </w: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DC0153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9.</w:t>
      </w:r>
      <w:r w:rsidRPr="0065458E">
        <w:rPr>
          <w:b/>
          <w:bCs/>
          <w:noProof/>
          <w:sz w:val="22"/>
          <w:szCs w:val="22"/>
        </w:rPr>
        <w:tab/>
        <w:t>DÁTUM PRVEJ REGISTRÁCIE/PREDĹŽENIA REGISTRÁCIE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65458E">
        <w:rPr>
          <w:noProof/>
          <w:sz w:val="22"/>
          <w:szCs w:val="22"/>
        </w:rPr>
        <w:t>Dátum prvej registrácie:</w:t>
      </w:r>
      <w:r>
        <w:rPr>
          <w:noProof/>
          <w:sz w:val="22"/>
          <w:szCs w:val="22"/>
        </w:rPr>
        <w:t xml:space="preserve"> 19. mája 2016</w:t>
      </w: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noProof/>
          <w:sz w:val="22"/>
          <w:szCs w:val="22"/>
        </w:rPr>
      </w:pPr>
    </w:p>
    <w:p w:rsidR="00777F2C" w:rsidRPr="0065458E" w:rsidRDefault="00777F2C" w:rsidP="00E90E60">
      <w:pPr>
        <w:autoSpaceDE w:val="0"/>
        <w:autoSpaceDN w:val="0"/>
        <w:adjustRightInd w:val="0"/>
        <w:rPr>
          <w:b/>
          <w:bCs/>
          <w:noProof/>
          <w:sz w:val="22"/>
          <w:szCs w:val="22"/>
        </w:rPr>
      </w:pPr>
      <w:r w:rsidRPr="0065458E">
        <w:rPr>
          <w:b/>
          <w:bCs/>
          <w:noProof/>
          <w:sz w:val="22"/>
          <w:szCs w:val="22"/>
        </w:rPr>
        <w:t>10.</w:t>
      </w:r>
      <w:r w:rsidRPr="0065458E">
        <w:rPr>
          <w:b/>
          <w:bCs/>
          <w:noProof/>
          <w:sz w:val="22"/>
          <w:szCs w:val="22"/>
        </w:rPr>
        <w:tab/>
        <w:t>DÁTUM REVÍZIE TEXTU</w:t>
      </w:r>
    </w:p>
    <w:p w:rsidR="00777F2C" w:rsidRPr="00FD6438" w:rsidRDefault="00777F2C" w:rsidP="00E90E60">
      <w:pPr>
        <w:autoSpaceDE w:val="0"/>
        <w:autoSpaceDN w:val="0"/>
        <w:adjustRightInd w:val="0"/>
        <w:rPr>
          <w:bCs/>
          <w:noProof/>
          <w:sz w:val="22"/>
          <w:szCs w:val="22"/>
        </w:rPr>
      </w:pPr>
    </w:p>
    <w:p w:rsidR="00777F2C" w:rsidRPr="0065458E" w:rsidRDefault="0037654F" w:rsidP="007A178B">
      <w:pPr>
        <w:rPr>
          <w:noProof/>
          <w:sz w:val="22"/>
          <w:szCs w:val="22"/>
        </w:rPr>
      </w:pPr>
      <w:r>
        <w:rPr>
          <w:bCs/>
          <w:noProof/>
          <w:sz w:val="22"/>
          <w:szCs w:val="22"/>
        </w:rPr>
        <w:t>07/2020</w:t>
      </w:r>
    </w:p>
    <w:sectPr w:rsidR="00777F2C" w:rsidRPr="0065458E" w:rsidSect="00FD643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2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E99" w:rsidRDefault="00950E99">
      <w:r>
        <w:separator/>
      </w:r>
    </w:p>
  </w:endnote>
  <w:endnote w:type="continuationSeparator" w:id="0">
    <w:p w:rsidR="00950E99" w:rsidRDefault="0095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Default="00777F2C" w:rsidP="00E90E60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77F2C" w:rsidRDefault="00777F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012826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777F2C" w:rsidRPr="00FD6438" w:rsidRDefault="0037654F" w:rsidP="00FD6438">
        <w:pPr>
          <w:pStyle w:val="Pta"/>
          <w:jc w:val="center"/>
          <w:rPr>
            <w:sz w:val="18"/>
            <w:szCs w:val="18"/>
          </w:rPr>
        </w:pPr>
        <w:r w:rsidRPr="00FD6438">
          <w:rPr>
            <w:sz w:val="18"/>
            <w:szCs w:val="18"/>
          </w:rPr>
          <w:fldChar w:fldCharType="begin"/>
        </w:r>
        <w:r w:rsidRPr="00FD6438">
          <w:rPr>
            <w:sz w:val="18"/>
            <w:szCs w:val="18"/>
          </w:rPr>
          <w:instrText>PAGE   \* MERGEFORMAT</w:instrText>
        </w:r>
        <w:r w:rsidRPr="00FD6438">
          <w:rPr>
            <w:sz w:val="18"/>
            <w:szCs w:val="18"/>
          </w:rPr>
          <w:fldChar w:fldCharType="separate"/>
        </w:r>
        <w:r w:rsidR="003E0B8D">
          <w:rPr>
            <w:noProof/>
            <w:sz w:val="18"/>
            <w:szCs w:val="18"/>
          </w:rPr>
          <w:t>6</w:t>
        </w:r>
        <w:r w:rsidRPr="00FD6438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Default="00777F2C" w:rsidP="0060571E">
    <w:pPr>
      <w:pStyle w:val="Pta"/>
      <w:jc w:val="center"/>
    </w:pPr>
    <w:r w:rsidRPr="00D57837">
      <w:rPr>
        <w:sz w:val="18"/>
        <w:szCs w:val="18"/>
      </w:rPr>
      <w:fldChar w:fldCharType="begin"/>
    </w:r>
    <w:r w:rsidRPr="00D57837">
      <w:rPr>
        <w:sz w:val="18"/>
        <w:szCs w:val="18"/>
      </w:rPr>
      <w:instrText xml:space="preserve">PAGE   </w:instrText>
    </w:r>
    <w:r>
      <w:rPr>
        <w:sz w:val="18"/>
        <w:szCs w:val="18"/>
      </w:rPr>
      <w:instrText>\</w:instrText>
    </w:r>
    <w:r w:rsidRPr="00D57837">
      <w:rPr>
        <w:sz w:val="18"/>
        <w:szCs w:val="18"/>
      </w:rPr>
      <w:instrText>* MERGEFORMAT</w:instrText>
    </w:r>
    <w:r w:rsidRPr="00D57837">
      <w:rPr>
        <w:sz w:val="18"/>
        <w:szCs w:val="18"/>
      </w:rPr>
      <w:fldChar w:fldCharType="separate"/>
    </w:r>
    <w:r w:rsidR="0037654F">
      <w:rPr>
        <w:noProof/>
        <w:sz w:val="18"/>
        <w:szCs w:val="18"/>
      </w:rPr>
      <w:t>1</w:t>
    </w:r>
    <w:r w:rsidRPr="00D5783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E99" w:rsidRDefault="00950E99">
      <w:r>
        <w:separator/>
      </w:r>
    </w:p>
  </w:footnote>
  <w:footnote w:type="continuationSeparator" w:id="0">
    <w:p w:rsidR="00950E99" w:rsidRDefault="0095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54F" w:rsidRPr="00FD6438" w:rsidRDefault="0037654F">
    <w:pPr>
      <w:pStyle w:val="Hlavika"/>
      <w:rPr>
        <w:rFonts w:ascii="Times New Roman" w:hAnsi="Times New Roman"/>
        <w:sz w:val="18"/>
        <w:szCs w:val="18"/>
      </w:rPr>
    </w:pPr>
    <w:r w:rsidRPr="00FD6438">
      <w:rPr>
        <w:rFonts w:ascii="Times New Roman" w:hAnsi="Times New Roman"/>
        <w:sz w:val="18"/>
        <w:szCs w:val="18"/>
      </w:rPr>
      <w:t>Príloha č.</w:t>
    </w:r>
    <w:r w:rsidRPr="0037654F">
      <w:rPr>
        <w:rFonts w:ascii="Times New Roman" w:hAnsi="Times New Roman"/>
        <w:sz w:val="18"/>
        <w:szCs w:val="18"/>
      </w:rPr>
      <w:t xml:space="preserve"> </w:t>
    </w:r>
    <w:r w:rsidRPr="00FD6438">
      <w:rPr>
        <w:rFonts w:ascii="Times New Roman" w:hAnsi="Times New Roman"/>
        <w:sz w:val="18"/>
        <w:szCs w:val="18"/>
      </w:rPr>
      <w:t>1 k notifikácii o zmene, ev. č.:</w:t>
    </w:r>
    <w:r w:rsidRPr="0037654F">
      <w:rPr>
        <w:rFonts w:ascii="Times New Roman" w:hAnsi="Times New Roman"/>
        <w:sz w:val="18"/>
        <w:szCs w:val="18"/>
      </w:rPr>
      <w:t xml:space="preserve"> 2020/02912-ZIB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F2C" w:rsidRDefault="00777F2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655AD8"/>
    <w:multiLevelType w:val="hybridMultilevel"/>
    <w:tmpl w:val="B04CE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114C7"/>
    <w:multiLevelType w:val="hybridMultilevel"/>
    <w:tmpl w:val="AAF4D70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775CB"/>
    <w:multiLevelType w:val="hybridMultilevel"/>
    <w:tmpl w:val="1E7029F2"/>
    <w:lvl w:ilvl="0" w:tplc="26D40410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56D32207"/>
    <w:multiLevelType w:val="hybridMultilevel"/>
    <w:tmpl w:val="22D827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526B80"/>
    <w:multiLevelType w:val="hybridMultilevel"/>
    <w:tmpl w:val="8FAAD38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8271EC"/>
    <w:multiLevelType w:val="hybridMultilevel"/>
    <w:tmpl w:val="93B87D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752F8B"/>
    <w:multiLevelType w:val="hybridMultilevel"/>
    <w:tmpl w:val="5D5AD9F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60"/>
    <w:rsid w:val="00003DF9"/>
    <w:rsid w:val="000059FA"/>
    <w:rsid w:val="00006506"/>
    <w:rsid w:val="000104CA"/>
    <w:rsid w:val="00017B52"/>
    <w:rsid w:val="00020B55"/>
    <w:rsid w:val="00026F74"/>
    <w:rsid w:val="00034EE7"/>
    <w:rsid w:val="00037259"/>
    <w:rsid w:val="0004470B"/>
    <w:rsid w:val="00052D8E"/>
    <w:rsid w:val="00061380"/>
    <w:rsid w:val="00061FBB"/>
    <w:rsid w:val="000627F8"/>
    <w:rsid w:val="00064906"/>
    <w:rsid w:val="000706A9"/>
    <w:rsid w:val="00080259"/>
    <w:rsid w:val="00081272"/>
    <w:rsid w:val="00085A34"/>
    <w:rsid w:val="00086059"/>
    <w:rsid w:val="00086A64"/>
    <w:rsid w:val="00090983"/>
    <w:rsid w:val="00092A6C"/>
    <w:rsid w:val="000937B6"/>
    <w:rsid w:val="000A47A9"/>
    <w:rsid w:val="000B23E4"/>
    <w:rsid w:val="000B7BC0"/>
    <w:rsid w:val="000C1956"/>
    <w:rsid w:val="000C32D9"/>
    <w:rsid w:val="000D0088"/>
    <w:rsid w:val="000D076A"/>
    <w:rsid w:val="000D74FE"/>
    <w:rsid w:val="000F16C3"/>
    <w:rsid w:val="000F2511"/>
    <w:rsid w:val="000F2D9C"/>
    <w:rsid w:val="000F459B"/>
    <w:rsid w:val="000F5470"/>
    <w:rsid w:val="000F65A9"/>
    <w:rsid w:val="0010027B"/>
    <w:rsid w:val="0011463B"/>
    <w:rsid w:val="00114BE1"/>
    <w:rsid w:val="00144862"/>
    <w:rsid w:val="001572C2"/>
    <w:rsid w:val="001600DE"/>
    <w:rsid w:val="00161201"/>
    <w:rsid w:val="0016435C"/>
    <w:rsid w:val="001706A8"/>
    <w:rsid w:val="00175A34"/>
    <w:rsid w:val="00177F86"/>
    <w:rsid w:val="00192413"/>
    <w:rsid w:val="00195D69"/>
    <w:rsid w:val="001A3286"/>
    <w:rsid w:val="001A4E3B"/>
    <w:rsid w:val="001B0106"/>
    <w:rsid w:val="001B23FA"/>
    <w:rsid w:val="001B70EC"/>
    <w:rsid w:val="001B7D96"/>
    <w:rsid w:val="001C028C"/>
    <w:rsid w:val="001C5519"/>
    <w:rsid w:val="001D09F5"/>
    <w:rsid w:val="001D0E17"/>
    <w:rsid w:val="001D7456"/>
    <w:rsid w:val="001D7750"/>
    <w:rsid w:val="001E218F"/>
    <w:rsid w:val="001F25F1"/>
    <w:rsid w:val="002014A5"/>
    <w:rsid w:val="0020579C"/>
    <w:rsid w:val="00207056"/>
    <w:rsid w:val="00210056"/>
    <w:rsid w:val="00213AF6"/>
    <w:rsid w:val="00213F19"/>
    <w:rsid w:val="00220071"/>
    <w:rsid w:val="00220EC9"/>
    <w:rsid w:val="00232BF2"/>
    <w:rsid w:val="00236FB7"/>
    <w:rsid w:val="00240FB7"/>
    <w:rsid w:val="00241EBE"/>
    <w:rsid w:val="002431E5"/>
    <w:rsid w:val="002437A1"/>
    <w:rsid w:val="00245E0D"/>
    <w:rsid w:val="00246CEE"/>
    <w:rsid w:val="00251AD2"/>
    <w:rsid w:val="002543C3"/>
    <w:rsid w:val="002574FA"/>
    <w:rsid w:val="00262E9D"/>
    <w:rsid w:val="00264715"/>
    <w:rsid w:val="0026575C"/>
    <w:rsid w:val="00265CF1"/>
    <w:rsid w:val="0027785D"/>
    <w:rsid w:val="002831E0"/>
    <w:rsid w:val="0029068F"/>
    <w:rsid w:val="00291573"/>
    <w:rsid w:val="002A0A2B"/>
    <w:rsid w:val="002A46C2"/>
    <w:rsid w:val="002A6294"/>
    <w:rsid w:val="002A7C6B"/>
    <w:rsid w:val="002B036F"/>
    <w:rsid w:val="002B3C3D"/>
    <w:rsid w:val="002C63CE"/>
    <w:rsid w:val="002D2D16"/>
    <w:rsid w:val="002D3FE9"/>
    <w:rsid w:val="002D7050"/>
    <w:rsid w:val="002E2318"/>
    <w:rsid w:val="002E409C"/>
    <w:rsid w:val="002E6FA1"/>
    <w:rsid w:val="002E77A3"/>
    <w:rsid w:val="002E7F30"/>
    <w:rsid w:val="002F4885"/>
    <w:rsid w:val="002F79EB"/>
    <w:rsid w:val="00311560"/>
    <w:rsid w:val="0032053C"/>
    <w:rsid w:val="0032249D"/>
    <w:rsid w:val="00325A7F"/>
    <w:rsid w:val="00326949"/>
    <w:rsid w:val="00326D9C"/>
    <w:rsid w:val="00327184"/>
    <w:rsid w:val="003273C0"/>
    <w:rsid w:val="00330366"/>
    <w:rsid w:val="003515A8"/>
    <w:rsid w:val="003562BA"/>
    <w:rsid w:val="0037496B"/>
    <w:rsid w:val="0037654F"/>
    <w:rsid w:val="00387768"/>
    <w:rsid w:val="00391F51"/>
    <w:rsid w:val="003A5F9A"/>
    <w:rsid w:val="003A6645"/>
    <w:rsid w:val="003B22ED"/>
    <w:rsid w:val="003B421B"/>
    <w:rsid w:val="003C0390"/>
    <w:rsid w:val="003E0306"/>
    <w:rsid w:val="003E0B8D"/>
    <w:rsid w:val="003E6AE0"/>
    <w:rsid w:val="004023D9"/>
    <w:rsid w:val="004061D2"/>
    <w:rsid w:val="00411100"/>
    <w:rsid w:val="00417BF7"/>
    <w:rsid w:val="00424D85"/>
    <w:rsid w:val="00433FEA"/>
    <w:rsid w:val="00434695"/>
    <w:rsid w:val="004371D7"/>
    <w:rsid w:val="0044303E"/>
    <w:rsid w:val="00450553"/>
    <w:rsid w:val="004613C0"/>
    <w:rsid w:val="0046147B"/>
    <w:rsid w:val="0046423B"/>
    <w:rsid w:val="00464FCE"/>
    <w:rsid w:val="00466598"/>
    <w:rsid w:val="00466B27"/>
    <w:rsid w:val="00466CBC"/>
    <w:rsid w:val="00466DA2"/>
    <w:rsid w:val="004767F2"/>
    <w:rsid w:val="0047798D"/>
    <w:rsid w:val="0048515F"/>
    <w:rsid w:val="004908A8"/>
    <w:rsid w:val="00493EF7"/>
    <w:rsid w:val="004A2AE0"/>
    <w:rsid w:val="004A5286"/>
    <w:rsid w:val="004B2485"/>
    <w:rsid w:val="004B30C3"/>
    <w:rsid w:val="004B6548"/>
    <w:rsid w:val="004C052A"/>
    <w:rsid w:val="004C3D14"/>
    <w:rsid w:val="004D1389"/>
    <w:rsid w:val="004D37A3"/>
    <w:rsid w:val="004D4965"/>
    <w:rsid w:val="004D7451"/>
    <w:rsid w:val="004D7905"/>
    <w:rsid w:val="004E478B"/>
    <w:rsid w:val="004E4C1C"/>
    <w:rsid w:val="004E5CDC"/>
    <w:rsid w:val="004F2AAC"/>
    <w:rsid w:val="004F38B9"/>
    <w:rsid w:val="004F67D0"/>
    <w:rsid w:val="00501E15"/>
    <w:rsid w:val="00502441"/>
    <w:rsid w:val="00504442"/>
    <w:rsid w:val="005065B0"/>
    <w:rsid w:val="00510A3F"/>
    <w:rsid w:val="00515710"/>
    <w:rsid w:val="00521C8F"/>
    <w:rsid w:val="005253EF"/>
    <w:rsid w:val="00525CBF"/>
    <w:rsid w:val="00535F45"/>
    <w:rsid w:val="00542109"/>
    <w:rsid w:val="00547631"/>
    <w:rsid w:val="00547BD8"/>
    <w:rsid w:val="00550852"/>
    <w:rsid w:val="005567B0"/>
    <w:rsid w:val="005645A0"/>
    <w:rsid w:val="005715BA"/>
    <w:rsid w:val="005722D4"/>
    <w:rsid w:val="00573CD3"/>
    <w:rsid w:val="00580CE9"/>
    <w:rsid w:val="00591638"/>
    <w:rsid w:val="00591C71"/>
    <w:rsid w:val="00594CB3"/>
    <w:rsid w:val="00596F21"/>
    <w:rsid w:val="00597F99"/>
    <w:rsid w:val="005A23F9"/>
    <w:rsid w:val="005A43BA"/>
    <w:rsid w:val="005B3CEB"/>
    <w:rsid w:val="005C070E"/>
    <w:rsid w:val="005C1513"/>
    <w:rsid w:val="005C1845"/>
    <w:rsid w:val="005C5317"/>
    <w:rsid w:val="005C6A92"/>
    <w:rsid w:val="005C7B31"/>
    <w:rsid w:val="005D2CB4"/>
    <w:rsid w:val="005E0CBF"/>
    <w:rsid w:val="005E447D"/>
    <w:rsid w:val="005E4FC2"/>
    <w:rsid w:val="005F04E1"/>
    <w:rsid w:val="005F38D6"/>
    <w:rsid w:val="005F4F32"/>
    <w:rsid w:val="005F7EE8"/>
    <w:rsid w:val="00604329"/>
    <w:rsid w:val="00604B5F"/>
    <w:rsid w:val="0060571E"/>
    <w:rsid w:val="006058B5"/>
    <w:rsid w:val="00606A0D"/>
    <w:rsid w:val="006123B3"/>
    <w:rsid w:val="0061460B"/>
    <w:rsid w:val="00616459"/>
    <w:rsid w:val="0062162D"/>
    <w:rsid w:val="006220A3"/>
    <w:rsid w:val="00624068"/>
    <w:rsid w:val="006242E7"/>
    <w:rsid w:val="00626F7E"/>
    <w:rsid w:val="00627649"/>
    <w:rsid w:val="00627CB7"/>
    <w:rsid w:val="00636347"/>
    <w:rsid w:val="0063658B"/>
    <w:rsid w:val="006415DD"/>
    <w:rsid w:val="00645C73"/>
    <w:rsid w:val="00645D03"/>
    <w:rsid w:val="00650CE9"/>
    <w:rsid w:val="00651A75"/>
    <w:rsid w:val="006543AA"/>
    <w:rsid w:val="0065458E"/>
    <w:rsid w:val="00655EF9"/>
    <w:rsid w:val="00664878"/>
    <w:rsid w:val="006747B9"/>
    <w:rsid w:val="00675D3C"/>
    <w:rsid w:val="00682D47"/>
    <w:rsid w:val="00683B90"/>
    <w:rsid w:val="00686F8C"/>
    <w:rsid w:val="00690E11"/>
    <w:rsid w:val="0069137D"/>
    <w:rsid w:val="00697720"/>
    <w:rsid w:val="006A10BD"/>
    <w:rsid w:val="006A6FBD"/>
    <w:rsid w:val="006B0767"/>
    <w:rsid w:val="006B1680"/>
    <w:rsid w:val="006B2131"/>
    <w:rsid w:val="006C0E83"/>
    <w:rsid w:val="006C35CA"/>
    <w:rsid w:val="006C4F86"/>
    <w:rsid w:val="006D31BD"/>
    <w:rsid w:val="006D4B16"/>
    <w:rsid w:val="006D5BD6"/>
    <w:rsid w:val="006E54F9"/>
    <w:rsid w:val="006E6F31"/>
    <w:rsid w:val="006F2A00"/>
    <w:rsid w:val="00700719"/>
    <w:rsid w:val="00700F25"/>
    <w:rsid w:val="00710451"/>
    <w:rsid w:val="00710931"/>
    <w:rsid w:val="00711A83"/>
    <w:rsid w:val="007161CC"/>
    <w:rsid w:val="00723BCE"/>
    <w:rsid w:val="007245C3"/>
    <w:rsid w:val="0072538E"/>
    <w:rsid w:val="00727DC7"/>
    <w:rsid w:val="00730C97"/>
    <w:rsid w:val="00737755"/>
    <w:rsid w:val="00745498"/>
    <w:rsid w:val="00746057"/>
    <w:rsid w:val="007460AE"/>
    <w:rsid w:val="00746582"/>
    <w:rsid w:val="00747BCB"/>
    <w:rsid w:val="00753EF0"/>
    <w:rsid w:val="00756206"/>
    <w:rsid w:val="0076419F"/>
    <w:rsid w:val="007666CA"/>
    <w:rsid w:val="00773076"/>
    <w:rsid w:val="00777F2C"/>
    <w:rsid w:val="00784744"/>
    <w:rsid w:val="0079782E"/>
    <w:rsid w:val="007A178B"/>
    <w:rsid w:val="007B5591"/>
    <w:rsid w:val="007B6119"/>
    <w:rsid w:val="007B6521"/>
    <w:rsid w:val="007D0A9D"/>
    <w:rsid w:val="007D2EB8"/>
    <w:rsid w:val="007D2FC8"/>
    <w:rsid w:val="007E0F0F"/>
    <w:rsid w:val="007E0FE8"/>
    <w:rsid w:val="007E1C05"/>
    <w:rsid w:val="007E58FB"/>
    <w:rsid w:val="007F31F6"/>
    <w:rsid w:val="007F5FEA"/>
    <w:rsid w:val="007F6660"/>
    <w:rsid w:val="007F7E50"/>
    <w:rsid w:val="008048EF"/>
    <w:rsid w:val="00805953"/>
    <w:rsid w:val="00806FB0"/>
    <w:rsid w:val="0081346B"/>
    <w:rsid w:val="00815E2A"/>
    <w:rsid w:val="00817126"/>
    <w:rsid w:val="008235F9"/>
    <w:rsid w:val="00824045"/>
    <w:rsid w:val="008262DE"/>
    <w:rsid w:val="008357E0"/>
    <w:rsid w:val="00836005"/>
    <w:rsid w:val="008434F2"/>
    <w:rsid w:val="00845C28"/>
    <w:rsid w:val="008523B5"/>
    <w:rsid w:val="008537E1"/>
    <w:rsid w:val="00873A77"/>
    <w:rsid w:val="00885D16"/>
    <w:rsid w:val="00893F2F"/>
    <w:rsid w:val="0089647E"/>
    <w:rsid w:val="008A06B8"/>
    <w:rsid w:val="008B3DB8"/>
    <w:rsid w:val="008B7512"/>
    <w:rsid w:val="008C24D6"/>
    <w:rsid w:val="008C2D57"/>
    <w:rsid w:val="008E6213"/>
    <w:rsid w:val="008F1393"/>
    <w:rsid w:val="008F7BB9"/>
    <w:rsid w:val="00901FFC"/>
    <w:rsid w:val="0090249F"/>
    <w:rsid w:val="00902CB2"/>
    <w:rsid w:val="00910078"/>
    <w:rsid w:val="00931867"/>
    <w:rsid w:val="00934F39"/>
    <w:rsid w:val="009438C7"/>
    <w:rsid w:val="00944FB8"/>
    <w:rsid w:val="00945A03"/>
    <w:rsid w:val="00946758"/>
    <w:rsid w:val="00950E99"/>
    <w:rsid w:val="0095649B"/>
    <w:rsid w:val="00960BBB"/>
    <w:rsid w:val="00976ED8"/>
    <w:rsid w:val="009860EB"/>
    <w:rsid w:val="009A3999"/>
    <w:rsid w:val="009A41EE"/>
    <w:rsid w:val="009A4448"/>
    <w:rsid w:val="009B1F9D"/>
    <w:rsid w:val="009B3F7A"/>
    <w:rsid w:val="009B61C6"/>
    <w:rsid w:val="009C00F0"/>
    <w:rsid w:val="009D6914"/>
    <w:rsid w:val="009E6F54"/>
    <w:rsid w:val="009F4E22"/>
    <w:rsid w:val="009F695F"/>
    <w:rsid w:val="00A12995"/>
    <w:rsid w:val="00A12EFD"/>
    <w:rsid w:val="00A270F4"/>
    <w:rsid w:val="00A30388"/>
    <w:rsid w:val="00A320BA"/>
    <w:rsid w:val="00A464E4"/>
    <w:rsid w:val="00A536BD"/>
    <w:rsid w:val="00A55842"/>
    <w:rsid w:val="00A61BB0"/>
    <w:rsid w:val="00A67382"/>
    <w:rsid w:val="00A70AFD"/>
    <w:rsid w:val="00A77C96"/>
    <w:rsid w:val="00A86630"/>
    <w:rsid w:val="00A96311"/>
    <w:rsid w:val="00A971DB"/>
    <w:rsid w:val="00AA0A94"/>
    <w:rsid w:val="00AB0F54"/>
    <w:rsid w:val="00AB4CC7"/>
    <w:rsid w:val="00AB7AE5"/>
    <w:rsid w:val="00AC0CE6"/>
    <w:rsid w:val="00AC368D"/>
    <w:rsid w:val="00AC59ED"/>
    <w:rsid w:val="00AC7511"/>
    <w:rsid w:val="00AD0B99"/>
    <w:rsid w:val="00AD40F7"/>
    <w:rsid w:val="00AE4731"/>
    <w:rsid w:val="00AE7C2B"/>
    <w:rsid w:val="00AF28D3"/>
    <w:rsid w:val="00AF36ED"/>
    <w:rsid w:val="00AF5F8F"/>
    <w:rsid w:val="00AF700D"/>
    <w:rsid w:val="00B1079B"/>
    <w:rsid w:val="00B15F20"/>
    <w:rsid w:val="00B172C0"/>
    <w:rsid w:val="00B21DB9"/>
    <w:rsid w:val="00B243CD"/>
    <w:rsid w:val="00B24E69"/>
    <w:rsid w:val="00B2514F"/>
    <w:rsid w:val="00B305AF"/>
    <w:rsid w:val="00B31B53"/>
    <w:rsid w:val="00B512D2"/>
    <w:rsid w:val="00B546D8"/>
    <w:rsid w:val="00B57F59"/>
    <w:rsid w:val="00B6199D"/>
    <w:rsid w:val="00B677BA"/>
    <w:rsid w:val="00B70A3B"/>
    <w:rsid w:val="00B73DDB"/>
    <w:rsid w:val="00B86AC9"/>
    <w:rsid w:val="00B902F6"/>
    <w:rsid w:val="00B94C4F"/>
    <w:rsid w:val="00B94CA0"/>
    <w:rsid w:val="00B977E5"/>
    <w:rsid w:val="00BB005B"/>
    <w:rsid w:val="00BB3515"/>
    <w:rsid w:val="00BB3AE2"/>
    <w:rsid w:val="00BC1E2D"/>
    <w:rsid w:val="00BD0772"/>
    <w:rsid w:val="00BD640E"/>
    <w:rsid w:val="00BE108C"/>
    <w:rsid w:val="00BE446C"/>
    <w:rsid w:val="00BF61DC"/>
    <w:rsid w:val="00C01266"/>
    <w:rsid w:val="00C055F8"/>
    <w:rsid w:val="00C1202D"/>
    <w:rsid w:val="00C14400"/>
    <w:rsid w:val="00C16782"/>
    <w:rsid w:val="00C17CFC"/>
    <w:rsid w:val="00C218D3"/>
    <w:rsid w:val="00C30346"/>
    <w:rsid w:val="00C32E74"/>
    <w:rsid w:val="00C33EE9"/>
    <w:rsid w:val="00C37ED0"/>
    <w:rsid w:val="00C404FC"/>
    <w:rsid w:val="00C50907"/>
    <w:rsid w:val="00C515A7"/>
    <w:rsid w:val="00C5787D"/>
    <w:rsid w:val="00C62530"/>
    <w:rsid w:val="00C67512"/>
    <w:rsid w:val="00C712E2"/>
    <w:rsid w:val="00C71926"/>
    <w:rsid w:val="00C73F4D"/>
    <w:rsid w:val="00C74FDC"/>
    <w:rsid w:val="00C7537E"/>
    <w:rsid w:val="00C76705"/>
    <w:rsid w:val="00C778F3"/>
    <w:rsid w:val="00C8222F"/>
    <w:rsid w:val="00C832D0"/>
    <w:rsid w:val="00C84531"/>
    <w:rsid w:val="00C8519A"/>
    <w:rsid w:val="00C93285"/>
    <w:rsid w:val="00CB0221"/>
    <w:rsid w:val="00CB753A"/>
    <w:rsid w:val="00CC04FC"/>
    <w:rsid w:val="00CC4101"/>
    <w:rsid w:val="00CD19D5"/>
    <w:rsid w:val="00CD2523"/>
    <w:rsid w:val="00CD6472"/>
    <w:rsid w:val="00CD7255"/>
    <w:rsid w:val="00CE2C2D"/>
    <w:rsid w:val="00CE37E4"/>
    <w:rsid w:val="00CE412B"/>
    <w:rsid w:val="00CF7307"/>
    <w:rsid w:val="00D001AB"/>
    <w:rsid w:val="00D04714"/>
    <w:rsid w:val="00D1052C"/>
    <w:rsid w:val="00D11E27"/>
    <w:rsid w:val="00D1203A"/>
    <w:rsid w:val="00D212B5"/>
    <w:rsid w:val="00D47647"/>
    <w:rsid w:val="00D50C33"/>
    <w:rsid w:val="00D57837"/>
    <w:rsid w:val="00D63A89"/>
    <w:rsid w:val="00D64E51"/>
    <w:rsid w:val="00D71129"/>
    <w:rsid w:val="00D836C2"/>
    <w:rsid w:val="00D83797"/>
    <w:rsid w:val="00D8762F"/>
    <w:rsid w:val="00D904DF"/>
    <w:rsid w:val="00D95784"/>
    <w:rsid w:val="00DA5080"/>
    <w:rsid w:val="00DB0634"/>
    <w:rsid w:val="00DB4712"/>
    <w:rsid w:val="00DB6043"/>
    <w:rsid w:val="00DC0153"/>
    <w:rsid w:val="00DC1879"/>
    <w:rsid w:val="00DC18F8"/>
    <w:rsid w:val="00DC3A02"/>
    <w:rsid w:val="00DD6B65"/>
    <w:rsid w:val="00DD6C33"/>
    <w:rsid w:val="00DD7E43"/>
    <w:rsid w:val="00DE0630"/>
    <w:rsid w:val="00DE2BDE"/>
    <w:rsid w:val="00DE4620"/>
    <w:rsid w:val="00DF04D1"/>
    <w:rsid w:val="00DF1B18"/>
    <w:rsid w:val="00DF512E"/>
    <w:rsid w:val="00E009EA"/>
    <w:rsid w:val="00E00D03"/>
    <w:rsid w:val="00E02024"/>
    <w:rsid w:val="00E05E1E"/>
    <w:rsid w:val="00E05E96"/>
    <w:rsid w:val="00E07BCE"/>
    <w:rsid w:val="00E11D0C"/>
    <w:rsid w:val="00E133F2"/>
    <w:rsid w:val="00E20619"/>
    <w:rsid w:val="00E218D5"/>
    <w:rsid w:val="00E33C50"/>
    <w:rsid w:val="00E34364"/>
    <w:rsid w:val="00E37967"/>
    <w:rsid w:val="00E535E6"/>
    <w:rsid w:val="00E6389B"/>
    <w:rsid w:val="00E64D93"/>
    <w:rsid w:val="00E75D0D"/>
    <w:rsid w:val="00E76732"/>
    <w:rsid w:val="00E84393"/>
    <w:rsid w:val="00E86BF3"/>
    <w:rsid w:val="00E87A60"/>
    <w:rsid w:val="00E90E60"/>
    <w:rsid w:val="00E92A3A"/>
    <w:rsid w:val="00E95556"/>
    <w:rsid w:val="00E95619"/>
    <w:rsid w:val="00E959D3"/>
    <w:rsid w:val="00E963EE"/>
    <w:rsid w:val="00EA29F4"/>
    <w:rsid w:val="00EB16FD"/>
    <w:rsid w:val="00EB23BF"/>
    <w:rsid w:val="00EC0923"/>
    <w:rsid w:val="00EC2812"/>
    <w:rsid w:val="00EC2F79"/>
    <w:rsid w:val="00EC4103"/>
    <w:rsid w:val="00EE06BD"/>
    <w:rsid w:val="00EE4D4E"/>
    <w:rsid w:val="00EE52D6"/>
    <w:rsid w:val="00F00746"/>
    <w:rsid w:val="00F01755"/>
    <w:rsid w:val="00F17540"/>
    <w:rsid w:val="00F234B8"/>
    <w:rsid w:val="00F263C0"/>
    <w:rsid w:val="00F328EA"/>
    <w:rsid w:val="00F40A71"/>
    <w:rsid w:val="00F45F1D"/>
    <w:rsid w:val="00F53111"/>
    <w:rsid w:val="00F542F3"/>
    <w:rsid w:val="00F560AD"/>
    <w:rsid w:val="00F658F7"/>
    <w:rsid w:val="00F738BD"/>
    <w:rsid w:val="00F874A5"/>
    <w:rsid w:val="00F91748"/>
    <w:rsid w:val="00F97BC1"/>
    <w:rsid w:val="00FA41B4"/>
    <w:rsid w:val="00FB4145"/>
    <w:rsid w:val="00FC27C9"/>
    <w:rsid w:val="00FC2EDD"/>
    <w:rsid w:val="00FC5007"/>
    <w:rsid w:val="00FC7950"/>
    <w:rsid w:val="00FD2673"/>
    <w:rsid w:val="00FD2C7A"/>
    <w:rsid w:val="00FD5248"/>
    <w:rsid w:val="00FD6438"/>
    <w:rsid w:val="00FE183D"/>
    <w:rsid w:val="00FE58A5"/>
    <w:rsid w:val="00FF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E6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218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A178B"/>
    <w:pPr>
      <w:keepNext/>
      <w:outlineLvl w:val="2"/>
    </w:pPr>
    <w:rPr>
      <w:rFonts w:ascii="Arial" w:hAnsi="Arial" w:cs="Arial"/>
      <w:b/>
      <w:cap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218D3"/>
    <w:rPr>
      <w:rFonts w:ascii="Cambria" w:hAnsi="Cambria" w:cs="Times New Roman"/>
      <w:b/>
      <w:kern w:val="32"/>
      <w:sz w:val="32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64FCE"/>
    <w:rPr>
      <w:rFonts w:ascii="Cambria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E90E60"/>
    <w:pPr>
      <w:tabs>
        <w:tab w:val="center" w:pos="4153"/>
        <w:tab w:val="right" w:pos="8306"/>
      </w:tabs>
    </w:pPr>
    <w:rPr>
      <w:rFonts w:ascii="Arial" w:hAnsi="Arial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BD"/>
    <w:rPr>
      <w:rFonts w:ascii="Arial" w:hAnsi="Arial"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E90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270F4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90E6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E02024"/>
    <w:rPr>
      <w:rFonts w:ascii="Arial" w:hAnsi="Arial" w:cs="Arial"/>
      <w:b/>
      <w:bCs/>
      <w:color w:val="000000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64FCE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AD0B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text1">
    <w:name w:val="long_text1"/>
    <w:uiPriority w:val="99"/>
    <w:rsid w:val="00FD2C7A"/>
    <w:rPr>
      <w:sz w:val="20"/>
    </w:rPr>
  </w:style>
  <w:style w:type="character" w:customStyle="1" w:styleId="mediumtext1">
    <w:name w:val="medium_text1"/>
    <w:uiPriority w:val="99"/>
    <w:rsid w:val="00AF28D3"/>
    <w:rPr>
      <w:sz w:val="24"/>
    </w:rPr>
  </w:style>
  <w:style w:type="paragraph" w:customStyle="1" w:styleId="Default">
    <w:name w:val="Default"/>
    <w:uiPriority w:val="99"/>
    <w:rsid w:val="0072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horttext1">
    <w:name w:val="short_text1"/>
    <w:uiPriority w:val="99"/>
    <w:rsid w:val="00D64E51"/>
    <w:rPr>
      <w:sz w:val="29"/>
    </w:rPr>
  </w:style>
  <w:style w:type="paragraph" w:styleId="Textbubliny">
    <w:name w:val="Balloon Text"/>
    <w:basedOn w:val="Normlny"/>
    <w:link w:val="TextbublinyChar"/>
    <w:uiPriority w:val="99"/>
    <w:rsid w:val="006A6FB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A6FBD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79782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978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9782E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97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9782E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2F79EB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0E60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C218D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7A178B"/>
    <w:pPr>
      <w:keepNext/>
      <w:outlineLvl w:val="2"/>
    </w:pPr>
    <w:rPr>
      <w:rFonts w:ascii="Arial" w:hAnsi="Arial" w:cs="Arial"/>
      <w:b/>
      <w:caps/>
      <w:noProof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218D3"/>
    <w:rPr>
      <w:rFonts w:ascii="Cambria" w:hAnsi="Cambria" w:cs="Times New Roman"/>
      <w:b/>
      <w:kern w:val="32"/>
      <w:sz w:val="32"/>
      <w:lang w:val="sk-SK"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464FCE"/>
    <w:rPr>
      <w:rFonts w:ascii="Cambria" w:hAnsi="Cambria" w:cs="Times New Roman"/>
      <w:b/>
      <w:bCs/>
      <w:sz w:val="26"/>
      <w:szCs w:val="26"/>
    </w:rPr>
  </w:style>
  <w:style w:type="paragraph" w:styleId="Hlavika">
    <w:name w:val="header"/>
    <w:basedOn w:val="Normlny"/>
    <w:link w:val="HlavikaChar"/>
    <w:uiPriority w:val="99"/>
    <w:rsid w:val="00E90E60"/>
    <w:pPr>
      <w:tabs>
        <w:tab w:val="center" w:pos="4153"/>
        <w:tab w:val="right" w:pos="8306"/>
      </w:tabs>
    </w:pPr>
    <w:rPr>
      <w:rFonts w:ascii="Arial" w:hAnsi="Arial"/>
      <w:szCs w:val="20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6A6FBD"/>
    <w:rPr>
      <w:rFonts w:ascii="Arial" w:hAnsi="Arial" w:cs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E90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270F4"/>
    <w:rPr>
      <w:rFonts w:cs="Times New Roman"/>
      <w:sz w:val="24"/>
    </w:rPr>
  </w:style>
  <w:style w:type="character" w:styleId="slostrany">
    <w:name w:val="page number"/>
    <w:basedOn w:val="Predvolenpsmoodseku"/>
    <w:uiPriority w:val="99"/>
    <w:rsid w:val="00E90E60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rsid w:val="00E02024"/>
    <w:rPr>
      <w:rFonts w:ascii="Arial" w:hAnsi="Arial" w:cs="Arial"/>
      <w:b/>
      <w:bCs/>
      <w:color w:val="000000"/>
      <w:szCs w:val="22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464FCE"/>
    <w:rPr>
      <w:rFonts w:cs="Times New Roman"/>
      <w:sz w:val="24"/>
      <w:szCs w:val="24"/>
    </w:rPr>
  </w:style>
  <w:style w:type="table" w:styleId="Mriekatabuky">
    <w:name w:val="Table Grid"/>
    <w:basedOn w:val="Normlnatabuka"/>
    <w:uiPriority w:val="99"/>
    <w:rsid w:val="00AD0B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ongtext1">
    <w:name w:val="long_text1"/>
    <w:uiPriority w:val="99"/>
    <w:rsid w:val="00FD2C7A"/>
    <w:rPr>
      <w:sz w:val="20"/>
    </w:rPr>
  </w:style>
  <w:style w:type="character" w:customStyle="1" w:styleId="mediumtext1">
    <w:name w:val="medium_text1"/>
    <w:uiPriority w:val="99"/>
    <w:rsid w:val="00AF28D3"/>
    <w:rPr>
      <w:sz w:val="24"/>
    </w:rPr>
  </w:style>
  <w:style w:type="paragraph" w:customStyle="1" w:styleId="Default">
    <w:name w:val="Default"/>
    <w:uiPriority w:val="99"/>
    <w:rsid w:val="00723B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horttext1">
    <w:name w:val="short_text1"/>
    <w:uiPriority w:val="99"/>
    <w:rsid w:val="00D64E51"/>
    <w:rPr>
      <w:sz w:val="29"/>
    </w:rPr>
  </w:style>
  <w:style w:type="paragraph" w:styleId="Textbubliny">
    <w:name w:val="Balloon Text"/>
    <w:basedOn w:val="Normlny"/>
    <w:link w:val="TextbublinyChar"/>
    <w:uiPriority w:val="99"/>
    <w:rsid w:val="006A6FBD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A6FBD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79782E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79782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79782E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7978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9782E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2F79EB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7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Kinito 50 mg, SPC</vt:lpstr>
    </vt:vector>
  </TitlesOfParts>
  <Company>Zentiva</Company>
  <LinksUpToDate>false</LinksUpToDate>
  <CharactersWithSpaces>12211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Kinito 50 mg, SPC</dc:title>
  <dc:creator>Hranaiová</dc:creator>
  <cp:lastModifiedBy>marianna forgacova</cp:lastModifiedBy>
  <cp:revision>4</cp:revision>
  <cp:lastPrinted>2016-04-18T09:10:00Z</cp:lastPrinted>
  <dcterms:created xsi:type="dcterms:W3CDTF">2020-07-13T12:50:00Z</dcterms:created>
  <dcterms:modified xsi:type="dcterms:W3CDTF">2020-07-13T12:52:00Z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