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81" w:rsidRPr="002900B5" w:rsidRDefault="00EC0681" w:rsidP="006C7E8A">
      <w:pPr>
        <w:rPr>
          <w:b/>
          <w:szCs w:val="22"/>
        </w:rPr>
      </w:pPr>
      <w:bookmarkStart w:id="0" w:name="_GoBack"/>
      <w:bookmarkEnd w:id="0"/>
    </w:p>
    <w:p w:rsidR="00EC0681" w:rsidRPr="002900B5" w:rsidRDefault="00EC0681" w:rsidP="006C7E8A">
      <w:pPr>
        <w:jc w:val="center"/>
        <w:rPr>
          <w:b/>
          <w:szCs w:val="22"/>
        </w:rPr>
      </w:pPr>
      <w:r w:rsidRPr="002900B5">
        <w:rPr>
          <w:b/>
          <w:szCs w:val="22"/>
        </w:rPr>
        <w:t>SÚHRN CHARAKTERISTICKÝCH VLASTNOSTÍ LIEKU</w:t>
      </w:r>
    </w:p>
    <w:p w:rsidR="00EC0681" w:rsidRPr="002900B5" w:rsidRDefault="00EC0681" w:rsidP="006C7E8A">
      <w:pPr>
        <w:rPr>
          <w:b/>
          <w:szCs w:val="22"/>
        </w:rPr>
      </w:pPr>
    </w:p>
    <w:p w:rsidR="006C7E8A" w:rsidRPr="002900B5" w:rsidRDefault="006C7E8A" w:rsidP="006C7E8A">
      <w:pPr>
        <w:rPr>
          <w:b/>
          <w:szCs w:val="22"/>
        </w:rPr>
      </w:pPr>
    </w:p>
    <w:p w:rsidR="00780926" w:rsidRPr="002900B5" w:rsidRDefault="00780926" w:rsidP="006C7E8A">
      <w:pPr>
        <w:rPr>
          <w:szCs w:val="22"/>
        </w:rPr>
      </w:pPr>
      <w:r w:rsidRPr="002900B5">
        <w:rPr>
          <w:b/>
          <w:szCs w:val="22"/>
        </w:rPr>
        <w:t>1.</w:t>
      </w:r>
      <w:r w:rsidRPr="002900B5">
        <w:rPr>
          <w:b/>
          <w:szCs w:val="22"/>
        </w:rPr>
        <w:tab/>
        <w:t>NÁZOV LIEKU</w:t>
      </w:r>
    </w:p>
    <w:p w:rsidR="00780926" w:rsidRPr="002900B5" w:rsidRDefault="00780926" w:rsidP="006C7E8A">
      <w:pPr>
        <w:rPr>
          <w:b/>
          <w:szCs w:val="22"/>
        </w:rPr>
      </w:pPr>
    </w:p>
    <w:p w:rsidR="006C7E8A" w:rsidRPr="002900B5" w:rsidRDefault="006C7E8A" w:rsidP="006C7E8A">
      <w:pPr>
        <w:rPr>
          <w:szCs w:val="22"/>
        </w:rPr>
      </w:pPr>
      <w:r w:rsidRPr="002900B5">
        <w:rPr>
          <w:szCs w:val="22"/>
        </w:rPr>
        <w:t xml:space="preserve">Ibandronic acid </w:t>
      </w:r>
      <w:r w:rsidR="00832671" w:rsidRPr="002900B5">
        <w:rPr>
          <w:szCs w:val="22"/>
        </w:rPr>
        <w:t>STADA</w:t>
      </w:r>
      <w:r w:rsidR="00A43CEC" w:rsidRPr="002900B5">
        <w:rPr>
          <w:szCs w:val="22"/>
        </w:rPr>
        <w:t xml:space="preserve"> 3</w:t>
      </w:r>
      <w:r w:rsidRPr="002900B5">
        <w:rPr>
          <w:szCs w:val="22"/>
        </w:rPr>
        <w:t xml:space="preserve"> </w:t>
      </w:r>
      <w:r w:rsidR="00A43CEC" w:rsidRPr="002900B5">
        <w:rPr>
          <w:szCs w:val="22"/>
        </w:rPr>
        <w:t>mg</w:t>
      </w:r>
    </w:p>
    <w:p w:rsidR="00780926" w:rsidRPr="002900B5" w:rsidRDefault="00A43CEC" w:rsidP="006C7E8A">
      <w:pPr>
        <w:rPr>
          <w:szCs w:val="22"/>
        </w:rPr>
      </w:pPr>
      <w:r w:rsidRPr="002900B5">
        <w:rPr>
          <w:szCs w:val="22"/>
        </w:rPr>
        <w:t>injekčný roztok</w:t>
      </w:r>
    </w:p>
    <w:p w:rsidR="00A43CEC" w:rsidRPr="002900B5" w:rsidRDefault="00A43CEC" w:rsidP="006C7E8A">
      <w:pPr>
        <w:rPr>
          <w:szCs w:val="22"/>
        </w:rPr>
      </w:pPr>
    </w:p>
    <w:p w:rsidR="006C7E8A" w:rsidRPr="002900B5" w:rsidRDefault="006C7E8A" w:rsidP="006C7E8A">
      <w:pPr>
        <w:rPr>
          <w:szCs w:val="22"/>
        </w:rPr>
      </w:pPr>
    </w:p>
    <w:p w:rsidR="00780926" w:rsidRPr="002900B5" w:rsidRDefault="00780926" w:rsidP="006C7E8A">
      <w:pPr>
        <w:rPr>
          <w:szCs w:val="22"/>
        </w:rPr>
      </w:pPr>
      <w:r w:rsidRPr="002900B5">
        <w:rPr>
          <w:b/>
          <w:szCs w:val="22"/>
        </w:rPr>
        <w:t>2.</w:t>
      </w:r>
      <w:r w:rsidRPr="002900B5">
        <w:rPr>
          <w:b/>
          <w:szCs w:val="22"/>
        </w:rPr>
        <w:tab/>
        <w:t>KVALITATÍVNE A KVANTITATÍVNE ZLOŽENIE</w:t>
      </w:r>
    </w:p>
    <w:p w:rsidR="00780926" w:rsidRPr="002900B5" w:rsidRDefault="00780926" w:rsidP="006C7E8A">
      <w:pPr>
        <w:ind w:left="0" w:firstLine="0"/>
        <w:rPr>
          <w:szCs w:val="22"/>
        </w:rPr>
      </w:pPr>
    </w:p>
    <w:p w:rsidR="00EC1441" w:rsidRPr="002900B5" w:rsidRDefault="00EC1441" w:rsidP="006C7E8A">
      <w:pPr>
        <w:pStyle w:val="Default"/>
        <w:rPr>
          <w:sz w:val="22"/>
          <w:szCs w:val="22"/>
        </w:rPr>
      </w:pPr>
      <w:r w:rsidRPr="002900B5">
        <w:rPr>
          <w:sz w:val="22"/>
          <w:szCs w:val="22"/>
        </w:rPr>
        <w:t xml:space="preserve">Jedna </w:t>
      </w:r>
      <w:r w:rsidR="006C7E8A" w:rsidRPr="002900B5">
        <w:rPr>
          <w:sz w:val="22"/>
          <w:szCs w:val="22"/>
        </w:rPr>
        <w:t>naplnená injekčná striekačka</w:t>
      </w:r>
      <w:r w:rsidRPr="002900B5">
        <w:rPr>
          <w:sz w:val="22"/>
          <w:szCs w:val="22"/>
        </w:rPr>
        <w:t xml:space="preserve"> </w:t>
      </w:r>
      <w:r w:rsidR="00A549E9" w:rsidRPr="002900B5">
        <w:rPr>
          <w:sz w:val="22"/>
          <w:szCs w:val="22"/>
        </w:rPr>
        <w:t xml:space="preserve">s </w:t>
      </w:r>
      <w:r w:rsidR="006C7E8A" w:rsidRPr="002900B5">
        <w:rPr>
          <w:sz w:val="22"/>
          <w:szCs w:val="22"/>
        </w:rPr>
        <w:t xml:space="preserve">3 ml </w:t>
      </w:r>
      <w:r w:rsidR="00A57137" w:rsidRPr="002900B5">
        <w:rPr>
          <w:sz w:val="22"/>
          <w:szCs w:val="22"/>
        </w:rPr>
        <w:t xml:space="preserve">injekčného </w:t>
      </w:r>
      <w:r w:rsidR="006C7E8A" w:rsidRPr="002900B5">
        <w:rPr>
          <w:sz w:val="22"/>
          <w:szCs w:val="22"/>
        </w:rPr>
        <w:t xml:space="preserve">roztoku </w:t>
      </w:r>
      <w:r w:rsidR="00A549E9" w:rsidRPr="002900B5">
        <w:rPr>
          <w:sz w:val="22"/>
          <w:szCs w:val="22"/>
        </w:rPr>
        <w:t xml:space="preserve">obsahuje </w:t>
      </w:r>
      <w:r w:rsidR="00B74FFE" w:rsidRPr="002900B5">
        <w:rPr>
          <w:sz w:val="22"/>
          <w:szCs w:val="22"/>
        </w:rPr>
        <w:t>3 mg kyseliny ibandrónovej (</w:t>
      </w:r>
      <w:r w:rsidR="00DD187E" w:rsidRPr="002900B5">
        <w:rPr>
          <w:sz w:val="22"/>
          <w:szCs w:val="22"/>
        </w:rPr>
        <w:t>vo forme</w:t>
      </w:r>
      <w:r w:rsidR="00B74FFE" w:rsidRPr="002900B5">
        <w:rPr>
          <w:sz w:val="22"/>
          <w:szCs w:val="22"/>
        </w:rPr>
        <w:t xml:space="preserve"> 3,375 mg monohydrátu sodnej soli kyseliny ibandrónovej). </w:t>
      </w:r>
    </w:p>
    <w:p w:rsidR="00B74FFE" w:rsidRPr="002900B5" w:rsidRDefault="00B74FFE" w:rsidP="006C7E8A">
      <w:pPr>
        <w:pStyle w:val="Default"/>
        <w:rPr>
          <w:sz w:val="22"/>
          <w:szCs w:val="22"/>
        </w:rPr>
      </w:pPr>
      <w:r w:rsidRPr="002900B5">
        <w:rPr>
          <w:sz w:val="22"/>
          <w:szCs w:val="22"/>
        </w:rPr>
        <w:t>Koncentrácia kyseliny ibandrónovej v injekčnom roztoku je 1 mg</w:t>
      </w:r>
      <w:r w:rsidR="00EC1441" w:rsidRPr="002900B5">
        <w:rPr>
          <w:sz w:val="22"/>
          <w:szCs w:val="22"/>
        </w:rPr>
        <w:t xml:space="preserve"> na </w:t>
      </w:r>
      <w:r w:rsidRPr="002900B5">
        <w:rPr>
          <w:sz w:val="22"/>
          <w:szCs w:val="22"/>
        </w:rPr>
        <w:t xml:space="preserve">ml. </w:t>
      </w:r>
    </w:p>
    <w:p w:rsidR="006863C0" w:rsidRPr="002900B5" w:rsidRDefault="006863C0" w:rsidP="006C7E8A">
      <w:pPr>
        <w:tabs>
          <w:tab w:val="left" w:pos="567"/>
        </w:tabs>
        <w:spacing w:line="260" w:lineRule="exact"/>
        <w:ind w:left="0" w:firstLine="0"/>
        <w:rPr>
          <w:szCs w:val="22"/>
          <w:lang w:eastAsia="en-US"/>
        </w:rPr>
      </w:pPr>
    </w:p>
    <w:p w:rsidR="00780926" w:rsidRPr="002900B5" w:rsidRDefault="00780926" w:rsidP="006C7E8A">
      <w:pPr>
        <w:tabs>
          <w:tab w:val="left" w:pos="567"/>
        </w:tabs>
        <w:spacing w:line="260" w:lineRule="exact"/>
        <w:ind w:left="0" w:firstLine="0"/>
        <w:rPr>
          <w:szCs w:val="22"/>
          <w:lang w:eastAsia="en-US"/>
        </w:rPr>
      </w:pPr>
      <w:r w:rsidRPr="002900B5">
        <w:rPr>
          <w:szCs w:val="22"/>
          <w:lang w:eastAsia="en-US"/>
        </w:rPr>
        <w:t>Úplný zoznam pomocných látok, pozri časť 6.1.</w:t>
      </w:r>
    </w:p>
    <w:p w:rsidR="00780926" w:rsidRPr="002900B5" w:rsidRDefault="00780926" w:rsidP="006C7E8A">
      <w:pPr>
        <w:rPr>
          <w:szCs w:val="22"/>
        </w:rPr>
      </w:pPr>
    </w:p>
    <w:p w:rsidR="006C7E8A" w:rsidRPr="002900B5" w:rsidRDefault="006C7E8A" w:rsidP="006C7E8A">
      <w:pPr>
        <w:rPr>
          <w:szCs w:val="22"/>
        </w:rPr>
      </w:pPr>
    </w:p>
    <w:p w:rsidR="00780926" w:rsidRPr="002900B5" w:rsidRDefault="00780926" w:rsidP="006C7E8A">
      <w:pPr>
        <w:rPr>
          <w:caps/>
          <w:szCs w:val="22"/>
        </w:rPr>
      </w:pPr>
      <w:r w:rsidRPr="002900B5">
        <w:rPr>
          <w:b/>
          <w:szCs w:val="22"/>
        </w:rPr>
        <w:t>3.</w:t>
      </w:r>
      <w:r w:rsidRPr="002900B5">
        <w:rPr>
          <w:b/>
          <w:szCs w:val="22"/>
        </w:rPr>
        <w:tab/>
        <w:t>LIEKOVÁ FORMA</w:t>
      </w:r>
    </w:p>
    <w:p w:rsidR="00780926" w:rsidRPr="002900B5" w:rsidRDefault="00780926" w:rsidP="006C7E8A">
      <w:pPr>
        <w:rPr>
          <w:szCs w:val="22"/>
        </w:rPr>
      </w:pPr>
    </w:p>
    <w:p w:rsidR="00780926" w:rsidRPr="002900B5" w:rsidRDefault="00B74FFE" w:rsidP="006C7E8A">
      <w:pPr>
        <w:rPr>
          <w:szCs w:val="22"/>
        </w:rPr>
      </w:pPr>
      <w:r w:rsidRPr="002900B5">
        <w:rPr>
          <w:szCs w:val="22"/>
        </w:rPr>
        <w:t>Injekčný roztok.</w:t>
      </w:r>
    </w:p>
    <w:p w:rsidR="00B74FFE" w:rsidRPr="002900B5" w:rsidRDefault="00B74FFE" w:rsidP="006C7E8A">
      <w:pPr>
        <w:rPr>
          <w:szCs w:val="22"/>
        </w:rPr>
      </w:pPr>
      <w:r w:rsidRPr="002900B5">
        <w:rPr>
          <w:szCs w:val="22"/>
        </w:rPr>
        <w:t>Číry</w:t>
      </w:r>
      <w:r w:rsidR="006C7E8A" w:rsidRPr="002900B5">
        <w:rPr>
          <w:szCs w:val="22"/>
        </w:rPr>
        <w:t xml:space="preserve">, </w:t>
      </w:r>
      <w:r w:rsidR="00643274" w:rsidRPr="002900B5">
        <w:rPr>
          <w:szCs w:val="22"/>
        </w:rPr>
        <w:t>bezfarebný</w:t>
      </w:r>
      <w:r w:rsidR="006C7E8A" w:rsidRPr="002900B5">
        <w:rPr>
          <w:szCs w:val="22"/>
        </w:rPr>
        <w:t xml:space="preserve"> roztok</w:t>
      </w:r>
      <w:r w:rsidRPr="002900B5">
        <w:rPr>
          <w:szCs w:val="22"/>
        </w:rPr>
        <w:t>.</w:t>
      </w:r>
    </w:p>
    <w:p w:rsidR="00446F26" w:rsidRPr="002900B5" w:rsidRDefault="00446F26" w:rsidP="006C7E8A">
      <w:pPr>
        <w:rPr>
          <w:szCs w:val="22"/>
        </w:rPr>
      </w:pPr>
    </w:p>
    <w:p w:rsidR="009C599D" w:rsidRPr="002900B5" w:rsidRDefault="009C599D" w:rsidP="009C599D">
      <w:pPr>
        <w:rPr>
          <w:szCs w:val="22"/>
        </w:rPr>
      </w:pPr>
      <w:r w:rsidRPr="002900B5">
        <w:rPr>
          <w:szCs w:val="22"/>
        </w:rPr>
        <w:t>pH roztoku je 4,9 – 5,5.</w:t>
      </w:r>
    </w:p>
    <w:p w:rsidR="009C599D" w:rsidRPr="002900B5" w:rsidRDefault="009C599D" w:rsidP="006C7E8A">
      <w:pPr>
        <w:rPr>
          <w:szCs w:val="22"/>
        </w:rPr>
      </w:pPr>
    </w:p>
    <w:p w:rsidR="009C599D" w:rsidRPr="002900B5" w:rsidRDefault="009C599D" w:rsidP="006C7E8A">
      <w:pPr>
        <w:rPr>
          <w:szCs w:val="22"/>
        </w:rPr>
      </w:pPr>
    </w:p>
    <w:p w:rsidR="00780926" w:rsidRPr="002900B5" w:rsidRDefault="00780926" w:rsidP="006C7E8A">
      <w:pPr>
        <w:rPr>
          <w:caps/>
          <w:szCs w:val="22"/>
        </w:rPr>
      </w:pPr>
      <w:r w:rsidRPr="002900B5">
        <w:rPr>
          <w:b/>
          <w:caps/>
          <w:szCs w:val="22"/>
        </w:rPr>
        <w:t>4.</w:t>
      </w:r>
      <w:r w:rsidRPr="002900B5">
        <w:rPr>
          <w:b/>
          <w:caps/>
          <w:szCs w:val="22"/>
        </w:rPr>
        <w:tab/>
        <w:t>KLINICKÉ ÚDAJE</w:t>
      </w:r>
    </w:p>
    <w:p w:rsidR="00780926" w:rsidRPr="002900B5" w:rsidRDefault="00780926" w:rsidP="006C7E8A">
      <w:pPr>
        <w:rPr>
          <w:szCs w:val="22"/>
        </w:rPr>
      </w:pPr>
    </w:p>
    <w:p w:rsidR="00780926" w:rsidRPr="002900B5" w:rsidRDefault="00780926" w:rsidP="006C7E8A">
      <w:pPr>
        <w:rPr>
          <w:szCs w:val="22"/>
        </w:rPr>
      </w:pPr>
      <w:r w:rsidRPr="002900B5">
        <w:rPr>
          <w:b/>
          <w:szCs w:val="22"/>
        </w:rPr>
        <w:t>4.1</w:t>
      </w:r>
      <w:r w:rsidRPr="002900B5">
        <w:rPr>
          <w:b/>
          <w:szCs w:val="22"/>
        </w:rPr>
        <w:tab/>
        <w:t>Terapeutické indikácie</w:t>
      </w:r>
    </w:p>
    <w:p w:rsidR="00780926" w:rsidRPr="002900B5" w:rsidRDefault="00780926" w:rsidP="006C7E8A">
      <w:pPr>
        <w:rPr>
          <w:szCs w:val="22"/>
        </w:rPr>
      </w:pPr>
    </w:p>
    <w:p w:rsidR="006C7E8A" w:rsidRPr="002900B5" w:rsidRDefault="00B74FFE" w:rsidP="006C7E8A">
      <w:pPr>
        <w:pStyle w:val="Default"/>
        <w:rPr>
          <w:sz w:val="22"/>
          <w:szCs w:val="22"/>
        </w:rPr>
      </w:pPr>
      <w:r w:rsidRPr="002900B5">
        <w:rPr>
          <w:sz w:val="22"/>
          <w:szCs w:val="22"/>
        </w:rPr>
        <w:t xml:space="preserve">Liečba osteoporózy u žien po menopauze so zvýšeným rizikom fraktúr (pozri časť 5.1). </w:t>
      </w:r>
    </w:p>
    <w:p w:rsidR="00003E62" w:rsidRPr="002900B5" w:rsidRDefault="00B74FFE" w:rsidP="006C7E8A">
      <w:pPr>
        <w:pStyle w:val="Default"/>
        <w:rPr>
          <w:sz w:val="22"/>
          <w:szCs w:val="22"/>
        </w:rPr>
      </w:pPr>
      <w:r w:rsidRPr="002900B5">
        <w:rPr>
          <w:sz w:val="22"/>
          <w:szCs w:val="22"/>
        </w:rPr>
        <w:t xml:space="preserve">Preukázalo sa zníženie rizika vertebrálnych fraktúr, účinnosť </w:t>
      </w:r>
      <w:r w:rsidR="00A249D0" w:rsidRPr="002900B5">
        <w:rPr>
          <w:sz w:val="22"/>
          <w:szCs w:val="22"/>
        </w:rPr>
        <w:t>pri fraktúrach</w:t>
      </w:r>
      <w:r w:rsidR="00A249D0" w:rsidRPr="002900B5" w:rsidDel="00A249D0">
        <w:rPr>
          <w:sz w:val="22"/>
          <w:szCs w:val="22"/>
        </w:rPr>
        <w:t xml:space="preserve"> </w:t>
      </w:r>
      <w:r w:rsidRPr="002900B5">
        <w:rPr>
          <w:sz w:val="22"/>
          <w:szCs w:val="22"/>
        </w:rPr>
        <w:t xml:space="preserve">femorálneho </w:t>
      </w:r>
      <w:r w:rsidR="00941584" w:rsidRPr="002900B5">
        <w:rPr>
          <w:sz w:val="22"/>
          <w:szCs w:val="22"/>
        </w:rPr>
        <w:t>krčka</w:t>
      </w:r>
      <w:r w:rsidRPr="002900B5">
        <w:rPr>
          <w:sz w:val="22"/>
          <w:szCs w:val="22"/>
        </w:rPr>
        <w:t xml:space="preserve"> nebola</w:t>
      </w:r>
      <w:r w:rsidR="00EC0681" w:rsidRPr="002900B5">
        <w:rPr>
          <w:sz w:val="22"/>
          <w:szCs w:val="22"/>
        </w:rPr>
        <w:t xml:space="preserve"> </w:t>
      </w:r>
      <w:r w:rsidRPr="002900B5">
        <w:rPr>
          <w:sz w:val="22"/>
          <w:szCs w:val="22"/>
        </w:rPr>
        <w:t>stanovená.</w:t>
      </w:r>
    </w:p>
    <w:p w:rsidR="00B74FFE" w:rsidRPr="002900B5" w:rsidRDefault="00B74FFE" w:rsidP="006C7E8A">
      <w:pPr>
        <w:rPr>
          <w:szCs w:val="22"/>
        </w:rPr>
      </w:pPr>
    </w:p>
    <w:p w:rsidR="00780926" w:rsidRPr="002900B5" w:rsidRDefault="00780926" w:rsidP="006C7E8A">
      <w:pPr>
        <w:numPr>
          <w:ilvl w:val="1"/>
          <w:numId w:val="12"/>
        </w:numPr>
        <w:rPr>
          <w:b/>
          <w:szCs w:val="22"/>
        </w:rPr>
      </w:pPr>
      <w:r w:rsidRPr="002900B5">
        <w:rPr>
          <w:b/>
          <w:szCs w:val="22"/>
        </w:rPr>
        <w:t>Dávkovanie a spôsob podávania</w:t>
      </w:r>
    </w:p>
    <w:p w:rsidR="00003E62" w:rsidRPr="002900B5" w:rsidRDefault="00003E62" w:rsidP="006C7E8A">
      <w:pPr>
        <w:ind w:left="0" w:firstLine="0"/>
        <w:rPr>
          <w:b/>
          <w:szCs w:val="22"/>
        </w:rPr>
      </w:pPr>
    </w:p>
    <w:p w:rsidR="00265447" w:rsidRPr="002900B5" w:rsidRDefault="00265447" w:rsidP="006C7E8A">
      <w:pPr>
        <w:pStyle w:val="Default"/>
        <w:rPr>
          <w:sz w:val="22"/>
          <w:szCs w:val="22"/>
        </w:rPr>
      </w:pPr>
      <w:r w:rsidRPr="002900B5">
        <w:rPr>
          <w:sz w:val="22"/>
          <w:szCs w:val="22"/>
        </w:rPr>
        <w:t>Pacienti liečení injekčným roztokom kyseliny ibandrónovej majú dostať písomnú informáciu pre používateľa a kartu na pripomenutie pre pacienta.</w:t>
      </w:r>
    </w:p>
    <w:p w:rsidR="00265447" w:rsidRPr="002900B5" w:rsidRDefault="00265447" w:rsidP="006C7E8A">
      <w:pPr>
        <w:pStyle w:val="Default"/>
        <w:rPr>
          <w:sz w:val="22"/>
          <w:szCs w:val="22"/>
          <w:u w:val="single"/>
        </w:rPr>
      </w:pPr>
    </w:p>
    <w:p w:rsidR="00B74FFE" w:rsidRPr="002900B5" w:rsidRDefault="00B74FFE" w:rsidP="006C7E8A">
      <w:pPr>
        <w:pStyle w:val="Default"/>
        <w:rPr>
          <w:sz w:val="22"/>
          <w:szCs w:val="22"/>
        </w:rPr>
      </w:pPr>
      <w:r w:rsidRPr="002900B5">
        <w:rPr>
          <w:sz w:val="22"/>
          <w:szCs w:val="22"/>
          <w:u w:val="single"/>
        </w:rPr>
        <w:t xml:space="preserve">Dávkovanie: </w:t>
      </w:r>
    </w:p>
    <w:p w:rsidR="00B74FFE" w:rsidRPr="002900B5" w:rsidRDefault="00B74FFE" w:rsidP="006C7E8A">
      <w:pPr>
        <w:pStyle w:val="Default"/>
        <w:rPr>
          <w:sz w:val="22"/>
          <w:szCs w:val="22"/>
        </w:rPr>
      </w:pPr>
      <w:r w:rsidRPr="002900B5">
        <w:rPr>
          <w:sz w:val="22"/>
          <w:szCs w:val="22"/>
        </w:rPr>
        <w:t xml:space="preserve">Odporúčaná dávka kyseliny ibandrónovej </w:t>
      </w:r>
      <w:r w:rsidR="00DD083E" w:rsidRPr="002900B5">
        <w:rPr>
          <w:sz w:val="22"/>
          <w:szCs w:val="22"/>
        </w:rPr>
        <w:t>je</w:t>
      </w:r>
      <w:r w:rsidRPr="002900B5">
        <w:rPr>
          <w:sz w:val="22"/>
          <w:szCs w:val="22"/>
        </w:rPr>
        <w:t xml:space="preserve"> 3 mg, podávaná vo forme intravenóznej injekcie počas 15-30 sekúnd každé tri mesiace. </w:t>
      </w:r>
    </w:p>
    <w:p w:rsidR="006863C0" w:rsidRPr="002900B5" w:rsidRDefault="006863C0" w:rsidP="006C7E8A">
      <w:pPr>
        <w:pStyle w:val="Default"/>
        <w:rPr>
          <w:sz w:val="22"/>
          <w:szCs w:val="22"/>
        </w:rPr>
      </w:pPr>
    </w:p>
    <w:p w:rsidR="006863C0" w:rsidRPr="002900B5" w:rsidRDefault="006863C0" w:rsidP="006863C0">
      <w:pPr>
        <w:pStyle w:val="Default"/>
        <w:rPr>
          <w:sz w:val="22"/>
          <w:szCs w:val="22"/>
        </w:rPr>
      </w:pPr>
      <w:r w:rsidRPr="002900B5">
        <w:rPr>
          <w:sz w:val="22"/>
          <w:szCs w:val="22"/>
        </w:rPr>
        <w:t xml:space="preserve">Pacientky musia užívať vápnik a vitamín D vo forme výživových doplnkov (pozri časť 4.4 a časť 4.5). </w:t>
      </w:r>
    </w:p>
    <w:p w:rsidR="006863C0" w:rsidRPr="002900B5" w:rsidRDefault="006863C0" w:rsidP="006863C0">
      <w:pPr>
        <w:pStyle w:val="Default"/>
        <w:rPr>
          <w:sz w:val="22"/>
          <w:szCs w:val="22"/>
        </w:rPr>
      </w:pPr>
    </w:p>
    <w:p w:rsidR="006863C0" w:rsidRPr="002900B5" w:rsidRDefault="006863C0" w:rsidP="006863C0">
      <w:pPr>
        <w:pStyle w:val="Default"/>
        <w:rPr>
          <w:sz w:val="22"/>
          <w:szCs w:val="22"/>
        </w:rPr>
      </w:pPr>
      <w:r w:rsidRPr="002900B5">
        <w:rPr>
          <w:sz w:val="22"/>
          <w:szCs w:val="22"/>
        </w:rPr>
        <w:t>Ak sa dávka vynechá, injekcia sa má podať čo najskôr, ako je možné. Potom sa injekcie majú naplánovať každé tri mesiace od dátumu poslednej injekcie.</w:t>
      </w:r>
    </w:p>
    <w:p w:rsidR="002664BA" w:rsidRPr="002900B5" w:rsidRDefault="002664BA" w:rsidP="006C7E8A">
      <w:pPr>
        <w:pStyle w:val="Default"/>
        <w:rPr>
          <w:sz w:val="22"/>
          <w:szCs w:val="22"/>
        </w:rPr>
      </w:pPr>
    </w:p>
    <w:p w:rsidR="006C7E8A" w:rsidRPr="002900B5" w:rsidRDefault="006C7E8A" w:rsidP="006C7E8A">
      <w:pPr>
        <w:ind w:left="0" w:firstLine="0"/>
        <w:rPr>
          <w:szCs w:val="22"/>
        </w:rPr>
      </w:pPr>
      <w:r w:rsidRPr="002900B5">
        <w:rPr>
          <w:iCs/>
          <w:szCs w:val="22"/>
        </w:rPr>
        <w:t>Optimálna dĺžka liečby osteoporózy bisfosfonátmi sa nestanovila. Potreba pokračovať v liečbe sa má u jednotlivých paciento</w:t>
      </w:r>
      <w:r w:rsidR="006B2603" w:rsidRPr="002900B5">
        <w:rPr>
          <w:iCs/>
          <w:szCs w:val="22"/>
        </w:rPr>
        <w:t>k</w:t>
      </w:r>
      <w:r w:rsidRPr="002900B5">
        <w:rPr>
          <w:iCs/>
          <w:szCs w:val="22"/>
        </w:rPr>
        <w:t xml:space="preserve"> pravidelne prehodnocovať na základe prínosov a možných rizík kyseliny ibandrónovej, najmä po 5 alebo viacerých rokoch používania.</w:t>
      </w:r>
    </w:p>
    <w:p w:rsidR="006C7E8A" w:rsidRPr="002900B5" w:rsidRDefault="006C7E8A" w:rsidP="006C7E8A">
      <w:pPr>
        <w:pStyle w:val="Default"/>
        <w:rPr>
          <w:sz w:val="22"/>
          <w:szCs w:val="22"/>
        </w:rPr>
      </w:pPr>
    </w:p>
    <w:p w:rsidR="00B74FFE" w:rsidRPr="002900B5" w:rsidRDefault="009C6CAA" w:rsidP="006C7E8A">
      <w:pPr>
        <w:pStyle w:val="Default"/>
        <w:rPr>
          <w:sz w:val="22"/>
          <w:szCs w:val="22"/>
        </w:rPr>
      </w:pPr>
      <w:r w:rsidRPr="002900B5">
        <w:rPr>
          <w:i/>
          <w:iCs/>
          <w:sz w:val="22"/>
          <w:szCs w:val="22"/>
          <w:u w:val="single"/>
        </w:rPr>
        <w:t>Osobitné</w:t>
      </w:r>
      <w:r w:rsidR="00B74FFE" w:rsidRPr="002900B5">
        <w:rPr>
          <w:i/>
          <w:iCs/>
          <w:sz w:val="22"/>
          <w:szCs w:val="22"/>
          <w:u w:val="single"/>
        </w:rPr>
        <w:t xml:space="preserve"> skupiny paciento</w:t>
      </w:r>
      <w:r w:rsidR="00245D2B" w:rsidRPr="002900B5">
        <w:rPr>
          <w:i/>
          <w:iCs/>
          <w:sz w:val="22"/>
          <w:szCs w:val="22"/>
          <w:u w:val="single"/>
        </w:rPr>
        <w:t>k</w:t>
      </w:r>
      <w:r w:rsidR="00B74FFE" w:rsidRPr="002900B5">
        <w:rPr>
          <w:i/>
          <w:iCs/>
          <w:sz w:val="22"/>
          <w:szCs w:val="22"/>
          <w:u w:val="single"/>
        </w:rPr>
        <w:t xml:space="preserve"> </w:t>
      </w:r>
    </w:p>
    <w:p w:rsidR="00B74FFE" w:rsidRPr="002900B5" w:rsidRDefault="0020108C" w:rsidP="006C7E8A">
      <w:pPr>
        <w:pStyle w:val="Default"/>
        <w:rPr>
          <w:i/>
          <w:sz w:val="22"/>
          <w:szCs w:val="22"/>
        </w:rPr>
      </w:pPr>
      <w:r w:rsidRPr="002900B5">
        <w:rPr>
          <w:i/>
          <w:iCs/>
          <w:sz w:val="22"/>
          <w:szCs w:val="22"/>
        </w:rPr>
        <w:t>Po</w:t>
      </w:r>
      <w:r w:rsidR="00585517" w:rsidRPr="002900B5">
        <w:rPr>
          <w:i/>
          <w:iCs/>
          <w:sz w:val="22"/>
          <w:szCs w:val="22"/>
        </w:rPr>
        <w:t>rucha</w:t>
      </w:r>
      <w:r w:rsidRPr="002900B5">
        <w:rPr>
          <w:i/>
          <w:iCs/>
          <w:sz w:val="22"/>
          <w:szCs w:val="22"/>
        </w:rPr>
        <w:t xml:space="preserve"> </w:t>
      </w:r>
      <w:r w:rsidR="00B74FFE" w:rsidRPr="002900B5">
        <w:rPr>
          <w:i/>
          <w:iCs/>
          <w:sz w:val="22"/>
          <w:szCs w:val="22"/>
        </w:rPr>
        <w:t xml:space="preserve">funkcie obličiek </w:t>
      </w:r>
    </w:p>
    <w:p w:rsidR="002664BA" w:rsidRPr="002900B5" w:rsidRDefault="002664BA" w:rsidP="006C7E8A">
      <w:pPr>
        <w:pStyle w:val="Default"/>
        <w:rPr>
          <w:sz w:val="22"/>
          <w:szCs w:val="22"/>
        </w:rPr>
      </w:pPr>
    </w:p>
    <w:p w:rsidR="00B74FFE" w:rsidRPr="002900B5" w:rsidRDefault="00D534DD" w:rsidP="006C7E8A">
      <w:pPr>
        <w:pStyle w:val="Default"/>
        <w:rPr>
          <w:sz w:val="22"/>
          <w:szCs w:val="22"/>
        </w:rPr>
      </w:pPr>
      <w:r w:rsidRPr="002900B5">
        <w:rPr>
          <w:sz w:val="22"/>
          <w:szCs w:val="22"/>
        </w:rPr>
        <w:lastRenderedPageBreak/>
        <w:t>Injekcia kyseliny ibandrónovej</w:t>
      </w:r>
      <w:r w:rsidR="00EC1441" w:rsidRPr="002900B5">
        <w:rPr>
          <w:sz w:val="22"/>
          <w:szCs w:val="22"/>
        </w:rPr>
        <w:t xml:space="preserve"> </w:t>
      </w:r>
      <w:r w:rsidR="00B74FFE" w:rsidRPr="002900B5">
        <w:rPr>
          <w:sz w:val="22"/>
          <w:szCs w:val="22"/>
        </w:rPr>
        <w:t xml:space="preserve">sa neodporúča </w:t>
      </w:r>
      <w:r w:rsidR="00EC1441" w:rsidRPr="002900B5">
        <w:rPr>
          <w:sz w:val="22"/>
          <w:szCs w:val="22"/>
        </w:rPr>
        <w:t>použiť u paciento</w:t>
      </w:r>
      <w:r w:rsidR="00A53E17" w:rsidRPr="002900B5">
        <w:rPr>
          <w:sz w:val="22"/>
          <w:szCs w:val="22"/>
        </w:rPr>
        <w:t>k</w:t>
      </w:r>
      <w:r w:rsidR="00B74FFE" w:rsidRPr="002900B5">
        <w:rPr>
          <w:sz w:val="22"/>
          <w:szCs w:val="22"/>
        </w:rPr>
        <w:t>, ktor</w:t>
      </w:r>
      <w:r w:rsidR="00A53E17" w:rsidRPr="002900B5">
        <w:rPr>
          <w:sz w:val="22"/>
          <w:szCs w:val="22"/>
        </w:rPr>
        <w:t>é</w:t>
      </w:r>
      <w:r w:rsidR="00B74FFE" w:rsidRPr="002900B5">
        <w:rPr>
          <w:sz w:val="22"/>
          <w:szCs w:val="22"/>
        </w:rPr>
        <w:t xml:space="preserve"> majú sérový kreatinín vyšší ako 200 μmol/l (2,3 mg/dl) alebo ktor</w:t>
      </w:r>
      <w:r w:rsidR="003851CA" w:rsidRPr="002900B5">
        <w:rPr>
          <w:sz w:val="22"/>
          <w:szCs w:val="22"/>
        </w:rPr>
        <w:t>é</w:t>
      </w:r>
      <w:r w:rsidR="00B74FFE" w:rsidRPr="002900B5">
        <w:rPr>
          <w:sz w:val="22"/>
          <w:szCs w:val="22"/>
        </w:rPr>
        <w:t xml:space="preserve"> majú klírens kreatinínu (</w:t>
      </w:r>
      <w:r w:rsidR="00A53E17" w:rsidRPr="002900B5">
        <w:rPr>
          <w:sz w:val="22"/>
          <w:szCs w:val="22"/>
        </w:rPr>
        <w:t>nameraný</w:t>
      </w:r>
      <w:r w:rsidR="00B74FFE" w:rsidRPr="002900B5">
        <w:rPr>
          <w:sz w:val="22"/>
          <w:szCs w:val="22"/>
        </w:rPr>
        <w:t xml:space="preserve"> alebo predpokladaný) nižší ako 30 ml/min, kvôli obmedzeným klinickým údajom dostupným zo štúdií zahŕňajúci</w:t>
      </w:r>
      <w:r w:rsidR="00B93C4D" w:rsidRPr="002900B5">
        <w:rPr>
          <w:sz w:val="22"/>
          <w:szCs w:val="22"/>
        </w:rPr>
        <w:t>mi</w:t>
      </w:r>
      <w:r w:rsidR="00B74FFE" w:rsidRPr="002900B5">
        <w:rPr>
          <w:sz w:val="22"/>
          <w:szCs w:val="22"/>
        </w:rPr>
        <w:t xml:space="preserve"> tak</w:t>
      </w:r>
      <w:r w:rsidR="00771FB2" w:rsidRPr="002900B5">
        <w:rPr>
          <w:sz w:val="22"/>
          <w:szCs w:val="22"/>
        </w:rPr>
        <w:t>éto</w:t>
      </w:r>
      <w:r w:rsidR="00B74FFE" w:rsidRPr="002900B5">
        <w:rPr>
          <w:sz w:val="22"/>
          <w:szCs w:val="22"/>
        </w:rPr>
        <w:t xml:space="preserve"> pacient</w:t>
      </w:r>
      <w:r w:rsidR="00771FB2" w:rsidRPr="002900B5">
        <w:rPr>
          <w:sz w:val="22"/>
          <w:szCs w:val="22"/>
        </w:rPr>
        <w:t>ky</w:t>
      </w:r>
      <w:r w:rsidR="00B74FFE" w:rsidRPr="002900B5">
        <w:rPr>
          <w:sz w:val="22"/>
          <w:szCs w:val="22"/>
        </w:rPr>
        <w:t xml:space="preserve"> (pozri časť </w:t>
      </w:r>
      <w:smartTag w:uri="urn:schemas-microsoft-com:office:smarttags" w:element="metricconverter">
        <w:smartTagPr>
          <w:attr w:name="ProductID" w:val="4.4 a"/>
        </w:smartTagPr>
        <w:r w:rsidR="00B74FFE" w:rsidRPr="002900B5">
          <w:rPr>
            <w:sz w:val="22"/>
            <w:szCs w:val="22"/>
          </w:rPr>
          <w:t>4.4 a</w:t>
        </w:r>
      </w:smartTag>
      <w:r w:rsidR="00B74FFE" w:rsidRPr="002900B5">
        <w:rPr>
          <w:sz w:val="22"/>
          <w:szCs w:val="22"/>
        </w:rPr>
        <w:t xml:space="preserve"> časť 5.2). </w:t>
      </w:r>
    </w:p>
    <w:p w:rsidR="006863C0" w:rsidRPr="002900B5" w:rsidRDefault="006863C0" w:rsidP="006863C0">
      <w:pPr>
        <w:pStyle w:val="Default"/>
        <w:rPr>
          <w:sz w:val="22"/>
          <w:szCs w:val="22"/>
        </w:rPr>
      </w:pPr>
    </w:p>
    <w:p w:rsidR="006863C0" w:rsidRPr="002900B5" w:rsidRDefault="006863C0" w:rsidP="006863C0">
      <w:pPr>
        <w:pStyle w:val="Default"/>
        <w:rPr>
          <w:sz w:val="22"/>
          <w:szCs w:val="22"/>
        </w:rPr>
      </w:pPr>
      <w:r w:rsidRPr="002900B5">
        <w:rPr>
          <w:sz w:val="22"/>
          <w:szCs w:val="22"/>
        </w:rPr>
        <w:t xml:space="preserve">U pacientok s miernou alebo stredne </w:t>
      </w:r>
      <w:r w:rsidR="00BD1AE4" w:rsidRPr="002900B5">
        <w:rPr>
          <w:sz w:val="22"/>
          <w:szCs w:val="22"/>
        </w:rPr>
        <w:t>závažnou</w:t>
      </w:r>
      <w:r w:rsidRPr="002900B5">
        <w:rPr>
          <w:sz w:val="22"/>
          <w:szCs w:val="22"/>
        </w:rPr>
        <w:t xml:space="preserve"> poruchou funkcie obličiek, ktorých hodnota kreatinínu v sére sa rovná alebo je nižšia ako 200 µmol/l (2,3 mg/dl), alebo ktoré majú klírens kreatinínu (nameraný alebo predpokladaný) rovný alebo vyšší ako 30 ml/min, nie je potrebná úprava dávky. </w:t>
      </w:r>
    </w:p>
    <w:p w:rsidR="002664BA" w:rsidRPr="002900B5" w:rsidRDefault="002664BA" w:rsidP="006C7E8A">
      <w:pPr>
        <w:pStyle w:val="Default"/>
        <w:rPr>
          <w:sz w:val="22"/>
          <w:szCs w:val="22"/>
        </w:rPr>
      </w:pPr>
    </w:p>
    <w:p w:rsidR="00B74FFE" w:rsidRPr="002900B5" w:rsidRDefault="0020108C" w:rsidP="006C7E8A">
      <w:pPr>
        <w:pStyle w:val="Default"/>
        <w:rPr>
          <w:sz w:val="22"/>
          <w:szCs w:val="22"/>
        </w:rPr>
      </w:pPr>
      <w:r w:rsidRPr="002900B5">
        <w:rPr>
          <w:i/>
          <w:iCs/>
          <w:sz w:val="22"/>
          <w:szCs w:val="22"/>
        </w:rPr>
        <w:t>Po</w:t>
      </w:r>
      <w:r w:rsidR="00585517" w:rsidRPr="002900B5">
        <w:rPr>
          <w:i/>
          <w:iCs/>
          <w:sz w:val="22"/>
          <w:szCs w:val="22"/>
        </w:rPr>
        <w:t>rucha</w:t>
      </w:r>
      <w:r w:rsidRPr="002900B5">
        <w:rPr>
          <w:i/>
          <w:iCs/>
          <w:sz w:val="22"/>
          <w:szCs w:val="22"/>
        </w:rPr>
        <w:t xml:space="preserve"> </w:t>
      </w:r>
      <w:r w:rsidR="00B74FFE" w:rsidRPr="002900B5">
        <w:rPr>
          <w:i/>
          <w:iCs/>
          <w:sz w:val="22"/>
          <w:szCs w:val="22"/>
        </w:rPr>
        <w:t xml:space="preserve">funkcie pečene </w:t>
      </w:r>
    </w:p>
    <w:p w:rsidR="00B74FFE" w:rsidRPr="002900B5" w:rsidRDefault="00B74FFE" w:rsidP="006C7E8A">
      <w:pPr>
        <w:pStyle w:val="Default"/>
        <w:rPr>
          <w:sz w:val="22"/>
          <w:szCs w:val="22"/>
        </w:rPr>
      </w:pPr>
      <w:r w:rsidRPr="002900B5">
        <w:rPr>
          <w:sz w:val="22"/>
          <w:szCs w:val="22"/>
        </w:rPr>
        <w:t xml:space="preserve">Nie je potrebné upraviť dávku (pozri časť 5.2). </w:t>
      </w:r>
    </w:p>
    <w:p w:rsidR="002664BA" w:rsidRPr="002900B5" w:rsidRDefault="002664BA" w:rsidP="006C7E8A">
      <w:pPr>
        <w:pStyle w:val="Default"/>
        <w:rPr>
          <w:sz w:val="22"/>
          <w:szCs w:val="22"/>
        </w:rPr>
      </w:pPr>
    </w:p>
    <w:p w:rsidR="00E33064" w:rsidRPr="002900B5" w:rsidRDefault="00E33064" w:rsidP="006C7E8A">
      <w:pPr>
        <w:pStyle w:val="Default"/>
        <w:rPr>
          <w:i/>
          <w:iCs/>
          <w:sz w:val="22"/>
          <w:szCs w:val="22"/>
        </w:rPr>
      </w:pPr>
      <w:r w:rsidRPr="002900B5">
        <w:rPr>
          <w:i/>
          <w:iCs/>
          <w:sz w:val="22"/>
          <w:szCs w:val="22"/>
        </w:rPr>
        <w:t>Staršie pacientky</w:t>
      </w:r>
      <w:r w:rsidR="006863C0" w:rsidRPr="002900B5">
        <w:rPr>
          <w:i/>
          <w:iCs/>
          <w:sz w:val="22"/>
          <w:szCs w:val="22"/>
        </w:rPr>
        <w:t xml:space="preserve"> (&gt;65 rokov)</w:t>
      </w:r>
    </w:p>
    <w:p w:rsidR="00003E62" w:rsidRPr="002900B5" w:rsidRDefault="00B74FFE" w:rsidP="006C7E8A">
      <w:pPr>
        <w:pStyle w:val="Default"/>
        <w:rPr>
          <w:sz w:val="22"/>
          <w:szCs w:val="22"/>
        </w:rPr>
      </w:pPr>
      <w:r w:rsidRPr="002900B5">
        <w:rPr>
          <w:sz w:val="22"/>
          <w:szCs w:val="22"/>
        </w:rPr>
        <w:t>Nie je potrebné upraviť dávku (pozri časť 5.2).</w:t>
      </w:r>
    </w:p>
    <w:p w:rsidR="00D534DD" w:rsidRPr="002900B5" w:rsidRDefault="00D534DD" w:rsidP="006C7E8A">
      <w:pPr>
        <w:pStyle w:val="Default"/>
        <w:ind w:left="560" w:hanging="560"/>
        <w:rPr>
          <w:i/>
          <w:iCs/>
          <w:sz w:val="22"/>
          <w:szCs w:val="22"/>
        </w:rPr>
      </w:pPr>
    </w:p>
    <w:p w:rsidR="00ED4472" w:rsidRPr="002900B5" w:rsidRDefault="003365DC" w:rsidP="006C7E8A">
      <w:pPr>
        <w:pStyle w:val="Default"/>
        <w:ind w:left="560" w:hanging="560"/>
        <w:rPr>
          <w:sz w:val="22"/>
          <w:szCs w:val="22"/>
        </w:rPr>
      </w:pPr>
      <w:r w:rsidRPr="002900B5">
        <w:rPr>
          <w:i/>
          <w:iCs/>
          <w:sz w:val="22"/>
          <w:szCs w:val="22"/>
        </w:rPr>
        <w:t>Pediatrická populácia</w:t>
      </w:r>
    </w:p>
    <w:p w:rsidR="000E1D36" w:rsidRPr="002900B5" w:rsidRDefault="00EC1441" w:rsidP="00E52D30">
      <w:pPr>
        <w:pStyle w:val="Default"/>
        <w:rPr>
          <w:sz w:val="22"/>
          <w:szCs w:val="22"/>
        </w:rPr>
      </w:pPr>
      <w:r w:rsidRPr="002900B5">
        <w:rPr>
          <w:sz w:val="22"/>
          <w:szCs w:val="22"/>
        </w:rPr>
        <w:t>Neexistuje relevantné používanie kyseliny ibandrónovej u</w:t>
      </w:r>
      <w:r w:rsidR="006863C0" w:rsidRPr="002900B5">
        <w:rPr>
          <w:sz w:val="22"/>
          <w:szCs w:val="22"/>
        </w:rPr>
        <w:t> </w:t>
      </w:r>
      <w:r w:rsidRPr="002900B5">
        <w:rPr>
          <w:sz w:val="22"/>
          <w:szCs w:val="22"/>
        </w:rPr>
        <w:t>detí</w:t>
      </w:r>
      <w:r w:rsidR="006863C0" w:rsidRPr="002900B5">
        <w:rPr>
          <w:sz w:val="22"/>
          <w:szCs w:val="22"/>
        </w:rPr>
        <w:t xml:space="preserve"> do 18 rokov</w:t>
      </w:r>
      <w:r w:rsidR="002664BA" w:rsidRPr="002900B5">
        <w:rPr>
          <w:sz w:val="22"/>
          <w:szCs w:val="22"/>
        </w:rPr>
        <w:t xml:space="preserve">, </w:t>
      </w:r>
      <w:r w:rsidRPr="002900B5">
        <w:rPr>
          <w:sz w:val="22"/>
          <w:szCs w:val="22"/>
        </w:rPr>
        <w:t xml:space="preserve">kyselina ibandrónová sa neštudovala </w:t>
      </w:r>
      <w:r w:rsidR="006863C0" w:rsidRPr="002900B5">
        <w:rPr>
          <w:sz w:val="22"/>
          <w:szCs w:val="22"/>
        </w:rPr>
        <w:t>v tejto populácii (pozri časti 5.1 a 5.2).</w:t>
      </w:r>
    </w:p>
    <w:p w:rsidR="00EC0681" w:rsidRPr="002900B5" w:rsidRDefault="00EC0681" w:rsidP="006C7E8A">
      <w:pPr>
        <w:pStyle w:val="Default"/>
        <w:ind w:left="560" w:hanging="560"/>
        <w:rPr>
          <w:sz w:val="22"/>
          <w:szCs w:val="22"/>
          <w:u w:val="single"/>
        </w:rPr>
      </w:pPr>
    </w:p>
    <w:p w:rsidR="002664BA" w:rsidRPr="002900B5" w:rsidRDefault="002664BA" w:rsidP="006C7E8A">
      <w:pPr>
        <w:pStyle w:val="Default"/>
        <w:ind w:left="560" w:hanging="560"/>
        <w:rPr>
          <w:sz w:val="22"/>
          <w:szCs w:val="22"/>
        </w:rPr>
      </w:pPr>
      <w:r w:rsidRPr="002900B5">
        <w:rPr>
          <w:sz w:val="22"/>
          <w:szCs w:val="22"/>
          <w:u w:val="single"/>
        </w:rPr>
        <w:t>Spôsob pod</w:t>
      </w:r>
      <w:r w:rsidR="00D534DD" w:rsidRPr="002900B5">
        <w:rPr>
          <w:sz w:val="22"/>
          <w:szCs w:val="22"/>
          <w:u w:val="single"/>
        </w:rPr>
        <w:t>áv</w:t>
      </w:r>
      <w:r w:rsidR="00EC1441" w:rsidRPr="002900B5">
        <w:rPr>
          <w:sz w:val="22"/>
          <w:szCs w:val="22"/>
          <w:u w:val="single"/>
        </w:rPr>
        <w:t>a</w:t>
      </w:r>
      <w:r w:rsidRPr="002900B5">
        <w:rPr>
          <w:sz w:val="22"/>
          <w:szCs w:val="22"/>
          <w:u w:val="single"/>
        </w:rPr>
        <w:t xml:space="preserve">nia: </w:t>
      </w:r>
    </w:p>
    <w:p w:rsidR="002664BA" w:rsidRPr="002900B5" w:rsidRDefault="002664BA" w:rsidP="006C7E8A">
      <w:pPr>
        <w:pStyle w:val="Default"/>
        <w:ind w:left="560" w:hanging="560"/>
        <w:rPr>
          <w:sz w:val="22"/>
          <w:szCs w:val="22"/>
        </w:rPr>
      </w:pPr>
      <w:r w:rsidRPr="002900B5">
        <w:rPr>
          <w:sz w:val="22"/>
          <w:szCs w:val="22"/>
        </w:rPr>
        <w:t>Na intravenózne použitie</w:t>
      </w:r>
      <w:r w:rsidR="00265447" w:rsidRPr="002900B5">
        <w:rPr>
          <w:sz w:val="22"/>
          <w:szCs w:val="22"/>
        </w:rPr>
        <w:t xml:space="preserve"> počas 15-30 sekúnd každé tri mesiace</w:t>
      </w:r>
      <w:r w:rsidRPr="002900B5">
        <w:rPr>
          <w:sz w:val="22"/>
          <w:szCs w:val="22"/>
        </w:rPr>
        <w:t xml:space="preserve">. </w:t>
      </w:r>
    </w:p>
    <w:p w:rsidR="00D534DD" w:rsidRPr="002900B5" w:rsidRDefault="00D534DD" w:rsidP="006C7E8A">
      <w:pPr>
        <w:pStyle w:val="Default"/>
        <w:ind w:left="560" w:hanging="560"/>
        <w:rPr>
          <w:sz w:val="22"/>
          <w:szCs w:val="22"/>
        </w:rPr>
      </w:pPr>
    </w:p>
    <w:p w:rsidR="00B74FFE" w:rsidRPr="002900B5" w:rsidRDefault="002664BA" w:rsidP="006C7E8A">
      <w:pPr>
        <w:pStyle w:val="Default"/>
        <w:rPr>
          <w:sz w:val="22"/>
          <w:szCs w:val="22"/>
        </w:rPr>
      </w:pPr>
      <w:r w:rsidRPr="002900B5">
        <w:rPr>
          <w:sz w:val="22"/>
          <w:szCs w:val="22"/>
        </w:rPr>
        <w:t>Je potrebné prísne dodržiavať intravenózny spôsob podania (pozri časť 4.4).</w:t>
      </w:r>
    </w:p>
    <w:p w:rsidR="00B74FFE" w:rsidRPr="002900B5" w:rsidRDefault="00B74FFE" w:rsidP="006C7E8A">
      <w:pPr>
        <w:pStyle w:val="Default"/>
        <w:rPr>
          <w:sz w:val="22"/>
          <w:szCs w:val="22"/>
        </w:rPr>
      </w:pPr>
    </w:p>
    <w:p w:rsidR="00780926" w:rsidRPr="002900B5" w:rsidRDefault="00780926" w:rsidP="006C7E8A">
      <w:pPr>
        <w:rPr>
          <w:b/>
          <w:szCs w:val="22"/>
        </w:rPr>
      </w:pPr>
      <w:r w:rsidRPr="002900B5">
        <w:rPr>
          <w:b/>
          <w:szCs w:val="22"/>
        </w:rPr>
        <w:t>4.3</w:t>
      </w:r>
      <w:r w:rsidRPr="002900B5">
        <w:rPr>
          <w:b/>
          <w:szCs w:val="22"/>
        </w:rPr>
        <w:tab/>
        <w:t xml:space="preserve">Kontraindikácie </w:t>
      </w:r>
    </w:p>
    <w:p w:rsidR="001C0265" w:rsidRPr="002900B5" w:rsidRDefault="001C0265" w:rsidP="006C7E8A">
      <w:pPr>
        <w:rPr>
          <w:b/>
          <w:szCs w:val="22"/>
        </w:rPr>
      </w:pPr>
    </w:p>
    <w:p w:rsidR="001C0265" w:rsidRPr="002900B5" w:rsidRDefault="00D05725" w:rsidP="002900B5">
      <w:pPr>
        <w:numPr>
          <w:ilvl w:val="0"/>
          <w:numId w:val="21"/>
        </w:numPr>
        <w:ind w:left="284" w:hanging="284"/>
        <w:rPr>
          <w:b/>
          <w:szCs w:val="22"/>
        </w:rPr>
      </w:pPr>
      <w:r>
        <w:rPr>
          <w:szCs w:val="22"/>
        </w:rPr>
        <w:t>p</w:t>
      </w:r>
      <w:r w:rsidR="001C0265" w:rsidRPr="002900B5">
        <w:rPr>
          <w:szCs w:val="22"/>
        </w:rPr>
        <w:t xml:space="preserve">recitlivenosť na </w:t>
      </w:r>
      <w:r w:rsidR="006863C0" w:rsidRPr="002900B5">
        <w:rPr>
          <w:szCs w:val="22"/>
        </w:rPr>
        <w:t xml:space="preserve">liečivo </w:t>
      </w:r>
      <w:r w:rsidR="001C0265" w:rsidRPr="002900B5">
        <w:rPr>
          <w:szCs w:val="22"/>
        </w:rPr>
        <w:t>alebo na ktorúkoľvek z pomocných látok</w:t>
      </w:r>
      <w:r w:rsidR="003365DC" w:rsidRPr="002900B5">
        <w:rPr>
          <w:szCs w:val="22"/>
        </w:rPr>
        <w:t xml:space="preserve"> uvedených v časti 6</w:t>
      </w:r>
    </w:p>
    <w:p w:rsidR="002664BA" w:rsidRPr="002900B5" w:rsidRDefault="00D05725" w:rsidP="002900B5">
      <w:pPr>
        <w:pStyle w:val="Default"/>
        <w:numPr>
          <w:ilvl w:val="0"/>
          <w:numId w:val="21"/>
        </w:numPr>
        <w:ind w:left="284" w:hanging="284"/>
        <w:rPr>
          <w:sz w:val="22"/>
          <w:szCs w:val="22"/>
        </w:rPr>
      </w:pPr>
      <w:r>
        <w:rPr>
          <w:sz w:val="22"/>
          <w:szCs w:val="22"/>
        </w:rPr>
        <w:t>h</w:t>
      </w:r>
      <w:r w:rsidR="002664BA" w:rsidRPr="002900B5">
        <w:rPr>
          <w:sz w:val="22"/>
          <w:szCs w:val="22"/>
        </w:rPr>
        <w:t xml:space="preserve">ypokalciémia </w:t>
      </w:r>
      <w:r w:rsidR="00D534DD" w:rsidRPr="002900B5">
        <w:rPr>
          <w:sz w:val="22"/>
          <w:szCs w:val="22"/>
        </w:rPr>
        <w:t>(pozri časť 4.4)</w:t>
      </w:r>
    </w:p>
    <w:p w:rsidR="002664BA" w:rsidRPr="002900B5" w:rsidRDefault="002664BA" w:rsidP="006C7E8A">
      <w:pPr>
        <w:rPr>
          <w:b/>
          <w:szCs w:val="22"/>
        </w:rPr>
      </w:pPr>
    </w:p>
    <w:p w:rsidR="00E1698A" w:rsidRPr="002900B5" w:rsidRDefault="00E43119" w:rsidP="006C7E8A">
      <w:pPr>
        <w:ind w:left="0" w:firstLine="0"/>
        <w:rPr>
          <w:b/>
          <w:szCs w:val="22"/>
        </w:rPr>
      </w:pPr>
      <w:r w:rsidRPr="002900B5">
        <w:rPr>
          <w:b/>
          <w:szCs w:val="22"/>
        </w:rPr>
        <w:t>4.4</w:t>
      </w:r>
      <w:r w:rsidRPr="002900B5">
        <w:rPr>
          <w:b/>
          <w:szCs w:val="22"/>
        </w:rPr>
        <w:tab/>
      </w:r>
      <w:r w:rsidR="00780926" w:rsidRPr="002900B5">
        <w:rPr>
          <w:b/>
          <w:szCs w:val="22"/>
        </w:rPr>
        <w:t>Osobitné upozornenia a opatrenia pri používaní</w:t>
      </w:r>
    </w:p>
    <w:p w:rsidR="00EC1441" w:rsidRPr="002900B5" w:rsidRDefault="00EC1441" w:rsidP="006C7E8A">
      <w:pPr>
        <w:ind w:left="0" w:firstLine="0"/>
        <w:rPr>
          <w:szCs w:val="22"/>
        </w:rPr>
      </w:pPr>
    </w:p>
    <w:p w:rsidR="002664BA" w:rsidRPr="002900B5" w:rsidRDefault="00BD1AE4" w:rsidP="006C7E8A">
      <w:pPr>
        <w:pStyle w:val="Default"/>
        <w:rPr>
          <w:sz w:val="22"/>
          <w:szCs w:val="22"/>
          <w:u w:val="single"/>
        </w:rPr>
      </w:pPr>
      <w:r w:rsidRPr="002900B5">
        <w:rPr>
          <w:iCs/>
          <w:sz w:val="22"/>
          <w:szCs w:val="22"/>
          <w:u w:val="single"/>
        </w:rPr>
        <w:t>Nesprávne</w:t>
      </w:r>
      <w:r w:rsidR="002664BA" w:rsidRPr="002900B5">
        <w:rPr>
          <w:iCs/>
          <w:sz w:val="22"/>
          <w:szCs w:val="22"/>
          <w:u w:val="single"/>
        </w:rPr>
        <w:t xml:space="preserve"> podanie</w:t>
      </w:r>
      <w:r w:rsidR="00D74C8F" w:rsidRPr="002900B5">
        <w:rPr>
          <w:iCs/>
          <w:sz w:val="22"/>
          <w:szCs w:val="22"/>
          <w:u w:val="single"/>
        </w:rPr>
        <w:t xml:space="preserve"> lieku</w:t>
      </w:r>
      <w:r w:rsidR="002664BA" w:rsidRPr="002900B5">
        <w:rPr>
          <w:iCs/>
          <w:sz w:val="22"/>
          <w:szCs w:val="22"/>
          <w:u w:val="single"/>
        </w:rPr>
        <w:t xml:space="preserve"> </w:t>
      </w:r>
    </w:p>
    <w:p w:rsidR="002664BA" w:rsidRPr="002900B5" w:rsidRDefault="002664BA" w:rsidP="006C7E8A">
      <w:pPr>
        <w:pStyle w:val="Default"/>
        <w:rPr>
          <w:sz w:val="22"/>
          <w:szCs w:val="22"/>
        </w:rPr>
      </w:pPr>
      <w:r w:rsidRPr="002900B5">
        <w:rPr>
          <w:sz w:val="22"/>
          <w:szCs w:val="22"/>
        </w:rPr>
        <w:t xml:space="preserve">Musí sa dávať pozor, aby sa injekcia </w:t>
      </w:r>
      <w:r w:rsidR="00EC1441" w:rsidRPr="002900B5">
        <w:rPr>
          <w:sz w:val="22"/>
          <w:szCs w:val="22"/>
        </w:rPr>
        <w:t>kyseliny ibandrónovej</w:t>
      </w:r>
      <w:r w:rsidRPr="002900B5">
        <w:rPr>
          <w:sz w:val="22"/>
          <w:szCs w:val="22"/>
        </w:rPr>
        <w:t xml:space="preserve"> nepodala intraarteriálne alebo paravenózne, pretože to môže viesť k poškodeniu tkaniva. </w:t>
      </w:r>
    </w:p>
    <w:p w:rsidR="002664BA" w:rsidRPr="002900B5" w:rsidRDefault="002664BA" w:rsidP="006C7E8A">
      <w:pPr>
        <w:pStyle w:val="Default"/>
        <w:rPr>
          <w:sz w:val="22"/>
          <w:szCs w:val="22"/>
        </w:rPr>
      </w:pPr>
    </w:p>
    <w:p w:rsidR="002664BA" w:rsidRPr="002900B5" w:rsidRDefault="002664BA" w:rsidP="006C7E8A">
      <w:pPr>
        <w:pStyle w:val="Default"/>
        <w:rPr>
          <w:sz w:val="22"/>
          <w:szCs w:val="22"/>
          <w:u w:val="single"/>
        </w:rPr>
      </w:pPr>
      <w:r w:rsidRPr="002900B5">
        <w:rPr>
          <w:iCs/>
          <w:sz w:val="22"/>
          <w:szCs w:val="22"/>
          <w:u w:val="single"/>
        </w:rPr>
        <w:t xml:space="preserve">Hypokalciémia </w:t>
      </w:r>
    </w:p>
    <w:p w:rsidR="00BD1AE4" w:rsidRPr="002900B5" w:rsidRDefault="00EC1441" w:rsidP="006C7E8A">
      <w:pPr>
        <w:pStyle w:val="Default"/>
        <w:rPr>
          <w:sz w:val="22"/>
          <w:szCs w:val="22"/>
        </w:rPr>
      </w:pPr>
      <w:r w:rsidRPr="002900B5">
        <w:rPr>
          <w:sz w:val="22"/>
          <w:szCs w:val="22"/>
        </w:rPr>
        <w:t>Kyselina ibandrónová</w:t>
      </w:r>
      <w:r w:rsidR="002664BA" w:rsidRPr="002900B5">
        <w:rPr>
          <w:sz w:val="22"/>
          <w:szCs w:val="22"/>
        </w:rPr>
        <w:t xml:space="preserve">, tak ako ostatné bisfosfonáty podávané intravenózne, môže spôsobiť prechodný pokles hodnôt vápnika v sére. </w:t>
      </w:r>
    </w:p>
    <w:p w:rsidR="00D534DD" w:rsidRPr="002900B5" w:rsidRDefault="00EC1441" w:rsidP="006C7E8A">
      <w:pPr>
        <w:pStyle w:val="Default"/>
        <w:rPr>
          <w:sz w:val="22"/>
          <w:szCs w:val="22"/>
        </w:rPr>
      </w:pPr>
      <w:r w:rsidRPr="002900B5">
        <w:rPr>
          <w:sz w:val="22"/>
          <w:szCs w:val="22"/>
        </w:rPr>
        <w:t xml:space="preserve">Pred začatím </w:t>
      </w:r>
      <w:r w:rsidR="00BD1AE4" w:rsidRPr="002900B5">
        <w:rPr>
          <w:sz w:val="22"/>
          <w:szCs w:val="22"/>
        </w:rPr>
        <w:t xml:space="preserve">injekčnej </w:t>
      </w:r>
      <w:r w:rsidRPr="002900B5">
        <w:rPr>
          <w:sz w:val="22"/>
          <w:szCs w:val="22"/>
        </w:rPr>
        <w:t>liečby kyselin</w:t>
      </w:r>
      <w:r w:rsidR="00BD1AE4" w:rsidRPr="002900B5">
        <w:rPr>
          <w:sz w:val="22"/>
          <w:szCs w:val="22"/>
        </w:rPr>
        <w:t>ou</w:t>
      </w:r>
      <w:r w:rsidRPr="002900B5">
        <w:rPr>
          <w:sz w:val="22"/>
          <w:szCs w:val="22"/>
        </w:rPr>
        <w:t xml:space="preserve"> ibandrónov</w:t>
      </w:r>
      <w:r w:rsidR="00BD1AE4" w:rsidRPr="002900B5">
        <w:rPr>
          <w:sz w:val="22"/>
          <w:szCs w:val="22"/>
        </w:rPr>
        <w:t>ou</w:t>
      </w:r>
      <w:r w:rsidR="002664BA" w:rsidRPr="002900B5">
        <w:rPr>
          <w:sz w:val="22"/>
          <w:szCs w:val="22"/>
        </w:rPr>
        <w:t xml:space="preserve"> sa musí upraviť prítomná hypokalciémia. Skôr ako sa začne liečba injekciou </w:t>
      </w:r>
      <w:r w:rsidRPr="002900B5">
        <w:rPr>
          <w:sz w:val="22"/>
          <w:szCs w:val="22"/>
        </w:rPr>
        <w:t>kyseliny ibandrónovej</w:t>
      </w:r>
      <w:r w:rsidR="002664BA" w:rsidRPr="002900B5">
        <w:rPr>
          <w:sz w:val="22"/>
          <w:szCs w:val="22"/>
        </w:rPr>
        <w:t xml:space="preserve">, majú sa účinne liečiť aj ďalšie poruchy kostí a metabolizmu minerálov. </w:t>
      </w:r>
    </w:p>
    <w:p w:rsidR="00D534DD" w:rsidRPr="002900B5" w:rsidRDefault="00D534DD" w:rsidP="006C7E8A">
      <w:pPr>
        <w:pStyle w:val="Default"/>
        <w:rPr>
          <w:sz w:val="22"/>
          <w:szCs w:val="22"/>
        </w:rPr>
      </w:pPr>
    </w:p>
    <w:p w:rsidR="002664BA" w:rsidRPr="002900B5" w:rsidRDefault="00822B68" w:rsidP="006C7E8A">
      <w:pPr>
        <w:pStyle w:val="Default"/>
        <w:rPr>
          <w:sz w:val="22"/>
          <w:szCs w:val="22"/>
        </w:rPr>
      </w:pPr>
      <w:r w:rsidRPr="002900B5">
        <w:rPr>
          <w:sz w:val="22"/>
          <w:szCs w:val="22"/>
        </w:rPr>
        <w:t>Všetky pacientky</w:t>
      </w:r>
      <w:r w:rsidR="002664BA" w:rsidRPr="002900B5">
        <w:rPr>
          <w:sz w:val="22"/>
          <w:szCs w:val="22"/>
        </w:rPr>
        <w:t xml:space="preserve"> musia mať primerane doplnený vápnik a vitamín D. </w:t>
      </w:r>
    </w:p>
    <w:p w:rsidR="002A6286" w:rsidRPr="002900B5" w:rsidRDefault="002A6286" w:rsidP="006C7E8A">
      <w:pPr>
        <w:pStyle w:val="Default"/>
        <w:rPr>
          <w:sz w:val="22"/>
          <w:szCs w:val="22"/>
        </w:rPr>
      </w:pPr>
    </w:p>
    <w:p w:rsidR="003365DC" w:rsidRPr="002900B5" w:rsidRDefault="003365DC" w:rsidP="003365DC">
      <w:pPr>
        <w:pStyle w:val="Default"/>
        <w:rPr>
          <w:sz w:val="22"/>
          <w:szCs w:val="22"/>
          <w:u w:val="single"/>
        </w:rPr>
      </w:pPr>
      <w:r w:rsidRPr="002900B5">
        <w:rPr>
          <w:sz w:val="22"/>
          <w:szCs w:val="22"/>
          <w:u w:val="single"/>
        </w:rPr>
        <w:t>Anafylaktická reakcia/šok</w:t>
      </w:r>
    </w:p>
    <w:p w:rsidR="003365DC" w:rsidRPr="002900B5" w:rsidRDefault="003365DC" w:rsidP="003365DC">
      <w:pPr>
        <w:pStyle w:val="Default"/>
        <w:rPr>
          <w:sz w:val="22"/>
          <w:szCs w:val="22"/>
        </w:rPr>
      </w:pPr>
      <w:r w:rsidRPr="002900B5">
        <w:rPr>
          <w:sz w:val="22"/>
          <w:szCs w:val="22"/>
        </w:rPr>
        <w:t xml:space="preserve">U pacientov liečených intravenózne kyselinou ibandrónovou </w:t>
      </w:r>
      <w:r w:rsidR="00251DDC" w:rsidRPr="002900B5">
        <w:rPr>
          <w:sz w:val="22"/>
          <w:szCs w:val="22"/>
        </w:rPr>
        <w:t>boli</w:t>
      </w:r>
      <w:r w:rsidRPr="002900B5">
        <w:rPr>
          <w:sz w:val="22"/>
          <w:szCs w:val="22"/>
        </w:rPr>
        <w:t xml:space="preserve"> hlás</w:t>
      </w:r>
      <w:r w:rsidR="00251DDC" w:rsidRPr="002900B5">
        <w:rPr>
          <w:sz w:val="22"/>
          <w:szCs w:val="22"/>
        </w:rPr>
        <w:t>ené</w:t>
      </w:r>
      <w:r w:rsidRPr="002900B5">
        <w:rPr>
          <w:sz w:val="22"/>
          <w:szCs w:val="22"/>
        </w:rPr>
        <w:t xml:space="preserve"> prípady anafylaktickej reakcie/šoku vrátane fatálnych príhod.</w:t>
      </w:r>
    </w:p>
    <w:p w:rsidR="002A6286" w:rsidRPr="002900B5" w:rsidRDefault="002A6286" w:rsidP="006C7E8A">
      <w:pPr>
        <w:pStyle w:val="Default"/>
        <w:rPr>
          <w:sz w:val="22"/>
          <w:szCs w:val="22"/>
        </w:rPr>
      </w:pPr>
      <w:r w:rsidRPr="002900B5">
        <w:rPr>
          <w:sz w:val="22"/>
          <w:szCs w:val="22"/>
        </w:rPr>
        <w:t xml:space="preserve">Pri podávaní </w:t>
      </w:r>
      <w:r w:rsidR="00251DDC" w:rsidRPr="002900B5">
        <w:rPr>
          <w:sz w:val="22"/>
          <w:szCs w:val="22"/>
        </w:rPr>
        <w:t xml:space="preserve">intravenóznej injekcie </w:t>
      </w:r>
      <w:r w:rsidRPr="002900B5">
        <w:rPr>
          <w:sz w:val="22"/>
          <w:szCs w:val="22"/>
        </w:rPr>
        <w:t xml:space="preserve">kyseliny ibandrónovej </w:t>
      </w:r>
      <w:r w:rsidR="00251DDC" w:rsidRPr="002900B5">
        <w:rPr>
          <w:sz w:val="22"/>
          <w:szCs w:val="22"/>
        </w:rPr>
        <w:t xml:space="preserve"> </w:t>
      </w:r>
      <w:r w:rsidRPr="002900B5">
        <w:rPr>
          <w:sz w:val="22"/>
          <w:szCs w:val="22"/>
        </w:rPr>
        <w:t>m</w:t>
      </w:r>
      <w:r w:rsidR="00251DDC" w:rsidRPr="002900B5">
        <w:rPr>
          <w:sz w:val="22"/>
          <w:szCs w:val="22"/>
        </w:rPr>
        <w:t>á</w:t>
      </w:r>
      <w:r w:rsidRPr="002900B5">
        <w:rPr>
          <w:sz w:val="22"/>
          <w:szCs w:val="22"/>
        </w:rPr>
        <w:t xml:space="preserve"> byť okamžite k dispozícii </w:t>
      </w:r>
      <w:r w:rsidR="00251DDC" w:rsidRPr="002900B5">
        <w:rPr>
          <w:sz w:val="22"/>
          <w:szCs w:val="22"/>
        </w:rPr>
        <w:t>zodpoveda</w:t>
      </w:r>
      <w:r w:rsidR="00C369CF" w:rsidRPr="002900B5">
        <w:rPr>
          <w:sz w:val="22"/>
          <w:szCs w:val="22"/>
        </w:rPr>
        <w:t>j</w:t>
      </w:r>
      <w:r w:rsidR="00251DDC" w:rsidRPr="002900B5">
        <w:rPr>
          <w:sz w:val="22"/>
          <w:szCs w:val="22"/>
        </w:rPr>
        <w:t xml:space="preserve">úca </w:t>
      </w:r>
      <w:r w:rsidRPr="002900B5">
        <w:rPr>
          <w:sz w:val="22"/>
          <w:szCs w:val="22"/>
        </w:rPr>
        <w:t>lekársk</w:t>
      </w:r>
      <w:r w:rsidR="00251DDC" w:rsidRPr="002900B5">
        <w:rPr>
          <w:sz w:val="22"/>
          <w:szCs w:val="22"/>
        </w:rPr>
        <w:t>a</w:t>
      </w:r>
      <w:r w:rsidRPr="002900B5">
        <w:rPr>
          <w:sz w:val="22"/>
          <w:szCs w:val="22"/>
        </w:rPr>
        <w:t xml:space="preserve"> </w:t>
      </w:r>
      <w:r w:rsidR="00251DDC" w:rsidRPr="002900B5">
        <w:rPr>
          <w:sz w:val="22"/>
          <w:szCs w:val="22"/>
        </w:rPr>
        <w:t>pomoc</w:t>
      </w:r>
      <w:r w:rsidRPr="002900B5">
        <w:rPr>
          <w:sz w:val="22"/>
          <w:szCs w:val="22"/>
        </w:rPr>
        <w:t xml:space="preserve"> a </w:t>
      </w:r>
      <w:r w:rsidR="00251DDC" w:rsidRPr="002900B5">
        <w:rPr>
          <w:sz w:val="22"/>
          <w:szCs w:val="22"/>
        </w:rPr>
        <w:t>výsledky monitorovania</w:t>
      </w:r>
      <w:r w:rsidRPr="002900B5">
        <w:rPr>
          <w:sz w:val="22"/>
          <w:szCs w:val="22"/>
        </w:rPr>
        <w:t>. Ak sa prejavia anafylaktické reakcie alebo závažné reakcie precitlivenosti</w:t>
      </w:r>
      <w:r w:rsidR="003365DC" w:rsidRPr="002900B5">
        <w:rPr>
          <w:sz w:val="22"/>
          <w:szCs w:val="22"/>
        </w:rPr>
        <w:t>/alergické reakcie, okamžite ukončite podávanie injekcie a začnite vhodnú liečbu.</w:t>
      </w:r>
    </w:p>
    <w:p w:rsidR="00D534DD" w:rsidRPr="002900B5" w:rsidRDefault="00D534DD" w:rsidP="006C7E8A">
      <w:pPr>
        <w:pStyle w:val="Default"/>
        <w:rPr>
          <w:sz w:val="22"/>
          <w:szCs w:val="22"/>
        </w:rPr>
      </w:pPr>
    </w:p>
    <w:p w:rsidR="002664BA" w:rsidRPr="002900B5" w:rsidRDefault="00C639B8" w:rsidP="006C7E8A">
      <w:pPr>
        <w:pStyle w:val="Default"/>
        <w:rPr>
          <w:sz w:val="22"/>
          <w:szCs w:val="22"/>
          <w:u w:val="single"/>
        </w:rPr>
      </w:pPr>
      <w:r w:rsidRPr="002900B5">
        <w:rPr>
          <w:iCs/>
          <w:sz w:val="22"/>
          <w:szCs w:val="22"/>
          <w:u w:val="single"/>
        </w:rPr>
        <w:t>Porucha</w:t>
      </w:r>
      <w:r w:rsidR="002664BA" w:rsidRPr="002900B5">
        <w:rPr>
          <w:iCs/>
          <w:sz w:val="22"/>
          <w:szCs w:val="22"/>
          <w:u w:val="single"/>
        </w:rPr>
        <w:t xml:space="preserve"> funkcie obličiek </w:t>
      </w:r>
    </w:p>
    <w:p w:rsidR="002664BA" w:rsidRPr="002900B5" w:rsidRDefault="002664BA" w:rsidP="006C7E8A">
      <w:pPr>
        <w:pStyle w:val="Default"/>
        <w:rPr>
          <w:sz w:val="22"/>
          <w:szCs w:val="22"/>
        </w:rPr>
      </w:pPr>
      <w:r w:rsidRPr="002900B5">
        <w:rPr>
          <w:sz w:val="22"/>
          <w:szCs w:val="22"/>
        </w:rPr>
        <w:t>Pacient</w:t>
      </w:r>
      <w:r w:rsidR="00C639B8" w:rsidRPr="002900B5">
        <w:rPr>
          <w:sz w:val="22"/>
          <w:szCs w:val="22"/>
        </w:rPr>
        <w:t>ky</w:t>
      </w:r>
      <w:r w:rsidRPr="002900B5">
        <w:rPr>
          <w:sz w:val="22"/>
          <w:szCs w:val="22"/>
        </w:rPr>
        <w:t xml:space="preserve"> so sprievodnými ochoreniami</w:t>
      </w:r>
      <w:r w:rsidR="00C639B8" w:rsidRPr="002900B5">
        <w:rPr>
          <w:sz w:val="22"/>
          <w:szCs w:val="22"/>
        </w:rPr>
        <w:t>,</w:t>
      </w:r>
      <w:r w:rsidRPr="002900B5">
        <w:rPr>
          <w:sz w:val="22"/>
          <w:szCs w:val="22"/>
        </w:rPr>
        <w:t xml:space="preserve"> alebo ktor</w:t>
      </w:r>
      <w:r w:rsidR="00C639B8" w:rsidRPr="002900B5">
        <w:rPr>
          <w:sz w:val="22"/>
          <w:szCs w:val="22"/>
        </w:rPr>
        <w:t>é</w:t>
      </w:r>
      <w:r w:rsidRPr="002900B5">
        <w:rPr>
          <w:sz w:val="22"/>
          <w:szCs w:val="22"/>
        </w:rPr>
        <w:t xml:space="preserve"> súbežne užívajú lieky, ktoré môžu mať nežiaduce účinky na obličky, sa majú počas liečby pravidelne kontrolovať v súlade </w:t>
      </w:r>
      <w:r w:rsidR="00A45A21" w:rsidRPr="002900B5">
        <w:rPr>
          <w:sz w:val="22"/>
          <w:szCs w:val="22"/>
        </w:rPr>
        <w:t>so zásadami správnej klinickej praxe</w:t>
      </w:r>
      <w:r w:rsidRPr="002900B5">
        <w:rPr>
          <w:sz w:val="22"/>
          <w:szCs w:val="22"/>
        </w:rPr>
        <w:t xml:space="preserve">. </w:t>
      </w:r>
    </w:p>
    <w:p w:rsidR="002664BA" w:rsidRPr="002900B5" w:rsidRDefault="002664BA" w:rsidP="006C7E8A">
      <w:pPr>
        <w:pStyle w:val="Default"/>
        <w:rPr>
          <w:sz w:val="22"/>
          <w:szCs w:val="22"/>
        </w:rPr>
      </w:pPr>
    </w:p>
    <w:p w:rsidR="002664BA" w:rsidRPr="002900B5" w:rsidRDefault="002664BA" w:rsidP="006C7E8A">
      <w:pPr>
        <w:pStyle w:val="Default"/>
        <w:rPr>
          <w:sz w:val="22"/>
          <w:szCs w:val="22"/>
        </w:rPr>
      </w:pPr>
      <w:r w:rsidRPr="002900B5">
        <w:rPr>
          <w:sz w:val="22"/>
          <w:szCs w:val="22"/>
        </w:rPr>
        <w:lastRenderedPageBreak/>
        <w:t xml:space="preserve">Vzhľadom na obmedzené klinické skúsenosti sa injekcia </w:t>
      </w:r>
      <w:r w:rsidR="002A46A5" w:rsidRPr="002900B5">
        <w:rPr>
          <w:sz w:val="22"/>
          <w:szCs w:val="22"/>
        </w:rPr>
        <w:t>kyseliny ibandrónovej</w:t>
      </w:r>
      <w:r w:rsidRPr="002900B5">
        <w:rPr>
          <w:sz w:val="22"/>
          <w:szCs w:val="22"/>
        </w:rPr>
        <w:t xml:space="preserve"> neodporúča pacient</w:t>
      </w:r>
      <w:r w:rsidR="00D876B7" w:rsidRPr="002900B5">
        <w:rPr>
          <w:sz w:val="22"/>
          <w:szCs w:val="22"/>
        </w:rPr>
        <w:t>k</w:t>
      </w:r>
      <w:r w:rsidR="00620E21" w:rsidRPr="002900B5">
        <w:rPr>
          <w:sz w:val="22"/>
          <w:szCs w:val="22"/>
        </w:rPr>
        <w:t>a</w:t>
      </w:r>
      <w:r w:rsidR="00D876B7" w:rsidRPr="002900B5">
        <w:rPr>
          <w:sz w:val="22"/>
          <w:szCs w:val="22"/>
        </w:rPr>
        <w:t>m</w:t>
      </w:r>
      <w:r w:rsidRPr="002900B5">
        <w:rPr>
          <w:sz w:val="22"/>
          <w:szCs w:val="22"/>
        </w:rPr>
        <w:t xml:space="preserve"> so sérovým kreatinínom vyšším ako 200 μmol/l (2,3 mg/dl) alebo s klírensom kreatinínu nižším ako 30 ml/min. (pozri časť </w:t>
      </w:r>
      <w:smartTag w:uri="urn:schemas-microsoft-com:office:smarttags" w:element="metricconverter">
        <w:smartTagPr>
          <w:attr w:name="ProductID" w:val="4.2 a"/>
        </w:smartTagPr>
        <w:r w:rsidRPr="002900B5">
          <w:rPr>
            <w:sz w:val="22"/>
            <w:szCs w:val="22"/>
          </w:rPr>
          <w:t>4.2 a</w:t>
        </w:r>
      </w:smartTag>
      <w:r w:rsidRPr="002900B5">
        <w:rPr>
          <w:sz w:val="22"/>
          <w:szCs w:val="22"/>
        </w:rPr>
        <w:t xml:space="preserve"> časť 5.2). </w:t>
      </w:r>
    </w:p>
    <w:p w:rsidR="006863C0" w:rsidRPr="002900B5" w:rsidRDefault="006863C0" w:rsidP="006C7E8A">
      <w:pPr>
        <w:pStyle w:val="Default"/>
        <w:rPr>
          <w:sz w:val="22"/>
          <w:szCs w:val="22"/>
        </w:rPr>
      </w:pPr>
    </w:p>
    <w:p w:rsidR="006863C0" w:rsidRPr="002900B5" w:rsidRDefault="006863C0" w:rsidP="006863C0">
      <w:pPr>
        <w:pStyle w:val="Default"/>
        <w:rPr>
          <w:sz w:val="22"/>
          <w:szCs w:val="22"/>
        </w:rPr>
      </w:pPr>
      <w:r w:rsidRPr="002900B5">
        <w:rPr>
          <w:sz w:val="22"/>
          <w:szCs w:val="22"/>
          <w:u w:val="single"/>
        </w:rPr>
        <w:t xml:space="preserve">Pacientky s poruchou srdca </w:t>
      </w:r>
    </w:p>
    <w:p w:rsidR="006863C0" w:rsidRPr="002900B5" w:rsidRDefault="006863C0" w:rsidP="006863C0">
      <w:pPr>
        <w:pStyle w:val="Default"/>
        <w:rPr>
          <w:sz w:val="22"/>
          <w:szCs w:val="22"/>
        </w:rPr>
      </w:pPr>
      <w:r w:rsidRPr="002900B5">
        <w:rPr>
          <w:sz w:val="22"/>
          <w:szCs w:val="22"/>
        </w:rPr>
        <w:t>U pacientov s rizikom srdcového zlyhávania treba zabrániť prevodneniu.</w:t>
      </w:r>
    </w:p>
    <w:p w:rsidR="002664BA" w:rsidRPr="002900B5" w:rsidRDefault="002664BA" w:rsidP="006C7E8A">
      <w:pPr>
        <w:pStyle w:val="Default"/>
        <w:rPr>
          <w:sz w:val="22"/>
          <w:szCs w:val="22"/>
        </w:rPr>
      </w:pPr>
    </w:p>
    <w:p w:rsidR="002664BA" w:rsidRPr="002900B5" w:rsidRDefault="002664BA" w:rsidP="006C7E8A">
      <w:pPr>
        <w:pStyle w:val="Default"/>
        <w:rPr>
          <w:sz w:val="22"/>
          <w:szCs w:val="22"/>
          <w:u w:val="single"/>
        </w:rPr>
      </w:pPr>
      <w:r w:rsidRPr="002900B5">
        <w:rPr>
          <w:iCs/>
          <w:sz w:val="22"/>
          <w:szCs w:val="22"/>
          <w:u w:val="single"/>
        </w:rPr>
        <w:t xml:space="preserve">Osteonekróza čeľuste </w:t>
      </w:r>
    </w:p>
    <w:p w:rsidR="00071B84" w:rsidRPr="002900B5" w:rsidRDefault="00071B84" w:rsidP="00071B84">
      <w:pPr>
        <w:autoSpaceDE w:val="0"/>
        <w:autoSpaceDN w:val="0"/>
        <w:adjustRightInd w:val="0"/>
        <w:ind w:left="0" w:firstLine="0"/>
        <w:rPr>
          <w:szCs w:val="22"/>
        </w:rPr>
      </w:pPr>
      <w:r w:rsidRPr="002900B5">
        <w:rPr>
          <w:szCs w:val="22"/>
        </w:rPr>
        <w:t>U pacientov, ktorí dostávali kyselinu ibandrónovú v lie</w:t>
      </w:r>
      <w:r w:rsidRPr="002900B5">
        <w:rPr>
          <w:rFonts w:eastAsia="TimesNewRomanPSMT"/>
          <w:szCs w:val="22"/>
        </w:rPr>
        <w:t>č</w:t>
      </w:r>
      <w:r w:rsidRPr="002900B5">
        <w:rPr>
          <w:szCs w:val="22"/>
        </w:rPr>
        <w:t xml:space="preserve">be osteoporózy, bola osteonekróza </w:t>
      </w:r>
      <w:r w:rsidRPr="002900B5">
        <w:rPr>
          <w:rFonts w:eastAsia="TimesNewRomanPSMT"/>
          <w:szCs w:val="22"/>
        </w:rPr>
        <w:t>č</w:t>
      </w:r>
      <w:r w:rsidRPr="002900B5">
        <w:rPr>
          <w:szCs w:val="22"/>
        </w:rPr>
        <w:t>e</w:t>
      </w:r>
      <w:r w:rsidRPr="002900B5">
        <w:rPr>
          <w:rFonts w:eastAsia="TimesNewRomanPSMT"/>
          <w:szCs w:val="22"/>
        </w:rPr>
        <w:t>ľ</w:t>
      </w:r>
      <w:r w:rsidRPr="002900B5">
        <w:rPr>
          <w:szCs w:val="22"/>
        </w:rPr>
        <w:t>uste (ONJ) v hláseniach po uvedení tohto lieku na trh zaznamenaná ve</w:t>
      </w:r>
      <w:r w:rsidRPr="002900B5">
        <w:rPr>
          <w:rFonts w:eastAsia="TimesNewRomanPSMT"/>
          <w:szCs w:val="22"/>
        </w:rPr>
        <w:t>ľ</w:t>
      </w:r>
      <w:r w:rsidRPr="002900B5">
        <w:rPr>
          <w:szCs w:val="22"/>
        </w:rPr>
        <w:t xml:space="preserve">mi zriedkavo (pozri </w:t>
      </w:r>
      <w:r w:rsidRPr="002900B5">
        <w:rPr>
          <w:rFonts w:eastAsia="TimesNewRomanPSMT"/>
          <w:szCs w:val="22"/>
        </w:rPr>
        <w:t>č</w:t>
      </w:r>
      <w:r w:rsidRPr="002900B5">
        <w:rPr>
          <w:szCs w:val="22"/>
        </w:rPr>
        <w:t>as</w:t>
      </w:r>
      <w:r w:rsidRPr="002900B5">
        <w:rPr>
          <w:rFonts w:eastAsia="TimesNewRomanPSMT"/>
          <w:szCs w:val="22"/>
        </w:rPr>
        <w:t xml:space="preserve">ť </w:t>
      </w:r>
      <w:r w:rsidRPr="002900B5">
        <w:rPr>
          <w:szCs w:val="22"/>
        </w:rPr>
        <w:t>4.8).</w:t>
      </w:r>
    </w:p>
    <w:p w:rsidR="00071B84" w:rsidRPr="002900B5" w:rsidRDefault="00071B84" w:rsidP="00071B84">
      <w:pPr>
        <w:autoSpaceDE w:val="0"/>
        <w:autoSpaceDN w:val="0"/>
        <w:adjustRightInd w:val="0"/>
        <w:ind w:left="0" w:firstLine="0"/>
        <w:rPr>
          <w:szCs w:val="22"/>
        </w:rPr>
      </w:pPr>
    </w:p>
    <w:p w:rsidR="00071B84" w:rsidRPr="002900B5" w:rsidRDefault="00071B84" w:rsidP="00071B84">
      <w:pPr>
        <w:autoSpaceDE w:val="0"/>
        <w:autoSpaceDN w:val="0"/>
        <w:adjustRightInd w:val="0"/>
        <w:ind w:left="0" w:firstLine="0"/>
        <w:rPr>
          <w:szCs w:val="22"/>
        </w:rPr>
      </w:pPr>
      <w:r w:rsidRPr="002900B5">
        <w:rPr>
          <w:szCs w:val="22"/>
        </w:rPr>
        <w:t>Za</w:t>
      </w:r>
      <w:r w:rsidRPr="002900B5">
        <w:rPr>
          <w:rFonts w:eastAsia="TimesNewRomanPSMT"/>
          <w:szCs w:val="22"/>
        </w:rPr>
        <w:t>č</w:t>
      </w:r>
      <w:r w:rsidRPr="002900B5">
        <w:rPr>
          <w:szCs w:val="22"/>
        </w:rPr>
        <w:t>iatok lie</w:t>
      </w:r>
      <w:r w:rsidRPr="002900B5">
        <w:rPr>
          <w:rFonts w:eastAsia="TimesNewRomanPSMT"/>
          <w:szCs w:val="22"/>
        </w:rPr>
        <w:t>č</w:t>
      </w:r>
      <w:r w:rsidRPr="002900B5">
        <w:rPr>
          <w:szCs w:val="22"/>
        </w:rPr>
        <w:t>by alebo obnovenie lie</w:t>
      </w:r>
      <w:r w:rsidRPr="002900B5">
        <w:rPr>
          <w:rFonts w:eastAsia="TimesNewRomanPSMT"/>
          <w:szCs w:val="22"/>
        </w:rPr>
        <w:t>č</w:t>
      </w:r>
      <w:r w:rsidRPr="002900B5">
        <w:rPr>
          <w:szCs w:val="22"/>
        </w:rPr>
        <w:t>by sa má u pacientov s nezhojenými léziami mäkkého tkaniva</w:t>
      </w:r>
    </w:p>
    <w:p w:rsidR="00071B84" w:rsidRPr="002900B5" w:rsidRDefault="00071B84" w:rsidP="00071B84">
      <w:pPr>
        <w:autoSpaceDE w:val="0"/>
        <w:autoSpaceDN w:val="0"/>
        <w:adjustRightInd w:val="0"/>
        <w:ind w:left="0" w:firstLine="0"/>
        <w:rPr>
          <w:szCs w:val="22"/>
        </w:rPr>
      </w:pPr>
      <w:r w:rsidRPr="002900B5">
        <w:rPr>
          <w:szCs w:val="22"/>
        </w:rPr>
        <w:t>v ústach odloži</w:t>
      </w:r>
      <w:r w:rsidRPr="002900B5">
        <w:rPr>
          <w:rFonts w:eastAsia="TimesNewRomanPSMT"/>
          <w:szCs w:val="22"/>
        </w:rPr>
        <w:t>ť</w:t>
      </w:r>
      <w:r w:rsidRPr="002900B5">
        <w:rPr>
          <w:szCs w:val="22"/>
        </w:rPr>
        <w:t>.</w:t>
      </w:r>
    </w:p>
    <w:p w:rsidR="00071B84" w:rsidRPr="002900B5" w:rsidRDefault="00071B84" w:rsidP="00071B84">
      <w:pPr>
        <w:autoSpaceDE w:val="0"/>
        <w:autoSpaceDN w:val="0"/>
        <w:adjustRightInd w:val="0"/>
        <w:ind w:left="0" w:firstLine="0"/>
        <w:rPr>
          <w:szCs w:val="22"/>
        </w:rPr>
      </w:pPr>
    </w:p>
    <w:p w:rsidR="00071B84" w:rsidRPr="002900B5" w:rsidRDefault="00071B84" w:rsidP="00071B84">
      <w:pPr>
        <w:autoSpaceDE w:val="0"/>
        <w:autoSpaceDN w:val="0"/>
        <w:adjustRightInd w:val="0"/>
        <w:ind w:left="0" w:firstLine="0"/>
        <w:rPr>
          <w:szCs w:val="22"/>
        </w:rPr>
      </w:pPr>
      <w:r w:rsidRPr="002900B5">
        <w:rPr>
          <w:szCs w:val="22"/>
        </w:rPr>
        <w:t>U pacientov s viacerými súbežnými rizikovými faktormi sa pred za</w:t>
      </w:r>
      <w:r w:rsidRPr="002900B5">
        <w:rPr>
          <w:rFonts w:eastAsia="TimesNewRomanPSMT"/>
          <w:szCs w:val="22"/>
        </w:rPr>
        <w:t>č</w:t>
      </w:r>
      <w:r w:rsidRPr="002900B5">
        <w:rPr>
          <w:szCs w:val="22"/>
        </w:rPr>
        <w:t>atím lie</w:t>
      </w:r>
      <w:r w:rsidRPr="002900B5">
        <w:rPr>
          <w:rFonts w:eastAsia="TimesNewRomanPSMT"/>
          <w:szCs w:val="22"/>
        </w:rPr>
        <w:t>č</w:t>
      </w:r>
      <w:r w:rsidRPr="002900B5">
        <w:rPr>
          <w:szCs w:val="22"/>
        </w:rPr>
        <w:t>by kyselinou ibandrónovou odporú</w:t>
      </w:r>
      <w:r w:rsidRPr="002900B5">
        <w:rPr>
          <w:rFonts w:eastAsia="TimesNewRomanPSMT"/>
          <w:szCs w:val="22"/>
        </w:rPr>
        <w:t>č</w:t>
      </w:r>
      <w:r w:rsidRPr="002900B5">
        <w:rPr>
          <w:szCs w:val="22"/>
        </w:rPr>
        <w:t>a zubné vyšetrenie s preventívnou stomatologickou prehliadkou a individuálne zhodnotenie pomeru prínosu a rizika.</w:t>
      </w:r>
    </w:p>
    <w:p w:rsidR="00071B84" w:rsidRPr="002900B5" w:rsidRDefault="00071B84" w:rsidP="00071B84">
      <w:pPr>
        <w:autoSpaceDE w:val="0"/>
        <w:autoSpaceDN w:val="0"/>
        <w:adjustRightInd w:val="0"/>
        <w:ind w:left="0" w:firstLine="0"/>
        <w:rPr>
          <w:szCs w:val="22"/>
        </w:rPr>
      </w:pPr>
    </w:p>
    <w:p w:rsidR="00071B84" w:rsidRPr="002900B5" w:rsidRDefault="00071B84" w:rsidP="00071B84">
      <w:pPr>
        <w:autoSpaceDE w:val="0"/>
        <w:autoSpaceDN w:val="0"/>
        <w:adjustRightInd w:val="0"/>
        <w:ind w:left="0" w:firstLine="0"/>
        <w:rPr>
          <w:szCs w:val="22"/>
        </w:rPr>
      </w:pPr>
      <w:r w:rsidRPr="002900B5">
        <w:rPr>
          <w:szCs w:val="22"/>
        </w:rPr>
        <w:t>U pacientov s rizikom rozvoja ONJ sa majú pri hodnotení zváži</w:t>
      </w:r>
      <w:r w:rsidRPr="002900B5">
        <w:rPr>
          <w:rFonts w:eastAsia="TimesNewRomanPSMT"/>
          <w:szCs w:val="22"/>
        </w:rPr>
        <w:t xml:space="preserve">ť </w:t>
      </w:r>
      <w:r w:rsidRPr="002900B5">
        <w:rPr>
          <w:szCs w:val="22"/>
        </w:rPr>
        <w:t>nasledovné rizikové faktory :</w:t>
      </w:r>
    </w:p>
    <w:p w:rsidR="00071B84" w:rsidRPr="002900B5" w:rsidRDefault="00071B84" w:rsidP="002900B5">
      <w:pPr>
        <w:numPr>
          <w:ilvl w:val="0"/>
          <w:numId w:val="16"/>
        </w:numPr>
        <w:tabs>
          <w:tab w:val="left" w:pos="567"/>
        </w:tabs>
        <w:autoSpaceDE w:val="0"/>
        <w:autoSpaceDN w:val="0"/>
        <w:adjustRightInd w:val="0"/>
        <w:ind w:left="567" w:hanging="567"/>
        <w:rPr>
          <w:szCs w:val="22"/>
        </w:rPr>
      </w:pPr>
      <w:r w:rsidRPr="002900B5">
        <w:rPr>
          <w:szCs w:val="22"/>
        </w:rPr>
        <w:t>potenciál lieku, ktorý inhibuje resorbciu v kosti (vyššie riziko pri vysoko ú</w:t>
      </w:r>
      <w:r w:rsidRPr="002900B5">
        <w:rPr>
          <w:rFonts w:eastAsia="TimesNewRomanPSMT"/>
          <w:szCs w:val="22"/>
        </w:rPr>
        <w:t>č</w:t>
      </w:r>
      <w:r w:rsidRPr="002900B5">
        <w:rPr>
          <w:szCs w:val="22"/>
        </w:rPr>
        <w:t>inných zlú</w:t>
      </w:r>
      <w:r w:rsidRPr="002900B5">
        <w:rPr>
          <w:rFonts w:eastAsia="TimesNewRomanPSMT"/>
          <w:szCs w:val="22"/>
        </w:rPr>
        <w:t>č</w:t>
      </w:r>
      <w:r w:rsidRPr="002900B5">
        <w:rPr>
          <w:szCs w:val="22"/>
        </w:rPr>
        <w:t>eninách), cesta podania (vyššie riziko pri podaní parenterálnou cestou) a kumulatívnadávka lie</w:t>
      </w:r>
      <w:r w:rsidRPr="002900B5">
        <w:rPr>
          <w:rFonts w:eastAsia="TimesNewRomanPSMT"/>
          <w:szCs w:val="22"/>
        </w:rPr>
        <w:t>č</w:t>
      </w:r>
      <w:r w:rsidRPr="002900B5">
        <w:rPr>
          <w:szCs w:val="22"/>
        </w:rPr>
        <w:t>by na resorbciu kosti</w:t>
      </w:r>
    </w:p>
    <w:p w:rsidR="00071B84" w:rsidRPr="002900B5" w:rsidRDefault="00071B84" w:rsidP="00071B84">
      <w:pPr>
        <w:numPr>
          <w:ilvl w:val="0"/>
          <w:numId w:val="17"/>
        </w:numPr>
        <w:tabs>
          <w:tab w:val="left" w:pos="567"/>
        </w:tabs>
        <w:autoSpaceDE w:val="0"/>
        <w:autoSpaceDN w:val="0"/>
        <w:adjustRightInd w:val="0"/>
        <w:ind w:left="567" w:hanging="567"/>
        <w:rPr>
          <w:szCs w:val="22"/>
        </w:rPr>
      </w:pPr>
      <w:r w:rsidRPr="002900B5">
        <w:rPr>
          <w:szCs w:val="22"/>
        </w:rPr>
        <w:t>nádorové ochorenie, komorbidity (napr. anémia, koagulopatie, infekcie), faj</w:t>
      </w:r>
      <w:r w:rsidRPr="002900B5">
        <w:rPr>
          <w:rFonts w:eastAsia="TimesNewRomanPSMT"/>
          <w:szCs w:val="22"/>
        </w:rPr>
        <w:t>č</w:t>
      </w:r>
      <w:r w:rsidRPr="002900B5">
        <w:rPr>
          <w:szCs w:val="22"/>
        </w:rPr>
        <w:t>enie</w:t>
      </w:r>
    </w:p>
    <w:p w:rsidR="00071B84" w:rsidRPr="002900B5" w:rsidRDefault="00071B84" w:rsidP="002900B5">
      <w:pPr>
        <w:numPr>
          <w:ilvl w:val="0"/>
          <w:numId w:val="18"/>
        </w:numPr>
        <w:shd w:val="clear" w:color="auto" w:fill="FFFFFF"/>
        <w:tabs>
          <w:tab w:val="left" w:pos="567"/>
        </w:tabs>
        <w:autoSpaceDE w:val="0"/>
        <w:autoSpaceDN w:val="0"/>
        <w:adjustRightInd w:val="0"/>
        <w:ind w:left="567" w:hanging="567"/>
        <w:rPr>
          <w:szCs w:val="22"/>
        </w:rPr>
      </w:pPr>
      <w:r w:rsidRPr="002900B5">
        <w:rPr>
          <w:szCs w:val="22"/>
        </w:rPr>
        <w:t>súbežná lie</w:t>
      </w:r>
      <w:r w:rsidRPr="002900B5">
        <w:rPr>
          <w:rFonts w:eastAsia="TimesNewRomanPSMT"/>
          <w:szCs w:val="22"/>
        </w:rPr>
        <w:t>č</w:t>
      </w:r>
      <w:r w:rsidRPr="002900B5">
        <w:rPr>
          <w:szCs w:val="22"/>
        </w:rPr>
        <w:t>ba: kortikosteroidy, chemoterapia, inhibítory angiogenézy, rádioterapia hlavy a krku</w:t>
      </w:r>
    </w:p>
    <w:p w:rsidR="00071B84" w:rsidRPr="002900B5" w:rsidRDefault="00071B84" w:rsidP="00071B84">
      <w:pPr>
        <w:numPr>
          <w:ilvl w:val="0"/>
          <w:numId w:val="19"/>
        </w:numPr>
        <w:tabs>
          <w:tab w:val="left" w:pos="567"/>
        </w:tabs>
        <w:autoSpaceDE w:val="0"/>
        <w:autoSpaceDN w:val="0"/>
        <w:adjustRightInd w:val="0"/>
        <w:ind w:left="567" w:hanging="567"/>
        <w:rPr>
          <w:szCs w:val="22"/>
        </w:rPr>
      </w:pPr>
      <w:r w:rsidRPr="002900B5">
        <w:rPr>
          <w:szCs w:val="22"/>
        </w:rPr>
        <w:t>nedostato</w:t>
      </w:r>
      <w:r w:rsidRPr="002900B5">
        <w:rPr>
          <w:rFonts w:eastAsia="TimesNewRomanPSMT"/>
          <w:szCs w:val="22"/>
        </w:rPr>
        <w:t>č</w:t>
      </w:r>
      <w:r w:rsidRPr="002900B5">
        <w:rPr>
          <w:szCs w:val="22"/>
        </w:rPr>
        <w:t>ná hygiena dutiny ústnej, periodontálne ochorenia, zle nasadajúce zubné protézy,</w:t>
      </w:r>
    </w:p>
    <w:p w:rsidR="00071B84" w:rsidRPr="002900B5" w:rsidRDefault="00071B84" w:rsidP="00027FC5">
      <w:pPr>
        <w:tabs>
          <w:tab w:val="left" w:pos="567"/>
        </w:tabs>
        <w:autoSpaceDE w:val="0"/>
        <w:autoSpaceDN w:val="0"/>
        <w:adjustRightInd w:val="0"/>
        <w:ind w:firstLine="0"/>
        <w:rPr>
          <w:szCs w:val="22"/>
        </w:rPr>
      </w:pPr>
      <w:r w:rsidRPr="002900B5">
        <w:rPr>
          <w:szCs w:val="22"/>
        </w:rPr>
        <w:t>anamnéza dentálneho ochorenia, invazívne dentálne zákroky, napr. extrakcie zuba.</w:t>
      </w:r>
    </w:p>
    <w:p w:rsidR="00071B84" w:rsidRPr="002900B5" w:rsidRDefault="00071B84" w:rsidP="00071B84">
      <w:pPr>
        <w:autoSpaceDE w:val="0"/>
        <w:autoSpaceDN w:val="0"/>
        <w:adjustRightInd w:val="0"/>
        <w:ind w:left="0" w:firstLine="0"/>
        <w:rPr>
          <w:szCs w:val="22"/>
        </w:rPr>
      </w:pPr>
    </w:p>
    <w:p w:rsidR="00071B84" w:rsidRPr="002900B5" w:rsidRDefault="00071B84" w:rsidP="00071B84">
      <w:pPr>
        <w:autoSpaceDE w:val="0"/>
        <w:autoSpaceDN w:val="0"/>
        <w:adjustRightInd w:val="0"/>
        <w:ind w:left="0" w:firstLine="0"/>
        <w:rPr>
          <w:szCs w:val="22"/>
        </w:rPr>
      </w:pPr>
      <w:r w:rsidRPr="002900B5">
        <w:rPr>
          <w:szCs w:val="22"/>
        </w:rPr>
        <w:t>Všetci pacienti sa majú v priebehu lie</w:t>
      </w:r>
      <w:r w:rsidRPr="002900B5">
        <w:rPr>
          <w:rFonts w:eastAsia="TimesNewRomanPSMT"/>
          <w:szCs w:val="22"/>
        </w:rPr>
        <w:t>č</w:t>
      </w:r>
      <w:r w:rsidRPr="002900B5">
        <w:rPr>
          <w:szCs w:val="22"/>
        </w:rPr>
        <w:t>by kyselinou ibandrónovou nabáda</w:t>
      </w:r>
      <w:r w:rsidRPr="002900B5">
        <w:rPr>
          <w:rFonts w:eastAsia="TimesNewRomanPSMT"/>
          <w:szCs w:val="22"/>
        </w:rPr>
        <w:t xml:space="preserve">ť </w:t>
      </w:r>
      <w:r w:rsidRPr="002900B5">
        <w:rPr>
          <w:szCs w:val="22"/>
        </w:rPr>
        <w:t>k udržiavaniu dobrej hygieny ústnej dutiny, k preventívnym zubným prehliadkam a k okamžitému hláseniu akýchko</w:t>
      </w:r>
      <w:r w:rsidRPr="002900B5">
        <w:rPr>
          <w:rFonts w:eastAsia="TimesNewRomanPSMT"/>
          <w:szCs w:val="22"/>
        </w:rPr>
        <w:t>ľ</w:t>
      </w:r>
      <w:r w:rsidRPr="002900B5">
        <w:rPr>
          <w:szCs w:val="22"/>
        </w:rPr>
        <w:t>vek príznakov v ústnej dutine, ako napríklad kývanie zubov, boles</w:t>
      </w:r>
      <w:r w:rsidRPr="002900B5">
        <w:rPr>
          <w:rFonts w:eastAsia="TimesNewRomanPSMT"/>
          <w:szCs w:val="22"/>
        </w:rPr>
        <w:t xml:space="preserve">ť </w:t>
      </w:r>
      <w:r w:rsidRPr="002900B5">
        <w:rPr>
          <w:szCs w:val="22"/>
        </w:rPr>
        <w:t>alebo opuch, nehojace sa rany alebo výtok. V priebehu lie</w:t>
      </w:r>
      <w:r w:rsidRPr="002900B5">
        <w:rPr>
          <w:rFonts w:eastAsia="TimesNewRomanPSMT"/>
          <w:szCs w:val="22"/>
        </w:rPr>
        <w:t>č</w:t>
      </w:r>
      <w:r w:rsidRPr="002900B5">
        <w:rPr>
          <w:szCs w:val="22"/>
        </w:rPr>
        <w:t>by môžu by</w:t>
      </w:r>
      <w:r w:rsidRPr="002900B5">
        <w:rPr>
          <w:rFonts w:eastAsia="TimesNewRomanPSMT"/>
          <w:szCs w:val="22"/>
        </w:rPr>
        <w:t xml:space="preserve">ť </w:t>
      </w:r>
      <w:r w:rsidRPr="002900B5">
        <w:rPr>
          <w:szCs w:val="22"/>
        </w:rPr>
        <w:t>invazívne dentálne procedúry vykonávané len po starostlivom zvážení a má sa zabráni</w:t>
      </w:r>
      <w:r w:rsidRPr="002900B5">
        <w:rPr>
          <w:rFonts w:eastAsia="TimesNewRomanPSMT"/>
          <w:szCs w:val="22"/>
        </w:rPr>
        <w:t xml:space="preserve">ť </w:t>
      </w:r>
      <w:r w:rsidRPr="002900B5">
        <w:rPr>
          <w:szCs w:val="22"/>
        </w:rPr>
        <w:t xml:space="preserve">tomu, aby sa vykonali v krátkom odstupe od </w:t>
      </w:r>
      <w:r w:rsidRPr="002900B5">
        <w:rPr>
          <w:rFonts w:eastAsia="TimesNewRomanPSMT"/>
          <w:szCs w:val="22"/>
        </w:rPr>
        <w:t>č</w:t>
      </w:r>
      <w:r w:rsidRPr="002900B5">
        <w:rPr>
          <w:szCs w:val="22"/>
        </w:rPr>
        <w:t>asu podania kyseliny ibandrónovej.</w:t>
      </w:r>
    </w:p>
    <w:p w:rsidR="00071B84" w:rsidRPr="002900B5" w:rsidRDefault="00071B84" w:rsidP="00071B84">
      <w:pPr>
        <w:autoSpaceDE w:val="0"/>
        <w:autoSpaceDN w:val="0"/>
        <w:adjustRightInd w:val="0"/>
        <w:ind w:left="0" w:firstLine="0"/>
        <w:rPr>
          <w:szCs w:val="22"/>
        </w:rPr>
      </w:pPr>
    </w:p>
    <w:p w:rsidR="00071B84" w:rsidRPr="002900B5" w:rsidRDefault="00071B84" w:rsidP="00071B84">
      <w:pPr>
        <w:autoSpaceDE w:val="0"/>
        <w:autoSpaceDN w:val="0"/>
        <w:adjustRightInd w:val="0"/>
        <w:ind w:left="0" w:firstLine="0"/>
        <w:rPr>
          <w:szCs w:val="22"/>
        </w:rPr>
      </w:pPr>
      <w:r w:rsidRPr="002900B5">
        <w:rPr>
          <w:szCs w:val="22"/>
        </w:rPr>
        <w:t>U pacientov, u ktorých sa vyvinie ONJ má by</w:t>
      </w:r>
      <w:r w:rsidRPr="002900B5">
        <w:rPr>
          <w:rFonts w:eastAsia="TimesNewRomanPSMT"/>
          <w:szCs w:val="22"/>
        </w:rPr>
        <w:t xml:space="preserve">ť </w:t>
      </w:r>
      <w:r w:rsidRPr="002900B5">
        <w:rPr>
          <w:szCs w:val="22"/>
        </w:rPr>
        <w:t>plán manažmentu ochorenia založený na blízkej</w:t>
      </w:r>
    </w:p>
    <w:p w:rsidR="00071B84" w:rsidRPr="002900B5" w:rsidRDefault="00071B84" w:rsidP="00071B84">
      <w:pPr>
        <w:autoSpaceDE w:val="0"/>
        <w:autoSpaceDN w:val="0"/>
        <w:adjustRightInd w:val="0"/>
        <w:ind w:left="0" w:firstLine="0"/>
        <w:rPr>
          <w:szCs w:val="22"/>
        </w:rPr>
      </w:pPr>
      <w:r w:rsidRPr="002900B5">
        <w:rPr>
          <w:szCs w:val="22"/>
        </w:rPr>
        <w:t>spolupráci ošetrujúceho lekára a stomatológa, alebo stomatochirurga so skúsenos</w:t>
      </w:r>
      <w:r w:rsidRPr="002900B5">
        <w:rPr>
          <w:rFonts w:eastAsia="TimesNewRomanPSMT"/>
          <w:szCs w:val="22"/>
        </w:rPr>
        <w:t>ť</w:t>
      </w:r>
      <w:r w:rsidRPr="002900B5">
        <w:rPr>
          <w:szCs w:val="22"/>
        </w:rPr>
        <w:t>ami v oblasti ONJ.</w:t>
      </w:r>
    </w:p>
    <w:p w:rsidR="00071B84" w:rsidRPr="002900B5" w:rsidRDefault="00071B84" w:rsidP="00071B84">
      <w:pPr>
        <w:autoSpaceDE w:val="0"/>
        <w:autoSpaceDN w:val="0"/>
        <w:adjustRightInd w:val="0"/>
        <w:ind w:left="0" w:firstLine="0"/>
        <w:rPr>
          <w:szCs w:val="22"/>
        </w:rPr>
      </w:pPr>
      <w:r w:rsidRPr="002900B5">
        <w:rPr>
          <w:szCs w:val="22"/>
        </w:rPr>
        <w:t>Do</w:t>
      </w:r>
      <w:r w:rsidRPr="002900B5">
        <w:rPr>
          <w:rFonts w:eastAsia="TimesNewRomanPSMT"/>
          <w:szCs w:val="22"/>
        </w:rPr>
        <w:t>č</w:t>
      </w:r>
      <w:r w:rsidRPr="002900B5">
        <w:rPr>
          <w:szCs w:val="22"/>
        </w:rPr>
        <w:t>asné prerušenie lie</w:t>
      </w:r>
      <w:r w:rsidRPr="002900B5">
        <w:rPr>
          <w:rFonts w:eastAsia="TimesNewRomanPSMT"/>
          <w:szCs w:val="22"/>
        </w:rPr>
        <w:t>č</w:t>
      </w:r>
      <w:r w:rsidRPr="002900B5">
        <w:rPr>
          <w:szCs w:val="22"/>
        </w:rPr>
        <w:t>by kyselinou ibandrónovou sa má zváži</w:t>
      </w:r>
      <w:r w:rsidRPr="002900B5">
        <w:rPr>
          <w:rFonts w:eastAsia="TimesNewRomanPSMT"/>
          <w:szCs w:val="22"/>
        </w:rPr>
        <w:t xml:space="preserve">ť </w:t>
      </w:r>
      <w:r w:rsidRPr="002900B5">
        <w:rPr>
          <w:szCs w:val="22"/>
        </w:rPr>
        <w:t>až do dosiahnutia zlepšenia stavu a do zmiernenia podie</w:t>
      </w:r>
      <w:r w:rsidRPr="002900B5">
        <w:rPr>
          <w:rFonts w:eastAsia="TimesNewRomanPSMT"/>
          <w:szCs w:val="22"/>
        </w:rPr>
        <w:t>ľ</w:t>
      </w:r>
      <w:r w:rsidRPr="002900B5">
        <w:rPr>
          <w:szCs w:val="22"/>
        </w:rPr>
        <w:t>ajúcich sa rizikových faktorov, ak je to možné.</w:t>
      </w:r>
    </w:p>
    <w:p w:rsidR="0020108C" w:rsidRPr="002900B5" w:rsidRDefault="0020108C" w:rsidP="006C7E8A">
      <w:pPr>
        <w:ind w:left="0" w:firstLine="0"/>
        <w:rPr>
          <w:szCs w:val="22"/>
        </w:rPr>
      </w:pPr>
    </w:p>
    <w:p w:rsidR="0020108C" w:rsidRPr="002900B5" w:rsidRDefault="0020108C" w:rsidP="0020108C">
      <w:pPr>
        <w:autoSpaceDE w:val="0"/>
        <w:autoSpaceDN w:val="0"/>
        <w:adjustRightInd w:val="0"/>
        <w:rPr>
          <w:color w:val="000000"/>
          <w:szCs w:val="22"/>
          <w:u w:val="single"/>
        </w:rPr>
      </w:pPr>
      <w:r w:rsidRPr="002900B5">
        <w:rPr>
          <w:color w:val="000000"/>
          <w:szCs w:val="22"/>
          <w:u w:val="single"/>
        </w:rPr>
        <w:t>Osteonekróza vonkajšieho zvukovodu</w:t>
      </w:r>
    </w:p>
    <w:p w:rsidR="0020108C" w:rsidRPr="002900B5" w:rsidRDefault="0020108C" w:rsidP="002900B5">
      <w:pPr>
        <w:shd w:val="clear" w:color="auto" w:fill="FFFFFF"/>
        <w:ind w:left="19" w:hanging="19"/>
        <w:rPr>
          <w:szCs w:val="22"/>
        </w:rPr>
      </w:pPr>
      <w:r w:rsidRPr="002900B5">
        <w:rPr>
          <w:color w:val="000000"/>
          <w:szCs w:val="22"/>
        </w:rPr>
        <w:t>Pri používaní bisfosfonátov bola hlásená osteonekróza vonkajšieho zvukovodu, najmä v súvislosti s dlhodobou liečbou. K možným rizikovým faktorom osteonekrózy vonkajšieho zvukovodu patrí používanie steroidov a chemoterapia a/alebo miestne rizikové faktory, ako je infekcia alebo trauma. Možnosť osteonekrózy vonkajšieho zvukovodu treba zvážiť u pacientov užívajúcich bisfosfonáty, ktorí majú ušné symptómy vrátane chronických ušných infekcií.</w:t>
      </w:r>
    </w:p>
    <w:p w:rsidR="006863C0" w:rsidRPr="002900B5" w:rsidRDefault="006863C0" w:rsidP="006C7E8A">
      <w:pPr>
        <w:ind w:left="0" w:firstLine="0"/>
        <w:rPr>
          <w:szCs w:val="22"/>
        </w:rPr>
      </w:pPr>
    </w:p>
    <w:p w:rsidR="006863C0" w:rsidRPr="002900B5" w:rsidRDefault="006863C0" w:rsidP="006863C0">
      <w:pPr>
        <w:pStyle w:val="Default"/>
        <w:rPr>
          <w:sz w:val="22"/>
          <w:szCs w:val="22"/>
          <w:u w:val="single"/>
        </w:rPr>
      </w:pPr>
      <w:r w:rsidRPr="002900B5">
        <w:rPr>
          <w:iCs/>
          <w:sz w:val="22"/>
          <w:szCs w:val="22"/>
          <w:u w:val="single"/>
        </w:rPr>
        <w:t xml:space="preserve">Atypické zlomeniny stehennej kosti </w:t>
      </w:r>
    </w:p>
    <w:p w:rsidR="006863C0" w:rsidRPr="002900B5" w:rsidRDefault="006863C0" w:rsidP="006863C0">
      <w:pPr>
        <w:pStyle w:val="Default"/>
        <w:rPr>
          <w:sz w:val="22"/>
          <w:szCs w:val="22"/>
        </w:rPr>
      </w:pPr>
      <w:r w:rsidRPr="002900B5">
        <w:rPr>
          <w:iCs/>
          <w:sz w:val="22"/>
          <w:szCs w:val="22"/>
        </w:rPr>
        <w:t xml:space="preserve">Pri liečbe bisfosfonátmi boli hlásené atypické subtrochanterické a diafyzárne zlomeniny stehennej kosti, predovšetkým u </w:t>
      </w:r>
      <w:r w:rsidRPr="002900B5">
        <w:rPr>
          <w:sz w:val="22"/>
          <w:szCs w:val="22"/>
        </w:rPr>
        <w:t>pacientok</w:t>
      </w:r>
      <w:r w:rsidRPr="002900B5">
        <w:rPr>
          <w:iCs/>
          <w:sz w:val="22"/>
          <w:szCs w:val="22"/>
        </w:rPr>
        <w:t xml:space="preserve">, ktoré sa dlhodobo liečili na osteoporózu. Tieto priečne alebo krátke šikmé zlomeniny môžu vzniknúť kdekoľvek pozdĺž stehennej kosti, tesne pod malým trochanterom až po suprakondylickú časť. K týmto zlomeninám dochádza po minimálnej alebo žiadnej traume a u niektorých </w:t>
      </w:r>
      <w:r w:rsidRPr="002900B5">
        <w:rPr>
          <w:sz w:val="22"/>
          <w:szCs w:val="22"/>
        </w:rPr>
        <w:t>pacientok</w:t>
      </w:r>
      <w:r w:rsidRPr="002900B5">
        <w:rPr>
          <w:iCs/>
          <w:sz w:val="22"/>
          <w:szCs w:val="22"/>
        </w:rPr>
        <w:t xml:space="preserve"> sa niekoľko týždňov až mesiacov pred vznikom úplnej zlomeniny stehennej kosti vyskytne bolesť v stehne alebo slabine, pri zobrazovacom vyšetrení často spojená s charakteristikami únavovej zlomeniny. Zlomeniny sú často bilaterálne, preto sa má u pacientok liečených bisfosfonátmi, ktorí utrpeli zlomeninu stehennej kosti, vyšetriť aj kontralaterálna stehenná kosť. Hlásené bolo tiež nedostatočné hojenie týchto zlomenín. U pacientok s podozrením na atypickú zlomeninu stehennej </w:t>
      </w:r>
      <w:r w:rsidRPr="002900B5">
        <w:rPr>
          <w:iCs/>
          <w:sz w:val="22"/>
          <w:szCs w:val="22"/>
        </w:rPr>
        <w:lastRenderedPageBreak/>
        <w:t xml:space="preserve">kosti sa má na základe individuálneho zhodnotenia prínosu a rizika pre pacientku zvážiť prerušenie liečby bisfosfonátmi. </w:t>
      </w:r>
    </w:p>
    <w:p w:rsidR="006863C0" w:rsidRPr="002900B5" w:rsidRDefault="006863C0" w:rsidP="006863C0">
      <w:pPr>
        <w:pStyle w:val="Default"/>
        <w:rPr>
          <w:sz w:val="22"/>
          <w:szCs w:val="22"/>
        </w:rPr>
      </w:pPr>
      <w:r w:rsidRPr="002900B5">
        <w:rPr>
          <w:iCs/>
          <w:sz w:val="22"/>
          <w:szCs w:val="22"/>
        </w:rPr>
        <w:t xml:space="preserve">Počas liečby bisfosfonátmi treba pacientky poučiť, aby hlásili akúkoľvek bolesť v stehne, bedre alebo slabine a každú </w:t>
      </w:r>
      <w:r w:rsidRPr="002900B5">
        <w:rPr>
          <w:sz w:val="22"/>
          <w:szCs w:val="22"/>
        </w:rPr>
        <w:t>pacientku</w:t>
      </w:r>
      <w:r w:rsidRPr="002900B5">
        <w:rPr>
          <w:iCs/>
          <w:sz w:val="22"/>
          <w:szCs w:val="22"/>
        </w:rPr>
        <w:t xml:space="preserve"> s takýmito príznakmi je potrebné vyšetriť na prítomnosť neúplnej zlomeniny stehennej kosti. </w:t>
      </w:r>
    </w:p>
    <w:p w:rsidR="006863C0" w:rsidRPr="002900B5" w:rsidRDefault="006863C0" w:rsidP="006C7E8A">
      <w:pPr>
        <w:ind w:left="0" w:firstLine="0"/>
        <w:rPr>
          <w:szCs w:val="22"/>
        </w:rPr>
      </w:pPr>
    </w:p>
    <w:p w:rsidR="00EC0681" w:rsidRPr="002900B5" w:rsidRDefault="00F751EF">
      <w:pPr>
        <w:rPr>
          <w:szCs w:val="22"/>
        </w:rPr>
      </w:pPr>
      <w:r w:rsidRPr="002900B5">
        <w:rPr>
          <w:szCs w:val="22"/>
          <w:u w:val="single"/>
        </w:rPr>
        <w:t xml:space="preserve">Pomocná látka </w:t>
      </w:r>
    </w:p>
    <w:p w:rsidR="006863C0" w:rsidRDefault="00D05725" w:rsidP="009F24ED">
      <w:pPr>
        <w:ind w:left="0" w:firstLine="0"/>
        <w:rPr>
          <w:szCs w:val="22"/>
        </w:rPr>
      </w:pPr>
      <w:r w:rsidRPr="00D05725">
        <w:rPr>
          <w:szCs w:val="22"/>
        </w:rPr>
        <w:t>Tento liek obsahuje menej ako 1</w:t>
      </w:r>
      <w:r>
        <w:rPr>
          <w:szCs w:val="22"/>
        </w:rPr>
        <w:t xml:space="preserve"> </w:t>
      </w:r>
      <w:r w:rsidRPr="00D05725">
        <w:rPr>
          <w:szCs w:val="22"/>
        </w:rPr>
        <w:t>mmol sodíka (23 mg) v</w:t>
      </w:r>
      <w:r>
        <w:rPr>
          <w:szCs w:val="22"/>
        </w:rPr>
        <w:t> injekčnej liekovke</w:t>
      </w:r>
      <w:r w:rsidRPr="00D05725">
        <w:rPr>
          <w:szCs w:val="22"/>
        </w:rPr>
        <w:t>, t.j. v podstate zanedbateľné množstvo sodíka.</w:t>
      </w:r>
    </w:p>
    <w:p w:rsidR="00D05725" w:rsidRPr="002900B5" w:rsidRDefault="00D05725" w:rsidP="00D05725">
      <w:pPr>
        <w:rPr>
          <w:szCs w:val="22"/>
        </w:rPr>
      </w:pPr>
    </w:p>
    <w:p w:rsidR="00780926" w:rsidRPr="002900B5" w:rsidRDefault="00780926" w:rsidP="006C7E8A">
      <w:pPr>
        <w:rPr>
          <w:b/>
          <w:szCs w:val="22"/>
        </w:rPr>
      </w:pPr>
      <w:r w:rsidRPr="002900B5">
        <w:rPr>
          <w:b/>
          <w:szCs w:val="22"/>
        </w:rPr>
        <w:t>4.5</w:t>
      </w:r>
      <w:r w:rsidRPr="002900B5">
        <w:rPr>
          <w:b/>
          <w:szCs w:val="22"/>
        </w:rPr>
        <w:tab/>
        <w:t>Liekové a iné interakcie</w:t>
      </w:r>
    </w:p>
    <w:p w:rsidR="00780926" w:rsidRPr="002900B5" w:rsidRDefault="00780926" w:rsidP="006C7E8A">
      <w:pPr>
        <w:rPr>
          <w:szCs w:val="22"/>
        </w:rPr>
      </w:pPr>
    </w:p>
    <w:p w:rsidR="002664BA" w:rsidRPr="002900B5" w:rsidRDefault="002664BA" w:rsidP="006C7E8A">
      <w:pPr>
        <w:pStyle w:val="Default"/>
        <w:rPr>
          <w:sz w:val="22"/>
          <w:szCs w:val="22"/>
        </w:rPr>
      </w:pPr>
      <w:r w:rsidRPr="002900B5">
        <w:rPr>
          <w:sz w:val="22"/>
          <w:szCs w:val="22"/>
        </w:rPr>
        <w:t>Metabolické interakcie sa považujú za nepravdepodobné, pretože kyselina ibandrónová neinhibuje hlavné pečeňové izoenzýmy P450 a dokázalo sa, že neindukuje pečeňový systém cytochrómu</w:t>
      </w:r>
      <w:r w:rsidR="002A46A5" w:rsidRPr="002900B5">
        <w:rPr>
          <w:sz w:val="22"/>
          <w:szCs w:val="22"/>
        </w:rPr>
        <w:t xml:space="preserve"> </w:t>
      </w:r>
      <w:r w:rsidRPr="002900B5">
        <w:rPr>
          <w:sz w:val="22"/>
          <w:szCs w:val="22"/>
        </w:rPr>
        <w:t>P450 u</w:t>
      </w:r>
      <w:r w:rsidR="006863C0" w:rsidRPr="002900B5">
        <w:rPr>
          <w:sz w:val="22"/>
          <w:szCs w:val="22"/>
        </w:rPr>
        <w:t> </w:t>
      </w:r>
      <w:r w:rsidRPr="002900B5">
        <w:rPr>
          <w:sz w:val="22"/>
          <w:szCs w:val="22"/>
        </w:rPr>
        <w:t>potkanov</w:t>
      </w:r>
      <w:r w:rsidR="006863C0" w:rsidRPr="002900B5">
        <w:rPr>
          <w:sz w:val="22"/>
          <w:szCs w:val="22"/>
        </w:rPr>
        <w:t xml:space="preserve"> (pozri časť 5.2)</w:t>
      </w:r>
      <w:r w:rsidRPr="002900B5">
        <w:rPr>
          <w:sz w:val="22"/>
          <w:szCs w:val="22"/>
        </w:rPr>
        <w:t xml:space="preserve">. Kyselina ibandrónová sa vylučuje len renálnou exkréciou a nepodlieha žiadnej biotransformácii. </w:t>
      </w:r>
    </w:p>
    <w:p w:rsidR="00780926" w:rsidRPr="002900B5" w:rsidRDefault="00780926" w:rsidP="006C7E8A">
      <w:pPr>
        <w:rPr>
          <w:szCs w:val="22"/>
        </w:rPr>
      </w:pPr>
    </w:p>
    <w:p w:rsidR="00780926" w:rsidRPr="002900B5" w:rsidRDefault="00780926" w:rsidP="006C7E8A">
      <w:pPr>
        <w:rPr>
          <w:szCs w:val="22"/>
        </w:rPr>
      </w:pPr>
      <w:r w:rsidRPr="002900B5">
        <w:rPr>
          <w:b/>
          <w:szCs w:val="22"/>
        </w:rPr>
        <w:t>4.6</w:t>
      </w:r>
      <w:r w:rsidRPr="002900B5">
        <w:rPr>
          <w:b/>
          <w:szCs w:val="22"/>
        </w:rPr>
        <w:tab/>
      </w:r>
      <w:r w:rsidR="00E1698A" w:rsidRPr="002900B5">
        <w:rPr>
          <w:b/>
          <w:szCs w:val="22"/>
        </w:rPr>
        <w:t>Fertilita, g</w:t>
      </w:r>
      <w:r w:rsidRPr="002900B5">
        <w:rPr>
          <w:b/>
          <w:szCs w:val="22"/>
        </w:rPr>
        <w:t>ravidita a laktácia</w:t>
      </w:r>
    </w:p>
    <w:p w:rsidR="008D2A47" w:rsidRPr="002900B5" w:rsidRDefault="008D2A47" w:rsidP="006C7E8A">
      <w:pPr>
        <w:pStyle w:val="Default"/>
        <w:rPr>
          <w:sz w:val="22"/>
          <w:szCs w:val="22"/>
        </w:rPr>
      </w:pPr>
    </w:p>
    <w:p w:rsidR="002664BA" w:rsidRPr="002900B5" w:rsidRDefault="002664BA" w:rsidP="006C7E8A">
      <w:pPr>
        <w:pStyle w:val="Default"/>
        <w:rPr>
          <w:sz w:val="22"/>
          <w:szCs w:val="22"/>
          <w:u w:val="single"/>
        </w:rPr>
      </w:pPr>
      <w:r w:rsidRPr="002900B5">
        <w:rPr>
          <w:sz w:val="22"/>
          <w:szCs w:val="22"/>
          <w:u w:val="single"/>
        </w:rPr>
        <w:t xml:space="preserve">Gravidita </w:t>
      </w:r>
    </w:p>
    <w:p w:rsidR="00F751EF" w:rsidRPr="002900B5" w:rsidRDefault="00F751EF" w:rsidP="00F751EF">
      <w:pPr>
        <w:pStyle w:val="Default"/>
        <w:rPr>
          <w:sz w:val="22"/>
          <w:szCs w:val="22"/>
        </w:rPr>
      </w:pPr>
      <w:r w:rsidRPr="002900B5">
        <w:rPr>
          <w:sz w:val="22"/>
          <w:szCs w:val="22"/>
        </w:rPr>
        <w:t xml:space="preserve">Ibandronic acid STADA 3 mg  je určený len na použitie u žien po menopauze a nesmú ju používať ženy v reprodukčnom veku. </w:t>
      </w:r>
    </w:p>
    <w:p w:rsidR="009D079A" w:rsidRPr="002900B5" w:rsidRDefault="002664BA" w:rsidP="00F751EF">
      <w:pPr>
        <w:pStyle w:val="Default"/>
        <w:rPr>
          <w:sz w:val="22"/>
          <w:szCs w:val="22"/>
        </w:rPr>
      </w:pPr>
      <w:r w:rsidRPr="002900B5">
        <w:rPr>
          <w:sz w:val="22"/>
          <w:szCs w:val="22"/>
        </w:rPr>
        <w:t xml:space="preserve">Nie sú dostupné žiadne </w:t>
      </w:r>
      <w:r w:rsidR="002A46A5" w:rsidRPr="002900B5">
        <w:rPr>
          <w:sz w:val="22"/>
          <w:szCs w:val="22"/>
        </w:rPr>
        <w:t>dostatočné</w:t>
      </w:r>
      <w:r w:rsidRPr="002900B5">
        <w:rPr>
          <w:sz w:val="22"/>
          <w:szCs w:val="22"/>
        </w:rPr>
        <w:t xml:space="preserve"> údaje o používaní kyseliny ibandrónovej u gravidných žien. Štúdie vykonané na potkanoch dokázali určitú reprodukčnú toxicitu (pozri časť 5.3). Potenciálne riziko pre ľudí nie je známe. </w:t>
      </w:r>
    </w:p>
    <w:p w:rsidR="002664BA" w:rsidRPr="002900B5" w:rsidRDefault="002A46A5" w:rsidP="006C7E8A">
      <w:pPr>
        <w:pStyle w:val="Default"/>
        <w:rPr>
          <w:sz w:val="22"/>
          <w:szCs w:val="22"/>
        </w:rPr>
      </w:pPr>
      <w:r w:rsidRPr="002900B5">
        <w:rPr>
          <w:sz w:val="22"/>
          <w:szCs w:val="22"/>
        </w:rPr>
        <w:t>Kyselina ibandrónová</w:t>
      </w:r>
      <w:r w:rsidR="002664BA" w:rsidRPr="002900B5">
        <w:rPr>
          <w:sz w:val="22"/>
          <w:szCs w:val="22"/>
        </w:rPr>
        <w:t xml:space="preserve"> sa nemá používať počas gravidity. </w:t>
      </w:r>
    </w:p>
    <w:p w:rsidR="002664BA" w:rsidRPr="002900B5" w:rsidRDefault="002664BA" w:rsidP="006C7E8A">
      <w:pPr>
        <w:pStyle w:val="Default"/>
        <w:rPr>
          <w:sz w:val="22"/>
          <w:szCs w:val="22"/>
        </w:rPr>
      </w:pPr>
    </w:p>
    <w:p w:rsidR="002664BA" w:rsidRPr="002900B5" w:rsidRDefault="00643274" w:rsidP="006C7E8A">
      <w:pPr>
        <w:pStyle w:val="Default"/>
        <w:rPr>
          <w:sz w:val="22"/>
          <w:szCs w:val="22"/>
          <w:u w:val="single"/>
        </w:rPr>
      </w:pPr>
      <w:r w:rsidRPr="002900B5">
        <w:rPr>
          <w:sz w:val="22"/>
          <w:szCs w:val="22"/>
          <w:u w:val="single"/>
        </w:rPr>
        <w:t>Dojčenie</w:t>
      </w:r>
    </w:p>
    <w:p w:rsidR="008D2A47" w:rsidRPr="002900B5" w:rsidRDefault="002664BA" w:rsidP="006C7E8A">
      <w:pPr>
        <w:ind w:left="0" w:firstLine="0"/>
        <w:rPr>
          <w:szCs w:val="22"/>
        </w:rPr>
      </w:pPr>
      <w:r w:rsidRPr="002900B5">
        <w:rPr>
          <w:szCs w:val="22"/>
        </w:rPr>
        <w:t xml:space="preserve">Nie je známe, či sa kyselina ibandrónová vylučuje do materského mlieka u ľudí. Štúdie vykonané </w:t>
      </w:r>
      <w:r w:rsidR="004820A2" w:rsidRPr="002900B5">
        <w:rPr>
          <w:szCs w:val="22"/>
        </w:rPr>
        <w:t>na</w:t>
      </w:r>
      <w:r w:rsidRPr="002900B5">
        <w:rPr>
          <w:szCs w:val="22"/>
        </w:rPr>
        <w:t xml:space="preserve"> </w:t>
      </w:r>
      <w:r w:rsidR="00AE70F2" w:rsidRPr="002900B5">
        <w:rPr>
          <w:szCs w:val="22"/>
        </w:rPr>
        <w:t>sam</w:t>
      </w:r>
      <w:r w:rsidR="004820A2" w:rsidRPr="002900B5">
        <w:rPr>
          <w:szCs w:val="22"/>
        </w:rPr>
        <w:t>i</w:t>
      </w:r>
      <w:r w:rsidR="00C369CF" w:rsidRPr="002900B5">
        <w:rPr>
          <w:szCs w:val="22"/>
        </w:rPr>
        <w:t>ci</w:t>
      </w:r>
      <w:r w:rsidR="004820A2" w:rsidRPr="002900B5">
        <w:rPr>
          <w:szCs w:val="22"/>
        </w:rPr>
        <w:t>ach</w:t>
      </w:r>
      <w:r w:rsidR="00AE70F2" w:rsidRPr="002900B5">
        <w:rPr>
          <w:szCs w:val="22"/>
        </w:rPr>
        <w:t xml:space="preserve"> </w:t>
      </w:r>
      <w:r w:rsidRPr="002900B5">
        <w:rPr>
          <w:szCs w:val="22"/>
        </w:rPr>
        <w:t xml:space="preserve">potkanov </w:t>
      </w:r>
      <w:r w:rsidR="004820A2" w:rsidRPr="002900B5">
        <w:rPr>
          <w:szCs w:val="22"/>
        </w:rPr>
        <w:t xml:space="preserve">počas laktácie </w:t>
      </w:r>
      <w:r w:rsidRPr="002900B5">
        <w:rPr>
          <w:szCs w:val="22"/>
        </w:rPr>
        <w:t xml:space="preserve">dokázali prítomnosť nízkych hladín kyseliny ibandrónovej v mlieku po intravenóznom podaní. </w:t>
      </w:r>
      <w:r w:rsidR="002A46A5" w:rsidRPr="002900B5">
        <w:rPr>
          <w:szCs w:val="22"/>
        </w:rPr>
        <w:t>Kyselina ibandrónová</w:t>
      </w:r>
      <w:r w:rsidRPr="002900B5">
        <w:rPr>
          <w:szCs w:val="22"/>
        </w:rPr>
        <w:t xml:space="preserve"> sa nemá používať počas laktácie.</w:t>
      </w:r>
    </w:p>
    <w:p w:rsidR="00D534DD" w:rsidRPr="002900B5" w:rsidRDefault="00D534DD" w:rsidP="006C7E8A">
      <w:pPr>
        <w:ind w:left="0" w:firstLine="0"/>
        <w:rPr>
          <w:szCs w:val="22"/>
        </w:rPr>
      </w:pPr>
    </w:p>
    <w:p w:rsidR="00D534DD" w:rsidRPr="002900B5" w:rsidRDefault="00D534DD" w:rsidP="00D534DD">
      <w:pPr>
        <w:shd w:val="clear" w:color="auto" w:fill="FFFFFF"/>
        <w:ind w:left="10" w:hanging="10"/>
        <w:rPr>
          <w:szCs w:val="22"/>
          <w:u w:val="single"/>
        </w:rPr>
      </w:pPr>
      <w:r w:rsidRPr="002900B5">
        <w:rPr>
          <w:szCs w:val="22"/>
          <w:u w:val="single"/>
        </w:rPr>
        <w:t xml:space="preserve">Fertilita </w:t>
      </w:r>
    </w:p>
    <w:p w:rsidR="00D534DD" w:rsidRPr="002900B5" w:rsidRDefault="00D534DD" w:rsidP="00D534DD">
      <w:pPr>
        <w:shd w:val="clear" w:color="auto" w:fill="FFFFFF"/>
        <w:ind w:left="10" w:hanging="10"/>
        <w:rPr>
          <w:szCs w:val="22"/>
        </w:rPr>
      </w:pPr>
      <w:r w:rsidRPr="002900B5">
        <w:rPr>
          <w:szCs w:val="22"/>
        </w:rPr>
        <w:t xml:space="preserve">Nie sú k dispozícii údaje o účinkoch kyseliny ibandrónovej u ľudí. V reprodukčných štúdiách u </w:t>
      </w:r>
    </w:p>
    <w:p w:rsidR="00D534DD" w:rsidRPr="002900B5" w:rsidRDefault="00D534DD" w:rsidP="00D534DD">
      <w:pPr>
        <w:shd w:val="clear" w:color="auto" w:fill="FFFFFF"/>
        <w:ind w:left="10" w:hanging="10"/>
        <w:rPr>
          <w:szCs w:val="22"/>
        </w:rPr>
      </w:pPr>
      <w:r w:rsidRPr="002900B5">
        <w:rPr>
          <w:szCs w:val="22"/>
        </w:rPr>
        <w:t xml:space="preserve">potkanov perorálne podávaná kyselina ibandrónová znížila fertilitu. V štúdiách u potkanov </w:t>
      </w:r>
    </w:p>
    <w:p w:rsidR="00D534DD" w:rsidRPr="002900B5" w:rsidRDefault="00D534DD" w:rsidP="00D534DD">
      <w:pPr>
        <w:shd w:val="clear" w:color="auto" w:fill="FFFFFF"/>
        <w:ind w:left="10" w:hanging="10"/>
        <w:rPr>
          <w:szCs w:val="22"/>
        </w:rPr>
      </w:pPr>
      <w:r w:rsidRPr="002900B5">
        <w:rPr>
          <w:szCs w:val="22"/>
        </w:rPr>
        <w:t xml:space="preserve">intravenózne podávaná kyselina ibandrónová znížila fertilitu pri vysokých denných dávkach (pozri </w:t>
      </w:r>
    </w:p>
    <w:p w:rsidR="00D534DD" w:rsidRPr="002900B5" w:rsidRDefault="00D534DD" w:rsidP="00D534DD">
      <w:pPr>
        <w:ind w:left="0" w:hanging="10"/>
        <w:rPr>
          <w:szCs w:val="22"/>
        </w:rPr>
      </w:pPr>
      <w:r w:rsidRPr="002900B5">
        <w:rPr>
          <w:szCs w:val="22"/>
        </w:rPr>
        <w:t>časť 5.3).</w:t>
      </w:r>
    </w:p>
    <w:p w:rsidR="002664BA" w:rsidRPr="002900B5" w:rsidRDefault="002664BA" w:rsidP="006C7E8A">
      <w:pPr>
        <w:rPr>
          <w:szCs w:val="22"/>
        </w:rPr>
      </w:pPr>
    </w:p>
    <w:p w:rsidR="00780926" w:rsidRPr="002900B5" w:rsidRDefault="00780926" w:rsidP="006C7E8A">
      <w:pPr>
        <w:rPr>
          <w:szCs w:val="22"/>
        </w:rPr>
      </w:pPr>
      <w:r w:rsidRPr="002900B5">
        <w:rPr>
          <w:b/>
          <w:szCs w:val="22"/>
        </w:rPr>
        <w:t>4.7</w:t>
      </w:r>
      <w:r w:rsidRPr="002900B5">
        <w:rPr>
          <w:b/>
          <w:szCs w:val="22"/>
        </w:rPr>
        <w:tab/>
        <w:t>Ovplyvnenie schopnosti viesť vozidlá a obsluhovať stroje</w:t>
      </w:r>
    </w:p>
    <w:p w:rsidR="00780926" w:rsidRPr="002900B5" w:rsidRDefault="00780926" w:rsidP="006C7E8A">
      <w:pPr>
        <w:rPr>
          <w:szCs w:val="22"/>
        </w:rPr>
      </w:pPr>
    </w:p>
    <w:p w:rsidR="00C631FA" w:rsidRPr="002900B5" w:rsidRDefault="0006561D" w:rsidP="0006561D">
      <w:pPr>
        <w:ind w:left="0" w:firstLine="0"/>
        <w:rPr>
          <w:szCs w:val="22"/>
        </w:rPr>
      </w:pPr>
      <w:r w:rsidRPr="002900B5">
        <w:rPr>
          <w:szCs w:val="22"/>
        </w:rPr>
        <w:t xml:space="preserve"> Na základe farmakodynamického a farmakokinetického profilu a hlásených nežiaducich reakcií sa predpokladá, že kyselina ibandrónová nemá žiadny alebo má zanedbateľný vplyv na schopnosť viesť vozidlá a obsluhovať stroje.</w:t>
      </w:r>
    </w:p>
    <w:p w:rsidR="008D2A47" w:rsidRPr="002900B5" w:rsidRDefault="008D2A47" w:rsidP="006C7E8A">
      <w:pPr>
        <w:rPr>
          <w:szCs w:val="22"/>
        </w:rPr>
      </w:pPr>
    </w:p>
    <w:p w:rsidR="00780926" w:rsidRPr="002900B5" w:rsidRDefault="00780926" w:rsidP="006C7E8A">
      <w:pPr>
        <w:numPr>
          <w:ilvl w:val="1"/>
          <w:numId w:val="13"/>
        </w:numPr>
        <w:rPr>
          <w:b/>
          <w:szCs w:val="22"/>
        </w:rPr>
      </w:pPr>
      <w:r w:rsidRPr="002900B5">
        <w:rPr>
          <w:b/>
          <w:szCs w:val="22"/>
        </w:rPr>
        <w:t>Nežiaduce účinky</w:t>
      </w:r>
    </w:p>
    <w:p w:rsidR="008D2A47" w:rsidRPr="002900B5" w:rsidRDefault="008D2A47" w:rsidP="006C7E8A">
      <w:pPr>
        <w:ind w:left="0" w:firstLine="0"/>
        <w:rPr>
          <w:b/>
          <w:szCs w:val="22"/>
        </w:rPr>
      </w:pPr>
    </w:p>
    <w:p w:rsidR="0006561D" w:rsidRPr="002900B5" w:rsidRDefault="0006561D" w:rsidP="0006561D">
      <w:pPr>
        <w:pStyle w:val="Default"/>
        <w:rPr>
          <w:sz w:val="22"/>
          <w:szCs w:val="22"/>
        </w:rPr>
      </w:pPr>
      <w:r w:rsidRPr="002900B5">
        <w:rPr>
          <w:sz w:val="22"/>
          <w:szCs w:val="22"/>
          <w:u w:val="single"/>
        </w:rPr>
        <w:t xml:space="preserve">Súhrn bezpečnostného profilu </w:t>
      </w:r>
    </w:p>
    <w:p w:rsidR="00F751EF" w:rsidRPr="002900B5" w:rsidRDefault="00F751EF" w:rsidP="00F751EF">
      <w:pPr>
        <w:pStyle w:val="Default"/>
        <w:rPr>
          <w:sz w:val="22"/>
          <w:szCs w:val="22"/>
        </w:rPr>
      </w:pPr>
      <w:r w:rsidRPr="002900B5">
        <w:rPr>
          <w:sz w:val="22"/>
          <w:szCs w:val="22"/>
        </w:rPr>
        <w:t xml:space="preserve">Najzávažnejšie hlásené nežiaduce reakcie sú anafylaktická reakcia / šok, atypické zlomeniny stehennej kosti, osteonekróza čeľuste, gastrointestinálne podráždenie, zápal oka (pozri odsek "Opis vybraných nežiaducich reakcií" a časť 4.4). </w:t>
      </w:r>
    </w:p>
    <w:p w:rsidR="0006561D" w:rsidRPr="002900B5" w:rsidRDefault="00F751EF" w:rsidP="00F751EF">
      <w:pPr>
        <w:pStyle w:val="Default"/>
        <w:rPr>
          <w:sz w:val="22"/>
          <w:szCs w:val="22"/>
        </w:rPr>
      </w:pPr>
      <w:r w:rsidRPr="002900B5">
        <w:rPr>
          <w:sz w:val="22"/>
          <w:szCs w:val="22"/>
        </w:rPr>
        <w:t>Najčastejšie hlásené nežiaduce reakcie boli artralgia a príznaky podobné chrípke. Tieto príznaky typické pri podaní prvej dávky, zvyčajne majú krátke trvanie, miernu alebo strednú intenzitu a zvyčajne ustúpia počas pokračovania v liečbe bez nutnosti ich liečby (pozri odsek „Ochorenie podobné chrípke“).</w:t>
      </w:r>
    </w:p>
    <w:p w:rsidR="00F751EF" w:rsidRPr="002900B5" w:rsidRDefault="00F751EF" w:rsidP="00F751EF">
      <w:pPr>
        <w:pStyle w:val="Default"/>
        <w:rPr>
          <w:sz w:val="22"/>
          <w:szCs w:val="22"/>
        </w:rPr>
      </w:pPr>
    </w:p>
    <w:p w:rsidR="0006561D" w:rsidRPr="002900B5" w:rsidRDefault="0006561D" w:rsidP="0006561D">
      <w:pPr>
        <w:pStyle w:val="Default"/>
        <w:rPr>
          <w:sz w:val="22"/>
          <w:szCs w:val="22"/>
        </w:rPr>
      </w:pPr>
      <w:r w:rsidRPr="002900B5">
        <w:rPr>
          <w:sz w:val="22"/>
          <w:szCs w:val="22"/>
          <w:u w:val="single"/>
        </w:rPr>
        <w:t xml:space="preserve">Zoznam nežiaducich reakcií v tabuľke </w:t>
      </w:r>
    </w:p>
    <w:p w:rsidR="0006561D" w:rsidRPr="002900B5" w:rsidRDefault="00F751EF" w:rsidP="0006561D">
      <w:pPr>
        <w:pStyle w:val="Default"/>
        <w:rPr>
          <w:sz w:val="22"/>
          <w:szCs w:val="22"/>
        </w:rPr>
      </w:pPr>
      <w:r w:rsidRPr="002900B5">
        <w:rPr>
          <w:sz w:val="22"/>
          <w:szCs w:val="22"/>
        </w:rPr>
        <w:lastRenderedPageBreak/>
        <w:t>V tabuľke 1 je uvedený celý zoznam známych nežiaducich reakcií.</w:t>
      </w:r>
      <w:r w:rsidR="0006561D" w:rsidRPr="002900B5">
        <w:rPr>
          <w:sz w:val="22"/>
          <w:szCs w:val="22"/>
        </w:rPr>
        <w:t xml:space="preserve"> Bezpečnosť perorálnej liečby 2,5 mg kyseliny ibandrónovej denne bola vyhodnotená u 1 251 pacientov liečených v 4 placebom kontrolovaných klinických štúdiách, z ktorých veľká väčšina pacientov sa zúčastnila pivotnej trojročnej štúdie zameranej na zlomeniny (MF 4411). </w:t>
      </w:r>
    </w:p>
    <w:p w:rsidR="0006561D" w:rsidRPr="002900B5" w:rsidRDefault="0006561D" w:rsidP="0006561D">
      <w:pPr>
        <w:ind w:left="0" w:firstLine="0"/>
        <w:rPr>
          <w:szCs w:val="22"/>
        </w:rPr>
      </w:pPr>
      <w:r w:rsidRPr="002900B5">
        <w:rPr>
          <w:szCs w:val="22"/>
        </w:rPr>
        <w:t xml:space="preserve">V pivotnej dvojročnej štúdii u žien po menopauze s osteoporózou (BM 16550) bola dokázaná podobná celková bezpečnosť intravenóznej injekcie kyseliny ibandrónovej 3 mg každé 3 mesiace a perorálnej kyseliny ibandróvovej 2,5 mg denne. Celkový podiel pacientov, u ktorých sa objavila nežiaduca reakcia, bol pre kyselinu ibandrónovú 3 mg injekciu každé tri mesiace 26,0 % po jednom roku a </w:t>
      </w:r>
    </w:p>
    <w:p w:rsidR="0006561D" w:rsidRPr="002900B5" w:rsidRDefault="0006561D" w:rsidP="0006561D">
      <w:pPr>
        <w:ind w:left="0" w:firstLine="0"/>
        <w:rPr>
          <w:b/>
          <w:szCs w:val="22"/>
        </w:rPr>
      </w:pPr>
      <w:r w:rsidRPr="002900B5">
        <w:rPr>
          <w:szCs w:val="22"/>
        </w:rPr>
        <w:t>28,6 % po dvoch rokoch. Väčšina prípadov nežiaducich reakcií neviedla k ukončeniu liečby.</w:t>
      </w:r>
    </w:p>
    <w:p w:rsidR="00F751EF" w:rsidRPr="002900B5" w:rsidRDefault="00F751EF" w:rsidP="00F751EF">
      <w:pPr>
        <w:pStyle w:val="Default"/>
        <w:rPr>
          <w:sz w:val="22"/>
          <w:szCs w:val="22"/>
        </w:rPr>
      </w:pPr>
      <w:r w:rsidRPr="002900B5">
        <w:rPr>
          <w:sz w:val="22"/>
          <w:szCs w:val="22"/>
        </w:rPr>
        <w:t xml:space="preserve">Nežiaduce reakcie sú vymenované podľa tried orgánových systémov MedDRA a kategórií frekvencie. Kategórie frekvencie sú definované nasledovne: veľmi časté (≥ 1/10), časté (≥ 1/100 až &lt; 1/10), menej časté (≥ 1/1 000 až &lt; 1/100), zriedkavé (≥ 1/10 000 až &lt; 1/1 000), veľmi zriedkavé (&lt; 1/10 000), neznáme (z dostupných údajov). V rámci každej skupiny frekvencie sú nežiaduce reakcie uvedené podľa klesajúcej závažnosti. </w:t>
      </w:r>
    </w:p>
    <w:p w:rsidR="00077C7D" w:rsidRPr="002900B5" w:rsidRDefault="00077C7D" w:rsidP="006C7E8A">
      <w:pPr>
        <w:pStyle w:val="Default"/>
        <w:rPr>
          <w:sz w:val="22"/>
          <w:szCs w:val="22"/>
        </w:rPr>
      </w:pPr>
    </w:p>
    <w:p w:rsidR="00077C7D" w:rsidRPr="002900B5" w:rsidRDefault="00077C7D" w:rsidP="006C7E8A">
      <w:pPr>
        <w:pStyle w:val="Default"/>
        <w:rPr>
          <w:sz w:val="22"/>
          <w:szCs w:val="22"/>
        </w:rPr>
      </w:pPr>
      <w:r w:rsidRPr="002900B5">
        <w:rPr>
          <w:sz w:val="22"/>
          <w:szCs w:val="22"/>
        </w:rPr>
        <w:t>Tabuľka 1: Nežiaduce reakcie vyskytujúce sa u žien po menopauze, ktoré dost</w:t>
      </w:r>
      <w:r w:rsidR="008066CF" w:rsidRPr="002900B5">
        <w:rPr>
          <w:sz w:val="22"/>
          <w:szCs w:val="22"/>
        </w:rPr>
        <w:t>áva</w:t>
      </w:r>
      <w:r w:rsidRPr="002900B5">
        <w:rPr>
          <w:sz w:val="22"/>
          <w:szCs w:val="22"/>
        </w:rPr>
        <w:t xml:space="preserve">li intravenóznu injekciu </w:t>
      </w:r>
      <w:r w:rsidR="00A1726D" w:rsidRPr="002900B5">
        <w:rPr>
          <w:sz w:val="22"/>
          <w:szCs w:val="22"/>
        </w:rPr>
        <w:t>kyseliny iband</w:t>
      </w:r>
      <w:r w:rsidR="00DC313B" w:rsidRPr="002900B5">
        <w:rPr>
          <w:sz w:val="22"/>
          <w:szCs w:val="22"/>
        </w:rPr>
        <w:t>r</w:t>
      </w:r>
      <w:r w:rsidR="00A1726D" w:rsidRPr="002900B5">
        <w:rPr>
          <w:sz w:val="22"/>
          <w:szCs w:val="22"/>
        </w:rPr>
        <w:t>ónovej</w:t>
      </w:r>
      <w:r w:rsidRPr="002900B5">
        <w:rPr>
          <w:sz w:val="22"/>
          <w:szCs w:val="22"/>
        </w:rPr>
        <w:t xml:space="preserve"> 3 mg každé 3 mesiace alebo užívali kyselinu iband</w:t>
      </w:r>
      <w:r w:rsidR="00A1726D" w:rsidRPr="002900B5">
        <w:rPr>
          <w:sz w:val="22"/>
          <w:szCs w:val="22"/>
        </w:rPr>
        <w:t>r</w:t>
      </w:r>
      <w:r w:rsidRPr="002900B5">
        <w:rPr>
          <w:sz w:val="22"/>
          <w:szCs w:val="22"/>
        </w:rPr>
        <w:t>ónovú 2,5 mg denne vo fáze III štúdií BM165</w:t>
      </w:r>
      <w:r w:rsidR="004820A2" w:rsidRPr="002900B5">
        <w:rPr>
          <w:sz w:val="22"/>
          <w:szCs w:val="22"/>
        </w:rPr>
        <w:t>49</w:t>
      </w:r>
      <w:r w:rsidRPr="002900B5">
        <w:rPr>
          <w:sz w:val="22"/>
          <w:szCs w:val="22"/>
        </w:rPr>
        <w:t xml:space="preserve"> a MF4411</w:t>
      </w:r>
      <w:r w:rsidR="00A53679" w:rsidRPr="002900B5">
        <w:rPr>
          <w:sz w:val="22"/>
          <w:szCs w:val="22"/>
        </w:rPr>
        <w:t xml:space="preserve"> a po uvedení lieku na trh</w:t>
      </w:r>
      <w:r w:rsidRPr="002900B5">
        <w:rPr>
          <w:sz w:val="22"/>
          <w:szCs w:val="22"/>
        </w:rPr>
        <w:t>.</w:t>
      </w:r>
    </w:p>
    <w:p w:rsidR="00D534DD" w:rsidRPr="002900B5" w:rsidRDefault="00D534DD" w:rsidP="006C7E8A">
      <w:pPr>
        <w:pStyle w:val="Default"/>
        <w:rPr>
          <w:sz w:val="22"/>
          <w:szCs w:val="22"/>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54"/>
        <w:gridCol w:w="2379"/>
        <w:gridCol w:w="1780"/>
        <w:gridCol w:w="1487"/>
      </w:tblGrid>
      <w:tr w:rsidR="0006561D" w:rsidRPr="002900B5" w:rsidTr="0006561D">
        <w:tc>
          <w:tcPr>
            <w:tcW w:w="9402" w:type="dxa"/>
            <w:gridSpan w:val="5"/>
            <w:shd w:val="clear" w:color="auto" w:fill="auto"/>
          </w:tcPr>
          <w:p w:rsidR="0006561D" w:rsidRPr="002900B5" w:rsidRDefault="0006561D">
            <w:pPr>
              <w:pStyle w:val="Default"/>
              <w:rPr>
                <w:b/>
                <w:sz w:val="22"/>
                <w:szCs w:val="22"/>
              </w:rPr>
            </w:pPr>
          </w:p>
        </w:tc>
      </w:tr>
      <w:tr w:rsidR="00F70DE6" w:rsidRPr="002900B5" w:rsidTr="0006561D">
        <w:tc>
          <w:tcPr>
            <w:tcW w:w="1988" w:type="dxa"/>
            <w:shd w:val="clear" w:color="auto" w:fill="auto"/>
          </w:tcPr>
          <w:p w:rsidR="00F70DE6" w:rsidRPr="002900B5" w:rsidRDefault="00F70DE6" w:rsidP="00F70DE6">
            <w:pPr>
              <w:pStyle w:val="Default"/>
              <w:rPr>
                <w:b/>
                <w:bCs/>
                <w:sz w:val="22"/>
                <w:szCs w:val="22"/>
              </w:rPr>
            </w:pPr>
            <w:r w:rsidRPr="002900B5">
              <w:rPr>
                <w:b/>
                <w:bCs/>
                <w:sz w:val="22"/>
                <w:szCs w:val="22"/>
              </w:rPr>
              <w:t xml:space="preserve">Trieda </w:t>
            </w:r>
          </w:p>
          <w:p w:rsidR="00F70DE6" w:rsidRPr="002900B5" w:rsidRDefault="00F70DE6" w:rsidP="00F70DE6">
            <w:pPr>
              <w:pStyle w:val="Default"/>
              <w:rPr>
                <w:sz w:val="22"/>
                <w:szCs w:val="22"/>
              </w:rPr>
            </w:pPr>
            <w:r w:rsidRPr="002900B5">
              <w:rPr>
                <w:b/>
                <w:bCs/>
                <w:sz w:val="22"/>
                <w:szCs w:val="22"/>
              </w:rPr>
              <w:t>orgánových systémov</w:t>
            </w:r>
          </w:p>
        </w:tc>
        <w:tc>
          <w:tcPr>
            <w:tcW w:w="1854" w:type="dxa"/>
            <w:shd w:val="clear" w:color="auto" w:fill="auto"/>
          </w:tcPr>
          <w:p w:rsidR="00F70DE6" w:rsidRPr="002900B5" w:rsidRDefault="00F70DE6" w:rsidP="00F70DE6">
            <w:pPr>
              <w:pStyle w:val="Default"/>
              <w:rPr>
                <w:b/>
                <w:sz w:val="22"/>
                <w:szCs w:val="22"/>
              </w:rPr>
            </w:pPr>
            <w:r w:rsidRPr="002900B5">
              <w:rPr>
                <w:b/>
                <w:sz w:val="22"/>
                <w:szCs w:val="22"/>
              </w:rPr>
              <w:t>Časté</w:t>
            </w:r>
          </w:p>
        </w:tc>
        <w:tc>
          <w:tcPr>
            <w:tcW w:w="2379" w:type="dxa"/>
            <w:shd w:val="clear" w:color="auto" w:fill="auto"/>
          </w:tcPr>
          <w:p w:rsidR="00F70DE6" w:rsidRPr="002900B5" w:rsidRDefault="00F70DE6" w:rsidP="00372327">
            <w:pPr>
              <w:pStyle w:val="Default"/>
              <w:ind w:left="22" w:hanging="3"/>
              <w:rPr>
                <w:b/>
                <w:sz w:val="22"/>
                <w:szCs w:val="22"/>
              </w:rPr>
            </w:pPr>
            <w:r w:rsidRPr="002900B5">
              <w:rPr>
                <w:b/>
                <w:sz w:val="22"/>
                <w:szCs w:val="22"/>
              </w:rPr>
              <w:t>Menej časté</w:t>
            </w:r>
          </w:p>
        </w:tc>
        <w:tc>
          <w:tcPr>
            <w:tcW w:w="1780" w:type="dxa"/>
            <w:shd w:val="clear" w:color="auto" w:fill="auto"/>
          </w:tcPr>
          <w:p w:rsidR="00F70DE6" w:rsidRPr="002900B5" w:rsidRDefault="00F70DE6" w:rsidP="00372327">
            <w:pPr>
              <w:pStyle w:val="Default"/>
              <w:ind w:left="567" w:hanging="567"/>
              <w:rPr>
                <w:b/>
                <w:sz w:val="22"/>
                <w:szCs w:val="22"/>
              </w:rPr>
            </w:pPr>
            <w:r w:rsidRPr="002900B5">
              <w:rPr>
                <w:b/>
                <w:sz w:val="22"/>
                <w:szCs w:val="22"/>
              </w:rPr>
              <w:t>Zriedkavé</w:t>
            </w:r>
          </w:p>
        </w:tc>
        <w:tc>
          <w:tcPr>
            <w:tcW w:w="1401" w:type="dxa"/>
            <w:shd w:val="clear" w:color="auto" w:fill="auto"/>
          </w:tcPr>
          <w:p w:rsidR="00F70DE6" w:rsidRPr="002900B5" w:rsidRDefault="00F70DE6" w:rsidP="00F70DE6">
            <w:pPr>
              <w:pStyle w:val="Default"/>
              <w:rPr>
                <w:b/>
                <w:sz w:val="22"/>
                <w:szCs w:val="22"/>
              </w:rPr>
            </w:pPr>
            <w:r w:rsidRPr="002900B5">
              <w:rPr>
                <w:b/>
                <w:sz w:val="22"/>
                <w:szCs w:val="22"/>
              </w:rPr>
              <w:t>Veľmi zriedkavé</w:t>
            </w: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 xml:space="preserve">Poruchy imunitného systému </w:t>
            </w:r>
          </w:p>
          <w:p w:rsidR="00F70DE6" w:rsidRPr="002900B5" w:rsidRDefault="00F70DE6" w:rsidP="00372327">
            <w:pPr>
              <w:ind w:left="0" w:firstLine="0"/>
              <w:rPr>
                <w:szCs w:val="22"/>
              </w:rPr>
            </w:pPr>
          </w:p>
        </w:tc>
        <w:tc>
          <w:tcPr>
            <w:tcW w:w="1854" w:type="dxa"/>
            <w:shd w:val="clear" w:color="auto" w:fill="auto"/>
          </w:tcPr>
          <w:p w:rsidR="00F70DE6" w:rsidRPr="002900B5" w:rsidRDefault="00F70DE6" w:rsidP="00F70DE6">
            <w:pPr>
              <w:pStyle w:val="Default"/>
              <w:rPr>
                <w:sz w:val="22"/>
                <w:szCs w:val="22"/>
              </w:rPr>
            </w:pPr>
          </w:p>
        </w:tc>
        <w:tc>
          <w:tcPr>
            <w:tcW w:w="2379" w:type="dxa"/>
            <w:shd w:val="clear" w:color="auto" w:fill="auto"/>
          </w:tcPr>
          <w:p w:rsidR="00F751EF" w:rsidRPr="002900B5" w:rsidRDefault="00F751EF" w:rsidP="00F751EF">
            <w:pPr>
              <w:pStyle w:val="Default"/>
              <w:rPr>
                <w:sz w:val="22"/>
                <w:szCs w:val="22"/>
              </w:rPr>
            </w:pPr>
            <w:r w:rsidRPr="002900B5">
              <w:rPr>
                <w:sz w:val="22"/>
                <w:szCs w:val="22"/>
              </w:rPr>
              <w:t xml:space="preserve">exacerbácia astmy </w:t>
            </w:r>
          </w:p>
          <w:p w:rsidR="00F70DE6" w:rsidRPr="002900B5" w:rsidRDefault="00F70DE6" w:rsidP="00372327">
            <w:pPr>
              <w:pStyle w:val="Default"/>
              <w:ind w:left="22" w:hanging="3"/>
              <w:rPr>
                <w:sz w:val="22"/>
                <w:szCs w:val="22"/>
              </w:rPr>
            </w:pPr>
          </w:p>
        </w:tc>
        <w:tc>
          <w:tcPr>
            <w:tcW w:w="1780" w:type="dxa"/>
            <w:shd w:val="clear" w:color="auto" w:fill="auto"/>
          </w:tcPr>
          <w:p w:rsidR="00F70DE6" w:rsidRPr="002900B5" w:rsidRDefault="000F6528" w:rsidP="00F70DE6">
            <w:pPr>
              <w:pStyle w:val="Default"/>
              <w:rPr>
                <w:sz w:val="22"/>
                <w:szCs w:val="22"/>
              </w:rPr>
            </w:pPr>
            <w:r w:rsidRPr="002900B5">
              <w:rPr>
                <w:sz w:val="22"/>
                <w:szCs w:val="22"/>
              </w:rPr>
              <w:t xml:space="preserve">reakcia </w:t>
            </w:r>
            <w:r w:rsidR="00F70DE6" w:rsidRPr="002900B5">
              <w:rPr>
                <w:sz w:val="22"/>
                <w:szCs w:val="22"/>
              </w:rPr>
              <w:t xml:space="preserve">z precitlivenosti </w:t>
            </w:r>
          </w:p>
          <w:p w:rsidR="00F70DE6" w:rsidRPr="002900B5" w:rsidRDefault="00F70DE6" w:rsidP="00F70DE6">
            <w:pPr>
              <w:pStyle w:val="Default"/>
              <w:rPr>
                <w:sz w:val="22"/>
                <w:szCs w:val="22"/>
              </w:rPr>
            </w:pPr>
          </w:p>
        </w:tc>
        <w:tc>
          <w:tcPr>
            <w:tcW w:w="1401" w:type="dxa"/>
            <w:shd w:val="clear" w:color="auto" w:fill="auto"/>
          </w:tcPr>
          <w:p w:rsidR="00F70DE6" w:rsidRPr="002900B5" w:rsidRDefault="003365DC" w:rsidP="00F70DE6">
            <w:pPr>
              <w:pStyle w:val="Default"/>
              <w:rPr>
                <w:sz w:val="22"/>
                <w:szCs w:val="22"/>
              </w:rPr>
            </w:pPr>
            <w:r w:rsidRPr="002900B5">
              <w:rPr>
                <w:sz w:val="22"/>
                <w:szCs w:val="22"/>
              </w:rPr>
              <w:t>anafylaktická reakcia / šok</w:t>
            </w:r>
            <w:r w:rsidRPr="002900B5">
              <w:rPr>
                <w:rFonts w:eastAsia="TimesNewRoman"/>
                <w:sz w:val="22"/>
                <w:szCs w:val="22"/>
              </w:rPr>
              <w:t>*†</w:t>
            </w: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 xml:space="preserve">Poruchy nervového systému </w:t>
            </w:r>
          </w:p>
          <w:p w:rsidR="00F70DE6" w:rsidRPr="002900B5" w:rsidRDefault="00F70DE6" w:rsidP="00372327">
            <w:pPr>
              <w:ind w:left="0" w:firstLine="0"/>
              <w:rPr>
                <w:szCs w:val="22"/>
              </w:rPr>
            </w:pPr>
          </w:p>
        </w:tc>
        <w:tc>
          <w:tcPr>
            <w:tcW w:w="1854" w:type="dxa"/>
            <w:shd w:val="clear" w:color="auto" w:fill="auto"/>
          </w:tcPr>
          <w:p w:rsidR="00F70DE6" w:rsidRPr="002900B5" w:rsidRDefault="000F6528" w:rsidP="00372327">
            <w:pPr>
              <w:pStyle w:val="Default"/>
              <w:ind w:left="567" w:hanging="567"/>
              <w:rPr>
                <w:sz w:val="22"/>
                <w:szCs w:val="22"/>
              </w:rPr>
            </w:pPr>
            <w:r w:rsidRPr="002900B5">
              <w:rPr>
                <w:sz w:val="22"/>
                <w:szCs w:val="22"/>
              </w:rPr>
              <w:t xml:space="preserve">bolesť </w:t>
            </w:r>
            <w:r w:rsidR="00F70DE6" w:rsidRPr="002900B5">
              <w:rPr>
                <w:sz w:val="22"/>
                <w:szCs w:val="22"/>
              </w:rPr>
              <w:t xml:space="preserve">hlavy </w:t>
            </w:r>
          </w:p>
          <w:p w:rsidR="00F70DE6" w:rsidRPr="002900B5" w:rsidRDefault="00F70DE6" w:rsidP="00F70DE6">
            <w:pPr>
              <w:pStyle w:val="Default"/>
              <w:rPr>
                <w:sz w:val="22"/>
                <w:szCs w:val="22"/>
              </w:rPr>
            </w:pPr>
          </w:p>
        </w:tc>
        <w:tc>
          <w:tcPr>
            <w:tcW w:w="2379" w:type="dxa"/>
            <w:shd w:val="clear" w:color="auto" w:fill="auto"/>
          </w:tcPr>
          <w:p w:rsidR="00F70DE6" w:rsidRPr="002900B5" w:rsidRDefault="00F70DE6" w:rsidP="00372327">
            <w:pPr>
              <w:pStyle w:val="Default"/>
              <w:ind w:left="22" w:hanging="3"/>
              <w:rPr>
                <w:sz w:val="22"/>
                <w:szCs w:val="22"/>
              </w:rPr>
            </w:pPr>
          </w:p>
        </w:tc>
        <w:tc>
          <w:tcPr>
            <w:tcW w:w="1780" w:type="dxa"/>
            <w:shd w:val="clear" w:color="auto" w:fill="auto"/>
          </w:tcPr>
          <w:p w:rsidR="00F70DE6" w:rsidRPr="002900B5" w:rsidRDefault="00F70DE6" w:rsidP="00F70DE6">
            <w:pPr>
              <w:pStyle w:val="Default"/>
              <w:rPr>
                <w:sz w:val="22"/>
                <w:szCs w:val="22"/>
              </w:rPr>
            </w:pPr>
          </w:p>
        </w:tc>
        <w:tc>
          <w:tcPr>
            <w:tcW w:w="1401" w:type="dxa"/>
            <w:shd w:val="clear" w:color="auto" w:fill="auto"/>
          </w:tcPr>
          <w:p w:rsidR="00F70DE6" w:rsidRPr="002900B5" w:rsidRDefault="00F70DE6" w:rsidP="00F70DE6">
            <w:pPr>
              <w:pStyle w:val="Default"/>
              <w:rPr>
                <w:sz w:val="22"/>
                <w:szCs w:val="22"/>
              </w:rPr>
            </w:pP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Poruchy oka</w:t>
            </w:r>
          </w:p>
          <w:p w:rsidR="00F70DE6" w:rsidRPr="002900B5" w:rsidRDefault="00F70DE6" w:rsidP="00F70DE6">
            <w:pPr>
              <w:pStyle w:val="Default"/>
              <w:rPr>
                <w:sz w:val="22"/>
                <w:szCs w:val="22"/>
              </w:rPr>
            </w:pPr>
          </w:p>
        </w:tc>
        <w:tc>
          <w:tcPr>
            <w:tcW w:w="1854" w:type="dxa"/>
            <w:shd w:val="clear" w:color="auto" w:fill="auto"/>
          </w:tcPr>
          <w:p w:rsidR="00F70DE6" w:rsidRPr="002900B5" w:rsidRDefault="00F70DE6" w:rsidP="00F70DE6">
            <w:pPr>
              <w:pStyle w:val="Default"/>
              <w:rPr>
                <w:sz w:val="22"/>
                <w:szCs w:val="22"/>
              </w:rPr>
            </w:pPr>
          </w:p>
        </w:tc>
        <w:tc>
          <w:tcPr>
            <w:tcW w:w="2379" w:type="dxa"/>
            <w:shd w:val="clear" w:color="auto" w:fill="auto"/>
          </w:tcPr>
          <w:p w:rsidR="00F70DE6" w:rsidRPr="002900B5" w:rsidRDefault="00F70DE6" w:rsidP="00372327">
            <w:pPr>
              <w:pStyle w:val="Default"/>
              <w:ind w:left="22" w:hanging="3"/>
              <w:rPr>
                <w:sz w:val="22"/>
                <w:szCs w:val="22"/>
              </w:rPr>
            </w:pPr>
          </w:p>
        </w:tc>
        <w:tc>
          <w:tcPr>
            <w:tcW w:w="1780" w:type="dxa"/>
            <w:shd w:val="clear" w:color="auto" w:fill="auto"/>
          </w:tcPr>
          <w:p w:rsidR="00F70DE6" w:rsidRPr="002900B5" w:rsidRDefault="000F6528" w:rsidP="00372327">
            <w:pPr>
              <w:pStyle w:val="Default"/>
              <w:ind w:left="567" w:hanging="567"/>
              <w:rPr>
                <w:rFonts w:eastAsia="TimesNewRoman"/>
                <w:sz w:val="22"/>
                <w:szCs w:val="22"/>
              </w:rPr>
            </w:pPr>
            <w:r w:rsidRPr="002900B5">
              <w:rPr>
                <w:sz w:val="22"/>
                <w:szCs w:val="22"/>
              </w:rPr>
              <w:t xml:space="preserve">zápal </w:t>
            </w:r>
            <w:r w:rsidR="00F70DE6" w:rsidRPr="002900B5">
              <w:rPr>
                <w:sz w:val="22"/>
                <w:szCs w:val="22"/>
              </w:rPr>
              <w:t>oka</w:t>
            </w:r>
            <w:r w:rsidR="00F70DE6" w:rsidRPr="002900B5">
              <w:rPr>
                <w:rFonts w:eastAsia="TimesNewRoman"/>
                <w:sz w:val="22"/>
                <w:szCs w:val="22"/>
              </w:rPr>
              <w:t>*†</w:t>
            </w:r>
          </w:p>
          <w:p w:rsidR="00F70DE6" w:rsidRPr="002900B5" w:rsidRDefault="00F70DE6" w:rsidP="00F70DE6">
            <w:pPr>
              <w:pStyle w:val="Default"/>
              <w:rPr>
                <w:sz w:val="22"/>
                <w:szCs w:val="22"/>
              </w:rPr>
            </w:pPr>
          </w:p>
        </w:tc>
        <w:tc>
          <w:tcPr>
            <w:tcW w:w="1401" w:type="dxa"/>
            <w:shd w:val="clear" w:color="auto" w:fill="auto"/>
          </w:tcPr>
          <w:p w:rsidR="00F70DE6" w:rsidRPr="002900B5" w:rsidRDefault="00F70DE6" w:rsidP="00F70DE6">
            <w:pPr>
              <w:pStyle w:val="Default"/>
              <w:rPr>
                <w:sz w:val="22"/>
                <w:szCs w:val="22"/>
              </w:rPr>
            </w:pP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Poruchy ciev</w:t>
            </w:r>
          </w:p>
          <w:p w:rsidR="00F70DE6" w:rsidRPr="002900B5" w:rsidRDefault="00F70DE6" w:rsidP="00F70DE6">
            <w:pPr>
              <w:pStyle w:val="Default"/>
              <w:rPr>
                <w:sz w:val="22"/>
                <w:szCs w:val="22"/>
              </w:rPr>
            </w:pPr>
          </w:p>
        </w:tc>
        <w:tc>
          <w:tcPr>
            <w:tcW w:w="1854" w:type="dxa"/>
            <w:shd w:val="clear" w:color="auto" w:fill="auto"/>
          </w:tcPr>
          <w:p w:rsidR="00F70DE6" w:rsidRPr="002900B5" w:rsidRDefault="00F70DE6" w:rsidP="00F70DE6">
            <w:pPr>
              <w:pStyle w:val="Default"/>
              <w:rPr>
                <w:sz w:val="22"/>
                <w:szCs w:val="22"/>
              </w:rPr>
            </w:pPr>
          </w:p>
        </w:tc>
        <w:tc>
          <w:tcPr>
            <w:tcW w:w="2379" w:type="dxa"/>
            <w:shd w:val="clear" w:color="auto" w:fill="auto"/>
          </w:tcPr>
          <w:p w:rsidR="00F70DE6" w:rsidRPr="002900B5" w:rsidRDefault="000F6528" w:rsidP="00372327">
            <w:pPr>
              <w:pStyle w:val="Default"/>
              <w:ind w:left="567" w:hanging="567"/>
              <w:rPr>
                <w:sz w:val="22"/>
                <w:szCs w:val="22"/>
              </w:rPr>
            </w:pPr>
            <w:r w:rsidRPr="002900B5">
              <w:rPr>
                <w:sz w:val="22"/>
                <w:szCs w:val="22"/>
              </w:rPr>
              <w:t>flebitída</w:t>
            </w:r>
            <w:r w:rsidR="00F70DE6" w:rsidRPr="002900B5">
              <w:rPr>
                <w:sz w:val="22"/>
                <w:szCs w:val="22"/>
              </w:rPr>
              <w:t>/tromboflebitída</w:t>
            </w:r>
          </w:p>
          <w:p w:rsidR="00F70DE6" w:rsidRPr="002900B5" w:rsidRDefault="00F70DE6" w:rsidP="00372327">
            <w:pPr>
              <w:pStyle w:val="Default"/>
              <w:ind w:left="22" w:hanging="3"/>
              <w:rPr>
                <w:sz w:val="22"/>
                <w:szCs w:val="22"/>
              </w:rPr>
            </w:pPr>
          </w:p>
        </w:tc>
        <w:tc>
          <w:tcPr>
            <w:tcW w:w="1780" w:type="dxa"/>
            <w:shd w:val="clear" w:color="auto" w:fill="auto"/>
          </w:tcPr>
          <w:p w:rsidR="00F70DE6" w:rsidRPr="002900B5" w:rsidRDefault="00F70DE6" w:rsidP="00F70DE6">
            <w:pPr>
              <w:pStyle w:val="Default"/>
              <w:rPr>
                <w:sz w:val="22"/>
                <w:szCs w:val="22"/>
              </w:rPr>
            </w:pPr>
          </w:p>
        </w:tc>
        <w:tc>
          <w:tcPr>
            <w:tcW w:w="1401" w:type="dxa"/>
            <w:shd w:val="clear" w:color="auto" w:fill="auto"/>
          </w:tcPr>
          <w:p w:rsidR="00F70DE6" w:rsidRPr="002900B5" w:rsidRDefault="00F70DE6" w:rsidP="00F70DE6">
            <w:pPr>
              <w:pStyle w:val="Default"/>
              <w:rPr>
                <w:sz w:val="22"/>
                <w:szCs w:val="22"/>
              </w:rPr>
            </w:pP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 xml:space="preserve">Poruchy </w:t>
            </w:r>
          </w:p>
          <w:p w:rsidR="00F70DE6" w:rsidRPr="002900B5" w:rsidRDefault="00F70DE6" w:rsidP="00F70DE6">
            <w:pPr>
              <w:pStyle w:val="Default"/>
              <w:rPr>
                <w:sz w:val="22"/>
                <w:szCs w:val="22"/>
              </w:rPr>
            </w:pPr>
            <w:r w:rsidRPr="002900B5">
              <w:rPr>
                <w:sz w:val="22"/>
                <w:szCs w:val="22"/>
              </w:rPr>
              <w:t xml:space="preserve">gastrointestinálneho traktu </w:t>
            </w:r>
          </w:p>
          <w:p w:rsidR="00F70DE6" w:rsidRPr="002900B5" w:rsidRDefault="00F70DE6" w:rsidP="00372327">
            <w:pPr>
              <w:ind w:left="0" w:firstLine="0"/>
              <w:rPr>
                <w:szCs w:val="22"/>
              </w:rPr>
            </w:pPr>
          </w:p>
        </w:tc>
        <w:tc>
          <w:tcPr>
            <w:tcW w:w="1854" w:type="dxa"/>
            <w:shd w:val="clear" w:color="auto" w:fill="auto"/>
          </w:tcPr>
          <w:p w:rsidR="00F70DE6" w:rsidRPr="002900B5" w:rsidRDefault="000F6528" w:rsidP="00F70DE6">
            <w:pPr>
              <w:pStyle w:val="Default"/>
              <w:rPr>
                <w:sz w:val="22"/>
                <w:szCs w:val="22"/>
              </w:rPr>
            </w:pPr>
            <w:r w:rsidRPr="002900B5">
              <w:rPr>
                <w:sz w:val="22"/>
                <w:szCs w:val="22"/>
              </w:rPr>
              <w:t>gastritída</w:t>
            </w:r>
            <w:r w:rsidR="00F70DE6" w:rsidRPr="002900B5">
              <w:rPr>
                <w:sz w:val="22"/>
                <w:szCs w:val="22"/>
              </w:rPr>
              <w:t>, dyspepsia, hnačka,</w:t>
            </w:r>
          </w:p>
          <w:p w:rsidR="00F70DE6" w:rsidRPr="002900B5" w:rsidRDefault="00F70DE6" w:rsidP="00F70DE6">
            <w:pPr>
              <w:pStyle w:val="Default"/>
              <w:rPr>
                <w:sz w:val="22"/>
                <w:szCs w:val="22"/>
              </w:rPr>
            </w:pPr>
            <w:r w:rsidRPr="002900B5">
              <w:rPr>
                <w:sz w:val="22"/>
                <w:szCs w:val="22"/>
              </w:rPr>
              <w:t>abdominálna bolesť, nauzea,</w:t>
            </w:r>
          </w:p>
          <w:p w:rsidR="00F70DE6" w:rsidRPr="002900B5" w:rsidRDefault="00F70DE6" w:rsidP="00F70DE6">
            <w:pPr>
              <w:pStyle w:val="Default"/>
              <w:rPr>
                <w:sz w:val="22"/>
                <w:szCs w:val="22"/>
              </w:rPr>
            </w:pPr>
            <w:r w:rsidRPr="002900B5">
              <w:rPr>
                <w:sz w:val="22"/>
                <w:szCs w:val="22"/>
              </w:rPr>
              <w:t>konstipácia</w:t>
            </w:r>
          </w:p>
        </w:tc>
        <w:tc>
          <w:tcPr>
            <w:tcW w:w="2379" w:type="dxa"/>
            <w:shd w:val="clear" w:color="auto" w:fill="auto"/>
          </w:tcPr>
          <w:p w:rsidR="00F70DE6" w:rsidRPr="002900B5" w:rsidRDefault="00F70DE6" w:rsidP="00372327">
            <w:pPr>
              <w:pStyle w:val="Default"/>
              <w:ind w:left="22" w:hanging="3"/>
              <w:rPr>
                <w:sz w:val="22"/>
                <w:szCs w:val="22"/>
              </w:rPr>
            </w:pPr>
          </w:p>
        </w:tc>
        <w:tc>
          <w:tcPr>
            <w:tcW w:w="1780" w:type="dxa"/>
            <w:shd w:val="clear" w:color="auto" w:fill="auto"/>
          </w:tcPr>
          <w:p w:rsidR="00F70DE6" w:rsidRPr="002900B5" w:rsidRDefault="00F70DE6" w:rsidP="00F70DE6">
            <w:pPr>
              <w:pStyle w:val="Default"/>
              <w:rPr>
                <w:sz w:val="22"/>
                <w:szCs w:val="22"/>
              </w:rPr>
            </w:pPr>
          </w:p>
        </w:tc>
        <w:tc>
          <w:tcPr>
            <w:tcW w:w="1401" w:type="dxa"/>
            <w:shd w:val="clear" w:color="auto" w:fill="auto"/>
          </w:tcPr>
          <w:p w:rsidR="00F70DE6" w:rsidRPr="002900B5" w:rsidRDefault="00F70DE6" w:rsidP="00F70DE6">
            <w:pPr>
              <w:pStyle w:val="Default"/>
              <w:rPr>
                <w:sz w:val="22"/>
                <w:szCs w:val="22"/>
              </w:rPr>
            </w:pP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Poruchy kože</w:t>
            </w:r>
          </w:p>
          <w:p w:rsidR="00F70DE6" w:rsidRPr="002900B5" w:rsidRDefault="00F70DE6" w:rsidP="00372327">
            <w:pPr>
              <w:ind w:left="0" w:firstLine="0"/>
              <w:rPr>
                <w:szCs w:val="22"/>
              </w:rPr>
            </w:pPr>
            <w:r w:rsidRPr="002900B5">
              <w:rPr>
                <w:szCs w:val="22"/>
              </w:rPr>
              <w:t xml:space="preserve">a podkožného tkaniva </w:t>
            </w:r>
          </w:p>
        </w:tc>
        <w:tc>
          <w:tcPr>
            <w:tcW w:w="1854" w:type="dxa"/>
            <w:shd w:val="clear" w:color="auto" w:fill="auto"/>
          </w:tcPr>
          <w:p w:rsidR="00F70DE6" w:rsidRPr="002900B5" w:rsidRDefault="00643C12" w:rsidP="00F70DE6">
            <w:pPr>
              <w:pStyle w:val="Default"/>
              <w:rPr>
                <w:sz w:val="22"/>
                <w:szCs w:val="22"/>
              </w:rPr>
            </w:pPr>
            <w:r w:rsidRPr="002900B5">
              <w:rPr>
                <w:sz w:val="22"/>
                <w:szCs w:val="22"/>
              </w:rPr>
              <w:t>v</w:t>
            </w:r>
            <w:r w:rsidR="00F70DE6" w:rsidRPr="002900B5">
              <w:rPr>
                <w:sz w:val="22"/>
                <w:szCs w:val="22"/>
              </w:rPr>
              <w:t>yrážka</w:t>
            </w:r>
          </w:p>
        </w:tc>
        <w:tc>
          <w:tcPr>
            <w:tcW w:w="2379" w:type="dxa"/>
            <w:shd w:val="clear" w:color="auto" w:fill="auto"/>
          </w:tcPr>
          <w:p w:rsidR="00F70DE6" w:rsidRPr="002900B5" w:rsidRDefault="00F70DE6" w:rsidP="00372327">
            <w:pPr>
              <w:pStyle w:val="Default"/>
              <w:ind w:left="22" w:hanging="3"/>
              <w:rPr>
                <w:sz w:val="22"/>
                <w:szCs w:val="22"/>
              </w:rPr>
            </w:pPr>
          </w:p>
        </w:tc>
        <w:tc>
          <w:tcPr>
            <w:tcW w:w="1780" w:type="dxa"/>
            <w:shd w:val="clear" w:color="auto" w:fill="auto"/>
          </w:tcPr>
          <w:p w:rsidR="00F70DE6" w:rsidRPr="002900B5" w:rsidRDefault="00643C12" w:rsidP="00F70DE6">
            <w:pPr>
              <w:pStyle w:val="Default"/>
              <w:rPr>
                <w:sz w:val="22"/>
                <w:szCs w:val="22"/>
              </w:rPr>
            </w:pPr>
            <w:r w:rsidRPr="002900B5">
              <w:rPr>
                <w:sz w:val="22"/>
                <w:szCs w:val="22"/>
              </w:rPr>
              <w:t>a</w:t>
            </w:r>
            <w:r w:rsidR="00F70DE6" w:rsidRPr="002900B5">
              <w:rPr>
                <w:sz w:val="22"/>
                <w:szCs w:val="22"/>
              </w:rPr>
              <w:t>ngioedém, opuch tváre /edém, urtikária</w:t>
            </w:r>
          </w:p>
        </w:tc>
        <w:tc>
          <w:tcPr>
            <w:tcW w:w="1401" w:type="dxa"/>
            <w:shd w:val="clear" w:color="auto" w:fill="auto"/>
          </w:tcPr>
          <w:p w:rsidR="005A3523" w:rsidRPr="002900B5" w:rsidRDefault="005A3523" w:rsidP="005A3523">
            <w:pPr>
              <w:pStyle w:val="Default"/>
              <w:rPr>
                <w:sz w:val="22"/>
                <w:szCs w:val="22"/>
              </w:rPr>
            </w:pPr>
            <w:r w:rsidRPr="002900B5">
              <w:rPr>
                <w:sz w:val="22"/>
                <w:szCs w:val="22"/>
              </w:rPr>
              <w:t xml:space="preserve">Stevensov-Johnsonov syndróm†, </w:t>
            </w:r>
          </w:p>
          <w:p w:rsidR="005A3523" w:rsidRPr="002900B5" w:rsidRDefault="005A3523" w:rsidP="005A3523">
            <w:pPr>
              <w:pStyle w:val="Default"/>
              <w:rPr>
                <w:sz w:val="22"/>
                <w:szCs w:val="22"/>
              </w:rPr>
            </w:pPr>
            <w:r w:rsidRPr="002900B5">
              <w:rPr>
                <w:sz w:val="22"/>
                <w:szCs w:val="22"/>
              </w:rPr>
              <w:t xml:space="preserve">Erythema Multiforme †, </w:t>
            </w:r>
          </w:p>
          <w:p w:rsidR="00F70DE6" w:rsidRPr="002900B5" w:rsidRDefault="005A3523" w:rsidP="005A3523">
            <w:pPr>
              <w:pStyle w:val="Default"/>
              <w:rPr>
                <w:sz w:val="22"/>
                <w:szCs w:val="22"/>
              </w:rPr>
            </w:pPr>
            <w:r w:rsidRPr="002900B5">
              <w:rPr>
                <w:sz w:val="22"/>
                <w:szCs w:val="22"/>
              </w:rPr>
              <w:t xml:space="preserve">bulózna dermatitída† </w:t>
            </w:r>
          </w:p>
        </w:tc>
      </w:tr>
      <w:tr w:rsidR="00F70DE6" w:rsidRPr="002900B5" w:rsidTr="0006561D">
        <w:tc>
          <w:tcPr>
            <w:tcW w:w="1988" w:type="dxa"/>
            <w:shd w:val="clear" w:color="auto" w:fill="auto"/>
          </w:tcPr>
          <w:p w:rsidR="00F70DE6" w:rsidRPr="002900B5" w:rsidRDefault="00F70DE6" w:rsidP="00372327">
            <w:pPr>
              <w:pStyle w:val="Default"/>
              <w:ind w:left="567" w:hanging="567"/>
              <w:rPr>
                <w:sz w:val="22"/>
                <w:szCs w:val="22"/>
              </w:rPr>
            </w:pPr>
            <w:r w:rsidRPr="002900B5">
              <w:rPr>
                <w:sz w:val="22"/>
                <w:szCs w:val="22"/>
              </w:rPr>
              <w:t xml:space="preserve">Poruchy kostrovej </w:t>
            </w:r>
          </w:p>
          <w:p w:rsidR="00F70DE6" w:rsidRPr="002900B5" w:rsidRDefault="00F70DE6" w:rsidP="00372327">
            <w:pPr>
              <w:pStyle w:val="Default"/>
              <w:ind w:left="567" w:hanging="567"/>
              <w:rPr>
                <w:sz w:val="22"/>
                <w:szCs w:val="22"/>
              </w:rPr>
            </w:pPr>
            <w:r w:rsidRPr="002900B5">
              <w:rPr>
                <w:sz w:val="22"/>
                <w:szCs w:val="22"/>
              </w:rPr>
              <w:t xml:space="preserve">a svalovej sústavy </w:t>
            </w:r>
          </w:p>
          <w:p w:rsidR="00F70DE6" w:rsidRPr="002900B5" w:rsidRDefault="00F70DE6" w:rsidP="00F70DE6">
            <w:pPr>
              <w:pStyle w:val="Default"/>
              <w:rPr>
                <w:sz w:val="22"/>
                <w:szCs w:val="22"/>
              </w:rPr>
            </w:pPr>
            <w:r w:rsidRPr="002900B5">
              <w:rPr>
                <w:sz w:val="22"/>
                <w:szCs w:val="22"/>
              </w:rPr>
              <w:t>a spojivového tkaniva</w:t>
            </w:r>
          </w:p>
        </w:tc>
        <w:tc>
          <w:tcPr>
            <w:tcW w:w="1854" w:type="dxa"/>
            <w:shd w:val="clear" w:color="auto" w:fill="auto"/>
          </w:tcPr>
          <w:p w:rsidR="00F70DE6" w:rsidRPr="002900B5" w:rsidRDefault="000F6528" w:rsidP="00F70DE6">
            <w:pPr>
              <w:pStyle w:val="Default"/>
              <w:rPr>
                <w:sz w:val="22"/>
                <w:szCs w:val="22"/>
              </w:rPr>
            </w:pPr>
            <w:r w:rsidRPr="002900B5">
              <w:rPr>
                <w:sz w:val="22"/>
                <w:szCs w:val="22"/>
              </w:rPr>
              <w:t>artralgia</w:t>
            </w:r>
            <w:r w:rsidR="00F70DE6" w:rsidRPr="002900B5">
              <w:rPr>
                <w:sz w:val="22"/>
                <w:szCs w:val="22"/>
              </w:rPr>
              <w:t>, myalgia,</w:t>
            </w:r>
          </w:p>
          <w:p w:rsidR="00F70DE6" w:rsidRPr="002900B5" w:rsidRDefault="00F70DE6" w:rsidP="00F70DE6">
            <w:pPr>
              <w:pStyle w:val="Default"/>
              <w:rPr>
                <w:sz w:val="22"/>
                <w:szCs w:val="22"/>
              </w:rPr>
            </w:pPr>
            <w:r w:rsidRPr="002900B5">
              <w:rPr>
                <w:sz w:val="22"/>
                <w:szCs w:val="22"/>
              </w:rPr>
              <w:t>muskuloskeletálna bolesť,</w:t>
            </w:r>
          </w:p>
          <w:p w:rsidR="00F70DE6" w:rsidRPr="002900B5" w:rsidRDefault="00F70DE6" w:rsidP="00F70DE6">
            <w:pPr>
              <w:pStyle w:val="Default"/>
              <w:rPr>
                <w:sz w:val="22"/>
                <w:szCs w:val="22"/>
              </w:rPr>
            </w:pPr>
            <w:r w:rsidRPr="002900B5">
              <w:rPr>
                <w:sz w:val="22"/>
                <w:szCs w:val="22"/>
              </w:rPr>
              <w:t>bolesť chrbta</w:t>
            </w:r>
          </w:p>
        </w:tc>
        <w:tc>
          <w:tcPr>
            <w:tcW w:w="2379" w:type="dxa"/>
            <w:shd w:val="clear" w:color="auto" w:fill="auto"/>
          </w:tcPr>
          <w:p w:rsidR="00F70DE6" w:rsidRPr="002900B5" w:rsidRDefault="000F6528" w:rsidP="00372327">
            <w:pPr>
              <w:pStyle w:val="Default"/>
              <w:ind w:left="22" w:hanging="3"/>
              <w:rPr>
                <w:sz w:val="22"/>
                <w:szCs w:val="22"/>
              </w:rPr>
            </w:pPr>
            <w:r w:rsidRPr="002900B5">
              <w:rPr>
                <w:sz w:val="22"/>
                <w:szCs w:val="22"/>
              </w:rPr>
              <w:t xml:space="preserve">bolesť </w:t>
            </w:r>
            <w:r w:rsidR="00F70DE6" w:rsidRPr="002900B5">
              <w:rPr>
                <w:sz w:val="22"/>
                <w:szCs w:val="22"/>
              </w:rPr>
              <w:t>kostí</w:t>
            </w:r>
          </w:p>
        </w:tc>
        <w:tc>
          <w:tcPr>
            <w:tcW w:w="1780" w:type="dxa"/>
            <w:shd w:val="clear" w:color="auto" w:fill="auto"/>
          </w:tcPr>
          <w:p w:rsidR="00F70DE6" w:rsidRPr="002900B5" w:rsidRDefault="000F6528" w:rsidP="00F70DE6">
            <w:pPr>
              <w:pStyle w:val="Default"/>
              <w:rPr>
                <w:sz w:val="22"/>
                <w:szCs w:val="22"/>
              </w:rPr>
            </w:pPr>
            <w:r w:rsidRPr="002900B5">
              <w:rPr>
                <w:iCs/>
                <w:sz w:val="22"/>
                <w:szCs w:val="22"/>
              </w:rPr>
              <w:t xml:space="preserve">atypické </w:t>
            </w:r>
            <w:r w:rsidR="00F70DE6" w:rsidRPr="002900B5">
              <w:rPr>
                <w:iCs/>
                <w:sz w:val="22"/>
                <w:szCs w:val="22"/>
              </w:rPr>
              <w:t xml:space="preserve">subtrochanterické a diafyzárne zlomeniny stehennej kosti </w:t>
            </w:r>
            <w:r w:rsidR="00F70DE6" w:rsidRPr="002900B5">
              <w:rPr>
                <w:sz w:val="22"/>
                <w:szCs w:val="22"/>
              </w:rPr>
              <w:t>†</w:t>
            </w:r>
            <w:r w:rsidR="00F70DE6" w:rsidRPr="002900B5">
              <w:rPr>
                <w:iCs/>
                <w:sz w:val="22"/>
                <w:szCs w:val="22"/>
              </w:rPr>
              <w:t xml:space="preserve"> </w:t>
            </w:r>
          </w:p>
          <w:p w:rsidR="00F70DE6" w:rsidRPr="002900B5" w:rsidRDefault="00F70DE6" w:rsidP="00F70DE6">
            <w:pPr>
              <w:pStyle w:val="Default"/>
              <w:rPr>
                <w:sz w:val="22"/>
                <w:szCs w:val="22"/>
              </w:rPr>
            </w:pPr>
          </w:p>
        </w:tc>
        <w:tc>
          <w:tcPr>
            <w:tcW w:w="1401" w:type="dxa"/>
            <w:shd w:val="clear" w:color="auto" w:fill="auto"/>
          </w:tcPr>
          <w:p w:rsidR="00F70DE6" w:rsidRPr="002900B5" w:rsidRDefault="000F6528" w:rsidP="00F70DE6">
            <w:pPr>
              <w:pStyle w:val="Default"/>
              <w:rPr>
                <w:rFonts w:eastAsia="TimesNewRoman"/>
                <w:sz w:val="22"/>
                <w:szCs w:val="22"/>
              </w:rPr>
            </w:pPr>
            <w:r w:rsidRPr="002900B5">
              <w:rPr>
                <w:sz w:val="22"/>
                <w:szCs w:val="22"/>
              </w:rPr>
              <w:t xml:space="preserve">osteonekróza </w:t>
            </w:r>
            <w:r w:rsidR="00F70DE6" w:rsidRPr="002900B5">
              <w:rPr>
                <w:sz w:val="22"/>
                <w:szCs w:val="22"/>
              </w:rPr>
              <w:t>čeluste*</w:t>
            </w:r>
            <w:r w:rsidR="00F70DE6" w:rsidRPr="002900B5">
              <w:rPr>
                <w:rFonts w:eastAsia="TimesNewRoman"/>
                <w:sz w:val="22"/>
                <w:szCs w:val="22"/>
              </w:rPr>
              <w:t>†</w:t>
            </w:r>
          </w:p>
          <w:p w:rsidR="0020108C" w:rsidRPr="002900B5" w:rsidRDefault="0020108C" w:rsidP="00F70DE6">
            <w:pPr>
              <w:pStyle w:val="Default"/>
              <w:rPr>
                <w:sz w:val="22"/>
                <w:szCs w:val="22"/>
              </w:rPr>
            </w:pPr>
            <w:r w:rsidRPr="002900B5">
              <w:rPr>
                <w:sz w:val="22"/>
                <w:szCs w:val="22"/>
                <w:u w:val="single"/>
              </w:rPr>
              <w:t>osteonekróza vonkajšieho zvukovodu (nežiaduca reakcia triedy bisfosfonátov)</w:t>
            </w:r>
          </w:p>
        </w:tc>
      </w:tr>
      <w:tr w:rsidR="00F70DE6" w:rsidRPr="002900B5" w:rsidTr="0006561D">
        <w:tc>
          <w:tcPr>
            <w:tcW w:w="1988" w:type="dxa"/>
            <w:shd w:val="clear" w:color="auto" w:fill="auto"/>
          </w:tcPr>
          <w:p w:rsidR="00F70DE6" w:rsidRPr="002900B5" w:rsidRDefault="00F70DE6" w:rsidP="00F70DE6">
            <w:pPr>
              <w:pStyle w:val="Default"/>
              <w:rPr>
                <w:sz w:val="22"/>
                <w:szCs w:val="22"/>
              </w:rPr>
            </w:pPr>
            <w:r w:rsidRPr="002900B5">
              <w:rPr>
                <w:sz w:val="22"/>
                <w:szCs w:val="22"/>
              </w:rPr>
              <w:t xml:space="preserve">Celkové poruchy </w:t>
            </w:r>
          </w:p>
          <w:p w:rsidR="00F70DE6" w:rsidRPr="002900B5" w:rsidRDefault="00F70DE6" w:rsidP="00F70DE6">
            <w:pPr>
              <w:pStyle w:val="Default"/>
              <w:rPr>
                <w:sz w:val="22"/>
                <w:szCs w:val="22"/>
              </w:rPr>
            </w:pPr>
            <w:r w:rsidRPr="002900B5">
              <w:rPr>
                <w:sz w:val="22"/>
                <w:szCs w:val="22"/>
              </w:rPr>
              <w:lastRenderedPageBreak/>
              <w:t>a reakcie v mieste podania</w:t>
            </w:r>
          </w:p>
        </w:tc>
        <w:tc>
          <w:tcPr>
            <w:tcW w:w="1854" w:type="dxa"/>
            <w:shd w:val="clear" w:color="auto" w:fill="auto"/>
          </w:tcPr>
          <w:p w:rsidR="00F70DE6" w:rsidRPr="002900B5" w:rsidRDefault="000F6528" w:rsidP="00F70DE6">
            <w:pPr>
              <w:pStyle w:val="Default"/>
              <w:rPr>
                <w:sz w:val="22"/>
                <w:szCs w:val="22"/>
              </w:rPr>
            </w:pPr>
            <w:r w:rsidRPr="002900B5">
              <w:rPr>
                <w:sz w:val="22"/>
                <w:szCs w:val="22"/>
              </w:rPr>
              <w:lastRenderedPageBreak/>
              <w:t>ochorenie podobné chrípke</w:t>
            </w:r>
            <w:r w:rsidR="00F70DE6" w:rsidRPr="002900B5">
              <w:rPr>
                <w:sz w:val="22"/>
                <w:szCs w:val="22"/>
              </w:rPr>
              <w:t>*,</w:t>
            </w:r>
          </w:p>
          <w:p w:rsidR="00F70DE6" w:rsidRPr="002900B5" w:rsidRDefault="00643C12" w:rsidP="00372327">
            <w:pPr>
              <w:pStyle w:val="Default"/>
              <w:ind w:left="567" w:hanging="567"/>
              <w:rPr>
                <w:sz w:val="22"/>
                <w:szCs w:val="22"/>
              </w:rPr>
            </w:pPr>
            <w:r w:rsidRPr="002900B5">
              <w:rPr>
                <w:sz w:val="22"/>
                <w:szCs w:val="22"/>
              </w:rPr>
              <w:lastRenderedPageBreak/>
              <w:t>únava</w:t>
            </w:r>
          </w:p>
        </w:tc>
        <w:tc>
          <w:tcPr>
            <w:tcW w:w="2379" w:type="dxa"/>
            <w:shd w:val="clear" w:color="auto" w:fill="auto"/>
          </w:tcPr>
          <w:p w:rsidR="00F70DE6" w:rsidRPr="002900B5" w:rsidRDefault="000F6528" w:rsidP="00F70DE6">
            <w:pPr>
              <w:pStyle w:val="Default"/>
              <w:rPr>
                <w:sz w:val="22"/>
                <w:szCs w:val="22"/>
              </w:rPr>
            </w:pPr>
            <w:r w:rsidRPr="002900B5">
              <w:rPr>
                <w:sz w:val="22"/>
                <w:szCs w:val="22"/>
              </w:rPr>
              <w:lastRenderedPageBreak/>
              <w:t xml:space="preserve">reakcie </w:t>
            </w:r>
            <w:r w:rsidR="00F70DE6" w:rsidRPr="002900B5">
              <w:rPr>
                <w:sz w:val="22"/>
                <w:szCs w:val="22"/>
              </w:rPr>
              <w:t>v mieste podania</w:t>
            </w:r>
          </w:p>
          <w:p w:rsidR="00F70DE6" w:rsidRPr="002900B5" w:rsidRDefault="00F70DE6" w:rsidP="00F70DE6">
            <w:pPr>
              <w:pStyle w:val="Default"/>
              <w:rPr>
                <w:sz w:val="22"/>
                <w:szCs w:val="22"/>
              </w:rPr>
            </w:pPr>
            <w:r w:rsidRPr="002900B5">
              <w:rPr>
                <w:sz w:val="22"/>
                <w:szCs w:val="22"/>
              </w:rPr>
              <w:lastRenderedPageBreak/>
              <w:t>injekcie, asténia</w:t>
            </w:r>
          </w:p>
        </w:tc>
        <w:tc>
          <w:tcPr>
            <w:tcW w:w="1780" w:type="dxa"/>
            <w:shd w:val="clear" w:color="auto" w:fill="auto"/>
          </w:tcPr>
          <w:p w:rsidR="00F70DE6" w:rsidRPr="002900B5" w:rsidRDefault="00F70DE6" w:rsidP="00372327">
            <w:pPr>
              <w:pStyle w:val="Default"/>
              <w:ind w:left="567" w:hanging="567"/>
              <w:rPr>
                <w:iCs/>
                <w:sz w:val="22"/>
                <w:szCs w:val="22"/>
              </w:rPr>
            </w:pPr>
          </w:p>
        </w:tc>
        <w:tc>
          <w:tcPr>
            <w:tcW w:w="1401" w:type="dxa"/>
            <w:shd w:val="clear" w:color="auto" w:fill="auto"/>
          </w:tcPr>
          <w:p w:rsidR="00F70DE6" w:rsidRPr="002900B5" w:rsidRDefault="00F70DE6" w:rsidP="00372327">
            <w:pPr>
              <w:pStyle w:val="Default"/>
              <w:ind w:left="567" w:hanging="567"/>
              <w:rPr>
                <w:sz w:val="22"/>
                <w:szCs w:val="22"/>
              </w:rPr>
            </w:pPr>
          </w:p>
        </w:tc>
      </w:tr>
    </w:tbl>
    <w:p w:rsidR="00D534DD" w:rsidRPr="002900B5" w:rsidRDefault="00D534DD" w:rsidP="006C7E8A">
      <w:pPr>
        <w:pStyle w:val="Default"/>
        <w:rPr>
          <w:sz w:val="22"/>
          <w:szCs w:val="22"/>
        </w:rPr>
      </w:pPr>
    </w:p>
    <w:p w:rsidR="000320BA" w:rsidRPr="002900B5" w:rsidRDefault="000320BA" w:rsidP="006C7E8A">
      <w:pPr>
        <w:keepNext/>
        <w:rPr>
          <w:szCs w:val="22"/>
        </w:rPr>
      </w:pPr>
      <w:r w:rsidRPr="002900B5">
        <w:rPr>
          <w:szCs w:val="22"/>
        </w:rPr>
        <w:t xml:space="preserve">*Pozri ďalšie informácie nižšie </w:t>
      </w:r>
    </w:p>
    <w:p w:rsidR="000320BA" w:rsidRPr="002900B5" w:rsidRDefault="000320BA" w:rsidP="006C7E8A">
      <w:pPr>
        <w:rPr>
          <w:szCs w:val="22"/>
        </w:rPr>
      </w:pPr>
      <w:r w:rsidRPr="002900B5">
        <w:rPr>
          <w:szCs w:val="22"/>
        </w:rPr>
        <w:t>†</w:t>
      </w:r>
      <w:r w:rsidR="000F6528" w:rsidRPr="002900B5">
        <w:rPr>
          <w:szCs w:val="22"/>
        </w:rPr>
        <w:t xml:space="preserve"> Zistené v období po uvedení lieku na trh</w:t>
      </w:r>
      <w:r w:rsidRPr="002900B5">
        <w:rPr>
          <w:szCs w:val="22"/>
        </w:rPr>
        <w:t>.</w:t>
      </w:r>
    </w:p>
    <w:p w:rsidR="00A1726D" w:rsidRPr="002900B5" w:rsidRDefault="00A1726D" w:rsidP="006C7E8A">
      <w:pPr>
        <w:pStyle w:val="Default"/>
        <w:rPr>
          <w:sz w:val="22"/>
          <w:szCs w:val="22"/>
        </w:rPr>
      </w:pPr>
    </w:p>
    <w:p w:rsidR="0006561D" w:rsidRPr="002900B5" w:rsidRDefault="0006561D" w:rsidP="006C7E8A">
      <w:pPr>
        <w:pStyle w:val="Default"/>
        <w:rPr>
          <w:sz w:val="22"/>
          <w:szCs w:val="22"/>
          <w:u w:val="single"/>
        </w:rPr>
      </w:pPr>
      <w:r w:rsidRPr="002900B5">
        <w:rPr>
          <w:sz w:val="22"/>
          <w:szCs w:val="22"/>
          <w:u w:val="single"/>
        </w:rPr>
        <w:t>Opis vybraných nežiaducich reakcií</w:t>
      </w:r>
    </w:p>
    <w:p w:rsidR="0006561D" w:rsidRPr="002900B5" w:rsidRDefault="0006561D" w:rsidP="006C7E8A">
      <w:pPr>
        <w:pStyle w:val="Default"/>
        <w:rPr>
          <w:sz w:val="22"/>
          <w:szCs w:val="22"/>
        </w:rPr>
      </w:pPr>
    </w:p>
    <w:p w:rsidR="00B26F14" w:rsidRPr="002900B5" w:rsidRDefault="00B26F14" w:rsidP="006C7E8A">
      <w:pPr>
        <w:pStyle w:val="Default"/>
        <w:rPr>
          <w:sz w:val="22"/>
          <w:szCs w:val="22"/>
          <w:u w:val="single"/>
        </w:rPr>
      </w:pPr>
      <w:r w:rsidRPr="002900B5">
        <w:rPr>
          <w:i/>
          <w:sz w:val="22"/>
          <w:szCs w:val="22"/>
          <w:u w:val="single"/>
        </w:rPr>
        <w:t>Ochorenie podobné chrípke</w:t>
      </w:r>
      <w:r w:rsidRPr="002900B5" w:rsidDel="00B26F14">
        <w:rPr>
          <w:sz w:val="22"/>
          <w:szCs w:val="22"/>
          <w:u w:val="single"/>
        </w:rPr>
        <w:t xml:space="preserve"> </w:t>
      </w:r>
    </w:p>
    <w:p w:rsidR="00DC313B" w:rsidRPr="002900B5" w:rsidRDefault="0006561D" w:rsidP="006C7E8A">
      <w:pPr>
        <w:pStyle w:val="Default"/>
        <w:rPr>
          <w:sz w:val="22"/>
          <w:szCs w:val="22"/>
        </w:rPr>
      </w:pPr>
      <w:r w:rsidRPr="002900B5">
        <w:rPr>
          <w:sz w:val="22"/>
          <w:szCs w:val="22"/>
        </w:rPr>
        <w:t>Ochorenie podobné chrípke zahŕňa udalosti hlásené ako reakcia alebo príznaky akútnej fázy, zahŕňajúce myalgiu, artralgiu, horúčku, triašku, únavu, nauzeu, strat</w:t>
      </w:r>
      <w:r w:rsidR="00643C12" w:rsidRPr="002900B5">
        <w:rPr>
          <w:sz w:val="22"/>
          <w:szCs w:val="22"/>
        </w:rPr>
        <w:t>u</w:t>
      </w:r>
      <w:r w:rsidRPr="002900B5">
        <w:rPr>
          <w:sz w:val="22"/>
          <w:szCs w:val="22"/>
        </w:rPr>
        <w:t xml:space="preserve"> chuti do jedla a bolesť kostí.</w:t>
      </w:r>
    </w:p>
    <w:p w:rsidR="00951C41" w:rsidRPr="002900B5" w:rsidRDefault="00951C41" w:rsidP="006C7E8A">
      <w:pPr>
        <w:pStyle w:val="Default"/>
        <w:rPr>
          <w:sz w:val="22"/>
          <w:szCs w:val="22"/>
        </w:rPr>
      </w:pPr>
    </w:p>
    <w:p w:rsidR="00951C41" w:rsidRPr="002900B5" w:rsidRDefault="00951C41" w:rsidP="006C7E8A">
      <w:pPr>
        <w:tabs>
          <w:tab w:val="left" w:pos="0"/>
        </w:tabs>
        <w:rPr>
          <w:szCs w:val="22"/>
          <w:u w:val="single"/>
        </w:rPr>
      </w:pPr>
      <w:r w:rsidRPr="002900B5">
        <w:rPr>
          <w:i/>
          <w:szCs w:val="22"/>
          <w:u w:val="single"/>
        </w:rPr>
        <w:t>Osteonekróza čeľuste</w:t>
      </w:r>
    </w:p>
    <w:p w:rsidR="005A3523" w:rsidRPr="002900B5" w:rsidRDefault="005A3523" w:rsidP="005A3523">
      <w:pPr>
        <w:shd w:val="clear" w:color="auto" w:fill="FFFFFF"/>
        <w:spacing w:line="254" w:lineRule="exact"/>
        <w:ind w:left="0" w:right="422" w:firstLine="0"/>
        <w:rPr>
          <w:szCs w:val="22"/>
        </w:rPr>
      </w:pPr>
      <w:r w:rsidRPr="002900B5">
        <w:rPr>
          <w:szCs w:val="22"/>
        </w:rPr>
        <w:t>Prípady osteonekrózy čeľuste boli zaznamenané predovšetkým u pacientov s nádorovým ochorením liečených liekmi, ktoré inhibujú resorbciu v kosti, ako napríklad kyselina ibandrónová (pozri časť 4.4). Po uvedení kyseliny ibandrónovej na trh boli v hláseniach zaznamenané prípady ONJ.</w:t>
      </w:r>
    </w:p>
    <w:p w:rsidR="00951C41" w:rsidRPr="002900B5" w:rsidRDefault="00951C41" w:rsidP="006C7E8A">
      <w:pPr>
        <w:pStyle w:val="Default"/>
        <w:rPr>
          <w:sz w:val="22"/>
          <w:szCs w:val="22"/>
        </w:rPr>
      </w:pPr>
    </w:p>
    <w:p w:rsidR="00193816" w:rsidRPr="002900B5" w:rsidRDefault="00193816" w:rsidP="006C7E8A">
      <w:pPr>
        <w:tabs>
          <w:tab w:val="left" w:pos="600"/>
          <w:tab w:val="left" w:pos="6120"/>
        </w:tabs>
        <w:rPr>
          <w:i/>
          <w:color w:val="000000"/>
          <w:szCs w:val="22"/>
          <w:u w:val="single"/>
        </w:rPr>
      </w:pPr>
      <w:r w:rsidRPr="002900B5">
        <w:rPr>
          <w:i/>
          <w:color w:val="000000"/>
          <w:szCs w:val="22"/>
          <w:u w:val="single"/>
        </w:rPr>
        <w:t>Zápal oka</w:t>
      </w:r>
    </w:p>
    <w:p w:rsidR="001D057A" w:rsidRPr="002900B5" w:rsidRDefault="00193816" w:rsidP="006C7E8A">
      <w:pPr>
        <w:pStyle w:val="Default"/>
        <w:rPr>
          <w:sz w:val="22"/>
          <w:szCs w:val="22"/>
        </w:rPr>
      </w:pPr>
      <w:r w:rsidRPr="002900B5">
        <w:rPr>
          <w:sz w:val="22"/>
          <w:szCs w:val="22"/>
        </w:rPr>
        <w:t xml:space="preserve">Zápaly oka ako uveitída, episkleritída a skleritída boli hlásené pri liečbe bifosfonátmi, vrátane kyseliny ibandrónovej. V niekoľkých prípadoch tieto zápaly neustúpili, pokiaľ nebola prerušená liečba </w:t>
      </w:r>
      <w:r w:rsidR="008F673E" w:rsidRPr="002900B5">
        <w:rPr>
          <w:sz w:val="22"/>
          <w:szCs w:val="22"/>
        </w:rPr>
        <w:t>kyselinou ibandrónovou</w:t>
      </w:r>
      <w:r w:rsidR="00287AD9" w:rsidRPr="002900B5">
        <w:rPr>
          <w:sz w:val="22"/>
          <w:szCs w:val="22"/>
        </w:rPr>
        <w:t>.</w:t>
      </w:r>
    </w:p>
    <w:p w:rsidR="003365DC" w:rsidRPr="002900B5" w:rsidRDefault="003365DC" w:rsidP="006C7E8A">
      <w:pPr>
        <w:pStyle w:val="Default"/>
        <w:rPr>
          <w:sz w:val="22"/>
          <w:szCs w:val="22"/>
        </w:rPr>
      </w:pPr>
    </w:p>
    <w:p w:rsidR="003365DC" w:rsidRPr="002900B5" w:rsidRDefault="003365DC" w:rsidP="003365DC">
      <w:pPr>
        <w:pStyle w:val="Default"/>
        <w:rPr>
          <w:i/>
          <w:sz w:val="22"/>
          <w:szCs w:val="22"/>
          <w:u w:val="single"/>
        </w:rPr>
      </w:pPr>
      <w:r w:rsidRPr="002900B5">
        <w:rPr>
          <w:i/>
          <w:sz w:val="22"/>
          <w:szCs w:val="22"/>
          <w:u w:val="single"/>
        </w:rPr>
        <w:t>Anafylaktická reakcia/šok</w:t>
      </w:r>
    </w:p>
    <w:p w:rsidR="003365DC" w:rsidRPr="002900B5" w:rsidRDefault="003365DC" w:rsidP="003365DC">
      <w:pPr>
        <w:pStyle w:val="Default"/>
        <w:rPr>
          <w:sz w:val="22"/>
          <w:szCs w:val="22"/>
        </w:rPr>
      </w:pPr>
      <w:r w:rsidRPr="002900B5">
        <w:rPr>
          <w:sz w:val="22"/>
          <w:szCs w:val="22"/>
        </w:rPr>
        <w:t>U pacientov liečených intravenózne kyselinou ibandrónovou sa hlásili prípady anafylaktickej reakcie/šoku vrátane fatálnych príhod.</w:t>
      </w:r>
    </w:p>
    <w:p w:rsidR="003365DC" w:rsidRPr="002900B5" w:rsidRDefault="003365DC" w:rsidP="003365DC">
      <w:pPr>
        <w:suppressLineNumbers/>
        <w:autoSpaceDE w:val="0"/>
        <w:autoSpaceDN w:val="0"/>
        <w:adjustRightInd w:val="0"/>
        <w:rPr>
          <w:szCs w:val="22"/>
          <w:u w:val="single"/>
        </w:rPr>
      </w:pPr>
    </w:p>
    <w:p w:rsidR="00D05725" w:rsidRDefault="00D05725" w:rsidP="00D05725">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u w:val="single"/>
        </w:rPr>
      </w:pPr>
      <w:r>
        <w:rPr>
          <w:u w:val="single"/>
        </w:rPr>
        <w:t>Hlásenie podozrení na nežiaduce reakcie</w:t>
      </w:r>
    </w:p>
    <w:p w:rsidR="00D05725" w:rsidRDefault="00D05725" w:rsidP="00D05725">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Style w:val="Hypertextovprepojenie"/>
        </w:rPr>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rPr>
        <w:t>národné centrum hlásenia uvedené v </w:t>
      </w:r>
      <w:hyperlink r:id="rId8" w:history="1">
        <w:r>
          <w:rPr>
            <w:rStyle w:val="Hypertextovprepojenie"/>
            <w:shd w:val="clear" w:color="auto" w:fill="C0C0C0"/>
          </w:rPr>
          <w:t>Prílohe V</w:t>
        </w:r>
      </w:hyperlink>
      <w:r>
        <w:rPr>
          <w:rStyle w:val="Hypertextovprepojenie"/>
        </w:rPr>
        <w:t>.</w:t>
      </w:r>
    </w:p>
    <w:p w:rsidR="001D057A" w:rsidRPr="002900B5" w:rsidRDefault="001D057A" w:rsidP="006C7E8A">
      <w:pPr>
        <w:pStyle w:val="Default"/>
        <w:rPr>
          <w:sz w:val="22"/>
          <w:szCs w:val="22"/>
        </w:rPr>
      </w:pPr>
    </w:p>
    <w:p w:rsidR="00780926" w:rsidRPr="002900B5" w:rsidRDefault="00780926" w:rsidP="006C7E8A">
      <w:pPr>
        <w:numPr>
          <w:ilvl w:val="1"/>
          <w:numId w:val="13"/>
        </w:numPr>
        <w:rPr>
          <w:b/>
          <w:szCs w:val="22"/>
        </w:rPr>
      </w:pPr>
      <w:r w:rsidRPr="002900B5">
        <w:rPr>
          <w:b/>
          <w:szCs w:val="22"/>
        </w:rPr>
        <w:t>Predávkovanie</w:t>
      </w:r>
    </w:p>
    <w:p w:rsidR="001D057A" w:rsidRPr="002900B5" w:rsidRDefault="001D057A" w:rsidP="006C7E8A">
      <w:pPr>
        <w:ind w:left="0" w:firstLine="0"/>
        <w:rPr>
          <w:szCs w:val="22"/>
        </w:rPr>
      </w:pPr>
    </w:p>
    <w:p w:rsidR="00EE2F87" w:rsidRPr="002900B5" w:rsidRDefault="001D057A" w:rsidP="006C7E8A">
      <w:pPr>
        <w:ind w:left="0" w:firstLine="0"/>
        <w:rPr>
          <w:szCs w:val="22"/>
        </w:rPr>
      </w:pPr>
      <w:r w:rsidRPr="002900B5">
        <w:rPr>
          <w:szCs w:val="22"/>
        </w:rPr>
        <w:t>Nie sú dostupné žiadne špecifické informácie o</w:t>
      </w:r>
      <w:r w:rsidR="007459AB" w:rsidRPr="002900B5">
        <w:rPr>
          <w:szCs w:val="22"/>
        </w:rPr>
        <w:t xml:space="preserve"> liečbe </w:t>
      </w:r>
      <w:r w:rsidRPr="002900B5">
        <w:rPr>
          <w:szCs w:val="22"/>
        </w:rPr>
        <w:t>predávkovan</w:t>
      </w:r>
      <w:r w:rsidR="007459AB" w:rsidRPr="002900B5">
        <w:rPr>
          <w:szCs w:val="22"/>
        </w:rPr>
        <w:t>ia</w:t>
      </w:r>
      <w:r w:rsidRPr="002900B5">
        <w:rPr>
          <w:szCs w:val="22"/>
        </w:rPr>
        <w:t xml:space="preserve"> </w:t>
      </w:r>
      <w:r w:rsidR="00A1726D" w:rsidRPr="002900B5">
        <w:rPr>
          <w:szCs w:val="22"/>
        </w:rPr>
        <w:t xml:space="preserve">kyselinou ibandrónovou. </w:t>
      </w:r>
    </w:p>
    <w:p w:rsidR="00EE2F87" w:rsidRPr="002900B5" w:rsidRDefault="00EE2F87" w:rsidP="006C7E8A">
      <w:pPr>
        <w:ind w:left="0" w:firstLine="0"/>
        <w:rPr>
          <w:szCs w:val="22"/>
        </w:rPr>
      </w:pPr>
    </w:p>
    <w:p w:rsidR="001D057A" w:rsidRPr="002900B5" w:rsidRDefault="001D057A" w:rsidP="006C7E8A">
      <w:pPr>
        <w:ind w:left="0" w:firstLine="0"/>
        <w:rPr>
          <w:szCs w:val="22"/>
        </w:rPr>
      </w:pPr>
      <w:r w:rsidRPr="002900B5">
        <w:rPr>
          <w:szCs w:val="22"/>
        </w:rPr>
        <w:t>Na základe poznatkov tejto skupiny zlúčenín intravenózne predávkovanie môže mať za následok hypokalciémiu, hypofosfatémiu a hypomagneziémiu. Klinicky významné poklesy sérových hladín vápnika, fosforu a horčíka sa majú upraviť intravenóznym podaním glukonátu vápenatého, draslíka alebo fosforečnanu sodného a síranu horečnatého.</w:t>
      </w:r>
    </w:p>
    <w:p w:rsidR="00446F26" w:rsidRPr="002900B5" w:rsidRDefault="00446F26" w:rsidP="006C7E8A">
      <w:pPr>
        <w:ind w:left="0" w:firstLine="0"/>
        <w:rPr>
          <w:szCs w:val="22"/>
        </w:rPr>
      </w:pPr>
    </w:p>
    <w:p w:rsidR="00620E21" w:rsidRPr="002900B5" w:rsidRDefault="00620E21" w:rsidP="006C7E8A">
      <w:pPr>
        <w:ind w:left="0" w:firstLine="0"/>
        <w:rPr>
          <w:szCs w:val="22"/>
        </w:rPr>
      </w:pPr>
    </w:p>
    <w:p w:rsidR="00780926" w:rsidRPr="002900B5" w:rsidRDefault="00780926" w:rsidP="006C7E8A">
      <w:pPr>
        <w:rPr>
          <w:szCs w:val="22"/>
        </w:rPr>
      </w:pPr>
      <w:r w:rsidRPr="002900B5">
        <w:rPr>
          <w:b/>
          <w:szCs w:val="22"/>
        </w:rPr>
        <w:t>5.</w:t>
      </w:r>
      <w:r w:rsidRPr="002900B5">
        <w:rPr>
          <w:b/>
          <w:szCs w:val="22"/>
        </w:rPr>
        <w:tab/>
        <w:t>FARMAKOLOGICKÉ VLASTNOSTI</w:t>
      </w:r>
    </w:p>
    <w:p w:rsidR="00780926" w:rsidRPr="002900B5" w:rsidRDefault="00780926" w:rsidP="006C7E8A">
      <w:pPr>
        <w:rPr>
          <w:bCs/>
          <w:szCs w:val="22"/>
        </w:rPr>
      </w:pPr>
    </w:p>
    <w:p w:rsidR="00780926" w:rsidRPr="002900B5" w:rsidRDefault="00780926" w:rsidP="006C7E8A">
      <w:pPr>
        <w:rPr>
          <w:szCs w:val="22"/>
        </w:rPr>
      </w:pPr>
      <w:r w:rsidRPr="002900B5">
        <w:rPr>
          <w:b/>
          <w:szCs w:val="22"/>
        </w:rPr>
        <w:t>5.1</w:t>
      </w:r>
      <w:r w:rsidRPr="002900B5">
        <w:rPr>
          <w:b/>
          <w:szCs w:val="22"/>
        </w:rPr>
        <w:tab/>
        <w:t>Farmakodynamické vlastnosti</w:t>
      </w:r>
    </w:p>
    <w:p w:rsidR="00780926" w:rsidRPr="002900B5" w:rsidRDefault="00780926" w:rsidP="006C7E8A">
      <w:pPr>
        <w:rPr>
          <w:szCs w:val="22"/>
        </w:rPr>
      </w:pPr>
    </w:p>
    <w:p w:rsidR="00780926" w:rsidRPr="002900B5" w:rsidRDefault="00780926" w:rsidP="006C7E8A">
      <w:pPr>
        <w:outlineLvl w:val="0"/>
        <w:rPr>
          <w:szCs w:val="22"/>
        </w:rPr>
      </w:pPr>
      <w:r w:rsidRPr="002900B5">
        <w:rPr>
          <w:szCs w:val="22"/>
        </w:rPr>
        <w:t xml:space="preserve">Farmakoterapeutická skupina: </w:t>
      </w:r>
      <w:r w:rsidR="0006561D" w:rsidRPr="002900B5">
        <w:rPr>
          <w:szCs w:val="22"/>
        </w:rPr>
        <w:t>L</w:t>
      </w:r>
      <w:r w:rsidR="00A1726D" w:rsidRPr="002900B5">
        <w:rPr>
          <w:szCs w:val="22"/>
        </w:rPr>
        <w:t>ieky na liečbu ochorení kostí</w:t>
      </w:r>
      <w:r w:rsidR="00EE2F87" w:rsidRPr="002900B5">
        <w:rPr>
          <w:szCs w:val="22"/>
        </w:rPr>
        <w:t>,</w:t>
      </w:r>
      <w:r w:rsidR="00A1726D" w:rsidRPr="002900B5">
        <w:rPr>
          <w:szCs w:val="22"/>
        </w:rPr>
        <w:t xml:space="preserve"> bisfosfonáty, </w:t>
      </w:r>
      <w:r w:rsidRPr="002900B5">
        <w:rPr>
          <w:szCs w:val="22"/>
        </w:rPr>
        <w:t xml:space="preserve">ATC kód: </w:t>
      </w:r>
      <w:r w:rsidR="003E58E4" w:rsidRPr="002900B5">
        <w:rPr>
          <w:szCs w:val="22"/>
        </w:rPr>
        <w:t>M05B A06</w:t>
      </w:r>
    </w:p>
    <w:p w:rsidR="001D057A" w:rsidRPr="002900B5" w:rsidRDefault="001D057A" w:rsidP="006C7E8A">
      <w:pPr>
        <w:outlineLvl w:val="0"/>
        <w:rPr>
          <w:szCs w:val="22"/>
        </w:rPr>
      </w:pPr>
    </w:p>
    <w:p w:rsidR="00780926" w:rsidRPr="002900B5" w:rsidRDefault="00E71F64" w:rsidP="006C7E8A">
      <w:pPr>
        <w:ind w:left="0" w:firstLine="0"/>
        <w:outlineLvl w:val="0"/>
        <w:rPr>
          <w:szCs w:val="22"/>
        </w:rPr>
      </w:pPr>
      <w:r w:rsidRPr="002900B5">
        <w:rPr>
          <w:i/>
          <w:iCs/>
          <w:szCs w:val="22"/>
        </w:rPr>
        <w:t xml:space="preserve">Mechanizmus </w:t>
      </w:r>
      <w:r w:rsidR="001D057A" w:rsidRPr="002900B5">
        <w:rPr>
          <w:i/>
          <w:iCs/>
          <w:szCs w:val="22"/>
        </w:rPr>
        <w:t>účinku</w:t>
      </w:r>
    </w:p>
    <w:p w:rsidR="001D057A" w:rsidRPr="002900B5" w:rsidRDefault="001D057A" w:rsidP="006C7E8A">
      <w:pPr>
        <w:pStyle w:val="Default"/>
        <w:rPr>
          <w:sz w:val="22"/>
          <w:szCs w:val="22"/>
        </w:rPr>
      </w:pPr>
      <w:r w:rsidRPr="002900B5">
        <w:rPr>
          <w:sz w:val="22"/>
          <w:szCs w:val="22"/>
        </w:rPr>
        <w:t>Kyselina ibandrónová je vysoko účinný bisfosfonát patriaci k skupine bisfosfonátov obsahujúcich dusík, ktoré pôsobia selektívne na kostné tkanivo a špecificky inhibujú aktivitu osteoklastov bez priameho vplyvu na tvorbu kostí. Neinterferuje so zhlukovaním osteoklastov. Kyselina ibandrónová vedie k progresívnym čistým prírastkom kostnej hmoty a k zníženiu výskytu zlomenín v dôsledku redukcie zvýšeného kostného obratu u žien po menopauze smerom k úrovni pred menopauzou.</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i/>
          <w:iCs/>
          <w:sz w:val="22"/>
          <w:szCs w:val="22"/>
        </w:rPr>
        <w:t xml:space="preserve">Farmakodynamické účinky </w:t>
      </w:r>
    </w:p>
    <w:p w:rsidR="001D057A" w:rsidRPr="002900B5" w:rsidRDefault="001D057A" w:rsidP="006C7E8A">
      <w:pPr>
        <w:pStyle w:val="Default"/>
        <w:rPr>
          <w:sz w:val="22"/>
          <w:szCs w:val="22"/>
        </w:rPr>
      </w:pPr>
      <w:r w:rsidRPr="002900B5">
        <w:rPr>
          <w:sz w:val="22"/>
          <w:szCs w:val="22"/>
        </w:rPr>
        <w:lastRenderedPageBreak/>
        <w:t>Farmakodynamickým účinkom kyseliny ibandrónovej je inhibícia kostnej rezor</w:t>
      </w:r>
      <w:r w:rsidR="00643C12" w:rsidRPr="002900B5">
        <w:rPr>
          <w:sz w:val="22"/>
          <w:szCs w:val="22"/>
        </w:rPr>
        <w:t>p</w:t>
      </w:r>
      <w:r w:rsidRPr="002900B5">
        <w:rPr>
          <w:sz w:val="22"/>
          <w:szCs w:val="22"/>
        </w:rPr>
        <w:t xml:space="preserve">cie. Kyselina ibandrónová </w:t>
      </w:r>
      <w:r w:rsidRPr="002900B5">
        <w:rPr>
          <w:i/>
          <w:iCs/>
          <w:sz w:val="22"/>
          <w:szCs w:val="22"/>
        </w:rPr>
        <w:t xml:space="preserve">in vivo </w:t>
      </w:r>
      <w:r w:rsidRPr="002900B5">
        <w:rPr>
          <w:sz w:val="22"/>
          <w:szCs w:val="22"/>
        </w:rPr>
        <w:t>bráni experimentálne indukovanej deštrukcii kostí, spôsobenej prerušením funkcie gonád, vplyvom retinoidov, nádorov alebo nádorových extraktov. U mladých (rýchlo rastúcich) potkanov je tiež inhibovaná endogénna kostná rezor</w:t>
      </w:r>
      <w:r w:rsidR="00643C12" w:rsidRPr="002900B5">
        <w:rPr>
          <w:sz w:val="22"/>
          <w:szCs w:val="22"/>
        </w:rPr>
        <w:t>p</w:t>
      </w:r>
      <w:r w:rsidRPr="002900B5">
        <w:rPr>
          <w:sz w:val="22"/>
          <w:szCs w:val="22"/>
        </w:rPr>
        <w:t>cia, čo vedie k nárastu normálnej kostnej hmoty v porovnaní s</w:t>
      </w:r>
      <w:r w:rsidR="00A1726D" w:rsidRPr="002900B5">
        <w:rPr>
          <w:sz w:val="22"/>
          <w:szCs w:val="22"/>
        </w:rPr>
        <w:t xml:space="preserve"> neliečenými</w:t>
      </w:r>
      <w:r w:rsidRPr="002900B5">
        <w:rPr>
          <w:sz w:val="22"/>
          <w:szCs w:val="22"/>
        </w:rPr>
        <w:t xml:space="preserve"> zvieratami</w:t>
      </w:r>
      <w:r w:rsidR="00A1726D" w:rsidRPr="002900B5">
        <w:rPr>
          <w:sz w:val="22"/>
          <w:szCs w:val="22"/>
        </w:rPr>
        <w:t>.</w:t>
      </w:r>
      <w:r w:rsidRPr="002900B5">
        <w:rPr>
          <w:sz w:val="22"/>
          <w:szCs w:val="22"/>
        </w:rPr>
        <w:t xml:space="preserve"> </w:t>
      </w:r>
    </w:p>
    <w:p w:rsidR="001D057A" w:rsidRPr="002900B5" w:rsidRDefault="001D057A" w:rsidP="006C7E8A">
      <w:pPr>
        <w:pStyle w:val="Default"/>
        <w:rPr>
          <w:sz w:val="22"/>
          <w:szCs w:val="22"/>
        </w:rPr>
      </w:pPr>
    </w:p>
    <w:p w:rsidR="001D057A" w:rsidRPr="002900B5" w:rsidRDefault="00FA3F2B" w:rsidP="006C7E8A">
      <w:pPr>
        <w:pStyle w:val="Default"/>
        <w:rPr>
          <w:sz w:val="22"/>
          <w:szCs w:val="22"/>
        </w:rPr>
      </w:pPr>
      <w:r w:rsidRPr="002900B5">
        <w:rPr>
          <w:sz w:val="22"/>
          <w:szCs w:val="22"/>
        </w:rPr>
        <w:t>Zvieracie</w:t>
      </w:r>
      <w:r w:rsidR="001D057A" w:rsidRPr="002900B5">
        <w:rPr>
          <w:sz w:val="22"/>
          <w:szCs w:val="22"/>
        </w:rPr>
        <w:t xml:space="preserve"> modely potvrdzujú, že kyselina ibandrónová je vysoko účinný inhibítor aktivity osteoklastov. U rastúcich potkanov nebol žiadny náznak poruchy mineralizácie kostí, ani pri dávkach vyšších ako 5 000-násobok dávky potrebnej na liečbu osteoporózy. </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sz w:val="22"/>
          <w:szCs w:val="22"/>
        </w:rPr>
        <w:t>Každodenné aj intermitentné (s predĺženými intervalmi bez dávky) dlhodobé podávanie lieku u potkanov, psov a opíc bolo spojené s tvorbou novej kosti normálnej kvality, pričom sa udržala alebo zvýšila mechanická pevnosť kosti dokonca aj pri dávkach v toxickom rozsahu. U ľudí bola účinnosť každodennéh</w:t>
      </w:r>
      <w:r w:rsidR="009C6BC8" w:rsidRPr="002900B5">
        <w:rPr>
          <w:sz w:val="22"/>
          <w:szCs w:val="22"/>
        </w:rPr>
        <w:t xml:space="preserve">o aj intermitentného podávania </w:t>
      </w:r>
      <w:r w:rsidRPr="002900B5">
        <w:rPr>
          <w:sz w:val="22"/>
          <w:szCs w:val="22"/>
        </w:rPr>
        <w:t>s 9 až 10-</w:t>
      </w:r>
      <w:r w:rsidR="009C6BC8" w:rsidRPr="002900B5">
        <w:rPr>
          <w:sz w:val="22"/>
          <w:szCs w:val="22"/>
        </w:rPr>
        <w:t>týždňovými intervalmi bez dávky</w:t>
      </w:r>
      <w:r w:rsidRPr="002900B5">
        <w:rPr>
          <w:sz w:val="22"/>
          <w:szCs w:val="22"/>
        </w:rPr>
        <w:t xml:space="preserve"> kyseliny ibandrónovej potvrdená v klinickej štúdii (MF 4411), v ktorej sa preukázala účinnosť kyseliny ibandrónovej proti fraktúram. </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sz w:val="22"/>
          <w:szCs w:val="22"/>
        </w:rPr>
        <w:t>Na zvieracích modeloch kyselina ibandrónová spôsobila biochemické zmeny, ktoré poukazujú na inhibíciu kostnej rezor</w:t>
      </w:r>
      <w:r w:rsidR="00643C12" w:rsidRPr="002900B5">
        <w:rPr>
          <w:sz w:val="22"/>
          <w:szCs w:val="22"/>
        </w:rPr>
        <w:t>p</w:t>
      </w:r>
      <w:r w:rsidRPr="002900B5">
        <w:rPr>
          <w:sz w:val="22"/>
          <w:szCs w:val="22"/>
        </w:rPr>
        <w:t>cie v závislosti od dávky, vrátane supresie biochemických markerov degradácie kostného kolagénu (</w:t>
      </w:r>
      <w:r w:rsidR="009C6BC8" w:rsidRPr="002900B5">
        <w:rPr>
          <w:sz w:val="22"/>
          <w:szCs w:val="22"/>
        </w:rPr>
        <w:t xml:space="preserve">ako je </w:t>
      </w:r>
      <w:r w:rsidRPr="002900B5">
        <w:rPr>
          <w:sz w:val="22"/>
          <w:szCs w:val="22"/>
        </w:rPr>
        <w:t xml:space="preserve">deoxypyridinolínu a priečne viazaných N-telopeptidov kolagénneho typu I (NTX)) v moči. </w:t>
      </w:r>
    </w:p>
    <w:p w:rsidR="009C6BC8" w:rsidRPr="002900B5" w:rsidRDefault="009C6BC8" w:rsidP="006C7E8A">
      <w:pPr>
        <w:pStyle w:val="Default"/>
        <w:rPr>
          <w:sz w:val="22"/>
          <w:szCs w:val="22"/>
        </w:rPr>
      </w:pPr>
    </w:p>
    <w:p w:rsidR="001D057A" w:rsidRPr="002900B5" w:rsidRDefault="001D057A" w:rsidP="006C7E8A">
      <w:pPr>
        <w:pStyle w:val="Default"/>
        <w:rPr>
          <w:sz w:val="22"/>
          <w:szCs w:val="22"/>
        </w:rPr>
      </w:pPr>
      <w:r w:rsidRPr="002900B5">
        <w:rPr>
          <w:sz w:val="22"/>
          <w:szCs w:val="22"/>
        </w:rPr>
        <w:t>Každodenné aj intermitentné (s 9 až 10-týždňovými intervalmi bez dávky na štvrťrok) perorálne dávky ako aj intravenózne dávky kyseliny ibandrónovej</w:t>
      </w:r>
      <w:r w:rsidR="009F39AF" w:rsidRPr="002900B5">
        <w:rPr>
          <w:sz w:val="22"/>
          <w:szCs w:val="22"/>
        </w:rPr>
        <w:t xml:space="preserve"> </w:t>
      </w:r>
      <w:r w:rsidRPr="002900B5">
        <w:rPr>
          <w:sz w:val="22"/>
          <w:szCs w:val="22"/>
        </w:rPr>
        <w:t>u žien po menopauze spôsobili biochemické zmeny poukazujúce na inhibíciu kostnej rezor</w:t>
      </w:r>
      <w:r w:rsidR="00643C12" w:rsidRPr="002900B5">
        <w:rPr>
          <w:sz w:val="22"/>
          <w:szCs w:val="22"/>
        </w:rPr>
        <w:t>p</w:t>
      </w:r>
      <w:r w:rsidRPr="002900B5">
        <w:rPr>
          <w:sz w:val="22"/>
          <w:szCs w:val="22"/>
        </w:rPr>
        <w:t xml:space="preserve">cie v závislosti od dávky. </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sz w:val="22"/>
          <w:szCs w:val="22"/>
        </w:rPr>
        <w:t xml:space="preserve">Intravenózna injekcia </w:t>
      </w:r>
      <w:r w:rsidR="009C6BC8" w:rsidRPr="002900B5">
        <w:rPr>
          <w:sz w:val="22"/>
          <w:szCs w:val="22"/>
        </w:rPr>
        <w:t>kyseliny ibandrónovej</w:t>
      </w:r>
      <w:r w:rsidRPr="002900B5">
        <w:rPr>
          <w:sz w:val="22"/>
          <w:szCs w:val="22"/>
        </w:rPr>
        <w:t xml:space="preserve"> znížila hladiny sérového C-telopeptidu alfa reťazca kolagénu I. typu (CTX) v priebehu 3 - 7 dní od začiatku liečby a znížila hladiny osteokalcínu v priebehu 3 mesiacov. </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sz w:val="22"/>
          <w:szCs w:val="22"/>
        </w:rPr>
        <w:t>Po skončení liečby dochádza k návratu k patologickým ukazovateľom zvýšenej kostnej rezor</w:t>
      </w:r>
      <w:r w:rsidR="00643C12" w:rsidRPr="002900B5">
        <w:rPr>
          <w:sz w:val="22"/>
          <w:szCs w:val="22"/>
        </w:rPr>
        <w:t>p</w:t>
      </w:r>
      <w:r w:rsidRPr="002900B5">
        <w:rPr>
          <w:sz w:val="22"/>
          <w:szCs w:val="22"/>
        </w:rPr>
        <w:t xml:space="preserve">cie, ktoré sa vyskytovali pred liečbou v súvislosti s postmenopauzálnou osteoporózou. </w:t>
      </w:r>
    </w:p>
    <w:p w:rsidR="001D057A" w:rsidRPr="002900B5" w:rsidRDefault="001D057A" w:rsidP="006C7E8A">
      <w:pPr>
        <w:pStyle w:val="Default"/>
        <w:rPr>
          <w:sz w:val="22"/>
          <w:szCs w:val="22"/>
        </w:rPr>
      </w:pPr>
    </w:p>
    <w:p w:rsidR="00B74FFE" w:rsidRPr="002900B5" w:rsidRDefault="005C5F40" w:rsidP="006C7E8A">
      <w:pPr>
        <w:ind w:left="0" w:firstLine="0"/>
        <w:outlineLvl w:val="0"/>
        <w:rPr>
          <w:szCs w:val="22"/>
        </w:rPr>
      </w:pPr>
      <w:r w:rsidRPr="002900B5">
        <w:rPr>
          <w:szCs w:val="22"/>
        </w:rPr>
        <w:t>Histologické vyšetrenie biopsií kost</w:t>
      </w:r>
      <w:r w:rsidR="004F53B9" w:rsidRPr="002900B5">
        <w:rPr>
          <w:szCs w:val="22"/>
        </w:rPr>
        <w:t>í</w:t>
      </w:r>
      <w:r w:rsidRPr="002900B5">
        <w:rPr>
          <w:szCs w:val="22"/>
        </w:rPr>
        <w:t xml:space="preserve"> u žien po menopauze po dvoch a troch rokoch liečby perorálnymi dávkami</w:t>
      </w:r>
      <w:r w:rsidR="001D057A" w:rsidRPr="002900B5">
        <w:rPr>
          <w:szCs w:val="22"/>
        </w:rPr>
        <w:t xml:space="preserve"> kyseliny ibandónovej 2,5 mg denne a intermitentnými intravenóznymi dávkami až do 1 mg každé tri mesiace dokázalo normálnu kvalitu kostí, bez náznaku poruchy mineralizácie kostí. Očakávané zníženie kostného obratu, kosti normálnej kvality a neprítomnosť poruchy minerálov sa pozorovali aj po dvoch rokoch liečby </w:t>
      </w:r>
      <w:r w:rsidR="00394F3D" w:rsidRPr="002900B5">
        <w:rPr>
          <w:szCs w:val="22"/>
        </w:rPr>
        <w:t xml:space="preserve">injekčne podávanou kyselinou ibandrónovou </w:t>
      </w:r>
      <w:r w:rsidR="009C6BC8" w:rsidRPr="002900B5">
        <w:rPr>
          <w:szCs w:val="22"/>
        </w:rPr>
        <w:t>3 mg</w:t>
      </w:r>
      <w:r w:rsidR="001D057A" w:rsidRPr="002900B5">
        <w:rPr>
          <w:szCs w:val="22"/>
        </w:rPr>
        <w:t>.</w:t>
      </w:r>
    </w:p>
    <w:p w:rsidR="00B74FFE" w:rsidRPr="002900B5" w:rsidRDefault="00B74FFE" w:rsidP="006C7E8A">
      <w:pPr>
        <w:ind w:left="0" w:firstLine="0"/>
        <w:outlineLvl w:val="0"/>
        <w:rPr>
          <w:szCs w:val="22"/>
        </w:rPr>
      </w:pPr>
    </w:p>
    <w:p w:rsidR="001D057A" w:rsidRPr="002900B5" w:rsidRDefault="001D057A" w:rsidP="006C7E8A">
      <w:pPr>
        <w:pStyle w:val="Default"/>
        <w:rPr>
          <w:sz w:val="22"/>
          <w:szCs w:val="22"/>
        </w:rPr>
      </w:pPr>
      <w:r w:rsidRPr="002900B5">
        <w:rPr>
          <w:i/>
          <w:iCs/>
          <w:sz w:val="22"/>
          <w:szCs w:val="22"/>
        </w:rPr>
        <w:t xml:space="preserve">Klinická účinnosť </w:t>
      </w:r>
    </w:p>
    <w:p w:rsidR="001D057A" w:rsidRPr="002900B5" w:rsidRDefault="001D057A" w:rsidP="006C7E8A">
      <w:pPr>
        <w:pStyle w:val="Default"/>
        <w:rPr>
          <w:sz w:val="22"/>
          <w:szCs w:val="22"/>
        </w:rPr>
      </w:pPr>
      <w:r w:rsidRPr="002900B5">
        <w:rPr>
          <w:sz w:val="22"/>
          <w:szCs w:val="22"/>
        </w:rPr>
        <w:t xml:space="preserve">Nezávislé rizikové faktory, napríklad nízka BMD, vek, prítomnosť prekonaných fraktúr, fraktúry v rodinnej anamnéze, značný úbytok kostnej hmoty a nízky index telesnej hmotnosti sa majú brať do úvahy, aby sa zistilo, či má žena zvýšené riziko osteoporotických fraktúr. </w:t>
      </w:r>
    </w:p>
    <w:p w:rsidR="001D057A" w:rsidRPr="002900B5" w:rsidRDefault="001D057A" w:rsidP="006C7E8A">
      <w:pPr>
        <w:pStyle w:val="Default"/>
        <w:rPr>
          <w:sz w:val="22"/>
          <w:szCs w:val="22"/>
        </w:rPr>
      </w:pPr>
    </w:p>
    <w:p w:rsidR="001D057A" w:rsidRPr="002900B5" w:rsidRDefault="006B6EA8" w:rsidP="006C7E8A">
      <w:pPr>
        <w:pStyle w:val="Default"/>
        <w:rPr>
          <w:sz w:val="22"/>
          <w:szCs w:val="22"/>
          <w:u w:val="single"/>
        </w:rPr>
      </w:pPr>
      <w:r w:rsidRPr="002900B5">
        <w:rPr>
          <w:sz w:val="22"/>
          <w:szCs w:val="22"/>
          <w:u w:val="single"/>
        </w:rPr>
        <w:t>Kyselina</w:t>
      </w:r>
      <w:r w:rsidR="009C6BC8" w:rsidRPr="002900B5">
        <w:rPr>
          <w:sz w:val="22"/>
          <w:szCs w:val="22"/>
          <w:u w:val="single"/>
        </w:rPr>
        <w:t xml:space="preserve"> </w:t>
      </w:r>
      <w:r w:rsidRPr="002900B5">
        <w:rPr>
          <w:sz w:val="22"/>
          <w:szCs w:val="22"/>
          <w:u w:val="single"/>
        </w:rPr>
        <w:t xml:space="preserve">ibandrónová vo forme </w:t>
      </w:r>
      <w:r w:rsidR="009C6BC8" w:rsidRPr="002900B5">
        <w:rPr>
          <w:sz w:val="22"/>
          <w:szCs w:val="22"/>
          <w:u w:val="single"/>
        </w:rPr>
        <w:t xml:space="preserve">3 mg </w:t>
      </w:r>
      <w:r w:rsidRPr="002900B5">
        <w:rPr>
          <w:sz w:val="22"/>
          <w:szCs w:val="22"/>
          <w:u w:val="single"/>
        </w:rPr>
        <w:t xml:space="preserve">injekcie podávanej </w:t>
      </w:r>
      <w:r w:rsidR="001D057A" w:rsidRPr="002900B5">
        <w:rPr>
          <w:sz w:val="22"/>
          <w:szCs w:val="22"/>
          <w:u w:val="single"/>
        </w:rPr>
        <w:t xml:space="preserve">každé 3 mesiace </w:t>
      </w:r>
    </w:p>
    <w:p w:rsidR="001D057A" w:rsidRPr="002900B5" w:rsidRDefault="001D057A" w:rsidP="006C7E8A">
      <w:pPr>
        <w:pStyle w:val="Default"/>
        <w:rPr>
          <w:sz w:val="22"/>
          <w:szCs w:val="22"/>
        </w:rPr>
      </w:pPr>
    </w:p>
    <w:p w:rsidR="001D057A" w:rsidRPr="002900B5" w:rsidRDefault="004F53B9" w:rsidP="006C7E8A">
      <w:pPr>
        <w:pStyle w:val="Default"/>
        <w:rPr>
          <w:i/>
          <w:iCs/>
          <w:sz w:val="22"/>
          <w:szCs w:val="22"/>
        </w:rPr>
      </w:pPr>
      <w:r w:rsidRPr="002900B5">
        <w:rPr>
          <w:i/>
          <w:sz w:val="22"/>
          <w:szCs w:val="22"/>
          <w:lang w:eastAsia="pt-PT"/>
        </w:rPr>
        <w:t>Minerálna denzita kostí</w:t>
      </w:r>
      <w:r w:rsidRPr="002900B5">
        <w:rPr>
          <w:i/>
          <w:iCs/>
          <w:sz w:val="22"/>
          <w:szCs w:val="22"/>
        </w:rPr>
        <w:t xml:space="preserve"> </w:t>
      </w:r>
      <w:r w:rsidR="001D057A" w:rsidRPr="002900B5">
        <w:rPr>
          <w:i/>
          <w:iCs/>
          <w:sz w:val="22"/>
          <w:szCs w:val="22"/>
        </w:rPr>
        <w:t>(BMD)</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sz w:val="22"/>
          <w:szCs w:val="22"/>
        </w:rPr>
        <w:t xml:space="preserve">V dvojročnej, randomizovanej, dvojito zaslepenej, multicentrickej štúdii (BM 16550) so zameraním na dôkaz rovnocennej účinnosti u žien (1386 žien vo veku 55-80 rokov) s osteoporózou (východiskové T-skóre BMD driekovej chrbtice nižšie ako -2,5SD) po menopauze sa dokázalo, že </w:t>
      </w:r>
      <w:r w:rsidR="009C6BC8" w:rsidRPr="002900B5">
        <w:rPr>
          <w:sz w:val="22"/>
          <w:szCs w:val="22"/>
        </w:rPr>
        <w:t>kyselina ibandrónová</w:t>
      </w:r>
      <w:r w:rsidRPr="002900B5">
        <w:rPr>
          <w:sz w:val="22"/>
          <w:szCs w:val="22"/>
        </w:rPr>
        <w:t xml:space="preserve"> 3 mg intravenózna injekcia podávaná každé 3 mesiace je najmenej rovnako účinná ako perorálna kyselina ibandrónová 2,5 mg denne. Bolo to dokázané v primárnej analýze jednoročných výsledkov, aj v konfirmačnej analýze dvojročných konečných výsledkov (tabuľka 2). </w:t>
      </w:r>
    </w:p>
    <w:p w:rsidR="001D057A" w:rsidRPr="002900B5" w:rsidRDefault="001D057A" w:rsidP="006C7E8A">
      <w:pPr>
        <w:pStyle w:val="Default"/>
        <w:rPr>
          <w:sz w:val="22"/>
          <w:szCs w:val="22"/>
        </w:rPr>
      </w:pPr>
    </w:p>
    <w:p w:rsidR="001D057A" w:rsidRPr="002900B5" w:rsidRDefault="001D057A" w:rsidP="006C7E8A">
      <w:pPr>
        <w:pStyle w:val="Default"/>
        <w:rPr>
          <w:sz w:val="22"/>
          <w:szCs w:val="22"/>
        </w:rPr>
      </w:pPr>
      <w:r w:rsidRPr="002900B5">
        <w:rPr>
          <w:sz w:val="22"/>
          <w:szCs w:val="22"/>
        </w:rPr>
        <w:t xml:space="preserve">Primárna analýza údajov zo štúdie BM 16550 po jednom roku a potvrdzujúca analýza po 2 rokoch nepreukázali nižšiu účinnosť dávkovacej schémy s 3 mg injekciou každé 3 mesiace v porovnaní s </w:t>
      </w:r>
      <w:r w:rsidRPr="002900B5">
        <w:rPr>
          <w:sz w:val="22"/>
          <w:szCs w:val="22"/>
        </w:rPr>
        <w:lastRenderedPageBreak/>
        <w:t xml:space="preserve">dávkovacou schémou s 2,5 mg dennou perorálnou dávkou, pokiaľ ide o priemerné zvýšenia BMD driekovej chrbtice, bedrovej oblasti, femorálneho krčka a trochantera (tabuľka 2). </w:t>
      </w:r>
    </w:p>
    <w:p w:rsidR="001D057A" w:rsidRPr="002900B5" w:rsidRDefault="001D057A" w:rsidP="006C7E8A">
      <w:pPr>
        <w:pStyle w:val="Default"/>
        <w:rPr>
          <w:sz w:val="22"/>
          <w:szCs w:val="22"/>
        </w:rPr>
      </w:pPr>
    </w:p>
    <w:p w:rsidR="00B74FFE" w:rsidRPr="002900B5" w:rsidRDefault="001D057A" w:rsidP="006C7E8A">
      <w:pPr>
        <w:ind w:left="0" w:firstLine="0"/>
        <w:outlineLvl w:val="0"/>
        <w:rPr>
          <w:szCs w:val="22"/>
        </w:rPr>
      </w:pPr>
      <w:r w:rsidRPr="002900B5">
        <w:rPr>
          <w:szCs w:val="22"/>
        </w:rPr>
        <w:t xml:space="preserve">Tabuľka 2: Priemerná relatívna zmena od východiskovej hodnoty BMD driekovej chrbtice, </w:t>
      </w:r>
      <w:r w:rsidR="00FE7004" w:rsidRPr="002900B5">
        <w:rPr>
          <w:szCs w:val="22"/>
        </w:rPr>
        <w:t xml:space="preserve">celej </w:t>
      </w:r>
      <w:r w:rsidRPr="002900B5">
        <w:rPr>
          <w:szCs w:val="22"/>
        </w:rPr>
        <w:t>bedrovej oblasti, femorálneho krčka a trochantera po jednoročnej liečbe (primárna analýza) a dvojročnej liečbe (populácia podľa protokolu) v štúdii BM 16550.</w:t>
      </w:r>
    </w:p>
    <w:p w:rsidR="003E58E4" w:rsidRPr="002900B5" w:rsidRDefault="003E58E4" w:rsidP="006C7E8A">
      <w:pPr>
        <w:autoSpaceDE w:val="0"/>
        <w:autoSpaceDN w:val="0"/>
        <w:adjustRightInd w:val="0"/>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808"/>
        <w:gridCol w:w="1808"/>
        <w:gridCol w:w="1808"/>
        <w:gridCol w:w="1809"/>
      </w:tblGrid>
      <w:tr w:rsidR="003E58E4" w:rsidRPr="002900B5" w:rsidTr="00372327">
        <w:tc>
          <w:tcPr>
            <w:tcW w:w="1842" w:type="dxa"/>
            <w:shd w:val="clear" w:color="auto" w:fill="auto"/>
          </w:tcPr>
          <w:p w:rsidR="003E58E4" w:rsidRPr="002900B5" w:rsidRDefault="003E58E4" w:rsidP="00372327">
            <w:pPr>
              <w:autoSpaceDE w:val="0"/>
              <w:autoSpaceDN w:val="0"/>
              <w:adjustRightInd w:val="0"/>
              <w:ind w:left="0" w:firstLine="0"/>
              <w:rPr>
                <w:szCs w:val="22"/>
              </w:rPr>
            </w:pPr>
          </w:p>
        </w:tc>
        <w:tc>
          <w:tcPr>
            <w:tcW w:w="3684" w:type="dxa"/>
            <w:gridSpan w:val="2"/>
            <w:shd w:val="clear" w:color="auto" w:fill="auto"/>
          </w:tcPr>
          <w:p w:rsidR="003E58E4" w:rsidRPr="002900B5" w:rsidRDefault="003E58E4" w:rsidP="00372327">
            <w:pPr>
              <w:autoSpaceDE w:val="0"/>
              <w:autoSpaceDN w:val="0"/>
              <w:adjustRightInd w:val="0"/>
              <w:ind w:left="0" w:firstLine="0"/>
              <w:rPr>
                <w:szCs w:val="22"/>
              </w:rPr>
            </w:pPr>
            <w:r w:rsidRPr="002900B5">
              <w:rPr>
                <w:szCs w:val="22"/>
              </w:rPr>
              <w:t>Jednoročné údaje zo štúdie BM 165</w:t>
            </w:r>
            <w:r w:rsidR="001D057A" w:rsidRPr="002900B5">
              <w:rPr>
                <w:szCs w:val="22"/>
              </w:rPr>
              <w:t>50</w:t>
            </w:r>
          </w:p>
        </w:tc>
        <w:tc>
          <w:tcPr>
            <w:tcW w:w="3685" w:type="dxa"/>
            <w:gridSpan w:val="2"/>
            <w:shd w:val="clear" w:color="auto" w:fill="auto"/>
          </w:tcPr>
          <w:p w:rsidR="003E58E4" w:rsidRPr="002900B5" w:rsidRDefault="003E58E4" w:rsidP="00372327">
            <w:pPr>
              <w:autoSpaceDE w:val="0"/>
              <w:autoSpaceDN w:val="0"/>
              <w:adjustRightInd w:val="0"/>
              <w:ind w:left="0" w:firstLine="0"/>
              <w:rPr>
                <w:szCs w:val="22"/>
              </w:rPr>
            </w:pPr>
            <w:r w:rsidRPr="002900B5">
              <w:rPr>
                <w:szCs w:val="22"/>
              </w:rPr>
              <w:t xml:space="preserve">Dvojročné údaje zo štúdie BM </w:t>
            </w:r>
            <w:r w:rsidR="001D057A" w:rsidRPr="002900B5">
              <w:rPr>
                <w:szCs w:val="22"/>
              </w:rPr>
              <w:t>16550</w:t>
            </w:r>
          </w:p>
        </w:tc>
      </w:tr>
      <w:tr w:rsidR="003E58E4" w:rsidRPr="002900B5" w:rsidTr="00372327">
        <w:tc>
          <w:tcPr>
            <w:tcW w:w="1842" w:type="dxa"/>
            <w:shd w:val="clear" w:color="auto" w:fill="auto"/>
          </w:tcPr>
          <w:p w:rsidR="003E58E4" w:rsidRPr="002900B5" w:rsidRDefault="003E58E4" w:rsidP="00372327">
            <w:pPr>
              <w:pStyle w:val="Default"/>
              <w:ind w:left="567" w:hanging="567"/>
              <w:rPr>
                <w:sz w:val="22"/>
                <w:szCs w:val="22"/>
              </w:rPr>
            </w:pPr>
            <w:r w:rsidRPr="002900B5">
              <w:rPr>
                <w:sz w:val="22"/>
                <w:szCs w:val="22"/>
              </w:rPr>
              <w:t>Priemerné</w:t>
            </w:r>
          </w:p>
          <w:p w:rsidR="003E58E4" w:rsidRPr="002900B5" w:rsidRDefault="003E58E4" w:rsidP="00372327">
            <w:pPr>
              <w:pStyle w:val="Default"/>
              <w:ind w:left="567" w:hanging="567"/>
              <w:rPr>
                <w:sz w:val="22"/>
                <w:szCs w:val="22"/>
              </w:rPr>
            </w:pPr>
            <w:r w:rsidRPr="002900B5">
              <w:rPr>
                <w:sz w:val="22"/>
                <w:szCs w:val="22"/>
              </w:rPr>
              <w:t>relatívne zmeny</w:t>
            </w:r>
          </w:p>
          <w:p w:rsidR="009C6BC8" w:rsidRPr="002900B5" w:rsidRDefault="003E58E4" w:rsidP="00372327">
            <w:pPr>
              <w:pStyle w:val="Default"/>
              <w:ind w:left="567" w:hanging="567"/>
              <w:rPr>
                <w:sz w:val="22"/>
                <w:szCs w:val="22"/>
              </w:rPr>
            </w:pPr>
            <w:r w:rsidRPr="002900B5">
              <w:rPr>
                <w:sz w:val="22"/>
                <w:szCs w:val="22"/>
              </w:rPr>
              <w:t xml:space="preserve">oproti </w:t>
            </w:r>
          </w:p>
          <w:p w:rsidR="003E58E4" w:rsidRPr="002900B5" w:rsidRDefault="003E58E4" w:rsidP="006C7E8A">
            <w:pPr>
              <w:pStyle w:val="Default"/>
              <w:rPr>
                <w:sz w:val="22"/>
                <w:szCs w:val="22"/>
              </w:rPr>
            </w:pPr>
            <w:r w:rsidRPr="002900B5">
              <w:rPr>
                <w:sz w:val="22"/>
                <w:szCs w:val="22"/>
              </w:rPr>
              <w:t xml:space="preserve">východiskovej hodnote </w:t>
            </w:r>
          </w:p>
          <w:p w:rsidR="003E58E4" w:rsidRPr="002900B5" w:rsidRDefault="003E58E4" w:rsidP="00372327">
            <w:pPr>
              <w:autoSpaceDE w:val="0"/>
              <w:autoSpaceDN w:val="0"/>
              <w:adjustRightInd w:val="0"/>
              <w:ind w:left="0" w:firstLine="0"/>
              <w:rPr>
                <w:szCs w:val="22"/>
              </w:rPr>
            </w:pPr>
            <w:r w:rsidRPr="002900B5">
              <w:rPr>
                <w:szCs w:val="22"/>
              </w:rPr>
              <w:t>% [95 % IS]</w:t>
            </w:r>
          </w:p>
        </w:tc>
        <w:tc>
          <w:tcPr>
            <w:tcW w:w="1842" w:type="dxa"/>
            <w:shd w:val="clear" w:color="auto" w:fill="auto"/>
          </w:tcPr>
          <w:p w:rsidR="00D010B9" w:rsidRPr="002900B5" w:rsidRDefault="00D010B9" w:rsidP="00372327">
            <w:pPr>
              <w:pStyle w:val="Default"/>
              <w:ind w:left="567" w:hanging="567"/>
              <w:rPr>
                <w:sz w:val="22"/>
                <w:szCs w:val="22"/>
              </w:rPr>
            </w:pPr>
            <w:r w:rsidRPr="002900B5">
              <w:rPr>
                <w:sz w:val="22"/>
                <w:szCs w:val="22"/>
              </w:rPr>
              <w:t>kyselina</w:t>
            </w:r>
          </w:p>
          <w:p w:rsidR="00D010B9" w:rsidRPr="002900B5" w:rsidRDefault="003E58E4" w:rsidP="00372327">
            <w:pPr>
              <w:pStyle w:val="Default"/>
              <w:ind w:left="567" w:hanging="567"/>
              <w:rPr>
                <w:sz w:val="22"/>
                <w:szCs w:val="22"/>
              </w:rPr>
            </w:pPr>
            <w:r w:rsidRPr="002900B5">
              <w:rPr>
                <w:sz w:val="22"/>
                <w:szCs w:val="22"/>
              </w:rPr>
              <w:t>ibandrónová 2,5</w:t>
            </w:r>
          </w:p>
          <w:p w:rsidR="00D010B9" w:rsidRPr="002900B5" w:rsidRDefault="003E58E4" w:rsidP="00372327">
            <w:pPr>
              <w:pStyle w:val="Default"/>
              <w:ind w:left="567" w:hanging="567"/>
              <w:rPr>
                <w:sz w:val="22"/>
                <w:szCs w:val="22"/>
              </w:rPr>
            </w:pPr>
            <w:r w:rsidRPr="002900B5">
              <w:rPr>
                <w:sz w:val="22"/>
                <w:szCs w:val="22"/>
              </w:rPr>
              <w:t xml:space="preserve">mg raz denne </w:t>
            </w:r>
          </w:p>
          <w:p w:rsidR="003E58E4" w:rsidRPr="002900B5" w:rsidRDefault="003E58E4" w:rsidP="00372327">
            <w:pPr>
              <w:pStyle w:val="Default"/>
              <w:ind w:left="567" w:hanging="567"/>
              <w:rPr>
                <w:sz w:val="22"/>
                <w:szCs w:val="22"/>
              </w:rPr>
            </w:pPr>
            <w:r w:rsidRPr="002900B5">
              <w:rPr>
                <w:sz w:val="22"/>
                <w:szCs w:val="22"/>
              </w:rPr>
              <w:t>(N=3</w:t>
            </w:r>
            <w:r w:rsidR="001D057A" w:rsidRPr="002900B5">
              <w:rPr>
                <w:sz w:val="22"/>
                <w:szCs w:val="22"/>
              </w:rPr>
              <w:t>77</w:t>
            </w:r>
            <w:r w:rsidRPr="002900B5">
              <w:rPr>
                <w:sz w:val="22"/>
                <w:szCs w:val="22"/>
              </w:rPr>
              <w:t xml:space="preserve">) </w:t>
            </w:r>
          </w:p>
          <w:p w:rsidR="003E58E4" w:rsidRPr="002900B5" w:rsidRDefault="003E58E4" w:rsidP="00372327">
            <w:pPr>
              <w:autoSpaceDE w:val="0"/>
              <w:autoSpaceDN w:val="0"/>
              <w:adjustRightInd w:val="0"/>
              <w:ind w:left="0" w:firstLine="0"/>
              <w:rPr>
                <w:szCs w:val="22"/>
              </w:rPr>
            </w:pPr>
          </w:p>
        </w:tc>
        <w:tc>
          <w:tcPr>
            <w:tcW w:w="1842" w:type="dxa"/>
            <w:shd w:val="clear" w:color="auto" w:fill="auto"/>
          </w:tcPr>
          <w:p w:rsidR="001D057A" w:rsidRPr="002900B5" w:rsidRDefault="001D057A" w:rsidP="00620E21">
            <w:pPr>
              <w:pStyle w:val="Default"/>
              <w:jc w:val="both"/>
              <w:rPr>
                <w:sz w:val="22"/>
                <w:szCs w:val="22"/>
              </w:rPr>
            </w:pPr>
            <w:r w:rsidRPr="002900B5">
              <w:rPr>
                <w:sz w:val="22"/>
                <w:szCs w:val="22"/>
              </w:rPr>
              <w:t>kyselina</w:t>
            </w:r>
          </w:p>
          <w:p w:rsidR="001D057A" w:rsidRPr="002900B5" w:rsidRDefault="001D057A" w:rsidP="00620E21">
            <w:pPr>
              <w:pStyle w:val="Default"/>
              <w:jc w:val="both"/>
              <w:rPr>
                <w:sz w:val="22"/>
                <w:szCs w:val="22"/>
              </w:rPr>
            </w:pPr>
            <w:r w:rsidRPr="002900B5">
              <w:rPr>
                <w:sz w:val="22"/>
                <w:szCs w:val="22"/>
              </w:rPr>
              <w:t>ibandrónová</w:t>
            </w:r>
            <w:r w:rsidR="00D010B9" w:rsidRPr="002900B5">
              <w:rPr>
                <w:sz w:val="22"/>
                <w:szCs w:val="22"/>
              </w:rPr>
              <w:t xml:space="preserve"> </w:t>
            </w:r>
            <w:r w:rsidR="00764431" w:rsidRPr="002900B5">
              <w:rPr>
                <w:sz w:val="22"/>
                <w:szCs w:val="22"/>
              </w:rPr>
              <w:t>3</w:t>
            </w:r>
          </w:p>
          <w:p w:rsidR="00D010B9" w:rsidRPr="002900B5" w:rsidRDefault="00D010B9" w:rsidP="00620E21">
            <w:pPr>
              <w:pStyle w:val="Default"/>
              <w:jc w:val="both"/>
              <w:rPr>
                <w:sz w:val="22"/>
                <w:szCs w:val="22"/>
              </w:rPr>
            </w:pPr>
            <w:r w:rsidRPr="002900B5">
              <w:rPr>
                <w:sz w:val="22"/>
                <w:szCs w:val="22"/>
              </w:rPr>
              <w:t>mg</w:t>
            </w:r>
            <w:r w:rsidR="00446F26" w:rsidRPr="002900B5">
              <w:rPr>
                <w:sz w:val="22"/>
                <w:szCs w:val="22"/>
              </w:rPr>
              <w:t xml:space="preserve"> </w:t>
            </w:r>
            <w:r w:rsidR="00764431" w:rsidRPr="002900B5">
              <w:rPr>
                <w:sz w:val="22"/>
                <w:szCs w:val="22"/>
              </w:rPr>
              <w:t>injekcia každé tri mesiace</w:t>
            </w:r>
          </w:p>
          <w:p w:rsidR="00D010B9" w:rsidRPr="002900B5" w:rsidRDefault="001D057A" w:rsidP="00620E21">
            <w:pPr>
              <w:pStyle w:val="Default"/>
              <w:jc w:val="both"/>
              <w:rPr>
                <w:sz w:val="22"/>
                <w:szCs w:val="22"/>
              </w:rPr>
            </w:pPr>
            <w:r w:rsidRPr="002900B5">
              <w:rPr>
                <w:sz w:val="22"/>
                <w:szCs w:val="22"/>
              </w:rPr>
              <w:t>(N=365</w:t>
            </w:r>
            <w:r w:rsidR="00D010B9" w:rsidRPr="002900B5">
              <w:rPr>
                <w:sz w:val="22"/>
                <w:szCs w:val="22"/>
              </w:rPr>
              <w:t xml:space="preserve">) </w:t>
            </w:r>
          </w:p>
          <w:p w:rsidR="003E58E4" w:rsidRPr="002900B5" w:rsidRDefault="003E58E4" w:rsidP="00372327">
            <w:pPr>
              <w:autoSpaceDE w:val="0"/>
              <w:autoSpaceDN w:val="0"/>
              <w:adjustRightInd w:val="0"/>
              <w:ind w:left="0" w:firstLine="0"/>
              <w:rPr>
                <w:szCs w:val="22"/>
              </w:rPr>
            </w:pPr>
          </w:p>
        </w:tc>
        <w:tc>
          <w:tcPr>
            <w:tcW w:w="1842" w:type="dxa"/>
            <w:shd w:val="clear" w:color="auto" w:fill="auto"/>
          </w:tcPr>
          <w:p w:rsidR="00D010B9" w:rsidRPr="002900B5" w:rsidRDefault="00D010B9" w:rsidP="00372327">
            <w:pPr>
              <w:pStyle w:val="Default"/>
              <w:ind w:left="567" w:hanging="567"/>
              <w:rPr>
                <w:sz w:val="22"/>
                <w:szCs w:val="22"/>
              </w:rPr>
            </w:pPr>
            <w:r w:rsidRPr="002900B5">
              <w:rPr>
                <w:sz w:val="22"/>
                <w:szCs w:val="22"/>
              </w:rPr>
              <w:t>kyselina</w:t>
            </w:r>
          </w:p>
          <w:p w:rsidR="00D010B9" w:rsidRPr="002900B5" w:rsidRDefault="00D010B9" w:rsidP="00372327">
            <w:pPr>
              <w:pStyle w:val="Default"/>
              <w:ind w:left="567" w:hanging="567"/>
              <w:rPr>
                <w:sz w:val="22"/>
                <w:szCs w:val="22"/>
              </w:rPr>
            </w:pPr>
            <w:r w:rsidRPr="002900B5">
              <w:rPr>
                <w:sz w:val="22"/>
                <w:szCs w:val="22"/>
              </w:rPr>
              <w:t>ibandrónová 2,5</w:t>
            </w:r>
          </w:p>
          <w:p w:rsidR="00D010B9" w:rsidRPr="002900B5" w:rsidRDefault="00D010B9" w:rsidP="00372327">
            <w:pPr>
              <w:pStyle w:val="Default"/>
              <w:ind w:left="567" w:hanging="567"/>
              <w:rPr>
                <w:sz w:val="22"/>
                <w:szCs w:val="22"/>
              </w:rPr>
            </w:pPr>
            <w:r w:rsidRPr="002900B5">
              <w:rPr>
                <w:sz w:val="22"/>
                <w:szCs w:val="22"/>
              </w:rPr>
              <w:t>mg raz denne</w:t>
            </w:r>
          </w:p>
          <w:p w:rsidR="00D010B9" w:rsidRPr="002900B5" w:rsidRDefault="001D057A" w:rsidP="00372327">
            <w:pPr>
              <w:pStyle w:val="Default"/>
              <w:ind w:left="567" w:hanging="567"/>
              <w:rPr>
                <w:sz w:val="22"/>
                <w:szCs w:val="22"/>
              </w:rPr>
            </w:pPr>
            <w:r w:rsidRPr="002900B5">
              <w:rPr>
                <w:sz w:val="22"/>
                <w:szCs w:val="22"/>
              </w:rPr>
              <w:t>(N=334</w:t>
            </w:r>
            <w:r w:rsidR="00D010B9" w:rsidRPr="002900B5">
              <w:rPr>
                <w:sz w:val="22"/>
                <w:szCs w:val="22"/>
              </w:rPr>
              <w:t xml:space="preserve">) </w:t>
            </w:r>
          </w:p>
          <w:p w:rsidR="003E58E4" w:rsidRPr="002900B5" w:rsidRDefault="003E58E4" w:rsidP="00372327">
            <w:pPr>
              <w:autoSpaceDE w:val="0"/>
              <w:autoSpaceDN w:val="0"/>
              <w:adjustRightInd w:val="0"/>
              <w:ind w:left="0" w:firstLine="0"/>
              <w:rPr>
                <w:szCs w:val="22"/>
              </w:rPr>
            </w:pPr>
          </w:p>
        </w:tc>
        <w:tc>
          <w:tcPr>
            <w:tcW w:w="1843" w:type="dxa"/>
            <w:shd w:val="clear" w:color="auto" w:fill="auto"/>
          </w:tcPr>
          <w:p w:rsidR="001D057A" w:rsidRPr="002900B5" w:rsidRDefault="001D057A" w:rsidP="00372327">
            <w:pPr>
              <w:pStyle w:val="Default"/>
              <w:ind w:left="567" w:hanging="567"/>
              <w:rPr>
                <w:sz w:val="22"/>
                <w:szCs w:val="22"/>
              </w:rPr>
            </w:pPr>
            <w:r w:rsidRPr="002900B5">
              <w:rPr>
                <w:sz w:val="22"/>
                <w:szCs w:val="22"/>
              </w:rPr>
              <w:t>kyselina</w:t>
            </w:r>
          </w:p>
          <w:p w:rsidR="001D057A" w:rsidRPr="002900B5" w:rsidRDefault="001D057A" w:rsidP="00372327">
            <w:pPr>
              <w:pStyle w:val="Default"/>
              <w:ind w:left="567" w:hanging="567"/>
              <w:rPr>
                <w:sz w:val="22"/>
                <w:szCs w:val="22"/>
              </w:rPr>
            </w:pPr>
            <w:r w:rsidRPr="002900B5">
              <w:rPr>
                <w:sz w:val="22"/>
                <w:szCs w:val="22"/>
              </w:rPr>
              <w:t>ibandrónová</w:t>
            </w:r>
            <w:r w:rsidR="00D010B9" w:rsidRPr="002900B5">
              <w:rPr>
                <w:sz w:val="22"/>
                <w:szCs w:val="22"/>
              </w:rPr>
              <w:t xml:space="preserve"> </w:t>
            </w:r>
          </w:p>
          <w:p w:rsidR="00446F26" w:rsidRPr="002900B5" w:rsidRDefault="00764431" w:rsidP="00372327">
            <w:pPr>
              <w:pStyle w:val="Default"/>
              <w:ind w:left="12" w:hanging="12"/>
              <w:rPr>
                <w:sz w:val="22"/>
                <w:szCs w:val="22"/>
              </w:rPr>
            </w:pPr>
            <w:r w:rsidRPr="002900B5">
              <w:rPr>
                <w:sz w:val="22"/>
                <w:szCs w:val="22"/>
              </w:rPr>
              <w:t xml:space="preserve">3 </w:t>
            </w:r>
            <w:r w:rsidR="00D010B9" w:rsidRPr="002900B5">
              <w:rPr>
                <w:sz w:val="22"/>
                <w:szCs w:val="22"/>
              </w:rPr>
              <w:t>mg</w:t>
            </w:r>
            <w:r w:rsidR="00446F26" w:rsidRPr="002900B5">
              <w:rPr>
                <w:sz w:val="22"/>
                <w:szCs w:val="22"/>
              </w:rPr>
              <w:t xml:space="preserve"> </w:t>
            </w:r>
          </w:p>
          <w:p w:rsidR="00D010B9" w:rsidRPr="002900B5" w:rsidRDefault="00764431" w:rsidP="00372327">
            <w:pPr>
              <w:pStyle w:val="Default"/>
              <w:ind w:left="12" w:hanging="12"/>
              <w:rPr>
                <w:sz w:val="22"/>
                <w:szCs w:val="22"/>
              </w:rPr>
            </w:pPr>
            <w:r w:rsidRPr="002900B5">
              <w:rPr>
                <w:sz w:val="22"/>
                <w:szCs w:val="22"/>
              </w:rPr>
              <w:t>každé tri mesiace</w:t>
            </w:r>
          </w:p>
          <w:p w:rsidR="003E58E4" w:rsidRPr="002900B5" w:rsidRDefault="001D057A" w:rsidP="00372327">
            <w:pPr>
              <w:autoSpaceDE w:val="0"/>
              <w:autoSpaceDN w:val="0"/>
              <w:adjustRightInd w:val="0"/>
              <w:ind w:left="12" w:hanging="12"/>
              <w:rPr>
                <w:szCs w:val="22"/>
              </w:rPr>
            </w:pPr>
            <w:r w:rsidRPr="002900B5">
              <w:rPr>
                <w:szCs w:val="22"/>
              </w:rPr>
              <w:t>(N=334</w:t>
            </w:r>
            <w:r w:rsidR="00D010B9" w:rsidRPr="002900B5">
              <w:rPr>
                <w:szCs w:val="22"/>
              </w:rPr>
              <w:t xml:space="preserve">) </w:t>
            </w:r>
          </w:p>
        </w:tc>
      </w:tr>
      <w:tr w:rsidR="0057698B" w:rsidRPr="002900B5" w:rsidTr="00372327">
        <w:tc>
          <w:tcPr>
            <w:tcW w:w="1842" w:type="dxa"/>
            <w:shd w:val="clear" w:color="auto" w:fill="auto"/>
          </w:tcPr>
          <w:p w:rsidR="0057698B" w:rsidRPr="002900B5" w:rsidRDefault="0057698B" w:rsidP="00372327">
            <w:pPr>
              <w:pStyle w:val="Default"/>
              <w:ind w:left="567" w:hanging="567"/>
              <w:rPr>
                <w:sz w:val="22"/>
                <w:szCs w:val="22"/>
              </w:rPr>
            </w:pPr>
            <w:r w:rsidRPr="002900B5">
              <w:rPr>
                <w:sz w:val="22"/>
                <w:szCs w:val="22"/>
              </w:rPr>
              <w:t>BMD driekovej</w:t>
            </w:r>
          </w:p>
          <w:p w:rsidR="0057698B" w:rsidRPr="002900B5" w:rsidRDefault="0057698B" w:rsidP="00372327">
            <w:pPr>
              <w:autoSpaceDE w:val="0"/>
              <w:autoSpaceDN w:val="0"/>
              <w:adjustRightInd w:val="0"/>
              <w:ind w:left="0" w:firstLine="0"/>
              <w:rPr>
                <w:szCs w:val="22"/>
              </w:rPr>
            </w:pPr>
            <w:r w:rsidRPr="002900B5">
              <w:rPr>
                <w:szCs w:val="22"/>
              </w:rPr>
              <w:t xml:space="preserve">chrbtice L2-L4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3,8 [3,4, 4,2]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4,8 [4,5, 5,2]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4,8 [4,3, 5,4] </w:t>
            </w:r>
          </w:p>
        </w:tc>
        <w:tc>
          <w:tcPr>
            <w:tcW w:w="1843"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6,3 [5,7, 6,8] </w:t>
            </w:r>
          </w:p>
        </w:tc>
      </w:tr>
      <w:tr w:rsidR="0057698B" w:rsidRPr="002900B5" w:rsidTr="00372327">
        <w:tc>
          <w:tcPr>
            <w:tcW w:w="1842" w:type="dxa"/>
            <w:shd w:val="clear" w:color="auto" w:fill="auto"/>
          </w:tcPr>
          <w:p w:rsidR="0057698B" w:rsidRPr="002900B5" w:rsidRDefault="0057698B" w:rsidP="00372327">
            <w:pPr>
              <w:pStyle w:val="Default"/>
              <w:ind w:left="567" w:hanging="567"/>
              <w:rPr>
                <w:sz w:val="22"/>
                <w:szCs w:val="22"/>
              </w:rPr>
            </w:pPr>
            <w:r w:rsidRPr="002900B5">
              <w:rPr>
                <w:sz w:val="22"/>
                <w:szCs w:val="22"/>
              </w:rPr>
              <w:t xml:space="preserve">BMD </w:t>
            </w:r>
          </w:p>
          <w:p w:rsidR="0057698B" w:rsidRPr="002900B5" w:rsidRDefault="0057698B" w:rsidP="00372327">
            <w:pPr>
              <w:autoSpaceDE w:val="0"/>
              <w:autoSpaceDN w:val="0"/>
              <w:adjustRightInd w:val="0"/>
              <w:ind w:left="0" w:firstLine="0"/>
              <w:rPr>
                <w:szCs w:val="22"/>
              </w:rPr>
            </w:pPr>
            <w:r w:rsidRPr="002900B5">
              <w:rPr>
                <w:szCs w:val="22"/>
              </w:rPr>
              <w:t xml:space="preserve">bedrovej oblasti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1,8 [1,5, 2,1]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2,4 [2,0, 2,7]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2,2 [1,8, 2,6] </w:t>
            </w:r>
          </w:p>
        </w:tc>
        <w:tc>
          <w:tcPr>
            <w:tcW w:w="1843"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3,1 [2,6, 3,6] </w:t>
            </w:r>
          </w:p>
        </w:tc>
      </w:tr>
      <w:tr w:rsidR="0057698B" w:rsidRPr="002900B5" w:rsidTr="00372327">
        <w:tc>
          <w:tcPr>
            <w:tcW w:w="1842" w:type="dxa"/>
            <w:shd w:val="clear" w:color="auto" w:fill="auto"/>
          </w:tcPr>
          <w:p w:rsidR="0057698B" w:rsidRPr="002900B5" w:rsidRDefault="0057698B" w:rsidP="00372327">
            <w:pPr>
              <w:pStyle w:val="Default"/>
              <w:ind w:left="567" w:hanging="567"/>
              <w:rPr>
                <w:sz w:val="22"/>
                <w:szCs w:val="22"/>
              </w:rPr>
            </w:pPr>
            <w:r w:rsidRPr="002900B5">
              <w:rPr>
                <w:sz w:val="22"/>
                <w:szCs w:val="22"/>
              </w:rPr>
              <w:t>BMD</w:t>
            </w:r>
          </w:p>
          <w:p w:rsidR="0057698B" w:rsidRPr="002900B5" w:rsidRDefault="0057698B" w:rsidP="00372327">
            <w:pPr>
              <w:pStyle w:val="Default"/>
              <w:ind w:left="567" w:hanging="567"/>
              <w:rPr>
                <w:sz w:val="22"/>
                <w:szCs w:val="22"/>
              </w:rPr>
            </w:pPr>
            <w:r w:rsidRPr="002900B5">
              <w:rPr>
                <w:sz w:val="22"/>
                <w:szCs w:val="22"/>
              </w:rPr>
              <w:t xml:space="preserve">femorálneho </w:t>
            </w:r>
          </w:p>
          <w:p w:rsidR="0057698B" w:rsidRPr="002900B5" w:rsidRDefault="0057698B" w:rsidP="00372327">
            <w:pPr>
              <w:autoSpaceDE w:val="0"/>
              <w:autoSpaceDN w:val="0"/>
              <w:adjustRightInd w:val="0"/>
              <w:ind w:left="0" w:firstLine="0"/>
              <w:rPr>
                <w:szCs w:val="22"/>
              </w:rPr>
            </w:pPr>
            <w:r w:rsidRPr="002900B5">
              <w:rPr>
                <w:szCs w:val="22"/>
              </w:rPr>
              <w:t xml:space="preserve">krčka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1,6 [1,2, 2,0]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2,3 [1,9, 2,7]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2,2 [1,8, 2,7] </w:t>
            </w:r>
          </w:p>
        </w:tc>
        <w:tc>
          <w:tcPr>
            <w:tcW w:w="1843"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2,8 [2,3, 3,3] </w:t>
            </w:r>
          </w:p>
        </w:tc>
      </w:tr>
      <w:tr w:rsidR="0057698B" w:rsidRPr="002900B5" w:rsidTr="00372327">
        <w:tc>
          <w:tcPr>
            <w:tcW w:w="1842" w:type="dxa"/>
            <w:shd w:val="clear" w:color="auto" w:fill="auto"/>
          </w:tcPr>
          <w:p w:rsidR="0057698B" w:rsidRPr="002900B5" w:rsidRDefault="0057698B" w:rsidP="00372327">
            <w:pPr>
              <w:autoSpaceDE w:val="0"/>
              <w:autoSpaceDN w:val="0"/>
              <w:adjustRightInd w:val="0"/>
              <w:ind w:left="0" w:firstLine="0"/>
              <w:rPr>
                <w:szCs w:val="22"/>
              </w:rPr>
            </w:pPr>
            <w:r w:rsidRPr="002900B5">
              <w:rPr>
                <w:szCs w:val="22"/>
              </w:rPr>
              <w:t>BMD trochantera</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3,0 [2,6, 3,4]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3,8 [3,2, 4,4] </w:t>
            </w:r>
          </w:p>
        </w:tc>
        <w:tc>
          <w:tcPr>
            <w:tcW w:w="1842"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3,5 [3,0, 4,0] </w:t>
            </w:r>
          </w:p>
        </w:tc>
        <w:tc>
          <w:tcPr>
            <w:tcW w:w="1843" w:type="dxa"/>
            <w:shd w:val="clear" w:color="auto" w:fill="auto"/>
          </w:tcPr>
          <w:p w:rsidR="0057698B" w:rsidRPr="002900B5" w:rsidRDefault="0057698B" w:rsidP="00372327">
            <w:pPr>
              <w:pStyle w:val="Default"/>
              <w:spacing w:after="160"/>
              <w:ind w:left="567" w:hanging="567"/>
              <w:rPr>
                <w:sz w:val="22"/>
                <w:szCs w:val="22"/>
              </w:rPr>
            </w:pPr>
            <w:r w:rsidRPr="002900B5">
              <w:rPr>
                <w:sz w:val="22"/>
                <w:szCs w:val="22"/>
              </w:rPr>
              <w:t xml:space="preserve">4,9 [4,1, 5,7] </w:t>
            </w:r>
          </w:p>
        </w:tc>
      </w:tr>
    </w:tbl>
    <w:p w:rsidR="009C6BC8" w:rsidRPr="002900B5" w:rsidRDefault="009C6BC8"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V prospektívne plánovanej analýze sa okrem toho dokázalo, že injekcia </w:t>
      </w:r>
      <w:r w:rsidR="009C6BC8" w:rsidRPr="002900B5">
        <w:rPr>
          <w:sz w:val="22"/>
          <w:szCs w:val="22"/>
        </w:rPr>
        <w:t xml:space="preserve">kyseliny ibandrónovej 3 mg </w:t>
      </w:r>
      <w:r w:rsidRPr="002900B5">
        <w:rPr>
          <w:sz w:val="22"/>
          <w:szCs w:val="22"/>
        </w:rPr>
        <w:t>každé 3 mesiace je účinnejšia ako perorálna kyselina ibandrónová 2,5 mg denne vo zvýšení BMD driekovej chrbtice po jednom roku, p&lt;</w:t>
      </w:r>
      <w:smartTag w:uri="urn:schemas-microsoft-com:office:smarttags" w:element="metricconverter">
        <w:smartTagPr>
          <w:attr w:name="ProductID" w:val="0,001 a"/>
        </w:smartTagPr>
        <w:r w:rsidRPr="002900B5">
          <w:rPr>
            <w:sz w:val="22"/>
            <w:szCs w:val="22"/>
          </w:rPr>
          <w:t>0,001 a</w:t>
        </w:r>
      </w:smartTag>
      <w:r w:rsidRPr="002900B5">
        <w:rPr>
          <w:sz w:val="22"/>
          <w:szCs w:val="22"/>
        </w:rPr>
        <w:t xml:space="preserve"> po dvoch rokoch, p&lt;0,001. </w:t>
      </w:r>
    </w:p>
    <w:p w:rsidR="0057698B" w:rsidRPr="002900B5" w:rsidRDefault="0057698B" w:rsidP="006C7E8A">
      <w:pPr>
        <w:pStyle w:val="Default"/>
        <w:rPr>
          <w:sz w:val="22"/>
          <w:szCs w:val="22"/>
        </w:rPr>
      </w:pPr>
    </w:p>
    <w:p w:rsidR="003E58E4" w:rsidRPr="002900B5" w:rsidRDefault="00D96638" w:rsidP="006C7E8A">
      <w:pPr>
        <w:autoSpaceDE w:val="0"/>
        <w:autoSpaceDN w:val="0"/>
        <w:adjustRightInd w:val="0"/>
        <w:ind w:left="0" w:firstLine="0"/>
        <w:rPr>
          <w:szCs w:val="22"/>
        </w:rPr>
      </w:pPr>
      <w:r w:rsidRPr="002900B5">
        <w:rPr>
          <w:szCs w:val="22"/>
        </w:rPr>
        <w:t xml:space="preserve">Pri hodnotení BMD driekovej </w:t>
      </w:r>
      <w:r w:rsidR="004F53B9" w:rsidRPr="002900B5">
        <w:rPr>
          <w:szCs w:val="22"/>
        </w:rPr>
        <w:t xml:space="preserve">oblasti </w:t>
      </w:r>
      <w:r w:rsidRPr="002900B5">
        <w:rPr>
          <w:szCs w:val="22"/>
        </w:rPr>
        <w:t>chrbtice sa zistilo, že po 1 roku liečby sa hodnota BMD zvýšila alebo sa nezmenila (t.j. pacientky odpovedali na liečbu) u 92,1 % pacientok, ktorým bola podávaná 3 mg injekcia každé 3 mesiace v porovnaní s 84,9 % pacientok, ktoré užívali 2,5 mg perorálnu dávku denne (p = 0,002). Po 2 rokoch liečby sa hodnota BMD driekovej chrbtice zvýšila alebo sa nezmenila u 92,8 % pacientok, ktorým bola podávaná 3 mg injekcia a u 84,7 % pacientok, ktoré užívali 2,5 mg perorálnu dávku (p = 0,001).</w:t>
      </w:r>
    </w:p>
    <w:p w:rsidR="003E58E4" w:rsidRPr="002900B5" w:rsidRDefault="003E58E4" w:rsidP="006C7E8A">
      <w:pPr>
        <w:autoSpaceDE w:val="0"/>
        <w:autoSpaceDN w:val="0"/>
        <w:adjustRightInd w:val="0"/>
        <w:ind w:left="0" w:firstLine="0"/>
        <w:rPr>
          <w:szCs w:val="22"/>
        </w:rPr>
      </w:pPr>
    </w:p>
    <w:p w:rsidR="0057698B" w:rsidRPr="002900B5" w:rsidRDefault="00D96638" w:rsidP="006C7E8A">
      <w:pPr>
        <w:pStyle w:val="Default"/>
        <w:rPr>
          <w:sz w:val="22"/>
          <w:szCs w:val="22"/>
        </w:rPr>
      </w:pPr>
      <w:r w:rsidRPr="002900B5">
        <w:rPr>
          <w:sz w:val="22"/>
          <w:szCs w:val="22"/>
        </w:rPr>
        <w:t>Pri hodnotení</w:t>
      </w:r>
      <w:r w:rsidR="0057698B" w:rsidRPr="002900B5">
        <w:rPr>
          <w:sz w:val="22"/>
          <w:szCs w:val="22"/>
        </w:rPr>
        <w:t xml:space="preserve"> BMD </w:t>
      </w:r>
      <w:r w:rsidRPr="002900B5">
        <w:rPr>
          <w:sz w:val="22"/>
          <w:szCs w:val="22"/>
        </w:rPr>
        <w:t xml:space="preserve">celej </w:t>
      </w:r>
      <w:r w:rsidR="0057698B" w:rsidRPr="002900B5">
        <w:rPr>
          <w:sz w:val="22"/>
          <w:szCs w:val="22"/>
        </w:rPr>
        <w:t xml:space="preserve">bedrovej oblasti </w:t>
      </w:r>
      <w:r w:rsidRPr="002900B5">
        <w:rPr>
          <w:sz w:val="22"/>
          <w:szCs w:val="22"/>
        </w:rPr>
        <w:t xml:space="preserve">sa zistilo, že </w:t>
      </w:r>
      <w:r w:rsidR="0057698B" w:rsidRPr="002900B5">
        <w:rPr>
          <w:sz w:val="22"/>
          <w:szCs w:val="22"/>
        </w:rPr>
        <w:t xml:space="preserve">po jednom roku, na liečbu reagovalo 82,3 % </w:t>
      </w:r>
      <w:r w:rsidR="000B011B" w:rsidRPr="002900B5">
        <w:rPr>
          <w:sz w:val="22"/>
          <w:szCs w:val="22"/>
        </w:rPr>
        <w:t>pacientok</w:t>
      </w:r>
      <w:r w:rsidR="0057698B" w:rsidRPr="002900B5">
        <w:rPr>
          <w:sz w:val="22"/>
          <w:szCs w:val="22"/>
        </w:rPr>
        <w:t xml:space="preserve">, </w:t>
      </w:r>
      <w:r w:rsidR="000B011B" w:rsidRPr="002900B5">
        <w:rPr>
          <w:sz w:val="22"/>
          <w:szCs w:val="22"/>
        </w:rPr>
        <w:t xml:space="preserve">ktoré </w:t>
      </w:r>
      <w:r w:rsidR="0057698B" w:rsidRPr="002900B5">
        <w:rPr>
          <w:sz w:val="22"/>
          <w:szCs w:val="22"/>
        </w:rPr>
        <w:t xml:space="preserve">dostali 3 mg injekciu každé tri mesiace v porovnaní so 75,1 % </w:t>
      </w:r>
      <w:r w:rsidR="000B011B" w:rsidRPr="002900B5">
        <w:rPr>
          <w:sz w:val="22"/>
          <w:szCs w:val="22"/>
        </w:rPr>
        <w:t>pacientok</w:t>
      </w:r>
      <w:r w:rsidR="0057698B" w:rsidRPr="002900B5">
        <w:rPr>
          <w:sz w:val="22"/>
          <w:szCs w:val="22"/>
        </w:rPr>
        <w:t xml:space="preserve">, </w:t>
      </w:r>
      <w:r w:rsidR="000B011B" w:rsidRPr="002900B5">
        <w:rPr>
          <w:sz w:val="22"/>
          <w:szCs w:val="22"/>
        </w:rPr>
        <w:t xml:space="preserve">ktoré </w:t>
      </w:r>
      <w:r w:rsidR="0057698B" w:rsidRPr="002900B5">
        <w:rPr>
          <w:sz w:val="22"/>
          <w:szCs w:val="22"/>
        </w:rPr>
        <w:t>užívali perorálne 2,5 mg denne (p=0,02). Po 2 rokoch liečby sa BMD bedrovej oblasti zvýšila alebo udržala u 85,6 % paciento</w:t>
      </w:r>
      <w:r w:rsidR="001706FA" w:rsidRPr="002900B5">
        <w:rPr>
          <w:sz w:val="22"/>
          <w:szCs w:val="22"/>
        </w:rPr>
        <w:t>k</w:t>
      </w:r>
      <w:r w:rsidR="0057698B" w:rsidRPr="002900B5">
        <w:rPr>
          <w:sz w:val="22"/>
          <w:szCs w:val="22"/>
        </w:rPr>
        <w:t xml:space="preserve">, </w:t>
      </w:r>
      <w:r w:rsidR="001706FA" w:rsidRPr="002900B5">
        <w:rPr>
          <w:sz w:val="22"/>
          <w:szCs w:val="22"/>
        </w:rPr>
        <w:t xml:space="preserve">ktoré </w:t>
      </w:r>
      <w:r w:rsidR="0057698B" w:rsidRPr="002900B5">
        <w:rPr>
          <w:sz w:val="22"/>
          <w:szCs w:val="22"/>
        </w:rPr>
        <w:t xml:space="preserve">dostali 3 mg injekcie a u 77,0 % </w:t>
      </w:r>
      <w:r w:rsidR="001706FA" w:rsidRPr="002900B5">
        <w:rPr>
          <w:sz w:val="22"/>
          <w:szCs w:val="22"/>
        </w:rPr>
        <w:t>pacientok</w:t>
      </w:r>
      <w:r w:rsidR="0057698B" w:rsidRPr="002900B5">
        <w:rPr>
          <w:sz w:val="22"/>
          <w:szCs w:val="22"/>
        </w:rPr>
        <w:t xml:space="preserve">, </w:t>
      </w:r>
      <w:r w:rsidR="001706FA" w:rsidRPr="002900B5">
        <w:rPr>
          <w:sz w:val="22"/>
          <w:szCs w:val="22"/>
        </w:rPr>
        <w:t xml:space="preserve">ktoré </w:t>
      </w:r>
      <w:r w:rsidR="0057698B" w:rsidRPr="002900B5">
        <w:rPr>
          <w:sz w:val="22"/>
          <w:szCs w:val="22"/>
        </w:rPr>
        <w:t xml:space="preserve">užívali perorálne 2,5 mg denne (p=0,004).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Podiel </w:t>
      </w:r>
      <w:r w:rsidR="005F115D" w:rsidRPr="002900B5">
        <w:rPr>
          <w:sz w:val="22"/>
          <w:szCs w:val="22"/>
        </w:rPr>
        <w:t>pacientok</w:t>
      </w:r>
      <w:r w:rsidRPr="002900B5">
        <w:rPr>
          <w:sz w:val="22"/>
          <w:szCs w:val="22"/>
        </w:rPr>
        <w:t xml:space="preserve">, u ktorých sa po jednom roku </w:t>
      </w:r>
      <w:r w:rsidR="005F115D" w:rsidRPr="002900B5">
        <w:rPr>
          <w:sz w:val="22"/>
          <w:szCs w:val="22"/>
        </w:rPr>
        <w:t xml:space="preserve">liečby hodnota </w:t>
      </w:r>
      <w:r w:rsidRPr="002900B5">
        <w:rPr>
          <w:sz w:val="22"/>
          <w:szCs w:val="22"/>
        </w:rPr>
        <w:t xml:space="preserve">BMD driekovej chrbtice aj bedrovej oblasti zvýšila alebo udržala, bol 76,2 % v skupine s 3 mg injekciou </w:t>
      </w:r>
      <w:r w:rsidR="00BC54F1" w:rsidRPr="002900B5">
        <w:rPr>
          <w:sz w:val="22"/>
          <w:szCs w:val="22"/>
        </w:rPr>
        <w:t xml:space="preserve">podávanou </w:t>
      </w:r>
      <w:r w:rsidRPr="002900B5">
        <w:rPr>
          <w:sz w:val="22"/>
          <w:szCs w:val="22"/>
        </w:rPr>
        <w:t xml:space="preserve">každé 3 mesiace a 67,2 % v skupine s 2,5 mg dennou perorálnou dávkou (p=0,007). Po dvoch rokoch toto kritérium splnilo 80,1 % </w:t>
      </w:r>
      <w:r w:rsidR="00722EFC" w:rsidRPr="002900B5">
        <w:rPr>
          <w:sz w:val="22"/>
          <w:szCs w:val="22"/>
        </w:rPr>
        <w:t xml:space="preserve">pacientok </w:t>
      </w:r>
      <w:r w:rsidRPr="002900B5">
        <w:rPr>
          <w:sz w:val="22"/>
          <w:szCs w:val="22"/>
        </w:rPr>
        <w:t xml:space="preserve">v skupine s 3 mg injekciou </w:t>
      </w:r>
      <w:r w:rsidR="00722EFC" w:rsidRPr="002900B5">
        <w:rPr>
          <w:sz w:val="22"/>
          <w:szCs w:val="22"/>
        </w:rPr>
        <w:t xml:space="preserve">podávanou </w:t>
      </w:r>
      <w:r w:rsidRPr="002900B5">
        <w:rPr>
          <w:sz w:val="22"/>
          <w:szCs w:val="22"/>
        </w:rPr>
        <w:t xml:space="preserve">každé 3 mesiace a 68,8 % </w:t>
      </w:r>
      <w:r w:rsidR="00722EFC" w:rsidRPr="002900B5">
        <w:rPr>
          <w:sz w:val="22"/>
          <w:szCs w:val="22"/>
        </w:rPr>
        <w:t xml:space="preserve">pacientok </w:t>
      </w:r>
      <w:r w:rsidRPr="002900B5">
        <w:rPr>
          <w:sz w:val="22"/>
          <w:szCs w:val="22"/>
        </w:rPr>
        <w:t xml:space="preserve">v skupine s 2,5 mg dennou perorálnou dávkou (p=0,001). </w:t>
      </w:r>
    </w:p>
    <w:p w:rsidR="0057698B" w:rsidRPr="002900B5" w:rsidRDefault="0057698B" w:rsidP="006C7E8A">
      <w:pPr>
        <w:pStyle w:val="Default"/>
        <w:rPr>
          <w:sz w:val="22"/>
          <w:szCs w:val="22"/>
        </w:rPr>
      </w:pPr>
    </w:p>
    <w:p w:rsidR="0057698B" w:rsidRPr="002900B5" w:rsidRDefault="0057698B" w:rsidP="006C7E8A">
      <w:pPr>
        <w:pStyle w:val="Default"/>
        <w:rPr>
          <w:i/>
          <w:iCs/>
          <w:sz w:val="22"/>
          <w:szCs w:val="22"/>
        </w:rPr>
      </w:pPr>
      <w:r w:rsidRPr="002900B5">
        <w:rPr>
          <w:i/>
          <w:iCs/>
          <w:sz w:val="22"/>
          <w:szCs w:val="22"/>
        </w:rPr>
        <w:t xml:space="preserve">Biochemické markery kostného obratu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Klinicky významné zníženia sérových hladín CTX sa pozorovali vo všetkých hodnotených časových obdobiach. Po 12 mesiacoch bola stredná hodnota relatívnych zmien od východiskovej hodnoty –58,6 % pre schému s 3 mg intravenóznou injekciou </w:t>
      </w:r>
      <w:r w:rsidR="00EE031B" w:rsidRPr="002900B5">
        <w:rPr>
          <w:sz w:val="22"/>
          <w:szCs w:val="22"/>
        </w:rPr>
        <w:t xml:space="preserve">podávanou </w:t>
      </w:r>
      <w:r w:rsidRPr="002900B5">
        <w:rPr>
          <w:sz w:val="22"/>
          <w:szCs w:val="22"/>
        </w:rPr>
        <w:t xml:space="preserve">každé 3 mesiace a –62,6 % pre schému s 2,5 mg dennou perorálnou dávkou. Okrem toho sa zistilo, že na liečbu reagovalo (t.j. zníženie o ≥ 50 % od východiskovej hodnoty) 64,8 % </w:t>
      </w:r>
      <w:r w:rsidR="00EE031B" w:rsidRPr="002900B5">
        <w:rPr>
          <w:sz w:val="22"/>
          <w:szCs w:val="22"/>
        </w:rPr>
        <w:t>pacientok</w:t>
      </w:r>
      <w:r w:rsidRPr="002900B5">
        <w:rPr>
          <w:sz w:val="22"/>
          <w:szCs w:val="22"/>
        </w:rPr>
        <w:t xml:space="preserve">, </w:t>
      </w:r>
      <w:r w:rsidR="00EE031B" w:rsidRPr="002900B5">
        <w:rPr>
          <w:sz w:val="22"/>
          <w:szCs w:val="22"/>
        </w:rPr>
        <w:t xml:space="preserve">ktoré </w:t>
      </w:r>
      <w:r w:rsidRPr="002900B5">
        <w:rPr>
          <w:sz w:val="22"/>
          <w:szCs w:val="22"/>
        </w:rPr>
        <w:t xml:space="preserve">dostali 3 mg injekciu každé 3 mesiace v porovnaní so 64,9% </w:t>
      </w:r>
      <w:r w:rsidR="00EE031B" w:rsidRPr="002900B5">
        <w:rPr>
          <w:sz w:val="22"/>
          <w:szCs w:val="22"/>
        </w:rPr>
        <w:t>pacientok</w:t>
      </w:r>
      <w:r w:rsidRPr="002900B5">
        <w:rPr>
          <w:sz w:val="22"/>
          <w:szCs w:val="22"/>
        </w:rPr>
        <w:t xml:space="preserve">, </w:t>
      </w:r>
      <w:r w:rsidR="00712EE5" w:rsidRPr="002900B5">
        <w:rPr>
          <w:sz w:val="22"/>
          <w:szCs w:val="22"/>
        </w:rPr>
        <w:t xml:space="preserve">ktoré </w:t>
      </w:r>
      <w:r w:rsidRPr="002900B5">
        <w:rPr>
          <w:sz w:val="22"/>
          <w:szCs w:val="22"/>
        </w:rPr>
        <w:t xml:space="preserve">užívali perorálne 2,5 mg denne. Zníženie sérových hladín CTX sa udržalo počas 2 rokov, pričom v oboch skupinách na liečbu reagovala viac ako polovica </w:t>
      </w:r>
      <w:r w:rsidR="00712EE5" w:rsidRPr="002900B5">
        <w:rPr>
          <w:sz w:val="22"/>
          <w:szCs w:val="22"/>
        </w:rPr>
        <w:t>pacientok</w:t>
      </w:r>
      <w:r w:rsidRPr="002900B5">
        <w:rPr>
          <w:sz w:val="22"/>
          <w:szCs w:val="22"/>
        </w:rPr>
        <w:t xml:space="preserve">.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lastRenderedPageBreak/>
        <w:t xml:space="preserve">Na základe výsledkov štúdie BM 16550 sa očakáva, že </w:t>
      </w:r>
      <w:r w:rsidR="00B57B80" w:rsidRPr="002900B5">
        <w:rPr>
          <w:sz w:val="22"/>
          <w:szCs w:val="22"/>
        </w:rPr>
        <w:t>kyselina ibandrónová</w:t>
      </w:r>
      <w:r w:rsidRPr="002900B5">
        <w:rPr>
          <w:sz w:val="22"/>
          <w:szCs w:val="22"/>
        </w:rPr>
        <w:t xml:space="preserve"> 3 mg intravenózna injekcia</w:t>
      </w:r>
      <w:r w:rsidR="00B57B80" w:rsidRPr="002900B5">
        <w:rPr>
          <w:sz w:val="22"/>
          <w:szCs w:val="22"/>
        </w:rPr>
        <w:t xml:space="preserve"> podávaná každé 3 mesiace</w:t>
      </w:r>
      <w:r w:rsidRPr="002900B5">
        <w:rPr>
          <w:sz w:val="22"/>
          <w:szCs w:val="22"/>
        </w:rPr>
        <w:t xml:space="preserve"> je prinajmenšom rovnako účinná v prevencii zlomenín ako schéma s 2,5 mg dennou perorálnou dávkou kyseliny ibandró</w:t>
      </w:r>
      <w:r w:rsidR="009F39AF" w:rsidRPr="002900B5">
        <w:rPr>
          <w:sz w:val="22"/>
          <w:szCs w:val="22"/>
        </w:rPr>
        <w:t>no</w:t>
      </w:r>
      <w:r w:rsidRPr="002900B5">
        <w:rPr>
          <w:sz w:val="22"/>
          <w:szCs w:val="22"/>
        </w:rPr>
        <w:t>vej</w:t>
      </w:r>
      <w:r w:rsidR="00483B56" w:rsidRPr="002900B5">
        <w:rPr>
          <w:sz w:val="22"/>
          <w:szCs w:val="22"/>
        </w:rPr>
        <w:t xml:space="preserve"> podávanou denne</w:t>
      </w:r>
      <w:r w:rsidRPr="002900B5">
        <w:rPr>
          <w:sz w:val="22"/>
          <w:szCs w:val="22"/>
        </w:rPr>
        <w:t xml:space="preserve">.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u w:val="single"/>
        </w:rPr>
        <w:t xml:space="preserve">Kyselina ibandrónová </w:t>
      </w:r>
      <w:r w:rsidR="00837642" w:rsidRPr="002900B5">
        <w:rPr>
          <w:sz w:val="22"/>
          <w:szCs w:val="22"/>
          <w:u w:val="single"/>
        </w:rPr>
        <w:t xml:space="preserve">vo forme </w:t>
      </w:r>
      <w:r w:rsidRPr="002900B5">
        <w:rPr>
          <w:sz w:val="22"/>
          <w:szCs w:val="22"/>
          <w:u w:val="single"/>
        </w:rPr>
        <w:t xml:space="preserve">2,5 mg tablety </w:t>
      </w:r>
      <w:r w:rsidR="00837642" w:rsidRPr="002900B5">
        <w:rPr>
          <w:sz w:val="22"/>
          <w:szCs w:val="22"/>
          <w:u w:val="single"/>
        </w:rPr>
        <w:t>podávaných</w:t>
      </w:r>
      <w:r w:rsidRPr="002900B5">
        <w:rPr>
          <w:sz w:val="22"/>
          <w:szCs w:val="22"/>
          <w:u w:val="single"/>
        </w:rPr>
        <w:t xml:space="preserve"> denne </w:t>
      </w:r>
    </w:p>
    <w:p w:rsidR="0057698B" w:rsidRPr="002900B5" w:rsidRDefault="0057698B" w:rsidP="006C7E8A">
      <w:pPr>
        <w:pStyle w:val="Default"/>
        <w:rPr>
          <w:sz w:val="22"/>
          <w:szCs w:val="22"/>
        </w:rPr>
      </w:pPr>
      <w:r w:rsidRPr="002900B5">
        <w:rPr>
          <w:sz w:val="22"/>
          <w:szCs w:val="22"/>
        </w:rPr>
        <w:t xml:space="preserve">V úvodnej trojročnej, randomizovanej, dvojito zaslepenej, placebom kontrolovanej štúdii zameranej na zlomeniny (MF 4411) sa dokázal štatisticky významný s liečbou súvisiaci pokles výskytu nových rádiografických morfometrických a klinických vertebrálnych fraktúr (tabuľka 3). V tejto štúdii </w:t>
      </w:r>
      <w:r w:rsidR="00B57B80" w:rsidRPr="002900B5">
        <w:rPr>
          <w:sz w:val="22"/>
          <w:szCs w:val="22"/>
        </w:rPr>
        <w:t xml:space="preserve">sa hodnotila </w:t>
      </w:r>
      <w:r w:rsidRPr="002900B5">
        <w:rPr>
          <w:sz w:val="22"/>
          <w:szCs w:val="22"/>
        </w:rPr>
        <w:t xml:space="preserve">kyselina ibandrónová pri perorálnych dávkach 2,5 mg </w:t>
      </w:r>
      <w:r w:rsidR="00B57B80" w:rsidRPr="002900B5">
        <w:rPr>
          <w:sz w:val="22"/>
          <w:szCs w:val="22"/>
        </w:rPr>
        <w:t xml:space="preserve">denne </w:t>
      </w:r>
      <w:r w:rsidRPr="002900B5">
        <w:rPr>
          <w:sz w:val="22"/>
          <w:szCs w:val="22"/>
        </w:rPr>
        <w:t xml:space="preserve">a intermitentných perorálnych dávkach 20 mg, ktoré sa použili ako výskumný režim. Kyselina ibandrónová sa užívala 60 minút pred prvým jedlom alebo nápojom dňa (obdobie nalačno po podaní dávky). Štúdia skúmala ženy vo veku 55 až 80 rokov, ktoré boli najmenej 5 rokov po menopauze a u ktorých bola BMD v driekovej chrbtici s SD od -2 do 5-krát nižšej ako priemerná hodnota pred menopauzou (T-skóre) najmenej v jednom stavci [L1-L4] a ktoré mali jednu až štyri bežné fraktúry stavcov. Všetky pacientky dostávali denne 500 mg vápnika a 400 IU vitamínu D. Účinnosť bola vyhodnotená u 2928 </w:t>
      </w:r>
      <w:r w:rsidR="00A3500C" w:rsidRPr="002900B5">
        <w:rPr>
          <w:sz w:val="22"/>
          <w:szCs w:val="22"/>
        </w:rPr>
        <w:t>pacientok</w:t>
      </w:r>
      <w:r w:rsidRPr="002900B5">
        <w:rPr>
          <w:sz w:val="22"/>
          <w:szCs w:val="22"/>
        </w:rPr>
        <w:t>.</w:t>
      </w:r>
      <w:r w:rsidR="00B57B80" w:rsidRPr="002900B5">
        <w:rPr>
          <w:sz w:val="22"/>
          <w:szCs w:val="22"/>
        </w:rPr>
        <w:t xml:space="preserve"> </w:t>
      </w:r>
      <w:r w:rsidRPr="002900B5">
        <w:rPr>
          <w:sz w:val="22"/>
          <w:szCs w:val="22"/>
        </w:rPr>
        <w:t>Pri dennom podávaní kyseliny ibandró</w:t>
      </w:r>
      <w:r w:rsidR="0033036A" w:rsidRPr="002900B5">
        <w:rPr>
          <w:sz w:val="22"/>
          <w:szCs w:val="22"/>
        </w:rPr>
        <w:t>no</w:t>
      </w:r>
      <w:r w:rsidRPr="002900B5">
        <w:rPr>
          <w:sz w:val="22"/>
          <w:szCs w:val="22"/>
        </w:rPr>
        <w:t xml:space="preserve">vej 2,5 mg sa prejavilo štatisticky významné </w:t>
      </w:r>
      <w:r w:rsidR="00B57B80" w:rsidRPr="002900B5">
        <w:rPr>
          <w:sz w:val="22"/>
          <w:szCs w:val="22"/>
        </w:rPr>
        <w:t xml:space="preserve">a medicínsky relevantné </w:t>
      </w:r>
      <w:r w:rsidRPr="002900B5">
        <w:rPr>
          <w:sz w:val="22"/>
          <w:szCs w:val="22"/>
        </w:rPr>
        <w:t xml:space="preserve">zníženie výskytu nových vertebrálnych fraktúr v dôsledku liečby. Tento režim počas troch rokov trvania štúdie znížil výskyt nových rádiografických vertebrálnych fraktúr o 62 % (p = 0,0001). Zníženie relatívneho rizika o 61 % sa pozorovalo po 2 rokoch (p = 0,0006). Po 1 roku liečby sa nedosiahol žiadny štatisticky významný rozdiel (p = 0,056). Účinok na fraktúry sa udržiaval počas trvania štúdie. V priebehu času sa nepozoroval žiaden náznak nižšieho účinku.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Tiež sa významne znížil výskyt klinických vertebrálnych fraktúr o 49 % po 3 rokoch (p = 0,011). Silný vplyv na vertebrálne fraktúry tiež odrážala štatisticky významná redukcia straty telesnej výšky v porovnaní s placebom (p &lt; 0,0001). </w:t>
      </w:r>
    </w:p>
    <w:p w:rsidR="00386B3B" w:rsidRPr="002900B5" w:rsidRDefault="00386B3B" w:rsidP="006C7E8A">
      <w:pPr>
        <w:pStyle w:val="Default"/>
        <w:rPr>
          <w:sz w:val="22"/>
          <w:szCs w:val="22"/>
        </w:rPr>
      </w:pPr>
    </w:p>
    <w:p w:rsidR="0057698B" w:rsidRPr="002900B5" w:rsidRDefault="0057698B" w:rsidP="006C7E8A">
      <w:pPr>
        <w:autoSpaceDE w:val="0"/>
        <w:autoSpaceDN w:val="0"/>
        <w:adjustRightInd w:val="0"/>
        <w:ind w:left="0" w:firstLine="0"/>
        <w:rPr>
          <w:szCs w:val="22"/>
        </w:rPr>
      </w:pPr>
      <w:r w:rsidRPr="002900B5">
        <w:rPr>
          <w:szCs w:val="22"/>
        </w:rPr>
        <w:t>Tabuľka 3: Výsledky trojročnej štúdie MF 4411 (%, 95 % IS) zameranej na fraktúry</w:t>
      </w:r>
    </w:p>
    <w:p w:rsidR="0057698B" w:rsidRPr="002900B5" w:rsidRDefault="0057698B" w:rsidP="006C7E8A">
      <w:pPr>
        <w:autoSpaceDE w:val="0"/>
        <w:autoSpaceDN w:val="0"/>
        <w:adjustRightInd w:val="0"/>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07"/>
        <w:gridCol w:w="3029"/>
      </w:tblGrid>
      <w:tr w:rsidR="000C44E3" w:rsidRPr="002900B5" w:rsidTr="00372327">
        <w:tc>
          <w:tcPr>
            <w:tcW w:w="3070" w:type="dxa"/>
            <w:shd w:val="clear" w:color="auto" w:fill="auto"/>
          </w:tcPr>
          <w:p w:rsidR="000C44E3" w:rsidRPr="002900B5" w:rsidRDefault="000C44E3" w:rsidP="00372327">
            <w:pPr>
              <w:autoSpaceDE w:val="0"/>
              <w:autoSpaceDN w:val="0"/>
              <w:adjustRightInd w:val="0"/>
              <w:ind w:left="0" w:firstLine="0"/>
              <w:rPr>
                <w:szCs w:val="22"/>
              </w:rPr>
            </w:pP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Placebo </w:t>
            </w:r>
          </w:p>
          <w:p w:rsidR="000C44E3" w:rsidRPr="002900B5" w:rsidRDefault="000C44E3" w:rsidP="00372327">
            <w:pPr>
              <w:autoSpaceDE w:val="0"/>
              <w:autoSpaceDN w:val="0"/>
              <w:adjustRightInd w:val="0"/>
              <w:ind w:left="0" w:firstLine="0"/>
              <w:rPr>
                <w:szCs w:val="22"/>
              </w:rPr>
            </w:pPr>
            <w:r w:rsidRPr="002900B5">
              <w:rPr>
                <w:szCs w:val="22"/>
              </w:rPr>
              <w:t xml:space="preserve">(N = 974)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kyselina ibandrónová 2,5 mg</w:t>
            </w:r>
          </w:p>
          <w:p w:rsidR="000C44E3" w:rsidRPr="002900B5" w:rsidRDefault="000C44E3" w:rsidP="00372327">
            <w:pPr>
              <w:pStyle w:val="Default"/>
              <w:ind w:left="567" w:hanging="567"/>
              <w:rPr>
                <w:sz w:val="22"/>
                <w:szCs w:val="22"/>
              </w:rPr>
            </w:pPr>
            <w:r w:rsidRPr="002900B5">
              <w:rPr>
                <w:sz w:val="22"/>
                <w:szCs w:val="22"/>
              </w:rPr>
              <w:t xml:space="preserve">raz denne </w:t>
            </w:r>
          </w:p>
          <w:p w:rsidR="000C44E3" w:rsidRPr="002900B5" w:rsidRDefault="000C44E3" w:rsidP="00372327">
            <w:pPr>
              <w:autoSpaceDE w:val="0"/>
              <w:autoSpaceDN w:val="0"/>
              <w:adjustRightInd w:val="0"/>
              <w:ind w:left="0" w:firstLine="0"/>
              <w:rPr>
                <w:szCs w:val="22"/>
              </w:rPr>
            </w:pPr>
            <w:r w:rsidRPr="002900B5">
              <w:rPr>
                <w:szCs w:val="22"/>
              </w:rPr>
              <w:t>(N = 977)</w:t>
            </w: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Zníženie relatívneho rizika </w:t>
            </w:r>
          </w:p>
          <w:p w:rsidR="000C44E3" w:rsidRPr="002900B5" w:rsidRDefault="000C44E3" w:rsidP="00372327">
            <w:pPr>
              <w:autoSpaceDE w:val="0"/>
              <w:autoSpaceDN w:val="0"/>
              <w:adjustRightInd w:val="0"/>
              <w:ind w:left="0" w:firstLine="0"/>
              <w:rPr>
                <w:szCs w:val="22"/>
              </w:rPr>
            </w:pPr>
            <w:r w:rsidRPr="002900B5">
              <w:rPr>
                <w:szCs w:val="22"/>
              </w:rPr>
              <w:t xml:space="preserve">výskytu nových </w:t>
            </w:r>
          </w:p>
          <w:p w:rsidR="000C44E3" w:rsidRPr="002900B5" w:rsidRDefault="000C44E3" w:rsidP="00372327">
            <w:pPr>
              <w:autoSpaceDE w:val="0"/>
              <w:autoSpaceDN w:val="0"/>
              <w:adjustRightInd w:val="0"/>
              <w:ind w:left="0" w:firstLine="0"/>
              <w:rPr>
                <w:szCs w:val="22"/>
              </w:rPr>
            </w:pPr>
            <w:r w:rsidRPr="002900B5">
              <w:rPr>
                <w:szCs w:val="22"/>
              </w:rPr>
              <w:t xml:space="preserve">morfometrických </w:t>
            </w:r>
          </w:p>
          <w:p w:rsidR="000C44E3" w:rsidRPr="002900B5" w:rsidRDefault="000C44E3" w:rsidP="00372327">
            <w:pPr>
              <w:autoSpaceDE w:val="0"/>
              <w:autoSpaceDN w:val="0"/>
              <w:adjustRightInd w:val="0"/>
              <w:ind w:left="0" w:firstLine="0"/>
              <w:rPr>
                <w:szCs w:val="22"/>
              </w:rPr>
            </w:pPr>
            <w:r w:rsidRPr="002900B5">
              <w:rPr>
                <w:szCs w:val="22"/>
              </w:rPr>
              <w:t xml:space="preserve">vertebrálnych fraktúr </w:t>
            </w:r>
          </w:p>
        </w:tc>
        <w:tc>
          <w:tcPr>
            <w:tcW w:w="3070" w:type="dxa"/>
            <w:shd w:val="clear" w:color="auto" w:fill="auto"/>
          </w:tcPr>
          <w:p w:rsidR="000C44E3" w:rsidRPr="002900B5" w:rsidRDefault="000C44E3" w:rsidP="00372327">
            <w:pPr>
              <w:autoSpaceDE w:val="0"/>
              <w:autoSpaceDN w:val="0"/>
              <w:adjustRightInd w:val="0"/>
              <w:ind w:left="0" w:firstLine="0"/>
              <w:rPr>
                <w:szCs w:val="22"/>
              </w:rPr>
            </w:pP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62 % (40,9, 75,1) </w:t>
            </w:r>
          </w:p>
          <w:p w:rsidR="000C44E3" w:rsidRPr="002900B5" w:rsidRDefault="000C44E3" w:rsidP="00372327">
            <w:pPr>
              <w:autoSpaceDE w:val="0"/>
              <w:autoSpaceDN w:val="0"/>
              <w:adjustRightInd w:val="0"/>
              <w:ind w:left="0" w:firstLine="0"/>
              <w:rPr>
                <w:szCs w:val="22"/>
              </w:rPr>
            </w:pP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Výskyt nových</w:t>
            </w:r>
          </w:p>
          <w:p w:rsidR="000C44E3" w:rsidRPr="002900B5" w:rsidRDefault="000C44E3" w:rsidP="00372327">
            <w:pPr>
              <w:pStyle w:val="Default"/>
              <w:ind w:left="567" w:hanging="567"/>
              <w:rPr>
                <w:sz w:val="22"/>
                <w:szCs w:val="22"/>
              </w:rPr>
            </w:pPr>
            <w:r w:rsidRPr="002900B5">
              <w:rPr>
                <w:sz w:val="22"/>
                <w:szCs w:val="22"/>
              </w:rPr>
              <w:t>morfometrických</w:t>
            </w:r>
          </w:p>
          <w:p w:rsidR="000C44E3" w:rsidRPr="002900B5" w:rsidRDefault="000C44E3" w:rsidP="00372327">
            <w:pPr>
              <w:autoSpaceDE w:val="0"/>
              <w:autoSpaceDN w:val="0"/>
              <w:adjustRightInd w:val="0"/>
              <w:ind w:left="0" w:firstLine="0"/>
              <w:rPr>
                <w:szCs w:val="22"/>
              </w:rPr>
            </w:pPr>
            <w:r w:rsidRPr="002900B5">
              <w:rPr>
                <w:szCs w:val="22"/>
              </w:rPr>
              <w:t xml:space="preserve">vertebrálnych fraktúr </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9,56 % (7,5, 11,7)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4,68 % (3,2, 6,2) </w:t>
            </w: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Zníženie relatívneho rizika</w:t>
            </w:r>
          </w:p>
          <w:p w:rsidR="000C44E3" w:rsidRPr="002900B5" w:rsidRDefault="000C44E3" w:rsidP="00372327">
            <w:pPr>
              <w:autoSpaceDE w:val="0"/>
              <w:autoSpaceDN w:val="0"/>
              <w:adjustRightInd w:val="0"/>
              <w:ind w:left="0" w:firstLine="0"/>
              <w:rPr>
                <w:szCs w:val="22"/>
              </w:rPr>
            </w:pPr>
            <w:r w:rsidRPr="002900B5">
              <w:rPr>
                <w:szCs w:val="22"/>
              </w:rPr>
              <w:t xml:space="preserve">klinickej vertebrálnej fraktúry </w:t>
            </w:r>
          </w:p>
        </w:tc>
        <w:tc>
          <w:tcPr>
            <w:tcW w:w="3070" w:type="dxa"/>
            <w:shd w:val="clear" w:color="auto" w:fill="auto"/>
          </w:tcPr>
          <w:p w:rsidR="000C44E3" w:rsidRPr="002900B5" w:rsidRDefault="000C44E3" w:rsidP="00372327">
            <w:pPr>
              <w:autoSpaceDE w:val="0"/>
              <w:autoSpaceDN w:val="0"/>
              <w:adjustRightInd w:val="0"/>
              <w:ind w:left="0" w:firstLine="0"/>
              <w:rPr>
                <w:szCs w:val="22"/>
              </w:rPr>
            </w:pP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49 % (14,03, 69,49) </w:t>
            </w:r>
          </w:p>
          <w:p w:rsidR="000C44E3" w:rsidRPr="002900B5" w:rsidRDefault="000C44E3" w:rsidP="00372327">
            <w:pPr>
              <w:autoSpaceDE w:val="0"/>
              <w:autoSpaceDN w:val="0"/>
              <w:adjustRightInd w:val="0"/>
              <w:ind w:left="0" w:firstLine="0"/>
              <w:rPr>
                <w:szCs w:val="22"/>
              </w:rPr>
            </w:pP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Výskyt klinickej vertebrálnej</w:t>
            </w:r>
          </w:p>
          <w:p w:rsidR="000C44E3" w:rsidRPr="002900B5" w:rsidRDefault="000C44E3" w:rsidP="00372327">
            <w:pPr>
              <w:autoSpaceDE w:val="0"/>
              <w:autoSpaceDN w:val="0"/>
              <w:adjustRightInd w:val="0"/>
              <w:ind w:left="0" w:firstLine="0"/>
              <w:rPr>
                <w:szCs w:val="22"/>
              </w:rPr>
            </w:pPr>
            <w:r w:rsidRPr="002900B5">
              <w:rPr>
                <w:szCs w:val="22"/>
              </w:rPr>
              <w:t>fraktúry</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5,33 % (3,73, 6,92)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2,75 % (1,61, 3,89) </w:t>
            </w:r>
          </w:p>
        </w:tc>
      </w:tr>
      <w:tr w:rsidR="000C44E3" w:rsidRPr="002900B5" w:rsidTr="00372327">
        <w:tc>
          <w:tcPr>
            <w:tcW w:w="3070" w:type="dxa"/>
            <w:shd w:val="clear" w:color="auto" w:fill="auto"/>
          </w:tcPr>
          <w:p w:rsidR="000C44E3" w:rsidRPr="002900B5" w:rsidRDefault="000C44E3" w:rsidP="00372327">
            <w:pPr>
              <w:autoSpaceDE w:val="0"/>
              <w:autoSpaceDN w:val="0"/>
              <w:adjustRightInd w:val="0"/>
              <w:ind w:left="0" w:firstLine="0"/>
              <w:rPr>
                <w:szCs w:val="22"/>
              </w:rPr>
            </w:pPr>
            <w:r w:rsidRPr="002900B5">
              <w:rPr>
                <w:szCs w:val="22"/>
              </w:rPr>
              <w:t>BMD –</w:t>
            </w:r>
            <w:r w:rsidR="00924017" w:rsidRPr="002900B5">
              <w:rPr>
                <w:szCs w:val="22"/>
              </w:rPr>
              <w:t xml:space="preserve"> </w:t>
            </w:r>
            <w:r w:rsidR="00CF69A9" w:rsidRPr="002900B5">
              <w:rPr>
                <w:szCs w:val="22"/>
              </w:rPr>
              <w:t xml:space="preserve">priemerná zmena </w:t>
            </w:r>
            <w:r w:rsidR="00924017" w:rsidRPr="002900B5">
              <w:rPr>
                <w:szCs w:val="22"/>
              </w:rPr>
              <w:t>vzhľadom na východiskový stav driekovej chrbtice v 3. roku</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1,26 % (0,8, 1,7)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6,54 % (6,1, 7,0) </w:t>
            </w:r>
          </w:p>
        </w:tc>
      </w:tr>
      <w:tr w:rsidR="000C44E3" w:rsidRPr="002900B5" w:rsidTr="00372327">
        <w:tc>
          <w:tcPr>
            <w:tcW w:w="3070" w:type="dxa"/>
            <w:shd w:val="clear" w:color="auto" w:fill="auto"/>
          </w:tcPr>
          <w:p w:rsidR="000C44E3" w:rsidRPr="002900B5" w:rsidRDefault="000C44E3" w:rsidP="00372327">
            <w:pPr>
              <w:autoSpaceDE w:val="0"/>
              <w:autoSpaceDN w:val="0"/>
              <w:adjustRightInd w:val="0"/>
              <w:ind w:left="0" w:firstLine="0"/>
              <w:rPr>
                <w:szCs w:val="22"/>
              </w:rPr>
            </w:pPr>
            <w:r w:rsidRPr="002900B5">
              <w:rPr>
                <w:szCs w:val="22"/>
              </w:rPr>
              <w:t xml:space="preserve">BMD – </w:t>
            </w:r>
            <w:r w:rsidR="00CF69A9" w:rsidRPr="002900B5">
              <w:rPr>
                <w:szCs w:val="22"/>
              </w:rPr>
              <w:t xml:space="preserve">priemerná zmena </w:t>
            </w:r>
            <w:r w:rsidR="00924017" w:rsidRPr="002900B5">
              <w:rPr>
                <w:szCs w:val="22"/>
              </w:rPr>
              <w:t>vzhľadom na východiskový stav bedrovej oblasti v 3. roku</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-0,69 % </w:t>
            </w:r>
          </w:p>
          <w:p w:rsidR="000C44E3" w:rsidRPr="002900B5" w:rsidRDefault="000C44E3" w:rsidP="00372327">
            <w:pPr>
              <w:pStyle w:val="Default"/>
              <w:ind w:left="567" w:hanging="567"/>
              <w:rPr>
                <w:sz w:val="22"/>
                <w:szCs w:val="22"/>
              </w:rPr>
            </w:pPr>
            <w:r w:rsidRPr="002900B5">
              <w:rPr>
                <w:sz w:val="22"/>
                <w:szCs w:val="22"/>
              </w:rPr>
              <w:t xml:space="preserve">(-1,0, -0,4)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3,36 % </w:t>
            </w:r>
          </w:p>
          <w:p w:rsidR="000C44E3" w:rsidRPr="002900B5" w:rsidRDefault="000C44E3" w:rsidP="00372327">
            <w:pPr>
              <w:pStyle w:val="Default"/>
              <w:ind w:left="567" w:hanging="567"/>
              <w:rPr>
                <w:sz w:val="22"/>
                <w:szCs w:val="22"/>
              </w:rPr>
            </w:pPr>
            <w:r w:rsidRPr="002900B5">
              <w:rPr>
                <w:sz w:val="22"/>
                <w:szCs w:val="22"/>
              </w:rPr>
              <w:t xml:space="preserve">(3,0, 3,7) </w:t>
            </w:r>
          </w:p>
        </w:tc>
      </w:tr>
    </w:tbl>
    <w:p w:rsidR="003E58E4" w:rsidRPr="002900B5" w:rsidRDefault="003E58E4" w:rsidP="006C7E8A">
      <w:pPr>
        <w:autoSpaceDE w:val="0"/>
        <w:autoSpaceDN w:val="0"/>
        <w:adjustRightInd w:val="0"/>
        <w:ind w:left="0" w:firstLine="0"/>
        <w:rPr>
          <w:szCs w:val="22"/>
        </w:rPr>
      </w:pPr>
    </w:p>
    <w:p w:rsidR="0057698B" w:rsidRPr="002900B5" w:rsidRDefault="0057698B" w:rsidP="006C7E8A">
      <w:pPr>
        <w:pStyle w:val="Default"/>
        <w:rPr>
          <w:sz w:val="22"/>
          <w:szCs w:val="22"/>
        </w:rPr>
      </w:pPr>
      <w:r w:rsidRPr="002900B5">
        <w:rPr>
          <w:sz w:val="22"/>
          <w:szCs w:val="22"/>
        </w:rPr>
        <w:t xml:space="preserve">Účinok liečby kyselinou ibandrónovou sa ďalej stanovil na základe analýzy podskupiny </w:t>
      </w:r>
      <w:r w:rsidR="00586C5E" w:rsidRPr="002900B5">
        <w:rPr>
          <w:sz w:val="22"/>
          <w:szCs w:val="22"/>
        </w:rPr>
        <w:t>pacientok</w:t>
      </w:r>
      <w:r w:rsidRPr="002900B5">
        <w:rPr>
          <w:sz w:val="22"/>
          <w:szCs w:val="22"/>
        </w:rPr>
        <w:t xml:space="preserve">, ktoré mali vo východiskovom bode T-skóre BMD driekovej chrbtice nižšie ako –2,5 (tabuľka 4). Zníženie rizika vertebrálnych fraktúr bolo s tým v úplnej zhode a pozorovalo sa v celkovej populácii. </w:t>
      </w:r>
    </w:p>
    <w:p w:rsidR="0057698B" w:rsidRPr="002900B5" w:rsidRDefault="0057698B" w:rsidP="006C7E8A">
      <w:pPr>
        <w:autoSpaceDE w:val="0"/>
        <w:autoSpaceDN w:val="0"/>
        <w:adjustRightInd w:val="0"/>
        <w:ind w:left="0" w:firstLine="0"/>
        <w:rPr>
          <w:szCs w:val="22"/>
        </w:rPr>
      </w:pPr>
    </w:p>
    <w:p w:rsidR="003E58E4" w:rsidRPr="002900B5" w:rsidRDefault="0057698B" w:rsidP="006C7E8A">
      <w:pPr>
        <w:autoSpaceDE w:val="0"/>
        <w:autoSpaceDN w:val="0"/>
        <w:adjustRightInd w:val="0"/>
        <w:ind w:left="0" w:firstLine="0"/>
        <w:rPr>
          <w:szCs w:val="22"/>
        </w:rPr>
      </w:pPr>
      <w:r w:rsidRPr="002900B5">
        <w:rPr>
          <w:szCs w:val="22"/>
        </w:rPr>
        <w:t>Tabuľka 4: Výsledky trojročnej štúdie MF 4411 (%, 95 % IS) zameranej na fraktúry u pacient</w:t>
      </w:r>
      <w:r w:rsidR="00620E21" w:rsidRPr="002900B5">
        <w:rPr>
          <w:szCs w:val="22"/>
        </w:rPr>
        <w:t>o</w:t>
      </w:r>
      <w:r w:rsidRPr="002900B5">
        <w:rPr>
          <w:szCs w:val="22"/>
        </w:rPr>
        <w:t>k, ktoré mali vo východiskovom bode T-skóre BMD driekovej chrbtice nižšie ako –</w:t>
      </w:r>
      <w:r w:rsidR="00EE2F87" w:rsidRPr="002900B5">
        <w:rPr>
          <w:szCs w:val="22"/>
        </w:rPr>
        <w:t xml:space="preserve"> </w:t>
      </w:r>
      <w:r w:rsidRPr="002900B5">
        <w:rPr>
          <w:szCs w:val="22"/>
        </w:rPr>
        <w:t>2,5</w:t>
      </w:r>
    </w:p>
    <w:p w:rsidR="000C44E3" w:rsidRPr="002900B5" w:rsidRDefault="000C44E3" w:rsidP="006C7E8A">
      <w:pPr>
        <w:autoSpaceDE w:val="0"/>
        <w:autoSpaceDN w:val="0"/>
        <w:adjustRightInd w:val="0"/>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08"/>
        <w:gridCol w:w="3028"/>
      </w:tblGrid>
      <w:tr w:rsidR="000C44E3" w:rsidRPr="002900B5" w:rsidTr="00372327">
        <w:tc>
          <w:tcPr>
            <w:tcW w:w="3070" w:type="dxa"/>
            <w:shd w:val="clear" w:color="auto" w:fill="auto"/>
          </w:tcPr>
          <w:p w:rsidR="000C44E3" w:rsidRPr="002900B5" w:rsidRDefault="000C44E3" w:rsidP="00372327">
            <w:pPr>
              <w:autoSpaceDE w:val="0"/>
              <w:autoSpaceDN w:val="0"/>
              <w:adjustRightInd w:val="0"/>
              <w:ind w:left="0" w:firstLine="0"/>
              <w:rPr>
                <w:szCs w:val="22"/>
              </w:rPr>
            </w:pP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Placebo </w:t>
            </w:r>
          </w:p>
          <w:p w:rsidR="000C44E3" w:rsidRPr="002900B5" w:rsidRDefault="000C44E3" w:rsidP="00372327">
            <w:pPr>
              <w:autoSpaceDE w:val="0"/>
              <w:autoSpaceDN w:val="0"/>
              <w:adjustRightInd w:val="0"/>
              <w:ind w:left="0" w:firstLine="0"/>
              <w:rPr>
                <w:szCs w:val="22"/>
              </w:rPr>
            </w:pPr>
            <w:r w:rsidRPr="002900B5">
              <w:rPr>
                <w:szCs w:val="22"/>
              </w:rPr>
              <w:t>(N = 587)</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kyselina ibandrónová 2,5 mg</w:t>
            </w:r>
          </w:p>
          <w:p w:rsidR="000C44E3" w:rsidRPr="002900B5" w:rsidRDefault="000C44E3" w:rsidP="00372327">
            <w:pPr>
              <w:autoSpaceDE w:val="0"/>
              <w:autoSpaceDN w:val="0"/>
              <w:adjustRightInd w:val="0"/>
              <w:ind w:left="0" w:firstLine="0"/>
              <w:rPr>
                <w:szCs w:val="22"/>
              </w:rPr>
            </w:pPr>
            <w:r w:rsidRPr="002900B5">
              <w:rPr>
                <w:szCs w:val="22"/>
              </w:rPr>
              <w:t>raz denne (N = 575)</w:t>
            </w: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Zníženie relatívneho rizika </w:t>
            </w:r>
          </w:p>
          <w:p w:rsidR="000C44E3" w:rsidRPr="002900B5" w:rsidRDefault="000C44E3" w:rsidP="00372327">
            <w:pPr>
              <w:autoSpaceDE w:val="0"/>
              <w:autoSpaceDN w:val="0"/>
              <w:adjustRightInd w:val="0"/>
              <w:ind w:left="0" w:firstLine="0"/>
              <w:rPr>
                <w:szCs w:val="22"/>
              </w:rPr>
            </w:pPr>
            <w:r w:rsidRPr="002900B5">
              <w:rPr>
                <w:szCs w:val="22"/>
              </w:rPr>
              <w:t xml:space="preserve">výskytu nových </w:t>
            </w:r>
          </w:p>
          <w:p w:rsidR="000C44E3" w:rsidRPr="002900B5" w:rsidRDefault="000C44E3" w:rsidP="00372327">
            <w:pPr>
              <w:autoSpaceDE w:val="0"/>
              <w:autoSpaceDN w:val="0"/>
              <w:adjustRightInd w:val="0"/>
              <w:ind w:left="0" w:firstLine="0"/>
              <w:rPr>
                <w:szCs w:val="22"/>
              </w:rPr>
            </w:pPr>
            <w:r w:rsidRPr="002900B5">
              <w:rPr>
                <w:szCs w:val="22"/>
              </w:rPr>
              <w:t xml:space="preserve">morfometrických </w:t>
            </w:r>
          </w:p>
          <w:p w:rsidR="000C44E3" w:rsidRPr="002900B5" w:rsidRDefault="000C44E3" w:rsidP="00372327">
            <w:pPr>
              <w:autoSpaceDE w:val="0"/>
              <w:autoSpaceDN w:val="0"/>
              <w:adjustRightInd w:val="0"/>
              <w:ind w:left="0" w:firstLine="0"/>
              <w:rPr>
                <w:szCs w:val="22"/>
              </w:rPr>
            </w:pPr>
            <w:r w:rsidRPr="002900B5">
              <w:rPr>
                <w:szCs w:val="22"/>
              </w:rPr>
              <w:t xml:space="preserve">vertebrálnych fraktúr </w:t>
            </w:r>
          </w:p>
        </w:tc>
        <w:tc>
          <w:tcPr>
            <w:tcW w:w="3070" w:type="dxa"/>
            <w:shd w:val="clear" w:color="auto" w:fill="auto"/>
          </w:tcPr>
          <w:p w:rsidR="000C44E3" w:rsidRPr="002900B5" w:rsidRDefault="000C44E3" w:rsidP="00372327">
            <w:pPr>
              <w:autoSpaceDE w:val="0"/>
              <w:autoSpaceDN w:val="0"/>
              <w:adjustRightInd w:val="0"/>
              <w:ind w:left="0" w:firstLine="0"/>
              <w:rPr>
                <w:szCs w:val="22"/>
              </w:rPr>
            </w:pP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59 % (34,5, 74,3) </w:t>
            </w:r>
          </w:p>
          <w:p w:rsidR="000C44E3" w:rsidRPr="002900B5" w:rsidRDefault="000C44E3" w:rsidP="00372327">
            <w:pPr>
              <w:pStyle w:val="Default"/>
              <w:ind w:left="567" w:hanging="567"/>
              <w:rPr>
                <w:sz w:val="22"/>
                <w:szCs w:val="22"/>
              </w:rPr>
            </w:pP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Výskyt nových</w:t>
            </w:r>
          </w:p>
          <w:p w:rsidR="000C44E3" w:rsidRPr="002900B5" w:rsidRDefault="000C44E3" w:rsidP="00372327">
            <w:pPr>
              <w:pStyle w:val="Default"/>
              <w:ind w:left="567" w:hanging="567"/>
              <w:rPr>
                <w:sz w:val="22"/>
                <w:szCs w:val="22"/>
              </w:rPr>
            </w:pPr>
            <w:r w:rsidRPr="002900B5">
              <w:rPr>
                <w:sz w:val="22"/>
                <w:szCs w:val="22"/>
              </w:rPr>
              <w:t>morfometrických</w:t>
            </w:r>
          </w:p>
          <w:p w:rsidR="000C44E3" w:rsidRPr="002900B5" w:rsidRDefault="000C44E3" w:rsidP="00372327">
            <w:pPr>
              <w:autoSpaceDE w:val="0"/>
              <w:autoSpaceDN w:val="0"/>
              <w:adjustRightInd w:val="0"/>
              <w:ind w:left="0" w:firstLine="0"/>
              <w:rPr>
                <w:szCs w:val="22"/>
              </w:rPr>
            </w:pPr>
            <w:r w:rsidRPr="002900B5">
              <w:rPr>
                <w:szCs w:val="22"/>
              </w:rPr>
              <w:t xml:space="preserve">vertebrálnych fraktúr </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12,54 % (9,53, 15,55)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5,36 % (3,31, 7,41) </w:t>
            </w: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Zníženie relatívneho rizika</w:t>
            </w:r>
          </w:p>
          <w:p w:rsidR="000C44E3" w:rsidRPr="002900B5" w:rsidRDefault="000C44E3" w:rsidP="00372327">
            <w:pPr>
              <w:autoSpaceDE w:val="0"/>
              <w:autoSpaceDN w:val="0"/>
              <w:adjustRightInd w:val="0"/>
              <w:ind w:left="0" w:firstLine="0"/>
              <w:rPr>
                <w:szCs w:val="22"/>
              </w:rPr>
            </w:pPr>
            <w:r w:rsidRPr="002900B5">
              <w:rPr>
                <w:szCs w:val="22"/>
              </w:rPr>
              <w:t xml:space="preserve">klinickej vertebrálnej fraktúry </w:t>
            </w:r>
          </w:p>
        </w:tc>
        <w:tc>
          <w:tcPr>
            <w:tcW w:w="3070" w:type="dxa"/>
            <w:shd w:val="clear" w:color="auto" w:fill="auto"/>
          </w:tcPr>
          <w:p w:rsidR="000C44E3" w:rsidRPr="002900B5" w:rsidRDefault="000C44E3" w:rsidP="00372327">
            <w:pPr>
              <w:autoSpaceDE w:val="0"/>
              <w:autoSpaceDN w:val="0"/>
              <w:adjustRightInd w:val="0"/>
              <w:ind w:left="0" w:firstLine="0"/>
              <w:rPr>
                <w:szCs w:val="22"/>
              </w:rPr>
            </w:pP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50 % (9,49, 71,91) </w:t>
            </w:r>
          </w:p>
          <w:p w:rsidR="000C44E3" w:rsidRPr="002900B5" w:rsidRDefault="000C44E3" w:rsidP="00372327">
            <w:pPr>
              <w:autoSpaceDE w:val="0"/>
              <w:autoSpaceDN w:val="0"/>
              <w:adjustRightInd w:val="0"/>
              <w:ind w:left="0" w:firstLine="0"/>
              <w:rPr>
                <w:szCs w:val="22"/>
              </w:rPr>
            </w:pPr>
          </w:p>
        </w:tc>
      </w:tr>
      <w:tr w:rsidR="000C44E3" w:rsidRPr="002900B5" w:rsidTr="00372327">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Výskyt klinickej vertebrálnej</w:t>
            </w:r>
          </w:p>
          <w:p w:rsidR="000C44E3" w:rsidRPr="002900B5" w:rsidRDefault="000C44E3" w:rsidP="00372327">
            <w:pPr>
              <w:autoSpaceDE w:val="0"/>
              <w:autoSpaceDN w:val="0"/>
              <w:adjustRightInd w:val="0"/>
              <w:ind w:left="0" w:firstLine="0"/>
              <w:rPr>
                <w:szCs w:val="22"/>
              </w:rPr>
            </w:pPr>
            <w:r w:rsidRPr="002900B5">
              <w:rPr>
                <w:szCs w:val="22"/>
              </w:rPr>
              <w:t xml:space="preserve">fraktúry </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6,97 % (4,67, 9,27)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3,57 % (1,89, 5,24) </w:t>
            </w:r>
          </w:p>
        </w:tc>
      </w:tr>
      <w:tr w:rsidR="000C44E3" w:rsidRPr="002900B5" w:rsidTr="00372327">
        <w:tc>
          <w:tcPr>
            <w:tcW w:w="3070" w:type="dxa"/>
            <w:shd w:val="clear" w:color="auto" w:fill="auto"/>
          </w:tcPr>
          <w:p w:rsidR="000C44E3" w:rsidRPr="002900B5" w:rsidRDefault="000C44E3" w:rsidP="00372327">
            <w:pPr>
              <w:autoSpaceDE w:val="0"/>
              <w:autoSpaceDN w:val="0"/>
              <w:adjustRightInd w:val="0"/>
              <w:ind w:left="0" w:firstLine="0"/>
              <w:rPr>
                <w:szCs w:val="22"/>
              </w:rPr>
            </w:pPr>
            <w:r w:rsidRPr="002900B5">
              <w:rPr>
                <w:szCs w:val="22"/>
              </w:rPr>
              <w:t xml:space="preserve">BMD – </w:t>
            </w:r>
            <w:r w:rsidR="00586C5E" w:rsidRPr="002900B5">
              <w:rPr>
                <w:szCs w:val="22"/>
              </w:rPr>
              <w:t>priemerná zmena</w:t>
            </w:r>
            <w:r w:rsidR="00924017" w:rsidRPr="002900B5">
              <w:rPr>
                <w:szCs w:val="22"/>
              </w:rPr>
              <w:t xml:space="preserve"> vzhľadom na východiskový stav driekovej chrbtice v 3. roku</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1,13 % (0,6, 1,7)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7,01 % (6,5, 7,6) </w:t>
            </w:r>
          </w:p>
        </w:tc>
      </w:tr>
      <w:tr w:rsidR="000C44E3" w:rsidRPr="002900B5" w:rsidTr="00372327">
        <w:tc>
          <w:tcPr>
            <w:tcW w:w="3070" w:type="dxa"/>
            <w:shd w:val="clear" w:color="auto" w:fill="auto"/>
          </w:tcPr>
          <w:p w:rsidR="000C44E3" w:rsidRPr="002900B5" w:rsidRDefault="000C44E3" w:rsidP="00372327">
            <w:pPr>
              <w:autoSpaceDE w:val="0"/>
              <w:autoSpaceDN w:val="0"/>
              <w:adjustRightInd w:val="0"/>
              <w:ind w:left="0" w:firstLine="0"/>
              <w:rPr>
                <w:szCs w:val="22"/>
              </w:rPr>
            </w:pPr>
            <w:r w:rsidRPr="002900B5">
              <w:rPr>
                <w:szCs w:val="22"/>
              </w:rPr>
              <w:t xml:space="preserve">BMD – </w:t>
            </w:r>
            <w:r w:rsidR="00586C5E" w:rsidRPr="002900B5">
              <w:rPr>
                <w:szCs w:val="22"/>
              </w:rPr>
              <w:t xml:space="preserve">priemerná zmena </w:t>
            </w:r>
            <w:r w:rsidR="00924017" w:rsidRPr="002900B5">
              <w:rPr>
                <w:szCs w:val="22"/>
              </w:rPr>
              <w:t>vzhľadom na východiskový stav bedrovej oblasti v 3. roku</w:t>
            </w:r>
          </w:p>
        </w:tc>
        <w:tc>
          <w:tcPr>
            <w:tcW w:w="3070"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-0,70 % (-1,1, -0,2) </w:t>
            </w:r>
          </w:p>
        </w:tc>
        <w:tc>
          <w:tcPr>
            <w:tcW w:w="3071" w:type="dxa"/>
            <w:shd w:val="clear" w:color="auto" w:fill="auto"/>
          </w:tcPr>
          <w:p w:rsidR="000C44E3" w:rsidRPr="002900B5" w:rsidRDefault="000C44E3" w:rsidP="00372327">
            <w:pPr>
              <w:pStyle w:val="Default"/>
              <w:ind w:left="567" w:hanging="567"/>
              <w:rPr>
                <w:sz w:val="22"/>
                <w:szCs w:val="22"/>
              </w:rPr>
            </w:pPr>
            <w:r w:rsidRPr="002900B5">
              <w:rPr>
                <w:sz w:val="22"/>
                <w:szCs w:val="22"/>
              </w:rPr>
              <w:t xml:space="preserve">3,59 % (3,1, 4,1) </w:t>
            </w:r>
          </w:p>
        </w:tc>
      </w:tr>
    </w:tbl>
    <w:p w:rsidR="003E58E4" w:rsidRPr="002900B5" w:rsidRDefault="003E58E4" w:rsidP="006C7E8A">
      <w:pPr>
        <w:autoSpaceDE w:val="0"/>
        <w:autoSpaceDN w:val="0"/>
        <w:adjustRightInd w:val="0"/>
        <w:ind w:left="0" w:firstLine="0"/>
        <w:rPr>
          <w:szCs w:val="22"/>
        </w:rPr>
      </w:pPr>
    </w:p>
    <w:p w:rsidR="00AA3DE4" w:rsidRPr="002900B5" w:rsidRDefault="0057698B" w:rsidP="006C7E8A">
      <w:pPr>
        <w:pStyle w:val="Default"/>
        <w:rPr>
          <w:sz w:val="22"/>
          <w:szCs w:val="22"/>
        </w:rPr>
      </w:pPr>
      <w:r w:rsidRPr="002900B5">
        <w:rPr>
          <w:sz w:val="22"/>
          <w:szCs w:val="22"/>
        </w:rPr>
        <w:t xml:space="preserve">V celej populácii </w:t>
      </w:r>
      <w:r w:rsidR="00586C5E" w:rsidRPr="002900B5">
        <w:rPr>
          <w:sz w:val="22"/>
          <w:szCs w:val="22"/>
        </w:rPr>
        <w:t xml:space="preserve">pacientok </w:t>
      </w:r>
      <w:r w:rsidRPr="002900B5">
        <w:rPr>
          <w:sz w:val="22"/>
          <w:szCs w:val="22"/>
        </w:rPr>
        <w:t xml:space="preserve">v štúdii MF4411sa nezaznamenalo zníženie výskytu nevertebrálnych fraktúr, avšak pri dennom podávaní </w:t>
      </w:r>
      <w:r w:rsidR="00386B3B" w:rsidRPr="002900B5">
        <w:rPr>
          <w:sz w:val="22"/>
          <w:szCs w:val="22"/>
        </w:rPr>
        <w:t xml:space="preserve">kyseliny ibandrónovej </w:t>
      </w:r>
      <w:r w:rsidRPr="002900B5">
        <w:rPr>
          <w:sz w:val="22"/>
          <w:szCs w:val="22"/>
        </w:rPr>
        <w:t xml:space="preserve">sa dokázala účinnosť u vysoko rizikovej podskupiny </w:t>
      </w:r>
      <w:r w:rsidR="00AA3DE4" w:rsidRPr="002900B5">
        <w:rPr>
          <w:sz w:val="22"/>
          <w:szCs w:val="22"/>
        </w:rPr>
        <w:t xml:space="preserve">pacientok </w:t>
      </w:r>
      <w:r w:rsidRPr="002900B5">
        <w:rPr>
          <w:sz w:val="22"/>
          <w:szCs w:val="22"/>
        </w:rPr>
        <w:t>(s hodnotami T-skóre BMD stehnového krčku &lt; -3,0), kde sa zaznamenalo zníženie rizik</w:t>
      </w:r>
      <w:r w:rsidR="00386B3B" w:rsidRPr="002900B5">
        <w:rPr>
          <w:sz w:val="22"/>
          <w:szCs w:val="22"/>
        </w:rPr>
        <w:t xml:space="preserve">a nevertebrálnych fraktúr o 69%. </w:t>
      </w:r>
    </w:p>
    <w:p w:rsidR="0006561D" w:rsidRPr="002900B5" w:rsidRDefault="0006561D"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Denná perorálna liečba </w:t>
      </w:r>
      <w:r w:rsidR="00386B3B" w:rsidRPr="002900B5">
        <w:rPr>
          <w:sz w:val="22"/>
          <w:szCs w:val="22"/>
        </w:rPr>
        <w:t xml:space="preserve">tabletami </w:t>
      </w:r>
      <w:r w:rsidR="0091587B" w:rsidRPr="002900B5">
        <w:rPr>
          <w:sz w:val="22"/>
          <w:szCs w:val="22"/>
        </w:rPr>
        <w:t xml:space="preserve">kyseliny ibandrónovej </w:t>
      </w:r>
      <w:r w:rsidRPr="002900B5">
        <w:rPr>
          <w:sz w:val="22"/>
          <w:szCs w:val="22"/>
        </w:rPr>
        <w:t>v dávke 2,5 mg mala za následok progresívny nárast BMD na vertebrálnych i nevertebrálnych miestach kostry.</w:t>
      </w:r>
    </w:p>
    <w:p w:rsidR="0057698B" w:rsidRPr="002900B5" w:rsidRDefault="0057698B" w:rsidP="006C7E8A">
      <w:pPr>
        <w:autoSpaceDE w:val="0"/>
        <w:autoSpaceDN w:val="0"/>
        <w:adjustRightInd w:val="0"/>
        <w:ind w:left="0" w:firstLine="0"/>
        <w:rPr>
          <w:szCs w:val="22"/>
        </w:rPr>
      </w:pPr>
    </w:p>
    <w:p w:rsidR="0057698B" w:rsidRPr="002900B5" w:rsidRDefault="00BB1F0B" w:rsidP="006C7E8A">
      <w:pPr>
        <w:pStyle w:val="Default"/>
        <w:rPr>
          <w:sz w:val="22"/>
          <w:szCs w:val="22"/>
        </w:rPr>
      </w:pPr>
      <w:r w:rsidRPr="002900B5">
        <w:rPr>
          <w:sz w:val="22"/>
          <w:szCs w:val="22"/>
        </w:rPr>
        <w:t>Nárast</w:t>
      </w:r>
      <w:r w:rsidR="0057698B" w:rsidRPr="002900B5">
        <w:rPr>
          <w:sz w:val="22"/>
          <w:szCs w:val="22"/>
        </w:rPr>
        <w:t xml:space="preserve"> BMD driekovej chrbtice počas troch rokov v porovnaní s placebom bol 5,3 % a 6,5 % v porovnaní s východiskovým stavom. </w:t>
      </w:r>
      <w:r w:rsidRPr="002900B5">
        <w:rPr>
          <w:color w:val="auto"/>
          <w:sz w:val="22"/>
          <w:szCs w:val="22"/>
        </w:rPr>
        <w:t>Nárast</w:t>
      </w:r>
      <w:r w:rsidR="00B17CA8" w:rsidRPr="002900B5">
        <w:rPr>
          <w:color w:val="auto"/>
          <w:sz w:val="22"/>
          <w:szCs w:val="22"/>
        </w:rPr>
        <w:t xml:space="preserve"> BMD v bedrovej oblasti v porovnaní s východiskovou hodnotou bolo 2,8 % vo femorálnom krčku, 3,4 % v celej bedrovej oblasti a 5,5 % v trochantere.</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Biochemické markery kostného metabolizmu (napríklad CTX v moči a sérový osteokalcín) dokázali očakávanú supresiu až po hladiny pred menopauzou a maximálna supresia sa dosiahla v období 3 až 6 mesiacov používania 2,5 mg kyseliny ibandrónovej denne. </w:t>
      </w:r>
    </w:p>
    <w:p w:rsidR="0057698B" w:rsidRPr="002900B5" w:rsidRDefault="0057698B" w:rsidP="006C7E8A">
      <w:pPr>
        <w:pStyle w:val="Default"/>
        <w:rPr>
          <w:sz w:val="22"/>
          <w:szCs w:val="22"/>
        </w:rPr>
      </w:pPr>
    </w:p>
    <w:p w:rsidR="0057698B" w:rsidRPr="002900B5" w:rsidRDefault="0057698B" w:rsidP="006C7E8A">
      <w:pPr>
        <w:autoSpaceDE w:val="0"/>
        <w:autoSpaceDN w:val="0"/>
        <w:adjustRightInd w:val="0"/>
        <w:ind w:left="0" w:firstLine="0"/>
        <w:rPr>
          <w:szCs w:val="22"/>
        </w:rPr>
      </w:pPr>
      <w:r w:rsidRPr="002900B5">
        <w:rPr>
          <w:szCs w:val="22"/>
        </w:rPr>
        <w:t>Klinicky významná 50 %-ná redukcia biochemických markerov kostnej rezorbcie sa pozorovala skoro, už jeden mesiac po začiatku liečby kyselinou ibandrónovou 2,5 mg.</w:t>
      </w:r>
    </w:p>
    <w:p w:rsidR="00F34200" w:rsidRPr="002900B5" w:rsidRDefault="00F34200" w:rsidP="006C7E8A">
      <w:pPr>
        <w:autoSpaceDE w:val="0"/>
        <w:autoSpaceDN w:val="0"/>
        <w:adjustRightInd w:val="0"/>
        <w:ind w:left="0" w:firstLine="0"/>
        <w:rPr>
          <w:szCs w:val="22"/>
        </w:rPr>
      </w:pPr>
    </w:p>
    <w:p w:rsidR="00430654" w:rsidRPr="002900B5" w:rsidRDefault="003365DC" w:rsidP="006C7E8A">
      <w:pPr>
        <w:rPr>
          <w:szCs w:val="22"/>
        </w:rPr>
      </w:pPr>
      <w:r w:rsidRPr="002900B5">
        <w:rPr>
          <w:i/>
          <w:szCs w:val="22"/>
        </w:rPr>
        <w:t>Pediatrická populácia</w:t>
      </w:r>
      <w:r w:rsidR="0006561D" w:rsidRPr="002900B5">
        <w:rPr>
          <w:szCs w:val="22"/>
        </w:rPr>
        <w:t xml:space="preserve"> </w:t>
      </w:r>
      <w:r w:rsidR="001A16C3" w:rsidRPr="002900B5">
        <w:rPr>
          <w:szCs w:val="22"/>
        </w:rPr>
        <w:t>(pozri časť 4.2 a časť 5.2)</w:t>
      </w:r>
      <w:r w:rsidR="00DC313B" w:rsidRPr="002900B5">
        <w:rPr>
          <w:szCs w:val="22"/>
        </w:rPr>
        <w:t xml:space="preserve"> </w:t>
      </w:r>
    </w:p>
    <w:p w:rsidR="00F34200" w:rsidRPr="002900B5" w:rsidRDefault="00F34200" w:rsidP="006C7E8A">
      <w:pPr>
        <w:ind w:left="0" w:firstLine="0"/>
        <w:rPr>
          <w:szCs w:val="22"/>
        </w:rPr>
      </w:pPr>
      <w:r w:rsidRPr="002900B5">
        <w:rPr>
          <w:szCs w:val="22"/>
        </w:rPr>
        <w:t xml:space="preserve">Kyselina ibandrónová nebola skúmaná u detí a dospievajúcich, preto nie sú k dispozícii žiadne údaje </w:t>
      </w:r>
      <w:r w:rsidR="00C867D3" w:rsidRPr="002900B5">
        <w:rPr>
          <w:szCs w:val="22"/>
        </w:rPr>
        <w:t xml:space="preserve">o </w:t>
      </w:r>
      <w:r w:rsidRPr="002900B5">
        <w:rPr>
          <w:szCs w:val="22"/>
        </w:rPr>
        <w:t>účinnosti a bezpečnosti pre túto skupinu pacientov.</w:t>
      </w:r>
    </w:p>
    <w:p w:rsidR="00F34200" w:rsidRPr="002900B5" w:rsidRDefault="00F34200" w:rsidP="006C7E8A">
      <w:pPr>
        <w:autoSpaceDE w:val="0"/>
        <w:autoSpaceDN w:val="0"/>
        <w:adjustRightInd w:val="0"/>
        <w:ind w:left="0" w:firstLine="0"/>
        <w:rPr>
          <w:szCs w:val="22"/>
        </w:rPr>
      </w:pPr>
    </w:p>
    <w:p w:rsidR="00780926" w:rsidRPr="002900B5" w:rsidRDefault="00780926" w:rsidP="006C7E8A">
      <w:pPr>
        <w:rPr>
          <w:b/>
          <w:szCs w:val="22"/>
        </w:rPr>
      </w:pPr>
      <w:r w:rsidRPr="002900B5">
        <w:rPr>
          <w:b/>
          <w:szCs w:val="22"/>
        </w:rPr>
        <w:t>5.2</w:t>
      </w:r>
      <w:r w:rsidRPr="002900B5">
        <w:rPr>
          <w:b/>
          <w:szCs w:val="22"/>
        </w:rPr>
        <w:tab/>
        <w:t>Farmakokinetické vlastnosti</w:t>
      </w:r>
    </w:p>
    <w:p w:rsidR="00E1698A" w:rsidRPr="002900B5" w:rsidRDefault="00E1698A" w:rsidP="006C7E8A">
      <w:pPr>
        <w:rPr>
          <w:szCs w:val="22"/>
        </w:rPr>
      </w:pPr>
    </w:p>
    <w:p w:rsidR="0057698B" w:rsidRPr="002900B5" w:rsidRDefault="0057698B" w:rsidP="006C7E8A">
      <w:pPr>
        <w:pStyle w:val="Default"/>
        <w:rPr>
          <w:sz w:val="22"/>
          <w:szCs w:val="22"/>
        </w:rPr>
      </w:pPr>
      <w:r w:rsidRPr="002900B5">
        <w:rPr>
          <w:sz w:val="22"/>
          <w:szCs w:val="22"/>
        </w:rPr>
        <w:t xml:space="preserve">Primárne farmakologické účinky kyseliny ibandrónovej na kosť nesúvisia priamo s aktuálnymi koncentráciami v plazme, ako dokázali rôzne štúdie </w:t>
      </w:r>
      <w:r w:rsidR="00BB1F0B" w:rsidRPr="002900B5">
        <w:rPr>
          <w:sz w:val="22"/>
          <w:szCs w:val="22"/>
        </w:rPr>
        <w:t>na</w:t>
      </w:r>
      <w:r w:rsidRPr="002900B5">
        <w:rPr>
          <w:sz w:val="22"/>
          <w:szCs w:val="22"/>
        </w:rPr>
        <w:t xml:space="preserve"> zvierat</w:t>
      </w:r>
      <w:r w:rsidR="00BB1F0B" w:rsidRPr="002900B5">
        <w:rPr>
          <w:sz w:val="22"/>
          <w:szCs w:val="22"/>
        </w:rPr>
        <w:t>ách</w:t>
      </w:r>
      <w:r w:rsidRPr="002900B5">
        <w:rPr>
          <w:sz w:val="22"/>
          <w:szCs w:val="22"/>
        </w:rPr>
        <w:t xml:space="preserve"> aj u ľudí. </w:t>
      </w:r>
    </w:p>
    <w:p w:rsidR="0057698B" w:rsidRPr="002900B5" w:rsidRDefault="0057698B" w:rsidP="006C7E8A">
      <w:pPr>
        <w:pStyle w:val="Default"/>
        <w:rPr>
          <w:sz w:val="22"/>
          <w:szCs w:val="22"/>
        </w:rPr>
      </w:pPr>
      <w:r w:rsidRPr="002900B5">
        <w:rPr>
          <w:sz w:val="22"/>
          <w:szCs w:val="22"/>
        </w:rPr>
        <w:t xml:space="preserve">Plazmatické koncentrácie kyseliny ibandrónovej sa po intravenóznom podaní 0,5 mg až 6 mg zvyšujú </w:t>
      </w:r>
    </w:p>
    <w:p w:rsidR="0057698B" w:rsidRPr="002900B5" w:rsidRDefault="0057698B" w:rsidP="006C7E8A">
      <w:pPr>
        <w:pStyle w:val="Default"/>
        <w:rPr>
          <w:sz w:val="22"/>
          <w:szCs w:val="22"/>
        </w:rPr>
      </w:pPr>
      <w:r w:rsidRPr="002900B5">
        <w:rPr>
          <w:sz w:val="22"/>
          <w:szCs w:val="22"/>
        </w:rPr>
        <w:t xml:space="preserve">úmerne dávke. </w:t>
      </w:r>
    </w:p>
    <w:p w:rsidR="0057698B" w:rsidRPr="002900B5" w:rsidRDefault="0057698B" w:rsidP="006C7E8A">
      <w:pPr>
        <w:pStyle w:val="Default"/>
        <w:rPr>
          <w:sz w:val="22"/>
          <w:szCs w:val="22"/>
          <w:u w:val="single"/>
        </w:rPr>
      </w:pPr>
    </w:p>
    <w:p w:rsidR="0057698B" w:rsidRPr="002900B5" w:rsidRDefault="0057698B" w:rsidP="006C7E8A">
      <w:pPr>
        <w:pStyle w:val="Default"/>
        <w:rPr>
          <w:sz w:val="22"/>
          <w:szCs w:val="22"/>
        </w:rPr>
      </w:pPr>
      <w:r w:rsidRPr="002900B5">
        <w:rPr>
          <w:i/>
          <w:iCs/>
          <w:sz w:val="22"/>
          <w:szCs w:val="22"/>
        </w:rPr>
        <w:t xml:space="preserve">Absorpcia </w:t>
      </w:r>
    </w:p>
    <w:p w:rsidR="0057698B" w:rsidRPr="002900B5" w:rsidRDefault="0057698B" w:rsidP="006C7E8A">
      <w:pPr>
        <w:pStyle w:val="Default"/>
        <w:rPr>
          <w:sz w:val="22"/>
          <w:szCs w:val="22"/>
        </w:rPr>
      </w:pPr>
      <w:r w:rsidRPr="002900B5">
        <w:rPr>
          <w:sz w:val="22"/>
          <w:szCs w:val="22"/>
        </w:rPr>
        <w:t xml:space="preserve">Neaplikovateľné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i/>
          <w:iCs/>
          <w:sz w:val="22"/>
          <w:szCs w:val="22"/>
        </w:rPr>
        <w:t xml:space="preserve">Distribúcia </w:t>
      </w:r>
    </w:p>
    <w:p w:rsidR="0057698B" w:rsidRPr="002900B5" w:rsidRDefault="0057698B" w:rsidP="006C7E8A">
      <w:pPr>
        <w:pStyle w:val="Default"/>
        <w:rPr>
          <w:sz w:val="22"/>
          <w:szCs w:val="22"/>
        </w:rPr>
      </w:pPr>
      <w:r w:rsidRPr="002900B5">
        <w:rPr>
          <w:sz w:val="22"/>
          <w:szCs w:val="22"/>
        </w:rPr>
        <w:t xml:space="preserve">Kyselina ibandrónová sa po počiatočnej systémovej expozícii rýchlo viaže na kosť alebo sa vylúči do moču. U ľudí je zrejmý terminálny distribučný objem najmenej </w:t>
      </w:r>
      <w:smartTag w:uri="urn:schemas-microsoft-com:office:smarttags" w:element="metricconverter">
        <w:smartTagPr>
          <w:attr w:name="ProductID" w:val="90 l"/>
        </w:smartTagPr>
        <w:r w:rsidRPr="002900B5">
          <w:rPr>
            <w:sz w:val="22"/>
            <w:szCs w:val="22"/>
          </w:rPr>
          <w:t>90 l</w:t>
        </w:r>
      </w:smartTag>
      <w:r w:rsidRPr="002900B5">
        <w:rPr>
          <w:sz w:val="22"/>
          <w:szCs w:val="22"/>
        </w:rPr>
        <w:t xml:space="preserve"> a množstvo dávky, ktoré sa </w:t>
      </w:r>
      <w:r w:rsidRPr="002900B5">
        <w:rPr>
          <w:sz w:val="22"/>
          <w:szCs w:val="22"/>
        </w:rPr>
        <w:lastRenderedPageBreak/>
        <w:t xml:space="preserve">dostane do kosti, sa odhaduje na 40 až 50 % cirkulujúcej dávky. Väzba na proteíny v ľudskej plazme je približne 85 až 87 % (stanovená </w:t>
      </w:r>
      <w:r w:rsidRPr="002900B5">
        <w:rPr>
          <w:i/>
          <w:iCs/>
          <w:sz w:val="22"/>
          <w:szCs w:val="22"/>
        </w:rPr>
        <w:t xml:space="preserve">in vitro </w:t>
      </w:r>
      <w:r w:rsidRPr="002900B5">
        <w:rPr>
          <w:sz w:val="22"/>
          <w:szCs w:val="22"/>
        </w:rPr>
        <w:t xml:space="preserve">pri terapeutických koncentráciách kyseliny ibandrónovej), a preto existuje len malý potenciál interakcie s inými liekmi v dôsledku vytesnenia. </w:t>
      </w:r>
    </w:p>
    <w:p w:rsidR="0057698B" w:rsidRPr="002900B5" w:rsidRDefault="0057698B" w:rsidP="006C7E8A">
      <w:pPr>
        <w:pStyle w:val="Default"/>
        <w:rPr>
          <w:sz w:val="22"/>
          <w:szCs w:val="22"/>
        </w:rPr>
      </w:pPr>
    </w:p>
    <w:p w:rsidR="0057698B" w:rsidRPr="002900B5" w:rsidRDefault="003365DC" w:rsidP="006C7E8A">
      <w:pPr>
        <w:pStyle w:val="Default"/>
        <w:rPr>
          <w:sz w:val="22"/>
          <w:szCs w:val="22"/>
        </w:rPr>
      </w:pPr>
      <w:r w:rsidRPr="002900B5">
        <w:rPr>
          <w:i/>
          <w:iCs/>
          <w:sz w:val="22"/>
          <w:szCs w:val="22"/>
        </w:rPr>
        <w:t xml:space="preserve">Biotransformácia </w:t>
      </w:r>
    </w:p>
    <w:p w:rsidR="0057698B" w:rsidRPr="002900B5" w:rsidRDefault="0057698B" w:rsidP="006C7E8A">
      <w:pPr>
        <w:pStyle w:val="Default"/>
        <w:rPr>
          <w:sz w:val="22"/>
          <w:szCs w:val="22"/>
        </w:rPr>
      </w:pPr>
      <w:r w:rsidRPr="002900B5">
        <w:rPr>
          <w:sz w:val="22"/>
          <w:szCs w:val="22"/>
        </w:rPr>
        <w:t xml:space="preserve">Neexistuje žiadny dôkaz, že kyselina ibandrónová je u zvierat alebo u ľudí metabolizovaná.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i/>
          <w:iCs/>
          <w:sz w:val="22"/>
          <w:szCs w:val="22"/>
        </w:rPr>
        <w:t xml:space="preserve">Eliminácia </w:t>
      </w:r>
    </w:p>
    <w:p w:rsidR="0057698B" w:rsidRPr="002900B5" w:rsidRDefault="0057698B" w:rsidP="006C7E8A">
      <w:pPr>
        <w:pStyle w:val="Default"/>
        <w:rPr>
          <w:sz w:val="22"/>
          <w:szCs w:val="22"/>
        </w:rPr>
      </w:pPr>
      <w:r w:rsidRPr="002900B5">
        <w:rPr>
          <w:sz w:val="22"/>
          <w:szCs w:val="22"/>
        </w:rPr>
        <w:t>Kyselina ibandrónová sa eliminuje z</w:t>
      </w:r>
      <w:r w:rsidR="00B61E90" w:rsidRPr="002900B5">
        <w:rPr>
          <w:sz w:val="22"/>
          <w:szCs w:val="22"/>
        </w:rPr>
        <w:t xml:space="preserve"> krvného </w:t>
      </w:r>
      <w:r w:rsidRPr="002900B5">
        <w:rPr>
          <w:sz w:val="22"/>
          <w:szCs w:val="22"/>
        </w:rPr>
        <w:t xml:space="preserve">obehu prostredníctvom kostnej absorpcie (odhaduje sa, že je to 40 až 50 % absorpcie u žien po menopauze) a zvyšok je eliminovaný v nezmenenom stave obličkami.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Rozsah pozorovaných zrejmých polčasov je široký, zdanlivý terminálny polčas sa vo všeobecnosti pohybuje v rozsahu 10 – 72 hodín. Keďže vypočítané hodnoty sú z veľkej časti závislé od dĺžky štúdie, použitej dávky a citlivosti testu, skutočný terminálny polčas je pravdepodobne podstatne dlhší, rovnako ako u ostatných bisfosfonátov. </w:t>
      </w:r>
      <w:r w:rsidR="00B61E90" w:rsidRPr="002900B5">
        <w:rPr>
          <w:sz w:val="22"/>
          <w:szCs w:val="22"/>
        </w:rPr>
        <w:t>Začiatočné</w:t>
      </w:r>
      <w:r w:rsidRPr="002900B5">
        <w:rPr>
          <w:sz w:val="22"/>
          <w:szCs w:val="22"/>
        </w:rPr>
        <w:t xml:space="preserve"> plazmatické hladiny rýchlo klesajú dosahujúc 10 % maximálnych hodnôt po </w:t>
      </w:r>
      <w:smartTag w:uri="urn:schemas-microsoft-com:office:smarttags" w:element="metricconverter">
        <w:smartTagPr>
          <w:attr w:name="ProductID" w:val="3 a"/>
        </w:smartTagPr>
        <w:r w:rsidRPr="002900B5">
          <w:rPr>
            <w:sz w:val="22"/>
            <w:szCs w:val="22"/>
          </w:rPr>
          <w:t>3 a</w:t>
        </w:r>
      </w:smartTag>
      <w:r w:rsidRPr="002900B5">
        <w:rPr>
          <w:sz w:val="22"/>
          <w:szCs w:val="22"/>
        </w:rPr>
        <w:t xml:space="preserve"> 8 hodinách po intravenóznom alebo perorálnom podaní.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 xml:space="preserve">Celkový klírens kyseliny ibandrónovej je nízky s priemernými hodnotami v rozsahu 84 až 160 ml/min. Renálny klírens (približne 60 ml/min u zdravých žien po menopauze) </w:t>
      </w:r>
      <w:r w:rsidR="00FE1401" w:rsidRPr="002900B5">
        <w:rPr>
          <w:sz w:val="22"/>
          <w:szCs w:val="22"/>
        </w:rPr>
        <w:t>predstavuje</w:t>
      </w:r>
      <w:r w:rsidRPr="002900B5">
        <w:rPr>
          <w:sz w:val="22"/>
          <w:szCs w:val="22"/>
        </w:rPr>
        <w:t xml:space="preserve"> 50 – 60 % celkového klírensu a súvisí s klírensom kreatinínu. Rozdiel medzi zdanlivým celkovým a renálnym klírensom sa odráža vychytávanie liečiva kosťou. </w:t>
      </w:r>
    </w:p>
    <w:p w:rsidR="001A16C3" w:rsidRPr="002900B5" w:rsidRDefault="001A16C3" w:rsidP="006C7E8A">
      <w:pPr>
        <w:pStyle w:val="Default"/>
        <w:rPr>
          <w:sz w:val="22"/>
          <w:szCs w:val="22"/>
        </w:rPr>
      </w:pPr>
    </w:p>
    <w:p w:rsidR="001A16C3" w:rsidRPr="002900B5" w:rsidRDefault="001A16C3" w:rsidP="006C7E8A">
      <w:pPr>
        <w:pStyle w:val="Default"/>
        <w:rPr>
          <w:sz w:val="22"/>
          <w:szCs w:val="22"/>
        </w:rPr>
      </w:pPr>
      <w:r w:rsidRPr="002900B5">
        <w:rPr>
          <w:sz w:val="22"/>
          <w:szCs w:val="22"/>
        </w:rPr>
        <w:t>Zdá sa, že sekrečná dráha j eliminácie nezahŕňa známe kyslé alebo zásadité transportné systémy podieľajúce sa na vylučovaní iných liečiv. Okrem toho kyselina ibandrónová neinhibuje hlavné izoenzýmy pečeňového cytochrómového systému P450 u ľudí a neindukuje pečeňový cytochrómový systém P450 u potkanov.</w:t>
      </w:r>
    </w:p>
    <w:p w:rsidR="0057698B" w:rsidRPr="002900B5" w:rsidRDefault="0057698B" w:rsidP="006C7E8A">
      <w:pPr>
        <w:pStyle w:val="Default"/>
        <w:rPr>
          <w:sz w:val="22"/>
          <w:szCs w:val="22"/>
        </w:rPr>
      </w:pPr>
    </w:p>
    <w:p w:rsidR="0057698B" w:rsidRPr="002900B5" w:rsidRDefault="0057698B" w:rsidP="006C7E8A">
      <w:pPr>
        <w:pStyle w:val="Default"/>
        <w:ind w:left="560" w:hanging="560"/>
        <w:rPr>
          <w:sz w:val="22"/>
          <w:szCs w:val="22"/>
          <w:u w:val="single"/>
        </w:rPr>
      </w:pPr>
      <w:r w:rsidRPr="002900B5">
        <w:rPr>
          <w:sz w:val="22"/>
          <w:szCs w:val="22"/>
          <w:u w:val="single"/>
        </w:rPr>
        <w:t xml:space="preserve">Farmakokinetika v </w:t>
      </w:r>
      <w:r w:rsidR="00BB1F0B" w:rsidRPr="002900B5">
        <w:rPr>
          <w:sz w:val="22"/>
          <w:szCs w:val="22"/>
        </w:rPr>
        <w:t>osobitných</w:t>
      </w:r>
      <w:r w:rsidRPr="002900B5">
        <w:rPr>
          <w:sz w:val="22"/>
          <w:szCs w:val="22"/>
          <w:u w:val="single"/>
        </w:rPr>
        <w:t xml:space="preserve"> klinických situáciách </w:t>
      </w:r>
    </w:p>
    <w:p w:rsidR="0057698B" w:rsidRPr="002900B5" w:rsidRDefault="0057698B" w:rsidP="006C7E8A">
      <w:pPr>
        <w:pStyle w:val="Default"/>
        <w:ind w:left="560" w:hanging="560"/>
        <w:rPr>
          <w:sz w:val="22"/>
          <w:szCs w:val="22"/>
        </w:rPr>
      </w:pPr>
    </w:p>
    <w:p w:rsidR="0057698B" w:rsidRPr="002900B5" w:rsidRDefault="0057698B" w:rsidP="006C7E8A">
      <w:pPr>
        <w:pStyle w:val="Default"/>
        <w:rPr>
          <w:sz w:val="22"/>
          <w:szCs w:val="22"/>
        </w:rPr>
      </w:pPr>
      <w:r w:rsidRPr="002900B5">
        <w:rPr>
          <w:i/>
          <w:iCs/>
          <w:sz w:val="22"/>
          <w:szCs w:val="22"/>
        </w:rPr>
        <w:t xml:space="preserve">Pohlavie </w:t>
      </w:r>
    </w:p>
    <w:p w:rsidR="0057698B" w:rsidRPr="002900B5" w:rsidRDefault="0057698B" w:rsidP="006C7E8A">
      <w:pPr>
        <w:pStyle w:val="Default"/>
        <w:rPr>
          <w:sz w:val="22"/>
          <w:szCs w:val="22"/>
        </w:rPr>
      </w:pPr>
      <w:r w:rsidRPr="002900B5">
        <w:rPr>
          <w:sz w:val="22"/>
          <w:szCs w:val="22"/>
        </w:rPr>
        <w:t xml:space="preserve">Farmakokinetika kyseliny ibandrónovej je u mužov a žien podobná.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i/>
          <w:iCs/>
          <w:sz w:val="22"/>
          <w:szCs w:val="22"/>
        </w:rPr>
        <w:t xml:space="preserve">Rasa </w:t>
      </w:r>
    </w:p>
    <w:p w:rsidR="00276C66" w:rsidRPr="002900B5" w:rsidRDefault="0057698B" w:rsidP="006C7E8A">
      <w:pPr>
        <w:ind w:left="0" w:firstLine="0"/>
        <w:rPr>
          <w:szCs w:val="22"/>
        </w:rPr>
      </w:pPr>
      <w:r w:rsidRPr="002900B5">
        <w:rPr>
          <w:szCs w:val="22"/>
        </w:rPr>
        <w:t xml:space="preserve">Pokiaľ ide o vylučovanie kyseliny ibandrónovej, neexistuje žiadny dôkaz klinicky významných etnických rozdielov medzi </w:t>
      </w:r>
      <w:r w:rsidR="00C369CF" w:rsidRPr="002900B5">
        <w:rPr>
          <w:szCs w:val="22"/>
        </w:rPr>
        <w:t>A</w:t>
      </w:r>
      <w:r w:rsidRPr="002900B5">
        <w:rPr>
          <w:szCs w:val="22"/>
        </w:rPr>
        <w:t xml:space="preserve">ziatmi a belochmi. </w:t>
      </w:r>
      <w:r w:rsidR="001A16C3" w:rsidRPr="002900B5">
        <w:rPr>
          <w:szCs w:val="22"/>
        </w:rPr>
        <w:t xml:space="preserve">Dostupnú sú obmedzené údaje </w:t>
      </w:r>
      <w:r w:rsidRPr="002900B5">
        <w:rPr>
          <w:szCs w:val="22"/>
        </w:rPr>
        <w:t>o pacient</w:t>
      </w:r>
      <w:r w:rsidR="00620E21" w:rsidRPr="002900B5">
        <w:rPr>
          <w:szCs w:val="22"/>
        </w:rPr>
        <w:t>kach</w:t>
      </w:r>
      <w:r w:rsidRPr="002900B5">
        <w:rPr>
          <w:szCs w:val="22"/>
        </w:rPr>
        <w:t xml:space="preserve"> afrického pôvodu.</w:t>
      </w:r>
    </w:p>
    <w:p w:rsidR="0057698B" w:rsidRPr="002900B5" w:rsidRDefault="0057698B" w:rsidP="006C7E8A">
      <w:pPr>
        <w:ind w:left="0" w:firstLine="0"/>
        <w:rPr>
          <w:szCs w:val="22"/>
        </w:rPr>
      </w:pPr>
    </w:p>
    <w:p w:rsidR="0057698B" w:rsidRPr="002900B5" w:rsidRDefault="0020108C" w:rsidP="006C7E8A">
      <w:pPr>
        <w:pStyle w:val="Default"/>
        <w:rPr>
          <w:sz w:val="22"/>
          <w:szCs w:val="22"/>
        </w:rPr>
      </w:pPr>
      <w:r w:rsidRPr="002900B5">
        <w:rPr>
          <w:i/>
          <w:iCs/>
          <w:sz w:val="22"/>
          <w:szCs w:val="22"/>
        </w:rPr>
        <w:t>Po</w:t>
      </w:r>
      <w:r w:rsidR="00585517" w:rsidRPr="002900B5">
        <w:rPr>
          <w:i/>
          <w:iCs/>
          <w:sz w:val="22"/>
          <w:szCs w:val="22"/>
        </w:rPr>
        <w:t>rucha</w:t>
      </w:r>
      <w:r w:rsidRPr="002900B5">
        <w:rPr>
          <w:i/>
          <w:iCs/>
          <w:sz w:val="22"/>
          <w:szCs w:val="22"/>
        </w:rPr>
        <w:t xml:space="preserve"> </w:t>
      </w:r>
      <w:r w:rsidR="0057698B" w:rsidRPr="002900B5">
        <w:rPr>
          <w:i/>
          <w:iCs/>
          <w:sz w:val="22"/>
          <w:szCs w:val="22"/>
        </w:rPr>
        <w:t xml:space="preserve">funkcie obličiek </w:t>
      </w:r>
    </w:p>
    <w:p w:rsidR="0057698B" w:rsidRPr="002900B5" w:rsidRDefault="0057698B" w:rsidP="006C7E8A">
      <w:pPr>
        <w:pStyle w:val="Default"/>
        <w:rPr>
          <w:sz w:val="22"/>
          <w:szCs w:val="22"/>
        </w:rPr>
      </w:pPr>
      <w:r w:rsidRPr="002900B5">
        <w:rPr>
          <w:sz w:val="22"/>
          <w:szCs w:val="22"/>
        </w:rPr>
        <w:t>Renálny klírens kyseliny ibandrónovej u paciento</w:t>
      </w:r>
      <w:r w:rsidR="00620E21" w:rsidRPr="002900B5">
        <w:rPr>
          <w:sz w:val="22"/>
          <w:szCs w:val="22"/>
        </w:rPr>
        <w:t>k</w:t>
      </w:r>
      <w:r w:rsidRPr="002900B5">
        <w:rPr>
          <w:sz w:val="22"/>
          <w:szCs w:val="22"/>
        </w:rPr>
        <w:t xml:space="preserve"> s rôznymi stupňami </w:t>
      </w:r>
      <w:r w:rsidR="00BB1F0B" w:rsidRPr="002900B5">
        <w:rPr>
          <w:sz w:val="22"/>
          <w:szCs w:val="22"/>
        </w:rPr>
        <w:t xml:space="preserve">poruchy </w:t>
      </w:r>
      <w:r w:rsidRPr="002900B5">
        <w:rPr>
          <w:sz w:val="22"/>
          <w:szCs w:val="22"/>
        </w:rPr>
        <w:t>fun</w:t>
      </w:r>
      <w:r w:rsidR="0033036A" w:rsidRPr="002900B5">
        <w:rPr>
          <w:sz w:val="22"/>
          <w:szCs w:val="22"/>
        </w:rPr>
        <w:t>k</w:t>
      </w:r>
      <w:r w:rsidRPr="002900B5">
        <w:rPr>
          <w:sz w:val="22"/>
          <w:szCs w:val="22"/>
        </w:rPr>
        <w:t xml:space="preserve">cie obličiek je lineárne úmerný klírensu kreatinínu (CLcr).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sz w:val="22"/>
          <w:szCs w:val="22"/>
        </w:rPr>
        <w:t>U paciento</w:t>
      </w:r>
      <w:r w:rsidR="00620E21" w:rsidRPr="002900B5">
        <w:rPr>
          <w:sz w:val="22"/>
          <w:szCs w:val="22"/>
        </w:rPr>
        <w:t>k</w:t>
      </w:r>
      <w:r w:rsidRPr="002900B5">
        <w:rPr>
          <w:sz w:val="22"/>
          <w:szCs w:val="22"/>
        </w:rPr>
        <w:t xml:space="preserve"> s miernou alebo stredne </w:t>
      </w:r>
      <w:r w:rsidR="00BB1F0B" w:rsidRPr="002900B5">
        <w:rPr>
          <w:sz w:val="22"/>
          <w:szCs w:val="22"/>
        </w:rPr>
        <w:t>závažnou</w:t>
      </w:r>
      <w:r w:rsidRPr="002900B5">
        <w:rPr>
          <w:sz w:val="22"/>
          <w:szCs w:val="22"/>
        </w:rPr>
        <w:t xml:space="preserve"> </w:t>
      </w:r>
      <w:r w:rsidR="00386B3B" w:rsidRPr="002900B5">
        <w:rPr>
          <w:sz w:val="22"/>
          <w:szCs w:val="22"/>
        </w:rPr>
        <w:t>poruchou funkcie obličiek</w:t>
      </w:r>
      <w:r w:rsidRPr="002900B5">
        <w:rPr>
          <w:sz w:val="22"/>
          <w:szCs w:val="22"/>
        </w:rPr>
        <w:t xml:space="preserve"> (CLcr rovný alebo väčší ako 30</w:t>
      </w:r>
      <w:r w:rsidR="00BB1F0B" w:rsidRPr="002900B5">
        <w:rPr>
          <w:sz w:val="22"/>
          <w:szCs w:val="22"/>
        </w:rPr>
        <w:t xml:space="preserve"> ml</w:t>
      </w:r>
      <w:r w:rsidRPr="002900B5">
        <w:rPr>
          <w:sz w:val="22"/>
          <w:szCs w:val="22"/>
        </w:rPr>
        <w:t xml:space="preserve">/min) nie je potrebné upraviť dávku. </w:t>
      </w:r>
    </w:p>
    <w:p w:rsidR="0057698B" w:rsidRPr="002900B5" w:rsidRDefault="0057698B" w:rsidP="006C7E8A">
      <w:pPr>
        <w:pStyle w:val="Default"/>
        <w:rPr>
          <w:sz w:val="22"/>
          <w:szCs w:val="22"/>
        </w:rPr>
      </w:pPr>
    </w:p>
    <w:p w:rsidR="0057698B" w:rsidRPr="002900B5" w:rsidRDefault="00B3254F" w:rsidP="006C7E8A">
      <w:pPr>
        <w:pStyle w:val="Default"/>
        <w:rPr>
          <w:sz w:val="22"/>
          <w:szCs w:val="22"/>
        </w:rPr>
      </w:pPr>
      <w:r w:rsidRPr="002900B5">
        <w:rPr>
          <w:sz w:val="22"/>
          <w:szCs w:val="22"/>
        </w:rPr>
        <w:t>Osoby</w:t>
      </w:r>
      <w:r w:rsidR="0057698B" w:rsidRPr="002900B5">
        <w:rPr>
          <w:sz w:val="22"/>
          <w:szCs w:val="22"/>
        </w:rPr>
        <w:t xml:space="preserve"> s</w:t>
      </w:r>
      <w:r w:rsidR="00BB1F0B" w:rsidRPr="002900B5">
        <w:rPr>
          <w:sz w:val="22"/>
          <w:szCs w:val="22"/>
        </w:rPr>
        <w:t>o závažnou</w:t>
      </w:r>
      <w:r w:rsidR="0057698B" w:rsidRPr="002900B5">
        <w:rPr>
          <w:sz w:val="22"/>
          <w:szCs w:val="22"/>
        </w:rPr>
        <w:t xml:space="preserve"> po</w:t>
      </w:r>
      <w:r w:rsidR="00BB1F0B" w:rsidRPr="002900B5">
        <w:rPr>
          <w:sz w:val="22"/>
          <w:szCs w:val="22"/>
        </w:rPr>
        <w:t>ruchou</w:t>
      </w:r>
      <w:r w:rsidR="0057698B" w:rsidRPr="002900B5">
        <w:rPr>
          <w:sz w:val="22"/>
          <w:szCs w:val="22"/>
        </w:rPr>
        <w:t xml:space="preserve"> funkcie obličiek (CLcr menší ako 30 ml/min), ktorí denne dostávali perorálnu dávku 10 mg kyseliny ibandrónovej počas 21 dní, mali 2 až 3-krát vyššie plazmatické koncentrácie ako pacient</w:t>
      </w:r>
      <w:r w:rsidR="00620E21" w:rsidRPr="002900B5">
        <w:rPr>
          <w:sz w:val="22"/>
          <w:szCs w:val="22"/>
        </w:rPr>
        <w:t>ky</w:t>
      </w:r>
      <w:r w:rsidR="0057698B" w:rsidRPr="002900B5">
        <w:rPr>
          <w:sz w:val="22"/>
          <w:szCs w:val="22"/>
        </w:rPr>
        <w:t xml:space="preserve"> s normálnou renálnou funkciou a celkový klírens kyseliny ibandrónovej u nich bol 44 ml/min. Po intravenóznom podaní 0,5 mg kyseliny ibandrónovej pacientom s ťažkým stupňom </w:t>
      </w:r>
      <w:r w:rsidR="00386B3B" w:rsidRPr="002900B5">
        <w:rPr>
          <w:sz w:val="22"/>
          <w:szCs w:val="22"/>
        </w:rPr>
        <w:t>zlyhania obličiek</w:t>
      </w:r>
      <w:r w:rsidR="0057698B" w:rsidRPr="002900B5">
        <w:rPr>
          <w:sz w:val="22"/>
          <w:szCs w:val="22"/>
        </w:rPr>
        <w:t xml:space="preserve"> poklesol celkový klírens o 67 %, renálny klírens o 77 % a nerenálny klírens o 50 %. Avšak nepozorovalo sa žiadne zníženie znášanlivosti spojené so zvýšením expozície. Vzhľadom na obmedzené klinické skúsenosti sa </w:t>
      </w:r>
      <w:r w:rsidR="00386B3B" w:rsidRPr="002900B5">
        <w:rPr>
          <w:sz w:val="22"/>
          <w:szCs w:val="22"/>
        </w:rPr>
        <w:t xml:space="preserve">kyselina ibandrónová </w:t>
      </w:r>
      <w:r w:rsidR="0057698B" w:rsidRPr="002900B5">
        <w:rPr>
          <w:sz w:val="22"/>
          <w:szCs w:val="22"/>
        </w:rPr>
        <w:t>neodporúča pacientom s</w:t>
      </w:r>
      <w:r w:rsidR="00603126" w:rsidRPr="002900B5">
        <w:rPr>
          <w:sz w:val="22"/>
          <w:szCs w:val="22"/>
        </w:rPr>
        <w:t> o závažnou</w:t>
      </w:r>
      <w:r w:rsidR="0057698B" w:rsidRPr="002900B5">
        <w:rPr>
          <w:sz w:val="22"/>
          <w:szCs w:val="22"/>
        </w:rPr>
        <w:t xml:space="preserve"> </w:t>
      </w:r>
      <w:r w:rsidR="00386B3B" w:rsidRPr="002900B5">
        <w:rPr>
          <w:sz w:val="22"/>
          <w:szCs w:val="22"/>
        </w:rPr>
        <w:t>poruchou funkcie obličiek</w:t>
      </w:r>
      <w:r w:rsidR="0057698B" w:rsidRPr="002900B5">
        <w:rPr>
          <w:sz w:val="22"/>
          <w:szCs w:val="22"/>
        </w:rPr>
        <w:t xml:space="preserve"> (pozri časť </w:t>
      </w:r>
      <w:smartTag w:uri="urn:schemas-microsoft-com:office:smarttags" w:element="metricconverter">
        <w:smartTagPr>
          <w:attr w:name="ProductID" w:val="4.2 a"/>
        </w:smartTagPr>
        <w:r w:rsidR="0057698B" w:rsidRPr="002900B5">
          <w:rPr>
            <w:sz w:val="22"/>
            <w:szCs w:val="22"/>
          </w:rPr>
          <w:t>4.2 a</w:t>
        </w:r>
      </w:smartTag>
      <w:r w:rsidR="0057698B" w:rsidRPr="002900B5">
        <w:rPr>
          <w:sz w:val="22"/>
          <w:szCs w:val="22"/>
        </w:rPr>
        <w:t xml:space="preserve"> časť 4.4). Farmakokinetika kyseliny ibandrónovej u pacientov s renálnym ochorením v konečnej fáze bola stanovená len u malého počtu pacientov kontrolovaných hemodialýzou, a z tohto dôvodu farmakokinetika kyseliny ibandrónovej u pacientov, ktorí nepodstupujú hemodialýzu, nie je známa. Vzhľadom k tomu, že k dispozícii sú len </w:t>
      </w:r>
      <w:r w:rsidR="0057698B" w:rsidRPr="002900B5">
        <w:rPr>
          <w:sz w:val="22"/>
          <w:szCs w:val="22"/>
        </w:rPr>
        <w:lastRenderedPageBreak/>
        <w:t xml:space="preserve">obmedzené údaje, kyselina ibandrónová sa nemá používať u všetkých pacientov s renálnym ochorením v terminálnej fáze. </w:t>
      </w:r>
    </w:p>
    <w:p w:rsidR="0033036A" w:rsidRPr="002900B5" w:rsidRDefault="0033036A" w:rsidP="006C7E8A">
      <w:pPr>
        <w:pStyle w:val="Default"/>
        <w:rPr>
          <w:sz w:val="22"/>
          <w:szCs w:val="22"/>
        </w:rPr>
      </w:pPr>
    </w:p>
    <w:p w:rsidR="0057698B" w:rsidRPr="002900B5" w:rsidRDefault="0020108C" w:rsidP="006C7E8A">
      <w:pPr>
        <w:pStyle w:val="Default"/>
        <w:rPr>
          <w:sz w:val="22"/>
          <w:szCs w:val="22"/>
        </w:rPr>
      </w:pPr>
      <w:r w:rsidRPr="002900B5">
        <w:rPr>
          <w:i/>
          <w:iCs/>
          <w:sz w:val="22"/>
          <w:szCs w:val="22"/>
        </w:rPr>
        <w:t>Po</w:t>
      </w:r>
      <w:r w:rsidR="00585517" w:rsidRPr="002900B5">
        <w:rPr>
          <w:i/>
          <w:iCs/>
          <w:sz w:val="22"/>
          <w:szCs w:val="22"/>
        </w:rPr>
        <w:t>rucha</w:t>
      </w:r>
      <w:r w:rsidRPr="002900B5">
        <w:rPr>
          <w:i/>
          <w:iCs/>
          <w:sz w:val="22"/>
          <w:szCs w:val="22"/>
        </w:rPr>
        <w:t xml:space="preserve"> </w:t>
      </w:r>
      <w:r w:rsidR="0057698B" w:rsidRPr="002900B5">
        <w:rPr>
          <w:i/>
          <w:iCs/>
          <w:sz w:val="22"/>
          <w:szCs w:val="22"/>
        </w:rPr>
        <w:t xml:space="preserve">funkcie pečene </w:t>
      </w:r>
      <w:r w:rsidR="001A16C3" w:rsidRPr="002900B5">
        <w:rPr>
          <w:i/>
          <w:iCs/>
          <w:sz w:val="22"/>
          <w:szCs w:val="22"/>
        </w:rPr>
        <w:t xml:space="preserve">(pozri časť 4.2) </w:t>
      </w:r>
    </w:p>
    <w:p w:rsidR="0057698B" w:rsidRPr="002900B5" w:rsidRDefault="0057698B" w:rsidP="006C7E8A">
      <w:pPr>
        <w:pStyle w:val="Default"/>
        <w:rPr>
          <w:sz w:val="22"/>
          <w:szCs w:val="22"/>
        </w:rPr>
      </w:pPr>
      <w:r w:rsidRPr="002900B5">
        <w:rPr>
          <w:sz w:val="22"/>
          <w:szCs w:val="22"/>
        </w:rPr>
        <w:t xml:space="preserve">Nie sú známe žiadne farmakokinetické údaje o kyseline ibandrónovej u </w:t>
      </w:r>
      <w:r w:rsidR="00620E21" w:rsidRPr="002900B5">
        <w:rPr>
          <w:sz w:val="22"/>
          <w:szCs w:val="22"/>
        </w:rPr>
        <w:t xml:space="preserve">pacientok </w:t>
      </w:r>
      <w:r w:rsidRPr="002900B5">
        <w:rPr>
          <w:sz w:val="22"/>
          <w:szCs w:val="22"/>
        </w:rPr>
        <w:t xml:space="preserve">s </w:t>
      </w:r>
      <w:r w:rsidR="00603126" w:rsidRPr="002900B5">
        <w:rPr>
          <w:sz w:val="22"/>
          <w:szCs w:val="22"/>
        </w:rPr>
        <w:t>hepatálnou insulficienciou</w:t>
      </w:r>
      <w:r w:rsidR="00386B3B" w:rsidRPr="002900B5">
        <w:rPr>
          <w:sz w:val="22"/>
          <w:szCs w:val="22"/>
        </w:rPr>
        <w:t xml:space="preserve">. </w:t>
      </w:r>
      <w:r w:rsidR="00EA6A78" w:rsidRPr="002900B5">
        <w:rPr>
          <w:sz w:val="22"/>
          <w:szCs w:val="22"/>
        </w:rPr>
        <w:t>Pečeň nehrá žiadnu významnú úlohu pri klírense kyseliny ibandrónovej, ktorá nie je</w:t>
      </w:r>
      <w:r w:rsidRPr="002900B5">
        <w:rPr>
          <w:sz w:val="22"/>
          <w:szCs w:val="22"/>
        </w:rPr>
        <w:t xml:space="preserve"> metabolizovaná, ale je uvoľnená renálnou exkréciou a absorbovaná kosťami. Preto u </w:t>
      </w:r>
      <w:r w:rsidR="00620E21" w:rsidRPr="002900B5">
        <w:rPr>
          <w:sz w:val="22"/>
          <w:szCs w:val="22"/>
        </w:rPr>
        <w:t xml:space="preserve">pacientok </w:t>
      </w:r>
      <w:r w:rsidRPr="002900B5">
        <w:rPr>
          <w:sz w:val="22"/>
          <w:szCs w:val="22"/>
        </w:rPr>
        <w:t xml:space="preserve">s </w:t>
      </w:r>
      <w:r w:rsidR="00EA6A78" w:rsidRPr="002900B5">
        <w:rPr>
          <w:sz w:val="22"/>
          <w:szCs w:val="22"/>
        </w:rPr>
        <w:t xml:space="preserve">poruchou funkcie pečene </w:t>
      </w:r>
      <w:r w:rsidRPr="002900B5">
        <w:rPr>
          <w:sz w:val="22"/>
          <w:szCs w:val="22"/>
        </w:rPr>
        <w:t xml:space="preserve">nie je potrebné upraviť dávku.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i/>
          <w:iCs/>
          <w:sz w:val="22"/>
          <w:szCs w:val="22"/>
        </w:rPr>
        <w:t>Starš</w:t>
      </w:r>
      <w:r w:rsidR="00620E21" w:rsidRPr="002900B5">
        <w:rPr>
          <w:i/>
          <w:iCs/>
          <w:sz w:val="22"/>
          <w:szCs w:val="22"/>
        </w:rPr>
        <w:t>ie</w:t>
      </w:r>
      <w:r w:rsidRPr="002900B5">
        <w:rPr>
          <w:i/>
          <w:iCs/>
          <w:sz w:val="22"/>
          <w:szCs w:val="22"/>
        </w:rPr>
        <w:t xml:space="preserve"> pacient</w:t>
      </w:r>
      <w:r w:rsidR="00620E21" w:rsidRPr="002900B5">
        <w:rPr>
          <w:i/>
          <w:iCs/>
          <w:sz w:val="22"/>
          <w:szCs w:val="22"/>
        </w:rPr>
        <w:t>ky</w:t>
      </w:r>
      <w:r w:rsidRPr="002900B5">
        <w:rPr>
          <w:i/>
          <w:iCs/>
          <w:sz w:val="22"/>
          <w:szCs w:val="22"/>
        </w:rPr>
        <w:t xml:space="preserve"> </w:t>
      </w:r>
      <w:r w:rsidR="001A16C3" w:rsidRPr="002900B5">
        <w:rPr>
          <w:i/>
          <w:iCs/>
          <w:sz w:val="22"/>
          <w:szCs w:val="22"/>
        </w:rPr>
        <w:t>(pozri časť 4.2)</w:t>
      </w:r>
    </w:p>
    <w:p w:rsidR="0057698B" w:rsidRPr="002900B5" w:rsidRDefault="0057698B" w:rsidP="006C7E8A">
      <w:pPr>
        <w:pStyle w:val="Default"/>
        <w:rPr>
          <w:sz w:val="22"/>
          <w:szCs w:val="22"/>
        </w:rPr>
      </w:pPr>
      <w:r w:rsidRPr="002900B5">
        <w:rPr>
          <w:sz w:val="22"/>
          <w:szCs w:val="22"/>
        </w:rPr>
        <w:t xml:space="preserve">Na základe viacnásobnej analýzy sa nezistilo, že by akýkoľvek zo študovaných farmakokinetických parametrov bol závislý od veku. Keďže funkcia obličiek sa vekom zhoršuje, je to jediný faktor, ktorý treba brať do úvahy (pozri časť </w:t>
      </w:r>
      <w:r w:rsidR="00EA6A78" w:rsidRPr="002900B5">
        <w:rPr>
          <w:sz w:val="22"/>
          <w:szCs w:val="22"/>
        </w:rPr>
        <w:t>Poruch</w:t>
      </w:r>
      <w:r w:rsidR="00083A03" w:rsidRPr="002900B5">
        <w:rPr>
          <w:sz w:val="22"/>
          <w:szCs w:val="22"/>
        </w:rPr>
        <w:t>y</w:t>
      </w:r>
      <w:r w:rsidR="00EA6A78" w:rsidRPr="002900B5">
        <w:rPr>
          <w:sz w:val="22"/>
          <w:szCs w:val="22"/>
        </w:rPr>
        <w:t xml:space="preserve"> funkcie obličiek</w:t>
      </w:r>
      <w:r w:rsidRPr="002900B5">
        <w:rPr>
          <w:sz w:val="22"/>
          <w:szCs w:val="22"/>
        </w:rPr>
        <w:t>).</w:t>
      </w:r>
    </w:p>
    <w:p w:rsidR="0057698B" w:rsidRPr="002900B5" w:rsidRDefault="0057698B" w:rsidP="006C7E8A">
      <w:pPr>
        <w:pStyle w:val="Default"/>
        <w:rPr>
          <w:sz w:val="22"/>
          <w:szCs w:val="22"/>
        </w:rPr>
      </w:pPr>
    </w:p>
    <w:p w:rsidR="0020108C" w:rsidRPr="002900B5" w:rsidRDefault="003365DC" w:rsidP="006C7E8A">
      <w:pPr>
        <w:ind w:left="0" w:firstLine="0"/>
        <w:rPr>
          <w:i/>
          <w:iCs/>
          <w:color w:val="000000"/>
          <w:szCs w:val="22"/>
        </w:rPr>
      </w:pPr>
      <w:r w:rsidRPr="002900B5">
        <w:rPr>
          <w:i/>
          <w:iCs/>
          <w:color w:val="000000"/>
          <w:szCs w:val="22"/>
        </w:rPr>
        <w:t xml:space="preserve">Pediatrická populácia </w:t>
      </w:r>
      <w:r w:rsidR="001A16C3" w:rsidRPr="002900B5">
        <w:rPr>
          <w:i/>
          <w:iCs/>
          <w:color w:val="000000"/>
          <w:szCs w:val="22"/>
        </w:rPr>
        <w:t>(pozri časť 4.2 a časť 5.1)</w:t>
      </w:r>
    </w:p>
    <w:p w:rsidR="0057698B" w:rsidRPr="002900B5" w:rsidRDefault="0057698B" w:rsidP="006C7E8A">
      <w:pPr>
        <w:ind w:left="0" w:firstLine="0"/>
        <w:rPr>
          <w:szCs w:val="22"/>
        </w:rPr>
      </w:pPr>
      <w:r w:rsidRPr="002900B5">
        <w:rPr>
          <w:szCs w:val="22"/>
        </w:rPr>
        <w:t xml:space="preserve">Neexistujú žiadne údaje o </w:t>
      </w:r>
      <w:r w:rsidR="00EA6A78" w:rsidRPr="002900B5">
        <w:rPr>
          <w:szCs w:val="22"/>
        </w:rPr>
        <w:t>po</w:t>
      </w:r>
      <w:r w:rsidRPr="002900B5">
        <w:rPr>
          <w:szCs w:val="22"/>
        </w:rPr>
        <w:t xml:space="preserve">užívaní </w:t>
      </w:r>
      <w:r w:rsidR="00EA6A78" w:rsidRPr="002900B5">
        <w:rPr>
          <w:szCs w:val="22"/>
        </w:rPr>
        <w:t>kyseliny ibandrónovej v tejto vekovej skupine</w:t>
      </w:r>
      <w:r w:rsidRPr="002900B5">
        <w:rPr>
          <w:szCs w:val="22"/>
        </w:rPr>
        <w:t>.</w:t>
      </w:r>
    </w:p>
    <w:p w:rsidR="0057698B" w:rsidRPr="002900B5" w:rsidRDefault="0057698B" w:rsidP="006C7E8A">
      <w:pPr>
        <w:ind w:left="0" w:firstLine="0"/>
        <w:rPr>
          <w:szCs w:val="22"/>
        </w:rPr>
      </w:pPr>
    </w:p>
    <w:p w:rsidR="00780926" w:rsidRPr="002900B5" w:rsidRDefault="00780926" w:rsidP="006C7E8A">
      <w:pPr>
        <w:rPr>
          <w:szCs w:val="22"/>
        </w:rPr>
      </w:pPr>
      <w:r w:rsidRPr="002900B5">
        <w:rPr>
          <w:b/>
          <w:szCs w:val="22"/>
        </w:rPr>
        <w:t>5.3</w:t>
      </w:r>
      <w:r w:rsidRPr="002900B5">
        <w:rPr>
          <w:b/>
          <w:szCs w:val="22"/>
        </w:rPr>
        <w:tab/>
        <w:t>Predklinické údaje o bezpečnosti</w:t>
      </w:r>
    </w:p>
    <w:p w:rsidR="00E1698A" w:rsidRPr="002900B5" w:rsidRDefault="00E1698A" w:rsidP="006C7E8A">
      <w:pPr>
        <w:ind w:left="0" w:firstLine="0"/>
        <w:rPr>
          <w:szCs w:val="22"/>
        </w:rPr>
      </w:pPr>
    </w:p>
    <w:p w:rsidR="0057698B" w:rsidRPr="002900B5" w:rsidRDefault="0057698B" w:rsidP="006C7E8A">
      <w:pPr>
        <w:pStyle w:val="Default"/>
        <w:rPr>
          <w:sz w:val="22"/>
          <w:szCs w:val="22"/>
        </w:rPr>
      </w:pPr>
      <w:r w:rsidRPr="002900B5">
        <w:rPr>
          <w:sz w:val="22"/>
          <w:szCs w:val="22"/>
        </w:rPr>
        <w:t xml:space="preserve">Toxické účinky, t. j. príznaky renálneho poškodenia, sa pozorovali u psov len pri expozíciách dostatočne prevyšujúcich maximálne expozície u ľudí, čo naznačuje malý význam pre klinické použitie.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i/>
          <w:iCs/>
          <w:sz w:val="22"/>
          <w:szCs w:val="22"/>
        </w:rPr>
        <w:t xml:space="preserve">Mutagenita/Karcinogenita: </w:t>
      </w:r>
    </w:p>
    <w:p w:rsidR="0057698B" w:rsidRPr="002900B5" w:rsidRDefault="0057698B" w:rsidP="006C7E8A">
      <w:pPr>
        <w:pStyle w:val="Default"/>
        <w:rPr>
          <w:sz w:val="22"/>
          <w:szCs w:val="22"/>
        </w:rPr>
      </w:pPr>
      <w:r w:rsidRPr="002900B5">
        <w:rPr>
          <w:sz w:val="22"/>
          <w:szCs w:val="22"/>
        </w:rPr>
        <w:t xml:space="preserve">Nepozoroval sa žiadny náznak karcinogénneho potenciálu. Testy na genotoxicitu nedokázali genetickú aktivitu kyseliny ibandrónovej. </w:t>
      </w:r>
    </w:p>
    <w:p w:rsidR="0057698B" w:rsidRPr="002900B5" w:rsidRDefault="0057698B" w:rsidP="006C7E8A">
      <w:pPr>
        <w:pStyle w:val="Default"/>
        <w:rPr>
          <w:sz w:val="22"/>
          <w:szCs w:val="22"/>
        </w:rPr>
      </w:pPr>
    </w:p>
    <w:p w:rsidR="0057698B" w:rsidRPr="002900B5" w:rsidRDefault="0057698B" w:rsidP="006C7E8A">
      <w:pPr>
        <w:pStyle w:val="Default"/>
        <w:rPr>
          <w:sz w:val="22"/>
          <w:szCs w:val="22"/>
        </w:rPr>
      </w:pPr>
      <w:r w:rsidRPr="002900B5">
        <w:rPr>
          <w:i/>
          <w:iCs/>
          <w:sz w:val="22"/>
          <w:szCs w:val="22"/>
        </w:rPr>
        <w:t xml:space="preserve">Reprodukčná toxicita: </w:t>
      </w:r>
    </w:p>
    <w:p w:rsidR="00EA6A78" w:rsidRPr="002900B5" w:rsidRDefault="001A16C3" w:rsidP="006C7E8A">
      <w:pPr>
        <w:ind w:left="0" w:firstLine="0"/>
        <w:rPr>
          <w:szCs w:val="22"/>
        </w:rPr>
      </w:pPr>
      <w:r w:rsidRPr="002900B5">
        <w:rPr>
          <w:szCs w:val="22"/>
        </w:rPr>
        <w:t>Špecifické štúdie zamerané na dávkovací režim s podaním každé 3 mesiace sa neuskutočnili. V štúdiách zameraných na denné intravenózne podávanie kyseliny ibandrónovej sa u potkanov a králikov nedokázal priamy toxický alebo teratogénny vplyv na plod. Nárast telesnej hmotnosti bol znížený u potomstva F</w:t>
      </w:r>
      <w:r w:rsidRPr="002900B5">
        <w:rPr>
          <w:position w:val="-8"/>
          <w:szCs w:val="22"/>
          <w:vertAlign w:val="subscript"/>
        </w:rPr>
        <w:t xml:space="preserve">1 </w:t>
      </w:r>
      <w:r w:rsidRPr="002900B5">
        <w:rPr>
          <w:szCs w:val="22"/>
        </w:rPr>
        <w:t>u potkanov. V reprodukčných štúdiách u potkanov perorálne podávanie pri dávkach 1 mg/kg/deň a vyšších viedlo k nárastu preimplantačných potratov. V reprodukčných štúdiách u potkanov intravenózne podávaná kyselina ibandrónová znížila počet spermií pri dávkach 0,3 a 1 mg/kg/deň a znížila fertilitu u samcov pri dávke 1 mg/kg/deň a u žien pri dávke na 1,2 mg/kg/deň. Ďalšie nežiaduce reakcie na kyselinu ibandrónovú v štúdiách reprodukčnej toxicity u potkanov sa nelíšili od nežiaducich reakcií, ktoré sa zvyčajne pozorujú u bisfosfonátov. Zahŕňajú znížený počet implantačných miest, narušenie prirodzeného pôrodu (dystokia) a nárast viscerálnych odchýlok (renal pelvis ureter syndrome).</w:t>
      </w:r>
    </w:p>
    <w:p w:rsidR="00F751EF" w:rsidRPr="002900B5" w:rsidRDefault="00F751EF" w:rsidP="006C7E8A">
      <w:pPr>
        <w:ind w:left="0" w:firstLine="0"/>
        <w:rPr>
          <w:szCs w:val="22"/>
        </w:rPr>
      </w:pPr>
    </w:p>
    <w:p w:rsidR="00973FB2" w:rsidRPr="002900B5" w:rsidRDefault="00973FB2" w:rsidP="006C7E8A">
      <w:pPr>
        <w:ind w:left="0" w:firstLine="0"/>
        <w:rPr>
          <w:szCs w:val="22"/>
        </w:rPr>
      </w:pPr>
    </w:p>
    <w:p w:rsidR="00780926" w:rsidRPr="002900B5" w:rsidRDefault="00780926" w:rsidP="006C7E8A">
      <w:pPr>
        <w:rPr>
          <w:b/>
          <w:szCs w:val="22"/>
        </w:rPr>
      </w:pPr>
      <w:r w:rsidRPr="002900B5">
        <w:rPr>
          <w:b/>
          <w:szCs w:val="22"/>
        </w:rPr>
        <w:t>6.</w:t>
      </w:r>
      <w:r w:rsidRPr="002900B5">
        <w:rPr>
          <w:b/>
          <w:szCs w:val="22"/>
        </w:rPr>
        <w:tab/>
        <w:t>FARMACEUTICKÉ INFORMÁCIE</w:t>
      </w:r>
    </w:p>
    <w:p w:rsidR="00973FB2" w:rsidRPr="002900B5" w:rsidRDefault="00973FB2" w:rsidP="006C7E8A">
      <w:pPr>
        <w:rPr>
          <w:szCs w:val="22"/>
        </w:rPr>
      </w:pPr>
    </w:p>
    <w:p w:rsidR="00780926" w:rsidRPr="002900B5" w:rsidRDefault="00780926" w:rsidP="006C7E8A">
      <w:pPr>
        <w:rPr>
          <w:szCs w:val="22"/>
        </w:rPr>
      </w:pPr>
      <w:r w:rsidRPr="002900B5">
        <w:rPr>
          <w:b/>
          <w:szCs w:val="22"/>
        </w:rPr>
        <w:t>6.1</w:t>
      </w:r>
      <w:r w:rsidRPr="002900B5">
        <w:rPr>
          <w:b/>
          <w:szCs w:val="22"/>
        </w:rPr>
        <w:tab/>
        <w:t>Zoznam pomocných látok</w:t>
      </w:r>
    </w:p>
    <w:p w:rsidR="00780926" w:rsidRPr="002900B5" w:rsidRDefault="00780926" w:rsidP="006C7E8A">
      <w:pPr>
        <w:rPr>
          <w:szCs w:val="22"/>
        </w:rPr>
      </w:pPr>
    </w:p>
    <w:p w:rsidR="00780926" w:rsidRPr="002900B5" w:rsidRDefault="00603126" w:rsidP="006C7E8A">
      <w:pPr>
        <w:rPr>
          <w:szCs w:val="22"/>
        </w:rPr>
      </w:pPr>
      <w:r w:rsidRPr="002900B5">
        <w:rPr>
          <w:szCs w:val="22"/>
        </w:rPr>
        <w:t>c</w:t>
      </w:r>
      <w:r w:rsidR="00EA6A78" w:rsidRPr="002900B5">
        <w:rPr>
          <w:szCs w:val="22"/>
        </w:rPr>
        <w:t>hlorid sodný</w:t>
      </w:r>
    </w:p>
    <w:p w:rsidR="00EE2F87" w:rsidRPr="002900B5" w:rsidRDefault="00603126" w:rsidP="006C7E8A">
      <w:pPr>
        <w:rPr>
          <w:szCs w:val="22"/>
        </w:rPr>
      </w:pPr>
      <w:r w:rsidRPr="002900B5">
        <w:rPr>
          <w:szCs w:val="22"/>
        </w:rPr>
        <w:t>h</w:t>
      </w:r>
      <w:r w:rsidR="00EE2F87" w:rsidRPr="002900B5">
        <w:rPr>
          <w:szCs w:val="22"/>
        </w:rPr>
        <w:t>ydroxid sodný (E524) (na úpravu pH)</w:t>
      </w:r>
    </w:p>
    <w:p w:rsidR="00EA6A78" w:rsidRPr="002900B5" w:rsidRDefault="00603126" w:rsidP="006C7E8A">
      <w:pPr>
        <w:rPr>
          <w:szCs w:val="22"/>
        </w:rPr>
      </w:pPr>
      <w:r w:rsidRPr="002900B5">
        <w:rPr>
          <w:szCs w:val="22"/>
        </w:rPr>
        <w:t>k</w:t>
      </w:r>
      <w:r w:rsidR="00EA6A78" w:rsidRPr="002900B5">
        <w:rPr>
          <w:szCs w:val="22"/>
        </w:rPr>
        <w:t xml:space="preserve">yselina octová </w:t>
      </w:r>
      <w:r w:rsidR="00EE2F87" w:rsidRPr="002900B5">
        <w:rPr>
          <w:szCs w:val="22"/>
        </w:rPr>
        <w:t>98%</w:t>
      </w:r>
    </w:p>
    <w:p w:rsidR="00EA6A78" w:rsidRPr="002900B5" w:rsidRDefault="00EA6A78" w:rsidP="006C7E8A">
      <w:pPr>
        <w:rPr>
          <w:szCs w:val="22"/>
        </w:rPr>
      </w:pPr>
      <w:r w:rsidRPr="002900B5">
        <w:rPr>
          <w:szCs w:val="22"/>
        </w:rPr>
        <w:t>octan sodn</w:t>
      </w:r>
      <w:r w:rsidR="00BA2614" w:rsidRPr="002900B5">
        <w:rPr>
          <w:szCs w:val="22"/>
        </w:rPr>
        <w:t>ý, trihydrát</w:t>
      </w:r>
    </w:p>
    <w:p w:rsidR="00EA6A78" w:rsidRPr="002900B5" w:rsidRDefault="00603126" w:rsidP="006C7E8A">
      <w:pPr>
        <w:rPr>
          <w:szCs w:val="22"/>
        </w:rPr>
      </w:pPr>
      <w:r w:rsidRPr="002900B5">
        <w:rPr>
          <w:szCs w:val="22"/>
        </w:rPr>
        <w:t>v</w:t>
      </w:r>
      <w:r w:rsidR="00EA6A78" w:rsidRPr="002900B5">
        <w:rPr>
          <w:szCs w:val="22"/>
        </w:rPr>
        <w:t>oda</w:t>
      </w:r>
      <w:r w:rsidR="00D05725">
        <w:rPr>
          <w:szCs w:val="22"/>
        </w:rPr>
        <w:t>,</w:t>
      </w:r>
      <w:r w:rsidR="00EA6A78" w:rsidRPr="002900B5">
        <w:rPr>
          <w:szCs w:val="22"/>
        </w:rPr>
        <w:t xml:space="preserve"> na injekci</w:t>
      </w:r>
      <w:r w:rsidR="00BA2614" w:rsidRPr="002900B5">
        <w:rPr>
          <w:szCs w:val="22"/>
        </w:rPr>
        <w:t>e</w:t>
      </w:r>
    </w:p>
    <w:p w:rsidR="00EA6A78" w:rsidRPr="002900B5" w:rsidRDefault="00EA6A78" w:rsidP="006C7E8A">
      <w:pPr>
        <w:rPr>
          <w:szCs w:val="22"/>
        </w:rPr>
      </w:pPr>
    </w:p>
    <w:p w:rsidR="00780926" w:rsidRPr="002900B5" w:rsidRDefault="00780926" w:rsidP="006C7E8A">
      <w:pPr>
        <w:rPr>
          <w:szCs w:val="22"/>
        </w:rPr>
      </w:pPr>
      <w:r w:rsidRPr="002900B5">
        <w:rPr>
          <w:b/>
          <w:szCs w:val="22"/>
        </w:rPr>
        <w:t>6.2</w:t>
      </w:r>
      <w:r w:rsidRPr="002900B5">
        <w:rPr>
          <w:b/>
          <w:szCs w:val="22"/>
        </w:rPr>
        <w:tab/>
        <w:t>Inkompatibility</w:t>
      </w:r>
    </w:p>
    <w:p w:rsidR="00780926" w:rsidRPr="002900B5" w:rsidRDefault="00780926" w:rsidP="006C7E8A">
      <w:pPr>
        <w:rPr>
          <w:szCs w:val="22"/>
        </w:rPr>
      </w:pPr>
    </w:p>
    <w:p w:rsidR="008B6429" w:rsidRPr="002900B5" w:rsidRDefault="003908F9" w:rsidP="00E52D30">
      <w:pPr>
        <w:ind w:left="0" w:firstLine="0"/>
        <w:rPr>
          <w:szCs w:val="22"/>
        </w:rPr>
      </w:pPr>
      <w:r w:rsidRPr="002900B5">
        <w:rPr>
          <w:szCs w:val="22"/>
        </w:rPr>
        <w:t>Tento liek</w:t>
      </w:r>
      <w:r w:rsidR="00F751EF" w:rsidRPr="002900B5">
        <w:rPr>
          <w:szCs w:val="22"/>
        </w:rPr>
        <w:t xml:space="preserve"> sa nesmie miešať s roztokmi obsahujúcimi vápnik alebo s inými intravenózne podávanými liekmi.</w:t>
      </w:r>
    </w:p>
    <w:p w:rsidR="003908F9" w:rsidRPr="002900B5" w:rsidRDefault="003908F9" w:rsidP="006C7E8A">
      <w:pPr>
        <w:rPr>
          <w:szCs w:val="22"/>
        </w:rPr>
      </w:pPr>
    </w:p>
    <w:p w:rsidR="00780926" w:rsidRPr="002900B5" w:rsidRDefault="00780926" w:rsidP="006C7E8A">
      <w:pPr>
        <w:rPr>
          <w:szCs w:val="22"/>
        </w:rPr>
      </w:pPr>
      <w:r w:rsidRPr="002900B5">
        <w:rPr>
          <w:b/>
          <w:szCs w:val="22"/>
        </w:rPr>
        <w:t>6.3</w:t>
      </w:r>
      <w:r w:rsidRPr="002900B5">
        <w:rPr>
          <w:b/>
          <w:szCs w:val="22"/>
        </w:rPr>
        <w:tab/>
        <w:t>Čas použiteľnosti</w:t>
      </w:r>
    </w:p>
    <w:p w:rsidR="00780926" w:rsidRPr="002900B5" w:rsidRDefault="00780926" w:rsidP="006C7E8A">
      <w:pPr>
        <w:rPr>
          <w:szCs w:val="22"/>
        </w:rPr>
      </w:pPr>
    </w:p>
    <w:p w:rsidR="00780926" w:rsidRPr="002900B5" w:rsidRDefault="00DA06B3" w:rsidP="006C7E8A">
      <w:pPr>
        <w:ind w:left="540" w:hanging="540"/>
        <w:rPr>
          <w:szCs w:val="22"/>
        </w:rPr>
      </w:pPr>
      <w:r w:rsidRPr="002900B5">
        <w:rPr>
          <w:szCs w:val="22"/>
        </w:rPr>
        <w:t>3</w:t>
      </w:r>
      <w:r w:rsidR="003908F9" w:rsidRPr="002900B5">
        <w:rPr>
          <w:szCs w:val="22"/>
        </w:rPr>
        <w:t xml:space="preserve"> roky</w:t>
      </w:r>
    </w:p>
    <w:p w:rsidR="00780926" w:rsidRPr="002900B5" w:rsidRDefault="00780926" w:rsidP="006C7E8A">
      <w:pPr>
        <w:rPr>
          <w:szCs w:val="22"/>
        </w:rPr>
      </w:pPr>
    </w:p>
    <w:p w:rsidR="00780926" w:rsidRPr="002900B5" w:rsidRDefault="00780926" w:rsidP="006C7E8A">
      <w:pPr>
        <w:rPr>
          <w:szCs w:val="22"/>
        </w:rPr>
      </w:pPr>
      <w:r w:rsidRPr="002900B5">
        <w:rPr>
          <w:b/>
          <w:szCs w:val="22"/>
        </w:rPr>
        <w:t>6.4</w:t>
      </w:r>
      <w:r w:rsidRPr="002900B5">
        <w:rPr>
          <w:b/>
          <w:szCs w:val="22"/>
        </w:rPr>
        <w:tab/>
        <w:t>Špeciálne upozornenia na uchovávanie</w:t>
      </w:r>
    </w:p>
    <w:p w:rsidR="008B6429" w:rsidRPr="002900B5" w:rsidRDefault="008B6429" w:rsidP="006C7E8A">
      <w:pPr>
        <w:rPr>
          <w:szCs w:val="22"/>
        </w:rPr>
      </w:pPr>
    </w:p>
    <w:p w:rsidR="00780926" w:rsidRPr="002900B5" w:rsidRDefault="008B6429" w:rsidP="006C7E8A">
      <w:pPr>
        <w:rPr>
          <w:szCs w:val="22"/>
        </w:rPr>
      </w:pPr>
      <w:r w:rsidRPr="002900B5">
        <w:rPr>
          <w:szCs w:val="22"/>
        </w:rPr>
        <w:t>Tento liek nevyžaduje žiadne zvláštne podmienky na uchovávanie.</w:t>
      </w:r>
    </w:p>
    <w:p w:rsidR="00E122D7" w:rsidRPr="002900B5" w:rsidRDefault="00E122D7" w:rsidP="006C7E8A">
      <w:pPr>
        <w:rPr>
          <w:i/>
          <w:iCs/>
          <w:szCs w:val="22"/>
        </w:rPr>
      </w:pPr>
    </w:p>
    <w:p w:rsidR="00780926" w:rsidRPr="002900B5" w:rsidRDefault="00780926" w:rsidP="006C7E8A">
      <w:pPr>
        <w:rPr>
          <w:szCs w:val="22"/>
        </w:rPr>
      </w:pPr>
      <w:r w:rsidRPr="002900B5">
        <w:rPr>
          <w:b/>
          <w:szCs w:val="22"/>
        </w:rPr>
        <w:t>6.5</w:t>
      </w:r>
      <w:r w:rsidRPr="002900B5">
        <w:rPr>
          <w:b/>
          <w:szCs w:val="22"/>
        </w:rPr>
        <w:tab/>
        <w:t>Druh obalu a obsah balenia</w:t>
      </w:r>
      <w:r w:rsidRPr="002900B5">
        <w:rPr>
          <w:b/>
          <w:color w:val="0000FF"/>
          <w:szCs w:val="22"/>
        </w:rPr>
        <w:t xml:space="preserve"> </w:t>
      </w:r>
    </w:p>
    <w:p w:rsidR="00780926" w:rsidRPr="002900B5" w:rsidRDefault="00780926" w:rsidP="006C7E8A">
      <w:pPr>
        <w:rPr>
          <w:szCs w:val="22"/>
        </w:rPr>
      </w:pPr>
    </w:p>
    <w:p w:rsidR="00973FB2" w:rsidRPr="002900B5" w:rsidRDefault="003908F9" w:rsidP="006C7E8A">
      <w:pPr>
        <w:rPr>
          <w:szCs w:val="22"/>
        </w:rPr>
      </w:pPr>
      <w:r w:rsidRPr="002900B5">
        <w:rPr>
          <w:szCs w:val="22"/>
        </w:rPr>
        <w:t xml:space="preserve">Naplnené injekčné striekačky (3 ml) z bezfarebného skla typu I </w:t>
      </w:r>
      <w:r w:rsidR="00973FB2" w:rsidRPr="002900B5">
        <w:rPr>
          <w:szCs w:val="22"/>
        </w:rPr>
        <w:t>obsahuj</w:t>
      </w:r>
      <w:r w:rsidRPr="002900B5">
        <w:rPr>
          <w:szCs w:val="22"/>
        </w:rPr>
        <w:t>ú</w:t>
      </w:r>
      <w:r w:rsidR="00973FB2" w:rsidRPr="002900B5">
        <w:rPr>
          <w:szCs w:val="22"/>
        </w:rPr>
        <w:t xml:space="preserve"> 3 ml injekčného roztoku.</w:t>
      </w:r>
    </w:p>
    <w:p w:rsidR="003908F9" w:rsidRPr="002900B5" w:rsidRDefault="003908F9" w:rsidP="006C7E8A">
      <w:pPr>
        <w:rPr>
          <w:szCs w:val="22"/>
        </w:rPr>
      </w:pPr>
    </w:p>
    <w:p w:rsidR="00973FB2" w:rsidRPr="002900B5" w:rsidRDefault="00973FB2" w:rsidP="006C7E8A">
      <w:pPr>
        <w:rPr>
          <w:szCs w:val="22"/>
        </w:rPr>
      </w:pPr>
      <w:r w:rsidRPr="002900B5">
        <w:rPr>
          <w:szCs w:val="22"/>
        </w:rPr>
        <w:t>Veľkosti balenia:</w:t>
      </w:r>
    </w:p>
    <w:p w:rsidR="00425867" w:rsidRPr="002900B5" w:rsidRDefault="003908F9" w:rsidP="003908F9">
      <w:pPr>
        <w:ind w:left="0" w:firstLine="0"/>
        <w:rPr>
          <w:szCs w:val="22"/>
        </w:rPr>
      </w:pPr>
      <w:r w:rsidRPr="002900B5">
        <w:rPr>
          <w:szCs w:val="22"/>
        </w:rPr>
        <w:t xml:space="preserve">Balenia s 1 naplnenou injekčnou striekačkou a 1 injekčnou ihlou, </w:t>
      </w:r>
    </w:p>
    <w:p w:rsidR="003908F9" w:rsidRPr="002900B5" w:rsidRDefault="003908F9" w:rsidP="003908F9">
      <w:pPr>
        <w:ind w:left="0" w:firstLine="0"/>
        <w:rPr>
          <w:szCs w:val="22"/>
        </w:rPr>
      </w:pPr>
      <w:r w:rsidRPr="002900B5">
        <w:rPr>
          <w:szCs w:val="22"/>
        </w:rPr>
        <w:t>5 naplnenými injekčnými str</w:t>
      </w:r>
      <w:r w:rsidR="00832671" w:rsidRPr="002900B5">
        <w:rPr>
          <w:szCs w:val="22"/>
        </w:rPr>
        <w:t>iekačkami a 5 injekčnými ihlami alebo 10 naplnenými injekčnými striekačkami a 10 ihlami.</w:t>
      </w:r>
    </w:p>
    <w:p w:rsidR="003908F9" w:rsidRPr="002900B5" w:rsidRDefault="003908F9" w:rsidP="006C7E8A">
      <w:pPr>
        <w:rPr>
          <w:szCs w:val="22"/>
        </w:rPr>
      </w:pPr>
    </w:p>
    <w:p w:rsidR="00A209FB" w:rsidRPr="002900B5" w:rsidRDefault="003365DC" w:rsidP="003365DC">
      <w:pPr>
        <w:ind w:left="0" w:firstLine="0"/>
        <w:rPr>
          <w:szCs w:val="22"/>
        </w:rPr>
      </w:pPr>
      <w:r w:rsidRPr="002900B5">
        <w:rPr>
          <w:szCs w:val="22"/>
        </w:rPr>
        <w:t>Na trh nemusia byť uvedené všetky veľkosti balenia.</w:t>
      </w:r>
    </w:p>
    <w:p w:rsidR="00780926" w:rsidRPr="002900B5" w:rsidRDefault="00780926" w:rsidP="006C7E8A">
      <w:pPr>
        <w:rPr>
          <w:szCs w:val="22"/>
        </w:rPr>
      </w:pPr>
    </w:p>
    <w:p w:rsidR="00780926" w:rsidRPr="002900B5" w:rsidRDefault="00780926" w:rsidP="006C7E8A">
      <w:pPr>
        <w:rPr>
          <w:b/>
          <w:bCs/>
          <w:szCs w:val="22"/>
        </w:rPr>
      </w:pPr>
      <w:r w:rsidRPr="002900B5">
        <w:rPr>
          <w:b/>
          <w:szCs w:val="22"/>
        </w:rPr>
        <w:t>6.6</w:t>
      </w:r>
      <w:r w:rsidRPr="002900B5">
        <w:rPr>
          <w:b/>
          <w:szCs w:val="22"/>
        </w:rPr>
        <w:tab/>
      </w:r>
      <w:r w:rsidRPr="002900B5">
        <w:rPr>
          <w:b/>
          <w:bCs/>
          <w:szCs w:val="22"/>
        </w:rPr>
        <w:t>Špeciálne opatrenia na likvidáciu</w:t>
      </w:r>
      <w:r w:rsidRPr="002900B5">
        <w:rPr>
          <w:b/>
          <w:szCs w:val="22"/>
        </w:rPr>
        <w:t xml:space="preserve"> </w:t>
      </w:r>
    </w:p>
    <w:p w:rsidR="00780926" w:rsidRPr="002900B5" w:rsidRDefault="00780926" w:rsidP="006C7E8A">
      <w:pPr>
        <w:rPr>
          <w:b/>
          <w:bCs/>
          <w:szCs w:val="22"/>
        </w:rPr>
      </w:pPr>
    </w:p>
    <w:p w:rsidR="003908F9" w:rsidRPr="002900B5" w:rsidRDefault="003908F9" w:rsidP="003908F9">
      <w:pPr>
        <w:pStyle w:val="Default"/>
        <w:rPr>
          <w:sz w:val="22"/>
          <w:szCs w:val="22"/>
        </w:rPr>
      </w:pPr>
      <w:r w:rsidRPr="002900B5">
        <w:rPr>
          <w:sz w:val="22"/>
          <w:szCs w:val="22"/>
        </w:rPr>
        <w:t xml:space="preserve">Ak sa má liek podať do existujúceho intravenózneho prístupu, infúzny roztok sa má obmedziť buď na izotonický fyziologický roztok, alebo na 50 mg/ml (5 %) roztok glukózy. Platí to aj pre roztoky používané na prepláchnutie </w:t>
      </w:r>
      <w:r w:rsidR="00F57FEF" w:rsidRPr="002900B5">
        <w:rPr>
          <w:color w:val="auto"/>
          <w:sz w:val="22"/>
          <w:szCs w:val="22"/>
        </w:rPr>
        <w:t>infúznej súpravy s krídelkovým adaptérom a iných pomôcok</w:t>
      </w:r>
      <w:r w:rsidRPr="002900B5">
        <w:rPr>
          <w:sz w:val="22"/>
          <w:szCs w:val="22"/>
        </w:rPr>
        <w:t xml:space="preserve">. </w:t>
      </w:r>
    </w:p>
    <w:p w:rsidR="003908F9" w:rsidRPr="002900B5" w:rsidRDefault="003908F9" w:rsidP="003908F9">
      <w:pPr>
        <w:pStyle w:val="Default"/>
        <w:rPr>
          <w:sz w:val="22"/>
          <w:szCs w:val="22"/>
        </w:rPr>
      </w:pPr>
    </w:p>
    <w:p w:rsidR="005F7BA4" w:rsidRPr="002900B5" w:rsidRDefault="003908F9" w:rsidP="003908F9">
      <w:pPr>
        <w:pStyle w:val="Default"/>
        <w:rPr>
          <w:sz w:val="22"/>
          <w:szCs w:val="22"/>
        </w:rPr>
      </w:pPr>
      <w:r w:rsidRPr="002900B5">
        <w:rPr>
          <w:sz w:val="22"/>
          <w:szCs w:val="22"/>
        </w:rPr>
        <w:t xml:space="preserve">Nepoužitý injekčný roztok, injekčná striekačka a injekčná ihla majú byť zlikvidované v súlade s národnými požiadavkami. </w:t>
      </w:r>
    </w:p>
    <w:p w:rsidR="003908F9" w:rsidRPr="002900B5" w:rsidRDefault="005F7BA4" w:rsidP="003908F9">
      <w:pPr>
        <w:pStyle w:val="Default"/>
        <w:rPr>
          <w:sz w:val="22"/>
          <w:szCs w:val="22"/>
        </w:rPr>
      </w:pPr>
      <w:r w:rsidRPr="002900B5">
        <w:rPr>
          <w:color w:val="auto"/>
          <w:sz w:val="22"/>
          <w:szCs w:val="22"/>
        </w:rPr>
        <w:t>Uvoľňovanie farmaceutík do životného prostredia sa musí znížiť na minimum.</w:t>
      </w:r>
    </w:p>
    <w:p w:rsidR="003908F9" w:rsidRPr="002900B5" w:rsidRDefault="003908F9" w:rsidP="003908F9">
      <w:pPr>
        <w:pStyle w:val="Default"/>
        <w:rPr>
          <w:sz w:val="22"/>
          <w:szCs w:val="22"/>
        </w:rPr>
      </w:pPr>
    </w:p>
    <w:p w:rsidR="003908F9" w:rsidRPr="002900B5" w:rsidRDefault="003908F9" w:rsidP="003908F9">
      <w:pPr>
        <w:pStyle w:val="Default"/>
        <w:rPr>
          <w:sz w:val="22"/>
          <w:szCs w:val="22"/>
        </w:rPr>
      </w:pPr>
      <w:r w:rsidRPr="002900B5">
        <w:rPr>
          <w:sz w:val="22"/>
          <w:szCs w:val="22"/>
        </w:rPr>
        <w:t xml:space="preserve">Pri použití a likvidácii injekčných striekačiek a ďalších injekčných ihiel sa majú dôsledne dodržať nasledovné body: </w:t>
      </w:r>
    </w:p>
    <w:p w:rsidR="003908F9" w:rsidRPr="002900B5" w:rsidRDefault="003908F9" w:rsidP="003908F9">
      <w:pPr>
        <w:pStyle w:val="Default"/>
        <w:rPr>
          <w:sz w:val="22"/>
          <w:szCs w:val="22"/>
        </w:rPr>
      </w:pPr>
    </w:p>
    <w:p w:rsidR="003908F9" w:rsidRPr="002900B5" w:rsidRDefault="003908F9" w:rsidP="003908F9">
      <w:pPr>
        <w:pStyle w:val="Default"/>
        <w:ind w:left="567" w:hanging="567"/>
        <w:rPr>
          <w:sz w:val="22"/>
          <w:szCs w:val="22"/>
        </w:rPr>
      </w:pPr>
      <w:r w:rsidRPr="002900B5">
        <w:rPr>
          <w:sz w:val="22"/>
          <w:szCs w:val="22"/>
        </w:rPr>
        <w:t xml:space="preserve">• </w:t>
      </w:r>
      <w:r w:rsidRPr="002900B5">
        <w:rPr>
          <w:sz w:val="22"/>
          <w:szCs w:val="22"/>
        </w:rPr>
        <w:tab/>
        <w:t xml:space="preserve">Injekčné ihly a injekčné striekačky sa nemajú znovu použiť. </w:t>
      </w:r>
    </w:p>
    <w:p w:rsidR="003908F9" w:rsidRPr="002900B5" w:rsidRDefault="003908F9" w:rsidP="003908F9">
      <w:pPr>
        <w:pStyle w:val="Default"/>
        <w:ind w:left="567" w:hanging="567"/>
        <w:rPr>
          <w:sz w:val="22"/>
          <w:szCs w:val="22"/>
        </w:rPr>
      </w:pPr>
      <w:r w:rsidRPr="002900B5">
        <w:rPr>
          <w:sz w:val="22"/>
          <w:szCs w:val="22"/>
        </w:rPr>
        <w:t xml:space="preserve">• </w:t>
      </w:r>
      <w:r w:rsidRPr="002900B5">
        <w:rPr>
          <w:sz w:val="22"/>
          <w:szCs w:val="22"/>
        </w:rPr>
        <w:tab/>
        <w:t xml:space="preserve">Všetky injekčné ihly a injekčné striekačky po použití dajte do nádoby na ostré predmety (odpadková nádoba odolná proti prerezaniu). </w:t>
      </w:r>
    </w:p>
    <w:p w:rsidR="003908F9" w:rsidRPr="002900B5" w:rsidRDefault="003908F9" w:rsidP="003908F9">
      <w:pPr>
        <w:pStyle w:val="Default"/>
        <w:ind w:left="567" w:hanging="567"/>
        <w:rPr>
          <w:sz w:val="22"/>
          <w:szCs w:val="22"/>
        </w:rPr>
      </w:pPr>
      <w:r w:rsidRPr="002900B5">
        <w:rPr>
          <w:sz w:val="22"/>
          <w:szCs w:val="22"/>
        </w:rPr>
        <w:t xml:space="preserve">• </w:t>
      </w:r>
      <w:r w:rsidRPr="002900B5">
        <w:rPr>
          <w:sz w:val="22"/>
          <w:szCs w:val="22"/>
        </w:rPr>
        <w:tab/>
        <w:t xml:space="preserve">Nádobu uchovávajte mimo dosahu detí. </w:t>
      </w:r>
    </w:p>
    <w:p w:rsidR="003908F9" w:rsidRPr="002900B5" w:rsidRDefault="003908F9" w:rsidP="003908F9">
      <w:pPr>
        <w:pStyle w:val="Default"/>
        <w:ind w:left="567" w:hanging="567"/>
        <w:rPr>
          <w:sz w:val="22"/>
          <w:szCs w:val="22"/>
        </w:rPr>
      </w:pPr>
      <w:r w:rsidRPr="002900B5">
        <w:rPr>
          <w:sz w:val="22"/>
          <w:szCs w:val="22"/>
        </w:rPr>
        <w:t xml:space="preserve">• </w:t>
      </w:r>
      <w:r w:rsidRPr="002900B5">
        <w:rPr>
          <w:sz w:val="22"/>
          <w:szCs w:val="22"/>
        </w:rPr>
        <w:tab/>
        <w:t xml:space="preserve">Nádobu na ostré predmety nedávajte do bežného odpadu. </w:t>
      </w:r>
    </w:p>
    <w:p w:rsidR="00780926" w:rsidRPr="002900B5" w:rsidRDefault="003908F9" w:rsidP="003908F9">
      <w:pPr>
        <w:rPr>
          <w:szCs w:val="22"/>
        </w:rPr>
      </w:pPr>
      <w:r w:rsidRPr="002900B5">
        <w:rPr>
          <w:szCs w:val="22"/>
        </w:rPr>
        <w:t xml:space="preserve">• </w:t>
      </w:r>
      <w:r w:rsidRPr="002900B5">
        <w:rPr>
          <w:szCs w:val="22"/>
        </w:rPr>
        <w:tab/>
        <w:t xml:space="preserve">Naplnenú nádobu zlikvidujte v súlade s národnými požiadavkami alebo </w:t>
      </w:r>
      <w:r w:rsidR="00342D11" w:rsidRPr="002900B5">
        <w:rPr>
          <w:szCs w:val="22"/>
        </w:rPr>
        <w:t xml:space="preserve">podľa </w:t>
      </w:r>
      <w:r w:rsidRPr="002900B5">
        <w:rPr>
          <w:szCs w:val="22"/>
        </w:rPr>
        <w:t xml:space="preserve">pokynov </w:t>
      </w:r>
      <w:r w:rsidR="00342D11" w:rsidRPr="002900B5">
        <w:rPr>
          <w:szCs w:val="22"/>
        </w:rPr>
        <w:t>zdravotníckeho pracovníka</w:t>
      </w:r>
      <w:r w:rsidRPr="002900B5">
        <w:rPr>
          <w:szCs w:val="22"/>
        </w:rPr>
        <w:t>.</w:t>
      </w:r>
    </w:p>
    <w:p w:rsidR="00780926" w:rsidRPr="002900B5" w:rsidRDefault="00780926" w:rsidP="006C7E8A">
      <w:pPr>
        <w:rPr>
          <w:szCs w:val="22"/>
        </w:rPr>
      </w:pPr>
    </w:p>
    <w:p w:rsidR="003908F9" w:rsidRPr="002900B5" w:rsidRDefault="003908F9" w:rsidP="006C7E8A">
      <w:pPr>
        <w:rPr>
          <w:szCs w:val="22"/>
        </w:rPr>
      </w:pPr>
    </w:p>
    <w:p w:rsidR="00780926" w:rsidRPr="002900B5" w:rsidRDefault="00780926" w:rsidP="006C7E8A">
      <w:pPr>
        <w:rPr>
          <w:b/>
          <w:szCs w:val="22"/>
        </w:rPr>
      </w:pPr>
      <w:r w:rsidRPr="002900B5">
        <w:rPr>
          <w:b/>
          <w:szCs w:val="22"/>
        </w:rPr>
        <w:t>7.</w:t>
      </w:r>
      <w:r w:rsidRPr="002900B5">
        <w:rPr>
          <w:b/>
          <w:szCs w:val="22"/>
        </w:rPr>
        <w:tab/>
        <w:t>DRŽITEĽ ROZHODNUTIA O REGISTRÁCII</w:t>
      </w:r>
    </w:p>
    <w:p w:rsidR="00780926" w:rsidRPr="002900B5" w:rsidRDefault="00780926" w:rsidP="006C7E8A">
      <w:pPr>
        <w:rPr>
          <w:szCs w:val="22"/>
        </w:rPr>
      </w:pPr>
    </w:p>
    <w:p w:rsidR="00973FB2" w:rsidRPr="002900B5" w:rsidRDefault="00832671" w:rsidP="006C7E8A">
      <w:pPr>
        <w:rPr>
          <w:szCs w:val="22"/>
        </w:rPr>
      </w:pPr>
      <w:r w:rsidRPr="002900B5">
        <w:rPr>
          <w:szCs w:val="22"/>
        </w:rPr>
        <w:t>STADA</w:t>
      </w:r>
      <w:r w:rsidR="00AA32CC" w:rsidRPr="002900B5">
        <w:rPr>
          <w:szCs w:val="22"/>
        </w:rPr>
        <w:t xml:space="preserve"> </w:t>
      </w:r>
      <w:r w:rsidRPr="002900B5">
        <w:rPr>
          <w:szCs w:val="22"/>
        </w:rPr>
        <w:t>Arzneimittel AG</w:t>
      </w:r>
    </w:p>
    <w:p w:rsidR="00AA32CC" w:rsidRPr="002900B5" w:rsidRDefault="00832671" w:rsidP="006C7E8A">
      <w:pPr>
        <w:rPr>
          <w:szCs w:val="22"/>
        </w:rPr>
      </w:pPr>
      <w:r w:rsidRPr="002900B5">
        <w:rPr>
          <w:szCs w:val="22"/>
        </w:rPr>
        <w:t>Stadastrasse 2-18</w:t>
      </w:r>
    </w:p>
    <w:p w:rsidR="00AA32CC" w:rsidRPr="002900B5" w:rsidRDefault="00832671" w:rsidP="006C7E8A">
      <w:pPr>
        <w:rPr>
          <w:szCs w:val="22"/>
        </w:rPr>
      </w:pPr>
      <w:r w:rsidRPr="002900B5">
        <w:rPr>
          <w:szCs w:val="22"/>
        </w:rPr>
        <w:t>61118 Bad Vilbel</w:t>
      </w:r>
    </w:p>
    <w:p w:rsidR="00AA32CC" w:rsidRPr="002900B5" w:rsidRDefault="00832671" w:rsidP="006C7E8A">
      <w:pPr>
        <w:rPr>
          <w:szCs w:val="22"/>
        </w:rPr>
      </w:pPr>
      <w:r w:rsidRPr="002900B5">
        <w:rPr>
          <w:szCs w:val="22"/>
        </w:rPr>
        <w:t>Nemecko</w:t>
      </w:r>
    </w:p>
    <w:p w:rsidR="00780926" w:rsidRPr="002900B5" w:rsidRDefault="00780926" w:rsidP="006C7E8A">
      <w:pPr>
        <w:rPr>
          <w:szCs w:val="22"/>
        </w:rPr>
      </w:pPr>
    </w:p>
    <w:p w:rsidR="00832671" w:rsidRPr="002900B5" w:rsidRDefault="00832671" w:rsidP="006C7E8A">
      <w:pPr>
        <w:rPr>
          <w:szCs w:val="22"/>
        </w:rPr>
      </w:pPr>
    </w:p>
    <w:p w:rsidR="00780926" w:rsidRPr="002900B5" w:rsidRDefault="00780926" w:rsidP="006C7E8A">
      <w:pPr>
        <w:rPr>
          <w:b/>
          <w:szCs w:val="22"/>
        </w:rPr>
      </w:pPr>
      <w:r w:rsidRPr="002900B5">
        <w:rPr>
          <w:b/>
          <w:szCs w:val="22"/>
        </w:rPr>
        <w:t>8.</w:t>
      </w:r>
      <w:r w:rsidRPr="002900B5">
        <w:rPr>
          <w:b/>
          <w:szCs w:val="22"/>
        </w:rPr>
        <w:tab/>
        <w:t xml:space="preserve">REGISTRAČNÉ ČÍSLO </w:t>
      </w:r>
    </w:p>
    <w:p w:rsidR="00780926" w:rsidRPr="002900B5" w:rsidRDefault="00780926" w:rsidP="006C7E8A">
      <w:pPr>
        <w:rPr>
          <w:szCs w:val="22"/>
        </w:rPr>
      </w:pPr>
    </w:p>
    <w:p w:rsidR="00780926" w:rsidRPr="002900B5" w:rsidRDefault="004F074F" w:rsidP="006C7E8A">
      <w:pPr>
        <w:rPr>
          <w:szCs w:val="22"/>
        </w:rPr>
      </w:pPr>
      <w:r w:rsidRPr="002900B5">
        <w:rPr>
          <w:szCs w:val="22"/>
        </w:rPr>
        <w:t>87/0365/12-S</w:t>
      </w:r>
    </w:p>
    <w:p w:rsidR="00AA32CC" w:rsidRPr="002900B5" w:rsidRDefault="00AA32CC" w:rsidP="006C7E8A">
      <w:pPr>
        <w:rPr>
          <w:szCs w:val="22"/>
        </w:rPr>
      </w:pPr>
    </w:p>
    <w:p w:rsidR="004F074F" w:rsidRPr="002900B5" w:rsidRDefault="004F074F" w:rsidP="006C7E8A">
      <w:pPr>
        <w:rPr>
          <w:szCs w:val="22"/>
        </w:rPr>
      </w:pPr>
    </w:p>
    <w:p w:rsidR="00780926" w:rsidRPr="002900B5" w:rsidRDefault="00780926" w:rsidP="006C7E8A">
      <w:pPr>
        <w:rPr>
          <w:b/>
          <w:szCs w:val="22"/>
        </w:rPr>
      </w:pPr>
      <w:r w:rsidRPr="002900B5">
        <w:rPr>
          <w:b/>
          <w:szCs w:val="22"/>
        </w:rPr>
        <w:t>9.</w:t>
      </w:r>
      <w:r w:rsidRPr="002900B5">
        <w:rPr>
          <w:b/>
          <w:szCs w:val="22"/>
        </w:rPr>
        <w:tab/>
        <w:t>DÁTUM PRVEJ REGISTRÁCIE/ PREDĹŽENIA REGISTRÁCIE</w:t>
      </w:r>
    </w:p>
    <w:p w:rsidR="00780926" w:rsidRPr="002900B5" w:rsidRDefault="00780926" w:rsidP="006C7E8A">
      <w:pPr>
        <w:rPr>
          <w:szCs w:val="22"/>
        </w:rPr>
      </w:pPr>
    </w:p>
    <w:p w:rsidR="00342D11" w:rsidRPr="002900B5" w:rsidRDefault="00342D11" w:rsidP="00342D11">
      <w:pPr>
        <w:pStyle w:val="Default"/>
        <w:rPr>
          <w:sz w:val="22"/>
          <w:szCs w:val="22"/>
        </w:rPr>
      </w:pPr>
      <w:r w:rsidRPr="002900B5">
        <w:rPr>
          <w:sz w:val="22"/>
          <w:szCs w:val="22"/>
        </w:rPr>
        <w:t>Dátum prvej registrácie:</w:t>
      </w:r>
      <w:r w:rsidR="004F074F" w:rsidRPr="002900B5">
        <w:rPr>
          <w:sz w:val="22"/>
          <w:szCs w:val="22"/>
        </w:rPr>
        <w:t xml:space="preserve"> 31.</w:t>
      </w:r>
      <w:r w:rsidR="00643274" w:rsidRPr="002900B5">
        <w:rPr>
          <w:sz w:val="22"/>
          <w:szCs w:val="22"/>
        </w:rPr>
        <w:t xml:space="preserve"> júla </w:t>
      </w:r>
      <w:r w:rsidR="004F074F" w:rsidRPr="002900B5">
        <w:rPr>
          <w:sz w:val="22"/>
          <w:szCs w:val="22"/>
        </w:rPr>
        <w:t>2012</w:t>
      </w:r>
    </w:p>
    <w:p w:rsidR="005A3523" w:rsidRPr="002900B5" w:rsidRDefault="005A3523" w:rsidP="00342D11">
      <w:pPr>
        <w:pStyle w:val="Default"/>
        <w:rPr>
          <w:sz w:val="22"/>
          <w:szCs w:val="22"/>
        </w:rPr>
      </w:pPr>
      <w:r w:rsidRPr="002900B5">
        <w:rPr>
          <w:sz w:val="22"/>
          <w:szCs w:val="22"/>
        </w:rPr>
        <w:t>Dátum posledného predĺženia registrácie:</w:t>
      </w:r>
      <w:r w:rsidR="00017A0A">
        <w:rPr>
          <w:sz w:val="22"/>
          <w:szCs w:val="22"/>
        </w:rPr>
        <w:t xml:space="preserve"> 11. októbra 2018</w:t>
      </w:r>
    </w:p>
    <w:p w:rsidR="00780926" w:rsidRPr="002900B5" w:rsidRDefault="00780926" w:rsidP="006C7E8A">
      <w:pPr>
        <w:rPr>
          <w:szCs w:val="22"/>
        </w:rPr>
      </w:pPr>
    </w:p>
    <w:p w:rsidR="00AA32CC" w:rsidRPr="002900B5" w:rsidRDefault="00AA32CC" w:rsidP="006C7E8A">
      <w:pPr>
        <w:rPr>
          <w:szCs w:val="22"/>
        </w:rPr>
      </w:pPr>
    </w:p>
    <w:p w:rsidR="00780926" w:rsidRPr="002900B5" w:rsidRDefault="00780926" w:rsidP="006C7E8A">
      <w:pPr>
        <w:rPr>
          <w:b/>
          <w:szCs w:val="22"/>
        </w:rPr>
      </w:pPr>
      <w:r w:rsidRPr="002900B5">
        <w:rPr>
          <w:b/>
          <w:szCs w:val="22"/>
        </w:rPr>
        <w:t>10.</w:t>
      </w:r>
      <w:r w:rsidRPr="002900B5">
        <w:rPr>
          <w:b/>
          <w:szCs w:val="22"/>
        </w:rPr>
        <w:tab/>
        <w:t>DÁTUM REVÍZIE TEXTU</w:t>
      </w:r>
    </w:p>
    <w:p w:rsidR="00780926" w:rsidRPr="002900B5" w:rsidRDefault="00780926" w:rsidP="006C7E8A">
      <w:pPr>
        <w:rPr>
          <w:b/>
          <w:szCs w:val="22"/>
        </w:rPr>
      </w:pPr>
    </w:p>
    <w:p w:rsidR="00E06B88" w:rsidRPr="002900B5" w:rsidRDefault="00027FC5" w:rsidP="006C7E8A">
      <w:pPr>
        <w:ind w:left="0" w:firstLine="0"/>
        <w:rPr>
          <w:szCs w:val="22"/>
        </w:rPr>
      </w:pPr>
      <w:r>
        <w:rPr>
          <w:szCs w:val="22"/>
        </w:rPr>
        <w:t>07/2020</w:t>
      </w:r>
    </w:p>
    <w:sectPr w:rsidR="00E06B88" w:rsidRPr="002900B5" w:rsidSect="002900B5">
      <w:headerReference w:type="default" r:id="rId9"/>
      <w:footerReference w:type="default" r:id="rId10"/>
      <w:headerReference w:type="firs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28" w:rsidRDefault="00411828">
      <w:r>
        <w:separator/>
      </w:r>
    </w:p>
  </w:endnote>
  <w:endnote w:type="continuationSeparator" w:id="0">
    <w:p w:rsidR="00411828" w:rsidRDefault="0041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8A" w:rsidRDefault="00E1758A">
    <w:pPr>
      <w:pStyle w:val="Pta"/>
      <w:tabs>
        <w:tab w:val="clear" w:pos="8930"/>
        <w:tab w:val="right" w:pos="8931"/>
      </w:tabs>
      <w:ind w:right="96"/>
      <w:jc w:val="center"/>
    </w:pPr>
    <w:r>
      <w:fldChar w:fldCharType="begin"/>
    </w:r>
    <w:r>
      <w:instrText xml:space="preserve"> EQ </w:instrText>
    </w:r>
    <w:r>
      <w:fldChar w:fldCharType="end"/>
    </w:r>
    <w:r w:rsidRPr="00643274">
      <w:rPr>
        <w:rStyle w:val="slostrany"/>
        <w:rFonts w:ascii="Times New Roman" w:hAnsi="Times New Roman"/>
        <w:sz w:val="18"/>
        <w:szCs w:val="18"/>
      </w:rPr>
      <w:fldChar w:fldCharType="begin"/>
    </w:r>
    <w:r w:rsidRPr="00643274">
      <w:rPr>
        <w:rStyle w:val="slostrany"/>
        <w:rFonts w:ascii="Times New Roman" w:hAnsi="Times New Roman"/>
        <w:sz w:val="18"/>
        <w:szCs w:val="18"/>
      </w:rPr>
      <w:instrText xml:space="preserve">PAGE  </w:instrText>
    </w:r>
    <w:r w:rsidRPr="00643274">
      <w:rPr>
        <w:rStyle w:val="slostrany"/>
        <w:rFonts w:ascii="Times New Roman" w:hAnsi="Times New Roman"/>
        <w:sz w:val="18"/>
        <w:szCs w:val="18"/>
      </w:rPr>
      <w:fldChar w:fldCharType="separate"/>
    </w:r>
    <w:r w:rsidR="009F24ED">
      <w:rPr>
        <w:rStyle w:val="slostrany"/>
        <w:rFonts w:ascii="Times New Roman" w:hAnsi="Times New Roman"/>
        <w:noProof/>
        <w:sz w:val="18"/>
        <w:szCs w:val="18"/>
      </w:rPr>
      <w:t>14</w:t>
    </w:r>
    <w:r w:rsidRPr="00643274">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8A" w:rsidRDefault="00E1758A">
    <w:pPr>
      <w:pStyle w:val="Pta"/>
      <w:tabs>
        <w:tab w:val="clear" w:pos="8930"/>
        <w:tab w:val="right" w:pos="8931"/>
      </w:tabs>
      <w:ind w:right="96"/>
      <w:jc w:val="center"/>
    </w:pPr>
    <w:r>
      <w:fldChar w:fldCharType="begin"/>
    </w:r>
    <w:r>
      <w:instrText xml:space="preserve"> EQ </w:instrText>
    </w:r>
    <w:r>
      <w:fldChar w:fldCharType="end"/>
    </w:r>
    <w:r w:rsidRPr="002A6286">
      <w:rPr>
        <w:rStyle w:val="slostrany"/>
        <w:rFonts w:ascii="Times New Roman" w:hAnsi="Times New Roman"/>
        <w:sz w:val="18"/>
        <w:szCs w:val="18"/>
      </w:rPr>
      <w:fldChar w:fldCharType="begin"/>
    </w:r>
    <w:r w:rsidRPr="002A6286">
      <w:rPr>
        <w:rStyle w:val="slostrany"/>
        <w:rFonts w:ascii="Times New Roman" w:hAnsi="Times New Roman"/>
        <w:sz w:val="18"/>
        <w:szCs w:val="18"/>
      </w:rPr>
      <w:instrText xml:space="preserve">PAGE  </w:instrText>
    </w:r>
    <w:r w:rsidRPr="002A6286">
      <w:rPr>
        <w:rStyle w:val="slostrany"/>
        <w:rFonts w:ascii="Times New Roman" w:hAnsi="Times New Roman"/>
        <w:sz w:val="18"/>
        <w:szCs w:val="18"/>
      </w:rPr>
      <w:fldChar w:fldCharType="separate"/>
    </w:r>
    <w:r w:rsidR="001421B0">
      <w:rPr>
        <w:rStyle w:val="slostrany"/>
        <w:rFonts w:ascii="Times New Roman" w:hAnsi="Times New Roman"/>
        <w:noProof/>
        <w:sz w:val="18"/>
        <w:szCs w:val="18"/>
      </w:rPr>
      <w:t>1</w:t>
    </w:r>
    <w:r w:rsidRPr="002A6286">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28" w:rsidRDefault="00411828">
      <w:r>
        <w:separator/>
      </w:r>
    </w:p>
  </w:footnote>
  <w:footnote w:type="continuationSeparator" w:id="0">
    <w:p w:rsidR="00411828" w:rsidRDefault="00411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725" w:rsidRPr="002900B5" w:rsidRDefault="00D05725" w:rsidP="00D05725">
    <w:pPr>
      <w:pStyle w:val="Hlavika"/>
      <w:rPr>
        <w:rFonts w:ascii="Times New Roman" w:hAnsi="Times New Roman"/>
        <w:sz w:val="18"/>
        <w:szCs w:val="18"/>
        <w:lang w:val="sk-SK"/>
      </w:rPr>
    </w:pPr>
    <w:r w:rsidRPr="0019184D">
      <w:rPr>
        <w:rFonts w:ascii="Times New Roman" w:hAnsi="Times New Roman"/>
        <w:sz w:val="18"/>
        <w:szCs w:val="18"/>
        <w:lang w:val="sk-SK"/>
      </w:rPr>
      <w:t xml:space="preserve">Príloha č. 1 k notifikácii o zmene, ev. č.: </w:t>
    </w:r>
    <w:r>
      <w:rPr>
        <w:rFonts w:ascii="Times New Roman" w:hAnsi="Times New Roman"/>
        <w:sz w:val="18"/>
        <w:szCs w:val="18"/>
        <w:lang w:val="sk-SK"/>
      </w:rPr>
      <w:t>2020/</w:t>
    </w:r>
    <w:r w:rsidR="008F10E9">
      <w:rPr>
        <w:rFonts w:ascii="Times New Roman" w:hAnsi="Times New Roman"/>
        <w:sz w:val="18"/>
        <w:szCs w:val="18"/>
        <w:lang w:val="sk-SK"/>
      </w:rPr>
      <w:t>02650-Z1B</w:t>
    </w:r>
  </w:p>
  <w:p w:rsidR="0020108C" w:rsidRDefault="0020108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447" w:rsidRDefault="00265447">
    <w:pPr>
      <w:pStyle w:val="Hlavika"/>
      <w:rPr>
        <w:rFonts w:ascii="Times New Roman" w:hAnsi="Times New Roman"/>
        <w:sz w:val="18"/>
        <w:szCs w:val="18"/>
        <w:lang w:val="sk-SK"/>
      </w:rPr>
    </w:pPr>
    <w:r>
      <w:rPr>
        <w:rFonts w:ascii="Times New Roman" w:hAnsi="Times New Roman"/>
        <w:sz w:val="18"/>
        <w:szCs w:val="18"/>
        <w:lang w:val="sk-SK"/>
      </w:rPr>
      <w:t>Schválený text k rozhodnutiu o predĺžení, ev. č.: 2016/01433-PRE</w:t>
    </w:r>
  </w:p>
  <w:p w:rsidR="0020108C" w:rsidRPr="0019184D" w:rsidRDefault="0020108C">
    <w:pPr>
      <w:pStyle w:val="Hlavika"/>
      <w:rPr>
        <w:rFonts w:ascii="Times New Roman" w:hAnsi="Times New Roman"/>
        <w:sz w:val="18"/>
        <w:szCs w:val="18"/>
        <w:lang w:val="sk-SK"/>
      </w:rPr>
    </w:pPr>
    <w:r w:rsidRPr="0019184D">
      <w:rPr>
        <w:rFonts w:ascii="Times New Roman" w:hAnsi="Times New Roman"/>
        <w:sz w:val="18"/>
        <w:szCs w:val="18"/>
        <w:lang w:val="sk-SK"/>
      </w:rPr>
      <w:t>Príloha č. 1 k notifikácii o zmene, ev. č.: 2015/0</w:t>
    </w:r>
    <w:r w:rsidR="0019184D">
      <w:rPr>
        <w:rFonts w:ascii="Times New Roman" w:hAnsi="Times New Roman"/>
        <w:sz w:val="18"/>
        <w:szCs w:val="18"/>
        <w:lang w:val="sk-SK"/>
      </w:rPr>
      <w:t>7087-Z1B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41F86"/>
    <w:multiLevelType w:val="hybridMultilevel"/>
    <w:tmpl w:val="2688B2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E1241"/>
    <w:multiLevelType w:val="hybridMultilevel"/>
    <w:tmpl w:val="E37ED4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E862565"/>
    <w:multiLevelType w:val="hybridMultilevel"/>
    <w:tmpl w:val="D85013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1340C8E"/>
    <w:multiLevelType w:val="multilevel"/>
    <w:tmpl w:val="C7B6336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F84BBB"/>
    <w:multiLevelType w:val="hybridMultilevel"/>
    <w:tmpl w:val="23969B14"/>
    <w:lvl w:ilvl="0" w:tplc="18082EB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127835"/>
    <w:multiLevelType w:val="hybridMultilevel"/>
    <w:tmpl w:val="8098CD76"/>
    <w:lvl w:ilvl="0" w:tplc="52A84D72">
      <w:start w:val="5"/>
      <w:numFmt w:val="decimal"/>
      <w:lvlText w:val="%1."/>
      <w:lvlJc w:val="left"/>
      <w:pPr>
        <w:tabs>
          <w:tab w:val="num" w:pos="930"/>
        </w:tabs>
        <w:ind w:left="930" w:hanging="57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BD816FE"/>
    <w:multiLevelType w:val="hybridMultilevel"/>
    <w:tmpl w:val="BF968A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EF94565"/>
    <w:multiLevelType w:val="multilevel"/>
    <w:tmpl w:val="DD823F8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3760261"/>
    <w:multiLevelType w:val="multilevel"/>
    <w:tmpl w:val="DD823F8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4747A00"/>
    <w:multiLevelType w:val="hybridMultilevel"/>
    <w:tmpl w:val="32F43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2"/>
  </w:num>
  <w:num w:numId="7">
    <w:abstractNumId w:val="11"/>
  </w:num>
  <w:num w:numId="8">
    <w:abstractNumId w:val="5"/>
  </w:num>
  <w:num w:numId="9">
    <w:abstractNumId w:val="16"/>
  </w:num>
  <w:num w:numId="10">
    <w:abstractNumId w:val="17"/>
  </w:num>
  <w:num w:numId="11">
    <w:abstractNumId w:val="2"/>
  </w:num>
  <w:num w:numId="12">
    <w:abstractNumId w:val="13"/>
  </w:num>
  <w:num w:numId="13">
    <w:abstractNumId w:val="6"/>
  </w:num>
  <w:num w:numId="14">
    <w:abstractNumId w:val="9"/>
  </w:num>
  <w:num w:numId="15">
    <w:abstractNumId w:val="14"/>
  </w:num>
  <w:num w:numId="16">
    <w:abstractNumId w:val="10"/>
  </w:num>
  <w:num w:numId="17">
    <w:abstractNumId w:val="4"/>
  </w:num>
  <w:num w:numId="18">
    <w:abstractNumId w:val="1"/>
  </w:num>
  <w:num w:numId="19">
    <w:abstractNumId w:val="3"/>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0120C"/>
    <w:rsid w:val="00003E62"/>
    <w:rsid w:val="00010681"/>
    <w:rsid w:val="00017358"/>
    <w:rsid w:val="00017A0A"/>
    <w:rsid w:val="000220DD"/>
    <w:rsid w:val="0002744D"/>
    <w:rsid w:val="00027FC5"/>
    <w:rsid w:val="000320BA"/>
    <w:rsid w:val="000377B6"/>
    <w:rsid w:val="00052972"/>
    <w:rsid w:val="0006561D"/>
    <w:rsid w:val="00071B84"/>
    <w:rsid w:val="00077C7D"/>
    <w:rsid w:val="00083A03"/>
    <w:rsid w:val="00090230"/>
    <w:rsid w:val="000910EC"/>
    <w:rsid w:val="000B011B"/>
    <w:rsid w:val="000C3B5F"/>
    <w:rsid w:val="000C44E3"/>
    <w:rsid w:val="000D3D56"/>
    <w:rsid w:val="000E1D36"/>
    <w:rsid w:val="000E7685"/>
    <w:rsid w:val="000F2EDE"/>
    <w:rsid w:val="000F6528"/>
    <w:rsid w:val="00111957"/>
    <w:rsid w:val="001421B0"/>
    <w:rsid w:val="001430B2"/>
    <w:rsid w:val="00144433"/>
    <w:rsid w:val="00155180"/>
    <w:rsid w:val="001706FA"/>
    <w:rsid w:val="0017179A"/>
    <w:rsid w:val="0019184D"/>
    <w:rsid w:val="00193816"/>
    <w:rsid w:val="0019533E"/>
    <w:rsid w:val="001A16C3"/>
    <w:rsid w:val="001A2F15"/>
    <w:rsid w:val="001B494E"/>
    <w:rsid w:val="001C0265"/>
    <w:rsid w:val="001D057A"/>
    <w:rsid w:val="001F67E5"/>
    <w:rsid w:val="002003FB"/>
    <w:rsid w:val="0020108C"/>
    <w:rsid w:val="0020297D"/>
    <w:rsid w:val="00206122"/>
    <w:rsid w:val="0022527A"/>
    <w:rsid w:val="00245D2B"/>
    <w:rsid w:val="00251DDC"/>
    <w:rsid w:val="002618B1"/>
    <w:rsid w:val="00265447"/>
    <w:rsid w:val="002664BA"/>
    <w:rsid w:val="00276C66"/>
    <w:rsid w:val="00287AD9"/>
    <w:rsid w:val="002900B5"/>
    <w:rsid w:val="002964DD"/>
    <w:rsid w:val="002A46A5"/>
    <w:rsid w:val="002A6286"/>
    <w:rsid w:val="002B7838"/>
    <w:rsid w:val="002C1B1E"/>
    <w:rsid w:val="002C21A6"/>
    <w:rsid w:val="002E3CEB"/>
    <w:rsid w:val="002F51AC"/>
    <w:rsid w:val="002F6F2B"/>
    <w:rsid w:val="0033036A"/>
    <w:rsid w:val="003365DC"/>
    <w:rsid w:val="00342D11"/>
    <w:rsid w:val="00355038"/>
    <w:rsid w:val="00372327"/>
    <w:rsid w:val="003851CA"/>
    <w:rsid w:val="0038659A"/>
    <w:rsid w:val="00386B3B"/>
    <w:rsid w:val="00386DB4"/>
    <w:rsid w:val="003908F9"/>
    <w:rsid w:val="00394F3D"/>
    <w:rsid w:val="003A706F"/>
    <w:rsid w:val="003E4607"/>
    <w:rsid w:val="003E58E4"/>
    <w:rsid w:val="003F32AB"/>
    <w:rsid w:val="00403E14"/>
    <w:rsid w:val="00405A4C"/>
    <w:rsid w:val="00410653"/>
    <w:rsid w:val="00411828"/>
    <w:rsid w:val="00425867"/>
    <w:rsid w:val="00430654"/>
    <w:rsid w:val="00445623"/>
    <w:rsid w:val="00446F26"/>
    <w:rsid w:val="004547E2"/>
    <w:rsid w:val="00474CA1"/>
    <w:rsid w:val="004820A2"/>
    <w:rsid w:val="00483B56"/>
    <w:rsid w:val="004E0CA5"/>
    <w:rsid w:val="004F074F"/>
    <w:rsid w:val="004F53B9"/>
    <w:rsid w:val="004F74FF"/>
    <w:rsid w:val="00531607"/>
    <w:rsid w:val="00544756"/>
    <w:rsid w:val="00567973"/>
    <w:rsid w:val="0057698B"/>
    <w:rsid w:val="00585517"/>
    <w:rsid w:val="00586C5E"/>
    <w:rsid w:val="00595112"/>
    <w:rsid w:val="005A3523"/>
    <w:rsid w:val="005A6B98"/>
    <w:rsid w:val="005B3E41"/>
    <w:rsid w:val="005B65BE"/>
    <w:rsid w:val="005C5F40"/>
    <w:rsid w:val="005D6369"/>
    <w:rsid w:val="005E1C02"/>
    <w:rsid w:val="005E7919"/>
    <w:rsid w:val="005E7B97"/>
    <w:rsid w:val="005F115D"/>
    <w:rsid w:val="005F7BA4"/>
    <w:rsid w:val="00603126"/>
    <w:rsid w:val="006114EF"/>
    <w:rsid w:val="0061566B"/>
    <w:rsid w:val="00620E21"/>
    <w:rsid w:val="006322E3"/>
    <w:rsid w:val="00635F64"/>
    <w:rsid w:val="00643274"/>
    <w:rsid w:val="00643C12"/>
    <w:rsid w:val="006863C0"/>
    <w:rsid w:val="006A082B"/>
    <w:rsid w:val="006B2603"/>
    <w:rsid w:val="006B6EA8"/>
    <w:rsid w:val="006C7E8A"/>
    <w:rsid w:val="006F0077"/>
    <w:rsid w:val="006F2B5C"/>
    <w:rsid w:val="00712EE5"/>
    <w:rsid w:val="00722EFC"/>
    <w:rsid w:val="00723561"/>
    <w:rsid w:val="0073571B"/>
    <w:rsid w:val="00736D3A"/>
    <w:rsid w:val="007459AB"/>
    <w:rsid w:val="00764431"/>
    <w:rsid w:val="00765558"/>
    <w:rsid w:val="00771FB2"/>
    <w:rsid w:val="00780926"/>
    <w:rsid w:val="007943C0"/>
    <w:rsid w:val="00795708"/>
    <w:rsid w:val="007A432E"/>
    <w:rsid w:val="007A5A74"/>
    <w:rsid w:val="007C4D06"/>
    <w:rsid w:val="007D01B7"/>
    <w:rsid w:val="007D384A"/>
    <w:rsid w:val="007F77C3"/>
    <w:rsid w:val="00803879"/>
    <w:rsid w:val="00803C3C"/>
    <w:rsid w:val="00805359"/>
    <w:rsid w:val="008066CF"/>
    <w:rsid w:val="00814618"/>
    <w:rsid w:val="00820EBB"/>
    <w:rsid w:val="00822B68"/>
    <w:rsid w:val="00832671"/>
    <w:rsid w:val="008357B1"/>
    <w:rsid w:val="00837642"/>
    <w:rsid w:val="008467AC"/>
    <w:rsid w:val="00857BD8"/>
    <w:rsid w:val="008A2576"/>
    <w:rsid w:val="008B6429"/>
    <w:rsid w:val="008C2692"/>
    <w:rsid w:val="008C2AEB"/>
    <w:rsid w:val="008C5336"/>
    <w:rsid w:val="008D2A47"/>
    <w:rsid w:val="008D7C2E"/>
    <w:rsid w:val="008E28E7"/>
    <w:rsid w:val="008E5092"/>
    <w:rsid w:val="008F10E9"/>
    <w:rsid w:val="008F4B62"/>
    <w:rsid w:val="008F673E"/>
    <w:rsid w:val="009033F8"/>
    <w:rsid w:val="00911CBF"/>
    <w:rsid w:val="0091587B"/>
    <w:rsid w:val="0092321C"/>
    <w:rsid w:val="00924017"/>
    <w:rsid w:val="00941584"/>
    <w:rsid w:val="00951C41"/>
    <w:rsid w:val="00966379"/>
    <w:rsid w:val="00973FB2"/>
    <w:rsid w:val="00990742"/>
    <w:rsid w:val="009936B2"/>
    <w:rsid w:val="0099424D"/>
    <w:rsid w:val="009A605C"/>
    <w:rsid w:val="009C599D"/>
    <w:rsid w:val="009C6BC8"/>
    <w:rsid w:val="009C6CAA"/>
    <w:rsid w:val="009D079A"/>
    <w:rsid w:val="009D0CF5"/>
    <w:rsid w:val="009D2EDF"/>
    <w:rsid w:val="009E1526"/>
    <w:rsid w:val="009F24ED"/>
    <w:rsid w:val="009F39AF"/>
    <w:rsid w:val="00A06001"/>
    <w:rsid w:val="00A138B3"/>
    <w:rsid w:val="00A14D85"/>
    <w:rsid w:val="00A1726D"/>
    <w:rsid w:val="00A209FB"/>
    <w:rsid w:val="00A249D0"/>
    <w:rsid w:val="00A3500C"/>
    <w:rsid w:val="00A42132"/>
    <w:rsid w:val="00A426E0"/>
    <w:rsid w:val="00A43CEC"/>
    <w:rsid w:val="00A45A21"/>
    <w:rsid w:val="00A475FE"/>
    <w:rsid w:val="00A524FC"/>
    <w:rsid w:val="00A53679"/>
    <w:rsid w:val="00A53E17"/>
    <w:rsid w:val="00A549E9"/>
    <w:rsid w:val="00A57137"/>
    <w:rsid w:val="00A833E5"/>
    <w:rsid w:val="00A911CE"/>
    <w:rsid w:val="00AA32CC"/>
    <w:rsid w:val="00AA3DE4"/>
    <w:rsid w:val="00AB5E2A"/>
    <w:rsid w:val="00AE70F2"/>
    <w:rsid w:val="00B17CA8"/>
    <w:rsid w:val="00B22D94"/>
    <w:rsid w:val="00B26C60"/>
    <w:rsid w:val="00B26F14"/>
    <w:rsid w:val="00B3254F"/>
    <w:rsid w:val="00B32C93"/>
    <w:rsid w:val="00B558F6"/>
    <w:rsid w:val="00B56EA0"/>
    <w:rsid w:val="00B57B80"/>
    <w:rsid w:val="00B61E90"/>
    <w:rsid w:val="00B74FFE"/>
    <w:rsid w:val="00B93C4D"/>
    <w:rsid w:val="00B97971"/>
    <w:rsid w:val="00BA2614"/>
    <w:rsid w:val="00BA335E"/>
    <w:rsid w:val="00BB1F0B"/>
    <w:rsid w:val="00BC27A5"/>
    <w:rsid w:val="00BC54F1"/>
    <w:rsid w:val="00BD1AE4"/>
    <w:rsid w:val="00C04EAC"/>
    <w:rsid w:val="00C3103F"/>
    <w:rsid w:val="00C369CF"/>
    <w:rsid w:val="00C62010"/>
    <w:rsid w:val="00C62082"/>
    <w:rsid w:val="00C631FA"/>
    <w:rsid w:val="00C639B8"/>
    <w:rsid w:val="00C867D3"/>
    <w:rsid w:val="00CD5A19"/>
    <w:rsid w:val="00CE1505"/>
    <w:rsid w:val="00CF16AB"/>
    <w:rsid w:val="00CF69A9"/>
    <w:rsid w:val="00D010B9"/>
    <w:rsid w:val="00D05725"/>
    <w:rsid w:val="00D1251E"/>
    <w:rsid w:val="00D20A71"/>
    <w:rsid w:val="00D34CE2"/>
    <w:rsid w:val="00D41EBC"/>
    <w:rsid w:val="00D534DD"/>
    <w:rsid w:val="00D56183"/>
    <w:rsid w:val="00D74C8F"/>
    <w:rsid w:val="00D8549D"/>
    <w:rsid w:val="00D876B7"/>
    <w:rsid w:val="00D96638"/>
    <w:rsid w:val="00DA06B3"/>
    <w:rsid w:val="00DA7C37"/>
    <w:rsid w:val="00DA7CEC"/>
    <w:rsid w:val="00DB7F58"/>
    <w:rsid w:val="00DC313B"/>
    <w:rsid w:val="00DC4985"/>
    <w:rsid w:val="00DD083E"/>
    <w:rsid w:val="00DD187E"/>
    <w:rsid w:val="00E06B88"/>
    <w:rsid w:val="00E122D7"/>
    <w:rsid w:val="00E1698A"/>
    <w:rsid w:val="00E1758A"/>
    <w:rsid w:val="00E33064"/>
    <w:rsid w:val="00E416A1"/>
    <w:rsid w:val="00E43119"/>
    <w:rsid w:val="00E52D30"/>
    <w:rsid w:val="00E53CD7"/>
    <w:rsid w:val="00E71F64"/>
    <w:rsid w:val="00E82C83"/>
    <w:rsid w:val="00E863A0"/>
    <w:rsid w:val="00E90C9D"/>
    <w:rsid w:val="00EA0369"/>
    <w:rsid w:val="00EA6A78"/>
    <w:rsid w:val="00EB0F66"/>
    <w:rsid w:val="00EC0681"/>
    <w:rsid w:val="00EC1441"/>
    <w:rsid w:val="00ED4472"/>
    <w:rsid w:val="00EE031B"/>
    <w:rsid w:val="00EE2F87"/>
    <w:rsid w:val="00EE7BBC"/>
    <w:rsid w:val="00F02F60"/>
    <w:rsid w:val="00F07940"/>
    <w:rsid w:val="00F13666"/>
    <w:rsid w:val="00F17AC2"/>
    <w:rsid w:val="00F34200"/>
    <w:rsid w:val="00F40CEF"/>
    <w:rsid w:val="00F523C0"/>
    <w:rsid w:val="00F57FEF"/>
    <w:rsid w:val="00F602D5"/>
    <w:rsid w:val="00F70DE6"/>
    <w:rsid w:val="00F751EF"/>
    <w:rsid w:val="00F9357E"/>
    <w:rsid w:val="00F97CAE"/>
    <w:rsid w:val="00FA3F2B"/>
    <w:rsid w:val="00FA4164"/>
    <w:rsid w:val="00FB1E08"/>
    <w:rsid w:val="00FC7C15"/>
    <w:rsid w:val="00FE1401"/>
    <w:rsid w:val="00FE21BA"/>
    <w:rsid w:val="00FE7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D90297F-30AF-459F-95F9-DA12AE42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Default">
    <w:name w:val="Default"/>
    <w:rsid w:val="00003E62"/>
    <w:pPr>
      <w:autoSpaceDE w:val="0"/>
      <w:autoSpaceDN w:val="0"/>
      <w:adjustRightInd w:val="0"/>
    </w:pPr>
    <w:rPr>
      <w:color w:val="000000"/>
      <w:sz w:val="24"/>
      <w:szCs w:val="24"/>
    </w:rPr>
  </w:style>
  <w:style w:type="table" w:styleId="Mriekatabuky">
    <w:name w:val="Table Grid"/>
    <w:basedOn w:val="Normlnatabuka"/>
    <w:rsid w:val="008D2A47"/>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link w:val="Hlavika"/>
    <w:uiPriority w:val="99"/>
    <w:rsid w:val="0020108C"/>
    <w:rPr>
      <w:rFonts w:ascii="Helvetica" w:hAnsi="Helvetica"/>
      <w:lang w:val="cs-CZ" w:eastAsia="en-US"/>
    </w:rPr>
  </w:style>
  <w:style w:type="paragraph" w:styleId="Revzia">
    <w:name w:val="Revision"/>
    <w:hidden/>
    <w:uiPriority w:val="99"/>
    <w:semiHidden/>
    <w:rsid w:val="00C369CF"/>
    <w:rPr>
      <w:sz w:val="22"/>
      <w:szCs w:val="24"/>
    </w:rPr>
  </w:style>
  <w:style w:type="character" w:customStyle="1" w:styleId="TextChar1">
    <w:name w:val="Text Char1"/>
    <w:link w:val="Text"/>
    <w:locked/>
    <w:rsid w:val="00017A0A"/>
    <w:rPr>
      <w:rFonts w:ascii="SimSun" w:hAnsi="SimSun"/>
      <w:color w:val="000000"/>
    </w:rPr>
  </w:style>
  <w:style w:type="paragraph" w:customStyle="1" w:styleId="Text">
    <w:name w:val="Text"/>
    <w:basedOn w:val="Normlny"/>
    <w:link w:val="TextChar1"/>
    <w:rsid w:val="00017A0A"/>
    <w:pPr>
      <w:spacing w:after="240" w:line="276" w:lineRule="auto"/>
      <w:ind w:left="1134" w:firstLine="0"/>
      <w:jc w:val="both"/>
    </w:pPr>
    <w:rPr>
      <w:rFonts w:ascii="SimSun" w:hAnsi="SimSu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5634-DC63-4253-8D30-56F7CE72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5528</Words>
  <Characters>31511</Characters>
  <Application>Microsoft Office Word</Application>
  <DocSecurity>0</DocSecurity>
  <Lines>262</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Ibandronic acid Stada</vt:lpstr>
      <vt:lpstr>Ibandronic acid Stada</vt:lpstr>
    </vt:vector>
  </TitlesOfParts>
  <Company>Stada AG</Company>
  <LinksUpToDate>false</LinksUpToDate>
  <CharactersWithSpaces>36966</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Stada</dc:title>
  <dc:subject>SmPC</dc:subject>
  <dc:creator>R-Pharmaservices</dc:creator>
  <cp:lastModifiedBy>zuzana molnarova</cp:lastModifiedBy>
  <cp:revision>3</cp:revision>
  <cp:lastPrinted>2020-07-16T09:22:00Z</cp:lastPrinted>
  <dcterms:created xsi:type="dcterms:W3CDTF">2020-07-15T08:01:00Z</dcterms:created>
  <dcterms:modified xsi:type="dcterms:W3CDTF">2020-07-16T09:22:00Z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General-EMA/53564/2010</vt:lpwstr>
  </property>
  <property fmtid="{D5CDD505-2E9C-101B-9397-08002B2CF9AE}" pid="6" name="DM_Title">
    <vt:lpwstr/>
  </property>
  <property fmtid="{D5CDD505-2E9C-101B-9397-08002B2CF9AE}" pid="7" name="DM_Language">
    <vt:lpwstr/>
  </property>
  <property fmtid="{D5CDD505-2E9C-101B-9397-08002B2CF9AE}" pid="8" name="DM_Name">
    <vt:lpwstr>Hreferralspcsk</vt:lpwstr>
  </property>
  <property fmtid="{D5CDD505-2E9C-101B-9397-08002B2CF9AE}" pid="9" name="DM_Owner">
    <vt:lpwstr>Espinasse Claire</vt:lpwstr>
  </property>
  <property fmtid="{D5CDD505-2E9C-101B-9397-08002B2CF9AE}" pid="10" name="DM_Creation_Date">
    <vt:lpwstr>23/04/2010 14:46:36</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14:46:36</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EMA/53564/2010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