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213BC" w14:textId="77777777" w:rsidR="00336777" w:rsidRDefault="00336777" w:rsidP="007C574B">
      <w:pPr>
        <w:pStyle w:val="SPCaPILhlavika"/>
      </w:pPr>
    </w:p>
    <w:p w14:paraId="14EC015F" w14:textId="77777777" w:rsidR="0093440D" w:rsidRDefault="0093440D" w:rsidP="007C574B">
      <w:pPr>
        <w:pStyle w:val="SPCaPILhlavika"/>
      </w:pPr>
      <w:r w:rsidRPr="0067219E">
        <w:t>SÚHRN CHARAKTERISTICKÝCH VLASTNOSTÍ LIEKU</w:t>
      </w:r>
    </w:p>
    <w:p w14:paraId="3CFD4678" w14:textId="77777777" w:rsidR="0067219E" w:rsidRDefault="0067219E" w:rsidP="007C574B">
      <w:pPr>
        <w:pStyle w:val="SPCaPILhlavika"/>
      </w:pPr>
    </w:p>
    <w:p w14:paraId="5B8542D5" w14:textId="77777777" w:rsidR="0067219E" w:rsidRPr="0067219E" w:rsidRDefault="0067219E" w:rsidP="007C574B">
      <w:pPr>
        <w:pStyle w:val="SPCaPILhlavika"/>
      </w:pPr>
    </w:p>
    <w:p w14:paraId="1CDD22E7" w14:textId="77777777" w:rsidR="0093440D" w:rsidRPr="0067219E" w:rsidRDefault="0093440D" w:rsidP="00B427CE">
      <w:pPr>
        <w:pStyle w:val="Styl1"/>
      </w:pPr>
      <w:r w:rsidRPr="0067219E">
        <w:t>NÁZOV LIEKU</w:t>
      </w:r>
    </w:p>
    <w:p w14:paraId="6A90C325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4E9B4A5E" w14:textId="14AA2908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</w:p>
    <w:p w14:paraId="3680CF84" w14:textId="5EF4C264" w:rsidR="0093440D" w:rsidRPr="00966A36" w:rsidRDefault="0093440D" w:rsidP="00CA4059">
      <w:pPr>
        <w:spacing w:after="0" w:line="240" w:lineRule="auto"/>
        <w:rPr>
          <w:rFonts w:ascii="Times New Roman" w:hAnsi="Times New Roman"/>
          <w:highlight w:val="lightGray"/>
        </w:rPr>
      </w:pPr>
      <w:r w:rsidRPr="00966A36">
        <w:rPr>
          <w:rFonts w:ascii="Times New Roman" w:hAnsi="Times New Roman"/>
          <w:highlight w:val="lightGray"/>
        </w:rPr>
        <w:t>AMICOR 20</w:t>
      </w:r>
      <w:r w:rsidR="00800FD5" w:rsidRPr="00966A36">
        <w:rPr>
          <w:rFonts w:ascii="Times New Roman" w:hAnsi="Times New Roman"/>
          <w:highlight w:val="lightGray"/>
        </w:rPr>
        <w:t> mg</w:t>
      </w:r>
    </w:p>
    <w:p w14:paraId="06A5CCDB" w14:textId="6ED24FCA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966A36">
        <w:rPr>
          <w:rFonts w:ascii="Times New Roman" w:hAnsi="Times New Roman"/>
          <w:highlight w:val="lightGray"/>
        </w:rPr>
        <w:t>AMICOR 40</w:t>
      </w:r>
      <w:r w:rsidR="00800FD5" w:rsidRPr="00966A36">
        <w:rPr>
          <w:rFonts w:ascii="Times New Roman" w:hAnsi="Times New Roman"/>
          <w:highlight w:val="lightGray"/>
        </w:rPr>
        <w:t> mg</w:t>
      </w:r>
    </w:p>
    <w:p w14:paraId="21B08F2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filmom obalené tablety</w:t>
      </w:r>
    </w:p>
    <w:p w14:paraId="0D6FA6DB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F60C613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E9B8851" w14:textId="154BF3F1" w:rsidR="0093440D" w:rsidRPr="0067219E" w:rsidRDefault="0093440D" w:rsidP="00B427CE">
      <w:pPr>
        <w:pStyle w:val="Styl1"/>
      </w:pPr>
      <w:r w:rsidRPr="0067219E">
        <w:t>KVALITATÍVNE</w:t>
      </w:r>
      <w:r w:rsidR="00800FD5" w:rsidRPr="0067219E">
        <w:t xml:space="preserve"> a </w:t>
      </w:r>
      <w:r w:rsidRPr="0067219E">
        <w:t>KVANTITATÍVNE ZLOŽENIE</w:t>
      </w:r>
    </w:p>
    <w:p w14:paraId="7FC954DA" w14:textId="77777777" w:rsidR="00B82537" w:rsidRPr="00CA4059" w:rsidRDefault="00B82537" w:rsidP="00CA4059">
      <w:pPr>
        <w:spacing w:after="0" w:line="240" w:lineRule="auto"/>
        <w:rPr>
          <w:rFonts w:ascii="Times New Roman" w:hAnsi="Times New Roman"/>
        </w:rPr>
      </w:pPr>
    </w:p>
    <w:p w14:paraId="69C92FB2" w14:textId="6A76C27B" w:rsidR="0093440D" w:rsidRPr="00CA4059" w:rsidRDefault="00B82537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Jedna</w:t>
      </w:r>
      <w:r w:rsidR="0093440D" w:rsidRPr="00CA4059">
        <w:rPr>
          <w:rFonts w:ascii="Times New Roman" w:hAnsi="Times New Roman"/>
        </w:rPr>
        <w:t xml:space="preserve"> filmom obalená tableta obsahuje 10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>, 20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 xml:space="preserve"> alebo 40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 xml:space="preserve"> atorvastatínu (vo forme vápenatej soli atorvastatínu).</w:t>
      </w:r>
    </w:p>
    <w:p w14:paraId="6637AD48" w14:textId="77777777" w:rsidR="00B82537" w:rsidRPr="00CA4059" w:rsidRDefault="00B82537" w:rsidP="00CA4059">
      <w:pPr>
        <w:spacing w:after="0" w:line="240" w:lineRule="auto"/>
        <w:rPr>
          <w:rFonts w:ascii="Times New Roman" w:hAnsi="Times New Roman"/>
        </w:rPr>
      </w:pPr>
    </w:p>
    <w:p w14:paraId="00FF996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Úplný zoznam pomocných látok, pozri časť 6.1.</w:t>
      </w:r>
    </w:p>
    <w:p w14:paraId="68AC834B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3D35B8A7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156A98F2" w14:textId="77777777" w:rsidR="0093440D" w:rsidRPr="0067219E" w:rsidRDefault="0093440D" w:rsidP="00B427CE">
      <w:pPr>
        <w:pStyle w:val="Styl1"/>
      </w:pPr>
      <w:r w:rsidRPr="0067219E">
        <w:t>LIEKOVÁ FORMA</w:t>
      </w:r>
    </w:p>
    <w:p w14:paraId="357A47E4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2F24D6B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Filmom obalená tableta</w:t>
      </w:r>
      <w:r w:rsidR="0067219E">
        <w:rPr>
          <w:rFonts w:ascii="Times New Roman" w:hAnsi="Times New Roman"/>
        </w:rPr>
        <w:t>.</w:t>
      </w:r>
    </w:p>
    <w:p w14:paraId="334DD8A3" w14:textId="77777777" w:rsidR="0053344A" w:rsidRPr="00CA4059" w:rsidRDefault="0053344A" w:rsidP="00CA4059">
      <w:pPr>
        <w:spacing w:after="0" w:line="240" w:lineRule="auto"/>
        <w:rPr>
          <w:rFonts w:ascii="Times New Roman" w:hAnsi="Times New Roman"/>
        </w:rPr>
      </w:pPr>
    </w:p>
    <w:p w14:paraId="4C7CBADC" w14:textId="6746B03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: biele, oválne bikonvexné filmom obalené tablety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označením „10“ na jednej strane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„A“ na druhej strane.</w:t>
      </w:r>
    </w:p>
    <w:p w14:paraId="681954FF" w14:textId="3D35AA5E" w:rsidR="0093440D" w:rsidRPr="00966A36" w:rsidRDefault="0093440D" w:rsidP="00CA4059">
      <w:pPr>
        <w:spacing w:after="0" w:line="240" w:lineRule="auto"/>
        <w:rPr>
          <w:rFonts w:ascii="Times New Roman" w:hAnsi="Times New Roman"/>
          <w:highlight w:val="lightGray"/>
        </w:rPr>
      </w:pPr>
      <w:r w:rsidRPr="00966A36">
        <w:rPr>
          <w:rFonts w:ascii="Times New Roman" w:hAnsi="Times New Roman"/>
          <w:highlight w:val="lightGray"/>
        </w:rPr>
        <w:t>AMICOR 20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>: biele, oválne bikonvexné filmom obalené tablety</w:t>
      </w:r>
      <w:r w:rsidR="00800FD5" w:rsidRPr="00966A36">
        <w:rPr>
          <w:rFonts w:ascii="Times New Roman" w:hAnsi="Times New Roman"/>
          <w:highlight w:val="lightGray"/>
        </w:rPr>
        <w:t xml:space="preserve"> s</w:t>
      </w:r>
      <w:r w:rsidR="00321734" w:rsidRPr="00966A36">
        <w:rPr>
          <w:rFonts w:ascii="Times New Roman" w:hAnsi="Times New Roman"/>
          <w:highlight w:val="lightGray"/>
        </w:rPr>
        <w:t xml:space="preserve"> </w:t>
      </w:r>
      <w:r w:rsidRPr="00966A36">
        <w:rPr>
          <w:rFonts w:ascii="Times New Roman" w:hAnsi="Times New Roman"/>
          <w:highlight w:val="lightGray"/>
        </w:rPr>
        <w:t>označením „20“ na jednej strane</w:t>
      </w:r>
      <w:r w:rsidR="00800FD5" w:rsidRPr="00966A36">
        <w:rPr>
          <w:rFonts w:ascii="Times New Roman" w:hAnsi="Times New Roman"/>
          <w:highlight w:val="lightGray"/>
        </w:rPr>
        <w:t xml:space="preserve"> a </w:t>
      </w:r>
      <w:r w:rsidRPr="00966A36">
        <w:rPr>
          <w:rFonts w:ascii="Times New Roman" w:hAnsi="Times New Roman"/>
          <w:highlight w:val="lightGray"/>
        </w:rPr>
        <w:t>„A“ na druhej strane.</w:t>
      </w:r>
    </w:p>
    <w:p w14:paraId="2EDEBAFE" w14:textId="3732866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966A36">
        <w:rPr>
          <w:rFonts w:ascii="Times New Roman" w:hAnsi="Times New Roman"/>
          <w:highlight w:val="lightGray"/>
        </w:rPr>
        <w:t>AMICOR 40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>: biele, oválne bikonvexné filmom obalené tablety</w:t>
      </w:r>
      <w:r w:rsidR="00800FD5" w:rsidRPr="00966A36">
        <w:rPr>
          <w:rFonts w:ascii="Times New Roman" w:hAnsi="Times New Roman"/>
          <w:highlight w:val="lightGray"/>
        </w:rPr>
        <w:t xml:space="preserve"> s</w:t>
      </w:r>
      <w:r w:rsidR="00321734" w:rsidRPr="00966A36">
        <w:rPr>
          <w:rFonts w:ascii="Times New Roman" w:hAnsi="Times New Roman"/>
          <w:highlight w:val="lightGray"/>
        </w:rPr>
        <w:t xml:space="preserve"> </w:t>
      </w:r>
      <w:r w:rsidRPr="00966A36">
        <w:rPr>
          <w:rFonts w:ascii="Times New Roman" w:hAnsi="Times New Roman"/>
          <w:highlight w:val="lightGray"/>
        </w:rPr>
        <w:t>označením „40“ na jednej strane</w:t>
      </w:r>
      <w:r w:rsidR="00800FD5" w:rsidRPr="00966A36">
        <w:rPr>
          <w:rFonts w:ascii="Times New Roman" w:hAnsi="Times New Roman"/>
          <w:highlight w:val="lightGray"/>
        </w:rPr>
        <w:t xml:space="preserve"> a </w:t>
      </w:r>
      <w:r w:rsidRPr="00966A36">
        <w:rPr>
          <w:rFonts w:ascii="Times New Roman" w:hAnsi="Times New Roman"/>
          <w:highlight w:val="lightGray"/>
        </w:rPr>
        <w:t>„A“ na druhej strane.</w:t>
      </w:r>
    </w:p>
    <w:p w14:paraId="31B85B85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89BCE78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7CF907F6" w14:textId="77777777" w:rsidR="0093440D" w:rsidRPr="0067219E" w:rsidRDefault="0093440D" w:rsidP="00B427CE">
      <w:pPr>
        <w:pStyle w:val="Styl1"/>
      </w:pPr>
      <w:r w:rsidRPr="0067219E">
        <w:t>KLINICKÉ ÚDAJE</w:t>
      </w:r>
    </w:p>
    <w:p w14:paraId="78B357DB" w14:textId="77777777" w:rsidR="00286557" w:rsidRPr="0067219E" w:rsidRDefault="00286557" w:rsidP="00CA4059">
      <w:pPr>
        <w:pStyle w:val="Styl1"/>
        <w:numPr>
          <w:ilvl w:val="0"/>
          <w:numId w:val="0"/>
        </w:numPr>
        <w:ind w:left="360"/>
      </w:pPr>
    </w:p>
    <w:p w14:paraId="133E778E" w14:textId="77777777" w:rsidR="0093440D" w:rsidRPr="0067219E" w:rsidRDefault="0093440D" w:rsidP="00C36284">
      <w:pPr>
        <w:pStyle w:val="Styl2"/>
      </w:pPr>
      <w:r w:rsidRPr="0067219E">
        <w:t>Terapeutické indikácie</w:t>
      </w:r>
    </w:p>
    <w:p w14:paraId="5E7D33F6" w14:textId="77777777" w:rsidR="00286557" w:rsidRPr="0067219E" w:rsidRDefault="00286557" w:rsidP="009E102A">
      <w:pPr>
        <w:pStyle w:val="Styl2"/>
        <w:numPr>
          <w:ilvl w:val="0"/>
          <w:numId w:val="0"/>
        </w:numPr>
      </w:pPr>
    </w:p>
    <w:p w14:paraId="043F591C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Hypercholesterolémia</w:t>
      </w:r>
    </w:p>
    <w:p w14:paraId="0D4A3A80" w14:textId="4C114B6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je indikovaný ako prídavná liečba so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ne navrhovanou diétou na zníženie celkového cholesterolu (celkový-C), LDL-cholesterolu (LDL-C), apolipoproteínu B</w:t>
      </w:r>
      <w:r w:rsidR="00800FD5" w:rsidRPr="00CA4059">
        <w:rPr>
          <w:rFonts w:ascii="Times New Roman" w:hAnsi="Times New Roman"/>
        </w:rPr>
        <w:t xml:space="preserve"> a </w:t>
      </w:r>
      <w:bookmarkStart w:id="0" w:name="_GoBack"/>
      <w:r w:rsidRPr="00CA4059">
        <w:rPr>
          <w:rFonts w:ascii="Times New Roman" w:hAnsi="Times New Roman"/>
        </w:rPr>
        <w:t>hladi</w:t>
      </w:r>
      <w:bookmarkEnd w:id="0"/>
      <w:r w:rsidRPr="00CA4059">
        <w:rPr>
          <w:rFonts w:ascii="Times New Roman" w:hAnsi="Times New Roman"/>
        </w:rPr>
        <w:t>ny triacylglycerolov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dospelých, dospievajúcich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detí vo veku 10 rokov alebo starších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primárnou hypercholesterolémiou vrátane familiárnej hypercholesterolémie (heterozygotná forma) alebo kombinovanou (zmiešanou) hyperlipidémiou (zodpovedajúcou typu IIa alebo typu IIb podľa Fredricksona), pokiaľ diéta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iné nefarmakologické postupy neviedli k dostatočnému účinku.</w:t>
      </w:r>
    </w:p>
    <w:p w14:paraId="73B3043B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35B6536E" w14:textId="7C0892E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je taktiež indikovaný na zníženie celkového cholesterolu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LDL-cholesterolu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175127">
        <w:t> </w:t>
      </w:r>
      <w:r w:rsidRPr="00CA4059">
        <w:rPr>
          <w:rFonts w:ascii="Times New Roman" w:hAnsi="Times New Roman"/>
        </w:rPr>
        <w:t>homozygotnou familiárnou hypercholesterolémiou ako prídavná liečba k ďalšej hypolipidemickej terapii (ako je napr. LDL aferéza) alebo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prípadoch, ak tieto liečebné metódy nie sú dostupné.</w:t>
      </w:r>
    </w:p>
    <w:p w14:paraId="2EAB7083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2082B5C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Prevencia kardiovaskulárneho ochorenia</w:t>
      </w:r>
    </w:p>
    <w:p w14:paraId="0E740CC4" w14:textId="4CC7DE9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Prevencia kardiovaskulárnych príhod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dospelých 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očakávaným vysokým rizikom prvej kardiovaskulárnej príhody (pozri časť 5.1), ako doplnok k </w:t>
      </w:r>
      <w:r w:rsidR="00E26A19">
        <w:rPr>
          <w:rFonts w:ascii="Times New Roman" w:hAnsi="Times New Roman"/>
        </w:rPr>
        <w:t>ú</w:t>
      </w:r>
      <w:r w:rsidRPr="00CA4059">
        <w:rPr>
          <w:rFonts w:ascii="Times New Roman" w:hAnsi="Times New Roman"/>
        </w:rPr>
        <w:t>prave iných rizikových faktorov.</w:t>
      </w:r>
    </w:p>
    <w:p w14:paraId="151A725B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32A1CB8D" w14:textId="2AB40647" w:rsidR="0093440D" w:rsidRPr="0067219E" w:rsidRDefault="0093440D" w:rsidP="007760AD">
      <w:pPr>
        <w:pStyle w:val="Styl2"/>
      </w:pPr>
      <w:r w:rsidRPr="0067219E">
        <w:t>Dávkovanie</w:t>
      </w:r>
      <w:r w:rsidR="00800FD5" w:rsidRPr="0067219E">
        <w:t xml:space="preserve"> a </w:t>
      </w:r>
      <w:r w:rsidRPr="0067219E">
        <w:t>spôsob podávania</w:t>
      </w:r>
    </w:p>
    <w:p w14:paraId="040AA66F" w14:textId="77777777" w:rsidR="00286557" w:rsidRPr="00CA4059" w:rsidRDefault="00286557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279FAB5F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Dávkovanie</w:t>
      </w:r>
    </w:p>
    <w:p w14:paraId="337E1415" w14:textId="6420BB20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Pred začatím liečby </w:t>
      </w:r>
      <w:r w:rsidR="00175127">
        <w:rPr>
          <w:rFonts w:ascii="Times New Roman" w:hAnsi="Times New Roman"/>
        </w:rPr>
        <w:t xml:space="preserve">liekom </w:t>
      </w:r>
      <w:r w:rsidRPr="00CA4059">
        <w:rPr>
          <w:rFonts w:ascii="Times New Roman" w:hAnsi="Times New Roman"/>
        </w:rPr>
        <w:t>AMICOR sa má pacientovi naordinovať štandardný diétny režim na zníženie cholesterolu, ktorý má dodržiavať i počas celej liečby liekom AMICOR.</w:t>
      </w:r>
    </w:p>
    <w:p w14:paraId="06D548CB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3F563B15" w14:textId="56B7B2E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Dávka má byť individuálna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závislosti od východiskových hodnôt LDL-cholesterolu, cieľa liečby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odozvy pacienta.</w:t>
      </w:r>
    </w:p>
    <w:p w14:paraId="6A257C54" w14:textId="32EA22F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Obvyklá začiatočná dávka je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jedenkrát denne. Úprava dávkovania sa uskutočňuje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odstupom 4 týždňov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viac. Maximálna dávka je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jedenkrát denne.</w:t>
      </w:r>
    </w:p>
    <w:p w14:paraId="3B1F8B57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443166DE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Primárna hypercholesterolémia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kombinovaná (zmiešaná) hyperlipidémia</w:t>
      </w:r>
    </w:p>
    <w:p w14:paraId="36441975" w14:textId="105B129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Pre väčšinu pacientov je dávka </w:t>
      </w:r>
      <w:r w:rsidR="00BA550C">
        <w:rPr>
          <w:rFonts w:ascii="Times New Roman" w:hAnsi="Times New Roman"/>
        </w:rPr>
        <w:t xml:space="preserve">lieku </w:t>
      </w: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jedenkrát denne dostačujúca. Terapeutický účinok sa objaví do 2 týždňov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maximálna odozva sa dosiahne obvykle do 4 týždňov. Účinok je pri dlhodobej terapii trvalý.</w:t>
      </w:r>
    </w:p>
    <w:p w14:paraId="6D9169EE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7E99B3C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Heterozygotná familiárna hypercholesterolémia</w:t>
      </w:r>
    </w:p>
    <w:p w14:paraId="69932E9D" w14:textId="05DA0B1A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Pacienti majú začať liečbu dávkou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denne. Dávky sa majú upravovať individuálne každé 4</w:t>
      </w:r>
      <w:r w:rsidR="002C4CFF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týždne až na 40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denne. Potom sa môže dávkovanie buď zvýšiť až na maximálnu dávku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denne, alebo sa môže podávať </w:t>
      </w:r>
      <w:r w:rsidR="006350FD" w:rsidRPr="008E3519">
        <w:rPr>
          <w:rFonts w:ascii="Times New Roman" w:hAnsi="Times New Roman"/>
          <w:lang w:val="pl-PL"/>
        </w:rPr>
        <w:t xml:space="preserve">sekvestrant </w:t>
      </w:r>
      <w:r w:rsidRPr="00CA4059">
        <w:rPr>
          <w:rFonts w:ascii="Times New Roman" w:hAnsi="Times New Roman"/>
        </w:rPr>
        <w:t>žlčov</w:t>
      </w:r>
      <w:r w:rsidR="006350FD">
        <w:rPr>
          <w:rFonts w:ascii="Times New Roman" w:hAnsi="Times New Roman"/>
        </w:rPr>
        <w:t>ých</w:t>
      </w:r>
      <w:r w:rsidRPr="00CA4059">
        <w:rPr>
          <w:rFonts w:ascii="Times New Roman" w:hAnsi="Times New Roman"/>
        </w:rPr>
        <w:t xml:space="preserve"> kysel</w:t>
      </w:r>
      <w:r w:rsidR="006350FD">
        <w:rPr>
          <w:rFonts w:ascii="Times New Roman" w:hAnsi="Times New Roman"/>
        </w:rPr>
        <w:t>ín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kombinácii so 40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jedenkrát denne.</w:t>
      </w:r>
    </w:p>
    <w:p w14:paraId="4E701BF8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3DEDD84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Homozygotná familiárna hypercholesterolémia</w:t>
      </w:r>
    </w:p>
    <w:p w14:paraId="688E0350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K dispozícii sú iba obmedzené údaje (pozri časť 5.1).</w:t>
      </w:r>
    </w:p>
    <w:p w14:paraId="2B21FBC4" w14:textId="0C756F8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Dávka atorvastatínu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homozygotnou familiárnou hypercholesterolémiou je 10 až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 (pozri časť 5.1). Atorvastatín sa má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týchto pacientov používať ako prídavná liečba k ďalšej hypolipidemickej terapii (ako je napr. LDL aferéza) alebo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prípadoch, ak tieto liečebné metódy nie sú dostupné.</w:t>
      </w:r>
    </w:p>
    <w:p w14:paraId="51C450AA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73576804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Prevencia kardiovaskulárneho ochorenia</w:t>
      </w:r>
    </w:p>
    <w:p w14:paraId="7B3E4E9F" w14:textId="1044396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štúdiách primárnej prevencie bola dávka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/deň. Vyššie dávky môžu byť potrebné na to, aby sa dosiahli hladiny (LDL-) cholesterolu zodpovedajúce súčasným odporúčaniam.</w:t>
      </w:r>
    </w:p>
    <w:p w14:paraId="205B1CA1" w14:textId="77777777" w:rsidR="001B35B2" w:rsidRPr="00CA4059" w:rsidRDefault="001B35B2" w:rsidP="00CA4059">
      <w:pPr>
        <w:spacing w:after="0" w:line="240" w:lineRule="auto"/>
        <w:rPr>
          <w:rFonts w:ascii="Times New Roman" w:hAnsi="Times New Roman"/>
        </w:rPr>
      </w:pPr>
    </w:p>
    <w:p w14:paraId="6266117F" w14:textId="77777777" w:rsidR="001B35B2" w:rsidRPr="00CA4059" w:rsidRDefault="001B35B2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Súbežné podávanie s inými liekmi</w:t>
      </w:r>
    </w:p>
    <w:p w14:paraId="00BA1A25" w14:textId="245BEAF5" w:rsidR="001B35B2" w:rsidRPr="00CA4059" w:rsidRDefault="001B35B2" w:rsidP="00175127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U pacientov užívajúcich antivirotiká proti hepatitíde typu C, elbasvir/grazoprevir, spolu s</w:t>
      </w:r>
      <w:r w:rsidR="0017512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atorvastatínom, nemá dávka atorvastatínu presiahnuť 20 mg/deň (pozri časti 4.4 a 4.5).</w:t>
      </w:r>
    </w:p>
    <w:p w14:paraId="7E89AB38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27A82E1" w14:textId="7551831B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</w:t>
      </w:r>
      <w:r w:rsidR="00D05D96">
        <w:rPr>
          <w:rFonts w:ascii="Times New Roman" w:hAnsi="Times New Roman"/>
        </w:rPr>
        <w:t>rucha</w:t>
      </w:r>
      <w:r w:rsidRPr="00CA4059">
        <w:rPr>
          <w:rFonts w:ascii="Times New Roman" w:hAnsi="Times New Roman"/>
        </w:rPr>
        <w:t xml:space="preserve"> funkcie obličiek</w:t>
      </w:r>
    </w:p>
    <w:p w14:paraId="30FB903C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Úprava dávky sa nevyžaduje (pozri časť 4.4).</w:t>
      </w:r>
    </w:p>
    <w:p w14:paraId="3DD924DE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4E6825AD" w14:textId="531F954C" w:rsidR="0093440D" w:rsidRPr="00CA4059" w:rsidRDefault="00D05D96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370313">
        <w:rPr>
          <w:rFonts w:ascii="Times New Roman" w:hAnsi="Times New Roman"/>
        </w:rPr>
        <w:t>Po</w:t>
      </w:r>
      <w:r>
        <w:rPr>
          <w:rFonts w:ascii="Times New Roman" w:hAnsi="Times New Roman"/>
        </w:rPr>
        <w:t>rucha</w:t>
      </w:r>
      <w:r w:rsidRPr="00370313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funkcie pečene</w:t>
      </w:r>
    </w:p>
    <w:p w14:paraId="0C7A2D33" w14:textId="51116DB4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sa má používať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opatrnosťou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</w:t>
      </w:r>
      <w:r w:rsidR="00EE77B9">
        <w:rPr>
          <w:rFonts w:ascii="Times New Roman" w:hAnsi="Times New Roman"/>
        </w:rPr>
        <w:t>ruchou</w:t>
      </w:r>
      <w:r w:rsidRPr="00CA4059">
        <w:rPr>
          <w:rFonts w:ascii="Times New Roman" w:hAnsi="Times New Roman"/>
        </w:rPr>
        <w:t xml:space="preserve"> funkcie pečene (pozri časti 4.4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5.2). AMICOR je kontraindikovaný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aktívnym ochorením pečene (pozri časť 4.3).</w:t>
      </w:r>
    </w:p>
    <w:p w14:paraId="4624BEB7" w14:textId="77777777" w:rsidR="00286557" w:rsidRPr="00CA4059" w:rsidRDefault="00286557" w:rsidP="00CA4059">
      <w:pPr>
        <w:spacing w:after="0" w:line="240" w:lineRule="auto"/>
        <w:rPr>
          <w:rFonts w:ascii="Times New Roman" w:hAnsi="Times New Roman"/>
        </w:rPr>
      </w:pPr>
    </w:p>
    <w:p w14:paraId="0AB54D5F" w14:textId="24AA645D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Použitie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starších pacientov</w:t>
      </w:r>
    </w:p>
    <w:p w14:paraId="6865F5A6" w14:textId="1DAEA7A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Účinnosť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bezpečnosť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 starších ako 70 rokov užívajúcich odporúčané dávky je porovnateľná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ostatnou populáciou.</w:t>
      </w:r>
    </w:p>
    <w:p w14:paraId="2A8DCDBA" w14:textId="77777777" w:rsidR="001B35B2" w:rsidRPr="00CA4059" w:rsidRDefault="001B35B2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101862D0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Pediatrická populácia</w:t>
      </w:r>
    </w:p>
    <w:p w14:paraId="12937D9D" w14:textId="77777777" w:rsidR="0093440D" w:rsidRPr="00CA4059" w:rsidRDefault="0093440D" w:rsidP="00CA4059">
      <w:pPr>
        <w:pStyle w:val="Styl4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Hypercholesterolémia</w:t>
      </w:r>
    </w:p>
    <w:p w14:paraId="3F469E6B" w14:textId="4FC60A7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Liečbu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detí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dospievajúcich majú vykonávať iba lekári so skúsenosťami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liečbou detskej hyperlipidémie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pacienti sa majú pravidelne kontrolovať, aby sa posúdil priebeh liečby.</w:t>
      </w:r>
    </w:p>
    <w:p w14:paraId="1338330F" w14:textId="0FF35CD6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 pacientov vo veku 10 rokov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viac sa odporúča začať dávkou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denne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titrovať do 20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denne. Titrácia sa má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pediatrických pacientov uskutočňovať podľa individuálnej odpovede na liečbu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tolerancie. Informácie o bezpečnosti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pediatrických pacientov liečených dávkou vyššou ako 20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zodpovedajúcou asi 0,5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/kg sú obmedzené.</w:t>
      </w:r>
    </w:p>
    <w:p w14:paraId="6E0B8529" w14:textId="7AD2DEC4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Skúsenosti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použitím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detí vo veku 6</w:t>
      </w:r>
      <w:r w:rsidR="00461BCD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–</w:t>
      </w:r>
      <w:r w:rsidR="00461BCD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10 rokov sú obmedzené (pozri časť 5.1). Atorvastatín nie je indikovaný na liečbu pacientov mladších ako 10 rokov.</w:t>
      </w:r>
    </w:p>
    <w:p w14:paraId="748C045F" w14:textId="77777777" w:rsidR="003604DE" w:rsidRPr="00CA4059" w:rsidRDefault="003604DE" w:rsidP="00CA4059">
      <w:pPr>
        <w:spacing w:after="0" w:line="240" w:lineRule="auto"/>
        <w:rPr>
          <w:rFonts w:ascii="Times New Roman" w:hAnsi="Times New Roman"/>
        </w:rPr>
      </w:pPr>
    </w:p>
    <w:p w14:paraId="6BF04C8E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Iné liekové formy/sily môžu byť vhodnejšie pre túto skupinu pacientov.</w:t>
      </w:r>
    </w:p>
    <w:p w14:paraId="7CB5C3A4" w14:textId="77777777" w:rsidR="001B35B2" w:rsidRPr="00CA4059" w:rsidRDefault="001B35B2" w:rsidP="00CA4059">
      <w:pPr>
        <w:pStyle w:val="Styl3"/>
        <w:spacing w:after="0" w:line="240" w:lineRule="auto"/>
        <w:rPr>
          <w:rFonts w:ascii="Times New Roman" w:hAnsi="Times New Roman"/>
          <w:highlight w:val="cyan"/>
        </w:rPr>
      </w:pPr>
    </w:p>
    <w:p w14:paraId="6CDBCB35" w14:textId="5E72D1AC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Spôsob podávania</w:t>
      </w:r>
    </w:p>
    <w:p w14:paraId="470FAD9C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je určený na perorálne podanie. Každá denná dávka atorvastatínu sa podáva celá naraz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môže sa podať kedykoľvek počas dňa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jedlom alebo bez jedla.</w:t>
      </w:r>
    </w:p>
    <w:p w14:paraId="3F840F2A" w14:textId="77777777" w:rsidR="001B35B2" w:rsidRPr="00CA4059" w:rsidRDefault="001B35B2" w:rsidP="00CA4059">
      <w:pPr>
        <w:spacing w:after="0" w:line="240" w:lineRule="auto"/>
        <w:rPr>
          <w:rFonts w:ascii="Times New Roman" w:hAnsi="Times New Roman"/>
        </w:rPr>
      </w:pPr>
    </w:p>
    <w:p w14:paraId="4846A1C3" w14:textId="77777777" w:rsidR="0093440D" w:rsidRPr="0067219E" w:rsidRDefault="0093440D" w:rsidP="007760AD">
      <w:pPr>
        <w:pStyle w:val="Styl2"/>
      </w:pPr>
      <w:r w:rsidRPr="0067219E">
        <w:t>Kontraindikácie</w:t>
      </w:r>
    </w:p>
    <w:p w14:paraId="58B89812" w14:textId="77777777" w:rsidR="001B35B2" w:rsidRPr="00CA4059" w:rsidRDefault="001B35B2" w:rsidP="00CA4059">
      <w:pPr>
        <w:spacing w:after="0" w:line="240" w:lineRule="auto"/>
        <w:rPr>
          <w:rFonts w:ascii="Times New Roman" w:hAnsi="Times New Roman"/>
        </w:rPr>
      </w:pPr>
    </w:p>
    <w:p w14:paraId="3CAEC966" w14:textId="75E2914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je kontraindikovaný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pacientov:</w:t>
      </w:r>
    </w:p>
    <w:p w14:paraId="1871263F" w14:textId="6DEF1810" w:rsidR="0093440D" w:rsidRPr="00CA4059" w:rsidRDefault="007314A3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s </w:t>
      </w:r>
      <w:r w:rsidR="0093440D" w:rsidRPr="00CA4059">
        <w:rPr>
          <w:rFonts w:ascii="Times New Roman" w:hAnsi="Times New Roman"/>
        </w:rPr>
        <w:t>precitlivenosťou na liečivo alebo na ktorúkoľvek z pomocných látok uvedených</w:t>
      </w:r>
      <w:r w:rsidR="00800FD5" w:rsidRPr="00CA4059">
        <w:rPr>
          <w:rFonts w:ascii="Times New Roman" w:hAnsi="Times New Roman"/>
        </w:rPr>
        <w:t xml:space="preserve"> v </w:t>
      </w:r>
      <w:r w:rsidR="0093440D" w:rsidRPr="00CA4059">
        <w:rPr>
          <w:rFonts w:ascii="Times New Roman" w:hAnsi="Times New Roman"/>
        </w:rPr>
        <w:t>časti 6.1</w:t>
      </w:r>
    </w:p>
    <w:p w14:paraId="47D510B5" w14:textId="756C5A82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 aktívnym ochorením pečene alebo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neobjasneným pretrvávajúcim zvýšením sérových transamináz na viac </w:t>
      </w:r>
      <w:r w:rsidR="008D43BC">
        <w:rPr>
          <w:rFonts w:ascii="Times New Roman" w:hAnsi="Times New Roman"/>
        </w:rPr>
        <w:t>ako</w:t>
      </w:r>
      <w:r w:rsidR="008D43BC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trojnásobok hornej hranice normálnych hodnôt</w:t>
      </w:r>
    </w:p>
    <w:p w14:paraId="53EED714" w14:textId="12848899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počas gravidity,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období dojčenia</w:t>
      </w:r>
      <w:r w:rsidR="00800FD5" w:rsidRPr="00CA4059">
        <w:rPr>
          <w:rFonts w:ascii="Times New Roman" w:hAnsi="Times New Roman"/>
        </w:rPr>
        <w:t xml:space="preserve"> a u </w:t>
      </w:r>
      <w:r w:rsidRPr="00CA4059">
        <w:rPr>
          <w:rFonts w:ascii="Times New Roman" w:hAnsi="Times New Roman"/>
        </w:rPr>
        <w:t>žien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reprodukčnom veku, ktoré nepoužívajú vhodnú antikoncepciu (pozri časť 4.6)</w:t>
      </w:r>
    </w:p>
    <w:p w14:paraId="0CBE069E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liečených antivirotikami proti hepatitíde typu C glekaprevirom/pibrentasvirom</w:t>
      </w:r>
    </w:p>
    <w:p w14:paraId="71108189" w14:textId="77777777" w:rsidR="001B35B2" w:rsidRPr="00CA4059" w:rsidRDefault="001B35B2" w:rsidP="00CA4059">
      <w:pPr>
        <w:spacing w:after="0" w:line="240" w:lineRule="auto"/>
        <w:rPr>
          <w:rFonts w:ascii="Times New Roman" w:hAnsi="Times New Roman"/>
          <w:highlight w:val="yellow"/>
        </w:rPr>
      </w:pPr>
    </w:p>
    <w:p w14:paraId="21465012" w14:textId="77777777" w:rsidR="0093440D" w:rsidRPr="0067219E" w:rsidRDefault="0093440D" w:rsidP="007760AD">
      <w:pPr>
        <w:pStyle w:val="Styl2"/>
      </w:pPr>
      <w:r w:rsidRPr="0067219E">
        <w:t>Osobitné upozornenia</w:t>
      </w:r>
      <w:r w:rsidR="00800FD5" w:rsidRPr="0067219E">
        <w:t xml:space="preserve"> a </w:t>
      </w:r>
      <w:r w:rsidRPr="0067219E">
        <w:t>opatrenia pri používaní</w:t>
      </w:r>
    </w:p>
    <w:p w14:paraId="217A7A37" w14:textId="77777777" w:rsidR="001B35B2" w:rsidRPr="00CA4059" w:rsidRDefault="001B35B2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72AF41E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Vplyv na pečeň</w:t>
      </w:r>
    </w:p>
    <w:p w14:paraId="487F53E4" w14:textId="11EB963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Pečeňové testy sa majú robiť pred začiatkom liečby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pravidelne počas liečby. Pacientom,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 xml:space="preserve">ktorých sa zistia akékoľvek náznaky alebo symptómy </w:t>
      </w:r>
      <w:r w:rsidR="00263C34" w:rsidRPr="00263C34">
        <w:rPr>
          <w:rFonts w:ascii="Times New Roman" w:hAnsi="Times New Roman"/>
        </w:rPr>
        <w:t>poruchy funkcie</w:t>
      </w:r>
      <w:r w:rsidRPr="00CA4059">
        <w:rPr>
          <w:rFonts w:ascii="Times New Roman" w:hAnsi="Times New Roman"/>
        </w:rPr>
        <w:t xml:space="preserve"> pečene, sa majú urobiť pečeňové testy. Pacienti,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ktorých sa zistia zvýšené hodnoty transamináz, musia byť monitorovaní až do doby, kým sa hodnoty opäť znormalizujú. Pokiaľ zvýšené hodnoty transamináz o viac než trojnásobok hornej hranice referenčných hodnôt (ULN) pretrvávajú, odporúča sa znížiť dávku alebo liečbu liekom AMICOR ukončiť (pozri časť 4.8).</w:t>
      </w:r>
    </w:p>
    <w:p w14:paraId="507C407F" w14:textId="1843C082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sa má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opatrnosťou používať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konzumujú veľké množstvo alkoholu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/alebo majú ochorenie pečene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anamnéze.</w:t>
      </w:r>
    </w:p>
    <w:p w14:paraId="2264D428" w14:textId="0DCEEF18" w:rsidR="007F5982" w:rsidRPr="00CA4059" w:rsidRDefault="007F5982" w:rsidP="00CA4059">
      <w:pPr>
        <w:spacing w:after="0" w:line="240" w:lineRule="auto"/>
        <w:rPr>
          <w:rFonts w:ascii="Times New Roman" w:hAnsi="Times New Roman"/>
        </w:rPr>
      </w:pPr>
    </w:p>
    <w:p w14:paraId="49C3335C" w14:textId="104BFDBB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Prevencia cievnej mozgovej príhody agresívnym znížením hladín cholesterolu (</w:t>
      </w:r>
      <w:r w:rsidR="007F5982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Stroke Prevention by Aggressive Reduction in Cholesterol Levels“, SPARCL)</w:t>
      </w:r>
    </w:p>
    <w:p w14:paraId="6096277D" w14:textId="355C8946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V </w:t>
      </w:r>
      <w:r w:rsidR="00BE7477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post-hoc“ analýze podtypov cievnej mozgovej príhody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 bez ischemickej choroby srdca (ICHS), ktorí nedávno prekonali cievnu mozgovú príhodu alebo tranzitórny ischemický atak (TIA), bol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placebom vyšší výskyt hemoragických cievnych mozgových príhod (CMP)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začali liečbu atorvastatínom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dávke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. Zvýšené riziko sa pozorovalo zvlášť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hemoragickou CMP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anamnéze alebo lakunárnym mozgovým infarktom pri vstupe do štúdie.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prekonanou hemoragickou CMP alebo lakunárnym mozgovým infarktom je pomer rizika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prínosu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neistý,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preto sa pred začatím liečby musí starostlivo zvážiť možné riziko hemoragickej CMP (pozri časť 5.1).</w:t>
      </w:r>
    </w:p>
    <w:p w14:paraId="7729E6F5" w14:textId="77777777" w:rsidR="009E102A" w:rsidRPr="00CA4059" w:rsidRDefault="009E102A" w:rsidP="00CA4059">
      <w:pPr>
        <w:spacing w:after="0" w:line="240" w:lineRule="auto"/>
        <w:contextualSpacing/>
        <w:rPr>
          <w:rFonts w:ascii="Times New Roman" w:hAnsi="Times New Roman"/>
        </w:rPr>
      </w:pPr>
    </w:p>
    <w:p w14:paraId="7B75C2CB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Diabetes mellitus</w:t>
      </w:r>
    </w:p>
    <w:p w14:paraId="6FBEE486" w14:textId="754C3F7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Niektoré dôkazy naznačujú, že statíny zvyšujú hladinu glukózy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krvi</w:t>
      </w:r>
      <w:r w:rsidR="00800FD5" w:rsidRPr="00CA4059">
        <w:rPr>
          <w:rFonts w:ascii="Times New Roman" w:hAnsi="Times New Roman"/>
        </w:rPr>
        <w:t xml:space="preserve"> a u </w:t>
      </w:r>
      <w:r w:rsidRPr="00CA4059">
        <w:rPr>
          <w:rFonts w:ascii="Times New Roman" w:hAnsi="Times New Roman"/>
        </w:rPr>
        <w:t>niektorých pacientov</w:t>
      </w:r>
      <w:r w:rsidR="00800FD5" w:rsidRPr="00CA4059">
        <w:rPr>
          <w:rFonts w:ascii="Times New Roman" w:hAnsi="Times New Roman"/>
        </w:rPr>
        <w:t xml:space="preserve"> s</w:t>
      </w:r>
      <w:r w:rsidR="0017512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rizikom vzniku diabetu, môžu vyvolať hyperglykémiu, ktorá už vyžaduje diabetologickú starostlivosť. Toto riziko však neprevažuje nad prínosom liečby statínmi – redukcia kardiovaskulárneho rizika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nie je preto dôvod</w:t>
      </w:r>
      <w:r w:rsidR="006B32A8">
        <w:rPr>
          <w:rFonts w:ascii="Times New Roman" w:hAnsi="Times New Roman"/>
        </w:rPr>
        <w:t>om</w:t>
      </w:r>
      <w:r w:rsidRPr="00CA4059">
        <w:rPr>
          <w:rFonts w:ascii="Times New Roman" w:hAnsi="Times New Roman"/>
        </w:rPr>
        <w:t xml:space="preserve"> </w:t>
      </w:r>
      <w:r w:rsidR="006B32A8">
        <w:rPr>
          <w:rFonts w:ascii="Times New Roman" w:hAnsi="Times New Roman"/>
        </w:rPr>
        <w:t>na</w:t>
      </w:r>
      <w:r w:rsidR="006B32A8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ukončenie liečby statínmi. Pacienti so zvýšeným rizikom pre vznik diabetu (glukóza nalačno 5,6 až 6,9 mmol/l, BMI</w:t>
      </w:r>
      <w:r w:rsidR="00AC53FA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&gt;</w:t>
      </w:r>
      <w:r w:rsidR="00AC53FA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30</w:t>
      </w:r>
      <w:r w:rsidR="00AC53FA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kg/m2, zvýšenie triglyceridov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krvi, hypertenzia) majú byť klinicky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biochemicky monitorovaní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súlade</w:t>
      </w:r>
      <w:r w:rsidR="00800FD5" w:rsidRPr="00CA4059">
        <w:rPr>
          <w:rFonts w:ascii="Times New Roman" w:hAnsi="Times New Roman"/>
        </w:rPr>
        <w:t xml:space="preserve"> s</w:t>
      </w:r>
      <w:r w:rsidR="0017512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národnými odporučeniami.</w:t>
      </w:r>
    </w:p>
    <w:p w14:paraId="0951CF69" w14:textId="77777777" w:rsidR="003223EF" w:rsidRPr="00CA4059" w:rsidRDefault="003223EF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228EA3D2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Vplyv na kostrové svalstvo</w:t>
      </w:r>
    </w:p>
    <w:p w14:paraId="552F7D5D" w14:textId="0E844456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Atorvastatín, podobne ako iné inhibítory HMG-CoA</w:t>
      </w:r>
      <w:r w:rsidR="00626841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reduktázy, môže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zriedkavých prípadoch postihnúť kostrové svalstvo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spôsobiť myalgiu, myozitídu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myopatiu, ktoré sa môžu ďalej vyvinúť do rabdomyolýzy, potenciálne život ohrozujúceho stavu, ktorý je charakterizovaný výrazným zvýšením hodnôt kreatínkinázy (CK) (&gt; 10-krát ULN), myoglobinémiou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myoglobinúriou, ktoré môžu viesť ku zlyhaniu obličiek.</w:t>
      </w:r>
    </w:p>
    <w:p w14:paraId="19E93CF8" w14:textId="77777777" w:rsidR="00D01652" w:rsidRPr="00CA4059" w:rsidRDefault="00D01652" w:rsidP="00CA4059">
      <w:pPr>
        <w:spacing w:after="0" w:line="240" w:lineRule="auto"/>
        <w:rPr>
          <w:rFonts w:ascii="Times New Roman" w:hAnsi="Times New Roman"/>
        </w:rPr>
      </w:pPr>
    </w:p>
    <w:p w14:paraId="23D4A3F4" w14:textId="35B29AEB" w:rsidR="0093440D" w:rsidRPr="00CA4059" w:rsidRDefault="00AD3827" w:rsidP="00CA4059">
      <w:pPr>
        <w:pStyle w:val="Styl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C5FA8">
        <w:rPr>
          <w:rFonts w:ascii="Times New Roman" w:hAnsi="Times New Roman"/>
        </w:rPr>
        <w:t>ekrotizujúca myopatia</w:t>
      </w:r>
      <w:r w:rsidRPr="00AD3827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sprostredkovaná</w:t>
      </w:r>
      <w:r>
        <w:rPr>
          <w:rFonts w:ascii="Times New Roman" w:hAnsi="Times New Roman"/>
        </w:rPr>
        <w:t xml:space="preserve"> imunitným systémom</w:t>
      </w:r>
    </w:p>
    <w:p w14:paraId="2FA28169" w14:textId="23C59FA0" w:rsidR="0093440D" w:rsidRPr="00CA4059" w:rsidRDefault="00C15259" w:rsidP="00CA4059">
      <w:pPr>
        <w:spacing w:after="0" w:line="240" w:lineRule="auto"/>
        <w:rPr>
          <w:rFonts w:ascii="Times New Roman" w:hAnsi="Times New Roman"/>
        </w:rPr>
      </w:pPr>
      <w:r w:rsidRPr="00F53D01">
        <w:rPr>
          <w:rFonts w:ascii="Times New Roman" w:hAnsi="Times New Roman"/>
          <w:lang w:val="pl-PL"/>
        </w:rPr>
        <w:t xml:space="preserve">Počas liečby alebo po liečbe niektorými statínmi boli hlásené veľmi zriedkavé prípady nekrotizujúcej myopatie sprostredkovanej imunitným systémom (immune-mediated necrotizing myopathy, IMNM). </w:t>
      </w:r>
      <w:r w:rsidRPr="00F53D01">
        <w:rPr>
          <w:rFonts w:ascii="Times New Roman" w:hAnsi="Times New Roman"/>
          <w:lang w:val="pl-PL"/>
        </w:rPr>
        <w:lastRenderedPageBreak/>
        <w:t xml:space="preserve">IMNM je klinicky </w:t>
      </w:r>
      <w:r w:rsidRPr="00F25F64">
        <w:rPr>
          <w:rFonts w:ascii="Times New Roman" w:hAnsi="Times New Roman"/>
          <w:lang w:val="pl-PL"/>
        </w:rPr>
        <w:t>charakterizovaná pretrvávajúcou slabosťou proximálnych svalov a zvýšenou sérovou hladinou kreatínkinázy, ktoré pretrvávajú napriek ukončeniu liečby statínmi.</w:t>
      </w:r>
    </w:p>
    <w:p w14:paraId="084B74B6" w14:textId="77777777" w:rsidR="003223EF" w:rsidRPr="00CA4059" w:rsidRDefault="003223EF" w:rsidP="00CA4059">
      <w:pPr>
        <w:spacing w:after="0" w:line="240" w:lineRule="auto"/>
        <w:rPr>
          <w:rFonts w:ascii="Times New Roman" w:hAnsi="Times New Roman"/>
        </w:rPr>
      </w:pPr>
    </w:p>
    <w:p w14:paraId="51C91C3E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</w:rPr>
      </w:pPr>
      <w:r w:rsidRPr="00CA4059">
        <w:rPr>
          <w:rFonts w:ascii="Times New Roman" w:hAnsi="Times New Roman"/>
          <w:i/>
        </w:rPr>
        <w:t>Pred liečbou</w:t>
      </w:r>
    </w:p>
    <w:p w14:paraId="2B4D6438" w14:textId="07528E6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sa má predpisovať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opatrnosťou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predispozíciou na rabdomyolýzu. Hodnota CK sa má vyšetriť pred začiatkom liečby statínmi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nasledujúcich prípadoch:</w:t>
      </w:r>
    </w:p>
    <w:p w14:paraId="530A8F2F" w14:textId="237A09B5" w:rsidR="0093440D" w:rsidRPr="00CA4059" w:rsidRDefault="00356C9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51F07">
        <w:rPr>
          <w:rFonts w:ascii="Times New Roman" w:hAnsi="Times New Roman"/>
        </w:rPr>
        <w:t>porucha funkcie</w:t>
      </w:r>
      <w:r w:rsidR="0093440D" w:rsidRPr="00CA4059">
        <w:rPr>
          <w:rFonts w:ascii="Times New Roman" w:hAnsi="Times New Roman"/>
        </w:rPr>
        <w:t xml:space="preserve"> </w:t>
      </w:r>
      <w:r w:rsidRPr="00C51F07">
        <w:rPr>
          <w:rFonts w:ascii="Times New Roman" w:hAnsi="Times New Roman"/>
        </w:rPr>
        <w:t>obličiek</w:t>
      </w:r>
    </w:p>
    <w:p w14:paraId="5723EBEB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hypotyreóza</w:t>
      </w:r>
    </w:p>
    <w:p w14:paraId="181E7B27" w14:textId="1BD322DF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pozitívna osobná alebo rodinná anamnéza hereditárnej svalovej </w:t>
      </w:r>
      <w:r w:rsidR="00D5223F">
        <w:rPr>
          <w:rFonts w:ascii="Times New Roman" w:hAnsi="Times New Roman"/>
        </w:rPr>
        <w:t>poruchy</w:t>
      </w:r>
    </w:p>
    <w:p w14:paraId="64674668" w14:textId="0DED8EBF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pozitívna anamnéza výskytu svalového poškodenia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súvislosti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liečbou statínmi alebo fibrátmi</w:t>
      </w:r>
    </w:p>
    <w:p w14:paraId="6904E94F" w14:textId="6D89DEAB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pozitívna anamnéza výskytu ochorenia pečene</w:t>
      </w:r>
      <w:r w:rsidR="00800FD5" w:rsidRPr="00CA4059">
        <w:rPr>
          <w:rFonts w:ascii="Times New Roman" w:hAnsi="Times New Roman"/>
        </w:rPr>
        <w:t xml:space="preserve"> a</w:t>
      </w:r>
      <w:r w:rsidRPr="00CA4059">
        <w:rPr>
          <w:rFonts w:ascii="Times New Roman" w:hAnsi="Times New Roman"/>
        </w:rPr>
        <w:t>/alebo pitia väčšieho množstva alkoholu</w:t>
      </w:r>
    </w:p>
    <w:p w14:paraId="7C775A41" w14:textId="5D30498B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u starších pacientov (vek &gt; 70 rokov), má sa zvážiť nutnosť takéhoto vyšetrenia,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závislosti od prítomnosti ostatných predispozičných faktorov pre vznik rabdomyolýzy</w:t>
      </w:r>
    </w:p>
    <w:p w14:paraId="09CE78A9" w14:textId="20824A6A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situácie, kedy môže dôjsť k zvýšeniu plazmatických hladín, ako sú interakcie (pozri časť 4.5)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osobitné skupiny pacientov vrátane genetických podskupín (pozri časť 5.2)</w:t>
      </w:r>
      <w:r w:rsidR="00775FA7">
        <w:rPr>
          <w:rFonts w:ascii="Times New Roman" w:hAnsi="Times New Roman"/>
        </w:rPr>
        <w:t>.</w:t>
      </w:r>
    </w:p>
    <w:p w14:paraId="50F7A769" w14:textId="77777777" w:rsidR="003223EF" w:rsidRPr="00CA4059" w:rsidRDefault="003223EF" w:rsidP="00CA4059">
      <w:pPr>
        <w:spacing w:after="0" w:line="240" w:lineRule="auto"/>
        <w:rPr>
          <w:rFonts w:ascii="Times New Roman" w:hAnsi="Times New Roman"/>
        </w:rPr>
      </w:pPr>
    </w:p>
    <w:p w14:paraId="47DE53F1" w14:textId="416D9415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takýchto prípadoch sa musí zvážiť riziko liečby vo vzťahu k možnému prínosu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odporúča sa klinický monitoring.</w:t>
      </w:r>
    </w:p>
    <w:p w14:paraId="37471480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Ak sú hodnoty CK na začiatku liečby signifikantne zvýšené (&gt; 5-krát ULN), liečba atorvastatínom nesmie začať.</w:t>
      </w:r>
    </w:p>
    <w:p w14:paraId="3CEA4512" w14:textId="77777777" w:rsidR="003223EF" w:rsidRPr="00CA4059" w:rsidRDefault="003223EF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0268A3D3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</w:rPr>
      </w:pPr>
      <w:r w:rsidRPr="00CA4059">
        <w:rPr>
          <w:rFonts w:ascii="Times New Roman" w:hAnsi="Times New Roman"/>
          <w:i/>
        </w:rPr>
        <w:t>Vyšetrenie hladiny kreatínkinázy</w:t>
      </w:r>
    </w:p>
    <w:p w14:paraId="036198CB" w14:textId="23D6BFB9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Kreatínkináza (CK) sa nemá vyšetrovať po namáhavom cvičení alebo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prípade akejkoľvek inej možnej príčiny zvýšenia CK, keďže to sťažuje interpretáciu hodnôt. Ak sú hodnoty CK na začiatku signifikantne zvýšené (&gt; 5-krát ULN), musia sa hodnoty opäť vyšetriť o 5 až 7 dní neskôr, aby sa potvrdili výsledky.</w:t>
      </w:r>
    </w:p>
    <w:p w14:paraId="522F4DA2" w14:textId="77777777" w:rsidR="003223EF" w:rsidRPr="00CA4059" w:rsidRDefault="003223EF" w:rsidP="00CA4059">
      <w:pPr>
        <w:spacing w:after="0" w:line="240" w:lineRule="auto"/>
        <w:rPr>
          <w:rFonts w:ascii="Times New Roman" w:hAnsi="Times New Roman"/>
        </w:rPr>
      </w:pPr>
    </w:p>
    <w:p w14:paraId="7BC21EEC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</w:rPr>
      </w:pPr>
      <w:r w:rsidRPr="00CA4059">
        <w:rPr>
          <w:rFonts w:ascii="Times New Roman" w:hAnsi="Times New Roman"/>
          <w:i/>
        </w:rPr>
        <w:t>Počas liečby</w:t>
      </w:r>
    </w:p>
    <w:p w14:paraId="612947E8" w14:textId="0085EABC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Pacientov musíte požiadať, aby okamžite hlásili bolesti svalov, svalové kŕče alebo svalovú slabosť, zvlášť, ak je sprevádzaná celkovým pocitom </w:t>
      </w:r>
      <w:r w:rsidR="008D3848">
        <w:rPr>
          <w:rFonts w:ascii="Times New Roman" w:hAnsi="Times New Roman"/>
        </w:rPr>
        <w:t>nepohodlia</w:t>
      </w:r>
      <w:r w:rsidRPr="00CA4059">
        <w:rPr>
          <w:rFonts w:ascii="Times New Roman" w:hAnsi="Times New Roman"/>
        </w:rPr>
        <w:t xml:space="preserve"> alebo horúčkou.</w:t>
      </w:r>
    </w:p>
    <w:p w14:paraId="07B87902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Ak sa takéto príznaky vyskytnú počas liečby pacienta atorvastatínom, musia sa vyšetriť hodnoty CK. Ak sa zistí, že tieto hodnoty sú signifikantne zvýšené (&gt; 5-krát ULN), liečba sa musí ukončiť.</w:t>
      </w:r>
    </w:p>
    <w:p w14:paraId="4B070084" w14:textId="691522CE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Ak sú svalové príznaky závažné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zapríčiňujú denný d</w:t>
      </w:r>
      <w:r w:rsidR="008D3848">
        <w:rPr>
          <w:rFonts w:ascii="Times New Roman" w:hAnsi="Times New Roman"/>
        </w:rPr>
        <w:t>i</w:t>
      </w:r>
      <w:r w:rsidRPr="00CA4059">
        <w:rPr>
          <w:rFonts w:ascii="Times New Roman" w:hAnsi="Times New Roman"/>
        </w:rPr>
        <w:t>skomfort, dokonca aj keď sú hodnoty CK zvýšené na ≤ 5-krát ULN, má sa zvážiť prerušenie liečby.</w:t>
      </w:r>
    </w:p>
    <w:p w14:paraId="66ABAA08" w14:textId="6AE526B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Ak príznaky ustúpia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hodnoty CK sa vrátia k normálu, potom možno zvážiť opätovné nasadenie atorvastatínu alebo začatie liečby alternatívnym statínom na najnižšej hranici dávkovania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prísnym monitoringom.</w:t>
      </w:r>
    </w:p>
    <w:p w14:paraId="62A6EC31" w14:textId="740B35F6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Liečba atorvastatínom sa musí prerušiť, ak dôjde k významnému zvýšeniu hodnôt CK (&gt; 10-krát ULN), alebo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prípade diagnostikovanej či suspektnej rabdomyolýzy.</w:t>
      </w:r>
    </w:p>
    <w:p w14:paraId="38BFF43C" w14:textId="77777777" w:rsidR="00256BD3" w:rsidRPr="00CA4059" w:rsidRDefault="00256BD3" w:rsidP="00CA4059">
      <w:pPr>
        <w:spacing w:after="0" w:line="240" w:lineRule="auto"/>
        <w:rPr>
          <w:rFonts w:ascii="Times New Roman" w:hAnsi="Times New Roman"/>
        </w:rPr>
      </w:pPr>
    </w:p>
    <w:p w14:paraId="370972DF" w14:textId="6D220564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ná liečba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inými liekmi</w:t>
      </w:r>
    </w:p>
    <w:p w14:paraId="00889D06" w14:textId="4CA424F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Riziko rabdomyolýzy sa zvýši pri sú</w:t>
      </w:r>
      <w:r w:rsidR="003A18C2">
        <w:rPr>
          <w:rFonts w:ascii="Times New Roman" w:hAnsi="Times New Roman"/>
        </w:rPr>
        <w:t>bežn</w:t>
      </w:r>
      <w:r w:rsidRPr="00CA4059">
        <w:rPr>
          <w:rFonts w:ascii="Times New Roman" w:hAnsi="Times New Roman"/>
        </w:rPr>
        <w:t>om podávaní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určitými liekmi, ktoré môžu zvýšiť plazmatické koncentrácie atorvastatínu, ako sú silné inhibítory CYP3A4 alebo transportných proteínov (napr. cyklosporín, telitromycín, klaritromycín, delavirdín, stiripentol, ketokonazol, vorikonazol, itrakonazol, posakonazol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inhibítory HIV proteázy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vrátane ritonaviru, lopinaviru, atazanaviru, indinaviru, darunaviru, tipranaviru/ritonaviru, atď.). Riziko myopatie sa môže tiež zvýšiť pri sú</w:t>
      </w:r>
      <w:r w:rsidR="00A442FA" w:rsidRPr="00CA4059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užívaní gemfibrozilu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iných </w:t>
      </w:r>
      <w:r w:rsidR="00A442FA" w:rsidRPr="00CA4059">
        <w:rPr>
          <w:rFonts w:ascii="Times New Roman" w:hAnsi="Times New Roman"/>
        </w:rPr>
        <w:t>derivátov kyseliny fibrovej</w:t>
      </w:r>
      <w:r w:rsidRPr="00CA4059">
        <w:rPr>
          <w:rFonts w:ascii="Times New Roman" w:hAnsi="Times New Roman"/>
        </w:rPr>
        <w:t>, antivirotík na liečbu hepatitídy typu C (HCV) (boceprevir, telaprevir, elbasvir/grazoprevir),</w:t>
      </w:r>
      <w:r w:rsidR="00624460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erytromycínu, niacínu alebo ezetimibu. Ak je to možné, majú sa namiesto týchto liekov zvážiť alternatívne (vzájomne sa neovplyvňujúce) formy liečby.</w:t>
      </w:r>
    </w:p>
    <w:p w14:paraId="13FC91A6" w14:textId="401B4080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V prípadoch, kde je </w:t>
      </w:r>
      <w:r w:rsidR="003A18C2" w:rsidRPr="00CA4059">
        <w:rPr>
          <w:rFonts w:ascii="Times New Roman" w:hAnsi="Times New Roman"/>
        </w:rPr>
        <w:t>sú</w:t>
      </w:r>
      <w:r w:rsidR="003A18C2">
        <w:rPr>
          <w:rFonts w:ascii="Times New Roman" w:hAnsi="Times New Roman"/>
        </w:rPr>
        <w:t>bežné</w:t>
      </w:r>
      <w:r w:rsidR="003A18C2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podávanie týchto liekov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 nevyhnutné, má sa starostlivo zvážiť prínos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riziko súbežnej liečby. Keď pacienti dostávajú lieky, ktoré zvyšujú plazmatické koncentrácie atorvastatínu, odporúča sa nižšia maximálna dávka atorvastatínu. Navyše,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prípade </w:t>
      </w:r>
      <w:r w:rsidRPr="00CA4059">
        <w:rPr>
          <w:rFonts w:ascii="Times New Roman" w:hAnsi="Times New Roman"/>
        </w:rPr>
        <w:lastRenderedPageBreak/>
        <w:t>silných inhibítorov CYP3A4 sa má zvážiť nižšia začiatočná dávka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odporúča sa primerané klinické monitorovanie týchto pacientov (pozri časť 4.5).</w:t>
      </w:r>
    </w:p>
    <w:p w14:paraId="5B6C560F" w14:textId="6B14CD6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 použitie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kyseliny fusidovej sa neodporúča, preto sa môže počas liečby kyselinou fusidovou zvážiť dočasné prerušenie liečby atorvastatínom (pozri časť 4.5).</w:t>
      </w:r>
    </w:p>
    <w:p w14:paraId="662E7119" w14:textId="77777777" w:rsidR="003223EF" w:rsidRPr="00CA4059" w:rsidRDefault="003223EF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1EB5C6F7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Intersticiálne ochorenie pľúc</w:t>
      </w:r>
    </w:p>
    <w:p w14:paraId="3E9EC760" w14:textId="323ED34A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Pri používaní statínov, hlavne pri dlhodobej liečbe, boli hlásené výnimočné prípady výskytu intersticiálneho ochorenia pľúc (pozri časť 4.8). Medzi prejavy patrí dyspnoe, suchý (neproduktívny) kašeľ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celkové zhoršenie zdravotného stavu (únava, chudnutie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horúčka). Ak je podozrenie, že sa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pacienta prejavilo intersticiálne ochorenie pľúc, je nutné prerušiť liečbu statínmi.</w:t>
      </w:r>
    </w:p>
    <w:p w14:paraId="6C5378F3" w14:textId="77777777" w:rsidR="003223EF" w:rsidRPr="00CA4059" w:rsidRDefault="003223EF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06F5BA2D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Pediatrická populácia</w:t>
      </w:r>
    </w:p>
    <w:p w14:paraId="1BF4021A" w14:textId="62F7351D" w:rsidR="00256BD3" w:rsidRPr="00CA4059" w:rsidRDefault="008C6851" w:rsidP="00CA40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Bezpečnosť z hľ</w:t>
      </w:r>
      <w:r w:rsidR="002B7CAE">
        <w:rPr>
          <w:rFonts w:ascii="Times New Roman" w:hAnsi="Times New Roman"/>
        </w:rPr>
        <w:t>adiska vývoja</w:t>
      </w:r>
      <w:r w:rsidR="0093440D" w:rsidRPr="00CA4059">
        <w:rPr>
          <w:rFonts w:ascii="Times New Roman" w:hAnsi="Times New Roman"/>
        </w:rPr>
        <w:t xml:space="preserve"> nebola</w:t>
      </w:r>
      <w:r w:rsidR="00800FD5" w:rsidRPr="00CA4059">
        <w:rPr>
          <w:rFonts w:ascii="Times New Roman" w:hAnsi="Times New Roman"/>
        </w:rPr>
        <w:t xml:space="preserve"> u </w:t>
      </w:r>
      <w:r w:rsidR="00624BE2">
        <w:rPr>
          <w:rFonts w:ascii="Times New Roman" w:hAnsi="Times New Roman"/>
        </w:rPr>
        <w:t>pediatric</w:t>
      </w:r>
      <w:r w:rsidR="0093440D" w:rsidRPr="00CA4059">
        <w:rPr>
          <w:rFonts w:ascii="Times New Roman" w:hAnsi="Times New Roman"/>
        </w:rPr>
        <w:t>kej populácie stanovená (pozri časť 4.8).</w:t>
      </w:r>
    </w:p>
    <w:p w14:paraId="7B016A4C" w14:textId="77777777" w:rsidR="003223EF" w:rsidRPr="00CA4059" w:rsidRDefault="003223EF" w:rsidP="00CA4059">
      <w:pPr>
        <w:spacing w:after="0" w:line="240" w:lineRule="auto"/>
        <w:rPr>
          <w:rFonts w:ascii="Times New Roman" w:hAnsi="Times New Roman"/>
        </w:rPr>
      </w:pPr>
    </w:p>
    <w:p w14:paraId="0057D110" w14:textId="41DB102A" w:rsidR="0093440D" w:rsidRPr="0067219E" w:rsidRDefault="0093440D" w:rsidP="007760AD">
      <w:pPr>
        <w:pStyle w:val="Styl2"/>
      </w:pPr>
      <w:r w:rsidRPr="0067219E">
        <w:t>Liekové</w:t>
      </w:r>
      <w:r w:rsidR="00800FD5" w:rsidRPr="0067219E">
        <w:t xml:space="preserve"> a </w:t>
      </w:r>
      <w:r w:rsidRPr="0067219E">
        <w:t>iné interakcie</w:t>
      </w:r>
    </w:p>
    <w:p w14:paraId="43FBF235" w14:textId="77777777" w:rsidR="003223EF" w:rsidRPr="00CA4059" w:rsidRDefault="003223EF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3387B937" w14:textId="0C07EECE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Vplyv sú</w:t>
      </w:r>
      <w:r w:rsidR="0067219E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ne podávaných liekov na atorvastatín</w:t>
      </w:r>
    </w:p>
    <w:p w14:paraId="78D952A9" w14:textId="2EEC3AB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sa metabolizuje prostredníctvom cytochrómu P450 3A4 (CYP3A4)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 substrátom pečeňových transportérov, polypeptidu transportujúceho organické anióny 1B1 (organic anion</w:t>
      </w:r>
      <w:r w:rsidR="00A12E10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transporting polypeptide 1B1, OATP1B1)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transportéra 1B3 (OATP1B3). Metabolity atorvastatínu sú substráty OATP1B1. Atorvastatín sa identifikoval aj ako substrát pre proteín multiliekovej rezistencie 1 (multi-drug resistance protein 1, MDR1)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proteín rezistencie voči rakovine prsníka (breast cancer resistance protein, BCRP), ktoré môžu limitovať absorpciu atorvastatínu z čreva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jeho žlčový klírens (pozri časť 5.2). </w:t>
      </w:r>
      <w:r w:rsidR="00BB7119">
        <w:rPr>
          <w:rFonts w:ascii="Times New Roman" w:hAnsi="Times New Roman"/>
        </w:rPr>
        <w:t>Súbež</w:t>
      </w:r>
      <w:r w:rsidR="00BB7119" w:rsidRPr="00CA4059">
        <w:rPr>
          <w:rFonts w:ascii="Times New Roman" w:hAnsi="Times New Roman"/>
        </w:rPr>
        <w:t xml:space="preserve">né </w:t>
      </w:r>
      <w:r w:rsidRPr="00CA4059">
        <w:rPr>
          <w:rFonts w:ascii="Times New Roman" w:hAnsi="Times New Roman"/>
        </w:rPr>
        <w:t>podávanie liekov, ktoré sú inhibítormi CYP3A4 alebo transportných proteínov môže viesť ku zvýšeným koncentráciám atorvastatínu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plazme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zvýšenému riziku myopatie. Riziko sa tiež môže zvýšiť pri </w:t>
      </w:r>
      <w:r w:rsidR="00BB7119">
        <w:rPr>
          <w:rFonts w:ascii="Times New Roman" w:hAnsi="Times New Roman"/>
        </w:rPr>
        <w:t>súbež</w:t>
      </w:r>
      <w:r w:rsidR="00BB7119" w:rsidRPr="00CA4059">
        <w:rPr>
          <w:rFonts w:ascii="Times New Roman" w:hAnsi="Times New Roman"/>
        </w:rPr>
        <w:t xml:space="preserve">nom </w:t>
      </w:r>
      <w:r w:rsidRPr="00CA4059">
        <w:rPr>
          <w:rFonts w:ascii="Times New Roman" w:hAnsi="Times New Roman"/>
        </w:rPr>
        <w:t>podávaní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inými liekmi, ktoré majú potenciál vyvolať myopatiu, ako sú fibráty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ezetimib (pozri časť 4.4).</w:t>
      </w:r>
    </w:p>
    <w:p w14:paraId="55FD4762" w14:textId="77777777" w:rsidR="00B825F8" w:rsidRPr="00CA4059" w:rsidRDefault="00B825F8" w:rsidP="00CA4059">
      <w:pPr>
        <w:spacing w:after="0" w:line="240" w:lineRule="auto"/>
        <w:rPr>
          <w:rFonts w:ascii="Times New Roman" w:hAnsi="Times New Roman"/>
        </w:rPr>
      </w:pPr>
    </w:p>
    <w:p w14:paraId="44451BE0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Inhibítory CYP3A4</w:t>
      </w:r>
    </w:p>
    <w:p w14:paraId="2A4B2B3B" w14:textId="6087DE6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Bolo dokázané, že silné inhibítory CYP3A4 vedú k výrazne zvýšeným koncentráciám atorvastatínu (pozri tabuľku 1</w:t>
      </w:r>
      <w:r w:rsidR="00800FD5" w:rsidRPr="00CA4059">
        <w:rPr>
          <w:rFonts w:ascii="Times New Roman" w:hAnsi="Times New Roman"/>
        </w:rPr>
        <w:t xml:space="preserve"> a</w:t>
      </w:r>
      <w:r w:rsidR="00FC60ED">
        <w:rPr>
          <w:rFonts w:ascii="Times New Roman" w:hAnsi="Times New Roman"/>
        </w:rPr>
        <w:t xml:space="preserve"> nižšie </w:t>
      </w:r>
      <w:r w:rsidRPr="00CA4059">
        <w:rPr>
          <w:rFonts w:ascii="Times New Roman" w:hAnsi="Times New Roman"/>
        </w:rPr>
        <w:t>uvedené osobitné informácie).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nému podávaniu silných inhibítorov CYP3A4 (napr. cyklosporín, telitromycín, klaritromycín, delavirdín, stiripentol, ketokonazol, vorikonazol, itrakonazol, posakonazol, niektoré antivirotiká používané na liečbu HCV (napr. elbasvir/grazopr</w:t>
      </w:r>
      <w:r w:rsidR="00831749" w:rsidRPr="00CA4059">
        <w:rPr>
          <w:rFonts w:ascii="Times New Roman" w:hAnsi="Times New Roman"/>
        </w:rPr>
        <w:t>e</w:t>
      </w:r>
      <w:r w:rsidRPr="00CA4059">
        <w:rPr>
          <w:rFonts w:ascii="Times New Roman" w:hAnsi="Times New Roman"/>
        </w:rPr>
        <w:t>vir</w:t>
      </w:r>
      <w:r w:rsidR="00DC36E6">
        <w:rPr>
          <w:rFonts w:ascii="Times New Roman" w:hAnsi="Times New Roman"/>
        </w:rPr>
        <w:t>)</w:t>
      </w:r>
      <w:r w:rsidRPr="00CA4059">
        <w:rPr>
          <w:rFonts w:ascii="Times New Roman" w:hAnsi="Times New Roman"/>
        </w:rPr>
        <w:t>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inhibítorov HIV proteáz vrátane ritonaviru, lopinaviru, atazanaviru, indinaviru, darunaviru, atď. sa má, pokiaľ je to možné, vyhnúť.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prípadoch, kedy sa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nému podávaniu týchto liekov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atorvastatínom nedá vyhnúť, má </w:t>
      </w:r>
      <w:r w:rsidR="00DC36E6" w:rsidRPr="00DE3A02">
        <w:rPr>
          <w:rFonts w:ascii="Times New Roman" w:hAnsi="Times New Roman"/>
        </w:rPr>
        <w:t>sa</w:t>
      </w:r>
      <w:r w:rsidR="00DC36E6" w:rsidRPr="00DC36E6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zvážiť nižšia začiatočná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maximálna dávka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odporúča sa primerané klinické monitorovanie týchto pacientov (pozri tabuľku 1).</w:t>
      </w:r>
    </w:p>
    <w:p w14:paraId="20C63B85" w14:textId="69B0971A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Stredne silné inhibítory CYP3A4 (napr. erytromycín, diltiazem, verapamil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flukonazol) môžu zvýšiť koncentrácie atorvastatínu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plazme (pozri tabuľku 1). Zvýšené riziko myopatie sa pozorovalo pri užívaní erytromycínu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kombinácii so statínmi. Interakčné štúdie hodnotiace účinky amiodar</w:t>
      </w:r>
      <w:r w:rsidR="0025679B">
        <w:rPr>
          <w:rFonts w:ascii="Times New Roman" w:hAnsi="Times New Roman"/>
        </w:rPr>
        <w:t>ó</w:t>
      </w:r>
      <w:r w:rsidRPr="00CA4059">
        <w:rPr>
          <w:rFonts w:ascii="Times New Roman" w:hAnsi="Times New Roman"/>
        </w:rPr>
        <w:t>nu alebo verapamilu na atorvastatín sa neuskutočnili. Je známe, že amiodar</w:t>
      </w:r>
      <w:r w:rsidR="0025679B">
        <w:rPr>
          <w:rFonts w:ascii="Times New Roman" w:hAnsi="Times New Roman"/>
        </w:rPr>
        <w:t>ó</w:t>
      </w:r>
      <w:r w:rsidRPr="00CA4059">
        <w:rPr>
          <w:rFonts w:ascii="Times New Roman" w:hAnsi="Times New Roman"/>
        </w:rPr>
        <w:t>n ako aj verapamil inhibujú aktivitu CYP3A4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ich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 podávanie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atorvastatínom môže mať za následok zvýšenú expozíciu </w:t>
      </w:r>
      <w:r w:rsidR="009645B0" w:rsidRPr="00CA4059">
        <w:rPr>
          <w:rFonts w:ascii="Times New Roman" w:hAnsi="Times New Roman"/>
        </w:rPr>
        <w:t>atorvastatín</w:t>
      </w:r>
      <w:r w:rsidR="009645B0">
        <w:rPr>
          <w:rFonts w:ascii="Times New Roman" w:hAnsi="Times New Roman"/>
        </w:rPr>
        <w:t>u</w:t>
      </w:r>
      <w:r w:rsidRPr="00CA4059">
        <w:rPr>
          <w:rFonts w:ascii="Times New Roman" w:hAnsi="Times New Roman"/>
        </w:rPr>
        <w:t>. Preto sa pri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užívaní so stredne silnými inhibítormi CYP3A4 má zvážiť nižšia maximálna dávka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odporúča sa primerané klinické monitorovanie týchto pacientov. Primerané klinické monitorovanie sa odporúča po začatí liečby inhibítorom alebo po úprave dávk</w:t>
      </w:r>
      <w:r w:rsidR="009645B0">
        <w:rPr>
          <w:rFonts w:ascii="Times New Roman" w:hAnsi="Times New Roman"/>
        </w:rPr>
        <w:t>y</w:t>
      </w:r>
      <w:r w:rsidRPr="00CA4059">
        <w:rPr>
          <w:rFonts w:ascii="Times New Roman" w:hAnsi="Times New Roman"/>
        </w:rPr>
        <w:t xml:space="preserve"> inhibítora.</w:t>
      </w:r>
    </w:p>
    <w:p w14:paraId="226FD9BB" w14:textId="77777777" w:rsidR="00621B80" w:rsidRPr="00CA4059" w:rsidRDefault="00621B80" w:rsidP="00CA4059">
      <w:pPr>
        <w:spacing w:after="0" w:line="240" w:lineRule="auto"/>
        <w:rPr>
          <w:rFonts w:ascii="Times New Roman" w:hAnsi="Times New Roman"/>
        </w:rPr>
      </w:pPr>
    </w:p>
    <w:p w14:paraId="6FE622EC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Induktory CYP3A4</w:t>
      </w:r>
    </w:p>
    <w:p w14:paraId="6AD6AE1E" w14:textId="608CC99D" w:rsidR="0093440D" w:rsidRDefault="003A18C2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Sú</w:t>
      </w:r>
      <w:r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 xml:space="preserve">né </w:t>
      </w:r>
      <w:r w:rsidR="0093440D" w:rsidRPr="00CA4059">
        <w:rPr>
          <w:rFonts w:ascii="Times New Roman" w:hAnsi="Times New Roman"/>
        </w:rPr>
        <w:t>podávanie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induktormi cytochrómu P450 3A4 (napr. efavirenzom, rifamp</w:t>
      </w:r>
      <w:r w:rsidR="00CA4059">
        <w:rPr>
          <w:rFonts w:ascii="Times New Roman" w:hAnsi="Times New Roman"/>
        </w:rPr>
        <w:t>ic</w:t>
      </w:r>
      <w:r w:rsidR="0093440D" w:rsidRPr="00CA4059">
        <w:rPr>
          <w:rFonts w:ascii="Times New Roman" w:hAnsi="Times New Roman"/>
        </w:rPr>
        <w:t>ínom, ľubovníkom bodkovaným) môže viesť k variabilnému poklesu plazmatických koncentrácií atorvastatínu. Sú</w:t>
      </w:r>
      <w:r>
        <w:rPr>
          <w:rFonts w:ascii="Times New Roman" w:hAnsi="Times New Roman"/>
        </w:rPr>
        <w:t>bež</w:t>
      </w:r>
      <w:r w:rsidR="0093440D" w:rsidRPr="00CA4059">
        <w:rPr>
          <w:rFonts w:ascii="Times New Roman" w:hAnsi="Times New Roman"/>
        </w:rPr>
        <w:t>né podávanie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rifamp</w:t>
      </w:r>
      <w:r w:rsidR="00CA4059">
        <w:rPr>
          <w:rFonts w:ascii="Times New Roman" w:hAnsi="Times New Roman"/>
        </w:rPr>
        <w:t>ic</w:t>
      </w:r>
      <w:r w:rsidR="0093440D" w:rsidRPr="00CA4059">
        <w:rPr>
          <w:rFonts w:ascii="Times New Roman" w:hAnsi="Times New Roman"/>
        </w:rPr>
        <w:t>ínom sa odporúča vďaka duálnemu mechanizmu interakcií rifamp</w:t>
      </w:r>
      <w:r w:rsidR="00CA4059">
        <w:rPr>
          <w:rFonts w:ascii="Times New Roman" w:hAnsi="Times New Roman"/>
        </w:rPr>
        <w:t>ic</w:t>
      </w:r>
      <w:r w:rsidR="0093440D" w:rsidRPr="00CA4059">
        <w:rPr>
          <w:rFonts w:ascii="Times New Roman" w:hAnsi="Times New Roman"/>
        </w:rPr>
        <w:t>ínu (indukcia cytochrómu P450 3A</w:t>
      </w:r>
      <w:r w:rsidR="00800FD5" w:rsidRPr="00CA4059">
        <w:rPr>
          <w:rFonts w:ascii="Times New Roman" w:hAnsi="Times New Roman"/>
        </w:rPr>
        <w:t xml:space="preserve"> a </w:t>
      </w:r>
      <w:r w:rsidR="0093440D" w:rsidRPr="00CA4059">
        <w:rPr>
          <w:rFonts w:ascii="Times New Roman" w:hAnsi="Times New Roman"/>
        </w:rPr>
        <w:t>inhibícia vychytávania transportéra OATP1B1 hepatocytom), keďže podanie atorvastatínu až po určitom čase po podaní rifamp</w:t>
      </w:r>
      <w:r w:rsidR="00CA4059">
        <w:rPr>
          <w:rFonts w:ascii="Times New Roman" w:hAnsi="Times New Roman"/>
        </w:rPr>
        <w:t>ic</w:t>
      </w:r>
      <w:r w:rsidR="0093440D" w:rsidRPr="00CA4059">
        <w:rPr>
          <w:rFonts w:ascii="Times New Roman" w:hAnsi="Times New Roman"/>
        </w:rPr>
        <w:t>ínu bolo spojené so signifikantným poklesom plazmatických koncentrácií atorvastatínu. Účinok rifamp</w:t>
      </w:r>
      <w:r w:rsidR="00CA4059">
        <w:rPr>
          <w:rFonts w:ascii="Times New Roman" w:hAnsi="Times New Roman"/>
        </w:rPr>
        <w:t>ic</w:t>
      </w:r>
      <w:r w:rsidR="0093440D" w:rsidRPr="00CA4059">
        <w:rPr>
          <w:rFonts w:ascii="Times New Roman" w:hAnsi="Times New Roman"/>
        </w:rPr>
        <w:t>ínu na koncentrácie atorvastatínu</w:t>
      </w:r>
      <w:r w:rsidR="00800FD5" w:rsidRPr="00CA4059">
        <w:rPr>
          <w:rFonts w:ascii="Times New Roman" w:hAnsi="Times New Roman"/>
        </w:rPr>
        <w:t xml:space="preserve"> v </w:t>
      </w:r>
      <w:r w:rsidR="0093440D" w:rsidRPr="00CA4059">
        <w:rPr>
          <w:rFonts w:ascii="Times New Roman" w:hAnsi="Times New Roman"/>
        </w:rPr>
        <w:t>hepatocytoch však nie je známy</w:t>
      </w:r>
      <w:r w:rsidR="00800FD5" w:rsidRPr="00CA4059">
        <w:rPr>
          <w:rFonts w:ascii="Times New Roman" w:hAnsi="Times New Roman"/>
        </w:rPr>
        <w:t xml:space="preserve"> a </w:t>
      </w:r>
      <w:r w:rsidR="0093440D" w:rsidRPr="00CA4059">
        <w:rPr>
          <w:rFonts w:ascii="Times New Roman" w:hAnsi="Times New Roman"/>
        </w:rPr>
        <w:t>ak sa sú</w:t>
      </w:r>
      <w:r>
        <w:rPr>
          <w:rFonts w:ascii="Times New Roman" w:hAnsi="Times New Roman"/>
        </w:rPr>
        <w:t>bež</w:t>
      </w:r>
      <w:r w:rsidR="0093440D" w:rsidRPr="00CA4059">
        <w:rPr>
          <w:rFonts w:ascii="Times New Roman" w:hAnsi="Times New Roman"/>
        </w:rPr>
        <w:t>nému podávaniu nedá vyhnúť, pacienti musia byť starostlivo monitorovaní z hľadiska účinnosti.</w:t>
      </w:r>
    </w:p>
    <w:p w14:paraId="1C3B84DC" w14:textId="77777777" w:rsidR="00FC60ED" w:rsidRPr="00CA4059" w:rsidRDefault="00FC60ED" w:rsidP="00CA4059">
      <w:pPr>
        <w:spacing w:after="0" w:line="240" w:lineRule="auto"/>
        <w:rPr>
          <w:rFonts w:ascii="Times New Roman" w:hAnsi="Times New Roman"/>
          <w:i/>
        </w:rPr>
      </w:pPr>
    </w:p>
    <w:p w14:paraId="48E2B4CD" w14:textId="160F5778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Inhibítory transportérov</w:t>
      </w:r>
    </w:p>
    <w:p w14:paraId="3C3EF8B6" w14:textId="12E275CA" w:rsidR="00EE6D67" w:rsidRDefault="00EE6D67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Inhibítory transportných proteínov (napr. cyklosporín) môžu zvýšiť systémovú expozíciu atorvastatín</w:t>
      </w:r>
      <w:r w:rsidR="00132A96">
        <w:rPr>
          <w:rFonts w:ascii="Times New Roman" w:hAnsi="Times New Roman"/>
        </w:rPr>
        <w:t>u</w:t>
      </w:r>
      <w:r w:rsidRPr="00CA4059">
        <w:rPr>
          <w:rFonts w:ascii="Times New Roman" w:hAnsi="Times New Roman"/>
        </w:rPr>
        <w:t xml:space="preserve"> (pozri tabuľku 1). Vplyv inhibície vychytávania transportérov hepatocytmi na koncentrácie atorvastatínu nie je známy. Ak sa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nému podávaniu nedá vyhnúť, odporúča sa zníženie dávky a klinické monitorovanie účinnosti (pozri tabuľku 1).</w:t>
      </w:r>
    </w:p>
    <w:p w14:paraId="4E569E87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</w:rPr>
      </w:pPr>
    </w:p>
    <w:p w14:paraId="56D82898" w14:textId="2BC587B4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Gemfibrozil/fibráty</w:t>
      </w:r>
    </w:p>
    <w:p w14:paraId="3D9A3E30" w14:textId="073C9FD9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Použitie samotných fibrátov sa príležitostne spája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účinkami na svaly, vrátane rabdomyolýzy. Riziko týchto účinkov sa môže zvýšiť pri </w:t>
      </w:r>
      <w:r w:rsidR="00854C80">
        <w:rPr>
          <w:rFonts w:ascii="Times New Roman" w:hAnsi="Times New Roman"/>
        </w:rPr>
        <w:t>súbež</w:t>
      </w:r>
      <w:r w:rsidRPr="00CA4059">
        <w:rPr>
          <w:rFonts w:ascii="Times New Roman" w:hAnsi="Times New Roman"/>
        </w:rPr>
        <w:t>nom použití fibrátov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atorvastatínu. Ak sa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nému podávaniu nedá vyhnúť, musí sa použiť najnižšia dávka atorvastatínu na dosiahnutie terapeutického cieľa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pacienti majú byť primerane monitorovaní (pozri časť 4.4).</w:t>
      </w:r>
    </w:p>
    <w:p w14:paraId="2625BBFA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</w:rPr>
      </w:pPr>
    </w:p>
    <w:p w14:paraId="615091A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Ezetimib</w:t>
      </w:r>
    </w:p>
    <w:p w14:paraId="6AF081D1" w14:textId="3F39D53F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Použitie ezetimibu samotného je spojené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účinkami na svaly, vrátane rabdomyolýzy. Riziko týchto účinkov môže byť preto pri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použití ezetimibu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atorvastatínu zvýšené. Odporúča sa primerané klinické monitorovanie týchto pacientov.</w:t>
      </w:r>
    </w:p>
    <w:p w14:paraId="10A93180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  <w:i/>
        </w:rPr>
      </w:pPr>
    </w:p>
    <w:p w14:paraId="27B11A13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Kolestipol</w:t>
      </w:r>
    </w:p>
    <w:p w14:paraId="50421B26" w14:textId="1A1B9AF3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Plazmatické koncentrácie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 boli nižšie (asi o 25 %) pri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užívaní kolestipolu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atorvastatínom. Hypolipidemický účinok bol však väčší pri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podávaní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kolestipolom než pri podávaní každého lieku samostatne.</w:t>
      </w:r>
    </w:p>
    <w:p w14:paraId="45DCC082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</w:rPr>
      </w:pPr>
    </w:p>
    <w:p w14:paraId="13186F4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Kyselina fusidová</w:t>
      </w:r>
    </w:p>
    <w:p w14:paraId="2B70BA0D" w14:textId="699ADD94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Interakčné štúdie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kyselinou fusidovou sa neuskutočnili. Ako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prípade iných statínov, boli po uvedení na trh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rámci skúseností so sú</w:t>
      </w:r>
      <w:r w:rsidR="00BA550C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ným podávaním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kyseliny fusidovej hlásené účinky na svaly, vrátane rabdomyolýzy. Mechanizmus tejto interakcie nie je známy. Pacienti majú byť starostlivo monitorovaní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môže byť vhodné aj dočasné prerušenie liečby atorvastatínom.</w:t>
      </w:r>
    </w:p>
    <w:p w14:paraId="40D2203B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</w:rPr>
      </w:pPr>
    </w:p>
    <w:p w14:paraId="1E9E495C" w14:textId="753377B7" w:rsidR="0093440D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Vplyv atorvastatínu na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ne podávané lieky</w:t>
      </w:r>
    </w:p>
    <w:p w14:paraId="582B4B94" w14:textId="77777777" w:rsidR="00EE3F8D" w:rsidRPr="00CA4059" w:rsidRDefault="00EE3F8D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3971109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Digoxín</w:t>
      </w:r>
    </w:p>
    <w:p w14:paraId="41960CE1" w14:textId="24837079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Pri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nom opakovanom podávaní digoxínu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sa mierne zvýšili rovnovážne koncentrácie digoxínu. Pacienti užívajúci digoxín majú byť náležite monitorovaní.</w:t>
      </w:r>
    </w:p>
    <w:p w14:paraId="698B3036" w14:textId="77777777" w:rsidR="00C961A0" w:rsidRPr="00CA4059" w:rsidRDefault="00C961A0" w:rsidP="00CA4059">
      <w:pPr>
        <w:spacing w:after="0" w:line="240" w:lineRule="auto"/>
        <w:rPr>
          <w:rFonts w:ascii="Times New Roman" w:hAnsi="Times New Roman"/>
        </w:rPr>
      </w:pPr>
    </w:p>
    <w:p w14:paraId="3478EB08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Perorálne kontraceptíva</w:t>
      </w:r>
    </w:p>
    <w:p w14:paraId="1DDD5CD6" w14:textId="51EDD5A9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 podávanie atorvastatínu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perorálnymi kontraceptívami viedlo ku zvýšeniu plazmatických koncentrácií noretisterónu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etinylestradiolu.</w:t>
      </w:r>
    </w:p>
    <w:p w14:paraId="0FFF45EF" w14:textId="77777777" w:rsidR="00EE3F8D" w:rsidRPr="00CA4059" w:rsidRDefault="00EE3F8D" w:rsidP="00CA4059">
      <w:pPr>
        <w:spacing w:after="0" w:line="240" w:lineRule="auto"/>
        <w:rPr>
          <w:rFonts w:ascii="Times New Roman" w:hAnsi="Times New Roman"/>
        </w:rPr>
      </w:pPr>
    </w:p>
    <w:p w14:paraId="503F49CB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Warfarín</w:t>
      </w:r>
    </w:p>
    <w:p w14:paraId="26FED899" w14:textId="111C40F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klinickej štúdii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dostávali chronickú liečbu warfarínom,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 užívanie atorvastatínu 80</w:t>
      </w:r>
      <w:r w:rsidR="00800FD5" w:rsidRPr="00CA4059">
        <w:rPr>
          <w:rFonts w:ascii="Times New Roman" w:hAnsi="Times New Roman"/>
        </w:rPr>
        <w:t> mg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warfarínom viedlo počas prvých 4 dní podávania k miernemu skráteniu asi o 1,7 sekundy protrombínového času, ktorý sa do 15 dní liečby atorvastatínom opäť normalizoval. Hoci boli hlásené iba veľmi zriedkavé prípady klinicky významných antikoagulačných interakcií,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 užívajúcich kumarínové antikoagulanciá sa protrombínový čas musí stanoviť pred začatím liečby atorvastatínom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dostatočne často počas prvého obdobia liečby, aby sa zabezpečilo, že nedôjde k žiadnej signifikantnej zmene protrombínového času. Akonáhle je zdokumentovaný stabilný protrombínový čas, protrombínový čas sa môže monitorovať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intervaloch, ktoré sa zvyčajne odporúčajú pre pacientov užívajúcich kumarínové antikoagulanciá. Ak sa dávka atorvastatínu zmení alebo sa liečba preruší, musí sa opakovať rovnaký postup. Liečba atorvastatínom nebola spojená</w:t>
      </w:r>
      <w:r w:rsidR="00800FD5" w:rsidRPr="00CA4059">
        <w:rPr>
          <w:rFonts w:ascii="Times New Roman" w:hAnsi="Times New Roman"/>
        </w:rPr>
        <w:t xml:space="preserve"> s</w:t>
      </w:r>
      <w:r w:rsidR="001E0A99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krvácaním alebo so zmenami protrombínového času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neužívajú antikoagulanciá.</w:t>
      </w:r>
    </w:p>
    <w:p w14:paraId="0B45D009" w14:textId="77777777" w:rsidR="00C961A0" w:rsidRPr="00CA4059" w:rsidRDefault="00C961A0" w:rsidP="00CA4059">
      <w:pPr>
        <w:spacing w:after="0" w:line="240" w:lineRule="auto"/>
        <w:rPr>
          <w:rFonts w:ascii="Times New Roman" w:hAnsi="Times New Roman"/>
        </w:rPr>
      </w:pPr>
    </w:p>
    <w:p w14:paraId="19C835FC" w14:textId="03F4F4E3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Tabuľka 1: Vplyv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ne podávaných liekov na farmakokinetiku atorvastatínu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1742"/>
        <w:gridCol w:w="1612"/>
        <w:gridCol w:w="3141"/>
      </w:tblGrid>
      <w:tr w:rsidR="00256BD3" w:rsidRPr="0067219E" w14:paraId="7F175F28" w14:textId="77777777" w:rsidTr="00F23067">
        <w:trPr>
          <w:tblHeader/>
        </w:trPr>
        <w:tc>
          <w:tcPr>
            <w:tcW w:w="2567" w:type="dxa"/>
            <w:vMerge w:val="restart"/>
          </w:tcPr>
          <w:p w14:paraId="30CBB434" w14:textId="676361EF" w:rsidR="00256BD3" w:rsidRPr="00F36C6A" w:rsidRDefault="00256BD3" w:rsidP="00F36C6A">
            <w:pPr>
              <w:pStyle w:val="Nadpisuvnittabulky"/>
            </w:pPr>
            <w:r w:rsidRPr="00F36C6A">
              <w:t>Sú</w:t>
            </w:r>
            <w:r w:rsidR="003A18C2" w:rsidRPr="00F36C6A">
              <w:t>bež</w:t>
            </w:r>
            <w:r w:rsidRPr="00F36C6A">
              <w:t>ne podávaný liek</w:t>
            </w:r>
            <w:r w:rsidR="00800FD5" w:rsidRPr="00F36C6A">
              <w:t xml:space="preserve"> a </w:t>
            </w:r>
            <w:r w:rsidRPr="00F36C6A">
              <w:t>dávkovacia schéma</w:t>
            </w:r>
          </w:p>
        </w:tc>
        <w:tc>
          <w:tcPr>
            <w:tcW w:w="6495" w:type="dxa"/>
            <w:gridSpan w:val="3"/>
          </w:tcPr>
          <w:p w14:paraId="11CCF673" w14:textId="77777777" w:rsidR="00256BD3" w:rsidRPr="00CA4059" w:rsidRDefault="00256BD3" w:rsidP="00F36C6A">
            <w:pPr>
              <w:pStyle w:val="Nadpisuvnittabulky"/>
            </w:pPr>
            <w:r w:rsidRPr="00CA4059">
              <w:t>Atorvastatín</w:t>
            </w:r>
          </w:p>
        </w:tc>
      </w:tr>
      <w:tr w:rsidR="00256BD3" w:rsidRPr="0067219E" w14:paraId="409CFD06" w14:textId="77777777" w:rsidTr="00F23067">
        <w:trPr>
          <w:tblHeader/>
        </w:trPr>
        <w:tc>
          <w:tcPr>
            <w:tcW w:w="2567" w:type="dxa"/>
            <w:vMerge/>
          </w:tcPr>
          <w:p w14:paraId="3EAA8960" w14:textId="77777777" w:rsidR="00256BD3" w:rsidRPr="00CA4059" w:rsidRDefault="00256BD3" w:rsidP="00F36C6A">
            <w:pPr>
              <w:pStyle w:val="Nadpisuvnittabulky"/>
            </w:pPr>
          </w:p>
        </w:tc>
        <w:tc>
          <w:tcPr>
            <w:tcW w:w="1742" w:type="dxa"/>
          </w:tcPr>
          <w:p w14:paraId="2F650DDB" w14:textId="77777777" w:rsidR="00256BD3" w:rsidRPr="00CA4059" w:rsidRDefault="00256BD3" w:rsidP="00F36C6A">
            <w:pPr>
              <w:pStyle w:val="Nadpisuvnittabulky"/>
            </w:pPr>
            <w:r w:rsidRPr="00CA4059">
              <w:t>Dávka (mg)</w:t>
            </w:r>
          </w:p>
        </w:tc>
        <w:tc>
          <w:tcPr>
            <w:tcW w:w="1612" w:type="dxa"/>
          </w:tcPr>
          <w:p w14:paraId="52D14633" w14:textId="6AB0F3E0" w:rsidR="00256BD3" w:rsidRPr="00CA4059" w:rsidRDefault="00256BD3" w:rsidP="00F36C6A">
            <w:pPr>
              <w:pStyle w:val="Nadpisuvnittabulky"/>
              <w:rPr>
                <w:vertAlign w:val="superscript"/>
              </w:rPr>
            </w:pPr>
            <w:r w:rsidRPr="00CA4059">
              <w:t>Pomer AUC</w:t>
            </w:r>
            <w:r w:rsidRPr="00CA4059">
              <w:rPr>
                <w:vertAlign w:val="superscript"/>
              </w:rPr>
              <w:t>&amp;</w:t>
            </w:r>
          </w:p>
        </w:tc>
        <w:tc>
          <w:tcPr>
            <w:tcW w:w="3141" w:type="dxa"/>
          </w:tcPr>
          <w:p w14:paraId="417F02D8" w14:textId="77777777" w:rsidR="00256BD3" w:rsidRPr="00CA4059" w:rsidRDefault="00256BD3" w:rsidP="00F36C6A">
            <w:pPr>
              <w:pStyle w:val="Nadpisuvnittabulky"/>
              <w:rPr>
                <w:vertAlign w:val="superscript"/>
              </w:rPr>
            </w:pPr>
            <w:r w:rsidRPr="00CA4059">
              <w:t>Klinické odporúčanie</w:t>
            </w:r>
            <w:r w:rsidRPr="00CA4059">
              <w:rPr>
                <w:vertAlign w:val="superscript"/>
              </w:rPr>
              <w:t>#</w:t>
            </w:r>
          </w:p>
        </w:tc>
      </w:tr>
      <w:tr w:rsidR="00256BD3" w:rsidRPr="0067219E" w14:paraId="226BABEA" w14:textId="77777777" w:rsidTr="00F23067">
        <w:tc>
          <w:tcPr>
            <w:tcW w:w="2567" w:type="dxa"/>
          </w:tcPr>
          <w:p w14:paraId="61A39FE0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tipranavir 500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lastRenderedPageBreak/>
                <w:t>BID</w:t>
              </w:r>
            </w:smartTag>
            <w:r w:rsidRPr="00CA4059">
              <w:rPr>
                <w:rFonts w:ascii="Times New Roman" w:hAnsi="Times New Roman"/>
              </w:rPr>
              <w:t>/ritonavir 200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8 dní (14. až 21. deň)</w:t>
            </w:r>
          </w:p>
        </w:tc>
        <w:tc>
          <w:tcPr>
            <w:tcW w:w="1742" w:type="dxa"/>
          </w:tcPr>
          <w:p w14:paraId="5D39464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lastRenderedPageBreak/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na 1. deň, </w:t>
            </w:r>
            <w:r w:rsidRPr="00CA4059">
              <w:rPr>
                <w:rFonts w:ascii="Times New Roman" w:hAnsi="Times New Roman"/>
              </w:rPr>
              <w:lastRenderedPageBreak/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na 20. deň</w:t>
            </w:r>
          </w:p>
        </w:tc>
        <w:tc>
          <w:tcPr>
            <w:tcW w:w="1612" w:type="dxa"/>
          </w:tcPr>
          <w:p w14:paraId="79497C23" w14:textId="166E5F88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lastRenderedPageBreak/>
              <w:t xml:space="preserve"> 9,4</w:t>
            </w:r>
          </w:p>
        </w:tc>
        <w:tc>
          <w:tcPr>
            <w:tcW w:w="3141" w:type="dxa"/>
            <w:vMerge w:val="restart"/>
          </w:tcPr>
          <w:p w14:paraId="132C37F7" w14:textId="45EBDF23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V prípade, kde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 xml:space="preserve">né </w:t>
            </w:r>
            <w:r w:rsidRPr="00CA4059">
              <w:rPr>
                <w:rFonts w:ascii="Times New Roman" w:hAnsi="Times New Roman"/>
              </w:rPr>
              <w:lastRenderedPageBreak/>
              <w:t>podávanie</w:t>
            </w:r>
            <w:r w:rsidR="00800FD5" w:rsidRPr="00CA4059">
              <w:rPr>
                <w:rFonts w:ascii="Times New Roman" w:hAnsi="Times New Roman"/>
              </w:rPr>
              <w:t xml:space="preserve"> s</w:t>
            </w:r>
            <w:r w:rsidR="00321734" w:rsidRPr="00CA4059">
              <w:rPr>
                <w:rFonts w:ascii="Times New Roman" w:hAnsi="Times New Roman"/>
              </w:rPr>
              <w:t xml:space="preserve"> </w:t>
            </w:r>
            <w:r w:rsidRPr="00CA4059">
              <w:rPr>
                <w:rFonts w:ascii="Times New Roman" w:hAnsi="Times New Roman"/>
              </w:rPr>
              <w:t>atorvastatínom je nevyhnutné, neprekročte 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atorvastatínu denne. Odporúča sa klinické monitorovanie týchto pacientov.</w:t>
            </w:r>
          </w:p>
        </w:tc>
      </w:tr>
      <w:tr w:rsidR="00787341" w:rsidRPr="0067219E" w14:paraId="2566E802" w14:textId="77777777" w:rsidTr="00F23067">
        <w:tc>
          <w:tcPr>
            <w:tcW w:w="2567" w:type="dxa"/>
          </w:tcPr>
          <w:p w14:paraId="17AEF7CB" w14:textId="2D7FCE95" w:rsidR="00787341" w:rsidRPr="00CA4059" w:rsidRDefault="00D2151E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telaprevir 750 mg q8h, 10 </w:t>
            </w:r>
            <w:r w:rsidR="00787341" w:rsidRPr="00CA4059">
              <w:rPr>
                <w:rFonts w:ascii="Times New Roman" w:hAnsi="Times New Roman"/>
              </w:rPr>
              <w:t>dní</w:t>
            </w:r>
          </w:p>
        </w:tc>
        <w:tc>
          <w:tcPr>
            <w:tcW w:w="1742" w:type="dxa"/>
          </w:tcPr>
          <w:p w14:paraId="2E64DAAC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20 mg, SD</w:t>
            </w:r>
          </w:p>
        </w:tc>
        <w:tc>
          <w:tcPr>
            <w:tcW w:w="1612" w:type="dxa"/>
          </w:tcPr>
          <w:p w14:paraId="6E25CD9A" w14:textId="081C273E" w:rsidR="00787341" w:rsidRPr="00CA4059" w:rsidDel="00787341" w:rsidRDefault="00653128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787341" w:rsidRPr="00CA4059">
              <w:rPr>
                <w:rFonts w:ascii="Times New Roman" w:hAnsi="Times New Roman"/>
              </w:rPr>
              <w:t>9</w:t>
            </w:r>
          </w:p>
        </w:tc>
        <w:tc>
          <w:tcPr>
            <w:tcW w:w="3141" w:type="dxa"/>
            <w:vMerge/>
          </w:tcPr>
          <w:p w14:paraId="3B4D73F9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414329DB" w14:textId="77777777" w:rsidTr="00F23067">
        <w:tc>
          <w:tcPr>
            <w:tcW w:w="2567" w:type="dxa"/>
          </w:tcPr>
          <w:p w14:paraId="77DF5251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cyklosporín 5,2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>/kg/deň, stabilná dávka</w:t>
            </w:r>
          </w:p>
        </w:tc>
        <w:tc>
          <w:tcPr>
            <w:tcW w:w="1742" w:type="dxa"/>
          </w:tcPr>
          <w:p w14:paraId="4D65D31A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28 dní</w:t>
            </w:r>
          </w:p>
        </w:tc>
        <w:tc>
          <w:tcPr>
            <w:tcW w:w="1612" w:type="dxa"/>
          </w:tcPr>
          <w:p w14:paraId="56607904" w14:textId="6E043762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8,7</w:t>
            </w:r>
          </w:p>
        </w:tc>
        <w:tc>
          <w:tcPr>
            <w:tcW w:w="3141" w:type="dxa"/>
            <w:vMerge/>
          </w:tcPr>
          <w:p w14:paraId="4E0F6FD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5237F72B" w14:textId="77777777" w:rsidTr="00F23067">
        <w:tc>
          <w:tcPr>
            <w:tcW w:w="2567" w:type="dxa"/>
          </w:tcPr>
          <w:p w14:paraId="48A995B8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lopinavir 400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/ritonavir 100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14 dní</w:t>
            </w:r>
          </w:p>
        </w:tc>
        <w:tc>
          <w:tcPr>
            <w:tcW w:w="1742" w:type="dxa"/>
          </w:tcPr>
          <w:p w14:paraId="2CE1818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4 dní</w:t>
            </w:r>
          </w:p>
        </w:tc>
        <w:tc>
          <w:tcPr>
            <w:tcW w:w="1612" w:type="dxa"/>
          </w:tcPr>
          <w:p w14:paraId="62339932" w14:textId="13BA59A4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5,9</w:t>
            </w:r>
          </w:p>
        </w:tc>
        <w:tc>
          <w:tcPr>
            <w:tcW w:w="3141" w:type="dxa"/>
            <w:vMerge w:val="restart"/>
          </w:tcPr>
          <w:p w14:paraId="7088FBFC" w14:textId="1C43E1B9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V prípadoch, kde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né podávanie</w:t>
            </w:r>
            <w:r w:rsidR="00800FD5" w:rsidRPr="00CA4059">
              <w:rPr>
                <w:rFonts w:ascii="Times New Roman" w:hAnsi="Times New Roman"/>
              </w:rPr>
              <w:t xml:space="preserve"> s</w:t>
            </w:r>
            <w:r w:rsidR="00321734" w:rsidRPr="00CA4059">
              <w:rPr>
                <w:rFonts w:ascii="Times New Roman" w:hAnsi="Times New Roman"/>
              </w:rPr>
              <w:t xml:space="preserve"> </w:t>
            </w:r>
            <w:r w:rsidRPr="00CA4059">
              <w:rPr>
                <w:rFonts w:ascii="Times New Roman" w:hAnsi="Times New Roman"/>
              </w:rPr>
              <w:t>atorvastatínom je nevyhnutné, sa odporúčajú nižšie udržiavacie dávky atorvastatínu. Pri dávkach atorvastatínu vyšších ako 20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>, sa odporúča klinické monitorovanie týchto pacientov.</w:t>
            </w:r>
          </w:p>
        </w:tc>
      </w:tr>
      <w:tr w:rsidR="00256BD3" w:rsidRPr="0067219E" w14:paraId="0CC2AAD9" w14:textId="77777777" w:rsidTr="00F23067">
        <w:tc>
          <w:tcPr>
            <w:tcW w:w="2567" w:type="dxa"/>
          </w:tcPr>
          <w:p w14:paraId="481219F1" w14:textId="73372748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 xml:space="preserve">klaritromycín </w:t>
            </w:r>
            <w:r w:rsidR="00787341" w:rsidRPr="00CA4059">
              <w:rPr>
                <w:rFonts w:ascii="Times New Roman" w:hAnsi="Times New Roman"/>
              </w:rPr>
              <w:t>5</w:t>
            </w:r>
            <w:r w:rsidRPr="00CA4059">
              <w:rPr>
                <w:rFonts w:ascii="Times New Roman" w:hAnsi="Times New Roman"/>
              </w:rPr>
              <w:t>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9 dní</w:t>
            </w:r>
          </w:p>
        </w:tc>
        <w:tc>
          <w:tcPr>
            <w:tcW w:w="1742" w:type="dxa"/>
          </w:tcPr>
          <w:p w14:paraId="797A0CE9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8 dní</w:t>
            </w:r>
          </w:p>
        </w:tc>
        <w:tc>
          <w:tcPr>
            <w:tcW w:w="1612" w:type="dxa"/>
          </w:tcPr>
          <w:p w14:paraId="5A4E4918" w14:textId="548A7D45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4,</w:t>
            </w:r>
            <w:r w:rsidR="00787341" w:rsidRPr="00CA4059">
              <w:rPr>
                <w:rFonts w:ascii="Times New Roman" w:hAnsi="Times New Roman"/>
              </w:rPr>
              <w:t>5</w:t>
            </w:r>
          </w:p>
        </w:tc>
        <w:tc>
          <w:tcPr>
            <w:tcW w:w="3141" w:type="dxa"/>
            <w:vMerge/>
          </w:tcPr>
          <w:p w14:paraId="085700B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5EA3F80D" w14:textId="77777777" w:rsidTr="00F23067">
        <w:tc>
          <w:tcPr>
            <w:tcW w:w="2567" w:type="dxa"/>
          </w:tcPr>
          <w:p w14:paraId="2320F5D0" w14:textId="47CC536A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sachinavir 400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/ritonavir (300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 xml:space="preserve"> od 5.</w:t>
            </w:r>
            <w:r w:rsidR="00962E64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–</w:t>
            </w:r>
            <w:r w:rsidR="00962E64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7. dňa, zvýšenie na 400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 xml:space="preserve"> na 8. deň), </w:t>
            </w:r>
            <w:r w:rsidR="00787341" w:rsidRPr="00CA4059">
              <w:rPr>
                <w:rFonts w:ascii="Times New Roman" w:hAnsi="Times New Roman"/>
              </w:rPr>
              <w:t>4</w:t>
            </w:r>
            <w:r w:rsidR="00962E64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.–</w:t>
            </w:r>
            <w:r w:rsidR="00962E64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18. deň, 30</w:t>
            </w:r>
            <w:r w:rsidR="00962E64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min</w:t>
            </w:r>
            <w:r w:rsidR="00962E64">
              <w:rPr>
                <w:rFonts w:ascii="Times New Roman" w:hAnsi="Times New Roman"/>
              </w:rPr>
              <w:t>.</w:t>
            </w:r>
            <w:r w:rsidRPr="00CA4059">
              <w:rPr>
                <w:rFonts w:ascii="Times New Roman" w:hAnsi="Times New Roman"/>
              </w:rPr>
              <w:t xml:space="preserve"> po dávke atorvastatínu</w:t>
            </w:r>
          </w:p>
        </w:tc>
        <w:tc>
          <w:tcPr>
            <w:tcW w:w="1742" w:type="dxa"/>
          </w:tcPr>
          <w:p w14:paraId="42830221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4 dní</w:t>
            </w:r>
          </w:p>
        </w:tc>
        <w:tc>
          <w:tcPr>
            <w:tcW w:w="1612" w:type="dxa"/>
          </w:tcPr>
          <w:p w14:paraId="36F59676" w14:textId="60AA8209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3,9</w:t>
            </w:r>
          </w:p>
        </w:tc>
        <w:tc>
          <w:tcPr>
            <w:tcW w:w="3141" w:type="dxa"/>
            <w:vMerge w:val="restart"/>
          </w:tcPr>
          <w:p w14:paraId="069A0AFB" w14:textId="1E0B2C04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V prípadoch, kde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né podávanie</w:t>
            </w:r>
            <w:r w:rsidR="00800FD5" w:rsidRPr="00CA4059">
              <w:rPr>
                <w:rFonts w:ascii="Times New Roman" w:hAnsi="Times New Roman"/>
              </w:rPr>
              <w:t xml:space="preserve"> s</w:t>
            </w:r>
            <w:r w:rsidR="00321734" w:rsidRPr="00CA4059">
              <w:rPr>
                <w:rFonts w:ascii="Times New Roman" w:hAnsi="Times New Roman"/>
              </w:rPr>
              <w:t xml:space="preserve"> </w:t>
            </w:r>
            <w:r w:rsidRPr="00CA4059">
              <w:rPr>
                <w:rFonts w:ascii="Times New Roman" w:hAnsi="Times New Roman"/>
              </w:rPr>
              <w:t>atorvastatínom je nevyhnutné, sa odporúčajú nižšie udržiavacie dávky atorvastatínu. Pri dávkach atorvastatínu vyšších ako 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>, sa odporúča klinické monitorovanie týchto pacientov.</w:t>
            </w:r>
          </w:p>
        </w:tc>
      </w:tr>
      <w:tr w:rsidR="00256BD3" w:rsidRPr="0067219E" w14:paraId="15F888BA" w14:textId="77777777" w:rsidTr="00F23067">
        <w:tc>
          <w:tcPr>
            <w:tcW w:w="2567" w:type="dxa"/>
          </w:tcPr>
          <w:p w14:paraId="537005C1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darunavir 300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/ritonavir 100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9 dní</w:t>
            </w:r>
          </w:p>
        </w:tc>
        <w:tc>
          <w:tcPr>
            <w:tcW w:w="1742" w:type="dxa"/>
          </w:tcPr>
          <w:p w14:paraId="0B99A0B2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4 dní</w:t>
            </w:r>
          </w:p>
        </w:tc>
        <w:tc>
          <w:tcPr>
            <w:tcW w:w="1612" w:type="dxa"/>
          </w:tcPr>
          <w:p w14:paraId="1FB68F81" w14:textId="752A997B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3,</w:t>
            </w:r>
            <w:r w:rsidR="00787341" w:rsidRPr="00CA4059">
              <w:rPr>
                <w:rFonts w:ascii="Times New Roman" w:hAnsi="Times New Roman"/>
              </w:rPr>
              <w:t>4</w:t>
            </w:r>
          </w:p>
        </w:tc>
        <w:tc>
          <w:tcPr>
            <w:tcW w:w="3141" w:type="dxa"/>
            <w:vMerge/>
          </w:tcPr>
          <w:p w14:paraId="39ABFC3D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370145BF" w14:textId="77777777" w:rsidTr="00F23067">
        <w:tc>
          <w:tcPr>
            <w:tcW w:w="2567" w:type="dxa"/>
          </w:tcPr>
          <w:p w14:paraId="7AA215DE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itrakonazol 200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4 dni</w:t>
            </w:r>
          </w:p>
        </w:tc>
        <w:tc>
          <w:tcPr>
            <w:tcW w:w="1742" w:type="dxa"/>
          </w:tcPr>
          <w:p w14:paraId="372DDEB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</w:t>
            </w:r>
          </w:p>
        </w:tc>
        <w:tc>
          <w:tcPr>
            <w:tcW w:w="1612" w:type="dxa"/>
          </w:tcPr>
          <w:p w14:paraId="75C69A26" w14:textId="347819B3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3,3</w:t>
            </w:r>
          </w:p>
        </w:tc>
        <w:tc>
          <w:tcPr>
            <w:tcW w:w="3141" w:type="dxa"/>
            <w:vMerge/>
          </w:tcPr>
          <w:p w14:paraId="5F14AB6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30F5818C" w14:textId="77777777" w:rsidTr="00F23067">
        <w:tc>
          <w:tcPr>
            <w:tcW w:w="2567" w:type="dxa"/>
          </w:tcPr>
          <w:p w14:paraId="46DD7F5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fosamprenavir 700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="00787341" w:rsidRPr="00CA4059">
              <w:rPr>
                <w:rFonts w:ascii="Times New Roman" w:hAnsi="Times New Roman"/>
              </w:rPr>
              <w:t xml:space="preserve"> BID</w:t>
            </w:r>
            <w:r w:rsidRPr="00CA4059">
              <w:rPr>
                <w:rFonts w:ascii="Times New Roman" w:hAnsi="Times New Roman"/>
              </w:rPr>
              <w:t>/ritonavir 100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14 dní</w:t>
            </w:r>
          </w:p>
        </w:tc>
        <w:tc>
          <w:tcPr>
            <w:tcW w:w="1742" w:type="dxa"/>
          </w:tcPr>
          <w:p w14:paraId="3A6BD77F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4 dní</w:t>
            </w:r>
          </w:p>
        </w:tc>
        <w:tc>
          <w:tcPr>
            <w:tcW w:w="1612" w:type="dxa"/>
          </w:tcPr>
          <w:p w14:paraId="5636EC44" w14:textId="60982B0B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2,5</w:t>
            </w:r>
          </w:p>
        </w:tc>
        <w:tc>
          <w:tcPr>
            <w:tcW w:w="3141" w:type="dxa"/>
            <w:vMerge/>
          </w:tcPr>
          <w:p w14:paraId="1412D156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08DC7237" w14:textId="77777777" w:rsidTr="00F23067">
        <w:tc>
          <w:tcPr>
            <w:tcW w:w="2567" w:type="dxa"/>
          </w:tcPr>
          <w:p w14:paraId="55779F44" w14:textId="1408176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fosamprenavir 1</w:t>
            </w:r>
            <w:r w:rsidR="00D54B68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400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14 dní</w:t>
            </w:r>
          </w:p>
        </w:tc>
        <w:tc>
          <w:tcPr>
            <w:tcW w:w="1742" w:type="dxa"/>
          </w:tcPr>
          <w:p w14:paraId="6925D183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4 dní</w:t>
            </w:r>
          </w:p>
        </w:tc>
        <w:tc>
          <w:tcPr>
            <w:tcW w:w="1612" w:type="dxa"/>
          </w:tcPr>
          <w:p w14:paraId="6AE37850" w14:textId="5B3041A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2,3</w:t>
            </w:r>
          </w:p>
        </w:tc>
        <w:tc>
          <w:tcPr>
            <w:tcW w:w="3141" w:type="dxa"/>
            <w:vMerge/>
          </w:tcPr>
          <w:p w14:paraId="338B7A37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5A9969F0" w14:textId="77777777" w:rsidTr="00F23067">
        <w:tc>
          <w:tcPr>
            <w:tcW w:w="2567" w:type="dxa"/>
          </w:tcPr>
          <w:p w14:paraId="0C16607B" w14:textId="15768816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nelfinavir 1</w:t>
            </w:r>
            <w:r w:rsidR="00D54B68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250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14 dní</w:t>
            </w:r>
          </w:p>
        </w:tc>
        <w:tc>
          <w:tcPr>
            <w:tcW w:w="1742" w:type="dxa"/>
          </w:tcPr>
          <w:p w14:paraId="51800083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28 dní</w:t>
            </w:r>
          </w:p>
        </w:tc>
        <w:tc>
          <w:tcPr>
            <w:tcW w:w="1612" w:type="dxa"/>
          </w:tcPr>
          <w:p w14:paraId="36A0736A" w14:textId="76800F8C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1,7</w:t>
            </w:r>
            <w:r w:rsidR="00787341" w:rsidRPr="00CA4059">
              <w:rPr>
                <w:rFonts w:ascii="Times New Roman" w:hAnsi="Times New Roman"/>
              </w:rPr>
              <w:t>4</w:t>
            </w:r>
          </w:p>
        </w:tc>
        <w:tc>
          <w:tcPr>
            <w:tcW w:w="3141" w:type="dxa"/>
          </w:tcPr>
          <w:p w14:paraId="44786A78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787341" w:rsidRPr="00150EE9" w14:paraId="50A6D887" w14:textId="77777777" w:rsidTr="00F23067">
        <w:tc>
          <w:tcPr>
            <w:tcW w:w="2567" w:type="dxa"/>
          </w:tcPr>
          <w:p w14:paraId="4A820F0D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glekaprevir 400 mg OD/pibrentasvir 120 mg OD, 7 dní</w:t>
            </w:r>
          </w:p>
        </w:tc>
        <w:tc>
          <w:tcPr>
            <w:tcW w:w="1742" w:type="dxa"/>
          </w:tcPr>
          <w:p w14:paraId="7A885104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 mg OD, počas 7 dní</w:t>
            </w:r>
          </w:p>
        </w:tc>
        <w:tc>
          <w:tcPr>
            <w:tcW w:w="1612" w:type="dxa"/>
          </w:tcPr>
          <w:p w14:paraId="5A990ADA" w14:textId="77777777" w:rsidR="00787341" w:rsidRPr="00CA4059" w:rsidDel="00787341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8,3</w:t>
            </w:r>
          </w:p>
        </w:tc>
        <w:tc>
          <w:tcPr>
            <w:tcW w:w="3141" w:type="dxa"/>
          </w:tcPr>
          <w:p w14:paraId="3C422589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Súbežné podávanie s liekmi obsahujúcimi glekaprevir alebo pibrentasvir je kontraindikované (pozri časť 4.3).</w:t>
            </w:r>
          </w:p>
        </w:tc>
      </w:tr>
      <w:tr w:rsidR="00787341" w:rsidRPr="00150EE9" w14:paraId="240E250A" w14:textId="77777777" w:rsidTr="00F23067">
        <w:tc>
          <w:tcPr>
            <w:tcW w:w="2567" w:type="dxa"/>
          </w:tcPr>
          <w:p w14:paraId="2BCD9221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elbasvir 50 mg OD/ grazoprevir 200 mg OD, 13 dní</w:t>
            </w:r>
          </w:p>
        </w:tc>
        <w:tc>
          <w:tcPr>
            <w:tcW w:w="1742" w:type="dxa"/>
          </w:tcPr>
          <w:p w14:paraId="086BC2B9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 mg SD</w:t>
            </w:r>
          </w:p>
        </w:tc>
        <w:tc>
          <w:tcPr>
            <w:tcW w:w="1612" w:type="dxa"/>
          </w:tcPr>
          <w:p w14:paraId="2919F8AB" w14:textId="77777777" w:rsidR="00787341" w:rsidRPr="00CA4059" w:rsidDel="00787341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1,95</w:t>
            </w:r>
          </w:p>
        </w:tc>
        <w:tc>
          <w:tcPr>
            <w:tcW w:w="3141" w:type="dxa"/>
          </w:tcPr>
          <w:p w14:paraId="64657A35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Pri súbežnom podávaní s liekmi obsahujúcimi elbasvir alebo grazoprevir dávka atorvastatínu nemá prekročiť dennú dávku 20 mg.</w:t>
            </w:r>
          </w:p>
        </w:tc>
      </w:tr>
      <w:tr w:rsidR="00256BD3" w:rsidRPr="0067219E" w14:paraId="7472384E" w14:textId="77777777" w:rsidTr="00F23067">
        <w:tc>
          <w:tcPr>
            <w:tcW w:w="2567" w:type="dxa"/>
          </w:tcPr>
          <w:p w14:paraId="4DAFA5AE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grapefruitová šťava, 240 ml OD *</w:t>
            </w:r>
          </w:p>
        </w:tc>
        <w:tc>
          <w:tcPr>
            <w:tcW w:w="1742" w:type="dxa"/>
          </w:tcPr>
          <w:p w14:paraId="6673F520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098FC291" w14:textId="6B410616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37 </w:t>
            </w:r>
          </w:p>
        </w:tc>
        <w:tc>
          <w:tcPr>
            <w:tcW w:w="3141" w:type="dxa"/>
          </w:tcPr>
          <w:p w14:paraId="6B27E467" w14:textId="389368A9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ný príjem veľkých množstiev grapefruitovej šťavy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atorvastatínu sa neodporúča.</w:t>
            </w:r>
          </w:p>
        </w:tc>
      </w:tr>
      <w:tr w:rsidR="00256BD3" w:rsidRPr="0067219E" w14:paraId="38DA2C89" w14:textId="77777777" w:rsidTr="00F23067">
        <w:tc>
          <w:tcPr>
            <w:tcW w:w="2567" w:type="dxa"/>
          </w:tcPr>
          <w:p w14:paraId="5CE6EFF6" w14:textId="0A23002D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diltiazem 240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28</w:t>
            </w:r>
            <w:r w:rsidR="004A699C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dní</w:t>
            </w:r>
          </w:p>
        </w:tc>
        <w:tc>
          <w:tcPr>
            <w:tcW w:w="1742" w:type="dxa"/>
          </w:tcPr>
          <w:p w14:paraId="2290924D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1F4956F6" w14:textId="2A6CA374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51 </w:t>
            </w:r>
          </w:p>
        </w:tc>
        <w:tc>
          <w:tcPr>
            <w:tcW w:w="3141" w:type="dxa"/>
          </w:tcPr>
          <w:p w14:paraId="5B99DDAD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Po začatí liečby diltiazemom alebo po úprave dávky diltiazemu sa odporúča primerané klinické monitorovanie týchto pacientov.</w:t>
            </w:r>
          </w:p>
        </w:tc>
      </w:tr>
      <w:tr w:rsidR="00256BD3" w:rsidRPr="0067219E" w14:paraId="5E2F39DE" w14:textId="77777777" w:rsidTr="00F23067">
        <w:tc>
          <w:tcPr>
            <w:tcW w:w="2567" w:type="dxa"/>
          </w:tcPr>
          <w:p w14:paraId="24EB52D2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erytromycín 500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QID, 7 dní</w:t>
            </w:r>
          </w:p>
        </w:tc>
        <w:tc>
          <w:tcPr>
            <w:tcW w:w="1742" w:type="dxa"/>
          </w:tcPr>
          <w:p w14:paraId="72D50DF7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7285A81A" w14:textId="002EF0A1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33</w:t>
            </w:r>
          </w:p>
        </w:tc>
        <w:tc>
          <w:tcPr>
            <w:tcW w:w="3141" w:type="dxa"/>
          </w:tcPr>
          <w:p w14:paraId="0C8ED287" w14:textId="23D1F069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Odporúča sa nižšia maximálna dávka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 xml:space="preserve">klinické monitorovanie </w:t>
            </w:r>
            <w:r w:rsidRPr="00CA4059">
              <w:rPr>
                <w:rFonts w:ascii="Times New Roman" w:hAnsi="Times New Roman"/>
              </w:rPr>
              <w:lastRenderedPageBreak/>
              <w:t>týchto pacientov.</w:t>
            </w:r>
          </w:p>
        </w:tc>
      </w:tr>
      <w:tr w:rsidR="00256BD3" w:rsidRPr="0067219E" w14:paraId="032BA874" w14:textId="77777777" w:rsidTr="00F23067">
        <w:tc>
          <w:tcPr>
            <w:tcW w:w="2567" w:type="dxa"/>
          </w:tcPr>
          <w:p w14:paraId="54CBD5A9" w14:textId="4800AE28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lastRenderedPageBreak/>
              <w:t>amlodipín 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, </w:t>
            </w:r>
            <w:r w:rsidR="00787341" w:rsidRPr="00CA4059">
              <w:rPr>
                <w:rFonts w:ascii="Times New Roman" w:hAnsi="Times New Roman"/>
              </w:rPr>
              <w:t>SD</w:t>
            </w:r>
          </w:p>
        </w:tc>
        <w:tc>
          <w:tcPr>
            <w:tcW w:w="1742" w:type="dxa"/>
          </w:tcPr>
          <w:p w14:paraId="2AD09055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1E3DE1DA" w14:textId="7395C40C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18 </w:t>
            </w:r>
          </w:p>
        </w:tc>
        <w:tc>
          <w:tcPr>
            <w:tcW w:w="3141" w:type="dxa"/>
          </w:tcPr>
          <w:p w14:paraId="470E1AE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256BD3" w:rsidRPr="0067219E" w14:paraId="72ACF701" w14:textId="77777777" w:rsidTr="00F23067">
        <w:tc>
          <w:tcPr>
            <w:tcW w:w="2567" w:type="dxa"/>
          </w:tcPr>
          <w:p w14:paraId="3CEA200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cimetidín 300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QID, 2 týždne</w:t>
            </w:r>
          </w:p>
        </w:tc>
        <w:tc>
          <w:tcPr>
            <w:tcW w:w="1742" w:type="dxa"/>
          </w:tcPr>
          <w:p w14:paraId="7CDB03EE" w14:textId="538EF506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</w:t>
            </w:r>
            <w:r w:rsidR="00787341" w:rsidRPr="00CA4059">
              <w:rPr>
                <w:rFonts w:ascii="Times New Roman" w:hAnsi="Times New Roman"/>
              </w:rPr>
              <w:t>2</w:t>
            </w:r>
            <w:r w:rsidRPr="00CA4059">
              <w:rPr>
                <w:rFonts w:ascii="Times New Roman" w:hAnsi="Times New Roman"/>
              </w:rPr>
              <w:t xml:space="preserve"> týždňov</w:t>
            </w:r>
          </w:p>
        </w:tc>
        <w:tc>
          <w:tcPr>
            <w:tcW w:w="1612" w:type="dxa"/>
          </w:tcPr>
          <w:p w14:paraId="7932C76E" w14:textId="5976E913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</w:t>
            </w:r>
            <w:r w:rsidR="00787341" w:rsidRPr="00CA4059">
              <w:rPr>
                <w:rFonts w:ascii="Times New Roman" w:hAnsi="Times New Roman"/>
              </w:rPr>
              <w:t>,00</w:t>
            </w:r>
            <w:r w:rsidRPr="00CA4059">
              <w:rPr>
                <w:rFonts w:ascii="Times New Roman" w:hAnsi="Times New Roman"/>
              </w:rPr>
              <w:t> </w:t>
            </w:r>
          </w:p>
        </w:tc>
        <w:tc>
          <w:tcPr>
            <w:tcW w:w="3141" w:type="dxa"/>
          </w:tcPr>
          <w:p w14:paraId="2C19BE79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787341" w:rsidRPr="0067219E" w14:paraId="54D9D6C8" w14:textId="77777777" w:rsidTr="00F23067">
        <w:tc>
          <w:tcPr>
            <w:tcW w:w="2567" w:type="dxa"/>
          </w:tcPr>
          <w:p w14:paraId="708CD367" w14:textId="42AB48D6" w:rsidR="00787341" w:rsidRPr="00CA4059" w:rsidRDefault="009654B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k</w:t>
            </w:r>
            <w:r>
              <w:rPr>
                <w:rFonts w:ascii="Times New Roman" w:hAnsi="Times New Roman"/>
                <w:lang w:val="ro-RO" w:eastAsia="ro-RO"/>
              </w:rPr>
              <w:t>olestipol 10 g BID, 24 </w:t>
            </w:r>
            <w:r w:rsidR="00787341" w:rsidRPr="00CA4059">
              <w:rPr>
                <w:rFonts w:ascii="Times New Roman" w:hAnsi="Times New Roman"/>
                <w:lang w:val="ro-RO" w:eastAsia="ro-RO"/>
              </w:rPr>
              <w:t xml:space="preserve">týždňov </w:t>
            </w:r>
          </w:p>
        </w:tc>
        <w:tc>
          <w:tcPr>
            <w:tcW w:w="1742" w:type="dxa"/>
          </w:tcPr>
          <w:p w14:paraId="659701F0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40 mg OD počas 8 týždňov</w:t>
            </w:r>
          </w:p>
        </w:tc>
        <w:tc>
          <w:tcPr>
            <w:tcW w:w="1612" w:type="dxa"/>
          </w:tcPr>
          <w:p w14:paraId="6D324733" w14:textId="0B16C29D" w:rsidR="00787341" w:rsidRPr="00CA4059" w:rsidRDefault="00C278EC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 w:eastAsia="ro-RO"/>
              </w:rPr>
              <w:t>0,</w:t>
            </w:r>
            <w:r w:rsidR="00787341" w:rsidRPr="00CA4059">
              <w:rPr>
                <w:rFonts w:ascii="Times New Roman" w:hAnsi="Times New Roman"/>
                <w:lang w:val="ro-RO" w:eastAsia="ro-RO"/>
              </w:rPr>
              <w:t>74**</w:t>
            </w:r>
          </w:p>
        </w:tc>
        <w:tc>
          <w:tcPr>
            <w:tcW w:w="3141" w:type="dxa"/>
          </w:tcPr>
          <w:p w14:paraId="3CE268C3" w14:textId="77777777" w:rsidR="00787341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256BD3" w:rsidRPr="0067219E" w14:paraId="03219909" w14:textId="77777777" w:rsidTr="00F23067">
        <w:tc>
          <w:tcPr>
            <w:tcW w:w="2567" w:type="dxa"/>
          </w:tcPr>
          <w:p w14:paraId="44119D9C" w14:textId="2825D219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antacidová suspenzia hydroxidu horečnatého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 xml:space="preserve">hydroxidu hlinitého, 30 ml QID, </w:t>
            </w:r>
            <w:r w:rsidR="00787341" w:rsidRPr="00CA4059">
              <w:rPr>
                <w:rFonts w:ascii="Times New Roman" w:hAnsi="Times New Roman"/>
              </w:rPr>
              <w:t>17 dní</w:t>
            </w:r>
          </w:p>
        </w:tc>
        <w:tc>
          <w:tcPr>
            <w:tcW w:w="1742" w:type="dxa"/>
          </w:tcPr>
          <w:p w14:paraId="72D8332C" w14:textId="4DF9C16D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</w:t>
            </w:r>
            <w:r w:rsidR="00787341" w:rsidRPr="00CA4059">
              <w:rPr>
                <w:rFonts w:ascii="Times New Roman" w:hAnsi="Times New Roman"/>
              </w:rPr>
              <w:t>15 dní</w:t>
            </w:r>
          </w:p>
        </w:tc>
        <w:tc>
          <w:tcPr>
            <w:tcW w:w="1612" w:type="dxa"/>
          </w:tcPr>
          <w:p w14:paraId="6B302674" w14:textId="6B9AFF92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0,66</w:t>
            </w:r>
            <w:r w:rsidR="00256BD3" w:rsidRPr="00CA4059">
              <w:rPr>
                <w:rFonts w:ascii="Times New Roman" w:hAnsi="Times New Roman"/>
              </w:rPr>
              <w:t> </w:t>
            </w:r>
          </w:p>
        </w:tc>
        <w:tc>
          <w:tcPr>
            <w:tcW w:w="3141" w:type="dxa"/>
          </w:tcPr>
          <w:p w14:paraId="31401991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256BD3" w:rsidRPr="0067219E" w14:paraId="3E4D3118" w14:textId="77777777" w:rsidTr="00F23067">
        <w:tc>
          <w:tcPr>
            <w:tcW w:w="2567" w:type="dxa"/>
          </w:tcPr>
          <w:p w14:paraId="3AF89B1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efavirenz 600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14 dní</w:t>
            </w:r>
          </w:p>
        </w:tc>
        <w:tc>
          <w:tcPr>
            <w:tcW w:w="1742" w:type="dxa"/>
          </w:tcPr>
          <w:p w14:paraId="6E621992" w14:textId="344B82E5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počas 3</w:t>
            </w:r>
            <w:r w:rsidR="00840545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dní</w:t>
            </w:r>
          </w:p>
        </w:tc>
        <w:tc>
          <w:tcPr>
            <w:tcW w:w="1612" w:type="dxa"/>
          </w:tcPr>
          <w:p w14:paraId="447BD593" w14:textId="45129564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0,59</w:t>
            </w:r>
          </w:p>
        </w:tc>
        <w:tc>
          <w:tcPr>
            <w:tcW w:w="3141" w:type="dxa"/>
          </w:tcPr>
          <w:p w14:paraId="5DBD32A8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256BD3" w:rsidRPr="0067219E" w14:paraId="6A7AC02C" w14:textId="77777777" w:rsidTr="00F23067">
        <w:tc>
          <w:tcPr>
            <w:tcW w:w="2567" w:type="dxa"/>
          </w:tcPr>
          <w:p w14:paraId="32614C4C" w14:textId="36ED62E0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rifamp</w:t>
            </w:r>
            <w:r w:rsidR="00CA4059">
              <w:rPr>
                <w:rFonts w:ascii="Times New Roman" w:hAnsi="Times New Roman"/>
              </w:rPr>
              <w:t>ic</w:t>
            </w:r>
            <w:r w:rsidRPr="00CA4059">
              <w:rPr>
                <w:rFonts w:ascii="Times New Roman" w:hAnsi="Times New Roman"/>
              </w:rPr>
              <w:t>ín 600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7</w:t>
            </w:r>
            <w:r w:rsidR="004A699C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dní (podávaný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ne)</w:t>
            </w:r>
          </w:p>
        </w:tc>
        <w:tc>
          <w:tcPr>
            <w:tcW w:w="1742" w:type="dxa"/>
          </w:tcPr>
          <w:p w14:paraId="59B8CCA2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218F5891" w14:textId="0F7893D1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1,12</w:t>
            </w:r>
          </w:p>
        </w:tc>
        <w:tc>
          <w:tcPr>
            <w:tcW w:w="3141" w:type="dxa"/>
            <w:vMerge w:val="restart"/>
          </w:tcPr>
          <w:p w14:paraId="134573DE" w14:textId="2DD64BEB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Ak sa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nému podávaniu nedá vyhnúť, odporúča sa simultánne sú</w:t>
            </w:r>
            <w:r w:rsidR="003A18C2">
              <w:rPr>
                <w:rFonts w:ascii="Times New Roman" w:hAnsi="Times New Roman"/>
              </w:rPr>
              <w:t>bež</w:t>
            </w:r>
            <w:r w:rsidRPr="00CA4059">
              <w:rPr>
                <w:rFonts w:ascii="Times New Roman" w:hAnsi="Times New Roman"/>
              </w:rPr>
              <w:t>né podávanie atorvastatínu</w:t>
            </w:r>
            <w:r w:rsidR="00800FD5" w:rsidRPr="00CA4059">
              <w:rPr>
                <w:rFonts w:ascii="Times New Roman" w:hAnsi="Times New Roman"/>
              </w:rPr>
              <w:t xml:space="preserve"> s</w:t>
            </w:r>
            <w:r w:rsidR="00321734" w:rsidRPr="00CA4059">
              <w:rPr>
                <w:rFonts w:ascii="Times New Roman" w:hAnsi="Times New Roman"/>
              </w:rPr>
              <w:t xml:space="preserve"> </w:t>
            </w:r>
            <w:r w:rsidRPr="00CA4059">
              <w:rPr>
                <w:rFonts w:ascii="Times New Roman" w:hAnsi="Times New Roman"/>
              </w:rPr>
              <w:t>rifamp</w:t>
            </w:r>
            <w:r w:rsidR="00CA4059">
              <w:rPr>
                <w:rFonts w:ascii="Times New Roman" w:hAnsi="Times New Roman"/>
              </w:rPr>
              <w:t>ic</w:t>
            </w:r>
            <w:r w:rsidRPr="00CA4059">
              <w:rPr>
                <w:rFonts w:ascii="Times New Roman" w:hAnsi="Times New Roman"/>
              </w:rPr>
              <w:t>ínom spolu</w:t>
            </w:r>
            <w:r w:rsidR="00800FD5" w:rsidRPr="00CA4059">
              <w:rPr>
                <w:rFonts w:ascii="Times New Roman" w:hAnsi="Times New Roman"/>
              </w:rPr>
              <w:t xml:space="preserve"> s</w:t>
            </w:r>
            <w:r w:rsidR="00321734" w:rsidRPr="00CA4059">
              <w:rPr>
                <w:rFonts w:ascii="Times New Roman" w:hAnsi="Times New Roman"/>
              </w:rPr>
              <w:t xml:space="preserve"> </w:t>
            </w:r>
            <w:r w:rsidRPr="00CA4059">
              <w:rPr>
                <w:rFonts w:ascii="Times New Roman" w:hAnsi="Times New Roman"/>
              </w:rPr>
              <w:t>klinickým monitorovaním.</w:t>
            </w:r>
          </w:p>
        </w:tc>
      </w:tr>
      <w:tr w:rsidR="00256BD3" w:rsidRPr="0067219E" w14:paraId="1624869F" w14:textId="77777777" w:rsidTr="00F23067">
        <w:tc>
          <w:tcPr>
            <w:tcW w:w="2567" w:type="dxa"/>
          </w:tcPr>
          <w:p w14:paraId="022B3E7E" w14:textId="112B3B4F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rifamp</w:t>
            </w:r>
            <w:r w:rsidR="00CA4059">
              <w:rPr>
                <w:rFonts w:ascii="Times New Roman" w:hAnsi="Times New Roman"/>
              </w:rPr>
              <w:t>ic</w:t>
            </w:r>
            <w:r w:rsidRPr="00CA4059">
              <w:rPr>
                <w:rFonts w:ascii="Times New Roman" w:hAnsi="Times New Roman"/>
              </w:rPr>
              <w:t>ín 600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5</w:t>
            </w:r>
            <w:r w:rsidR="004A699C">
              <w:rPr>
                <w:rFonts w:ascii="Times New Roman" w:hAnsi="Times New Roman"/>
              </w:rPr>
              <w:t> </w:t>
            </w:r>
            <w:r w:rsidRPr="00CA4059">
              <w:rPr>
                <w:rFonts w:ascii="Times New Roman" w:hAnsi="Times New Roman"/>
              </w:rPr>
              <w:t>dní (samostatné dávky)</w:t>
            </w:r>
          </w:p>
        </w:tc>
        <w:tc>
          <w:tcPr>
            <w:tcW w:w="1742" w:type="dxa"/>
          </w:tcPr>
          <w:p w14:paraId="50090778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05705A12" w14:textId="029AFDC8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0,20</w:t>
            </w:r>
          </w:p>
        </w:tc>
        <w:tc>
          <w:tcPr>
            <w:tcW w:w="3141" w:type="dxa"/>
            <w:vMerge/>
          </w:tcPr>
          <w:p w14:paraId="423C15FE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6BD3" w:rsidRPr="0067219E" w14:paraId="26185C78" w14:textId="77777777" w:rsidTr="00F23067">
        <w:tc>
          <w:tcPr>
            <w:tcW w:w="2567" w:type="dxa"/>
          </w:tcPr>
          <w:p w14:paraId="124D30F8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gemfibrozil 600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BID</w:t>
              </w:r>
            </w:smartTag>
            <w:r w:rsidRPr="00CA4059">
              <w:rPr>
                <w:rFonts w:ascii="Times New Roman" w:hAnsi="Times New Roman"/>
              </w:rPr>
              <w:t>, 7 dní</w:t>
            </w:r>
          </w:p>
        </w:tc>
        <w:tc>
          <w:tcPr>
            <w:tcW w:w="1742" w:type="dxa"/>
          </w:tcPr>
          <w:p w14:paraId="365C5E3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1096CF01" w14:textId="649E0B1A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35 </w:t>
            </w:r>
          </w:p>
        </w:tc>
        <w:tc>
          <w:tcPr>
            <w:tcW w:w="3141" w:type="dxa"/>
          </w:tcPr>
          <w:p w14:paraId="0490123D" w14:textId="1E1CCABA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Odporúča sa nižšia začiatočná dávka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klinické monitorovanie týchto pacientov.</w:t>
            </w:r>
          </w:p>
        </w:tc>
      </w:tr>
      <w:tr w:rsidR="00256BD3" w:rsidRPr="0067219E" w14:paraId="45DC045D" w14:textId="77777777" w:rsidTr="00F23067">
        <w:tc>
          <w:tcPr>
            <w:tcW w:w="2567" w:type="dxa"/>
          </w:tcPr>
          <w:p w14:paraId="0FA024D0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fenofibrát 160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7 dní</w:t>
            </w:r>
          </w:p>
        </w:tc>
        <w:tc>
          <w:tcPr>
            <w:tcW w:w="1742" w:type="dxa"/>
          </w:tcPr>
          <w:p w14:paraId="0DB10267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SD </w:t>
            </w:r>
          </w:p>
        </w:tc>
        <w:tc>
          <w:tcPr>
            <w:tcW w:w="1612" w:type="dxa"/>
          </w:tcPr>
          <w:p w14:paraId="5AB5DDCB" w14:textId="470CFCAF" w:rsidR="00256BD3" w:rsidRPr="00CA4059" w:rsidRDefault="00787341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1,0</w:t>
            </w:r>
            <w:r w:rsidR="00256BD3" w:rsidRPr="00CA4059">
              <w:rPr>
                <w:rFonts w:ascii="Times New Roman" w:hAnsi="Times New Roman"/>
              </w:rPr>
              <w:t>3 </w:t>
            </w:r>
          </w:p>
        </w:tc>
        <w:tc>
          <w:tcPr>
            <w:tcW w:w="3141" w:type="dxa"/>
          </w:tcPr>
          <w:p w14:paraId="0E0A8D51" w14:textId="5846AE8C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Odporúča sa nižšia začiatočná dávka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klinické monitorovanie týchto pacientov.</w:t>
            </w:r>
          </w:p>
        </w:tc>
      </w:tr>
      <w:tr w:rsidR="002E5EA2" w:rsidRPr="006F119F" w14:paraId="0E421246" w14:textId="77777777" w:rsidTr="00800FD5">
        <w:tc>
          <w:tcPr>
            <w:tcW w:w="2567" w:type="dxa"/>
          </w:tcPr>
          <w:p w14:paraId="24A03682" w14:textId="4E9E8704" w:rsidR="002E5EA2" w:rsidRPr="00CA4059" w:rsidRDefault="002E5EA2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color w:val="000000"/>
                <w:lang w:val="ro-RO" w:eastAsia="ro-RO"/>
              </w:rPr>
              <w:t xml:space="preserve">boceprevir 800 </w:t>
            </w:r>
            <w:r w:rsidRPr="00CA4059">
              <w:rPr>
                <w:rFonts w:ascii="Times New Roman" w:hAnsi="Times New Roman"/>
                <w:color w:val="000000"/>
                <w:lang w:val="ro-RO"/>
              </w:rPr>
              <w:t xml:space="preserve">mg </w:t>
            </w:r>
            <w:r w:rsidRPr="00CA4059">
              <w:rPr>
                <w:rFonts w:ascii="Times New Roman" w:hAnsi="Times New Roman"/>
                <w:color w:val="000000"/>
                <w:lang w:val="ro-RO" w:eastAsia="ro-RO"/>
              </w:rPr>
              <w:t>TID, 7</w:t>
            </w:r>
            <w:r w:rsidR="004A699C" w:rsidRPr="00CA4059">
              <w:rPr>
                <w:rFonts w:ascii="Times New Roman" w:hAnsi="Times New Roman"/>
                <w:color w:val="000000"/>
                <w:lang w:val="ro-RO" w:eastAsia="ro-RO"/>
              </w:rPr>
              <w:t> </w:t>
            </w:r>
            <w:r w:rsidRPr="00CA4059">
              <w:rPr>
                <w:rFonts w:ascii="Times New Roman" w:hAnsi="Times New Roman"/>
                <w:color w:val="000000"/>
                <w:lang w:val="ro-RO"/>
              </w:rPr>
              <w:t>dní</w:t>
            </w:r>
          </w:p>
        </w:tc>
        <w:tc>
          <w:tcPr>
            <w:tcW w:w="1742" w:type="dxa"/>
          </w:tcPr>
          <w:p w14:paraId="3157E116" w14:textId="32AE71A1" w:rsidR="002E5EA2" w:rsidRPr="00CA4059" w:rsidRDefault="002E5EA2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color w:val="000000"/>
                <w:lang w:val="ro-RO" w:eastAsia="ro-RO"/>
              </w:rPr>
              <w:t>40</w:t>
            </w:r>
            <w:r w:rsidR="00840545">
              <w:rPr>
                <w:rFonts w:ascii="Times New Roman" w:hAnsi="Times New Roman"/>
                <w:color w:val="000000"/>
                <w:lang w:val="ro-RO" w:eastAsia="ro-RO"/>
              </w:rPr>
              <w:t xml:space="preserve"> </w:t>
            </w:r>
            <w:r w:rsidRPr="00CA4059">
              <w:rPr>
                <w:rFonts w:ascii="Times New Roman" w:hAnsi="Times New Roman"/>
                <w:color w:val="000000"/>
                <w:lang w:val="ro-RO" w:eastAsia="ro-RO"/>
              </w:rPr>
              <w:t>mg</w:t>
            </w:r>
            <w:r w:rsidRPr="00CA4059">
              <w:rPr>
                <w:rFonts w:ascii="Times New Roman" w:hAnsi="Times New Roman"/>
                <w:color w:val="000000"/>
                <w:lang w:val="ro-RO"/>
              </w:rPr>
              <w:t xml:space="preserve"> SD</w:t>
            </w:r>
          </w:p>
        </w:tc>
        <w:tc>
          <w:tcPr>
            <w:tcW w:w="1612" w:type="dxa"/>
          </w:tcPr>
          <w:p w14:paraId="1362C3E4" w14:textId="694A0AC6" w:rsidR="002E5EA2" w:rsidRPr="00CA4059" w:rsidRDefault="00A47880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o-RO" w:eastAsia="ro-RO"/>
              </w:rPr>
              <w:t>2,</w:t>
            </w:r>
            <w:r w:rsidR="002E5EA2" w:rsidRPr="00CA4059">
              <w:rPr>
                <w:rFonts w:ascii="Times New Roman" w:hAnsi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3141" w:type="dxa"/>
          </w:tcPr>
          <w:p w14:paraId="4F01AC76" w14:textId="14B058CD" w:rsidR="002E5EA2" w:rsidRPr="00CA4059" w:rsidRDefault="002E5EA2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Odporúča sa nižšia začiatočná dávka a klinické monitorovanie týchto pacientov. Pri súbežnom podávaní s liekmi obsahujúcimi boceprevir dávka atorvastatínu nemá prekročiť dennú dávku 20 mg.</w:t>
            </w:r>
          </w:p>
        </w:tc>
      </w:tr>
    </w:tbl>
    <w:p w14:paraId="67CD69F3" w14:textId="016421C3" w:rsidR="006F658F" w:rsidRPr="00CA4059" w:rsidRDefault="006F658F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vertAlign w:val="superscript"/>
        </w:rPr>
        <w:t>&amp;</w:t>
      </w:r>
      <w:r w:rsidRPr="00CA4059">
        <w:rPr>
          <w:rFonts w:ascii="Times New Roman" w:hAnsi="Times New Roman"/>
        </w:rPr>
        <w:t>Predstavuje pomer liečby (súbežne podávané liečivo plus atorvastatín v porovnaní so samotným atorvastatínom).</w:t>
      </w:r>
    </w:p>
    <w:p w14:paraId="4F6A558E" w14:textId="56ABBF2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#Klinick</w:t>
      </w:r>
      <w:r w:rsidR="006F119F">
        <w:rPr>
          <w:rFonts w:ascii="Times New Roman" w:hAnsi="Times New Roman"/>
        </w:rPr>
        <w:t>ý</w:t>
      </w:r>
      <w:r w:rsidRPr="00CA4059">
        <w:rPr>
          <w:rFonts w:ascii="Times New Roman" w:hAnsi="Times New Roman"/>
        </w:rPr>
        <w:t xml:space="preserve"> význam pozri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častiach 4.4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4.5.</w:t>
      </w:r>
    </w:p>
    <w:p w14:paraId="3D60FB4F" w14:textId="6F3BDDE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*Obsahuje jednu alebo viac zložiek, ktoré inhibujú CYP3A4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môžu zvýšiť plazmatické koncentrácie liekov metabolizovaných pomocou CYP3A4. Požitie jedného 240 ml pohára grapefruitovej šťavy malo za následok tiež pokles AUC aktívneho ortohydroxymetabolitu o 20,4 %. Veľké množstvá grapefruitovej šťavy (nad 1,2 l denne počas 5 dní) zvýšili AUC atorvastatínu 2,5-násobne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AUC aktívnych zložiek (atorvastatínu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metabolitov).</w:t>
      </w:r>
    </w:p>
    <w:p w14:paraId="357CAC78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OD (once daily) = jedenkrát denne; SD (single dose) = jednorazová dávka; BID (bis in die) = dvakrát denne; </w:t>
      </w:r>
      <w:r w:rsidR="006F658F" w:rsidRPr="00CA4059">
        <w:rPr>
          <w:rFonts w:ascii="Times New Roman" w:hAnsi="Times New Roman"/>
        </w:rPr>
        <w:t xml:space="preserve">TID (three times daily) = trikrát denne, </w:t>
      </w:r>
      <w:r w:rsidRPr="00CA4059">
        <w:rPr>
          <w:rFonts w:ascii="Times New Roman" w:hAnsi="Times New Roman"/>
        </w:rPr>
        <w:t>QID (quater in die) = štyrikrát denne</w:t>
      </w:r>
    </w:p>
    <w:p w14:paraId="0AF138A3" w14:textId="43EF38B6" w:rsidR="006F658F" w:rsidRDefault="00985277" w:rsidP="00CA40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6F658F" w:rsidRPr="00CA4059">
        <w:rPr>
          <w:rFonts w:ascii="Times New Roman" w:hAnsi="Times New Roman"/>
        </w:rPr>
        <w:t>Pomer založe</w:t>
      </w:r>
      <w:r w:rsidR="004667DA">
        <w:rPr>
          <w:rFonts w:ascii="Times New Roman" w:hAnsi="Times New Roman"/>
        </w:rPr>
        <w:t xml:space="preserve">ný na jednej vzorke odobratej 8 – </w:t>
      </w:r>
      <w:r w:rsidR="006F658F" w:rsidRPr="00CA4059">
        <w:rPr>
          <w:rFonts w:ascii="Times New Roman" w:hAnsi="Times New Roman"/>
        </w:rPr>
        <w:t>16 hodín po dávke.</w:t>
      </w:r>
    </w:p>
    <w:p w14:paraId="0259A607" w14:textId="77777777" w:rsidR="001D41AB" w:rsidRPr="00CA4059" w:rsidRDefault="001D41AB" w:rsidP="00CA4059">
      <w:pPr>
        <w:spacing w:after="0" w:line="240" w:lineRule="auto"/>
        <w:rPr>
          <w:rFonts w:ascii="Times New Roman" w:hAnsi="Times New Roman"/>
        </w:rPr>
      </w:pPr>
    </w:p>
    <w:p w14:paraId="63166BCD" w14:textId="4638F9E0" w:rsidR="0093440D" w:rsidRPr="00CA4059" w:rsidRDefault="0093440D" w:rsidP="00CA4059">
      <w:pPr>
        <w:spacing w:after="0" w:line="240" w:lineRule="auto"/>
        <w:rPr>
          <w:rFonts w:ascii="Times New Roman" w:hAnsi="Times New Roman"/>
          <w:u w:val="single"/>
        </w:rPr>
      </w:pPr>
      <w:r w:rsidRPr="00CA4059">
        <w:rPr>
          <w:rFonts w:ascii="Times New Roman" w:hAnsi="Times New Roman"/>
          <w:u w:val="single"/>
        </w:rPr>
        <w:t>Tabuľka 2: Vplyv atorvastatínu na farmakokinetiku sú</w:t>
      </w:r>
      <w:r w:rsidR="003A18C2">
        <w:rPr>
          <w:rFonts w:ascii="Times New Roman" w:hAnsi="Times New Roman"/>
          <w:u w:val="single"/>
        </w:rPr>
        <w:t>bež</w:t>
      </w:r>
      <w:r w:rsidRPr="00CA4059">
        <w:rPr>
          <w:rFonts w:ascii="Times New Roman" w:hAnsi="Times New Roman"/>
          <w:u w:val="single"/>
        </w:rPr>
        <w:t>ne podávaných liekov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106"/>
        <w:gridCol w:w="1979"/>
        <w:gridCol w:w="2879"/>
      </w:tblGrid>
      <w:tr w:rsidR="00256BD3" w:rsidRPr="0067219E" w14:paraId="6284FC41" w14:textId="77777777" w:rsidTr="00F23067">
        <w:tc>
          <w:tcPr>
            <w:tcW w:w="2322" w:type="dxa"/>
            <w:vMerge w:val="restart"/>
          </w:tcPr>
          <w:p w14:paraId="6E328637" w14:textId="55FD4B54" w:rsidR="00256BD3" w:rsidRPr="00CA4059" w:rsidRDefault="00256BD3" w:rsidP="00F36C6A">
            <w:pPr>
              <w:pStyle w:val="Nadpisuvnittabulky"/>
            </w:pPr>
            <w:r w:rsidRPr="00CA4059">
              <w:t>Atorvastatín</w:t>
            </w:r>
            <w:r w:rsidR="00800FD5" w:rsidRPr="00CA4059">
              <w:t xml:space="preserve"> a</w:t>
            </w:r>
            <w:r w:rsidR="006F658F" w:rsidRPr="00CA4059">
              <w:t xml:space="preserve"> </w:t>
            </w:r>
            <w:r w:rsidRPr="00CA4059">
              <w:t>dávkovacia schéma</w:t>
            </w:r>
          </w:p>
        </w:tc>
        <w:tc>
          <w:tcPr>
            <w:tcW w:w="6966" w:type="dxa"/>
            <w:gridSpan w:val="3"/>
          </w:tcPr>
          <w:p w14:paraId="2353D7A8" w14:textId="713FAE74" w:rsidR="00256BD3" w:rsidRPr="00CA4059" w:rsidRDefault="00256BD3" w:rsidP="00F36C6A">
            <w:pPr>
              <w:pStyle w:val="Nadpisuvnittabulky"/>
            </w:pPr>
            <w:r w:rsidRPr="00CA4059">
              <w:t>Sú</w:t>
            </w:r>
            <w:r w:rsidR="003A18C2">
              <w:t>bež</w:t>
            </w:r>
            <w:r w:rsidRPr="00CA4059">
              <w:t>ne podávaný liek</w:t>
            </w:r>
          </w:p>
        </w:tc>
      </w:tr>
      <w:tr w:rsidR="00256BD3" w:rsidRPr="0067219E" w14:paraId="0386E16D" w14:textId="77777777" w:rsidTr="00F23067">
        <w:tc>
          <w:tcPr>
            <w:tcW w:w="2322" w:type="dxa"/>
            <w:vMerge/>
          </w:tcPr>
          <w:p w14:paraId="22CE3A9B" w14:textId="77777777" w:rsidR="00256BD3" w:rsidRPr="00CA4059" w:rsidRDefault="00256BD3" w:rsidP="00F36C6A">
            <w:pPr>
              <w:pStyle w:val="Nadpisuvnittabulky"/>
            </w:pPr>
          </w:p>
        </w:tc>
        <w:tc>
          <w:tcPr>
            <w:tcW w:w="2106" w:type="dxa"/>
          </w:tcPr>
          <w:p w14:paraId="5CAB22D9" w14:textId="77777777" w:rsidR="00256BD3" w:rsidRPr="00CA4059" w:rsidRDefault="00256BD3" w:rsidP="00F36C6A">
            <w:pPr>
              <w:pStyle w:val="Nadpisuvnittabulky"/>
            </w:pPr>
            <w:r w:rsidRPr="00CA4059">
              <w:t>Liek/Dávka (mg)</w:t>
            </w:r>
          </w:p>
        </w:tc>
        <w:tc>
          <w:tcPr>
            <w:tcW w:w="1980" w:type="dxa"/>
          </w:tcPr>
          <w:p w14:paraId="2C64D72B" w14:textId="35E373C9" w:rsidR="00256BD3" w:rsidRPr="00CA4059" w:rsidRDefault="006F658F" w:rsidP="00F36C6A">
            <w:pPr>
              <w:pStyle w:val="Nadpisuvnittabulky"/>
            </w:pPr>
            <w:r w:rsidRPr="00CA4059">
              <w:t>Pomer</w:t>
            </w:r>
            <w:r w:rsidR="008D71F1">
              <w:t xml:space="preserve"> </w:t>
            </w:r>
            <w:r w:rsidR="00256BD3" w:rsidRPr="00CA4059">
              <w:t>AUC&amp;</w:t>
            </w:r>
          </w:p>
        </w:tc>
        <w:tc>
          <w:tcPr>
            <w:tcW w:w="2880" w:type="dxa"/>
          </w:tcPr>
          <w:p w14:paraId="339F5B86" w14:textId="77777777" w:rsidR="00256BD3" w:rsidRPr="00CA4059" w:rsidRDefault="00256BD3" w:rsidP="00F36C6A">
            <w:pPr>
              <w:pStyle w:val="Nadpisuvnittabulky"/>
            </w:pPr>
            <w:r w:rsidRPr="00CA4059">
              <w:t>Klinické odporúčanie</w:t>
            </w:r>
          </w:p>
        </w:tc>
      </w:tr>
      <w:tr w:rsidR="00256BD3" w:rsidRPr="0067219E" w14:paraId="4B1F3317" w14:textId="77777777" w:rsidTr="00F23067">
        <w:tc>
          <w:tcPr>
            <w:tcW w:w="2322" w:type="dxa"/>
          </w:tcPr>
          <w:p w14:paraId="6882B97C" w14:textId="71DDBDAF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10 dn</w:t>
            </w:r>
            <w:r w:rsidR="00C3227F">
              <w:rPr>
                <w:rFonts w:ascii="Times New Roman" w:hAnsi="Times New Roman"/>
              </w:rPr>
              <w:t>í</w:t>
            </w:r>
          </w:p>
        </w:tc>
        <w:tc>
          <w:tcPr>
            <w:tcW w:w="2106" w:type="dxa"/>
          </w:tcPr>
          <w:p w14:paraId="7A12AE4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digoxín 0,25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OD, 20 dní</w:t>
            </w:r>
          </w:p>
        </w:tc>
        <w:tc>
          <w:tcPr>
            <w:tcW w:w="1980" w:type="dxa"/>
          </w:tcPr>
          <w:p w14:paraId="39B59B29" w14:textId="6017A4E3" w:rsidR="00256BD3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15</w:t>
            </w:r>
            <w:r w:rsidRPr="00CA40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0" w:type="dxa"/>
          </w:tcPr>
          <w:p w14:paraId="070E4FFC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Pacienti užívajúci digoxín majú byť náležite monitorovaní.</w:t>
            </w:r>
          </w:p>
        </w:tc>
      </w:tr>
      <w:tr w:rsidR="00256BD3" w:rsidRPr="00A76F86" w14:paraId="046F5489" w14:textId="77777777" w:rsidTr="00F23067">
        <w:tc>
          <w:tcPr>
            <w:tcW w:w="2322" w:type="dxa"/>
          </w:tcPr>
          <w:p w14:paraId="06F7CA35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22 dní</w:t>
            </w:r>
          </w:p>
        </w:tc>
        <w:tc>
          <w:tcPr>
            <w:tcW w:w="2106" w:type="dxa"/>
          </w:tcPr>
          <w:p w14:paraId="6B15065A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perorálne kontraceptívum OD, 2 mesiace</w:t>
            </w:r>
          </w:p>
          <w:p w14:paraId="20A1A641" w14:textId="061D7980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 xml:space="preserve">- </w:t>
            </w:r>
            <w:r w:rsidR="00A47880" w:rsidRPr="00A47880">
              <w:rPr>
                <w:rFonts w:ascii="Times New Roman" w:hAnsi="Times New Roman"/>
              </w:rPr>
              <w:t xml:space="preserve">noretindrón </w:t>
            </w:r>
            <w:r w:rsidRPr="00CA4059">
              <w:rPr>
                <w:rFonts w:ascii="Times New Roman" w:hAnsi="Times New Roman"/>
              </w:rPr>
              <w:t>1</w:t>
            </w:r>
            <w:r w:rsidR="00800FD5" w:rsidRPr="00CA4059">
              <w:rPr>
                <w:rFonts w:ascii="Times New Roman" w:hAnsi="Times New Roman"/>
              </w:rPr>
              <w:t> mg</w:t>
            </w:r>
          </w:p>
          <w:p w14:paraId="7473D351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 xml:space="preserve">- etinylestradiol </w:t>
            </w:r>
            <w:r w:rsidRPr="00CA4059">
              <w:rPr>
                <w:rFonts w:ascii="Times New Roman" w:hAnsi="Times New Roman"/>
              </w:rPr>
              <w:lastRenderedPageBreak/>
              <w:t>35 µg</w:t>
            </w:r>
          </w:p>
        </w:tc>
        <w:tc>
          <w:tcPr>
            <w:tcW w:w="1980" w:type="dxa"/>
          </w:tcPr>
          <w:p w14:paraId="1A7EC41D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363F6A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B85CD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B8B71A" w14:textId="10F57A98" w:rsidR="00256BD3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28 </w:t>
            </w:r>
          </w:p>
          <w:p w14:paraId="41555209" w14:textId="63E0A0B0" w:rsidR="00256BD3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</w:t>
            </w:r>
            <w:r w:rsidR="00256BD3" w:rsidRPr="00CA4059">
              <w:rPr>
                <w:rFonts w:ascii="Times New Roman" w:hAnsi="Times New Roman"/>
              </w:rPr>
              <w:t>19 </w:t>
            </w:r>
          </w:p>
        </w:tc>
        <w:tc>
          <w:tcPr>
            <w:tcW w:w="2880" w:type="dxa"/>
          </w:tcPr>
          <w:p w14:paraId="01390B33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256BD3" w:rsidRPr="00A76F86" w14:paraId="3F56F039" w14:textId="77777777" w:rsidTr="00F23067">
        <w:tc>
          <w:tcPr>
            <w:tcW w:w="2322" w:type="dxa"/>
          </w:tcPr>
          <w:p w14:paraId="3E0AB74E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 xml:space="preserve"> OD počas 15 dní</w:t>
            </w:r>
          </w:p>
        </w:tc>
        <w:tc>
          <w:tcPr>
            <w:tcW w:w="2106" w:type="dxa"/>
          </w:tcPr>
          <w:p w14:paraId="3C26FEC4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* fenazón, 600</w:t>
            </w:r>
            <w:r w:rsidR="00800FD5" w:rsidRPr="00CA4059">
              <w:rPr>
                <w:rFonts w:ascii="Times New Roman" w:hAnsi="Times New Roman"/>
              </w:rPr>
              <w:t> mg</w:t>
            </w:r>
            <w:r w:rsidRPr="00CA4059">
              <w:rPr>
                <w:rFonts w:ascii="Times New Roman" w:hAnsi="Times New Roman"/>
              </w:rPr>
              <w:t>, SD</w:t>
            </w:r>
          </w:p>
        </w:tc>
        <w:tc>
          <w:tcPr>
            <w:tcW w:w="1980" w:type="dxa"/>
          </w:tcPr>
          <w:p w14:paraId="3F086E1C" w14:textId="1AA42267" w:rsidR="00256BD3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1,0</w:t>
            </w:r>
            <w:r w:rsidR="00256BD3" w:rsidRPr="00CA4059">
              <w:rPr>
                <w:rFonts w:ascii="Times New Roman" w:hAnsi="Times New Roman"/>
              </w:rPr>
              <w:t>3 </w:t>
            </w:r>
          </w:p>
        </w:tc>
        <w:tc>
          <w:tcPr>
            <w:tcW w:w="2880" w:type="dxa"/>
          </w:tcPr>
          <w:p w14:paraId="4174F7E5" w14:textId="77777777" w:rsidR="00256BD3" w:rsidRPr="00CA4059" w:rsidRDefault="00256BD3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6F658F" w:rsidRPr="00A76F86" w14:paraId="298055B0" w14:textId="77777777" w:rsidTr="00F23067">
        <w:tc>
          <w:tcPr>
            <w:tcW w:w="2322" w:type="dxa"/>
          </w:tcPr>
          <w:p w14:paraId="054A80FE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10 mg, SD</w:t>
            </w:r>
          </w:p>
        </w:tc>
        <w:tc>
          <w:tcPr>
            <w:tcW w:w="2106" w:type="dxa"/>
          </w:tcPr>
          <w:p w14:paraId="1643524A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tipranavir 500 mg BID/ritonavir 200 mg BID, 7 dní</w:t>
            </w:r>
          </w:p>
        </w:tc>
        <w:tc>
          <w:tcPr>
            <w:tcW w:w="1980" w:type="dxa"/>
          </w:tcPr>
          <w:p w14:paraId="2FB89555" w14:textId="78B01CDC" w:rsidR="006F658F" w:rsidRPr="00CA4059" w:rsidRDefault="00A47880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 w:eastAsia="ro-RO"/>
              </w:rPr>
              <w:t>1,</w:t>
            </w:r>
            <w:r w:rsidR="006F658F" w:rsidRPr="00CA4059">
              <w:rPr>
                <w:rFonts w:ascii="Times New Roman" w:hAnsi="Times New Roman"/>
                <w:lang w:val="ro-RO" w:eastAsia="ro-RO"/>
              </w:rPr>
              <w:t>08</w:t>
            </w:r>
          </w:p>
        </w:tc>
        <w:tc>
          <w:tcPr>
            <w:tcW w:w="2880" w:type="dxa"/>
          </w:tcPr>
          <w:p w14:paraId="5745BD69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6F658F" w:rsidRPr="00A76F86" w14:paraId="73A8851A" w14:textId="77777777" w:rsidTr="00F23067">
        <w:tc>
          <w:tcPr>
            <w:tcW w:w="2322" w:type="dxa"/>
          </w:tcPr>
          <w:p w14:paraId="3B641409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10 mg, OD počas 4 dní</w:t>
            </w:r>
          </w:p>
        </w:tc>
        <w:tc>
          <w:tcPr>
            <w:tcW w:w="2106" w:type="dxa"/>
          </w:tcPr>
          <w:p w14:paraId="0961619C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fosamprenavir 1400 mg BID, 14 dní</w:t>
            </w:r>
          </w:p>
        </w:tc>
        <w:tc>
          <w:tcPr>
            <w:tcW w:w="1980" w:type="dxa"/>
          </w:tcPr>
          <w:p w14:paraId="77EA43F5" w14:textId="74A9DDDB" w:rsidR="006F658F" w:rsidRPr="00CA4059" w:rsidRDefault="00A47880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 w:eastAsia="ro-RO"/>
              </w:rPr>
              <w:t>0,</w:t>
            </w:r>
            <w:r w:rsidR="006F658F" w:rsidRPr="00CA4059">
              <w:rPr>
                <w:rFonts w:ascii="Times New Roman" w:hAnsi="Times New Roman"/>
                <w:lang w:val="ro-RO" w:eastAsia="ro-RO"/>
              </w:rPr>
              <w:t>73</w:t>
            </w:r>
          </w:p>
        </w:tc>
        <w:tc>
          <w:tcPr>
            <w:tcW w:w="2880" w:type="dxa"/>
          </w:tcPr>
          <w:p w14:paraId="713E073C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  <w:tr w:rsidR="006F658F" w:rsidRPr="00A76F86" w14:paraId="28265A85" w14:textId="77777777" w:rsidTr="00F23067">
        <w:tc>
          <w:tcPr>
            <w:tcW w:w="2322" w:type="dxa"/>
          </w:tcPr>
          <w:p w14:paraId="23071D79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10 mg, OD počas 4 dní</w:t>
            </w:r>
          </w:p>
        </w:tc>
        <w:tc>
          <w:tcPr>
            <w:tcW w:w="2106" w:type="dxa"/>
          </w:tcPr>
          <w:p w14:paraId="63027B81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  <w:lang w:val="ro-RO" w:eastAsia="ro-RO"/>
              </w:rPr>
              <w:t>fosamprenavir 700 mg BID/ritonavir 100 mg BID, 14 dní</w:t>
            </w:r>
          </w:p>
        </w:tc>
        <w:tc>
          <w:tcPr>
            <w:tcW w:w="1980" w:type="dxa"/>
          </w:tcPr>
          <w:p w14:paraId="7148E7D1" w14:textId="2D119484" w:rsidR="006F658F" w:rsidRPr="00CA4059" w:rsidRDefault="00A47880" w:rsidP="00CA40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 w:eastAsia="ro-RO"/>
              </w:rPr>
              <w:t>0,</w:t>
            </w:r>
            <w:r w:rsidR="006F658F" w:rsidRPr="00CA4059">
              <w:rPr>
                <w:rFonts w:ascii="Times New Roman" w:hAnsi="Times New Roman"/>
                <w:lang w:val="ro-RO" w:eastAsia="ro-RO"/>
              </w:rPr>
              <w:t>99</w:t>
            </w:r>
          </w:p>
        </w:tc>
        <w:tc>
          <w:tcPr>
            <w:tcW w:w="2880" w:type="dxa"/>
          </w:tcPr>
          <w:p w14:paraId="14F2229B" w14:textId="77777777" w:rsidR="006F658F" w:rsidRPr="00CA4059" w:rsidRDefault="006F658F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Žiadne osobitné odporúčania.</w:t>
            </w:r>
          </w:p>
        </w:tc>
      </w:tr>
    </w:tbl>
    <w:p w14:paraId="4B9CB75B" w14:textId="77777777" w:rsidR="006F658F" w:rsidRPr="00CA4059" w:rsidRDefault="006F658F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vertAlign w:val="superscript"/>
        </w:rPr>
        <w:t>&amp;</w:t>
      </w:r>
      <w:r w:rsidRPr="00CA4059">
        <w:rPr>
          <w:rFonts w:ascii="Times New Roman" w:hAnsi="Times New Roman"/>
        </w:rPr>
        <w:t>Predstavuje pomer liečby (súbežne podávané liečivo plus atorvastatín v porovnaní so samotným atorvastatínom).</w:t>
      </w:r>
    </w:p>
    <w:p w14:paraId="5632FD37" w14:textId="160B791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*Sú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né podávanie opakovaných dávok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fenazónu malo len malý alebo nedetekovateľný účinok na klírens fenazónu.</w:t>
      </w:r>
    </w:p>
    <w:p w14:paraId="2CFF5CB3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OD (once daily) = jedenkrát denne; SD (single dose) = jednorazová dávka</w:t>
      </w:r>
      <w:r w:rsidR="006F658F" w:rsidRPr="00CA4059">
        <w:rPr>
          <w:rFonts w:ascii="Times New Roman" w:hAnsi="Times New Roman"/>
        </w:rPr>
        <w:t>, BID (bis in die) = dvakrát denne</w:t>
      </w:r>
    </w:p>
    <w:p w14:paraId="01593894" w14:textId="77777777" w:rsidR="008D71F1" w:rsidRPr="00CA4059" w:rsidRDefault="008D71F1" w:rsidP="00CA4059">
      <w:pPr>
        <w:spacing w:after="0" w:line="240" w:lineRule="auto"/>
        <w:rPr>
          <w:rFonts w:ascii="Times New Roman" w:hAnsi="Times New Roman"/>
        </w:rPr>
      </w:pPr>
    </w:p>
    <w:p w14:paraId="5B94017D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Pediatrická populácia</w:t>
      </w:r>
    </w:p>
    <w:p w14:paraId="5809F6AB" w14:textId="7F3A521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Štúdie na liekové interakcie boli uskutočnené len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dospelých. Rozsah vzájomného pôsobenia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detskej populácii nie je známy. Vyššie uvedené interakcie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dospelých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varovania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bode 4.4 by mali byť zohľadnené aj pre detskú populáciu.</w:t>
      </w:r>
    </w:p>
    <w:p w14:paraId="1148EB4B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357768AD" w14:textId="7B6D08F5" w:rsidR="0093440D" w:rsidRPr="0067219E" w:rsidRDefault="0093440D" w:rsidP="007760AD">
      <w:pPr>
        <w:pStyle w:val="Styl2"/>
      </w:pPr>
      <w:r w:rsidRPr="0067219E">
        <w:t>Fertilita, gravidita</w:t>
      </w:r>
      <w:r w:rsidR="00800FD5" w:rsidRPr="0067219E">
        <w:t xml:space="preserve"> a </w:t>
      </w:r>
      <w:r w:rsidRPr="0067219E">
        <w:t>laktácia</w:t>
      </w:r>
    </w:p>
    <w:p w14:paraId="40F772D0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6FFC77B7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Ženy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reprodukčnom veku</w:t>
      </w:r>
    </w:p>
    <w:p w14:paraId="4389A5BC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Ženy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reprodukčnom veku majú počas liečby používať vhodné antikoncepčné metódy (pozri časť 4.3).</w:t>
      </w:r>
    </w:p>
    <w:p w14:paraId="12A7F9B0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512286FD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Gravidita</w:t>
      </w:r>
    </w:p>
    <w:p w14:paraId="34A17EA3" w14:textId="20E129D0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je kontraindikovaný počas gravidity (pozri časť 4.3). Bezpečnosť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gravidných žien nebola potvrdená.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gravidných žien sa neuskutočnili žiadne kontrolné klinické skúšania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atorvastatínom. Boli prijaté zriedkavé hlásenia kongenitálnych anomálií po vnútromaternicovej expozícii inhibítorom HMG-CoA</w:t>
      </w:r>
      <w:r w:rsidR="00825D23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 xml:space="preserve">reduktázy. Štúdie na zvieratách preukázali </w:t>
      </w:r>
      <w:r w:rsidR="001C2438" w:rsidRPr="00CE089F">
        <w:rPr>
          <w:rFonts w:ascii="Times New Roman" w:hAnsi="Times New Roman"/>
          <w:bCs/>
        </w:rPr>
        <w:t>reproduk</w:t>
      </w:r>
      <w:r w:rsidR="001C2438">
        <w:rPr>
          <w:rFonts w:ascii="Times New Roman" w:hAnsi="Times New Roman"/>
          <w:bCs/>
        </w:rPr>
        <w:t>čnú</w:t>
      </w:r>
      <w:r w:rsidR="001C2438" w:rsidRPr="00B5570A">
        <w:rPr>
          <w:rFonts w:ascii="Times New Roman" w:hAnsi="Times New Roman"/>
          <w:bCs/>
        </w:rPr>
        <w:t xml:space="preserve"> toxicitu </w:t>
      </w:r>
      <w:r w:rsidRPr="00CA4059">
        <w:rPr>
          <w:rFonts w:ascii="Times New Roman" w:hAnsi="Times New Roman"/>
        </w:rPr>
        <w:t>(pozri časť 5.3).</w:t>
      </w:r>
    </w:p>
    <w:p w14:paraId="32840E2E" w14:textId="1A9D096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Liečba matky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 môže znížiť fetálne hladiny mevalonátu, ktorý je prekurzorom biosyntézy cholesterolu. Ateroskleróza je chronický proces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spravidla prerušenie liečby liekmi znižujúcimi lipidy počas gravidity by malo mať iba malý vplyv na dlhodobé riziko spojené</w:t>
      </w:r>
      <w:r w:rsidR="00800FD5" w:rsidRPr="00CA4059">
        <w:rPr>
          <w:rFonts w:ascii="Times New Roman" w:hAnsi="Times New Roman"/>
        </w:rPr>
        <w:t xml:space="preserve"> s</w:t>
      </w:r>
      <w:r w:rsidR="001E0A99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primárnou hypercholesterolémiou.</w:t>
      </w:r>
    </w:p>
    <w:p w14:paraId="0F20C1D2" w14:textId="12C8005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 týchto dôvodov sa AMICOR nesmie používať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 xml:space="preserve">žien, ktoré sú gravidné, pokúšajú sa otehotnieť alebo majú podozrenie, že sú gravidné. Liečba </w:t>
      </w:r>
      <w:r w:rsidR="00860A30">
        <w:rPr>
          <w:rFonts w:ascii="Times New Roman" w:hAnsi="Times New Roman"/>
        </w:rPr>
        <w:t xml:space="preserve">liekom </w:t>
      </w:r>
      <w:r w:rsidRPr="00CA4059">
        <w:rPr>
          <w:rFonts w:ascii="Times New Roman" w:hAnsi="Times New Roman"/>
        </w:rPr>
        <w:t>AMICOR sa musí prerušiť počas gravidity alebo pokiaľ sa nepotvrdí, že žena nie je gravidná (pozri časť 4.3).</w:t>
      </w:r>
    </w:p>
    <w:p w14:paraId="76B85739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18F71FEB" w14:textId="1DC2DFCE" w:rsidR="0093440D" w:rsidRPr="00CA4059" w:rsidRDefault="00157872" w:rsidP="00CA4059">
      <w:pPr>
        <w:pStyle w:val="Styl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Dojčenie</w:t>
      </w:r>
    </w:p>
    <w:p w14:paraId="5B9037BC" w14:textId="179CE7B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Nie je známe, či sa atorvastatín alebo jeho metabolity vylučujú do ľudského mlieka. Plazmatické koncentrácie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potkanov sú podobné ako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mlieku (pozri časť 5.3). Vzhľadom na možný výskyt závažných nežiaducich reakcií nesmú ženy užívajúce AMICOR dojčiť svoje deti (pozri časť 4.3). Atorvastatín je kontraindikovaný počas </w:t>
      </w:r>
      <w:r w:rsidR="00157872">
        <w:rPr>
          <w:rFonts w:ascii="Times New Roman" w:hAnsi="Times New Roman"/>
        </w:rPr>
        <w:t>dojčenia</w:t>
      </w:r>
      <w:r w:rsidR="00157872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(pozri časť 4.3).</w:t>
      </w:r>
    </w:p>
    <w:p w14:paraId="46B71E6F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7A175AD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Fertilita</w:t>
      </w:r>
    </w:p>
    <w:p w14:paraId="6D04039A" w14:textId="79734F8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štúdiách na zvieratách nemal atorvastatín žiaden účinok na samčiu alebo samičiu fertilitu (pozri časť 5.3).</w:t>
      </w:r>
    </w:p>
    <w:p w14:paraId="4E0B1891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1ABA42A0" w14:textId="57BF7A6F" w:rsidR="0093440D" w:rsidRPr="0067219E" w:rsidRDefault="0093440D" w:rsidP="007760AD">
      <w:pPr>
        <w:pStyle w:val="Styl2"/>
      </w:pPr>
      <w:r w:rsidRPr="0067219E">
        <w:t>Ovplyvnenie schopnosti viesť vozidlá</w:t>
      </w:r>
      <w:r w:rsidR="00800FD5" w:rsidRPr="0067219E">
        <w:t xml:space="preserve"> a </w:t>
      </w:r>
      <w:r w:rsidRPr="0067219E">
        <w:t>obsluhovať stroje</w:t>
      </w:r>
    </w:p>
    <w:p w14:paraId="769AC6B1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2AC57AF3" w14:textId="67C8E6B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má zanedbateľný vplyv na schopnosť viesť vozidlá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obsluhovať stroje.</w:t>
      </w:r>
    </w:p>
    <w:p w14:paraId="750A7F7C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2EC9B5A1" w14:textId="77777777" w:rsidR="0093440D" w:rsidRPr="0067219E" w:rsidRDefault="0093440D" w:rsidP="007760AD">
      <w:pPr>
        <w:pStyle w:val="Styl2"/>
      </w:pPr>
      <w:r w:rsidRPr="0067219E">
        <w:lastRenderedPageBreak/>
        <w:t>Nežiaduce účinky</w:t>
      </w:r>
    </w:p>
    <w:p w14:paraId="0B49A574" w14:textId="77777777" w:rsidR="00350C7C" w:rsidRPr="00CA4059" w:rsidRDefault="00350C7C" w:rsidP="00CA4059">
      <w:pPr>
        <w:spacing w:after="0" w:line="240" w:lineRule="auto"/>
        <w:rPr>
          <w:rFonts w:ascii="Times New Roman" w:hAnsi="Times New Roman"/>
        </w:rPr>
      </w:pPr>
    </w:p>
    <w:p w14:paraId="235CFCF4" w14:textId="0FABEF2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databáze placebom kontrolovaných klinických skúšaní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 zo 16 066 pacientov (8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755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 xml:space="preserve">užívajúcich </w:t>
      </w:r>
      <w:r w:rsidR="001E0A99" w:rsidRPr="00CA4059">
        <w:rPr>
          <w:rFonts w:ascii="Times New Roman" w:hAnsi="Times New Roman"/>
        </w:rPr>
        <w:t xml:space="preserve">atorvastatín </w:t>
      </w:r>
      <w:r w:rsidRPr="00CA4059">
        <w:rPr>
          <w:rFonts w:ascii="Times New Roman" w:hAnsi="Times New Roman"/>
        </w:rPr>
        <w:t>o</w:t>
      </w:r>
      <w:r w:rsidR="007D4B0D">
        <w:rPr>
          <w:rFonts w:ascii="Times New Roman" w:hAnsi="Times New Roman"/>
        </w:rPr>
        <w:t>proti</w:t>
      </w:r>
      <w:r w:rsidRPr="00CA4059">
        <w:rPr>
          <w:rFonts w:ascii="Times New Roman" w:hAnsi="Times New Roman"/>
        </w:rPr>
        <w:t xml:space="preserve"> 7 311 užívajúcich placebo) liečených počas priemerného obdobia 53 týždňov prerušilo liečbu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dôsledku nežiaducich reakcií 5,2 % pacientov na atorvastatíne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 so 4,0 % pacientov na placebe.</w:t>
      </w:r>
    </w:p>
    <w:p w14:paraId="4160DDC1" w14:textId="5201A83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Nasledujúca tabuľka uvádza profil nežiaducich reakcií atorvastatínu podložený údajmi z klinických štúdií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bohatými skúsenosťami získanými po uvedení lieku na trh.</w:t>
      </w:r>
    </w:p>
    <w:p w14:paraId="3C280909" w14:textId="1B865A94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Zistené frekvencie výskytu nežiaducich reakcií boli zoradené podľa nasledujúcej konvencie: </w:t>
      </w:r>
      <w:r w:rsidR="009C3EA8" w:rsidRPr="00CA4059">
        <w:rPr>
          <w:rFonts w:ascii="Times New Roman" w:hAnsi="Times New Roman"/>
        </w:rPr>
        <w:t>veľmi časté (≥</w:t>
      </w:r>
      <w:r w:rsidR="007D4B0D">
        <w:rPr>
          <w:rFonts w:ascii="Times New Roman" w:hAnsi="Times New Roman"/>
        </w:rPr>
        <w:t> </w:t>
      </w:r>
      <w:r w:rsidR="009C3EA8" w:rsidRPr="00CA4059">
        <w:rPr>
          <w:rFonts w:ascii="Times New Roman" w:hAnsi="Times New Roman"/>
        </w:rPr>
        <w:t xml:space="preserve">1/10), </w:t>
      </w:r>
      <w:r w:rsidRPr="00CA4059">
        <w:rPr>
          <w:rFonts w:ascii="Times New Roman" w:hAnsi="Times New Roman"/>
        </w:rPr>
        <w:t>časté (≥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1/100 až &lt;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1/10); menej časté (≥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1/1 000 až &lt;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1/100); zriedkavé (≥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1/10 000 až &lt;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1/1 000); veľmi zriedkavé (≤</w:t>
      </w:r>
      <w:r w:rsidR="007D4B0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1/10 000)</w:t>
      </w:r>
      <w:r w:rsidR="009C3EA8" w:rsidRPr="00CA4059">
        <w:rPr>
          <w:rFonts w:ascii="Times New Roman" w:hAnsi="Times New Roman"/>
        </w:rPr>
        <w:t xml:space="preserve"> a neznáme (z dostupných údajov)</w:t>
      </w:r>
      <w:r w:rsidR="007D4B0D">
        <w:rPr>
          <w:rFonts w:ascii="Times New Roman" w:hAnsi="Times New Roman"/>
        </w:rPr>
        <w:t>.</w:t>
      </w:r>
    </w:p>
    <w:p w14:paraId="66EF6287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08A3C118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Infekcie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nákazy</w:t>
      </w:r>
    </w:p>
    <w:p w14:paraId="0D33665A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nazofaryngitída</w:t>
      </w:r>
    </w:p>
    <w:p w14:paraId="07EA39C1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3FB6574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krvi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lymfatického systému</w:t>
      </w:r>
    </w:p>
    <w:p w14:paraId="513F71DF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Zriedkavé: trombocytopénia</w:t>
      </w:r>
    </w:p>
    <w:p w14:paraId="0A005680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4A0321D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imunitného systému</w:t>
      </w:r>
    </w:p>
    <w:p w14:paraId="7536684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alergické reakcie</w:t>
      </w:r>
    </w:p>
    <w:p w14:paraId="434A916E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Veľmi zriedkavé: anafylaxia</w:t>
      </w:r>
    </w:p>
    <w:p w14:paraId="1EBA00B4" w14:textId="77777777" w:rsidR="00350C7C" w:rsidRPr="00CA4059" w:rsidRDefault="00350C7C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60B9C7C4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metabolizmu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výživy</w:t>
      </w:r>
    </w:p>
    <w:p w14:paraId="523183E4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hyperglykémia</w:t>
      </w:r>
    </w:p>
    <w:p w14:paraId="509DABED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hypoglykémia, prírastok na hmotnosti, anorexia</w:t>
      </w:r>
    </w:p>
    <w:p w14:paraId="4BD984BB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72C5C768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Psychické poruchy</w:t>
      </w:r>
    </w:p>
    <w:p w14:paraId="287FD9F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nočná mora, nespavosť</w:t>
      </w:r>
    </w:p>
    <w:p w14:paraId="4BD8C173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55823CE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nervového systému</w:t>
      </w:r>
    </w:p>
    <w:p w14:paraId="0066775B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bolesť hlavy</w:t>
      </w:r>
    </w:p>
    <w:p w14:paraId="75FD9BF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závrat, parestézia, hypoestézia, dysgeúzia, amnézia</w:t>
      </w:r>
    </w:p>
    <w:p w14:paraId="1D549478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Zriedkavé: periférna neuropatia</w:t>
      </w:r>
    </w:p>
    <w:p w14:paraId="50D083B4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6A596E80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oka</w:t>
      </w:r>
    </w:p>
    <w:p w14:paraId="03F103BD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zahmlené videnie</w:t>
      </w:r>
    </w:p>
    <w:p w14:paraId="502917F7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Zriedkavé: porucha zraku</w:t>
      </w:r>
    </w:p>
    <w:p w14:paraId="5389424F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53C1B9E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ucha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labyrintu</w:t>
      </w:r>
    </w:p>
    <w:p w14:paraId="4A05874B" w14:textId="0C4D9E4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tinitus</w:t>
      </w:r>
    </w:p>
    <w:p w14:paraId="512420D0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Veľmi zriedkavé: strata sluchu</w:t>
      </w:r>
    </w:p>
    <w:p w14:paraId="720B99DC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421A8602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dýchacej sústavy, hrudníka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mediastína</w:t>
      </w:r>
    </w:p>
    <w:p w14:paraId="0E93C29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faryngolaryngeálna bolesť, epistaxa</w:t>
      </w:r>
    </w:p>
    <w:p w14:paraId="559CAF63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770139F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gastrointestinálneho traktu</w:t>
      </w:r>
    </w:p>
    <w:p w14:paraId="051979C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zápcha, nadúvanie, dyspepsia, nauzea, hnačka</w:t>
      </w:r>
    </w:p>
    <w:p w14:paraId="3D614785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vracanie, bolesť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hornej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dolnej časti brucha, grganie, pankreatitída</w:t>
      </w:r>
    </w:p>
    <w:p w14:paraId="580181B2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4CD9755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pečene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žlčových ciest</w:t>
      </w:r>
    </w:p>
    <w:p w14:paraId="4D773EC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hepatitída</w:t>
      </w:r>
    </w:p>
    <w:p w14:paraId="72AF5C2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Zriedkavé: cholestáza</w:t>
      </w:r>
    </w:p>
    <w:p w14:paraId="4C6E856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Veľmi zriedkavé: zlyhanie pečene</w:t>
      </w:r>
    </w:p>
    <w:p w14:paraId="46FFABFC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5975C2E7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kože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podkožného tkaniva</w:t>
      </w:r>
    </w:p>
    <w:p w14:paraId="15C30863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žihľavka, kožná vyrážka, pruritus, alopécia</w:t>
      </w:r>
    </w:p>
    <w:p w14:paraId="76258A17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Zriedkavé: angioneurotický edém, bulózna dermatitída vrátane multiformného erytému, Stevensovho-Johnsonovho syndrómu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toxickej epidermálnej nekrolýzy</w:t>
      </w:r>
    </w:p>
    <w:p w14:paraId="192F832D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4EC821B3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kostrovej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svalovej sústavy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spojivového tkaniva</w:t>
      </w:r>
    </w:p>
    <w:p w14:paraId="6EC1AD63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myalgia, artralgia, bolesť končatín, svalové kŕče, opuch kĺbov, bolesť chrbta</w:t>
      </w:r>
    </w:p>
    <w:p w14:paraId="1725953F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bolesť krku, svalová únava</w:t>
      </w:r>
    </w:p>
    <w:p w14:paraId="17DB431E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Zriedkavé: myopatia, myozitída, rabdomyolýza,</w:t>
      </w:r>
      <w:r w:rsidR="001C54CE" w:rsidRPr="00CA4059">
        <w:rPr>
          <w:rFonts w:ascii="Times New Roman" w:hAnsi="Times New Roman"/>
        </w:rPr>
        <w:t xml:space="preserve"> ruptúra svalu,</w:t>
      </w:r>
      <w:r w:rsidRPr="00CA4059">
        <w:rPr>
          <w:rFonts w:ascii="Times New Roman" w:hAnsi="Times New Roman"/>
        </w:rPr>
        <w:t xml:space="preserve"> tendopatia, niekedy komplikovaná ruptúrou</w:t>
      </w:r>
    </w:p>
    <w:p w14:paraId="51AA9656" w14:textId="2F063B1D" w:rsidR="001C54CE" w:rsidRPr="00CA4059" w:rsidRDefault="001C54CE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Veľmi zriedkavé: syndróm</w:t>
      </w:r>
      <w:r w:rsidR="00EA2311" w:rsidRPr="00672681">
        <w:rPr>
          <w:rFonts w:ascii="Times New Roman" w:hAnsi="Times New Roman"/>
        </w:rPr>
        <w:t xml:space="preserve"> podobný lupusu</w:t>
      </w:r>
      <w:r w:rsidRPr="00CA4059">
        <w:rPr>
          <w:rFonts w:ascii="Times New Roman" w:hAnsi="Times New Roman"/>
        </w:rPr>
        <w:t xml:space="preserve"> </w:t>
      </w:r>
    </w:p>
    <w:p w14:paraId="1856432D" w14:textId="18BD1030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Neznáme: </w:t>
      </w:r>
      <w:r w:rsidR="006E07A1" w:rsidRPr="00133EE0">
        <w:rPr>
          <w:rFonts w:ascii="Times New Roman" w:hAnsi="Times New Roman"/>
          <w:lang w:val="pl-PL"/>
        </w:rPr>
        <w:t xml:space="preserve">nekrotizujúca myopatia sprostredkovaná imunitným systémom </w:t>
      </w:r>
      <w:r w:rsidRPr="00CA4059">
        <w:rPr>
          <w:rFonts w:ascii="Times New Roman" w:hAnsi="Times New Roman"/>
        </w:rPr>
        <w:t>(pozri časť 4.4)</w:t>
      </w:r>
    </w:p>
    <w:p w14:paraId="405BD855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1E871D8E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reprodukčného systému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prsníkov</w:t>
      </w:r>
    </w:p>
    <w:p w14:paraId="4085A0E9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Veľmi zriedkavé: gynekomastia</w:t>
      </w:r>
    </w:p>
    <w:p w14:paraId="5447D84B" w14:textId="77777777" w:rsidR="00EE6B46" w:rsidRPr="00CA4059" w:rsidRDefault="00EE6B46" w:rsidP="00CA4059">
      <w:pPr>
        <w:spacing w:after="0" w:line="240" w:lineRule="auto"/>
        <w:rPr>
          <w:rFonts w:ascii="Times New Roman" w:hAnsi="Times New Roman"/>
        </w:rPr>
      </w:pPr>
    </w:p>
    <w:p w14:paraId="617AD9B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  <w:u w:val="single"/>
        </w:rPr>
      </w:pPr>
      <w:r w:rsidRPr="00CA4059">
        <w:rPr>
          <w:rFonts w:ascii="Times New Roman" w:hAnsi="Times New Roman"/>
          <w:u w:val="single"/>
        </w:rPr>
        <w:t>Celkové poruchy</w:t>
      </w:r>
      <w:r w:rsidR="00800FD5" w:rsidRPr="00CA4059">
        <w:rPr>
          <w:rFonts w:ascii="Times New Roman" w:hAnsi="Times New Roman"/>
          <w:u w:val="single"/>
        </w:rPr>
        <w:t xml:space="preserve"> a </w:t>
      </w:r>
      <w:r w:rsidRPr="00CA4059">
        <w:rPr>
          <w:rFonts w:ascii="Times New Roman" w:hAnsi="Times New Roman"/>
          <w:u w:val="single"/>
        </w:rPr>
        <w:t>reakcie</w:t>
      </w:r>
      <w:r w:rsidR="00800FD5" w:rsidRPr="00CA4059">
        <w:rPr>
          <w:rFonts w:ascii="Times New Roman" w:hAnsi="Times New Roman"/>
          <w:u w:val="single"/>
        </w:rPr>
        <w:t xml:space="preserve"> v </w:t>
      </w:r>
      <w:r w:rsidRPr="00CA4059">
        <w:rPr>
          <w:rFonts w:ascii="Times New Roman" w:hAnsi="Times New Roman"/>
          <w:u w:val="single"/>
        </w:rPr>
        <w:t>mieste podania</w:t>
      </w:r>
    </w:p>
    <w:p w14:paraId="40FE4D58" w14:textId="2822BC7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Menej časté: celkový pocit </w:t>
      </w:r>
      <w:r w:rsidR="00EE6B46">
        <w:rPr>
          <w:rFonts w:ascii="Times New Roman" w:hAnsi="Times New Roman"/>
        </w:rPr>
        <w:t>nepohodlia</w:t>
      </w:r>
      <w:r w:rsidRPr="00CA4059">
        <w:rPr>
          <w:rFonts w:ascii="Times New Roman" w:hAnsi="Times New Roman"/>
        </w:rPr>
        <w:t>, asténia, bolesť na hrudi, periférny erytém, únava, pyrexia</w:t>
      </w:r>
    </w:p>
    <w:p w14:paraId="76E9EDFA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075B74D4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Laboratórne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funkčné vyšetrenia</w:t>
      </w:r>
    </w:p>
    <w:p w14:paraId="5A9D96CC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abnormálne hodnoty pečeňových testov, zvýšená hodnota kreatínkinázy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krvi</w:t>
      </w:r>
    </w:p>
    <w:p w14:paraId="6AAEE946" w14:textId="57A5999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Menej časté: pozitívny nález bielych krviniek</w:t>
      </w:r>
      <w:r w:rsidR="00800FD5" w:rsidRPr="00CA4059">
        <w:rPr>
          <w:rFonts w:ascii="Times New Roman" w:hAnsi="Times New Roman"/>
        </w:rPr>
        <w:t xml:space="preserve"> v</w:t>
      </w:r>
      <w:r w:rsidR="001E0A99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moči</w:t>
      </w:r>
    </w:p>
    <w:p w14:paraId="5338021D" w14:textId="77777777" w:rsidR="001E0A99" w:rsidRPr="00CA4059" w:rsidRDefault="001E0A99" w:rsidP="00CA4059">
      <w:pPr>
        <w:spacing w:after="0" w:line="240" w:lineRule="auto"/>
        <w:rPr>
          <w:rFonts w:ascii="Times New Roman" w:hAnsi="Times New Roman"/>
        </w:rPr>
      </w:pPr>
    </w:p>
    <w:p w14:paraId="26B5EAA7" w14:textId="7B29200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Rovnako ako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iných inhibítorov HMG-CoA</w:t>
      </w:r>
      <w:r w:rsidR="006D5FC2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sa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 liečených atorvastatínom pozoroval vzostup transamináz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sére. Tieto zmeny boli obvykle mierne, prechodné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nevyžadovali prerušenie liečby. Klinicky významné (&gt;</w:t>
      </w:r>
      <w:r w:rsidR="006D5FC2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3-násobok hornej hranice referenčných hodnôt) zvýšenie sérových transamináz sa vyskytlo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0,8 % pacientov liečených atorvastatínom. Toto zvýšenie bolo závislé na dávke</w:t>
      </w:r>
      <w:r w:rsidR="00800FD5" w:rsidRPr="00CA4059">
        <w:rPr>
          <w:rFonts w:ascii="Times New Roman" w:hAnsi="Times New Roman"/>
        </w:rPr>
        <w:t xml:space="preserve"> a u </w:t>
      </w:r>
      <w:r w:rsidRPr="00CA4059">
        <w:rPr>
          <w:rFonts w:ascii="Times New Roman" w:hAnsi="Times New Roman"/>
        </w:rPr>
        <w:t>všetkých pacientov bolo reverzibilné.</w:t>
      </w:r>
    </w:p>
    <w:p w14:paraId="2BF7D386" w14:textId="77777777" w:rsidR="001E0A99" w:rsidRPr="00CA4059" w:rsidRDefault="001E0A99" w:rsidP="00CA4059">
      <w:pPr>
        <w:spacing w:after="0" w:line="240" w:lineRule="auto"/>
        <w:rPr>
          <w:rFonts w:ascii="Times New Roman" w:hAnsi="Times New Roman"/>
        </w:rPr>
      </w:pPr>
    </w:p>
    <w:p w14:paraId="5D7A80C3" w14:textId="3ACDEEE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Zvýšené hodnoty sérovej kreatínkinázy (CK) na viac než 3-násobok hornej hranice referenčných hodnôt sa vyskytli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2,5 % pacientov liečených atorvastatínom, podobne ako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klinických skúšaniach</w:t>
      </w:r>
      <w:r w:rsidR="00800FD5" w:rsidRPr="00CA4059">
        <w:rPr>
          <w:rFonts w:ascii="Times New Roman" w:hAnsi="Times New Roman"/>
        </w:rPr>
        <w:t xml:space="preserve"> s</w:t>
      </w:r>
      <w:r w:rsidR="001E0A99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inými inhibítormi HMG-CoA</w:t>
      </w:r>
      <w:r w:rsidR="00B74C20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reduktázy. Hodnoty vyššie ako 10-násobok hornej hranice referenčných hodnôt sa vyskytli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0,4 % pacientov liečených atorvastatínom (pozri časť 4.4).</w:t>
      </w:r>
    </w:p>
    <w:p w14:paraId="10818F97" w14:textId="77777777" w:rsidR="001E0A99" w:rsidRPr="004F481C" w:rsidRDefault="001E0A99" w:rsidP="00CA4059">
      <w:pPr>
        <w:spacing w:after="0" w:line="240" w:lineRule="auto"/>
      </w:pPr>
    </w:p>
    <w:p w14:paraId="556E4708" w14:textId="77777777" w:rsidR="0093440D" w:rsidRPr="006D5FC2" w:rsidRDefault="0093440D">
      <w:pPr>
        <w:pStyle w:val="Styl2-2"/>
      </w:pPr>
      <w:r w:rsidRPr="006D5FC2">
        <w:t>Pediatrická populácia</w:t>
      </w:r>
    </w:p>
    <w:p w14:paraId="02A7DA12" w14:textId="7125F49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Databáza klinickej bezpečnosti zahŕňa údaje o bezpečnosti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249 pediatrických pacientov, ktorí dostávali atorvastatín, z ktorých 7 pacientov malo &lt; 6 rokov, 14 pacientov bolo vo vekovom rozmedzí 6 až 9 rokov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228 pacientov bolo vo veku 10 až 17 rokov.</w:t>
      </w:r>
    </w:p>
    <w:p w14:paraId="7C65A80C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62ECC773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nervového systému</w:t>
      </w:r>
    </w:p>
    <w:p w14:paraId="30AC77B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bolesť hlavy</w:t>
      </w:r>
    </w:p>
    <w:p w14:paraId="6378B73C" w14:textId="77777777" w:rsidR="001E0A99" w:rsidRPr="00CA4059" w:rsidRDefault="001E0A99" w:rsidP="00CA4059">
      <w:pPr>
        <w:spacing w:after="0" w:line="240" w:lineRule="auto"/>
        <w:rPr>
          <w:rFonts w:ascii="Times New Roman" w:hAnsi="Times New Roman"/>
        </w:rPr>
      </w:pPr>
    </w:p>
    <w:p w14:paraId="291A754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Poruchy gastrointestinálneho traktu</w:t>
      </w:r>
    </w:p>
    <w:p w14:paraId="77110D23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bolesť brucha</w:t>
      </w:r>
    </w:p>
    <w:p w14:paraId="6431DF57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6851EE8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Laboratórne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funkčné vyšetrenia</w:t>
      </w:r>
    </w:p>
    <w:p w14:paraId="2A38E71F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Časté: zvýšené hodnoty alanínaminotransferázy, zvýšené hodnoty kreatínfosfokinázy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krvi</w:t>
      </w:r>
    </w:p>
    <w:p w14:paraId="64075292" w14:textId="77777777" w:rsidR="001E0A99" w:rsidRPr="00CA4059" w:rsidRDefault="001E0A99" w:rsidP="00CA4059">
      <w:pPr>
        <w:spacing w:after="0" w:line="240" w:lineRule="auto"/>
        <w:rPr>
          <w:rFonts w:ascii="Times New Roman" w:hAnsi="Times New Roman"/>
        </w:rPr>
      </w:pPr>
    </w:p>
    <w:p w14:paraId="07F7A1BB" w14:textId="0A5241B5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Na základe dostupných údajov sa očakáva, že frekvencia, druh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závažnosť nežiaducej reakcie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detí budú rovnaké ako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dospelých.</w:t>
      </w:r>
      <w:r w:rsidR="00800FD5" w:rsidRPr="00CA4059">
        <w:rPr>
          <w:rFonts w:ascii="Times New Roman" w:hAnsi="Times New Roman"/>
        </w:rPr>
        <w:t xml:space="preserve"> </w:t>
      </w:r>
      <w:r w:rsidR="00A87406"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súčasnosti sú obmedzené skúsenosti týkajúce sa dlhodobej bezpečnosti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detí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dospievajúcich.</w:t>
      </w:r>
    </w:p>
    <w:p w14:paraId="42042B9F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350A3E71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Skupinové účinky:</w:t>
      </w:r>
    </w:p>
    <w:p w14:paraId="650A3A0F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sexuálne problémy</w:t>
      </w:r>
    </w:p>
    <w:p w14:paraId="54623674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depresia</w:t>
      </w:r>
    </w:p>
    <w:p w14:paraId="56CFD449" w14:textId="77777777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výnimočné prípady intersticiálneho ochorenia pľúc, najmä pri dlhodobej liečbe statínmi (pozri časť 4.4)</w:t>
      </w:r>
    </w:p>
    <w:p w14:paraId="7E0FCDAE" w14:textId="37889AA5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Diabetes mellitus: frekvencia výskytu bude závisieť od prítomnosti alebo absencie rizikových faktorov (glukóza nalačno ≥ 5,6 mmol/l, BMI</w:t>
      </w:r>
      <w:r w:rsidR="00A87406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&gt;</w:t>
      </w:r>
      <w:r w:rsidR="00A87406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30kg/m</w:t>
      </w:r>
      <w:r w:rsidRPr="00CA4059">
        <w:rPr>
          <w:rFonts w:ascii="Times New Roman" w:hAnsi="Times New Roman"/>
          <w:vertAlign w:val="superscript"/>
        </w:rPr>
        <w:t>2</w:t>
      </w:r>
      <w:r w:rsidRPr="00CA4059">
        <w:rPr>
          <w:rFonts w:ascii="Times New Roman" w:hAnsi="Times New Roman"/>
        </w:rPr>
        <w:t>, zvýšenie triglyceridov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krvi, hypertenzia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anamnéze).</w:t>
      </w:r>
    </w:p>
    <w:p w14:paraId="3F529242" w14:textId="77777777" w:rsidR="00755B98" w:rsidRPr="00CA4059" w:rsidRDefault="00755B98" w:rsidP="00CA4059">
      <w:pPr>
        <w:spacing w:after="0" w:line="240" w:lineRule="auto"/>
        <w:rPr>
          <w:rFonts w:ascii="Times New Roman" w:hAnsi="Times New Roman"/>
        </w:rPr>
      </w:pPr>
    </w:p>
    <w:p w14:paraId="5DC1C62A" w14:textId="77777777" w:rsidR="0093440D" w:rsidRPr="00A87406" w:rsidRDefault="0093440D">
      <w:pPr>
        <w:pStyle w:val="Styl2-2"/>
      </w:pPr>
      <w:r w:rsidRPr="00A87406">
        <w:t>Hlásenie podozrení na nežiaduce reakcie</w:t>
      </w:r>
    </w:p>
    <w:p w14:paraId="6DDC3171" w14:textId="36432FAA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Hlásenie podozrení na nežiaduce reakcie po registrácii lieku je dôležité. Umožňuje priebežné monitorovanie pomeru prínosu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rizika lieku. Od zdravotníckych pracovníkov sa vyžaduje, aby hlásili akékoľvek podozrenia na nežiaduce reakcie </w:t>
      </w:r>
      <w:r w:rsidRPr="00966A36">
        <w:rPr>
          <w:rFonts w:ascii="Times New Roman" w:hAnsi="Times New Roman"/>
          <w:highlight w:val="lightGray"/>
        </w:rPr>
        <w:t>na národné centrum hlásenia uvedené</w:t>
      </w:r>
      <w:r w:rsidR="00800FD5" w:rsidRPr="00966A36">
        <w:rPr>
          <w:rFonts w:ascii="Times New Roman" w:hAnsi="Times New Roman"/>
          <w:highlight w:val="lightGray"/>
        </w:rPr>
        <w:t xml:space="preserve"> v </w:t>
      </w:r>
      <w:hyperlink r:id="rId7" w:history="1">
        <w:r w:rsidR="00BA550C" w:rsidRPr="00966A36">
          <w:rPr>
            <w:rFonts w:ascii="Times New Roman" w:hAnsi="Times New Roman"/>
            <w:color w:val="2E74B5"/>
            <w:highlight w:val="lightGray"/>
            <w:u w:val="single"/>
          </w:rPr>
          <w:t>Prílohe V</w:t>
        </w:r>
      </w:hyperlink>
      <w:r w:rsidRPr="00CA4059">
        <w:rPr>
          <w:rFonts w:ascii="Times New Roman" w:hAnsi="Times New Roman"/>
        </w:rPr>
        <w:t>.</w:t>
      </w:r>
    </w:p>
    <w:p w14:paraId="3361A361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43C5864C" w14:textId="77777777" w:rsidR="0093440D" w:rsidRPr="0067219E" w:rsidRDefault="0093440D" w:rsidP="007760AD">
      <w:pPr>
        <w:pStyle w:val="Styl2"/>
      </w:pPr>
      <w:r w:rsidRPr="0067219E">
        <w:t>Predávkovanie</w:t>
      </w:r>
    </w:p>
    <w:p w14:paraId="0BBDE515" w14:textId="77777777" w:rsidR="00AD78E3" w:rsidRPr="0067219E" w:rsidRDefault="00AD78E3" w:rsidP="00BE7477">
      <w:pPr>
        <w:pStyle w:val="Styl2"/>
        <w:numPr>
          <w:ilvl w:val="0"/>
          <w:numId w:val="0"/>
        </w:numPr>
      </w:pPr>
    </w:p>
    <w:p w14:paraId="0F0A1772" w14:textId="53EEE6A2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Špeciálna liečba pri predávkovaní liekom AMICOR nie je známa. Pokiaľ dôjde k</w:t>
      </w:r>
      <w:r w:rsidR="00E90C9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predávkovaniu</w:t>
      </w:r>
      <w:r w:rsidR="00E90C9D">
        <w:rPr>
          <w:rFonts w:ascii="Times New Roman" w:hAnsi="Times New Roman"/>
        </w:rPr>
        <w:t>,</w:t>
      </w:r>
      <w:r w:rsidRPr="00CA4059">
        <w:rPr>
          <w:rFonts w:ascii="Times New Roman" w:hAnsi="Times New Roman"/>
        </w:rPr>
        <w:t xml:space="preserve"> má byť pacient liečený symptomaticky</w:t>
      </w:r>
      <w:r w:rsidR="00800FD5" w:rsidRPr="00CA4059">
        <w:rPr>
          <w:rFonts w:ascii="Times New Roman" w:hAnsi="Times New Roman"/>
        </w:rPr>
        <w:t xml:space="preserve"> a v </w:t>
      </w:r>
      <w:r w:rsidRPr="00CA4059">
        <w:rPr>
          <w:rFonts w:ascii="Times New Roman" w:hAnsi="Times New Roman"/>
        </w:rPr>
        <w:t>prípade potreby použiť podpornú liečbu. Majú sa vykonať pečeňové testy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treba monitorovať hodnoty CK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krvnom sére. </w:t>
      </w:r>
      <w:r w:rsidR="00E90C9D">
        <w:rPr>
          <w:rFonts w:ascii="Times New Roman" w:hAnsi="Times New Roman"/>
        </w:rPr>
        <w:t>Atorvastatín</w:t>
      </w:r>
      <w:r w:rsidR="00E90C9D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sa silno viaže na plazmatické bielkoviny,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preto sa neočakáva, že hemodialýza významne zvýši klírens atorvastatínu.</w:t>
      </w:r>
    </w:p>
    <w:p w14:paraId="11322877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4C470B9C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5C954A38" w14:textId="77777777" w:rsidR="0093440D" w:rsidRPr="0067219E" w:rsidRDefault="0093440D">
      <w:pPr>
        <w:pStyle w:val="Styl1"/>
      </w:pPr>
      <w:r w:rsidRPr="0067219E">
        <w:t>FARMAKOLOGICKÉ VLASTNOSTI</w:t>
      </w:r>
    </w:p>
    <w:p w14:paraId="664D2B6C" w14:textId="77777777" w:rsidR="00AD78E3" w:rsidRPr="0067219E" w:rsidRDefault="00AD78E3" w:rsidP="00CA4059">
      <w:pPr>
        <w:pStyle w:val="Styl1"/>
        <w:numPr>
          <w:ilvl w:val="0"/>
          <w:numId w:val="0"/>
        </w:numPr>
        <w:ind w:left="360"/>
      </w:pPr>
    </w:p>
    <w:p w14:paraId="3987A959" w14:textId="77777777" w:rsidR="00AD78E3" w:rsidRPr="00EA2311" w:rsidRDefault="0093440D" w:rsidP="00C36284">
      <w:pPr>
        <w:pStyle w:val="Styl2"/>
      </w:pPr>
      <w:r w:rsidRPr="0067219E">
        <w:t>Far</w:t>
      </w:r>
      <w:r w:rsidRPr="00EA2311">
        <w:t xml:space="preserve">makodynamické vlastnosti </w:t>
      </w:r>
    </w:p>
    <w:p w14:paraId="24789061" w14:textId="0F12A8C6" w:rsidR="0093440D" w:rsidRPr="002A69FD" w:rsidRDefault="0093440D" w:rsidP="009E102A">
      <w:pPr>
        <w:pStyle w:val="Styl2"/>
        <w:numPr>
          <w:ilvl w:val="0"/>
          <w:numId w:val="0"/>
        </w:numPr>
      </w:pPr>
    </w:p>
    <w:p w14:paraId="404792EF" w14:textId="39CCB57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Farmakoterapeutická skupina: </w:t>
      </w:r>
      <w:r w:rsidR="00E90C9D">
        <w:rPr>
          <w:rFonts w:ascii="Times New Roman" w:hAnsi="Times New Roman"/>
        </w:rPr>
        <w:t>hypolipidemiká</w:t>
      </w:r>
      <w:r w:rsidRPr="00CA4059">
        <w:rPr>
          <w:rFonts w:ascii="Times New Roman" w:hAnsi="Times New Roman"/>
        </w:rPr>
        <w:t>, inhibítory HMG-CoA</w:t>
      </w:r>
      <w:r w:rsidR="001250B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ATC kód: C10AA05</w:t>
      </w:r>
    </w:p>
    <w:p w14:paraId="14DCAF6C" w14:textId="77777777" w:rsidR="00922523" w:rsidRPr="00CA4059" w:rsidRDefault="00922523" w:rsidP="00CA4059">
      <w:pPr>
        <w:spacing w:after="0" w:line="240" w:lineRule="auto"/>
        <w:rPr>
          <w:rFonts w:ascii="Times New Roman" w:hAnsi="Times New Roman"/>
        </w:rPr>
      </w:pPr>
    </w:p>
    <w:p w14:paraId="7142787B" w14:textId="7D5B2D09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je selektívny, kompetitívny inhibítor HMG-</w:t>
      </w:r>
      <w:r w:rsidR="005C2210" w:rsidRPr="00CA4059">
        <w:rPr>
          <w:rFonts w:ascii="Times New Roman" w:hAnsi="Times New Roman"/>
        </w:rPr>
        <w:t>CoA</w:t>
      </w:r>
      <w:r w:rsidR="005C2210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reduktázy. Tento enzým katalyzuje premenu 3-hydroxy-3-metyl-glutaryl-koenzýmu</w:t>
      </w:r>
      <w:r w:rsidR="00800FD5" w:rsidRPr="00CA4059">
        <w:rPr>
          <w:rFonts w:ascii="Times New Roman" w:hAnsi="Times New Roman"/>
        </w:rPr>
        <w:t xml:space="preserve"> </w:t>
      </w:r>
      <w:r w:rsidR="00E436C7" w:rsidRPr="00CA4059">
        <w:rPr>
          <w:rFonts w:ascii="Times New Roman" w:hAnsi="Times New Roman"/>
        </w:rPr>
        <w:t xml:space="preserve">A </w:t>
      </w:r>
      <w:r w:rsidRPr="00CA4059">
        <w:rPr>
          <w:rFonts w:ascii="Times New Roman" w:hAnsi="Times New Roman"/>
        </w:rPr>
        <w:t>na mevalonát, čo je prekurzor sterolov vrátane cholesterolu.</w:t>
      </w:r>
      <w:r w:rsidR="00800FD5" w:rsidRPr="00CA4059">
        <w:rPr>
          <w:rFonts w:ascii="Times New Roman" w:hAnsi="Times New Roman"/>
        </w:rPr>
        <w:t xml:space="preserve"> </w:t>
      </w:r>
      <w:r w:rsidR="00E436C7" w:rsidRPr="00CA4059">
        <w:rPr>
          <w:rFonts w:ascii="Times New Roman" w:hAnsi="Times New Roman"/>
        </w:rPr>
        <w:t xml:space="preserve">V </w:t>
      </w:r>
      <w:r w:rsidRPr="00CA4059">
        <w:rPr>
          <w:rFonts w:ascii="Times New Roman" w:hAnsi="Times New Roman"/>
        </w:rPr>
        <w:t>pečeni sú triacylglyceroly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cholesterol zabudované do lipoproteínov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veľmi nízkou hustotou (VLDL)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plazmou sú transportované do periférnych tkanív. Lipoproteíny o nízkej hustote (LDL) sa tvoria z VLDL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sú primárne katabolizované receptormi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vysokou afinitou k LDL (LDL receptor).</w:t>
      </w:r>
    </w:p>
    <w:p w14:paraId="3149AB19" w14:textId="77777777" w:rsidR="00F9178A" w:rsidRPr="00CA4059" w:rsidRDefault="00F9178A" w:rsidP="00CA4059">
      <w:pPr>
        <w:spacing w:after="0" w:line="240" w:lineRule="auto"/>
        <w:rPr>
          <w:rFonts w:ascii="Times New Roman" w:hAnsi="Times New Roman"/>
        </w:rPr>
      </w:pPr>
    </w:p>
    <w:p w14:paraId="1E14F402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znižuje plazmatické koncentrácie cholesterolu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sérové koncentrácie lipoproteínov inhibíciou HMG-CoA-reduktázy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následne inhibíciou biosyntézy cholesterolu</w:t>
      </w:r>
      <w:r w:rsidR="00800FD5" w:rsidRPr="00CA4059">
        <w:rPr>
          <w:rFonts w:ascii="Times New Roman" w:hAnsi="Times New Roman"/>
        </w:rPr>
        <w:t xml:space="preserve"> v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pečeni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zvyšuje počet LDL receptorov pečene na povrchu bunky, čím sa urýchľuje absorpcia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katabolizmus LDL.</w:t>
      </w:r>
    </w:p>
    <w:p w14:paraId="72359A06" w14:textId="77777777" w:rsidR="00F9178A" w:rsidRPr="00CA4059" w:rsidRDefault="00F9178A" w:rsidP="00CA4059">
      <w:pPr>
        <w:spacing w:after="0" w:line="240" w:lineRule="auto"/>
        <w:rPr>
          <w:rFonts w:ascii="Times New Roman" w:hAnsi="Times New Roman"/>
        </w:rPr>
      </w:pPr>
    </w:p>
    <w:p w14:paraId="24E1A4CE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znižuje tvorbu LDL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počet LDL častíc. Atorvastatín zapríčiňuje výrazné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trvalé zvýšenie aktivity LDL receptorov spojené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výhodnými zmenami kvality cirkulujúcich LDL častíc. Atorvastatín účinne znižuje hladiny LDL-cholesterolu</w:t>
      </w:r>
      <w:r w:rsidR="00800FD5" w:rsidRPr="00CA4059">
        <w:rPr>
          <w:rFonts w:ascii="Times New Roman" w:hAnsi="Times New Roman"/>
        </w:rPr>
        <w:t xml:space="preserve"> u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homozygotnou familiárnou hypercholesterolémiou, čo je populácia, ktorá obvykle nereaguje na hypolipidemickú liečbu.</w:t>
      </w:r>
    </w:p>
    <w:p w14:paraId="0D62BE03" w14:textId="77777777" w:rsidR="00F9178A" w:rsidRPr="00CA4059" w:rsidRDefault="00F9178A" w:rsidP="00CA4059">
      <w:pPr>
        <w:spacing w:after="0" w:line="240" w:lineRule="auto"/>
        <w:rPr>
          <w:rFonts w:ascii="Times New Roman" w:hAnsi="Times New Roman"/>
        </w:rPr>
      </w:pPr>
    </w:p>
    <w:p w14:paraId="7F7C2F86" w14:textId="2DDBAE0D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klinickej štúdii sledujúcej odozvu liečby</w:t>
      </w:r>
      <w:r w:rsidR="00800FD5" w:rsidRPr="00CA4059">
        <w:rPr>
          <w:rFonts w:ascii="Times New Roman" w:hAnsi="Times New Roman"/>
        </w:rPr>
        <w:t xml:space="preserve"> v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závislosti na dávke bolo dokázané, že atorvastatín znižuje hladiny celkového cholesterolu (30</w:t>
      </w:r>
      <w:r w:rsidR="00F9178A">
        <w:rPr>
          <w:rFonts w:ascii="Times New Roman" w:hAnsi="Times New Roman"/>
        </w:rPr>
        <w:t xml:space="preserve"> %</w:t>
      </w:r>
      <w:r w:rsidR="005C2210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5C2210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46</w:t>
      </w:r>
      <w:r w:rsidR="00E436C7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%), LDL-cholesterolu (41</w:t>
      </w:r>
      <w:r w:rsidR="005C2210">
        <w:rPr>
          <w:rFonts w:ascii="Times New Roman" w:hAnsi="Times New Roman"/>
        </w:rPr>
        <w:t> </w:t>
      </w:r>
      <w:r w:rsidR="00F9178A">
        <w:rPr>
          <w:rFonts w:ascii="Times New Roman" w:hAnsi="Times New Roman"/>
        </w:rPr>
        <w:t>% </w:t>
      </w:r>
      <w:r w:rsidRPr="00CA4059">
        <w:rPr>
          <w:rFonts w:ascii="Times New Roman" w:hAnsi="Times New Roman"/>
        </w:rPr>
        <w:t>–</w:t>
      </w:r>
      <w:r w:rsidR="005C2210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61</w:t>
      </w:r>
      <w:r w:rsidR="00E436C7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%), apolipoproteínu B (34</w:t>
      </w:r>
      <w:r w:rsidR="005C2210">
        <w:rPr>
          <w:rFonts w:ascii="Times New Roman" w:hAnsi="Times New Roman"/>
        </w:rPr>
        <w:t> </w:t>
      </w:r>
      <w:r w:rsidR="00F9178A">
        <w:rPr>
          <w:rFonts w:ascii="Times New Roman" w:hAnsi="Times New Roman"/>
        </w:rPr>
        <w:t>% </w:t>
      </w:r>
      <w:r w:rsidR="00E436C7" w:rsidRPr="00CA4059">
        <w:rPr>
          <w:rFonts w:ascii="Times New Roman" w:hAnsi="Times New Roman"/>
        </w:rPr>
        <w:t>–</w:t>
      </w:r>
      <w:r w:rsidR="005C2210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50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%)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triacylglycerolov (14</w:t>
      </w:r>
      <w:r w:rsidR="005C2210">
        <w:rPr>
          <w:rFonts w:ascii="Times New Roman" w:hAnsi="Times New Roman"/>
        </w:rPr>
        <w:t> </w:t>
      </w:r>
      <w:r w:rsidR="00F9178A">
        <w:rPr>
          <w:rFonts w:ascii="Times New Roman" w:hAnsi="Times New Roman"/>
        </w:rPr>
        <w:t>% </w:t>
      </w:r>
      <w:r w:rsidR="00E436C7" w:rsidRPr="00CA4059">
        <w:rPr>
          <w:rFonts w:ascii="Times New Roman" w:hAnsi="Times New Roman"/>
        </w:rPr>
        <w:t>–</w:t>
      </w:r>
      <w:r w:rsidR="005C2210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33</w:t>
      </w:r>
      <w:r w:rsidR="00E436C7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%), pričom sú</w:t>
      </w:r>
      <w:r w:rsidR="003A18C2">
        <w:rPr>
          <w:rFonts w:ascii="Times New Roman" w:hAnsi="Times New Roman"/>
        </w:rPr>
        <w:t>bež</w:t>
      </w:r>
      <w:r w:rsidRPr="00CA4059">
        <w:rPr>
          <w:rFonts w:ascii="Times New Roman" w:hAnsi="Times New Roman"/>
        </w:rPr>
        <w:t>ne vyvolal vo variabilnej miere zvýšenie HDL-cholesterolu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apolipoproteínu A1. Tieto výsledky sú zhodné</w:t>
      </w:r>
      <w:r w:rsidR="00800FD5" w:rsidRPr="00CA4059">
        <w:rPr>
          <w:rFonts w:ascii="Times New Roman" w:hAnsi="Times New Roman"/>
        </w:rPr>
        <w:t xml:space="preserve"> u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E436C7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heterozygotnou familiárnou hypercholesterolémiou, nefamiliárnymi formami hypercholesterolémie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zmiešanými hyperlipidémiami vrátane 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diabetes mellitus nezávislým na inzulíne.</w:t>
      </w:r>
    </w:p>
    <w:p w14:paraId="202026E0" w14:textId="77777777" w:rsidR="00F9178A" w:rsidRPr="00CA4059" w:rsidRDefault="00F9178A" w:rsidP="00CA4059">
      <w:pPr>
        <w:spacing w:after="0" w:line="240" w:lineRule="auto"/>
        <w:rPr>
          <w:rFonts w:ascii="Times New Roman" w:hAnsi="Times New Roman"/>
        </w:rPr>
      </w:pPr>
    </w:p>
    <w:p w14:paraId="5A382CD3" w14:textId="77777777" w:rsidR="00AD78E3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Bolo dokázané, že zníženie celkového-C, LDL-C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apolipoproteínu B znižuje riziko kardiovaskulárnych príhod</w:t>
      </w:r>
      <w:r w:rsidR="00800FD5" w:rsidRPr="00CA4059">
        <w:rPr>
          <w:rFonts w:ascii="Times New Roman" w:hAnsi="Times New Roman"/>
        </w:rPr>
        <w:t xml:space="preserve"> a</w:t>
      </w:r>
      <w:r w:rsidR="00E436C7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kardiovaskulárnej mortality.</w:t>
      </w:r>
    </w:p>
    <w:p w14:paraId="381C9250" w14:textId="77777777" w:rsidR="00922523" w:rsidRPr="00CA4059" w:rsidRDefault="0092252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3B25E3F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Homozygotná familiárna hypercholesterolémia</w:t>
      </w:r>
    </w:p>
    <w:p w14:paraId="37A7AA4A" w14:textId="77777777" w:rsidR="00AD78E3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multicentrickej 8 týždňov trvajúcej otvorenej štúdii umožňujúcej poskytnúť pacientovi liek z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humanitárnych dôvodov</w:t>
      </w:r>
      <w:r w:rsidR="00800FD5" w:rsidRPr="00CA4059">
        <w:rPr>
          <w:rFonts w:ascii="Times New Roman" w:hAnsi="Times New Roman"/>
        </w:rPr>
        <w:t xml:space="preserve"> s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dobrovoľnou pokračujúcou fázou variabilnej dĺžky bolo zaradených 335 pacientov, pričom 89 z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nich bolo identifikovaných ako pacienti</w:t>
      </w:r>
      <w:r w:rsidR="00800FD5" w:rsidRPr="00CA4059">
        <w:rPr>
          <w:rFonts w:ascii="Times New Roman" w:hAnsi="Times New Roman"/>
        </w:rPr>
        <w:t xml:space="preserve"> s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homozygotnou familiárnou hypercholesterolémiou.</w:t>
      </w:r>
      <w:r w:rsidR="00800FD5" w:rsidRPr="00CA4059">
        <w:rPr>
          <w:rFonts w:ascii="Times New Roman" w:hAnsi="Times New Roman"/>
        </w:rPr>
        <w:t xml:space="preserve"> </w:t>
      </w:r>
      <w:r w:rsidR="00A05FDD" w:rsidRPr="00CA4059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týchto 89 pacientov došlo k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priemernému percentuálnemu zníženiu LDL-C asi o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20</w:t>
      </w:r>
      <w:r w:rsidR="00A05FDD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%. Atorvastatín sa podával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dávkach až do 80</w:t>
      </w:r>
      <w:r w:rsidR="00A05FDD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/deň.</w:t>
      </w:r>
    </w:p>
    <w:p w14:paraId="363CA2C3" w14:textId="77777777" w:rsidR="00922523" w:rsidRPr="00CA4059" w:rsidRDefault="0092252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4F3CF06D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Ateroskleróza</w:t>
      </w:r>
    </w:p>
    <w:p w14:paraId="6FE05A6A" w14:textId="25239B55" w:rsidR="0093440D" w:rsidRDefault="00922523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V </w:t>
      </w:r>
      <w:r w:rsidR="0093440D" w:rsidRPr="00CA4059">
        <w:rPr>
          <w:rFonts w:ascii="Times New Roman" w:hAnsi="Times New Roman"/>
        </w:rPr>
        <w:t>štúdii REVERSAL (</w:t>
      </w:r>
      <w:r w:rsidR="00606C09">
        <w:rPr>
          <w:rFonts w:ascii="Times New Roman" w:hAnsi="Times New Roman"/>
        </w:rPr>
        <w:t>,,</w:t>
      </w:r>
      <w:r w:rsidR="0093440D" w:rsidRPr="00CA4059">
        <w:rPr>
          <w:rFonts w:ascii="Times New Roman" w:hAnsi="Times New Roman"/>
        </w:rPr>
        <w:t>Reversing Atherosclerosis with Aggressive Lipid-Lowering“ = Reverzia aterosklerózy agresívnym znížením lipidov) bol</w:t>
      </w:r>
      <w:r w:rsidR="00800FD5" w:rsidRPr="00CA4059">
        <w:rPr>
          <w:rFonts w:ascii="Times New Roman" w:hAnsi="Times New Roman"/>
        </w:rPr>
        <w:t xml:space="preserve"> u</w:t>
      </w:r>
      <w:r w:rsidR="002317BB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ischemickou chorobou srdca posudzovaný účinok intenzívneho zníženia lipidov atorvastatínom 80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="0093440D" w:rsidRPr="00CA4059">
        <w:rPr>
          <w:rFonts w:ascii="Times New Roman" w:hAnsi="Times New Roman"/>
        </w:rPr>
        <w:t xml:space="preserve"> denne</w:t>
      </w:r>
      <w:r w:rsidR="00800FD5" w:rsidRPr="00CA4059">
        <w:rPr>
          <w:rFonts w:ascii="Times New Roman" w:hAnsi="Times New Roman"/>
        </w:rPr>
        <w:t xml:space="preserve"> a</w:t>
      </w:r>
      <w:r w:rsidR="002317BB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štandardného stupňa zníženia lipidov pravastatínom 40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="0093440D" w:rsidRPr="00CA4059">
        <w:rPr>
          <w:rFonts w:ascii="Times New Roman" w:hAnsi="Times New Roman"/>
        </w:rPr>
        <w:t xml:space="preserve"> denne na koronárnu aterosklerózu pomocou intravaskulárneho ultrazvuku (IVUS) počas koronarografie.</w:t>
      </w:r>
      <w:r w:rsidR="00800FD5" w:rsidRPr="00CA4059">
        <w:rPr>
          <w:rFonts w:ascii="Times New Roman" w:hAnsi="Times New Roman"/>
        </w:rPr>
        <w:t xml:space="preserve"> </w:t>
      </w:r>
      <w:r w:rsidR="002317BB" w:rsidRPr="00CA4059">
        <w:rPr>
          <w:rFonts w:ascii="Times New Roman" w:hAnsi="Times New Roman"/>
        </w:rPr>
        <w:t xml:space="preserve">V </w:t>
      </w:r>
      <w:r w:rsidR="0093440D" w:rsidRPr="00CA4059">
        <w:rPr>
          <w:rFonts w:ascii="Times New Roman" w:hAnsi="Times New Roman"/>
        </w:rPr>
        <w:t>tejto randomizovanej, dvojito-zaslepenej, multicentrickej, kontrolovanej klinickej štúdii bol IVUS vykonaný na začiatku (</w:t>
      </w:r>
      <w:r w:rsidR="00480EC2">
        <w:rPr>
          <w:rFonts w:ascii="Times New Roman" w:hAnsi="Times New Roman"/>
        </w:rPr>
        <w:t>,,</w:t>
      </w:r>
      <w:r w:rsidR="0093440D" w:rsidRPr="00CA4059">
        <w:rPr>
          <w:rFonts w:ascii="Times New Roman" w:hAnsi="Times New Roman"/>
        </w:rPr>
        <w:t>baseline“)</w:t>
      </w:r>
      <w:r w:rsidR="00800FD5" w:rsidRPr="00CA4059">
        <w:rPr>
          <w:rFonts w:ascii="Times New Roman" w:hAnsi="Times New Roman"/>
        </w:rPr>
        <w:t xml:space="preserve"> a v</w:t>
      </w:r>
      <w:r w:rsidR="002317BB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18. mesiaci sledovania</w:t>
      </w:r>
      <w:r w:rsidR="00800FD5" w:rsidRPr="00CA4059">
        <w:rPr>
          <w:rFonts w:ascii="Times New Roman" w:hAnsi="Times New Roman"/>
        </w:rPr>
        <w:t xml:space="preserve"> u</w:t>
      </w:r>
      <w:r w:rsidR="002317BB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502 pacientov.</w:t>
      </w:r>
      <w:r w:rsidR="00800FD5" w:rsidRPr="00CA4059">
        <w:rPr>
          <w:rFonts w:ascii="Times New Roman" w:hAnsi="Times New Roman"/>
        </w:rPr>
        <w:t xml:space="preserve"> </w:t>
      </w:r>
      <w:r w:rsidR="002317BB" w:rsidRPr="00CA4059">
        <w:rPr>
          <w:rFonts w:ascii="Times New Roman" w:hAnsi="Times New Roman"/>
        </w:rPr>
        <w:t xml:space="preserve">V </w:t>
      </w:r>
      <w:r w:rsidR="0093440D" w:rsidRPr="00CA4059">
        <w:rPr>
          <w:rFonts w:ascii="Times New Roman" w:hAnsi="Times New Roman"/>
        </w:rPr>
        <w:t>atorvastatínovej skupine (n = 253) nebola žiadna progresia aterosklerózy.</w:t>
      </w:r>
    </w:p>
    <w:p w14:paraId="0AB1A654" w14:textId="77777777" w:rsidR="003B4E3E" w:rsidRPr="00CA4059" w:rsidRDefault="003B4E3E" w:rsidP="00CA4059">
      <w:pPr>
        <w:spacing w:after="0" w:line="240" w:lineRule="auto"/>
        <w:rPr>
          <w:rFonts w:ascii="Times New Roman" w:hAnsi="Times New Roman"/>
        </w:rPr>
      </w:pPr>
    </w:p>
    <w:p w14:paraId="0CF98607" w14:textId="6E5E7CF2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Stredná zmena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celkovom objeme aterómu vyjadrená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percentách (primárne kritérium štúdie) bola oproti hodnote na začiatku sledovania </w:t>
      </w:r>
      <w:r w:rsidR="00606C09" w:rsidRPr="00CA4059">
        <w:rPr>
          <w:rFonts w:ascii="Times New Roman" w:hAnsi="Times New Roman"/>
        </w:rPr>
        <w:t>(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baseline“) -0,4 % (p = 0,98)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atorvastatínovej skupine</w:t>
      </w:r>
      <w:r w:rsidR="00800FD5" w:rsidRPr="00CA4059">
        <w:rPr>
          <w:rFonts w:ascii="Times New Roman" w:hAnsi="Times New Roman"/>
        </w:rPr>
        <w:t xml:space="preserve"> a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+2,7</w:t>
      </w:r>
      <w:r w:rsidR="00480EC2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 (p = 0,001)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pravastatínovej skupine (n = 249). Pri 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pravastatínom boli účinky atorvastatínu štatisticky významné (p = 0,02).</w:t>
      </w:r>
      <w:r w:rsidR="00800FD5" w:rsidRPr="00CA4059">
        <w:rPr>
          <w:rFonts w:ascii="Times New Roman" w:hAnsi="Times New Roman"/>
        </w:rPr>
        <w:t xml:space="preserve"> </w:t>
      </w:r>
      <w:r w:rsidR="002317BB" w:rsidRPr="00CA4059">
        <w:rPr>
          <w:rFonts w:ascii="Times New Roman" w:hAnsi="Times New Roman"/>
        </w:rPr>
        <w:t xml:space="preserve">V </w:t>
      </w:r>
      <w:r w:rsidRPr="00CA4059">
        <w:rPr>
          <w:rFonts w:ascii="Times New Roman" w:hAnsi="Times New Roman"/>
        </w:rPr>
        <w:t>tejto štúdii nebol skúmaný účinok intenzívneho zníženia lipidov na kardiovaskulárne konečné ukazovatele štúdie (napr. potreba revaskularizácie, nefatálny infarkt myokardu, koronárna smrť).</w:t>
      </w:r>
    </w:p>
    <w:p w14:paraId="5C4694B1" w14:textId="77777777" w:rsidR="003B4E3E" w:rsidRPr="00CA4059" w:rsidRDefault="003B4E3E" w:rsidP="00CA4059">
      <w:pPr>
        <w:spacing w:after="0" w:line="240" w:lineRule="auto"/>
        <w:rPr>
          <w:rFonts w:ascii="Times New Roman" w:hAnsi="Times New Roman"/>
        </w:rPr>
      </w:pPr>
    </w:p>
    <w:p w14:paraId="5B977536" w14:textId="19991B8D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atorvastatínovej skupine sa LDL-C oproti hodnote na začiatku sledovania (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baseline“) 3,89 mmol/l ± 0,7 (150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/dl ± 28) znížil na priemernú hodnotu 2,04 mmol/l ± 0,8 (78,9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/dl ± 30)</w:t>
      </w:r>
      <w:r w:rsidR="00800FD5" w:rsidRPr="00CA4059">
        <w:rPr>
          <w:rFonts w:ascii="Times New Roman" w:hAnsi="Times New Roman"/>
        </w:rPr>
        <w:t xml:space="preserve"> a</w:t>
      </w:r>
      <w:r w:rsidR="00825605" w:rsidRPr="00CA4059">
        <w:rPr>
          <w:rFonts w:ascii="Times New Roman" w:hAnsi="Times New Roman"/>
        </w:rPr>
        <w:t> </w:t>
      </w:r>
      <w:r w:rsidR="00800FD5" w:rsidRPr="00CA4059">
        <w:rPr>
          <w:rFonts w:ascii="Times New Roman" w:hAnsi="Times New Roman"/>
        </w:rPr>
        <w:t>v </w:t>
      </w:r>
      <w:r w:rsidRPr="00CA4059">
        <w:rPr>
          <w:rFonts w:ascii="Times New Roman" w:hAnsi="Times New Roman"/>
        </w:rPr>
        <w:t xml:space="preserve">pravastatínovej skupine sa LDL-C oproti hodnote na začiatku sledovania 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baseline“ 3,89 mmol/ ± 0,7 (150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/dl ± 26) (p &lt; 0,0001) znížil na priemernú hodnotu 2,85 mmol/l ± 0,7 (110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 xml:space="preserve">/dl ± 26). Atorvastatín tiež signifikantne znížil priemernú hodnotu celkového cholesterolu 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 xml:space="preserve">TC“ o 34,1 % (pravastatín: -18,4 %, p &lt; 0,0001), priemernú hodnotu triacylglycerolov 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TG“ o 20 % (pravastatín: -6,8 %, p &lt; 0,0009)</w:t>
      </w:r>
      <w:r w:rsidR="00800FD5" w:rsidRPr="00CA4059">
        <w:rPr>
          <w:rFonts w:ascii="Times New Roman" w:hAnsi="Times New Roman"/>
        </w:rPr>
        <w:t xml:space="preserve"> a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priemernú hodnotu apolipoproteínu B o 39,1 % (pravastatín: - 22,0 %, p &lt; 0,0001). Atorvastatín zvýšil priemernú hodnotu HDL-C o 2,9 % (pravastatín: +5,6 %, p = nesignifikantné </w:t>
      </w:r>
      <w:r w:rsidR="00480EC2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NS“).</w:t>
      </w:r>
      <w:r w:rsidR="00800FD5" w:rsidRPr="00CA4059">
        <w:rPr>
          <w:rFonts w:ascii="Times New Roman" w:hAnsi="Times New Roman"/>
        </w:rPr>
        <w:t xml:space="preserve"> </w:t>
      </w:r>
      <w:r w:rsidR="002317BB" w:rsidRPr="00CA4059">
        <w:rPr>
          <w:rFonts w:ascii="Times New Roman" w:hAnsi="Times New Roman"/>
        </w:rPr>
        <w:t xml:space="preserve">V </w:t>
      </w:r>
      <w:r w:rsidRPr="00CA4059">
        <w:rPr>
          <w:rFonts w:ascii="Times New Roman" w:hAnsi="Times New Roman"/>
        </w:rPr>
        <w:t>atorvastatínovej skupine bola priemerná hodnota zníženia CRP 36,4 %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5,2</w:t>
      </w:r>
      <w:r w:rsidR="00BE0681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 znížením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pravastatínovej skupine (p &lt; 0,0001).</w:t>
      </w:r>
    </w:p>
    <w:p w14:paraId="1AC342A3" w14:textId="77777777" w:rsidR="003B4E3E" w:rsidRPr="00CA4059" w:rsidRDefault="003B4E3E" w:rsidP="00CA4059">
      <w:pPr>
        <w:spacing w:after="0" w:line="240" w:lineRule="auto"/>
        <w:rPr>
          <w:rFonts w:ascii="Times New Roman" w:hAnsi="Times New Roman"/>
        </w:rPr>
      </w:pPr>
    </w:p>
    <w:p w14:paraId="5C787B12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Výsledky štúdie boli získané pri dávke 80</w:t>
      </w:r>
      <w:r w:rsidR="002317BB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. Preto ich nemožno extrapolovať na nižšie dávky.</w:t>
      </w:r>
    </w:p>
    <w:p w14:paraId="31547749" w14:textId="77777777" w:rsidR="00636937" w:rsidRPr="00CA4059" w:rsidRDefault="00636937" w:rsidP="00CA4059">
      <w:pPr>
        <w:spacing w:after="0" w:line="240" w:lineRule="auto"/>
        <w:rPr>
          <w:rFonts w:ascii="Times New Roman" w:hAnsi="Times New Roman"/>
        </w:rPr>
      </w:pPr>
    </w:p>
    <w:p w14:paraId="1516554E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Profily bezpečnosti</w:t>
      </w:r>
      <w:r w:rsidR="00800FD5" w:rsidRPr="00CA4059">
        <w:rPr>
          <w:rFonts w:ascii="Times New Roman" w:hAnsi="Times New Roman"/>
        </w:rPr>
        <w:t xml:space="preserve"> a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tolerability dvoch liečených skupín boli porovnateľné.</w:t>
      </w:r>
    </w:p>
    <w:p w14:paraId="1070E9CA" w14:textId="77777777" w:rsidR="00636937" w:rsidRPr="00CA4059" w:rsidRDefault="00636937" w:rsidP="00CA4059">
      <w:pPr>
        <w:spacing w:after="0" w:line="240" w:lineRule="auto"/>
        <w:rPr>
          <w:rFonts w:ascii="Times New Roman" w:hAnsi="Times New Roman"/>
        </w:rPr>
      </w:pPr>
    </w:p>
    <w:p w14:paraId="14D35D2B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Účinok intenzívneho zníženia lipidov na hlavné kardiovaskulárne ciele sa</w:t>
      </w:r>
      <w:r w:rsidR="00800FD5" w:rsidRPr="00CA4059">
        <w:rPr>
          <w:rFonts w:ascii="Times New Roman" w:hAnsi="Times New Roman"/>
        </w:rPr>
        <w:t xml:space="preserve"> v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tejto štúdii nezisťoval. Preto klinický význam výsledkov týchto zobrazovacích štúdií vzhľadom na primárnu</w:t>
      </w:r>
      <w:r w:rsidR="00800FD5" w:rsidRPr="00CA4059">
        <w:rPr>
          <w:rFonts w:ascii="Times New Roman" w:hAnsi="Times New Roman"/>
        </w:rPr>
        <w:t xml:space="preserve"> a</w:t>
      </w:r>
      <w:r w:rsidR="002317BB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sekundárnu prevenciu kardiovaskulárnych príhod nie je známy.</w:t>
      </w:r>
    </w:p>
    <w:p w14:paraId="0BA9E735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101792A8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Akútny koronárny syndróm</w:t>
      </w:r>
    </w:p>
    <w:p w14:paraId="7361E58F" w14:textId="268E9E1F" w:rsidR="00AD78E3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štúdii MIRACL sa atorvastatín</w:t>
      </w:r>
      <w:r w:rsidR="00800FD5" w:rsidRPr="00CA4059">
        <w:rPr>
          <w:rFonts w:ascii="Times New Roman" w:hAnsi="Times New Roman"/>
        </w:rPr>
        <w:t xml:space="preserve"> v</w:t>
      </w:r>
      <w:r w:rsidR="00197731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dávke 80</w:t>
      </w:r>
      <w:r w:rsidR="00197731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 xml:space="preserve"> hodnotil</w:t>
      </w:r>
      <w:r w:rsidR="00800FD5" w:rsidRPr="00CA4059">
        <w:rPr>
          <w:rFonts w:ascii="Times New Roman" w:hAnsi="Times New Roman"/>
        </w:rPr>
        <w:t xml:space="preserve"> u</w:t>
      </w:r>
      <w:r w:rsidR="003B4E3E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</w:t>
      </w:r>
      <w:r w:rsidR="003B4E3E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086 pacientov (atorvastatín n = 1</w:t>
      </w:r>
      <w:r w:rsidR="00606C0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538; placebo n = 1</w:t>
      </w:r>
      <w:r w:rsidR="00606C0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548)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akútnym koronárnym syndrómom (infarktom myokardu bez Q vlny alebo nestabilnou ang</w:t>
      </w:r>
      <w:r w:rsidR="00860A30">
        <w:rPr>
          <w:rFonts w:ascii="Times New Roman" w:hAnsi="Times New Roman"/>
        </w:rPr>
        <w:t>í</w:t>
      </w:r>
      <w:r w:rsidRPr="00CA4059">
        <w:rPr>
          <w:rFonts w:ascii="Times New Roman" w:hAnsi="Times New Roman"/>
        </w:rPr>
        <w:t>nou pe</w:t>
      </w:r>
      <w:r w:rsidR="00860A30">
        <w:rPr>
          <w:rFonts w:ascii="Times New Roman" w:hAnsi="Times New Roman"/>
        </w:rPr>
        <w:t>k</w:t>
      </w:r>
      <w:r w:rsidRPr="00CA4059">
        <w:rPr>
          <w:rFonts w:ascii="Times New Roman" w:hAnsi="Times New Roman"/>
        </w:rPr>
        <w:t>toris). Liečba začala počas akútnej fázy po prijatí do nemocnice</w:t>
      </w:r>
      <w:r w:rsidR="00800FD5" w:rsidRPr="00CA4059">
        <w:rPr>
          <w:rFonts w:ascii="Times New Roman" w:hAnsi="Times New Roman"/>
        </w:rPr>
        <w:t xml:space="preserve"> a</w:t>
      </w:r>
      <w:r w:rsidR="00197731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trvala 16</w:t>
      </w:r>
      <w:r w:rsidR="000C5B53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týždňov. Liečba atorvastatínom 80</w:t>
      </w:r>
      <w:r w:rsidR="00197731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>/deň predĺžila čas do výskytu kombinovaného primárne sledovaného parametra definovaného ako smrť z akejkoľvek príčiny, nefatálny infarkt myokardu, resuscitované zastavenie srdca alebo ang</w:t>
      </w:r>
      <w:r w:rsidR="00860A30">
        <w:rPr>
          <w:rFonts w:ascii="Times New Roman" w:hAnsi="Times New Roman"/>
        </w:rPr>
        <w:t>í</w:t>
      </w:r>
      <w:r w:rsidRPr="00CA4059">
        <w:rPr>
          <w:rFonts w:ascii="Times New Roman" w:hAnsi="Times New Roman"/>
        </w:rPr>
        <w:t>na pe</w:t>
      </w:r>
      <w:r w:rsidR="00860A30">
        <w:rPr>
          <w:rFonts w:ascii="Times New Roman" w:hAnsi="Times New Roman"/>
        </w:rPr>
        <w:t>k</w:t>
      </w:r>
      <w:r w:rsidRPr="00CA4059">
        <w:rPr>
          <w:rFonts w:ascii="Times New Roman" w:hAnsi="Times New Roman"/>
        </w:rPr>
        <w:t>toris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prejavmi ischémie myokardu vyžadujúcimi hospitalizáciu, čo svedčí o znížení rizika o 16 % (p = 0,048). Toto bolo podmienené hlavne 26</w:t>
      </w:r>
      <w:r w:rsidR="00606C0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 poklesom opakovanej hospitalizácie pre ang</w:t>
      </w:r>
      <w:r w:rsidR="00860A30">
        <w:rPr>
          <w:rFonts w:ascii="Times New Roman" w:hAnsi="Times New Roman"/>
        </w:rPr>
        <w:t>í</w:t>
      </w:r>
      <w:r w:rsidRPr="00CA4059">
        <w:rPr>
          <w:rFonts w:ascii="Times New Roman" w:hAnsi="Times New Roman"/>
        </w:rPr>
        <w:t>nu pe</w:t>
      </w:r>
      <w:r w:rsidR="00860A30">
        <w:rPr>
          <w:rFonts w:ascii="Times New Roman" w:hAnsi="Times New Roman"/>
        </w:rPr>
        <w:t>k</w:t>
      </w:r>
      <w:r w:rsidRPr="00CA4059">
        <w:rPr>
          <w:rFonts w:ascii="Times New Roman" w:hAnsi="Times New Roman"/>
        </w:rPr>
        <w:t>toris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prejavmi ischémie myokardu (p = 0,018). Ostatné sekundárne sledované parametre nedosiahli samé osebe štatistickú významnosť (celkovo: placebo: 22,2 %, atorvastatín: 22,4 %).</w:t>
      </w:r>
    </w:p>
    <w:p w14:paraId="56C59BAF" w14:textId="77777777" w:rsidR="00636937" w:rsidRPr="00CA4059" w:rsidRDefault="00636937" w:rsidP="00CA4059">
      <w:pPr>
        <w:spacing w:after="0" w:line="240" w:lineRule="auto"/>
        <w:rPr>
          <w:rFonts w:ascii="Times New Roman" w:hAnsi="Times New Roman"/>
        </w:rPr>
      </w:pPr>
    </w:p>
    <w:p w14:paraId="0DB09770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Bezpečnostný profil atorvastatínu</w:t>
      </w:r>
      <w:r w:rsidR="00800FD5" w:rsidRPr="00CA4059">
        <w:rPr>
          <w:rFonts w:ascii="Times New Roman" w:hAnsi="Times New Roman"/>
        </w:rPr>
        <w:t xml:space="preserve"> v</w:t>
      </w:r>
      <w:r w:rsidR="00197731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štúdii MIRACL bol</w:t>
      </w:r>
      <w:r w:rsidR="00800FD5" w:rsidRPr="00CA4059">
        <w:rPr>
          <w:rFonts w:ascii="Times New Roman" w:hAnsi="Times New Roman"/>
        </w:rPr>
        <w:t xml:space="preserve"> v</w:t>
      </w:r>
      <w:r w:rsidR="00197731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súlade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tým, čo je opísané</w:t>
      </w:r>
      <w:r w:rsidR="00800FD5" w:rsidRPr="00CA4059">
        <w:rPr>
          <w:rFonts w:ascii="Times New Roman" w:hAnsi="Times New Roman"/>
        </w:rPr>
        <w:t xml:space="preserve"> v</w:t>
      </w:r>
      <w:r w:rsidR="00197731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časti 4.8.</w:t>
      </w:r>
    </w:p>
    <w:p w14:paraId="4AAE5A29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1DC5B2C2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Prevencia kardiovaskulárneho ochorenia</w:t>
      </w:r>
    </w:p>
    <w:p w14:paraId="44678A7A" w14:textId="6F659A7C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Účinok atorvastatínu na ischemickú chorobu srdca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fatálnymi</w:t>
      </w:r>
      <w:r w:rsidR="00800FD5" w:rsidRPr="00CA4059">
        <w:rPr>
          <w:rFonts w:ascii="Times New Roman" w:hAnsi="Times New Roman"/>
        </w:rPr>
        <w:t xml:space="preserve"> a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nefatálnymi prejavmi bol hodnotený</w:t>
      </w:r>
      <w:r w:rsidR="00800FD5" w:rsidRPr="00CA4059">
        <w:rPr>
          <w:rFonts w:ascii="Times New Roman" w:hAnsi="Times New Roman"/>
        </w:rPr>
        <w:t xml:space="preserve"> v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randomizovanej, dvojito-zaslepenej, placebom kontrolovanej štúdii ASCOT-LLA (</w:t>
      </w:r>
      <w:r w:rsidR="00606C09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Anglo-Scandinavian Cardiac Outcomes Trial Lipid Lowering Arm” = Anglo-škandinávska štúdia zameraná na kardiálne výsledky</w:t>
      </w:r>
      <w:r w:rsidR="00800FD5" w:rsidRPr="00CA4059">
        <w:rPr>
          <w:rFonts w:ascii="Times New Roman" w:hAnsi="Times New Roman"/>
        </w:rPr>
        <w:t xml:space="preserve"> v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hypolipidemickom ramene). Pacienti boli hypertonici vo veku 40</w:t>
      </w:r>
      <w:r w:rsidR="00606C09">
        <w:rPr>
          <w:rFonts w:ascii="Times New Roman" w:hAnsi="Times New Roman"/>
        </w:rPr>
        <w:t> </w:t>
      </w:r>
      <w:r w:rsidR="00D07137" w:rsidRPr="00CA4059">
        <w:rPr>
          <w:rFonts w:ascii="Times New Roman" w:hAnsi="Times New Roman"/>
        </w:rPr>
        <w:t>–</w:t>
      </w:r>
      <w:r w:rsidR="00606C0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79 rokov bez predchádzajúceho infarktu myokardu alebo liečby ang</w:t>
      </w:r>
      <w:r w:rsidR="00860A30">
        <w:rPr>
          <w:rFonts w:ascii="Times New Roman" w:hAnsi="Times New Roman"/>
        </w:rPr>
        <w:t>í</w:t>
      </w:r>
      <w:r w:rsidRPr="00CA4059">
        <w:rPr>
          <w:rFonts w:ascii="Times New Roman" w:hAnsi="Times New Roman"/>
        </w:rPr>
        <w:t>ny pe</w:t>
      </w:r>
      <w:r w:rsidR="003A18C2">
        <w:rPr>
          <w:rFonts w:ascii="Times New Roman" w:hAnsi="Times New Roman"/>
        </w:rPr>
        <w:t>k</w:t>
      </w:r>
      <w:r w:rsidRPr="00CA4059">
        <w:rPr>
          <w:rFonts w:ascii="Times New Roman" w:hAnsi="Times New Roman"/>
        </w:rPr>
        <w:t>toris</w:t>
      </w:r>
      <w:r w:rsidR="00800FD5" w:rsidRPr="00CA4059">
        <w:rPr>
          <w:rFonts w:ascii="Times New Roman" w:hAnsi="Times New Roman"/>
        </w:rPr>
        <w:t xml:space="preserve"> a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hladinami celkového cholesterolu (TC) ≤ 6,5 mmol/l (251</w:t>
      </w:r>
      <w:r w:rsidR="000C5B53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 xml:space="preserve">/dl). Všetci pacienti mali aspoň 3 z vopred definovaných </w:t>
      </w:r>
      <w:r w:rsidRPr="00CA4059">
        <w:rPr>
          <w:rFonts w:ascii="Times New Roman" w:hAnsi="Times New Roman"/>
        </w:rPr>
        <w:lastRenderedPageBreak/>
        <w:t>kardiovaskulárnych rizikových faktorov: mužské pohlavie, vek ≥ 55 rokov, fajčenie, diabetes mellitus, pozitívnu anamnézu ICHS</w:t>
      </w:r>
      <w:r w:rsidR="00800FD5" w:rsidRPr="00CA4059">
        <w:rPr>
          <w:rFonts w:ascii="Times New Roman" w:hAnsi="Times New Roman"/>
        </w:rPr>
        <w:t xml:space="preserve"> u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prvostupňového príbuzného, TC:HDL-C &gt; 6, ischemickú chorobu dolných končatín, hypertrofiu ľavej srdcovej komory, cerebrovaskulárnu príhodu</w:t>
      </w:r>
      <w:r w:rsidR="00800FD5" w:rsidRPr="00CA4059">
        <w:rPr>
          <w:rFonts w:ascii="Times New Roman" w:hAnsi="Times New Roman"/>
        </w:rPr>
        <w:t xml:space="preserve"> v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minulosti, špecifické zmeny na EKG, proteinúriu/albuminúriu. Nie</w:t>
      </w:r>
      <w:r w:rsidR="00800FD5" w:rsidRPr="00CA4059">
        <w:rPr>
          <w:rFonts w:ascii="Times New Roman" w:hAnsi="Times New Roman"/>
        </w:rPr>
        <w:t xml:space="preserve"> u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všetkých zaradených pacientov bolo zistené vysoké riziko vzniku kardiovaskulárnej príhody.</w:t>
      </w:r>
    </w:p>
    <w:p w14:paraId="75F27657" w14:textId="77777777" w:rsidR="00636937" w:rsidRPr="00CA4059" w:rsidRDefault="00636937" w:rsidP="00CA4059">
      <w:pPr>
        <w:spacing w:after="0" w:line="240" w:lineRule="auto"/>
        <w:rPr>
          <w:rFonts w:ascii="Times New Roman" w:hAnsi="Times New Roman"/>
        </w:rPr>
      </w:pPr>
    </w:p>
    <w:p w14:paraId="53384788" w14:textId="04F77612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Pacienti dostávali antihypertenzn</w:t>
      </w:r>
      <w:r w:rsidR="00E53ACA">
        <w:rPr>
          <w:rFonts w:ascii="Times New Roman" w:hAnsi="Times New Roman"/>
        </w:rPr>
        <w:t>ú</w:t>
      </w:r>
      <w:r w:rsidRPr="00CA4059">
        <w:rPr>
          <w:rFonts w:ascii="Times New Roman" w:hAnsi="Times New Roman"/>
        </w:rPr>
        <w:t xml:space="preserve"> liečbu (buď amlodipín alebo režim na báze atenololu)</w:t>
      </w:r>
      <w:r w:rsidR="00800FD5" w:rsidRPr="00CA4059">
        <w:rPr>
          <w:rFonts w:ascii="Times New Roman" w:hAnsi="Times New Roman"/>
        </w:rPr>
        <w:t xml:space="preserve"> a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buď atorvastatín 10</w:t>
      </w:r>
      <w:r w:rsidR="000C5B53" w:rsidRPr="00CA4059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mg</w:t>
      </w:r>
      <w:r w:rsidRPr="00CA4059">
        <w:rPr>
          <w:rFonts w:ascii="Times New Roman" w:hAnsi="Times New Roman"/>
        </w:rPr>
        <w:t xml:space="preserve"> denne (n = 5 168) alebo placebo (n = 5 137).</w:t>
      </w:r>
    </w:p>
    <w:p w14:paraId="471CF294" w14:textId="77777777" w:rsidR="00606C09" w:rsidRPr="00CA4059" w:rsidRDefault="00606C09" w:rsidP="00CA4059">
      <w:pPr>
        <w:spacing w:after="0" w:line="240" w:lineRule="auto"/>
        <w:rPr>
          <w:rFonts w:ascii="Times New Roman" w:hAnsi="Times New Roman"/>
        </w:rPr>
      </w:pPr>
    </w:p>
    <w:p w14:paraId="311D04BF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Účinok atorvastatínu na zníženie absolútneho</w:t>
      </w:r>
      <w:r w:rsidR="00800FD5" w:rsidRPr="00CA4059">
        <w:rPr>
          <w:rFonts w:ascii="Times New Roman" w:hAnsi="Times New Roman"/>
        </w:rPr>
        <w:t xml:space="preserve"> a</w:t>
      </w:r>
      <w:r w:rsidR="000C5B53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relatívneho rizika bol nasledovný: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1440"/>
        <w:gridCol w:w="1620"/>
        <w:gridCol w:w="1620"/>
        <w:gridCol w:w="1440"/>
      </w:tblGrid>
      <w:tr w:rsidR="006679A0" w:rsidRPr="0067219E" w14:paraId="3CDDB38E" w14:textId="77777777" w:rsidTr="00F23067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14BF325" w14:textId="77777777" w:rsidR="006679A0" w:rsidRPr="00CA4059" w:rsidRDefault="006679A0" w:rsidP="00F36C6A">
            <w:pPr>
              <w:pStyle w:val="Nadpisuvnittabulky"/>
            </w:pPr>
          </w:p>
          <w:p w14:paraId="19BBB187" w14:textId="77777777" w:rsidR="006679A0" w:rsidRPr="00CA4059" w:rsidRDefault="006679A0" w:rsidP="00F36C6A">
            <w:pPr>
              <w:pStyle w:val="Nadpisuvnittabulky"/>
            </w:pPr>
          </w:p>
          <w:p w14:paraId="50964EC6" w14:textId="77777777" w:rsidR="006679A0" w:rsidRPr="00CA4059" w:rsidRDefault="006679A0" w:rsidP="00F36C6A">
            <w:pPr>
              <w:pStyle w:val="Nadpisuvnittabulky"/>
            </w:pPr>
            <w:r w:rsidRPr="00CA4059">
              <w:t>Príhoda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158EDC1" w14:textId="77777777" w:rsidR="006679A0" w:rsidRPr="00CA4059" w:rsidRDefault="006679A0" w:rsidP="00F36C6A">
            <w:pPr>
              <w:pStyle w:val="Nadpisuvnittabulky"/>
            </w:pPr>
            <w:r w:rsidRPr="00CA4059">
              <w:t>Zníženie relatívneho rizika (%)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BA5C733" w14:textId="77777777" w:rsidR="006679A0" w:rsidRPr="00CA4059" w:rsidRDefault="006679A0" w:rsidP="00F36C6A">
            <w:pPr>
              <w:pStyle w:val="Nadpisuvnittabulky"/>
            </w:pPr>
            <w:r w:rsidRPr="00CA4059">
              <w:t>Počet príhod (atorvastatín oproti placebu)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1D7D14F" w14:textId="77777777" w:rsidR="006679A0" w:rsidRPr="00CA4059" w:rsidRDefault="006679A0" w:rsidP="00F36C6A">
            <w:pPr>
              <w:pStyle w:val="Nadpisuvnittabulky"/>
            </w:pPr>
            <w:r w:rsidRPr="00CA4059">
              <w:t>Zníženie absolútneho rizika</w:t>
            </w:r>
            <w:r w:rsidRPr="00CA4059">
              <w:rPr>
                <w:vertAlign w:val="superscript"/>
              </w:rPr>
              <w:t>1</w:t>
            </w:r>
            <w:r w:rsidRPr="00CA4059">
              <w:t xml:space="preserve">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859F1D" w14:textId="77777777" w:rsidR="006679A0" w:rsidRPr="00CA4059" w:rsidRDefault="006679A0" w:rsidP="00F36C6A">
            <w:pPr>
              <w:pStyle w:val="Nadpisuvnittabulky"/>
            </w:pPr>
          </w:p>
          <w:p w14:paraId="3435E617" w14:textId="77777777" w:rsidR="006679A0" w:rsidRPr="00CA4059" w:rsidRDefault="006679A0" w:rsidP="00F36C6A">
            <w:pPr>
              <w:pStyle w:val="Nadpisuvnittabulky"/>
            </w:pPr>
          </w:p>
          <w:p w14:paraId="12C8CFEF" w14:textId="77777777" w:rsidR="006679A0" w:rsidRPr="00CA4059" w:rsidRDefault="006679A0" w:rsidP="00F36C6A">
            <w:pPr>
              <w:pStyle w:val="Nadpisuvnittabulky"/>
            </w:pPr>
            <w:r w:rsidRPr="00CA4059">
              <w:t>p-hodnota</w:t>
            </w:r>
          </w:p>
        </w:tc>
      </w:tr>
      <w:tr w:rsidR="006679A0" w:rsidRPr="0067219E" w14:paraId="4F5BF70B" w14:textId="77777777" w:rsidTr="00F23067">
        <w:tc>
          <w:tcPr>
            <w:tcW w:w="3168" w:type="dxa"/>
            <w:tcBorders>
              <w:top w:val="single" w:sz="4" w:space="0" w:color="auto"/>
            </w:tcBorders>
          </w:tcPr>
          <w:p w14:paraId="203E1D1D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Fatálna ICHS plus nefatálny IM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9EFA2CD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36 %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9454DF7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100 oproti 154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2CCDF1E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1,1 %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89821F9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0,0005</w:t>
            </w:r>
          </w:p>
        </w:tc>
      </w:tr>
      <w:tr w:rsidR="006679A0" w:rsidRPr="0067219E" w14:paraId="2D225E6D" w14:textId="77777777" w:rsidTr="00F23067">
        <w:tc>
          <w:tcPr>
            <w:tcW w:w="3168" w:type="dxa"/>
          </w:tcPr>
          <w:p w14:paraId="16214A9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Všetky kardiovaskulárne príhody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revaskularizačné zákroky</w:t>
            </w:r>
          </w:p>
        </w:tc>
        <w:tc>
          <w:tcPr>
            <w:tcW w:w="1440" w:type="dxa"/>
          </w:tcPr>
          <w:p w14:paraId="16363E3F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20 %</w:t>
            </w:r>
          </w:p>
        </w:tc>
        <w:tc>
          <w:tcPr>
            <w:tcW w:w="1620" w:type="dxa"/>
          </w:tcPr>
          <w:p w14:paraId="39FEB8C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389 oproti 483</w:t>
            </w:r>
          </w:p>
        </w:tc>
        <w:tc>
          <w:tcPr>
            <w:tcW w:w="1620" w:type="dxa"/>
          </w:tcPr>
          <w:p w14:paraId="7C026AA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1,9 %</w:t>
            </w:r>
          </w:p>
        </w:tc>
        <w:tc>
          <w:tcPr>
            <w:tcW w:w="1440" w:type="dxa"/>
          </w:tcPr>
          <w:p w14:paraId="03C163E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0,0008</w:t>
            </w:r>
          </w:p>
        </w:tc>
      </w:tr>
      <w:tr w:rsidR="006679A0" w:rsidRPr="0067219E" w14:paraId="614BD784" w14:textId="77777777" w:rsidTr="00F23067">
        <w:tc>
          <w:tcPr>
            <w:tcW w:w="3168" w:type="dxa"/>
            <w:tcBorders>
              <w:bottom w:val="single" w:sz="4" w:space="0" w:color="auto"/>
            </w:tcBorders>
          </w:tcPr>
          <w:p w14:paraId="1A8D365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Všetky koronárne príhody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6A910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29 %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4AA93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178 oproti 247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4962A4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1,4 %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59FD0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0,0006</w:t>
            </w:r>
          </w:p>
        </w:tc>
      </w:tr>
    </w:tbl>
    <w:p w14:paraId="3597E01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1 Na základe rozdielu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približnom výskyte príhod počas priemerného obdobia sledovania 3,3 roka.</w:t>
      </w:r>
    </w:p>
    <w:p w14:paraId="1E7C6C82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ICHS = ischemická choroba srdca; IM = infarkt myokardu.</w:t>
      </w:r>
    </w:p>
    <w:p w14:paraId="71B2EBC7" w14:textId="77777777" w:rsidR="00636937" w:rsidRPr="00CA4059" w:rsidRDefault="00636937" w:rsidP="00CA4059">
      <w:pPr>
        <w:spacing w:after="0" w:line="240" w:lineRule="auto"/>
        <w:rPr>
          <w:rFonts w:ascii="Times New Roman" w:hAnsi="Times New Roman"/>
        </w:rPr>
      </w:pPr>
    </w:p>
    <w:p w14:paraId="265B79C4" w14:textId="33627D1E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Celková mortalita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kardiovaskulárna mortalita sa signifikantne neznížili (185 oproti 212 príhodám, p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0,17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74 oproti 82 príhodám, p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0,51).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analýzach podskupín podľa pohlavia (81 % mužov, 19</w:t>
      </w:r>
      <w:r w:rsidR="00E53ACA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% žien) sa pozoroval pozitívny účinok atorvastatínu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mužov, ale nedal sa zistiť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žien, pravdepodobne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dôsledku nízkeho výskytu príhod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podskupine žien. Celková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kardiovaskulárna mortalita boli číselne vyššie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pacientok (38 oproti 30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17 oproti 12), ale toto nebolo štatisticky významné. Zaznamenala sa signifikantná interakcia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liečbou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dôsledku antihypertenznej liečby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úvode štúdie. Primárne sledovaný parameter (fatálna ICHS plus nefatálny IM) sa signifikantne znížil atorvastatínom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 liečených amlodipínom („Hazard ratio“ HR 0,47 (0,32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0,69), p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0,00008), ale neznížil sa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tých, ktorí boli liečení atenololom (HR 0,83 (0,59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1,17), p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3693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0,287).</w:t>
      </w:r>
    </w:p>
    <w:p w14:paraId="60A487DE" w14:textId="77777777" w:rsidR="00B334D0" w:rsidRPr="00CA4059" w:rsidRDefault="00B334D0" w:rsidP="00CA4059">
      <w:pPr>
        <w:spacing w:after="0" w:line="240" w:lineRule="auto"/>
        <w:rPr>
          <w:rFonts w:ascii="Times New Roman" w:hAnsi="Times New Roman"/>
        </w:rPr>
      </w:pPr>
    </w:p>
    <w:p w14:paraId="1E5B1312" w14:textId="7C5C2AF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Účinok atorvastatínu na fatálne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nefatálne kardiovaskulárne choroby sa tiež posudzoval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randomizovanej, dvojito-zaslepenej, multicentrickej, placebom kontrolovanej štúdii CARDS („Collaborative Atorvastatin Diabetes Study“ = Štúdia zameraná na podporný účinok atorvastatínu pri diabete)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diabetes mellitus 2. typu vo veku 40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75 rokov bez pozitívnej anamnézy kardiovaskulárneho ochorenia</w:t>
      </w:r>
      <w:r w:rsidR="00800FD5" w:rsidRPr="00CA4059">
        <w:rPr>
          <w:rFonts w:ascii="Times New Roman" w:hAnsi="Times New Roman"/>
        </w:rPr>
        <w:t xml:space="preserve"> a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LDL-C ≤ 4,14 mmol/l (160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/dl)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TG ≤ 6,78 mmol/l (600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/dl). Všetci pacienti mali aspoň 1 z nasledujúcich rizikových faktorov: hypertenziu, aktívne fajčenie, retinopatiu, mikroalbuminúriu alebo makroalbuminúriu.</w:t>
      </w:r>
    </w:p>
    <w:p w14:paraId="22FD34A7" w14:textId="77777777" w:rsidR="00B334D0" w:rsidRPr="00CA4059" w:rsidRDefault="00B334D0" w:rsidP="00CA4059">
      <w:pPr>
        <w:spacing w:after="0" w:line="240" w:lineRule="auto"/>
        <w:rPr>
          <w:rFonts w:ascii="Times New Roman" w:hAnsi="Times New Roman"/>
        </w:rPr>
      </w:pPr>
    </w:p>
    <w:p w14:paraId="26F75C3A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Pacienti boli liečení buď atorvastatínom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 (n = 1428) alebo placebom (n = 1410) počas priemerného obdobia sledovania 3,9 roka.</w:t>
      </w:r>
    </w:p>
    <w:p w14:paraId="66D9BECF" w14:textId="77777777" w:rsidR="00B334D0" w:rsidRPr="00CA4059" w:rsidRDefault="00B334D0" w:rsidP="00CA4059">
      <w:pPr>
        <w:spacing w:after="0" w:line="240" w:lineRule="auto"/>
        <w:rPr>
          <w:rFonts w:ascii="Times New Roman" w:hAnsi="Times New Roman"/>
        </w:rPr>
      </w:pPr>
    </w:p>
    <w:p w14:paraId="7A99E9DE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Účinok atorvastatínu na zníženie absolútneho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relatívneho rizika bol nasledovný: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1440"/>
        <w:gridCol w:w="1620"/>
        <w:gridCol w:w="1620"/>
        <w:gridCol w:w="1440"/>
      </w:tblGrid>
      <w:tr w:rsidR="006679A0" w:rsidRPr="0067219E" w14:paraId="1AA9E943" w14:textId="77777777" w:rsidTr="00F23067"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14:paraId="7DADF0D1" w14:textId="77777777" w:rsidR="006679A0" w:rsidRPr="00CA4059" w:rsidRDefault="006679A0" w:rsidP="00F36C6A">
            <w:pPr>
              <w:pStyle w:val="Nadpisuvnittabulky"/>
            </w:pPr>
          </w:p>
          <w:p w14:paraId="14FC75D8" w14:textId="77777777" w:rsidR="006679A0" w:rsidRPr="00CA4059" w:rsidRDefault="006679A0" w:rsidP="00F36C6A">
            <w:pPr>
              <w:pStyle w:val="Nadpisuvnittabulky"/>
            </w:pPr>
          </w:p>
          <w:p w14:paraId="344192F2" w14:textId="77777777" w:rsidR="006679A0" w:rsidRPr="00CA4059" w:rsidRDefault="006679A0" w:rsidP="00F36C6A">
            <w:pPr>
              <w:pStyle w:val="Nadpisuvnittabulky"/>
            </w:pPr>
            <w:r w:rsidRPr="00CA4059">
              <w:t>Príhoda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2AF1F96" w14:textId="77777777" w:rsidR="006679A0" w:rsidRPr="00CA4059" w:rsidRDefault="006679A0" w:rsidP="00F36C6A">
            <w:pPr>
              <w:pStyle w:val="Nadpisuvnittabulky"/>
            </w:pPr>
            <w:r w:rsidRPr="00CA4059">
              <w:t>Zníženie relatívneho rizika (%)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35B96E2" w14:textId="77777777" w:rsidR="006679A0" w:rsidRPr="00CA4059" w:rsidRDefault="006679A0" w:rsidP="00F36C6A">
            <w:pPr>
              <w:pStyle w:val="Nadpisuvnittabulky"/>
            </w:pPr>
            <w:r w:rsidRPr="00CA4059">
              <w:t>Počet príhod (atorvastatín oproti placebu)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BB82A55" w14:textId="77777777" w:rsidR="006679A0" w:rsidRPr="00CA4059" w:rsidRDefault="006679A0" w:rsidP="00F36C6A">
            <w:pPr>
              <w:pStyle w:val="Nadpisuvnittabulky"/>
            </w:pPr>
            <w:r w:rsidRPr="00CA4059">
              <w:t>Zníženie absolútneho rizika</w:t>
            </w:r>
            <w:r w:rsidRPr="00CA4059">
              <w:rPr>
                <w:vertAlign w:val="superscript"/>
              </w:rPr>
              <w:t>1</w:t>
            </w:r>
            <w:r w:rsidRPr="00CA4059">
              <w:t xml:space="preserve">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33CA445" w14:textId="77777777" w:rsidR="006679A0" w:rsidRPr="00CA4059" w:rsidRDefault="006679A0" w:rsidP="00F36C6A">
            <w:pPr>
              <w:pStyle w:val="Nadpisuvnittabulky"/>
            </w:pPr>
          </w:p>
          <w:p w14:paraId="3876B70B" w14:textId="77777777" w:rsidR="006679A0" w:rsidRPr="00CA4059" w:rsidRDefault="006679A0" w:rsidP="00F36C6A">
            <w:pPr>
              <w:pStyle w:val="Nadpisuvnittabulky"/>
            </w:pPr>
          </w:p>
          <w:p w14:paraId="3D5901E1" w14:textId="77777777" w:rsidR="006679A0" w:rsidRPr="00CA4059" w:rsidRDefault="006679A0" w:rsidP="00F36C6A">
            <w:pPr>
              <w:pStyle w:val="Nadpisuvnittabulky"/>
            </w:pPr>
            <w:r w:rsidRPr="00CA4059">
              <w:t>p-hodnota</w:t>
            </w:r>
          </w:p>
        </w:tc>
      </w:tr>
      <w:tr w:rsidR="006679A0" w:rsidRPr="0067219E" w14:paraId="186649BC" w14:textId="77777777" w:rsidTr="00F23067">
        <w:tc>
          <w:tcPr>
            <w:tcW w:w="3166" w:type="dxa"/>
            <w:tcBorders>
              <w:top w:val="single" w:sz="4" w:space="0" w:color="auto"/>
            </w:tcBorders>
          </w:tcPr>
          <w:p w14:paraId="03665EA0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Závažné kardiovaskulárne príhody (fatálny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 xml:space="preserve">nefatálny </w:t>
            </w:r>
            <w:smartTag w:uri="urn:schemas-microsoft-com:office:smarttags" w:element="stockticker">
              <w:r w:rsidRPr="00CA4059">
                <w:rPr>
                  <w:rFonts w:ascii="Times New Roman" w:hAnsi="Times New Roman"/>
                </w:rPr>
                <w:t>AIM</w:t>
              </w:r>
            </w:smartTag>
            <w:r w:rsidRPr="00CA4059">
              <w:rPr>
                <w:rFonts w:ascii="Times New Roman" w:hAnsi="Times New Roman"/>
              </w:rPr>
              <w:t>, tichý IM, akútna smrť pri ICHS, nestabilná angína pektoris, CABG, PTCA, revaskularizácia, mŕtvica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948C4D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37 %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7B4461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83 oproti 127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9F1E653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3,2 %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01DF5AB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0,0010</w:t>
            </w:r>
          </w:p>
        </w:tc>
      </w:tr>
      <w:tr w:rsidR="006679A0" w:rsidRPr="0067219E" w14:paraId="331629D9" w14:textId="77777777" w:rsidTr="00F23067">
        <w:tc>
          <w:tcPr>
            <w:tcW w:w="3166" w:type="dxa"/>
          </w:tcPr>
          <w:p w14:paraId="27277602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IM (fatálny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nefatálny akútny IM, tichý IM)</w:t>
            </w:r>
          </w:p>
        </w:tc>
        <w:tc>
          <w:tcPr>
            <w:tcW w:w="1440" w:type="dxa"/>
          </w:tcPr>
          <w:p w14:paraId="2FE7023A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42 %</w:t>
            </w:r>
          </w:p>
        </w:tc>
        <w:tc>
          <w:tcPr>
            <w:tcW w:w="1620" w:type="dxa"/>
          </w:tcPr>
          <w:p w14:paraId="4C4D2C68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38 oproti 64</w:t>
            </w:r>
          </w:p>
        </w:tc>
        <w:tc>
          <w:tcPr>
            <w:tcW w:w="1620" w:type="dxa"/>
          </w:tcPr>
          <w:p w14:paraId="47AD7A9B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1,9 %</w:t>
            </w:r>
          </w:p>
        </w:tc>
        <w:tc>
          <w:tcPr>
            <w:tcW w:w="1440" w:type="dxa"/>
          </w:tcPr>
          <w:p w14:paraId="65456A91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0,0070</w:t>
            </w:r>
          </w:p>
        </w:tc>
      </w:tr>
      <w:tr w:rsidR="006679A0" w:rsidRPr="0067219E" w14:paraId="0C107331" w14:textId="77777777" w:rsidTr="00F23067">
        <w:tc>
          <w:tcPr>
            <w:tcW w:w="3166" w:type="dxa"/>
            <w:tcBorders>
              <w:bottom w:val="single" w:sz="4" w:space="0" w:color="auto"/>
            </w:tcBorders>
          </w:tcPr>
          <w:p w14:paraId="74503642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Mŕtvica (fatálna</w:t>
            </w:r>
            <w:r w:rsidR="00800FD5" w:rsidRPr="00CA4059">
              <w:rPr>
                <w:rFonts w:ascii="Times New Roman" w:hAnsi="Times New Roman"/>
              </w:rPr>
              <w:t xml:space="preserve"> a </w:t>
            </w:r>
            <w:r w:rsidRPr="00CA4059">
              <w:rPr>
                <w:rFonts w:ascii="Times New Roman" w:hAnsi="Times New Roman"/>
              </w:rPr>
              <w:t>nefatálna)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3E664E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48 %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E7A092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21 oproti 39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07B989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1,3 %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6594F6" w14:textId="77777777" w:rsidR="006679A0" w:rsidRPr="00CA4059" w:rsidRDefault="006679A0" w:rsidP="00CA4059">
            <w:pPr>
              <w:spacing w:after="0" w:line="240" w:lineRule="auto"/>
              <w:rPr>
                <w:rFonts w:ascii="Times New Roman" w:hAnsi="Times New Roman"/>
              </w:rPr>
            </w:pPr>
            <w:r w:rsidRPr="00CA4059">
              <w:rPr>
                <w:rFonts w:ascii="Times New Roman" w:hAnsi="Times New Roman"/>
              </w:rPr>
              <w:t>0,0163</w:t>
            </w:r>
          </w:p>
        </w:tc>
      </w:tr>
    </w:tbl>
    <w:p w14:paraId="6E1FDFC3" w14:textId="76E9396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vertAlign w:val="superscript"/>
        </w:rPr>
        <w:t>1</w:t>
      </w:r>
      <w:r w:rsidRPr="00CA4059">
        <w:rPr>
          <w:rFonts w:ascii="Times New Roman" w:hAnsi="Times New Roman"/>
        </w:rPr>
        <w:t>Na základe rozdielu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približnom výskyte príhod počas priemerného obdobia sledovania 3,9 roka.</w:t>
      </w:r>
    </w:p>
    <w:p w14:paraId="57D8282F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AIM = akútny infarkt myokardu; CABG (coronary artery bypass graft) = aortokoronárny bypass;</w:t>
      </w:r>
    </w:p>
    <w:p w14:paraId="4F46F33A" w14:textId="6C4CA91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ICHS = ischemická choroba srdca;</w:t>
      </w:r>
      <w:r w:rsidR="00CF50E4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IM = infarkt myokardu; PTCA = perkutánna transluminálna koronárna angioplastika.</w:t>
      </w:r>
    </w:p>
    <w:p w14:paraId="050F5E18" w14:textId="77777777" w:rsidR="00CF50E4" w:rsidRPr="00CA4059" w:rsidRDefault="00CF50E4" w:rsidP="00CA4059">
      <w:pPr>
        <w:spacing w:after="0" w:line="240" w:lineRule="auto"/>
        <w:rPr>
          <w:rFonts w:ascii="Times New Roman" w:hAnsi="Times New Roman"/>
        </w:rPr>
      </w:pPr>
    </w:p>
    <w:p w14:paraId="6FEDCDDC" w14:textId="77777777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Nedokázal sa žiadny rozdiel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účinku liečby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závislosti od pohlavia pacienta, jeho veku alebo hodnoty LDL-C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úvode štúdie. Priaznivý trend sa pozoroval čo sa týka výskytu mortality (82 úmrtí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placebovej skupine oproti 61 úmrtiam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atorvastatínovej skupine, p = 0,0592).</w:t>
      </w:r>
    </w:p>
    <w:p w14:paraId="3C92E2EB" w14:textId="77777777" w:rsidR="00606C09" w:rsidRPr="00CA4059" w:rsidRDefault="00606C09" w:rsidP="00CA4059">
      <w:pPr>
        <w:spacing w:after="0" w:line="240" w:lineRule="auto"/>
        <w:rPr>
          <w:rFonts w:ascii="Times New Roman" w:hAnsi="Times New Roman"/>
        </w:rPr>
      </w:pPr>
    </w:p>
    <w:p w14:paraId="10FF704E" w14:textId="53FFD4DC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Rekurentná cievna mozgová príhoda</w:t>
      </w:r>
    </w:p>
    <w:p w14:paraId="32840BB8" w14:textId="0468B00D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štúdii SPARCL (Prevencia cievnej mozgovej príhody agresívnym znížením hladín cholesterolu) sa hodnotil účinok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denne alebo placeba na cievnu mozgovú príhodu (CHD)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4 731 pacientov, ktorí mali cievnu mozgovú príhodu alebo tranzitórny ischemický atak (TIA)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priebehu predchádzajúcich 6 mesiacov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nemali pozitívnu anamnézu ischemickej choroby srdca (ICHS). 60 % pacientov boli muži vo veku 21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92 rokov (priemerný vek 63 rokov)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ich priemerná hodnota LDL cholesterolu na začiatku sledovania bola 3,4 mmol/l (133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/dl). Priemerná hodnota LDL C počas liečby atorvastatínom bola 1,9 mmol/l (73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/dl)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3,3 mmol/l (129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/dl) počas liečby placebom. Stredná hodnota sledovania bola 4,9 rokov.</w:t>
      </w:r>
    </w:p>
    <w:p w14:paraId="6EA068AD" w14:textId="77777777" w:rsidR="00932B54" w:rsidRPr="00CA4059" w:rsidRDefault="00932B54" w:rsidP="00CA4059">
      <w:pPr>
        <w:spacing w:after="0" w:line="240" w:lineRule="auto"/>
        <w:rPr>
          <w:rFonts w:ascii="Times New Roman" w:hAnsi="Times New Roman"/>
        </w:rPr>
      </w:pPr>
    </w:p>
    <w:p w14:paraId="0EC27234" w14:textId="27CC109F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 znižovalo riziko primárne sledovaného parametra fatálnej alebo nefatálnej cievnej mozgovej príhody o 15 % (HR 0,85; 95 % IS, 0,72</w:t>
      </w:r>
      <w:r w:rsidR="00932B5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932B5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1,00; p = 0,05 alebo 0,84; 95 % IS, 0,71</w:t>
      </w:r>
      <w:r w:rsidR="00932B5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932B5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0,99; p</w:t>
      </w:r>
      <w:r w:rsidR="00932B5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 0,03 po úprave faktorov na začiatku sledovania)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placebom. Celková mortalita pri použití atorvastatínu bola 9,1 % (216/2</w:t>
      </w:r>
      <w:r w:rsidR="00DE47E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365) oproti 8,9 % (211/2</w:t>
      </w:r>
      <w:r w:rsidR="00DE47E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366)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placebom.</w:t>
      </w:r>
    </w:p>
    <w:p w14:paraId="54A3FEFE" w14:textId="46A295AD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V </w:t>
      </w:r>
      <w:r w:rsidR="00F971A5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post</w:t>
      </w:r>
      <w:r w:rsidR="00F971A5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hoc“ analýze znižoval atorvastatín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výskyt ischemickej cievnej mozgovej príhody (218/2</w:t>
      </w:r>
      <w:r w:rsidR="001070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365, 9,2 % oproti 274/2</w:t>
      </w:r>
      <w:r w:rsidR="001070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366, 11,6 %, p = 0,01)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zvyšoval výskyt hemoragickej cievnej mozgovej príhody (55/2</w:t>
      </w:r>
      <w:r w:rsidR="001070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365, 2,3 % oproti 33/2</w:t>
      </w:r>
      <w:r w:rsidR="001070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366, 1,4 %, p = 0,02)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placebom.</w:t>
      </w:r>
    </w:p>
    <w:p w14:paraId="73C4EDA8" w14:textId="77777777" w:rsidR="00DE47E9" w:rsidRPr="00CA4059" w:rsidRDefault="00DE47E9" w:rsidP="00CA4059">
      <w:pPr>
        <w:spacing w:after="0" w:line="240" w:lineRule="auto"/>
        <w:rPr>
          <w:rFonts w:ascii="Times New Roman" w:hAnsi="Times New Roman"/>
        </w:rPr>
      </w:pPr>
    </w:p>
    <w:p w14:paraId="327A48C4" w14:textId="35EF64E2" w:rsidR="0093440D" w:rsidRPr="00CA4059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Riziko hemoragickej cievnej mozgovej príhody bolo zvýšené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vstúpili do štúdie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anamnézou už prekonanej hemoragickej cievnej mozgovej príhody (7/45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atorvastatínu oproti 2/48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placeba; HR 4,06; 95 % IS, 0,84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19,57)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riziko ischemickej cievnej mozgovej príhody bolo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oboch skupinách podobné (3/45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atorvastatínu oproti 2/48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placeba; HR 1,64; 95 % IS, 0,27</w:t>
      </w:r>
      <w:r w:rsidR="00F773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F77384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9,82).</w:t>
      </w:r>
    </w:p>
    <w:p w14:paraId="18464FA9" w14:textId="7C892D05" w:rsidR="0093440D" w:rsidRDefault="0093440D" w:rsidP="00CA4059">
      <w:pPr>
        <w:pStyle w:val="Normlndoblokusodrkami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Riziko hemoragickej cievnej mozgovej príhody bolo zvýšené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pacientov, ktorí vstúpili do štúdie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anamnézou už prekonaného lakunárneho mozgového infarktu (20/708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atorvastatínu oproti 4/701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placeba; HR 4,99; 95 % IS, 1,71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14,61), ale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týchto pacientov bolo tiež znížené riziko ischemickej cievnej mozgovej príhody (79/708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atorvastatínu oproti 102/701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placeba; HR 0,76; 95 % IS, 0,57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1,02). Je možné, že výsledné riziko cievnej mozgovej príhody je zvýšené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anamnézou už prekonaného lakunárneho mozgového infarktu, ktorí dostávajú 80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atorvastatínu/deň.</w:t>
      </w:r>
    </w:p>
    <w:p w14:paraId="2E171D41" w14:textId="77777777" w:rsidR="005B5F06" w:rsidRPr="00CA4059" w:rsidRDefault="005B5F06" w:rsidP="00CA4059">
      <w:pPr>
        <w:pStyle w:val="Normlndoblokusodrkami"/>
        <w:numPr>
          <w:ilvl w:val="0"/>
          <w:numId w:val="0"/>
        </w:numPr>
        <w:spacing w:after="0" w:line="240" w:lineRule="auto"/>
        <w:ind w:left="785"/>
        <w:rPr>
          <w:rFonts w:ascii="Times New Roman" w:hAnsi="Times New Roman"/>
        </w:rPr>
      </w:pPr>
    </w:p>
    <w:p w14:paraId="5C6AD2AC" w14:textId="58F0B7AA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podskupine 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anamnézou už prekonanej hemoragickej cievnej mozgovej príhody bola celková mortalita pri použití atorvastatínu 15,6 % (7/45) oproti 10,4 % (5/48)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placebom.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podskupine 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anamnézou už prekonaného lakunárneho mozgového infarktu bola celková mortalita pri použití atorvastatínu 10,9 % (77/708) oproti 9,1 % (64/701) pri placebe.</w:t>
      </w:r>
    </w:p>
    <w:p w14:paraId="47CA0661" w14:textId="77777777" w:rsidR="005B5F06" w:rsidRPr="00CA4059" w:rsidRDefault="005B5F06" w:rsidP="00CA4059">
      <w:pPr>
        <w:spacing w:after="0" w:line="240" w:lineRule="auto"/>
        <w:rPr>
          <w:rFonts w:ascii="Times New Roman" w:hAnsi="Times New Roman"/>
        </w:rPr>
      </w:pPr>
    </w:p>
    <w:p w14:paraId="0920E6E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Pediatrická populácia</w:t>
      </w:r>
    </w:p>
    <w:p w14:paraId="4E4609C6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Heterozygotná familiárna hypercholesterolémia</w:t>
      </w:r>
      <w:r w:rsidR="00800FD5" w:rsidRPr="00CA4059">
        <w:rPr>
          <w:rFonts w:ascii="Times New Roman" w:hAnsi="Times New Roman"/>
          <w:i/>
          <w:u w:val="none"/>
        </w:rPr>
        <w:t xml:space="preserve"> u </w:t>
      </w:r>
      <w:r w:rsidRPr="00CA4059">
        <w:rPr>
          <w:rFonts w:ascii="Times New Roman" w:hAnsi="Times New Roman"/>
          <w:i/>
          <w:u w:val="none"/>
        </w:rPr>
        <w:t>pediatrických pacientov vo veku od 6 do 17 rokov</w:t>
      </w:r>
    </w:p>
    <w:p w14:paraId="6FF1C812" w14:textId="57A107F8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8</w:t>
      </w:r>
      <w:r w:rsidR="00CE1CB3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 xml:space="preserve">týždňová </w:t>
      </w:r>
      <w:r w:rsidR="00CE1CB3" w:rsidRPr="00CE1CB3">
        <w:rPr>
          <w:rFonts w:ascii="Times New Roman" w:hAnsi="Times New Roman"/>
        </w:rPr>
        <w:t xml:space="preserve">otvorená </w:t>
      </w:r>
      <w:r w:rsidRPr="00CA4059">
        <w:rPr>
          <w:rFonts w:ascii="Times New Roman" w:hAnsi="Times New Roman"/>
        </w:rPr>
        <w:t xml:space="preserve">štúdia zameraná na </w:t>
      </w:r>
      <w:r w:rsidR="00306233">
        <w:rPr>
          <w:rFonts w:ascii="Times New Roman" w:hAnsi="Times New Roman"/>
        </w:rPr>
        <w:t>vy</w:t>
      </w:r>
      <w:r w:rsidRPr="00CA4059">
        <w:rPr>
          <w:rFonts w:ascii="Times New Roman" w:hAnsi="Times New Roman"/>
        </w:rPr>
        <w:t>hodnotenie farmakokinetiky, farmakodynamiky, bezpečnosti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tolerancie atorvastatínu </w:t>
      </w:r>
      <w:r w:rsidR="00306233">
        <w:rPr>
          <w:rFonts w:ascii="Times New Roman" w:hAnsi="Times New Roman"/>
        </w:rPr>
        <w:t>sa uskutočnila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detí</w:t>
      </w:r>
      <w:r w:rsidR="00800FD5" w:rsidRPr="00CA4059">
        <w:rPr>
          <w:rFonts w:ascii="Times New Roman" w:hAnsi="Times New Roman"/>
        </w:rPr>
        <w:t xml:space="preserve"> a </w:t>
      </w:r>
      <w:r w:rsidR="00306233">
        <w:rPr>
          <w:rFonts w:ascii="Times New Roman" w:hAnsi="Times New Roman"/>
        </w:rPr>
        <w:t>dospievajúci</w:t>
      </w:r>
      <w:r w:rsidRPr="00CA4059">
        <w:rPr>
          <w:rFonts w:ascii="Times New Roman" w:hAnsi="Times New Roman"/>
        </w:rPr>
        <w:t>ch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geneticky potvrdenou heterozygotnou familiárnou hypercholesterolémiou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východiskovým LDL-C ≥ 4 mmol/l. Spolu sa zúčastnilo 39 detí</w:t>
      </w:r>
      <w:r w:rsidR="00800FD5" w:rsidRPr="00CA4059">
        <w:rPr>
          <w:rFonts w:ascii="Times New Roman" w:hAnsi="Times New Roman"/>
        </w:rPr>
        <w:t xml:space="preserve"> a </w:t>
      </w:r>
      <w:r w:rsidR="00860A30">
        <w:rPr>
          <w:rFonts w:ascii="Times New Roman" w:hAnsi="Times New Roman"/>
        </w:rPr>
        <w:t>dospievajúcich</w:t>
      </w:r>
      <w:r w:rsidRPr="00CA4059">
        <w:rPr>
          <w:rFonts w:ascii="Times New Roman" w:hAnsi="Times New Roman"/>
        </w:rPr>
        <w:t xml:space="preserve"> </w:t>
      </w:r>
      <w:r w:rsidR="00894834">
        <w:rPr>
          <w:rFonts w:ascii="Times New Roman" w:hAnsi="Times New Roman"/>
        </w:rPr>
        <w:t xml:space="preserve">vo veku </w:t>
      </w:r>
      <w:r w:rsidRPr="00CA4059">
        <w:rPr>
          <w:rFonts w:ascii="Times New Roman" w:hAnsi="Times New Roman"/>
        </w:rPr>
        <w:t xml:space="preserve">od 6 do 17 </w:t>
      </w:r>
      <w:r w:rsidR="00894834">
        <w:rPr>
          <w:rFonts w:ascii="Times New Roman" w:hAnsi="Times New Roman"/>
        </w:rPr>
        <w:t>rokov</w:t>
      </w:r>
      <w:r w:rsidRPr="00CA4059">
        <w:rPr>
          <w:rFonts w:ascii="Times New Roman" w:hAnsi="Times New Roman"/>
        </w:rPr>
        <w:t>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skupine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A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bolo 15 detí vo veku 6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12 rokov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Tannerovom štádiu I. Skupina B pozostávala</w:t>
      </w:r>
      <w:r w:rsidR="00800FD5" w:rsidRPr="00CA4059">
        <w:rPr>
          <w:rFonts w:ascii="Times New Roman" w:hAnsi="Times New Roman"/>
        </w:rPr>
        <w:t xml:space="preserve"> </w:t>
      </w:r>
      <w:r w:rsidR="00451122">
        <w:rPr>
          <w:rFonts w:ascii="Times New Roman" w:hAnsi="Times New Roman"/>
        </w:rPr>
        <w:t>z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24 detí vo veku 10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17 rokov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Tannerovom štádiu ≥</w:t>
      </w:r>
      <w:r w:rsidR="00451122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2.</w:t>
      </w:r>
    </w:p>
    <w:p w14:paraId="01CE0D06" w14:textId="77777777" w:rsidR="00451122" w:rsidRPr="00CA4059" w:rsidRDefault="00451122" w:rsidP="00CA4059">
      <w:pPr>
        <w:spacing w:after="0" w:line="240" w:lineRule="auto"/>
        <w:rPr>
          <w:rFonts w:ascii="Times New Roman" w:hAnsi="Times New Roman"/>
        </w:rPr>
      </w:pPr>
    </w:p>
    <w:p w14:paraId="29953DE5" w14:textId="6EFC60CF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Počiatočná dávka atorvastatínu bola 5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 vo forme žuvacích tabliet pre skupinu</w:t>
      </w:r>
      <w:r w:rsidR="00800FD5" w:rsidRPr="00CA4059">
        <w:rPr>
          <w:rFonts w:ascii="Times New Roman" w:hAnsi="Times New Roman"/>
        </w:rPr>
        <w:t xml:space="preserve"> </w:t>
      </w:r>
      <w:r w:rsidR="00BB0E5A" w:rsidRPr="00CA4059">
        <w:rPr>
          <w:rFonts w:ascii="Times New Roman" w:hAnsi="Times New Roman"/>
        </w:rPr>
        <w:t>A</w:t>
      </w:r>
      <w:r w:rsidR="00E829B9">
        <w:rPr>
          <w:rFonts w:ascii="Times New Roman" w:hAnsi="Times New Roman"/>
        </w:rPr>
        <w:t xml:space="preserve"> a</w:t>
      </w:r>
      <w:r w:rsidR="006024A9" w:rsidRPr="00CA4059">
        <w:rPr>
          <w:rFonts w:ascii="Times New Roman" w:hAnsi="Times New Roman"/>
        </w:rPr>
        <w:t xml:space="preserve"> </w:t>
      </w:r>
      <w:r w:rsidR="00E829B9" w:rsidRPr="00CA4059">
        <w:rPr>
          <w:rFonts w:ascii="Times New Roman" w:hAnsi="Times New Roman"/>
        </w:rPr>
        <w:t>10 mg denne v</w:t>
      </w:r>
      <w:r w:rsidR="00E829B9">
        <w:rPr>
          <w:rFonts w:ascii="Times New Roman" w:hAnsi="Times New Roman"/>
        </w:rPr>
        <w:t>o</w:t>
      </w:r>
      <w:r w:rsidR="00E829B9" w:rsidRPr="00CA4059">
        <w:rPr>
          <w:rFonts w:ascii="Times New Roman" w:hAnsi="Times New Roman"/>
        </w:rPr>
        <w:t> forme</w:t>
      </w:r>
      <w:r w:rsidR="00E829B9">
        <w:rPr>
          <w:rFonts w:ascii="Times New Roman" w:hAnsi="Times New Roman"/>
        </w:rPr>
        <w:t xml:space="preserve"> </w:t>
      </w:r>
      <w:r w:rsidR="00E829B9" w:rsidRPr="00170AC3">
        <w:rPr>
          <w:rFonts w:ascii="Times New Roman" w:hAnsi="Times New Roman"/>
        </w:rPr>
        <w:t>tabl</w:t>
      </w:r>
      <w:r w:rsidR="00E829B9">
        <w:rPr>
          <w:rFonts w:ascii="Times New Roman" w:hAnsi="Times New Roman"/>
        </w:rPr>
        <w:t>i</w:t>
      </w:r>
      <w:r w:rsidR="00E829B9" w:rsidRPr="00170AC3">
        <w:rPr>
          <w:rFonts w:ascii="Times New Roman" w:hAnsi="Times New Roman"/>
        </w:rPr>
        <w:t>et</w:t>
      </w:r>
      <w:r w:rsidR="00E829B9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pre skupinu B. Dávk</w:t>
      </w:r>
      <w:r w:rsidR="00CF1DCC">
        <w:rPr>
          <w:rFonts w:ascii="Times New Roman" w:hAnsi="Times New Roman"/>
        </w:rPr>
        <w:t>u</w:t>
      </w:r>
      <w:r w:rsidRPr="00CA4059">
        <w:rPr>
          <w:rFonts w:ascii="Times New Roman" w:hAnsi="Times New Roman"/>
        </w:rPr>
        <w:t xml:space="preserve"> atorvastatínu bolo možné zdvojnásobiť</w:t>
      </w:r>
      <w:r w:rsidR="00CF1DCC">
        <w:rPr>
          <w:rFonts w:ascii="Times New Roman" w:hAnsi="Times New Roman"/>
        </w:rPr>
        <w:t>,</w:t>
      </w:r>
      <w:r w:rsidRPr="00CA4059">
        <w:rPr>
          <w:rFonts w:ascii="Times New Roman" w:hAnsi="Times New Roman"/>
        </w:rPr>
        <w:t xml:space="preserve"> ak </w:t>
      </w:r>
      <w:r w:rsidR="00EF6F54">
        <w:rPr>
          <w:rFonts w:ascii="Times New Roman" w:hAnsi="Times New Roman"/>
        </w:rPr>
        <w:t>osoba</w:t>
      </w:r>
      <w:r w:rsidR="00EF6F5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nedosiahl</w:t>
      </w:r>
      <w:r w:rsidR="00EF6F54">
        <w:rPr>
          <w:rFonts w:ascii="Times New Roman" w:hAnsi="Times New Roman"/>
        </w:rPr>
        <w:t>a</w:t>
      </w:r>
      <w:r w:rsidRPr="00CA4059">
        <w:rPr>
          <w:rFonts w:ascii="Times New Roman" w:hAnsi="Times New Roman"/>
        </w:rPr>
        <w:t xml:space="preserve"> cielen</w:t>
      </w:r>
      <w:r w:rsidR="00CF1DCC">
        <w:rPr>
          <w:rFonts w:ascii="Times New Roman" w:hAnsi="Times New Roman"/>
        </w:rPr>
        <w:t>ú hodnotu</w:t>
      </w:r>
      <w:r w:rsidRPr="00CA4059">
        <w:rPr>
          <w:rFonts w:ascii="Times New Roman" w:hAnsi="Times New Roman"/>
        </w:rPr>
        <w:t xml:space="preserve"> LDL-C &lt; 3,35 mmol/l</w:t>
      </w:r>
      <w:r w:rsidR="00800FD5" w:rsidRPr="00CA4059">
        <w:rPr>
          <w:rFonts w:ascii="Times New Roman" w:hAnsi="Times New Roman"/>
        </w:rPr>
        <w:t xml:space="preserve"> v</w:t>
      </w:r>
      <w:r w:rsidR="00CF1DCC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4</w:t>
      </w:r>
      <w:r w:rsidR="00CF1DCC">
        <w:rPr>
          <w:rFonts w:ascii="Times New Roman" w:hAnsi="Times New Roman"/>
        </w:rPr>
        <w:t>.</w:t>
      </w:r>
      <w:r w:rsidRPr="00CA4059">
        <w:rPr>
          <w:rFonts w:ascii="Times New Roman" w:hAnsi="Times New Roman"/>
        </w:rPr>
        <w:t xml:space="preserve"> týždni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ak bol atorvastatín dobre tolerovaný.</w:t>
      </w:r>
    </w:p>
    <w:p w14:paraId="752940A8" w14:textId="77777777" w:rsidR="00CF1DCC" w:rsidRPr="00CA4059" w:rsidRDefault="00CF1DCC" w:rsidP="00CA4059">
      <w:pPr>
        <w:spacing w:after="0" w:line="240" w:lineRule="auto"/>
        <w:rPr>
          <w:rFonts w:ascii="Times New Roman" w:hAnsi="Times New Roman"/>
        </w:rPr>
      </w:pPr>
    </w:p>
    <w:p w14:paraId="5D744EA2" w14:textId="4CF3A3D2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Priemerné hodnoty pre LDL-C, TC, VLDL-C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ApoD boli znížené do druhého týždňa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 xml:space="preserve">všetkých </w:t>
      </w:r>
      <w:r w:rsidR="00EF6F54">
        <w:rPr>
          <w:rFonts w:ascii="Times New Roman" w:hAnsi="Times New Roman"/>
        </w:rPr>
        <w:t>účastníkov klinického skúšania</w:t>
      </w:r>
      <w:r w:rsidRPr="00CA4059">
        <w:rPr>
          <w:rFonts w:ascii="Times New Roman" w:hAnsi="Times New Roman"/>
        </w:rPr>
        <w:t>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U</w:t>
      </w:r>
      <w:r w:rsidR="008E31BB">
        <w:rPr>
          <w:rFonts w:ascii="Times New Roman" w:hAnsi="Times New Roman"/>
        </w:rPr>
        <w:t> účastní</w:t>
      </w:r>
      <w:r w:rsidRPr="00CA4059">
        <w:rPr>
          <w:rFonts w:ascii="Times New Roman" w:hAnsi="Times New Roman"/>
        </w:rPr>
        <w:t>kov</w:t>
      </w:r>
      <w:r w:rsidR="008E31BB">
        <w:rPr>
          <w:rFonts w:ascii="Times New Roman" w:hAnsi="Times New Roman"/>
        </w:rPr>
        <w:t>,</w:t>
      </w:r>
      <w:r w:rsidRPr="00CA4059">
        <w:rPr>
          <w:rFonts w:ascii="Times New Roman" w:hAnsi="Times New Roman"/>
        </w:rPr>
        <w:t xml:space="preserve"> ktorých dávka bola zdvojnásobená</w:t>
      </w:r>
      <w:r w:rsidR="008E31BB">
        <w:rPr>
          <w:rFonts w:ascii="Times New Roman" w:hAnsi="Times New Roman"/>
        </w:rPr>
        <w:t>,</w:t>
      </w:r>
      <w:r w:rsidRPr="00CA4059">
        <w:rPr>
          <w:rFonts w:ascii="Times New Roman" w:hAnsi="Times New Roman"/>
        </w:rPr>
        <w:t xml:space="preserve"> ďalšie zníženia boli pozorované už od 2. týždňa, pri prvom hodnotení po zvýšení dávky. Priemerné percentuálne poklesy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lipidových parametroch boli podobné pre obidve skupiny nezávisle od toho či </w:t>
      </w:r>
      <w:r w:rsidR="00E1322C">
        <w:rPr>
          <w:rFonts w:ascii="Times New Roman" w:hAnsi="Times New Roman"/>
        </w:rPr>
        <w:t>účastníci</w:t>
      </w:r>
      <w:r w:rsidR="00E1322C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ostali na svojej iniciačnej dávke alebo im táto dávka bola zdvojnásobená.</w:t>
      </w:r>
      <w:r w:rsidR="00800FD5" w:rsidRPr="00CA4059">
        <w:rPr>
          <w:rFonts w:ascii="Times New Roman" w:hAnsi="Times New Roman"/>
        </w:rPr>
        <w:t xml:space="preserve"> </w:t>
      </w:r>
      <w:r w:rsidR="00F23067" w:rsidRPr="00CA4059"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8 týždni priemerne bola percentuálna zmena oproti východisku LDL-C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TC bola približne 40 % pre LDL-C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30 % pre TC počas doby sledovania.</w:t>
      </w:r>
    </w:p>
    <w:p w14:paraId="2C6380D2" w14:textId="77777777" w:rsidR="005B5F06" w:rsidRPr="00CA4059" w:rsidRDefault="005B5F06" w:rsidP="00CA4059">
      <w:pPr>
        <w:spacing w:after="0" w:line="240" w:lineRule="auto"/>
        <w:rPr>
          <w:rFonts w:ascii="Times New Roman" w:hAnsi="Times New Roman"/>
        </w:rPr>
      </w:pPr>
    </w:p>
    <w:p w14:paraId="51F991E4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Heterozygotná familiárna hypercholesterolémia</w:t>
      </w:r>
      <w:r w:rsidR="00800FD5" w:rsidRPr="00CA4059">
        <w:rPr>
          <w:rFonts w:ascii="Times New Roman" w:hAnsi="Times New Roman"/>
          <w:i/>
          <w:u w:val="none"/>
        </w:rPr>
        <w:t xml:space="preserve"> u </w:t>
      </w:r>
      <w:r w:rsidRPr="00CA4059">
        <w:rPr>
          <w:rFonts w:ascii="Times New Roman" w:hAnsi="Times New Roman"/>
          <w:i/>
          <w:u w:val="none"/>
        </w:rPr>
        <w:t>pediatrických pacientov veku od 10 do 17 rokov</w:t>
      </w:r>
    </w:p>
    <w:p w14:paraId="6E5EA706" w14:textId="5566C7B2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V dvojito zaslepenej, placebom kontrolovanej štúdii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nasledujúcou o</w:t>
      </w:r>
      <w:r w:rsidR="003416B7">
        <w:rPr>
          <w:rFonts w:ascii="Times New Roman" w:hAnsi="Times New Roman"/>
        </w:rPr>
        <w:t>tvorenou</w:t>
      </w:r>
      <w:r w:rsidRPr="00CA4059">
        <w:rPr>
          <w:rFonts w:ascii="Times New Roman" w:hAnsi="Times New Roman"/>
        </w:rPr>
        <w:t xml:space="preserve"> fázou bolo 187</w:t>
      </w:r>
      <w:r w:rsidR="007F0FB7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chlapcov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postmenarchálnych dievčat vo veku 10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17 rokov (priemerný vek 14,1 rokov)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heterozygotnou familiárnou hypercholesterolémiou (FH) alebo závažnou hypercholesterolémiou randomizovaných na atorvastatín (n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140) alebo placebo (n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47) počas 26 týždňov</w:t>
      </w:r>
      <w:r w:rsidR="00800FD5" w:rsidRPr="00CA4059">
        <w:rPr>
          <w:rFonts w:ascii="Times New Roman" w:hAnsi="Times New Roman"/>
        </w:rPr>
        <w:t xml:space="preserve"> a</w:t>
      </w:r>
      <w:r w:rsidR="00753FA4">
        <w:rPr>
          <w:rFonts w:ascii="Times New Roman" w:hAnsi="Times New Roman"/>
        </w:rPr>
        <w:t xml:space="preserve"> následne </w:t>
      </w:r>
      <w:r w:rsidRPr="00CA4059">
        <w:rPr>
          <w:rFonts w:ascii="Times New Roman" w:hAnsi="Times New Roman"/>
        </w:rPr>
        <w:t>všetci dost</w:t>
      </w:r>
      <w:r w:rsidR="00753FA4">
        <w:rPr>
          <w:rFonts w:ascii="Times New Roman" w:hAnsi="Times New Roman"/>
        </w:rPr>
        <w:t>áv</w:t>
      </w:r>
      <w:r w:rsidRPr="00CA4059">
        <w:rPr>
          <w:rFonts w:ascii="Times New Roman" w:hAnsi="Times New Roman"/>
        </w:rPr>
        <w:t xml:space="preserve">ali atorvastatín počas </w:t>
      </w:r>
      <w:r w:rsidR="001808A5">
        <w:rPr>
          <w:rFonts w:ascii="Times New Roman" w:hAnsi="Times New Roman"/>
        </w:rPr>
        <w:t xml:space="preserve">ďalších </w:t>
      </w:r>
      <w:r w:rsidRPr="00CA4059">
        <w:rPr>
          <w:rFonts w:ascii="Times New Roman" w:hAnsi="Times New Roman"/>
        </w:rPr>
        <w:t>26 týždňov. Dávka atorvastatínu (jedenkrát denne) bola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denne počas prvých 4</w:t>
      </w:r>
      <w:r w:rsidR="001808A5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týždňov</w:t>
      </w:r>
      <w:r w:rsidR="00800FD5" w:rsidRPr="00CA4059">
        <w:rPr>
          <w:rFonts w:ascii="Times New Roman" w:hAnsi="Times New Roman"/>
        </w:rPr>
        <w:t xml:space="preserve"> a</w:t>
      </w:r>
      <w:r w:rsidR="001808A5">
        <w:rPr>
          <w:rFonts w:ascii="Times New Roman" w:hAnsi="Times New Roman"/>
        </w:rPr>
        <w:t xml:space="preserve"> potom </w:t>
      </w:r>
      <w:r w:rsidR="001808A5" w:rsidRPr="009A3A29">
        <w:rPr>
          <w:rFonts w:ascii="Times New Roman" w:hAnsi="Times New Roman"/>
        </w:rPr>
        <w:t xml:space="preserve">sa </w:t>
      </w:r>
      <w:r w:rsidRPr="00CA4059">
        <w:rPr>
          <w:rFonts w:ascii="Times New Roman" w:hAnsi="Times New Roman"/>
        </w:rPr>
        <w:t>titrovala na 20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, ak hladina LDL cholesterolu bola &gt;</w:t>
      </w:r>
      <w:r w:rsidR="001808A5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3,36</w:t>
      </w:r>
      <w:r w:rsidR="001808A5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 xml:space="preserve">mmol/l. </w:t>
      </w:r>
      <w:r w:rsidR="001808A5" w:rsidRPr="00E14E33">
        <w:rPr>
          <w:rFonts w:ascii="Times New Roman" w:hAnsi="Times New Roman"/>
          <w:lang w:val="it-IT"/>
        </w:rPr>
        <w:t xml:space="preserve">Počas 26 týždňov dvojito zaslepenej fázy </w:t>
      </w:r>
      <w:r w:rsidR="001808A5">
        <w:rPr>
          <w:rFonts w:ascii="Times New Roman" w:hAnsi="Times New Roman"/>
          <w:lang w:val="it-IT"/>
        </w:rPr>
        <w:t>a</w:t>
      </w:r>
      <w:r w:rsidRPr="00CA4059">
        <w:rPr>
          <w:rFonts w:ascii="Times New Roman" w:hAnsi="Times New Roman"/>
        </w:rPr>
        <w:t>torvastatín výrazne znížil plazmatické hladiny celkového C, LDL-C</w:t>
      </w:r>
      <w:r w:rsidR="001808A5">
        <w:rPr>
          <w:rFonts w:ascii="Times New Roman" w:hAnsi="Times New Roman"/>
        </w:rPr>
        <w:t>,</w:t>
      </w:r>
      <w:r w:rsidRPr="00CA4059">
        <w:rPr>
          <w:rFonts w:ascii="Times New Roman" w:hAnsi="Times New Roman"/>
        </w:rPr>
        <w:t xml:space="preserve"> triglyceridov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apolipoproteínu B. Priemern</w:t>
      </w:r>
      <w:r w:rsidR="004133BB">
        <w:rPr>
          <w:rFonts w:ascii="Times New Roman" w:hAnsi="Times New Roman"/>
        </w:rPr>
        <w:t>á</w:t>
      </w:r>
      <w:r w:rsidRPr="00CA4059">
        <w:rPr>
          <w:rFonts w:ascii="Times New Roman" w:hAnsi="Times New Roman"/>
        </w:rPr>
        <w:t xml:space="preserve"> dosiahnutá hodnota LDL cholesterolu</w:t>
      </w:r>
      <w:r w:rsidR="00800FD5" w:rsidRPr="00CA4059">
        <w:rPr>
          <w:rFonts w:ascii="Times New Roman" w:hAnsi="Times New Roman"/>
        </w:rPr>
        <w:t xml:space="preserve"> </w:t>
      </w:r>
      <w:r w:rsidR="004133BB" w:rsidRPr="005552FF">
        <w:rPr>
          <w:rFonts w:ascii="Times New Roman" w:hAnsi="Times New Roman"/>
        </w:rPr>
        <w:t>počas 26-týždňovej, dvojito zaslepenej fáz</w:t>
      </w:r>
      <w:r w:rsidR="004133BB">
        <w:rPr>
          <w:rFonts w:ascii="Times New Roman" w:hAnsi="Times New Roman"/>
        </w:rPr>
        <w:t>y</w:t>
      </w:r>
      <w:r w:rsidR="004133BB" w:rsidRPr="0067219E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v </w:t>
      </w:r>
      <w:r w:rsidRPr="00CA4059">
        <w:rPr>
          <w:rFonts w:ascii="Times New Roman" w:hAnsi="Times New Roman"/>
        </w:rPr>
        <w:t>skupine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atorvastatínom bola 3,38 mmol/l (rozpätie: 1,81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601A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6,26 mmol/l)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porovnaní </w:t>
      </w:r>
      <w:r w:rsidR="004133BB">
        <w:rPr>
          <w:rFonts w:ascii="Times New Roman" w:hAnsi="Times New Roman"/>
        </w:rPr>
        <w:t xml:space="preserve">s </w:t>
      </w:r>
      <w:r w:rsidRPr="00CA4059">
        <w:rPr>
          <w:rFonts w:ascii="Times New Roman" w:hAnsi="Times New Roman"/>
        </w:rPr>
        <w:t>5,91 mmol/l</w:t>
      </w:r>
      <w:r w:rsidR="00800FD5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(rozpätie: 3,93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9,96 mmol/l)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placebom kontrolovanej skupine.</w:t>
      </w:r>
    </w:p>
    <w:p w14:paraId="142A6507" w14:textId="77777777" w:rsidR="0077474D" w:rsidRPr="00CA4059" w:rsidRDefault="0077474D" w:rsidP="00CA4059">
      <w:pPr>
        <w:spacing w:after="0" w:line="240" w:lineRule="auto"/>
        <w:rPr>
          <w:rFonts w:ascii="Times New Roman" w:hAnsi="Times New Roman"/>
        </w:rPr>
      </w:pPr>
    </w:p>
    <w:p w14:paraId="403A9128" w14:textId="1BF6AA6E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Ďalšia pediatrická štúdia </w:t>
      </w:r>
      <w:r w:rsidR="0077474D" w:rsidRPr="00221CAB">
        <w:rPr>
          <w:rFonts w:ascii="Times New Roman" w:hAnsi="Times New Roman"/>
          <w:color w:val="000000"/>
          <w:lang w:val="it-IT"/>
        </w:rPr>
        <w:t xml:space="preserve">porovnávajúca atorvastatín s kolestipolom </w:t>
      </w:r>
      <w:r w:rsidR="00800FD5" w:rsidRPr="00CA4059">
        <w:rPr>
          <w:rFonts w:ascii="Times New Roman" w:hAnsi="Times New Roman"/>
        </w:rPr>
        <w:t>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hypercholesterolémiou vo veku 10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18 rokov preukázala, že</w:t>
      </w:r>
      <w:r w:rsidR="00800FD5" w:rsidRPr="00CA4059">
        <w:rPr>
          <w:rFonts w:ascii="Times New Roman" w:hAnsi="Times New Roman"/>
        </w:rPr>
        <w:t xml:space="preserve"> v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26</w:t>
      </w:r>
      <w:r w:rsidR="0077474D">
        <w:rPr>
          <w:rFonts w:ascii="Times New Roman" w:hAnsi="Times New Roman"/>
        </w:rPr>
        <w:t>.</w:t>
      </w:r>
      <w:r w:rsidRPr="00CA4059">
        <w:rPr>
          <w:rFonts w:ascii="Times New Roman" w:hAnsi="Times New Roman"/>
        </w:rPr>
        <w:t xml:space="preserve"> týždni atorvastatín (n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25) spôsobil výrazný pokles LDL-C (p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&lt;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0,05)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kolestipolom (n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=</w:t>
      </w:r>
      <w:r w:rsidR="0077474D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31).</w:t>
      </w:r>
    </w:p>
    <w:p w14:paraId="1270D378" w14:textId="77777777" w:rsidR="003F6895" w:rsidRDefault="003F6895" w:rsidP="00CA4059">
      <w:pPr>
        <w:spacing w:after="0" w:line="240" w:lineRule="auto"/>
        <w:rPr>
          <w:rFonts w:ascii="Times New Roman" w:hAnsi="Times New Roman"/>
        </w:rPr>
      </w:pPr>
    </w:p>
    <w:p w14:paraId="35413116" w14:textId="60F4FDB9" w:rsidR="003F6895" w:rsidRPr="00CA4059" w:rsidRDefault="003F6895" w:rsidP="00CA405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31D43">
        <w:rPr>
          <w:rFonts w:ascii="Times New Roman" w:hAnsi="Times New Roman"/>
          <w:color w:val="000000"/>
          <w:lang w:val="it-IT"/>
        </w:rPr>
        <w:t xml:space="preserve">Štúdia </w:t>
      </w:r>
      <w:r w:rsidRPr="008F31B1">
        <w:rPr>
          <w:rFonts w:ascii="Times New Roman" w:hAnsi="Times New Roman"/>
          <w:lang w:val="it-IT"/>
        </w:rPr>
        <w:t xml:space="preserve">umožňujúca poskytnúť liek pacientovi z humanitárnych dôvodov pred schválením registrácie lieku </w:t>
      </w:r>
      <w:r w:rsidRPr="008F31B1">
        <w:rPr>
          <w:rFonts w:ascii="Times New Roman" w:hAnsi="Times New Roman"/>
          <w:color w:val="000000"/>
          <w:lang w:val="it-IT"/>
        </w:rPr>
        <w:t>(</w:t>
      </w:r>
      <w:r>
        <w:rPr>
          <w:rFonts w:ascii="Times New Roman" w:hAnsi="Times New Roman"/>
          <w:color w:val="000000"/>
          <w:lang w:val="it-IT"/>
        </w:rPr>
        <w:t>,,</w:t>
      </w:r>
      <w:r w:rsidRPr="008F31B1">
        <w:rPr>
          <w:rFonts w:ascii="Times New Roman" w:hAnsi="Times New Roman"/>
          <w:color w:val="000000"/>
          <w:lang w:val="it-IT"/>
        </w:rPr>
        <w:t>compassionate use study”) u pac</w:t>
      </w:r>
      <w:r w:rsidRPr="00A14C5D">
        <w:rPr>
          <w:rFonts w:ascii="Times New Roman" w:hAnsi="Times New Roman"/>
          <w:color w:val="000000"/>
          <w:lang w:val="it-IT"/>
        </w:rPr>
        <w:t>ientov s </w:t>
      </w:r>
      <w:r>
        <w:rPr>
          <w:rFonts w:ascii="Times New Roman" w:hAnsi="Times New Roman"/>
          <w:color w:val="000000"/>
          <w:lang w:val="it-IT"/>
        </w:rPr>
        <w:t>závažn</w:t>
      </w:r>
      <w:r w:rsidRPr="00A14C5D">
        <w:rPr>
          <w:rFonts w:ascii="Times New Roman" w:hAnsi="Times New Roman"/>
          <w:color w:val="000000"/>
          <w:lang w:val="it-IT"/>
        </w:rPr>
        <w:t xml:space="preserve">ou hypercholesterolémiou (vrátane homozygotnej </w:t>
      </w:r>
      <w:r w:rsidRPr="00F121A9">
        <w:rPr>
          <w:rFonts w:ascii="Times New Roman" w:hAnsi="Times New Roman"/>
          <w:iCs/>
          <w:lang w:val="it-IT"/>
        </w:rPr>
        <w:t>hypercholesterolémie</w:t>
      </w:r>
      <w:r w:rsidRPr="00E8612A">
        <w:rPr>
          <w:rFonts w:ascii="Times New Roman" w:hAnsi="Times New Roman"/>
          <w:color w:val="000000"/>
          <w:lang w:val="it-IT"/>
        </w:rPr>
        <w:t>) zahŕňala 46 detských a dospievajúcich pacientov liečených atorvastatínom v titrovanej dávke podľa odpovede (niektorí pacienti dostávali 80 mg atorvastatínu denne). Štúdia trv</w:t>
      </w:r>
      <w:r w:rsidRPr="00F53D01">
        <w:rPr>
          <w:rFonts w:ascii="Times New Roman" w:hAnsi="Times New Roman"/>
          <w:color w:val="000000"/>
          <w:lang w:val="it-IT"/>
        </w:rPr>
        <w:t>ala 3 roky: LDL cholesterol sa znížil o 36 %.</w:t>
      </w:r>
    </w:p>
    <w:p w14:paraId="21DF8EAA" w14:textId="6C8409B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</w:p>
    <w:p w14:paraId="1870CF26" w14:textId="7ABC2F84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Dlhodobá účinnosť liečby</w:t>
      </w:r>
      <w:r w:rsidR="00800FD5" w:rsidRPr="00CA4059">
        <w:rPr>
          <w:rFonts w:ascii="Times New Roman" w:hAnsi="Times New Roman"/>
        </w:rPr>
        <w:t xml:space="preserve"> </w:t>
      </w:r>
      <w:r w:rsidR="00874314" w:rsidRPr="001B27F5">
        <w:rPr>
          <w:rFonts w:ascii="Times New Roman" w:hAnsi="Times New Roman"/>
        </w:rPr>
        <w:t>atorvastatíno</w:t>
      </w:r>
      <w:r w:rsidR="00874314">
        <w:rPr>
          <w:rFonts w:ascii="Times New Roman" w:hAnsi="Times New Roman"/>
        </w:rPr>
        <w:t>m</w:t>
      </w:r>
      <w:r w:rsidR="00874314" w:rsidRPr="0067219E">
        <w:rPr>
          <w:rFonts w:ascii="Times New Roman" w:hAnsi="Times New Roman"/>
        </w:rPr>
        <w:t xml:space="preserve"> </w:t>
      </w:r>
      <w:r w:rsidR="00800FD5" w:rsidRPr="00CA4059">
        <w:rPr>
          <w:rFonts w:ascii="Times New Roman" w:hAnsi="Times New Roman"/>
        </w:rPr>
        <w:t>v </w:t>
      </w:r>
      <w:r w:rsidRPr="00CA4059">
        <w:rPr>
          <w:rFonts w:ascii="Times New Roman" w:hAnsi="Times New Roman"/>
        </w:rPr>
        <w:t>detstve na zníženie morbidity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mortality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dospelosti sa ne</w:t>
      </w:r>
      <w:r w:rsidR="00874314">
        <w:rPr>
          <w:rFonts w:ascii="Times New Roman" w:hAnsi="Times New Roman"/>
        </w:rPr>
        <w:t>potvrdila</w:t>
      </w:r>
      <w:r w:rsidRPr="00CA4059">
        <w:rPr>
          <w:rFonts w:ascii="Times New Roman" w:hAnsi="Times New Roman"/>
        </w:rPr>
        <w:t>.</w:t>
      </w:r>
    </w:p>
    <w:p w14:paraId="2183978E" w14:textId="77777777" w:rsidR="00874314" w:rsidRPr="00CA4059" w:rsidRDefault="00874314" w:rsidP="00CA4059">
      <w:pPr>
        <w:spacing w:after="0" w:line="240" w:lineRule="auto"/>
        <w:rPr>
          <w:rFonts w:ascii="Times New Roman" w:hAnsi="Times New Roman"/>
        </w:rPr>
      </w:pPr>
    </w:p>
    <w:p w14:paraId="3AC7B1E8" w14:textId="18BF742E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 xml:space="preserve">Európska agentúra pre lieky </w:t>
      </w:r>
      <w:r w:rsidR="00962895" w:rsidRPr="00962895">
        <w:rPr>
          <w:rFonts w:ascii="Times New Roman" w:hAnsi="Times New Roman"/>
        </w:rPr>
        <w:t xml:space="preserve">udelila výnimku z povinnosti predložiť výsledky štúdií </w:t>
      </w:r>
      <w:r w:rsidR="00962895">
        <w:rPr>
          <w:rFonts w:ascii="Times New Roman" w:hAnsi="Times New Roman"/>
        </w:rPr>
        <w:t>s</w:t>
      </w:r>
      <w:r w:rsidR="00962895" w:rsidRPr="00962895">
        <w:rPr>
          <w:rFonts w:ascii="Times New Roman" w:hAnsi="Times New Roman"/>
        </w:rPr>
        <w:t xml:space="preserve"> atorvastatín</w:t>
      </w:r>
      <w:r w:rsidR="00962895">
        <w:rPr>
          <w:rFonts w:ascii="Times New Roman" w:hAnsi="Times New Roman"/>
        </w:rPr>
        <w:t>om</w:t>
      </w:r>
      <w:r w:rsidR="00962895" w:rsidRPr="00962895">
        <w:rPr>
          <w:rFonts w:ascii="Times New Roman" w:hAnsi="Times New Roman"/>
        </w:rPr>
        <w:t xml:space="preserve"> v liečbe heterozygotnej hypercholesterolémie u detí do 6 rokov a v liečbe homozygotnej hypercholesterolémie u detí a dospievajúcich do 18 rokov, </w:t>
      </w:r>
      <w:r w:rsidRPr="00CA4059">
        <w:rPr>
          <w:rFonts w:ascii="Times New Roman" w:hAnsi="Times New Roman"/>
        </w:rPr>
        <w:t>kombinovanej (zmiešanej)</w:t>
      </w:r>
      <w:r w:rsidR="00962895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hypercholesterolémi</w:t>
      </w:r>
      <w:r w:rsidR="00962895">
        <w:rPr>
          <w:rFonts w:ascii="Times New Roman" w:hAnsi="Times New Roman"/>
        </w:rPr>
        <w:t>e</w:t>
      </w:r>
      <w:r w:rsidRPr="00CA4059">
        <w:rPr>
          <w:rFonts w:ascii="Times New Roman" w:hAnsi="Times New Roman"/>
        </w:rPr>
        <w:t>, primárnej hypercholesterolémi</w:t>
      </w:r>
      <w:r w:rsidR="00962895">
        <w:rPr>
          <w:rFonts w:ascii="Times New Roman" w:hAnsi="Times New Roman"/>
        </w:rPr>
        <w:t>e</w:t>
      </w:r>
      <w:r w:rsidR="00800FD5" w:rsidRPr="00CA4059">
        <w:rPr>
          <w:rFonts w:ascii="Times New Roman" w:hAnsi="Times New Roman"/>
        </w:rPr>
        <w:t xml:space="preserve"> a v </w:t>
      </w:r>
      <w:r w:rsidRPr="00CA4059">
        <w:rPr>
          <w:rFonts w:ascii="Times New Roman" w:hAnsi="Times New Roman"/>
        </w:rPr>
        <w:t>prevencii kardiovaskulárnych príhod (</w:t>
      </w:r>
      <w:r w:rsidR="00962895">
        <w:rPr>
          <w:rFonts w:ascii="Times New Roman" w:hAnsi="Times New Roman"/>
        </w:rPr>
        <w:t>i</w:t>
      </w:r>
      <w:r w:rsidR="00962895" w:rsidRPr="00241033">
        <w:rPr>
          <w:rFonts w:ascii="Times New Roman" w:hAnsi="Times New Roman"/>
        </w:rPr>
        <w:t xml:space="preserve">nformácie o použití </w:t>
      </w:r>
      <w:r w:rsidR="00962895">
        <w:rPr>
          <w:rFonts w:ascii="Times New Roman" w:hAnsi="Times New Roman"/>
        </w:rPr>
        <w:t>v pediatrickej populácii,</w:t>
      </w:r>
      <w:r w:rsidR="00962895" w:rsidRPr="0067219E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pozri časť 4.2.).</w:t>
      </w:r>
    </w:p>
    <w:p w14:paraId="710AE821" w14:textId="77777777" w:rsidR="003F6895" w:rsidRPr="00CA4059" w:rsidRDefault="003F6895" w:rsidP="00CA4059">
      <w:pPr>
        <w:spacing w:after="0" w:line="240" w:lineRule="auto"/>
        <w:rPr>
          <w:rFonts w:ascii="Times New Roman" w:hAnsi="Times New Roman"/>
        </w:rPr>
      </w:pPr>
    </w:p>
    <w:p w14:paraId="1A00E79A" w14:textId="77777777" w:rsidR="0093440D" w:rsidRPr="0067219E" w:rsidRDefault="0093440D" w:rsidP="00BE7477">
      <w:pPr>
        <w:pStyle w:val="Styl2"/>
      </w:pPr>
      <w:r w:rsidRPr="0067219E">
        <w:t>Farmakokinetické vlastnosti</w:t>
      </w:r>
    </w:p>
    <w:p w14:paraId="2FC1BC03" w14:textId="77777777" w:rsidR="00AD78E3" w:rsidRPr="00CA4059" w:rsidRDefault="00AD78E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36569A5A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Absorpcia</w:t>
      </w:r>
    </w:p>
    <w:p w14:paraId="336C51AD" w14:textId="3EC7BB94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sa po perorálnom podaní rýchlo absorbuje, maximálne plazmatické koncentrácie (C</w:t>
      </w:r>
      <w:r w:rsidRPr="00CA4059">
        <w:rPr>
          <w:rFonts w:ascii="Times New Roman" w:hAnsi="Times New Roman"/>
          <w:vertAlign w:val="subscript"/>
        </w:rPr>
        <w:t>max</w:t>
      </w:r>
      <w:r w:rsidRPr="00CA4059">
        <w:rPr>
          <w:rFonts w:ascii="Times New Roman" w:hAnsi="Times New Roman"/>
        </w:rPr>
        <w:t>) sa dosiahnu do 1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2 hodín. Miera absorpcie vzrastá proporcionálne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dávkou atorvastatínu. Po perorálnom podaní majú filmom obalené tablety atorvastatínu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porovnaní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perorálnym roztokom 95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321734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99 % biologickú dostupnosť. Absolútna biologická dostupnosť atorvastatínu je približne 12 %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systémovo dosiahnuteľná inhibičná aktivita HMG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CoA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je asi 30 %. Nízka systémová dostupnosť býva pripisovaná presystémovému klírensu na sliznici GIT</w:t>
      </w:r>
      <w:r w:rsidR="00800FD5" w:rsidRPr="00CA4059">
        <w:rPr>
          <w:rFonts w:ascii="Times New Roman" w:hAnsi="Times New Roman"/>
        </w:rPr>
        <w:t xml:space="preserve"> a</w:t>
      </w:r>
      <w:r w:rsidRPr="00CA4059">
        <w:rPr>
          <w:rFonts w:ascii="Times New Roman" w:hAnsi="Times New Roman"/>
        </w:rPr>
        <w:t xml:space="preserve">/alebo tzv. </w:t>
      </w:r>
      <w:r w:rsidR="00B3675F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first-pass“ metabolizmu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pečeni.</w:t>
      </w:r>
    </w:p>
    <w:p w14:paraId="5D8631AA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002C1C1B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Distribúcia</w:t>
      </w:r>
    </w:p>
    <w:p w14:paraId="373EE704" w14:textId="0F73F30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Priemerný distribučný objem atorvastatínu je približne 381 l. Atorvastatín sa viaže z ≥ 98 % na plazmatické bielkoviny.</w:t>
      </w:r>
    </w:p>
    <w:p w14:paraId="03314892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14B9A8D0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Biotransformácia</w:t>
      </w:r>
    </w:p>
    <w:p w14:paraId="318DE7A4" w14:textId="3C8AA7E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je metabolizovaný cytochrómom P450 3A4 na orto-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parahydroxylové deriváty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rôzne betaoxidačné produkty. Okrem iných ciest sa tieto produkty ďalej metabolizujú glukuronidáciou. </w:t>
      </w:r>
      <w:r w:rsidRPr="00CA4059">
        <w:rPr>
          <w:rFonts w:ascii="Times New Roman" w:hAnsi="Times New Roman"/>
          <w:i/>
        </w:rPr>
        <w:t>In vitro</w:t>
      </w:r>
      <w:r w:rsidRPr="00CA4059">
        <w:rPr>
          <w:rFonts w:ascii="Times New Roman" w:hAnsi="Times New Roman"/>
        </w:rPr>
        <w:t xml:space="preserve"> je inhibícia HMG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CoA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orto</w:t>
      </w:r>
      <w:r w:rsidR="001A2733">
        <w:rPr>
          <w:rFonts w:ascii="Times New Roman" w:hAnsi="Times New Roman"/>
        </w:rPr>
        <w:t>-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parahydroxylovými metabolitmi ekvivalentná inhibícii atorvastatínom. Približne 70 % cirkulujúcej inhibičnej aktivity HMG</w:t>
      </w:r>
      <w:r w:rsidR="00606C09" w:rsidRPr="008D3CC2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CoA</w:t>
      </w:r>
      <w:r w:rsidR="00606C09" w:rsidRPr="008D3CC2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sa pripisuje biologicky aktívnym metabolitom.</w:t>
      </w:r>
    </w:p>
    <w:p w14:paraId="2BFC5246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68840CD9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Eliminácia</w:t>
      </w:r>
    </w:p>
    <w:p w14:paraId="2CEDDD11" w14:textId="7D0E97C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sa primárne vylučuje žlčou po hepatálnej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extrahepatálnej metabolizácii. Nezdá sa však, že by liek prechádzal signifikantnou enterohepatálnou recirkuláciou. Stredný eliminačný polčas atorvastatínu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plazme je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človeka približne 14 h. Polčas inhibičnej aktivity HMG</w:t>
      </w:r>
      <w:r w:rsidR="00606C09" w:rsidRPr="008D3CC2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CoA</w:t>
      </w:r>
      <w:r w:rsidR="00606C09" w:rsidRPr="008D3CC2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je asi 20 až 30 h vzhľadom na príspevok aktívnych metabolitov.</w:t>
      </w:r>
    </w:p>
    <w:p w14:paraId="3C468ECC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79E0F5BB" w14:textId="33E2D65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je substrátom pečeňových transportérov, polypeptidu transportujúceho organické anióny 1B1 (OATP1B1)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transportéra 1B3 (OATP1B3). Metabolity atorvastatínu sú substráty OATP1B1. Atorvastatín sa identifikoval aj ako substrát pre efluxné transportéry proteín multiliekovej rezistencie 1</w:t>
      </w:r>
      <w:r w:rsidR="007E5C0B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(MDR1)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proteín rezistencie voči rakovine prsníka (BCRP), ktoré môžu limitovať absorpciu atorvastatínu z čreva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žlčový klírens.</w:t>
      </w:r>
    </w:p>
    <w:p w14:paraId="46400E07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22670F91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Osobitné skupiny pacientov</w:t>
      </w:r>
    </w:p>
    <w:p w14:paraId="0A890420" w14:textId="2046727F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 xml:space="preserve">Starší </w:t>
      </w:r>
      <w:r w:rsidR="008D3CC2">
        <w:rPr>
          <w:rFonts w:ascii="Times New Roman" w:hAnsi="Times New Roman"/>
          <w:i/>
        </w:rPr>
        <w:t>ľudia</w:t>
      </w:r>
      <w:r w:rsidRPr="00CA4059">
        <w:rPr>
          <w:rFonts w:ascii="Times New Roman" w:hAnsi="Times New Roman"/>
          <w:i/>
        </w:rPr>
        <w:t>:</w:t>
      </w:r>
    </w:p>
    <w:p w14:paraId="66CCEC2A" w14:textId="514D2A44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Plazmatické koncentrácie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 sú vyššie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zdravých starších pacientov ako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mladých dospelých osôb, pričom účinky na lipidy boli porovnateľné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účinkami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populácie mladších pacientov.</w:t>
      </w:r>
    </w:p>
    <w:p w14:paraId="5E8CF3D4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72720241" w14:textId="185B5084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>Deti</w:t>
      </w:r>
      <w:r w:rsidR="00800FD5" w:rsidRPr="00CA4059">
        <w:rPr>
          <w:rFonts w:ascii="Times New Roman" w:hAnsi="Times New Roman"/>
          <w:i/>
        </w:rPr>
        <w:t xml:space="preserve"> a </w:t>
      </w:r>
      <w:r w:rsidRPr="00CA4059">
        <w:rPr>
          <w:rFonts w:ascii="Times New Roman" w:hAnsi="Times New Roman"/>
          <w:i/>
        </w:rPr>
        <w:t>dospievajúci:</w:t>
      </w:r>
    </w:p>
    <w:p w14:paraId="6072ED6C" w14:textId="00BF5C37" w:rsidR="0093440D" w:rsidRDefault="00757739" w:rsidP="00CA40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800FD5" w:rsidRPr="00CA4059">
        <w:rPr>
          <w:rFonts w:ascii="Times New Roman" w:hAnsi="Times New Roman"/>
        </w:rPr>
        <w:t> </w:t>
      </w:r>
      <w:r w:rsidR="0093440D" w:rsidRPr="00CA4059">
        <w:rPr>
          <w:rFonts w:ascii="Times New Roman" w:hAnsi="Times New Roman"/>
        </w:rPr>
        <w:t>otvorenej, 8 týždňov trvajúcej štúdii, sa pediatrickí pacienti (vo veku 6</w:t>
      </w:r>
      <w:r w:rsidR="00321734" w:rsidRPr="00CA4059">
        <w:rPr>
          <w:rFonts w:ascii="Times New Roman" w:hAnsi="Times New Roman"/>
        </w:rPr>
        <w:t> – </w:t>
      </w:r>
      <w:r w:rsidR="0093440D" w:rsidRPr="00CA4059">
        <w:rPr>
          <w:rFonts w:ascii="Times New Roman" w:hAnsi="Times New Roman"/>
        </w:rPr>
        <w:t>17 rokov)</w:t>
      </w:r>
      <w:r w:rsidR="00800FD5" w:rsidRPr="00CA4059">
        <w:rPr>
          <w:rFonts w:ascii="Times New Roman" w:hAnsi="Times New Roman"/>
        </w:rPr>
        <w:t xml:space="preserve"> v </w:t>
      </w:r>
      <w:r w:rsidR="0093440D" w:rsidRPr="00CA4059">
        <w:rPr>
          <w:rFonts w:ascii="Times New Roman" w:hAnsi="Times New Roman"/>
        </w:rPr>
        <w:t>Tannerovom štádiu 1 (N = 15)</w:t>
      </w:r>
      <w:r w:rsidR="00800FD5" w:rsidRPr="00CA4059">
        <w:rPr>
          <w:rFonts w:ascii="Times New Roman" w:hAnsi="Times New Roman"/>
        </w:rPr>
        <w:t xml:space="preserve"> a v </w:t>
      </w:r>
      <w:r w:rsidR="0093440D" w:rsidRPr="00CA4059">
        <w:rPr>
          <w:rFonts w:ascii="Times New Roman" w:hAnsi="Times New Roman"/>
        </w:rPr>
        <w:t>Tannerovom štádiu ≥ 2 (n = 24)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="0093440D" w:rsidRPr="00CA4059">
        <w:rPr>
          <w:rFonts w:ascii="Times New Roman" w:hAnsi="Times New Roman"/>
        </w:rPr>
        <w:t>heterozygotnou familiárnou hypercholesterolémiou</w:t>
      </w:r>
      <w:r w:rsidR="00800FD5" w:rsidRPr="00CA4059">
        <w:rPr>
          <w:rFonts w:ascii="Times New Roman" w:hAnsi="Times New Roman"/>
        </w:rPr>
        <w:t xml:space="preserve"> a </w:t>
      </w:r>
      <w:r w:rsidR="0093440D" w:rsidRPr="00CA4059">
        <w:rPr>
          <w:rFonts w:ascii="Times New Roman" w:hAnsi="Times New Roman"/>
        </w:rPr>
        <w:t>východiskovou hodnotou LDL</w:t>
      </w:r>
      <w:r w:rsidR="009162D9">
        <w:rPr>
          <w:rFonts w:ascii="Times New Roman" w:hAnsi="Times New Roman"/>
        </w:rPr>
        <w:t>-</w:t>
      </w:r>
      <w:r w:rsidR="0093440D" w:rsidRPr="00CA4059">
        <w:rPr>
          <w:rFonts w:ascii="Times New Roman" w:hAnsi="Times New Roman"/>
        </w:rPr>
        <w:t>C ≥ 4 mmol/l liečili jednorazovou dennou dávkou 5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 xml:space="preserve"> alebo 10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 xml:space="preserve"> atorvastatínu vo forme žuvacích tabliet alebo 10</w:t>
      </w:r>
      <w:r w:rsidR="00800FD5" w:rsidRPr="00CA4059">
        <w:rPr>
          <w:rFonts w:ascii="Times New Roman" w:hAnsi="Times New Roman"/>
        </w:rPr>
        <w:t> mg a </w:t>
      </w:r>
      <w:r w:rsidR="0093440D" w:rsidRPr="00CA4059">
        <w:rPr>
          <w:rFonts w:ascii="Times New Roman" w:hAnsi="Times New Roman"/>
        </w:rPr>
        <w:t>20</w:t>
      </w:r>
      <w:r w:rsidR="00800FD5" w:rsidRPr="00CA4059">
        <w:rPr>
          <w:rFonts w:ascii="Times New Roman" w:hAnsi="Times New Roman"/>
        </w:rPr>
        <w:t> mg</w:t>
      </w:r>
      <w:r w:rsidR="0093440D" w:rsidRPr="00CA4059">
        <w:rPr>
          <w:rFonts w:ascii="Times New Roman" w:hAnsi="Times New Roman"/>
        </w:rPr>
        <w:t xml:space="preserve"> vo forme filmom obalených tabliet. Telesná hmotnosť bola jedinou signifikantnou premennou</w:t>
      </w:r>
      <w:r w:rsidR="00800FD5" w:rsidRPr="00CA4059">
        <w:rPr>
          <w:rFonts w:ascii="Times New Roman" w:hAnsi="Times New Roman"/>
        </w:rPr>
        <w:t xml:space="preserve"> v </w:t>
      </w:r>
      <w:r w:rsidR="0093440D" w:rsidRPr="00CA4059">
        <w:rPr>
          <w:rFonts w:ascii="Times New Roman" w:hAnsi="Times New Roman"/>
        </w:rPr>
        <w:t>atorvastatínovom populačnom farmakokinetickom modeli. Zdanlivý klírens atorvastatínu po perorálnom podaní</w:t>
      </w:r>
      <w:r w:rsidR="00800FD5" w:rsidRPr="00CA4059">
        <w:rPr>
          <w:rFonts w:ascii="Times New Roman" w:hAnsi="Times New Roman"/>
        </w:rPr>
        <w:t xml:space="preserve"> u </w:t>
      </w:r>
      <w:r w:rsidR="0093440D" w:rsidRPr="00CA4059">
        <w:rPr>
          <w:rFonts w:ascii="Times New Roman" w:hAnsi="Times New Roman"/>
        </w:rPr>
        <w:t>pediatrických pacientov sa zdal byť podobný klírensu</w:t>
      </w:r>
      <w:r w:rsidR="00800FD5" w:rsidRPr="00CA4059">
        <w:rPr>
          <w:rFonts w:ascii="Times New Roman" w:hAnsi="Times New Roman"/>
        </w:rPr>
        <w:t xml:space="preserve"> u </w:t>
      </w:r>
      <w:r w:rsidR="0093440D" w:rsidRPr="00CA4059">
        <w:rPr>
          <w:rFonts w:ascii="Times New Roman" w:hAnsi="Times New Roman"/>
        </w:rPr>
        <w:t>dospelých, keď sa meral alometricky podľa telesnej hmotnosti. Konzistentné poklesy hladín LDL</w:t>
      </w:r>
      <w:r w:rsidR="009162D9">
        <w:rPr>
          <w:rFonts w:ascii="Times New Roman" w:hAnsi="Times New Roman"/>
        </w:rPr>
        <w:t>-</w:t>
      </w:r>
      <w:r w:rsidR="0093440D" w:rsidRPr="00CA4059">
        <w:rPr>
          <w:rFonts w:ascii="Times New Roman" w:hAnsi="Times New Roman"/>
        </w:rPr>
        <w:t>C</w:t>
      </w:r>
      <w:r w:rsidR="00800FD5" w:rsidRPr="00CA4059">
        <w:rPr>
          <w:rFonts w:ascii="Times New Roman" w:hAnsi="Times New Roman"/>
        </w:rPr>
        <w:t xml:space="preserve"> a </w:t>
      </w:r>
      <w:r w:rsidR="0093440D" w:rsidRPr="00CA4059">
        <w:rPr>
          <w:rFonts w:ascii="Times New Roman" w:hAnsi="Times New Roman"/>
        </w:rPr>
        <w:t>TC sa pozorovali</w:t>
      </w:r>
      <w:r w:rsidR="00800FD5" w:rsidRPr="00CA4059">
        <w:rPr>
          <w:rFonts w:ascii="Times New Roman" w:hAnsi="Times New Roman"/>
        </w:rPr>
        <w:t xml:space="preserve"> v </w:t>
      </w:r>
      <w:r w:rsidR="0093440D" w:rsidRPr="00CA4059">
        <w:rPr>
          <w:rFonts w:ascii="Times New Roman" w:hAnsi="Times New Roman"/>
        </w:rPr>
        <w:t>celom rozsahu expozícií atorvastatínu</w:t>
      </w:r>
      <w:r w:rsidR="00800FD5" w:rsidRPr="00CA4059">
        <w:rPr>
          <w:rFonts w:ascii="Times New Roman" w:hAnsi="Times New Roman"/>
        </w:rPr>
        <w:t xml:space="preserve"> a </w:t>
      </w:r>
      <w:r w:rsidR="0093440D" w:rsidRPr="00CA4059">
        <w:rPr>
          <w:rFonts w:ascii="Times New Roman" w:hAnsi="Times New Roman"/>
        </w:rPr>
        <w:t>o</w:t>
      </w:r>
      <w:r w:rsidR="009162D9">
        <w:rPr>
          <w:rFonts w:ascii="Times New Roman" w:hAnsi="Times New Roman"/>
        </w:rPr>
        <w:t>-</w:t>
      </w:r>
      <w:r w:rsidR="0093440D" w:rsidRPr="00CA4059">
        <w:rPr>
          <w:rFonts w:ascii="Times New Roman" w:hAnsi="Times New Roman"/>
        </w:rPr>
        <w:t>hydroxyatorvastatínu.</w:t>
      </w:r>
    </w:p>
    <w:p w14:paraId="6D643B4D" w14:textId="77777777" w:rsidR="00757739" w:rsidRPr="00CA4059" w:rsidRDefault="00757739" w:rsidP="00CA4059">
      <w:pPr>
        <w:spacing w:after="0" w:line="240" w:lineRule="auto"/>
        <w:rPr>
          <w:rFonts w:ascii="Times New Roman" w:hAnsi="Times New Roman"/>
        </w:rPr>
      </w:pPr>
    </w:p>
    <w:p w14:paraId="3943DFA0" w14:textId="77777777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>Pohlavie</w:t>
      </w:r>
      <w:r w:rsidRPr="00CA4059">
        <w:rPr>
          <w:rFonts w:ascii="Times New Roman" w:hAnsi="Times New Roman"/>
        </w:rPr>
        <w:t>:</w:t>
      </w:r>
    </w:p>
    <w:p w14:paraId="340B272B" w14:textId="15E882D4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Koncentrácie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žien sa líšia od koncentrácií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mužov (ženy: približne o 20 % vyššie C</w:t>
      </w:r>
      <w:r w:rsidRPr="00CA4059">
        <w:rPr>
          <w:rFonts w:ascii="Times New Roman" w:hAnsi="Times New Roman"/>
          <w:vertAlign w:val="subscript"/>
        </w:rPr>
        <w:t>max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o 10 % nižšia hodnota AUC). Tieto rozdiely nie sú klinicky významné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nemajú za následok žiadne klinicky signifikantné rozdiely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účinku na lipidy medzi mužmi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ženami.</w:t>
      </w:r>
    </w:p>
    <w:p w14:paraId="2AEA7BC8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542D44B2" w14:textId="77777777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>Renálna insuficiencia</w:t>
      </w:r>
      <w:r w:rsidRPr="00CA4059">
        <w:rPr>
          <w:rFonts w:ascii="Times New Roman" w:hAnsi="Times New Roman"/>
        </w:rPr>
        <w:t>:</w:t>
      </w:r>
    </w:p>
    <w:p w14:paraId="009B755C" w14:textId="6F9386F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Ochorenie obličiek nemá vplyv na plazmatické koncentrácie alebo účinky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 na lipidy.</w:t>
      </w:r>
    </w:p>
    <w:p w14:paraId="66F20BC2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13B128F6" w14:textId="77777777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>Pečeňová insuficiencia</w:t>
      </w:r>
      <w:r w:rsidRPr="00CA4059">
        <w:rPr>
          <w:rFonts w:ascii="Times New Roman" w:hAnsi="Times New Roman"/>
        </w:rPr>
        <w:t>:</w:t>
      </w:r>
    </w:p>
    <w:p w14:paraId="6EB9FA4D" w14:textId="0D2D064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Plazmatické koncentrácie atorvastatínu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jeho aktívnych metabolitov sú výrazne zvýšené (asi 16-násobne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C</w:t>
      </w:r>
      <w:r w:rsidRPr="00CA4059">
        <w:rPr>
          <w:rFonts w:ascii="Times New Roman" w:hAnsi="Times New Roman"/>
          <w:vertAlign w:val="subscript"/>
        </w:rPr>
        <w:t>max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asi 11-násobne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AUC)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 xml:space="preserve">chronickým </w:t>
      </w:r>
      <w:r w:rsidR="006A7158" w:rsidRPr="00133EE0">
        <w:rPr>
          <w:rFonts w:ascii="Times New Roman" w:hAnsi="Times New Roman"/>
          <w:lang w:val="cs-CZ"/>
        </w:rPr>
        <w:t>ochorením</w:t>
      </w:r>
      <w:r w:rsidR="006A7158" w:rsidRPr="000A0418">
        <w:rPr>
          <w:rFonts w:ascii="Times New Roman" w:hAnsi="Times New Roman"/>
          <w:lang w:val="cs-CZ"/>
        </w:rPr>
        <w:t xml:space="preserve"> pečene </w:t>
      </w:r>
      <w:r w:rsidR="006A7158">
        <w:rPr>
          <w:rFonts w:ascii="Times New Roman" w:hAnsi="Times New Roman"/>
          <w:lang w:val="cs-CZ"/>
        </w:rPr>
        <w:t>z dôvodu požívania alkoholu</w:t>
      </w:r>
      <w:r w:rsidRPr="00CA4059">
        <w:rPr>
          <w:rFonts w:ascii="Times New Roman" w:hAnsi="Times New Roman"/>
        </w:rPr>
        <w:t xml:space="preserve"> (</w:t>
      </w:r>
      <w:r w:rsidR="006A7158">
        <w:rPr>
          <w:rFonts w:ascii="Times New Roman" w:hAnsi="Times New Roman"/>
        </w:rPr>
        <w:t>,,</w:t>
      </w:r>
      <w:r w:rsidRPr="00CA4059">
        <w:rPr>
          <w:rFonts w:ascii="Times New Roman" w:hAnsi="Times New Roman"/>
        </w:rPr>
        <w:t>Child-Pugh B“).</w:t>
      </w:r>
    </w:p>
    <w:p w14:paraId="6FC445B2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73CF5E5E" w14:textId="13559859" w:rsidR="0075773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  <w:i/>
        </w:rPr>
        <w:t>Polymorfizmus SLC</w:t>
      </w:r>
      <w:r w:rsidR="00013A14">
        <w:rPr>
          <w:rFonts w:ascii="Times New Roman" w:hAnsi="Times New Roman"/>
          <w:i/>
        </w:rPr>
        <w:t>O</w:t>
      </w:r>
      <w:r w:rsidRPr="00CA4059">
        <w:rPr>
          <w:rFonts w:ascii="Times New Roman" w:hAnsi="Times New Roman"/>
          <w:i/>
        </w:rPr>
        <w:t>1B1</w:t>
      </w:r>
      <w:r w:rsidRPr="00CA4059">
        <w:rPr>
          <w:rFonts w:ascii="Times New Roman" w:hAnsi="Times New Roman"/>
        </w:rPr>
        <w:t>:</w:t>
      </w:r>
    </w:p>
    <w:p w14:paraId="57B2A2E4" w14:textId="2F5F15B8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Na vychytávaní všetkých inhibítorov HMG-CoA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reduktázy, vrátane atorvastatínu, hepatocytom, sa podieľa transportér OATP1B1.</w:t>
      </w:r>
      <w:r w:rsidR="00800FD5" w:rsidRPr="00CA4059">
        <w:rPr>
          <w:rFonts w:ascii="Times New Roman" w:hAnsi="Times New Roman"/>
        </w:rPr>
        <w:t xml:space="preserve"> </w:t>
      </w:r>
      <w:r w:rsidR="005979E3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pacientov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polymorfizmom SLCO1B1 existuje riziko zvýšenej expozície atorvastatínu, ktoré môže viesť ku zvýšenému riziku rabdomyolýzy (pozri časť 4.4). Polymorfizmus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géne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kódovaním OATP1B1 (SLCO1B1 c.521CC) je spojený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2,4-násobne vyššou expozíciou atorvastatínu (AUC) než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jedincov bez tohto genotyp</w:t>
      </w:r>
      <w:r w:rsidR="005979E3">
        <w:rPr>
          <w:rFonts w:ascii="Times New Roman" w:hAnsi="Times New Roman"/>
        </w:rPr>
        <w:t>ového variantu</w:t>
      </w:r>
      <w:r w:rsidRPr="00CA4059">
        <w:rPr>
          <w:rFonts w:ascii="Times New Roman" w:hAnsi="Times New Roman"/>
        </w:rPr>
        <w:t xml:space="preserve"> (c.521TT).</w:t>
      </w:r>
      <w:r w:rsidR="00800FD5" w:rsidRPr="00CA4059">
        <w:rPr>
          <w:rFonts w:ascii="Times New Roman" w:hAnsi="Times New Roman"/>
        </w:rPr>
        <w:t xml:space="preserve"> </w:t>
      </w:r>
      <w:r w:rsidR="005979E3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 xml:space="preserve">týchto </w:t>
      </w:r>
      <w:r w:rsidRPr="00CA4059">
        <w:rPr>
          <w:rFonts w:ascii="Times New Roman" w:hAnsi="Times New Roman"/>
        </w:rPr>
        <w:lastRenderedPageBreak/>
        <w:t>pacientov je tiež možné geneticky poškodené vychytávanie atorvastatínu hepatocytom. Možné dôsledky pre účinnosť nie sú známe.</w:t>
      </w:r>
    </w:p>
    <w:p w14:paraId="7B1FEDF3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12F87D6A" w14:textId="6DD1001E" w:rsidR="0093440D" w:rsidRPr="00336777" w:rsidRDefault="0093440D" w:rsidP="00BE7477">
      <w:pPr>
        <w:pStyle w:val="Styl2"/>
      </w:pPr>
      <w:r w:rsidRPr="0067219E">
        <w:t>Predklinické údaje o</w:t>
      </w:r>
      <w:r w:rsidRPr="00336777">
        <w:t xml:space="preserve"> bezpečnosti</w:t>
      </w:r>
    </w:p>
    <w:p w14:paraId="61F001FB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4F88D60C" w14:textId="0EDAA025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Atorvastatín mal negatívny mutagénny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klastogénny potenciál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 xml:space="preserve">súbore 4 </w:t>
      </w:r>
      <w:r w:rsidRPr="00CA4059">
        <w:rPr>
          <w:rFonts w:ascii="Times New Roman" w:hAnsi="Times New Roman"/>
          <w:i/>
        </w:rPr>
        <w:t>in vitro</w:t>
      </w:r>
      <w:r w:rsidRPr="00CA4059">
        <w:rPr>
          <w:rFonts w:ascii="Times New Roman" w:hAnsi="Times New Roman"/>
        </w:rPr>
        <w:t xml:space="preserve"> testov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 xml:space="preserve">1 </w:t>
      </w:r>
      <w:r w:rsidRPr="00CA4059">
        <w:rPr>
          <w:rFonts w:ascii="Times New Roman" w:hAnsi="Times New Roman"/>
          <w:i/>
        </w:rPr>
        <w:t>in vivo</w:t>
      </w:r>
      <w:r w:rsidRPr="00CA4059">
        <w:rPr>
          <w:rFonts w:ascii="Times New Roman" w:hAnsi="Times New Roman"/>
        </w:rPr>
        <w:t xml:space="preserve"> skúške. Bolo zistené, že atorvastatín nebol karcinogénny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potkanov, ale vysoké dávky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myší (vedúce k</w:t>
      </w:r>
      <w:r w:rsidR="006726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6</w:t>
      </w:r>
      <w:r w:rsidR="006726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–</w:t>
      </w:r>
      <w:r w:rsidR="006726A8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11-násobku AUC</w:t>
      </w:r>
      <w:r w:rsidRPr="00CA4059">
        <w:rPr>
          <w:rFonts w:ascii="Times New Roman" w:hAnsi="Times New Roman"/>
          <w:vertAlign w:val="subscript"/>
        </w:rPr>
        <w:t>0-24h</w:t>
      </w:r>
      <w:r w:rsidRPr="00CA4059">
        <w:rPr>
          <w:rFonts w:ascii="Times New Roman" w:hAnsi="Times New Roman"/>
        </w:rPr>
        <w:t xml:space="preserve"> dosiahnutému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ľudí pri najvyššej odporúčanej dávke) preukázali hepatocelulárne adenómy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samcov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hepatocelulárne karcinómy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samíc.</w:t>
      </w:r>
    </w:p>
    <w:p w14:paraId="35C4E4DB" w14:textId="77777777" w:rsidR="006726A8" w:rsidRPr="00CA4059" w:rsidRDefault="006726A8" w:rsidP="00CA4059">
      <w:pPr>
        <w:spacing w:after="0" w:line="240" w:lineRule="auto"/>
        <w:rPr>
          <w:rFonts w:ascii="Times New Roman" w:hAnsi="Times New Roman"/>
        </w:rPr>
      </w:pPr>
    </w:p>
    <w:p w14:paraId="4F88585C" w14:textId="6266B77A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Na základe experimentálnych štúdií na zvieratách bolo dokázané, že inhibítory HMG-CoA</w:t>
      </w:r>
      <w:r w:rsidR="00606C09">
        <w:rPr>
          <w:rFonts w:ascii="Times New Roman" w:hAnsi="Times New Roman"/>
        </w:rPr>
        <w:t>-</w:t>
      </w:r>
      <w:r w:rsidRPr="00CA4059">
        <w:rPr>
          <w:rFonts w:ascii="Times New Roman" w:hAnsi="Times New Roman"/>
        </w:rPr>
        <w:t>reduktázy môžu ovplyvňovať vývin embryí alebo plodov.</w:t>
      </w:r>
      <w:r w:rsidR="00800FD5" w:rsidRPr="00CA4059">
        <w:rPr>
          <w:rFonts w:ascii="Times New Roman" w:hAnsi="Times New Roman"/>
        </w:rPr>
        <w:t xml:space="preserve"> </w:t>
      </w:r>
      <w:r w:rsidR="00B52141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potkanov, králikov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psov nemal atorvastatín žiaden účinok na fertilitu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nebol teratogénny,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potkanov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králikov sa však pozorovala fetálna toxicita pri toxických dávkach pre matku. Vývin potkaních potomkov bol oneskorený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postnatálne prežívanie pokleslo počas expozície potkaních matiek vyšším dávkam atorvastatínu.</w:t>
      </w:r>
      <w:r w:rsidR="00800FD5" w:rsidRPr="00CA4059">
        <w:rPr>
          <w:rFonts w:ascii="Times New Roman" w:hAnsi="Times New Roman"/>
        </w:rPr>
        <w:t xml:space="preserve"> </w:t>
      </w:r>
      <w:r w:rsidR="00B52141">
        <w:rPr>
          <w:rFonts w:ascii="Times New Roman" w:hAnsi="Times New Roman"/>
        </w:rPr>
        <w:t>U</w:t>
      </w:r>
      <w:r w:rsidR="00800FD5" w:rsidRPr="00CA4059">
        <w:rPr>
          <w:rFonts w:ascii="Times New Roman" w:hAnsi="Times New Roman"/>
        </w:rPr>
        <w:t> </w:t>
      </w:r>
      <w:r w:rsidRPr="00CA4059">
        <w:rPr>
          <w:rFonts w:ascii="Times New Roman" w:hAnsi="Times New Roman"/>
        </w:rPr>
        <w:t>potkanov bol dokázaný transfer cez placentu. Plazmatické koncentrácie atorvastatínu</w:t>
      </w:r>
      <w:r w:rsidR="00800FD5" w:rsidRPr="00CA4059">
        <w:rPr>
          <w:rFonts w:ascii="Times New Roman" w:hAnsi="Times New Roman"/>
        </w:rPr>
        <w:t xml:space="preserve"> u </w:t>
      </w:r>
      <w:r w:rsidRPr="00CA4059">
        <w:rPr>
          <w:rFonts w:ascii="Times New Roman" w:hAnsi="Times New Roman"/>
        </w:rPr>
        <w:t>potkanov sú podobné koncentráciám</w:t>
      </w:r>
      <w:r w:rsidR="00800FD5" w:rsidRPr="00CA4059">
        <w:rPr>
          <w:rFonts w:ascii="Times New Roman" w:hAnsi="Times New Roman"/>
        </w:rPr>
        <w:t xml:space="preserve"> v </w:t>
      </w:r>
      <w:r w:rsidRPr="00CA4059">
        <w:rPr>
          <w:rFonts w:ascii="Times New Roman" w:hAnsi="Times New Roman"/>
        </w:rPr>
        <w:t>mlieku. Nie je známe, či sa atorvastatín alebo jeho metabolity vylučujú do ľudského mlieka.</w:t>
      </w:r>
    </w:p>
    <w:p w14:paraId="3CB29EA2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2B7C8532" w14:textId="77777777" w:rsidR="00AD78E3" w:rsidRPr="00CA4059" w:rsidRDefault="00AD78E3" w:rsidP="00CA4059">
      <w:pPr>
        <w:spacing w:after="0" w:line="240" w:lineRule="auto"/>
        <w:rPr>
          <w:rFonts w:ascii="Times New Roman" w:hAnsi="Times New Roman"/>
        </w:rPr>
      </w:pPr>
    </w:p>
    <w:p w14:paraId="3F99B509" w14:textId="77777777" w:rsidR="0093440D" w:rsidRPr="00336777" w:rsidRDefault="0093440D">
      <w:pPr>
        <w:pStyle w:val="Styl1"/>
      </w:pPr>
      <w:r w:rsidRPr="00336777">
        <w:t>FARMACEUTICKÉ INFORMÁCIE</w:t>
      </w:r>
    </w:p>
    <w:p w14:paraId="06C2E101" w14:textId="77777777" w:rsidR="00AD78E3" w:rsidRPr="00EA2311" w:rsidRDefault="00AD78E3">
      <w:pPr>
        <w:pStyle w:val="Styl1"/>
        <w:numPr>
          <w:ilvl w:val="0"/>
          <w:numId w:val="0"/>
        </w:numPr>
      </w:pPr>
    </w:p>
    <w:p w14:paraId="7D3EA8D2" w14:textId="77777777" w:rsidR="0093440D" w:rsidRPr="002A69FD" w:rsidRDefault="0093440D" w:rsidP="009E102A">
      <w:pPr>
        <w:pStyle w:val="Styl2"/>
      </w:pPr>
      <w:r w:rsidRPr="002A69FD">
        <w:t>Zoznam pomocných látok</w:t>
      </w:r>
    </w:p>
    <w:p w14:paraId="67DF68BD" w14:textId="77777777" w:rsidR="00AD78E3" w:rsidRPr="00FD2B29" w:rsidRDefault="00AD78E3" w:rsidP="00AE25B7">
      <w:pPr>
        <w:pStyle w:val="Styl2"/>
        <w:numPr>
          <w:ilvl w:val="0"/>
          <w:numId w:val="0"/>
        </w:numPr>
      </w:pPr>
    </w:p>
    <w:p w14:paraId="00C1FC98" w14:textId="10534576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Jadro tablety</w:t>
      </w:r>
      <w:r w:rsidR="00E74B7F">
        <w:rPr>
          <w:rFonts w:ascii="Times New Roman" w:hAnsi="Times New Roman"/>
          <w:i/>
          <w:u w:val="none"/>
        </w:rPr>
        <w:t>:</w:t>
      </w:r>
    </w:p>
    <w:p w14:paraId="10D4B192" w14:textId="19999E70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manitol</w:t>
      </w:r>
    </w:p>
    <w:p w14:paraId="4AACE380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mikrokryštalická celulóza</w:t>
      </w:r>
    </w:p>
    <w:p w14:paraId="59D607A7" w14:textId="355FDD5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krospovidón</w:t>
      </w:r>
    </w:p>
    <w:p w14:paraId="02F0807E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uhličitan sodný bezvodý</w:t>
      </w:r>
    </w:p>
    <w:p w14:paraId="667B697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povidón</w:t>
      </w:r>
    </w:p>
    <w:p w14:paraId="27892A19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metionín</w:t>
      </w:r>
    </w:p>
    <w:p w14:paraId="5420BDA0" w14:textId="57476971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stearát</w:t>
      </w:r>
      <w:r w:rsidR="00B63082">
        <w:rPr>
          <w:rFonts w:ascii="Times New Roman" w:hAnsi="Times New Roman"/>
        </w:rPr>
        <w:t xml:space="preserve"> horečnatý</w:t>
      </w:r>
    </w:p>
    <w:p w14:paraId="071773FA" w14:textId="77777777" w:rsidR="00F273C3" w:rsidRPr="00CA4059" w:rsidRDefault="00F273C3" w:rsidP="00CA4059">
      <w:pPr>
        <w:pStyle w:val="Styl3"/>
        <w:spacing w:after="0" w:line="240" w:lineRule="auto"/>
        <w:rPr>
          <w:rFonts w:ascii="Times New Roman" w:hAnsi="Times New Roman"/>
        </w:rPr>
      </w:pPr>
    </w:p>
    <w:p w14:paraId="29C8F0EC" w14:textId="7A600AF5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  <w:i/>
          <w:u w:val="none"/>
        </w:rPr>
      </w:pPr>
      <w:r w:rsidRPr="00CA4059">
        <w:rPr>
          <w:rFonts w:ascii="Times New Roman" w:hAnsi="Times New Roman"/>
          <w:i/>
          <w:u w:val="none"/>
        </w:rPr>
        <w:t>Obal tablety</w:t>
      </w:r>
      <w:r w:rsidR="00E74B7F">
        <w:rPr>
          <w:rFonts w:ascii="Times New Roman" w:hAnsi="Times New Roman"/>
          <w:i/>
          <w:u w:val="none"/>
        </w:rPr>
        <w:t>:</w:t>
      </w:r>
    </w:p>
    <w:p w14:paraId="1CCF62EE" w14:textId="69A5015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hypromelóza 6cP</w:t>
      </w:r>
    </w:p>
    <w:p w14:paraId="5B130C17" w14:textId="7A3273D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oxid titaničitý (E 171)</w:t>
      </w:r>
    </w:p>
    <w:p w14:paraId="04C3C113" w14:textId="7C943475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makrogol 6000</w:t>
      </w:r>
    </w:p>
    <w:p w14:paraId="013FD9D6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mastenec</w:t>
      </w:r>
    </w:p>
    <w:p w14:paraId="099497E6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24940C07" w14:textId="77777777" w:rsidR="0093440D" w:rsidRPr="0067219E" w:rsidRDefault="0093440D" w:rsidP="00BE7477">
      <w:pPr>
        <w:pStyle w:val="Styl2"/>
      </w:pPr>
      <w:r w:rsidRPr="0067219E">
        <w:t>Inkompatibility</w:t>
      </w:r>
    </w:p>
    <w:p w14:paraId="5E9E33BB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7633848E" w14:textId="68699F6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Neaplikovateľné</w:t>
      </w:r>
      <w:r w:rsidR="005E1EBB">
        <w:rPr>
          <w:rFonts w:ascii="Times New Roman" w:hAnsi="Times New Roman"/>
        </w:rPr>
        <w:t>.</w:t>
      </w:r>
    </w:p>
    <w:p w14:paraId="3171283C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5D2147F5" w14:textId="77777777" w:rsidR="0093440D" w:rsidRPr="0067219E" w:rsidRDefault="0093440D" w:rsidP="00BE7477">
      <w:pPr>
        <w:pStyle w:val="Styl2"/>
      </w:pPr>
      <w:r w:rsidRPr="0067219E">
        <w:t>Čas použiteľnosti</w:t>
      </w:r>
    </w:p>
    <w:p w14:paraId="60D26AC1" w14:textId="77777777" w:rsidR="00F273C3" w:rsidRPr="00EA2311" w:rsidRDefault="00F273C3" w:rsidP="00C36284">
      <w:pPr>
        <w:pStyle w:val="Styl2"/>
        <w:numPr>
          <w:ilvl w:val="0"/>
          <w:numId w:val="0"/>
        </w:numPr>
      </w:pPr>
    </w:p>
    <w:p w14:paraId="03564569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2 roky</w:t>
      </w:r>
    </w:p>
    <w:p w14:paraId="1FB171B6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75641F2B" w14:textId="77777777" w:rsidR="0093440D" w:rsidRPr="0067219E" w:rsidRDefault="0093440D" w:rsidP="00BE7477">
      <w:pPr>
        <w:pStyle w:val="Styl2"/>
      </w:pPr>
      <w:r w:rsidRPr="0067219E">
        <w:t>Špeciálne upozornenia na uchovávanie</w:t>
      </w:r>
    </w:p>
    <w:p w14:paraId="1D0C9C79" w14:textId="77777777" w:rsidR="00F273C3" w:rsidRPr="00EA2311" w:rsidRDefault="00F273C3" w:rsidP="00C36284">
      <w:pPr>
        <w:pStyle w:val="Styl2"/>
        <w:numPr>
          <w:ilvl w:val="0"/>
          <w:numId w:val="0"/>
        </w:numPr>
      </w:pPr>
    </w:p>
    <w:p w14:paraId="07DB9E82" w14:textId="77777777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Tento liek nevyžaduje žiadne zvláštne podmienky na uchovávanie.</w:t>
      </w:r>
    </w:p>
    <w:p w14:paraId="0F5C9ED2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6F459D9A" w14:textId="5CAD75D9" w:rsidR="0093440D" w:rsidRPr="00336777" w:rsidRDefault="0093440D" w:rsidP="00BE7477">
      <w:pPr>
        <w:pStyle w:val="Styl2"/>
      </w:pPr>
      <w:r w:rsidRPr="0067219E">
        <w:t>Druh obalu</w:t>
      </w:r>
      <w:r w:rsidR="00800FD5" w:rsidRPr="0067219E">
        <w:t xml:space="preserve"> a</w:t>
      </w:r>
      <w:r w:rsidR="00800FD5" w:rsidRPr="00336777">
        <w:t> </w:t>
      </w:r>
      <w:r w:rsidRPr="00336777">
        <w:t>obsah balenia</w:t>
      </w:r>
    </w:p>
    <w:p w14:paraId="5CBC0971" w14:textId="77777777" w:rsidR="00F273C3" w:rsidRPr="00EA2311" w:rsidRDefault="00F273C3" w:rsidP="00C36284">
      <w:pPr>
        <w:pStyle w:val="Styl2"/>
        <w:numPr>
          <w:ilvl w:val="0"/>
          <w:numId w:val="0"/>
        </w:numPr>
      </w:pPr>
    </w:p>
    <w:p w14:paraId="34C30E7E" w14:textId="6398E9CD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Blister (Al/Al)</w:t>
      </w:r>
      <w:r w:rsidR="001E7399">
        <w:rPr>
          <w:rFonts w:ascii="Times New Roman" w:hAnsi="Times New Roman"/>
        </w:rPr>
        <w:t>.</w:t>
      </w:r>
    </w:p>
    <w:p w14:paraId="3A0FB477" w14:textId="54DCDE85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Liekovka (HDPE) uzatvorená odlamovacím (snap-on) viečkom (LDPE)</w:t>
      </w:r>
      <w:r w:rsidR="00800FD5" w:rsidRPr="00CA4059">
        <w:rPr>
          <w:rFonts w:ascii="Times New Roman" w:hAnsi="Times New Roman"/>
        </w:rPr>
        <w:t xml:space="preserve"> s</w:t>
      </w:r>
      <w:r w:rsidR="00321734" w:rsidRPr="00CA4059">
        <w:rPr>
          <w:rFonts w:ascii="Times New Roman" w:hAnsi="Times New Roman"/>
        </w:rPr>
        <w:t xml:space="preserve"> </w:t>
      </w:r>
      <w:r w:rsidRPr="00CA4059">
        <w:rPr>
          <w:rFonts w:ascii="Times New Roman" w:hAnsi="Times New Roman"/>
        </w:rPr>
        <w:t>prstencom indikujúcim neporušenosť balenia</w:t>
      </w:r>
      <w:r w:rsidR="00800FD5" w:rsidRPr="00CA4059">
        <w:rPr>
          <w:rFonts w:ascii="Times New Roman" w:hAnsi="Times New Roman"/>
        </w:rPr>
        <w:t xml:space="preserve"> a </w:t>
      </w:r>
      <w:r w:rsidRPr="00CA4059">
        <w:rPr>
          <w:rFonts w:ascii="Times New Roman" w:hAnsi="Times New Roman"/>
        </w:rPr>
        <w:t>vys</w:t>
      </w:r>
      <w:r w:rsidR="00F0334F">
        <w:rPr>
          <w:rFonts w:ascii="Times New Roman" w:hAnsi="Times New Roman"/>
        </w:rPr>
        <w:t>úšadlom</w:t>
      </w:r>
      <w:r w:rsidRPr="00CA4059">
        <w:rPr>
          <w:rFonts w:ascii="Times New Roman" w:hAnsi="Times New Roman"/>
        </w:rPr>
        <w:t xml:space="preserve"> (silikagél).</w:t>
      </w:r>
    </w:p>
    <w:p w14:paraId="078B1805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7E2522AC" w14:textId="77777777" w:rsidR="0093440D" w:rsidRPr="00CA4059" w:rsidRDefault="0093440D" w:rsidP="00CA4059">
      <w:pPr>
        <w:pStyle w:val="Styl3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lastRenderedPageBreak/>
        <w:t>Veľkosti balenia</w:t>
      </w:r>
    </w:p>
    <w:p w14:paraId="0C4D586A" w14:textId="4E65AF6A" w:rsidR="0093440D" w:rsidRPr="00CA4059" w:rsidRDefault="0093440D" w:rsidP="00CA4059">
      <w:pPr>
        <w:pStyle w:val="Styl4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Blistre</w:t>
      </w:r>
      <w:r w:rsidR="009D3779">
        <w:rPr>
          <w:rFonts w:ascii="Times New Roman" w:hAnsi="Times New Roman"/>
        </w:rPr>
        <w:t>:</w:t>
      </w:r>
    </w:p>
    <w:p w14:paraId="0E4584B2" w14:textId="6C057DC6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filmom obalené tablety: 4, 7, 10, 14, 20, 28, 30, 50, 56, 84, 90, 98, 100, 200 (10x20), 500 tabliet</w:t>
      </w:r>
      <w:r w:rsidR="009D3779">
        <w:rPr>
          <w:rFonts w:ascii="Times New Roman" w:hAnsi="Times New Roman"/>
        </w:rPr>
        <w:t>.</w:t>
      </w:r>
    </w:p>
    <w:p w14:paraId="1C005E42" w14:textId="29B70A0B" w:rsidR="0093440D" w:rsidRPr="00966A36" w:rsidRDefault="0093440D" w:rsidP="00CA4059">
      <w:pPr>
        <w:spacing w:after="0" w:line="240" w:lineRule="auto"/>
        <w:rPr>
          <w:rFonts w:ascii="Times New Roman" w:hAnsi="Times New Roman"/>
          <w:highlight w:val="lightGray"/>
        </w:rPr>
      </w:pPr>
      <w:r w:rsidRPr="00966A36">
        <w:rPr>
          <w:rFonts w:ascii="Times New Roman" w:hAnsi="Times New Roman"/>
          <w:highlight w:val="lightGray"/>
        </w:rPr>
        <w:t>AMICOR 20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 xml:space="preserve"> filmom obalené tablety: 4, 7, 10, 14, 20, 28, 30, 50, 56, 84, 90, 98, 100, 200 (10x20), 500 tabliet</w:t>
      </w:r>
      <w:r w:rsidR="009D3779" w:rsidRPr="00966A36">
        <w:rPr>
          <w:rFonts w:ascii="Times New Roman" w:hAnsi="Times New Roman"/>
          <w:highlight w:val="lightGray"/>
        </w:rPr>
        <w:t>.</w:t>
      </w:r>
    </w:p>
    <w:p w14:paraId="552CC94A" w14:textId="6E091E3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966A36">
        <w:rPr>
          <w:rFonts w:ascii="Times New Roman" w:hAnsi="Times New Roman"/>
          <w:highlight w:val="lightGray"/>
        </w:rPr>
        <w:t>AMICOR 40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 xml:space="preserve"> filmom obalené tablety: 4, 7, 10, 14, 20, 28, 30, 50, 56, 84, 90, 98, 100, 200 (10x20), 500 tabliet</w:t>
      </w:r>
      <w:r w:rsidR="009D3779" w:rsidRPr="00966A36">
        <w:rPr>
          <w:rFonts w:ascii="Times New Roman" w:hAnsi="Times New Roman"/>
          <w:highlight w:val="lightGray"/>
        </w:rPr>
        <w:t>.</w:t>
      </w:r>
    </w:p>
    <w:p w14:paraId="32330861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6AD54BAD" w14:textId="2E076048" w:rsidR="0093440D" w:rsidRPr="00CA4059" w:rsidRDefault="0093440D" w:rsidP="00CA4059">
      <w:pPr>
        <w:pStyle w:val="Styl4"/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Liekovky</w:t>
      </w:r>
      <w:r w:rsidR="009D3779">
        <w:rPr>
          <w:rFonts w:ascii="Times New Roman" w:hAnsi="Times New Roman"/>
        </w:rPr>
        <w:t>:</w:t>
      </w:r>
    </w:p>
    <w:p w14:paraId="13C50EE8" w14:textId="6BE2CADC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 xml:space="preserve"> filmom obalených tabliet: 10, 20, 30, 50, 100, 200 tabliet</w:t>
      </w:r>
      <w:r w:rsidR="009D3779">
        <w:rPr>
          <w:rFonts w:ascii="Times New Roman" w:hAnsi="Times New Roman"/>
        </w:rPr>
        <w:t>.</w:t>
      </w:r>
    </w:p>
    <w:p w14:paraId="7AE3945A" w14:textId="6007C35C" w:rsidR="0093440D" w:rsidRPr="00966A36" w:rsidRDefault="0093440D" w:rsidP="00CA4059">
      <w:pPr>
        <w:spacing w:after="0" w:line="240" w:lineRule="auto"/>
        <w:rPr>
          <w:rFonts w:ascii="Times New Roman" w:hAnsi="Times New Roman"/>
          <w:highlight w:val="lightGray"/>
        </w:rPr>
      </w:pPr>
      <w:r w:rsidRPr="00966A36">
        <w:rPr>
          <w:rFonts w:ascii="Times New Roman" w:hAnsi="Times New Roman"/>
          <w:highlight w:val="lightGray"/>
        </w:rPr>
        <w:t>AMICOR 20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 xml:space="preserve"> filmom obalených tabliet: 10, 20, 30, 50, 100, 200 tabliet</w:t>
      </w:r>
      <w:r w:rsidR="009D3779" w:rsidRPr="00966A36">
        <w:rPr>
          <w:rFonts w:ascii="Times New Roman" w:hAnsi="Times New Roman"/>
          <w:highlight w:val="lightGray"/>
        </w:rPr>
        <w:t>.</w:t>
      </w:r>
    </w:p>
    <w:p w14:paraId="07BF34C3" w14:textId="27CFEF0F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966A36">
        <w:rPr>
          <w:rFonts w:ascii="Times New Roman" w:hAnsi="Times New Roman"/>
          <w:highlight w:val="lightGray"/>
        </w:rPr>
        <w:t>AMICOR 40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 xml:space="preserve"> filmom obalených tabliet: 10, 20, 30, 50, 100, 200 tabliet</w:t>
      </w:r>
      <w:r w:rsidR="009D3779" w:rsidRPr="00966A36">
        <w:rPr>
          <w:rFonts w:ascii="Times New Roman" w:hAnsi="Times New Roman"/>
          <w:highlight w:val="lightGray"/>
        </w:rPr>
        <w:t>.</w:t>
      </w:r>
    </w:p>
    <w:p w14:paraId="4D57DE40" w14:textId="77777777" w:rsidR="00800FD5" w:rsidRPr="00CA4059" w:rsidRDefault="00800FD5" w:rsidP="00CA4059">
      <w:pPr>
        <w:spacing w:after="0" w:line="240" w:lineRule="auto"/>
        <w:rPr>
          <w:rFonts w:ascii="Times New Roman" w:hAnsi="Times New Roman"/>
        </w:rPr>
      </w:pPr>
    </w:p>
    <w:p w14:paraId="3EF62D0B" w14:textId="24DE807B" w:rsidR="0093440D" w:rsidRPr="00CA4059" w:rsidRDefault="009D3779" w:rsidP="00CA4059">
      <w:pPr>
        <w:spacing w:after="0" w:line="240" w:lineRule="auto"/>
        <w:rPr>
          <w:rFonts w:ascii="Times New Roman" w:hAnsi="Times New Roman"/>
        </w:rPr>
      </w:pPr>
      <w:r w:rsidRPr="009D3779">
        <w:rPr>
          <w:rFonts w:ascii="Times New Roman" w:hAnsi="Times New Roman"/>
        </w:rPr>
        <w:t>Na trh nemusia byť uvedené všetky veľkosti balenia.</w:t>
      </w:r>
    </w:p>
    <w:p w14:paraId="052AD924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57D8DAE5" w14:textId="06F3C348" w:rsidR="0093440D" w:rsidRPr="00336777" w:rsidRDefault="0093440D" w:rsidP="00BE7477">
      <w:pPr>
        <w:pStyle w:val="Styl2"/>
      </w:pPr>
      <w:r w:rsidRPr="0067219E">
        <w:t>Špeciálne opatrenia na likvidáciu</w:t>
      </w:r>
      <w:r w:rsidR="00800FD5" w:rsidRPr="0067219E">
        <w:t xml:space="preserve"> a</w:t>
      </w:r>
      <w:r w:rsidR="00800FD5" w:rsidRPr="00336777">
        <w:t> </w:t>
      </w:r>
      <w:r w:rsidRPr="00336777">
        <w:t>iné zaobchádzanie</w:t>
      </w:r>
      <w:r w:rsidR="00800FD5" w:rsidRPr="00336777">
        <w:t xml:space="preserve"> s</w:t>
      </w:r>
      <w:r w:rsidR="00321734" w:rsidRPr="00336777">
        <w:t xml:space="preserve"> </w:t>
      </w:r>
      <w:r w:rsidRPr="00336777">
        <w:t>liekom</w:t>
      </w:r>
    </w:p>
    <w:p w14:paraId="35527276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36FDE897" w14:textId="033356E3" w:rsidR="0093440D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Žiadne zvláštne požiadavky</w:t>
      </w:r>
      <w:r w:rsidR="001E7399">
        <w:rPr>
          <w:rFonts w:ascii="Times New Roman" w:hAnsi="Times New Roman"/>
        </w:rPr>
        <w:t>.</w:t>
      </w:r>
    </w:p>
    <w:p w14:paraId="6D6E355A" w14:textId="77777777" w:rsidR="00F36C6A" w:rsidRDefault="00F36C6A" w:rsidP="00CA4059">
      <w:pPr>
        <w:spacing w:after="0" w:line="240" w:lineRule="auto"/>
        <w:rPr>
          <w:rFonts w:ascii="Times New Roman" w:hAnsi="Times New Roman"/>
        </w:rPr>
      </w:pPr>
    </w:p>
    <w:p w14:paraId="45D0CCE2" w14:textId="50975767" w:rsidR="00F273C3" w:rsidRDefault="00860A30" w:rsidP="00CA4059">
      <w:pPr>
        <w:spacing w:after="0" w:line="240" w:lineRule="auto"/>
        <w:rPr>
          <w:rFonts w:ascii="Times New Roman" w:hAnsi="Times New Roman"/>
        </w:rPr>
      </w:pPr>
      <w:r w:rsidRPr="00860A30">
        <w:rPr>
          <w:rFonts w:ascii="Times New Roman" w:hAnsi="Times New Roman"/>
        </w:rPr>
        <w:t>Všetok nepoužitý liek alebo odpad vzniknutý z lieku sa má zlikvidovať v súlade s národnými požiadavkami</w:t>
      </w:r>
      <w:r w:rsidR="00F435E3" w:rsidRPr="00F435E3">
        <w:rPr>
          <w:rFonts w:ascii="Times New Roman" w:hAnsi="Times New Roman"/>
        </w:rPr>
        <w:t>.</w:t>
      </w:r>
    </w:p>
    <w:p w14:paraId="289A552B" w14:textId="77777777" w:rsidR="00F435E3" w:rsidRPr="00CA4059" w:rsidRDefault="00F435E3" w:rsidP="00CA4059">
      <w:pPr>
        <w:spacing w:after="0" w:line="240" w:lineRule="auto"/>
        <w:rPr>
          <w:rFonts w:ascii="Times New Roman" w:hAnsi="Times New Roman"/>
        </w:rPr>
      </w:pPr>
    </w:p>
    <w:p w14:paraId="7650E6BF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18B115C4" w14:textId="5900F7BD" w:rsidR="0093440D" w:rsidRPr="00336777" w:rsidRDefault="0093440D">
      <w:pPr>
        <w:pStyle w:val="Styl1"/>
      </w:pPr>
      <w:r w:rsidRPr="0067219E">
        <w:t>DRŽITEĽ ROZHODNUTIA O</w:t>
      </w:r>
      <w:r w:rsidR="00F273C3" w:rsidRPr="00336777">
        <w:t> </w:t>
      </w:r>
      <w:r w:rsidRPr="00336777">
        <w:t>REGISTRÁCII</w:t>
      </w:r>
    </w:p>
    <w:p w14:paraId="5C9CB4BA" w14:textId="77777777" w:rsidR="00F273C3" w:rsidRPr="00EA2311" w:rsidRDefault="00F273C3" w:rsidP="00CA4059">
      <w:pPr>
        <w:pStyle w:val="Styl1"/>
        <w:numPr>
          <w:ilvl w:val="0"/>
          <w:numId w:val="0"/>
        </w:numPr>
        <w:ind w:left="360"/>
      </w:pPr>
    </w:p>
    <w:p w14:paraId="1D781B72" w14:textId="77777777" w:rsidR="001E739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MEDOCHEMIE Ltd.</w:t>
      </w:r>
    </w:p>
    <w:p w14:paraId="58F1E933" w14:textId="152CE807" w:rsidR="001E739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Constantinoupoleos Str. 1-10</w:t>
      </w:r>
    </w:p>
    <w:p w14:paraId="4948EDA4" w14:textId="76CE0A43" w:rsidR="001E739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3011 Limassol</w:t>
      </w:r>
    </w:p>
    <w:p w14:paraId="02CE2A14" w14:textId="596CB59B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Cyprus</w:t>
      </w:r>
    </w:p>
    <w:p w14:paraId="3A30E0F6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003310D8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75B03614" w14:textId="3A7FF285" w:rsidR="00F273C3" w:rsidRPr="00CA4059" w:rsidRDefault="0093440D">
      <w:pPr>
        <w:pStyle w:val="Styl1"/>
      </w:pPr>
      <w:r w:rsidRPr="0067219E">
        <w:t>REGISTRAČNÉ ČÍSLA</w:t>
      </w:r>
    </w:p>
    <w:p w14:paraId="1CC9F2CD" w14:textId="77777777" w:rsidR="001E7399" w:rsidRDefault="001E7399" w:rsidP="00CA4059">
      <w:pPr>
        <w:spacing w:after="0" w:line="240" w:lineRule="auto"/>
        <w:rPr>
          <w:rFonts w:ascii="Times New Roman" w:hAnsi="Times New Roman"/>
        </w:rPr>
      </w:pPr>
    </w:p>
    <w:p w14:paraId="04178139" w14:textId="5987B1C8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AMICOR 10</w:t>
      </w:r>
      <w:r w:rsidR="00800FD5" w:rsidRPr="00CA4059">
        <w:rPr>
          <w:rFonts w:ascii="Times New Roman" w:hAnsi="Times New Roman"/>
        </w:rPr>
        <w:t> mg</w:t>
      </w:r>
      <w:r w:rsidRPr="00CA4059">
        <w:rPr>
          <w:rFonts w:ascii="Times New Roman" w:hAnsi="Times New Roman"/>
        </w:rPr>
        <w:t>: 31/0054/11-S</w:t>
      </w:r>
    </w:p>
    <w:p w14:paraId="14C5272D" w14:textId="45BC1ADA" w:rsidR="0093440D" w:rsidRPr="00966A36" w:rsidRDefault="0093440D" w:rsidP="00CA4059">
      <w:pPr>
        <w:spacing w:after="0" w:line="240" w:lineRule="auto"/>
        <w:rPr>
          <w:rFonts w:ascii="Times New Roman" w:hAnsi="Times New Roman"/>
          <w:highlight w:val="lightGray"/>
        </w:rPr>
      </w:pPr>
      <w:r w:rsidRPr="00966A36">
        <w:rPr>
          <w:rFonts w:ascii="Times New Roman" w:hAnsi="Times New Roman"/>
          <w:highlight w:val="lightGray"/>
        </w:rPr>
        <w:t>AMICOR 20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>: 31/0055/11-S</w:t>
      </w:r>
    </w:p>
    <w:p w14:paraId="6A7C970D" w14:textId="5C5EE4D3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966A36">
        <w:rPr>
          <w:rFonts w:ascii="Times New Roman" w:hAnsi="Times New Roman"/>
          <w:highlight w:val="lightGray"/>
        </w:rPr>
        <w:t>AMICOR 40</w:t>
      </w:r>
      <w:r w:rsidR="00800FD5" w:rsidRPr="00966A36">
        <w:rPr>
          <w:rFonts w:ascii="Times New Roman" w:hAnsi="Times New Roman"/>
          <w:highlight w:val="lightGray"/>
        </w:rPr>
        <w:t> mg</w:t>
      </w:r>
      <w:r w:rsidRPr="00966A36">
        <w:rPr>
          <w:rFonts w:ascii="Times New Roman" w:hAnsi="Times New Roman"/>
          <w:highlight w:val="lightGray"/>
        </w:rPr>
        <w:t>: 31/0056/11-S</w:t>
      </w:r>
    </w:p>
    <w:p w14:paraId="48BBC648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66B29BF5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6D16041B" w14:textId="77777777" w:rsidR="0093440D" w:rsidRPr="0067219E" w:rsidRDefault="0093440D">
      <w:pPr>
        <w:pStyle w:val="Styl1"/>
      </w:pPr>
      <w:r w:rsidRPr="0067219E">
        <w:t>DÁTUM PRVEJ REGISTRÁCIE/PREDĹŽENIA REGISTRÁCIE</w:t>
      </w:r>
    </w:p>
    <w:p w14:paraId="00A8748D" w14:textId="77777777" w:rsidR="00F273C3" w:rsidRPr="00EA2311" w:rsidRDefault="00F273C3" w:rsidP="00CA4059">
      <w:pPr>
        <w:pStyle w:val="Styl1"/>
        <w:numPr>
          <w:ilvl w:val="0"/>
          <w:numId w:val="0"/>
        </w:numPr>
        <w:ind w:left="360"/>
      </w:pPr>
    </w:p>
    <w:p w14:paraId="598BF8B2" w14:textId="39D81358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Dátum prvej registrácie: 27. január</w:t>
      </w:r>
      <w:r w:rsidR="00D12883">
        <w:rPr>
          <w:rFonts w:ascii="Times New Roman" w:hAnsi="Times New Roman"/>
        </w:rPr>
        <w:t>a</w:t>
      </w:r>
      <w:r w:rsidRPr="00CA4059">
        <w:rPr>
          <w:rFonts w:ascii="Times New Roman" w:hAnsi="Times New Roman"/>
        </w:rPr>
        <w:t xml:space="preserve"> 2011</w:t>
      </w:r>
    </w:p>
    <w:p w14:paraId="69D0BCB3" w14:textId="3F7D655E" w:rsidR="0093440D" w:rsidRPr="00CA4059" w:rsidRDefault="0093440D" w:rsidP="00CA4059">
      <w:pPr>
        <w:spacing w:after="0" w:line="240" w:lineRule="auto"/>
        <w:rPr>
          <w:rFonts w:ascii="Times New Roman" w:hAnsi="Times New Roman"/>
        </w:rPr>
      </w:pPr>
      <w:r w:rsidRPr="00CA4059">
        <w:rPr>
          <w:rFonts w:ascii="Times New Roman" w:hAnsi="Times New Roman"/>
        </w:rPr>
        <w:t>Dátum posledného predĺženia</w:t>
      </w:r>
      <w:r w:rsidR="00D12883">
        <w:rPr>
          <w:rFonts w:ascii="Times New Roman" w:hAnsi="Times New Roman"/>
        </w:rPr>
        <w:t xml:space="preserve"> registrácie</w:t>
      </w:r>
      <w:r w:rsidRPr="00CA4059">
        <w:rPr>
          <w:rFonts w:ascii="Times New Roman" w:hAnsi="Times New Roman"/>
        </w:rPr>
        <w:t>: 20. február</w:t>
      </w:r>
      <w:r w:rsidR="00D12883">
        <w:rPr>
          <w:rFonts w:ascii="Times New Roman" w:hAnsi="Times New Roman"/>
        </w:rPr>
        <w:t>a</w:t>
      </w:r>
      <w:r w:rsidRPr="00CA4059">
        <w:rPr>
          <w:rFonts w:ascii="Times New Roman" w:hAnsi="Times New Roman"/>
        </w:rPr>
        <w:t xml:space="preserve"> 2013</w:t>
      </w:r>
    </w:p>
    <w:p w14:paraId="07E403E2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5175BB4F" w14:textId="77777777" w:rsidR="00F273C3" w:rsidRPr="00CA4059" w:rsidRDefault="00F273C3" w:rsidP="00CA4059">
      <w:pPr>
        <w:spacing w:after="0" w:line="240" w:lineRule="auto"/>
        <w:rPr>
          <w:rFonts w:ascii="Times New Roman" w:hAnsi="Times New Roman"/>
        </w:rPr>
      </w:pPr>
    </w:p>
    <w:p w14:paraId="46A23650" w14:textId="48A6A482" w:rsidR="00860A30" w:rsidRPr="0067219E" w:rsidRDefault="0093440D" w:rsidP="00CA4059">
      <w:pPr>
        <w:pStyle w:val="Styl1"/>
      </w:pPr>
      <w:r w:rsidRPr="0067219E">
        <w:t>DÁTUM REVÍZIE TEXTU</w:t>
      </w:r>
      <w:r w:rsidR="00860A30">
        <w:t xml:space="preserve"> </w:t>
      </w:r>
    </w:p>
    <w:p w14:paraId="67BD2070" w14:textId="77777777" w:rsidR="00860A30" w:rsidRPr="00BA550C" w:rsidRDefault="00860A30" w:rsidP="00BA550C">
      <w:pPr>
        <w:spacing w:after="0" w:line="240" w:lineRule="auto"/>
        <w:rPr>
          <w:rStyle w:val="NormlndoblokuChar"/>
          <w:rFonts w:ascii="Calibri" w:hAnsi="Calibri"/>
          <w:szCs w:val="22"/>
        </w:rPr>
      </w:pPr>
    </w:p>
    <w:p w14:paraId="03DA95BF" w14:textId="32342D61" w:rsidR="0093440D" w:rsidRPr="00BA550C" w:rsidRDefault="00860A30" w:rsidP="00BA550C">
      <w:pPr>
        <w:pStyle w:val="normlndoblokukurz"/>
        <w:spacing w:after="0"/>
        <w:rPr>
          <w:rFonts w:ascii="Times New Roman" w:eastAsia="Calibri" w:hAnsi="Times New Roman"/>
          <w:i w:val="0"/>
        </w:rPr>
      </w:pPr>
      <w:r>
        <w:rPr>
          <w:rFonts w:ascii="Times New Roman" w:eastAsia="Calibri" w:hAnsi="Times New Roman"/>
          <w:i w:val="0"/>
        </w:rPr>
        <w:t>07</w:t>
      </w:r>
      <w:r w:rsidRPr="00BA550C">
        <w:rPr>
          <w:rFonts w:ascii="Times New Roman" w:eastAsia="Calibri" w:hAnsi="Times New Roman"/>
          <w:i w:val="0"/>
        </w:rPr>
        <w:t>/2020</w:t>
      </w:r>
    </w:p>
    <w:p w14:paraId="44A7F281" w14:textId="77777777" w:rsidR="00860A30" w:rsidRPr="00860A30" w:rsidRDefault="00860A30" w:rsidP="007C574B">
      <w:pPr>
        <w:spacing w:after="0" w:line="240" w:lineRule="auto"/>
      </w:pPr>
    </w:p>
    <w:sectPr w:rsidR="00860A30" w:rsidRPr="00860A30" w:rsidSect="00CA40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830EF" w16cex:dateUtc="2020-07-14T11:26:00Z"/>
  <w16cex:commentExtensible w16cex:durableId="22B8383E" w16cex:dateUtc="2020-07-14T11:57:00Z"/>
  <w16cex:commentExtensible w16cex:durableId="22B83D23" w16cex:dateUtc="2020-07-14T12:18:00Z"/>
  <w16cex:commentExtensible w16cex:durableId="22B83F1A" w16cex:dateUtc="2020-07-14T12:26:00Z"/>
  <w16cex:commentExtensible w16cex:durableId="22B83785" w16cex:dateUtc="2020-07-14T11:54:00Z"/>
  <w16cex:commentExtensible w16cex:durableId="22B83744" w16cex:dateUtc="2020-07-14T11:53:00Z"/>
  <w16cex:commentExtensible w16cex:durableId="22B836BB" w16cex:dateUtc="2020-07-14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7935A" w16cid:durableId="22B819E8"/>
  <w16cid:commentId w16cid:paraId="79B44CB2" w16cid:durableId="22B830EF"/>
  <w16cid:commentId w16cid:paraId="5F3A65D5" w16cid:durableId="22B819E9"/>
  <w16cid:commentId w16cid:paraId="1A31AC2E" w16cid:durableId="22B8383E"/>
  <w16cid:commentId w16cid:paraId="2EED28A0" w16cid:durableId="22B819EA"/>
  <w16cid:commentId w16cid:paraId="12526612" w16cid:durableId="22B819EB"/>
  <w16cid:commentId w16cid:paraId="7ED10562" w16cid:durableId="22B83D23"/>
  <w16cid:commentId w16cid:paraId="77FAB95D" w16cid:durableId="22B819EC"/>
  <w16cid:commentId w16cid:paraId="3BE917BF" w16cid:durableId="22B819ED"/>
  <w16cid:commentId w16cid:paraId="32C5734E" w16cid:durableId="22B819EE"/>
  <w16cid:commentId w16cid:paraId="6B57958F" w16cid:durableId="22B819EF"/>
  <w16cid:commentId w16cid:paraId="73BC383B" w16cid:durableId="22B83F1A"/>
  <w16cid:commentId w16cid:paraId="46BD5B2A" w16cid:durableId="22B819F0"/>
  <w16cid:commentId w16cid:paraId="4B471D80" w16cid:durableId="22B83785"/>
  <w16cid:commentId w16cid:paraId="61C7F9D1" w16cid:durableId="22B819F1"/>
  <w16cid:commentId w16cid:paraId="729B789D" w16cid:durableId="22B83744"/>
  <w16cid:commentId w16cid:paraId="28D95468" w16cid:durableId="22B819F2"/>
  <w16cid:commentId w16cid:paraId="666E5A7E" w16cid:durableId="22B836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8667A" w14:textId="77777777" w:rsidR="00966A36" w:rsidRDefault="00966A36" w:rsidP="00F23067">
      <w:pPr>
        <w:spacing w:after="0" w:line="240" w:lineRule="auto"/>
      </w:pPr>
      <w:r>
        <w:separator/>
      </w:r>
    </w:p>
  </w:endnote>
  <w:endnote w:type="continuationSeparator" w:id="0">
    <w:p w14:paraId="2CAB910B" w14:textId="77777777" w:rsidR="00966A36" w:rsidRDefault="00966A36" w:rsidP="00F23067">
      <w:pPr>
        <w:spacing w:after="0" w:line="240" w:lineRule="auto"/>
      </w:pPr>
      <w:r>
        <w:continuationSeparator/>
      </w:r>
    </w:p>
  </w:endnote>
  <w:endnote w:type="continuationNotice" w:id="1">
    <w:p w14:paraId="0043D3FB" w14:textId="77777777" w:rsidR="00966A36" w:rsidRDefault="00966A36" w:rsidP="007C5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283D5" w14:textId="06AA348D" w:rsidR="007C574B" w:rsidRPr="007C574B" w:rsidRDefault="007C574B" w:rsidP="00CA4059">
    <w:pPr>
      <w:pStyle w:val="Pta"/>
      <w:tabs>
        <w:tab w:val="clear" w:pos="4536"/>
        <w:tab w:val="clear" w:pos="9072"/>
        <w:tab w:val="left" w:pos="1590"/>
      </w:tabs>
      <w:jc w:val="center"/>
      <w:rPr>
        <w:rFonts w:ascii="Times New Roman" w:hAnsi="Times New Roman"/>
        <w:sz w:val="18"/>
      </w:rPr>
    </w:pPr>
    <w:r w:rsidRPr="00CA4059">
      <w:rPr>
        <w:rFonts w:ascii="Times New Roman" w:hAnsi="Times New Roman"/>
        <w:sz w:val="18"/>
      </w:rPr>
      <w:fldChar w:fldCharType="begin"/>
    </w:r>
    <w:r w:rsidRPr="00CA4059">
      <w:rPr>
        <w:rFonts w:ascii="Times New Roman" w:hAnsi="Times New Roman"/>
        <w:sz w:val="18"/>
      </w:rPr>
      <w:instrText>PAGE   \* MERGEFORMAT</w:instrText>
    </w:r>
    <w:r w:rsidRPr="00CA4059">
      <w:rPr>
        <w:rFonts w:ascii="Times New Roman" w:hAnsi="Times New Roman"/>
        <w:sz w:val="18"/>
      </w:rPr>
      <w:fldChar w:fldCharType="separate"/>
    </w:r>
    <w:r w:rsidR="008C6851">
      <w:rPr>
        <w:rFonts w:ascii="Times New Roman" w:hAnsi="Times New Roman"/>
        <w:noProof/>
        <w:sz w:val="18"/>
      </w:rPr>
      <w:t>3</w:t>
    </w:r>
    <w:r w:rsidRPr="00CA4059">
      <w:rPr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6BB6" w14:textId="65B73AC9" w:rsidR="007C574B" w:rsidRPr="00F8587B" w:rsidRDefault="007C574B" w:rsidP="00F230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A6C21" w14:textId="77777777" w:rsidR="00966A36" w:rsidRDefault="00966A36" w:rsidP="00C86D64">
      <w:pPr>
        <w:spacing w:after="0" w:line="240" w:lineRule="auto"/>
      </w:pPr>
      <w:r>
        <w:separator/>
      </w:r>
    </w:p>
  </w:footnote>
  <w:footnote w:type="continuationSeparator" w:id="0">
    <w:p w14:paraId="24F0728F" w14:textId="77777777" w:rsidR="00966A36" w:rsidRDefault="00966A36" w:rsidP="00F23067">
      <w:pPr>
        <w:spacing w:after="0" w:line="240" w:lineRule="auto"/>
      </w:pPr>
      <w:r>
        <w:continuationSeparator/>
      </w:r>
    </w:p>
  </w:footnote>
  <w:footnote w:type="continuationNotice" w:id="1">
    <w:p w14:paraId="1CC6B5F8" w14:textId="77777777" w:rsidR="00966A36" w:rsidRDefault="00966A36" w:rsidP="007C5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30B1" w14:textId="08CB1298" w:rsidR="007C574B" w:rsidRPr="00336777" w:rsidRDefault="007C574B" w:rsidP="0093440D">
    <w:pPr>
      <w:spacing w:after="0"/>
      <w:rPr>
        <w:rFonts w:ascii="Times New Roman" w:hAnsi="Times New Roman"/>
        <w:sz w:val="18"/>
        <w:szCs w:val="18"/>
      </w:rPr>
    </w:pPr>
    <w:r w:rsidRPr="000B181E"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CA4059">
      <w:rPr>
        <w:rFonts w:ascii="Times New Roman" w:hAnsi="Times New Roman"/>
        <w:sz w:val="18"/>
        <w:szCs w:val="18"/>
      </w:rPr>
      <w:t>2015/01446</w:t>
    </w:r>
    <w:r w:rsidRPr="000B181E">
      <w:rPr>
        <w:rFonts w:ascii="Times New Roman" w:hAnsi="Times New Roman"/>
        <w:sz w:val="18"/>
        <w:szCs w:val="18"/>
      </w:rPr>
      <w:t xml:space="preserve">-Z1B, </w:t>
    </w:r>
    <w:r w:rsidRPr="00CA4059">
      <w:rPr>
        <w:rFonts w:ascii="Times New Roman" w:hAnsi="Times New Roman"/>
        <w:sz w:val="18"/>
        <w:szCs w:val="18"/>
      </w:rPr>
      <w:t>2018/06309</w:t>
    </w:r>
    <w:r w:rsidRPr="000B181E">
      <w:rPr>
        <w:rFonts w:ascii="Times New Roman" w:hAnsi="Times New Roman"/>
        <w:sz w:val="18"/>
        <w:szCs w:val="18"/>
      </w:rPr>
      <w:t xml:space="preserve">-Z1B, </w:t>
    </w:r>
    <w:r w:rsidRPr="00CA4059">
      <w:rPr>
        <w:rFonts w:ascii="Times New Roman" w:hAnsi="Times New Roman"/>
        <w:sz w:val="18"/>
        <w:szCs w:val="18"/>
      </w:rPr>
      <w:t>2019/02944</w:t>
    </w:r>
    <w:r w:rsidRPr="000B181E">
      <w:rPr>
        <w:rFonts w:ascii="Times New Roman" w:hAnsi="Times New Roman"/>
        <w:sz w:val="18"/>
        <w:szCs w:val="18"/>
      </w:rPr>
      <w:t>-Z1B</w:t>
    </w:r>
  </w:p>
  <w:p w14:paraId="2ACFD10A" w14:textId="77777777" w:rsidR="007C574B" w:rsidRPr="007C574B" w:rsidRDefault="007C574B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DC04" w14:textId="77777777" w:rsidR="007C574B" w:rsidRPr="00F8587B" w:rsidRDefault="007C574B" w:rsidP="00F23067">
    <w:r>
      <w:t>Schválený text k</w:t>
    </w:r>
    <w:r w:rsidRPr="00D9007D">
      <w:t> rozhodnutiu o predĺžení registrácie, ev.č. 2011/08539, 2011/08540, 2011/08541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DB5"/>
    <w:multiLevelType w:val="hybridMultilevel"/>
    <w:tmpl w:val="6BD8CB18"/>
    <w:lvl w:ilvl="0" w:tplc="C694CD20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7BF"/>
    <w:multiLevelType w:val="hybridMultilevel"/>
    <w:tmpl w:val="B8426FAC"/>
    <w:lvl w:ilvl="0" w:tplc="49CEC49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4AA7"/>
    <w:multiLevelType w:val="multilevel"/>
    <w:tmpl w:val="5E4E3742"/>
    <w:lvl w:ilvl="0">
      <w:start w:val="1"/>
      <w:numFmt w:val="decimal"/>
      <w:pStyle w:val="Styl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DBC"/>
    <w:rsid w:val="00000D5C"/>
    <w:rsid w:val="000071DE"/>
    <w:rsid w:val="000114F9"/>
    <w:rsid w:val="00011D17"/>
    <w:rsid w:val="00013A14"/>
    <w:rsid w:val="00013B4D"/>
    <w:rsid w:val="00015740"/>
    <w:rsid w:val="00032C65"/>
    <w:rsid w:val="00032CB9"/>
    <w:rsid w:val="00033D5A"/>
    <w:rsid w:val="00041419"/>
    <w:rsid w:val="00041DB2"/>
    <w:rsid w:val="0005005A"/>
    <w:rsid w:val="000502E5"/>
    <w:rsid w:val="00061CA1"/>
    <w:rsid w:val="000636C5"/>
    <w:rsid w:val="000A3423"/>
    <w:rsid w:val="000A490A"/>
    <w:rsid w:val="000A4D1D"/>
    <w:rsid w:val="000B181E"/>
    <w:rsid w:val="000B1A2D"/>
    <w:rsid w:val="000B2167"/>
    <w:rsid w:val="000B3F96"/>
    <w:rsid w:val="000B5561"/>
    <w:rsid w:val="000B5AE7"/>
    <w:rsid w:val="000C1CEF"/>
    <w:rsid w:val="000C2268"/>
    <w:rsid w:val="000C4D82"/>
    <w:rsid w:val="000C5B53"/>
    <w:rsid w:val="000D1DB2"/>
    <w:rsid w:val="000E7D19"/>
    <w:rsid w:val="000F008B"/>
    <w:rsid w:val="001020A4"/>
    <w:rsid w:val="00107084"/>
    <w:rsid w:val="00112F07"/>
    <w:rsid w:val="0011500A"/>
    <w:rsid w:val="001163E8"/>
    <w:rsid w:val="00120713"/>
    <w:rsid w:val="0012175C"/>
    <w:rsid w:val="001250B9"/>
    <w:rsid w:val="00126103"/>
    <w:rsid w:val="00132A96"/>
    <w:rsid w:val="00132EBA"/>
    <w:rsid w:val="00146470"/>
    <w:rsid w:val="001505FD"/>
    <w:rsid w:val="00150EE9"/>
    <w:rsid w:val="00151E5C"/>
    <w:rsid w:val="001523B1"/>
    <w:rsid w:val="00154D4B"/>
    <w:rsid w:val="00157872"/>
    <w:rsid w:val="00164421"/>
    <w:rsid w:val="00175127"/>
    <w:rsid w:val="00176E50"/>
    <w:rsid w:val="001808A5"/>
    <w:rsid w:val="00180D5C"/>
    <w:rsid w:val="001873FA"/>
    <w:rsid w:val="00192FCB"/>
    <w:rsid w:val="00196DA4"/>
    <w:rsid w:val="00197731"/>
    <w:rsid w:val="00197E7A"/>
    <w:rsid w:val="001A2733"/>
    <w:rsid w:val="001B35B2"/>
    <w:rsid w:val="001B7CCC"/>
    <w:rsid w:val="001C1157"/>
    <w:rsid w:val="001C122B"/>
    <w:rsid w:val="001C1B2B"/>
    <w:rsid w:val="001C2438"/>
    <w:rsid w:val="001C54CE"/>
    <w:rsid w:val="001C68BE"/>
    <w:rsid w:val="001D138A"/>
    <w:rsid w:val="001D404B"/>
    <w:rsid w:val="001D41AB"/>
    <w:rsid w:val="001D4216"/>
    <w:rsid w:val="001D495A"/>
    <w:rsid w:val="001E0A99"/>
    <w:rsid w:val="001E7399"/>
    <w:rsid w:val="001F336D"/>
    <w:rsid w:val="001F3E27"/>
    <w:rsid w:val="001F4B6C"/>
    <w:rsid w:val="00205255"/>
    <w:rsid w:val="00206A89"/>
    <w:rsid w:val="00216D59"/>
    <w:rsid w:val="0022578B"/>
    <w:rsid w:val="002317BB"/>
    <w:rsid w:val="00235686"/>
    <w:rsid w:val="00237F1B"/>
    <w:rsid w:val="002440FB"/>
    <w:rsid w:val="00245CD9"/>
    <w:rsid w:val="0025679B"/>
    <w:rsid w:val="00256AD8"/>
    <w:rsid w:val="00256BD3"/>
    <w:rsid w:val="00263C34"/>
    <w:rsid w:val="0026632E"/>
    <w:rsid w:val="0026645A"/>
    <w:rsid w:val="00266682"/>
    <w:rsid w:val="00271F48"/>
    <w:rsid w:val="00282617"/>
    <w:rsid w:val="00283BD4"/>
    <w:rsid w:val="00286557"/>
    <w:rsid w:val="002A69FD"/>
    <w:rsid w:val="002B1F8E"/>
    <w:rsid w:val="002B7CAE"/>
    <w:rsid w:val="002C005D"/>
    <w:rsid w:val="002C15C6"/>
    <w:rsid w:val="002C2A93"/>
    <w:rsid w:val="002C30CC"/>
    <w:rsid w:val="002C4CFF"/>
    <w:rsid w:val="002C6587"/>
    <w:rsid w:val="002D22FC"/>
    <w:rsid w:val="002E2D60"/>
    <w:rsid w:val="002E5EA2"/>
    <w:rsid w:val="002F43BF"/>
    <w:rsid w:val="002F579E"/>
    <w:rsid w:val="002F5EBF"/>
    <w:rsid w:val="002F6BB0"/>
    <w:rsid w:val="00306233"/>
    <w:rsid w:val="003127FB"/>
    <w:rsid w:val="003204D2"/>
    <w:rsid w:val="00321734"/>
    <w:rsid w:val="00321FC7"/>
    <w:rsid w:val="003223EF"/>
    <w:rsid w:val="00336777"/>
    <w:rsid w:val="00336B44"/>
    <w:rsid w:val="003416B7"/>
    <w:rsid w:val="00342ED5"/>
    <w:rsid w:val="00350C7C"/>
    <w:rsid w:val="00356C9D"/>
    <w:rsid w:val="003604DE"/>
    <w:rsid w:val="0036150D"/>
    <w:rsid w:val="003635C8"/>
    <w:rsid w:val="00377E7E"/>
    <w:rsid w:val="0038468A"/>
    <w:rsid w:val="00385220"/>
    <w:rsid w:val="00390408"/>
    <w:rsid w:val="0039523D"/>
    <w:rsid w:val="00396595"/>
    <w:rsid w:val="003A18C2"/>
    <w:rsid w:val="003A24B8"/>
    <w:rsid w:val="003A74FF"/>
    <w:rsid w:val="003B0D35"/>
    <w:rsid w:val="003B4E3E"/>
    <w:rsid w:val="003B69EF"/>
    <w:rsid w:val="003C1F56"/>
    <w:rsid w:val="003C31AD"/>
    <w:rsid w:val="003C7AE3"/>
    <w:rsid w:val="003D3807"/>
    <w:rsid w:val="003E314B"/>
    <w:rsid w:val="003F0202"/>
    <w:rsid w:val="003F541C"/>
    <w:rsid w:val="003F6895"/>
    <w:rsid w:val="00402364"/>
    <w:rsid w:val="004034C8"/>
    <w:rsid w:val="004060BB"/>
    <w:rsid w:val="00406755"/>
    <w:rsid w:val="004133BB"/>
    <w:rsid w:val="004335AE"/>
    <w:rsid w:val="00435FA1"/>
    <w:rsid w:val="0043730F"/>
    <w:rsid w:val="00437672"/>
    <w:rsid w:val="004440D6"/>
    <w:rsid w:val="00451122"/>
    <w:rsid w:val="004546BA"/>
    <w:rsid w:val="00457FE3"/>
    <w:rsid w:val="00460B19"/>
    <w:rsid w:val="00461BCD"/>
    <w:rsid w:val="004667DA"/>
    <w:rsid w:val="00466F5E"/>
    <w:rsid w:val="004703C4"/>
    <w:rsid w:val="00471C32"/>
    <w:rsid w:val="00472B4C"/>
    <w:rsid w:val="0047432A"/>
    <w:rsid w:val="00475566"/>
    <w:rsid w:val="00480EC2"/>
    <w:rsid w:val="00492050"/>
    <w:rsid w:val="00496516"/>
    <w:rsid w:val="004A0414"/>
    <w:rsid w:val="004A0D5B"/>
    <w:rsid w:val="004A0DCF"/>
    <w:rsid w:val="004A699C"/>
    <w:rsid w:val="004B07A5"/>
    <w:rsid w:val="004B6EBF"/>
    <w:rsid w:val="004C3CD7"/>
    <w:rsid w:val="004C628E"/>
    <w:rsid w:val="004E23A6"/>
    <w:rsid w:val="004E5A03"/>
    <w:rsid w:val="004F0707"/>
    <w:rsid w:val="004F481C"/>
    <w:rsid w:val="00507AFE"/>
    <w:rsid w:val="00510B24"/>
    <w:rsid w:val="00524078"/>
    <w:rsid w:val="00527F3A"/>
    <w:rsid w:val="005333AC"/>
    <w:rsid w:val="0053344A"/>
    <w:rsid w:val="005433DC"/>
    <w:rsid w:val="005513A5"/>
    <w:rsid w:val="00553724"/>
    <w:rsid w:val="00560BD2"/>
    <w:rsid w:val="00564E45"/>
    <w:rsid w:val="005666DE"/>
    <w:rsid w:val="0057209F"/>
    <w:rsid w:val="00583EB0"/>
    <w:rsid w:val="005979E3"/>
    <w:rsid w:val="005A19B0"/>
    <w:rsid w:val="005B2208"/>
    <w:rsid w:val="005B31BB"/>
    <w:rsid w:val="005B46D7"/>
    <w:rsid w:val="005B5F06"/>
    <w:rsid w:val="005B7BC7"/>
    <w:rsid w:val="005C2210"/>
    <w:rsid w:val="005C3281"/>
    <w:rsid w:val="005C5022"/>
    <w:rsid w:val="005E1EBB"/>
    <w:rsid w:val="005E4705"/>
    <w:rsid w:val="005F051F"/>
    <w:rsid w:val="00601AA8"/>
    <w:rsid w:val="006024A9"/>
    <w:rsid w:val="006057EA"/>
    <w:rsid w:val="00606C09"/>
    <w:rsid w:val="0061451A"/>
    <w:rsid w:val="00617344"/>
    <w:rsid w:val="0062167C"/>
    <w:rsid w:val="00621B80"/>
    <w:rsid w:val="00624460"/>
    <w:rsid w:val="00624BE2"/>
    <w:rsid w:val="00626841"/>
    <w:rsid w:val="006310EE"/>
    <w:rsid w:val="0063406B"/>
    <w:rsid w:val="006350FD"/>
    <w:rsid w:val="00636937"/>
    <w:rsid w:val="00640CE9"/>
    <w:rsid w:val="00651AC3"/>
    <w:rsid w:val="0065293E"/>
    <w:rsid w:val="00653128"/>
    <w:rsid w:val="0066039C"/>
    <w:rsid w:val="006679A0"/>
    <w:rsid w:val="0067219E"/>
    <w:rsid w:val="00672681"/>
    <w:rsid w:val="006726A8"/>
    <w:rsid w:val="0067500C"/>
    <w:rsid w:val="00675DBC"/>
    <w:rsid w:val="00685647"/>
    <w:rsid w:val="00694945"/>
    <w:rsid w:val="006A1780"/>
    <w:rsid w:val="006A38BA"/>
    <w:rsid w:val="006A7158"/>
    <w:rsid w:val="006B32A8"/>
    <w:rsid w:val="006B36E6"/>
    <w:rsid w:val="006B3E25"/>
    <w:rsid w:val="006D0820"/>
    <w:rsid w:val="006D1710"/>
    <w:rsid w:val="006D4C79"/>
    <w:rsid w:val="006D4E6A"/>
    <w:rsid w:val="006D4EDC"/>
    <w:rsid w:val="006D5FC2"/>
    <w:rsid w:val="006E07A1"/>
    <w:rsid w:val="006E0DEA"/>
    <w:rsid w:val="006F07C1"/>
    <w:rsid w:val="006F119F"/>
    <w:rsid w:val="006F21FB"/>
    <w:rsid w:val="006F658F"/>
    <w:rsid w:val="0070200D"/>
    <w:rsid w:val="007023B7"/>
    <w:rsid w:val="00702D24"/>
    <w:rsid w:val="0070373D"/>
    <w:rsid w:val="00703943"/>
    <w:rsid w:val="00710ABC"/>
    <w:rsid w:val="00711777"/>
    <w:rsid w:val="00716388"/>
    <w:rsid w:val="007171CF"/>
    <w:rsid w:val="0072732A"/>
    <w:rsid w:val="00731153"/>
    <w:rsid w:val="007314A3"/>
    <w:rsid w:val="007346A6"/>
    <w:rsid w:val="0073578B"/>
    <w:rsid w:val="00753FA4"/>
    <w:rsid w:val="00755B98"/>
    <w:rsid w:val="00757739"/>
    <w:rsid w:val="0075791E"/>
    <w:rsid w:val="0077474D"/>
    <w:rsid w:val="00775FA7"/>
    <w:rsid w:val="007760AD"/>
    <w:rsid w:val="00787341"/>
    <w:rsid w:val="007963EB"/>
    <w:rsid w:val="007A205E"/>
    <w:rsid w:val="007A26CD"/>
    <w:rsid w:val="007C3C52"/>
    <w:rsid w:val="007C574B"/>
    <w:rsid w:val="007D26E7"/>
    <w:rsid w:val="007D4B0D"/>
    <w:rsid w:val="007E021B"/>
    <w:rsid w:val="007E4AAC"/>
    <w:rsid w:val="007E5C0B"/>
    <w:rsid w:val="007F06C6"/>
    <w:rsid w:val="007F0FB7"/>
    <w:rsid w:val="007F427C"/>
    <w:rsid w:val="007F5982"/>
    <w:rsid w:val="00800FD5"/>
    <w:rsid w:val="00801650"/>
    <w:rsid w:val="00806940"/>
    <w:rsid w:val="00825605"/>
    <w:rsid w:val="00825D23"/>
    <w:rsid w:val="00831749"/>
    <w:rsid w:val="008369D8"/>
    <w:rsid w:val="00840545"/>
    <w:rsid w:val="00840B9D"/>
    <w:rsid w:val="00854C80"/>
    <w:rsid w:val="00860A30"/>
    <w:rsid w:val="00861CEF"/>
    <w:rsid w:val="00863C31"/>
    <w:rsid w:val="0087042A"/>
    <w:rsid w:val="00872BC0"/>
    <w:rsid w:val="008739A4"/>
    <w:rsid w:val="00874314"/>
    <w:rsid w:val="008846BD"/>
    <w:rsid w:val="00884DB6"/>
    <w:rsid w:val="008866E8"/>
    <w:rsid w:val="00890280"/>
    <w:rsid w:val="00890D82"/>
    <w:rsid w:val="00894834"/>
    <w:rsid w:val="008A1191"/>
    <w:rsid w:val="008A2D38"/>
    <w:rsid w:val="008B1992"/>
    <w:rsid w:val="008B3EB6"/>
    <w:rsid w:val="008B5BE4"/>
    <w:rsid w:val="008B75A8"/>
    <w:rsid w:val="008C0058"/>
    <w:rsid w:val="008C355D"/>
    <w:rsid w:val="008C6851"/>
    <w:rsid w:val="008D3645"/>
    <w:rsid w:val="008D3848"/>
    <w:rsid w:val="008D3CC2"/>
    <w:rsid w:val="008D43BC"/>
    <w:rsid w:val="008D4AE9"/>
    <w:rsid w:val="008D71F1"/>
    <w:rsid w:val="008E31BB"/>
    <w:rsid w:val="008F1869"/>
    <w:rsid w:val="008F5A6E"/>
    <w:rsid w:val="00904A05"/>
    <w:rsid w:val="00907635"/>
    <w:rsid w:val="009162D9"/>
    <w:rsid w:val="00922523"/>
    <w:rsid w:val="00932B54"/>
    <w:rsid w:val="0093440D"/>
    <w:rsid w:val="009349E6"/>
    <w:rsid w:val="009431A1"/>
    <w:rsid w:val="00943BED"/>
    <w:rsid w:val="0096090F"/>
    <w:rsid w:val="00962895"/>
    <w:rsid w:val="00962E64"/>
    <w:rsid w:val="009636EA"/>
    <w:rsid w:val="009645B0"/>
    <w:rsid w:val="009654BF"/>
    <w:rsid w:val="00966A36"/>
    <w:rsid w:val="009671EB"/>
    <w:rsid w:val="00970690"/>
    <w:rsid w:val="00975E50"/>
    <w:rsid w:val="00980F82"/>
    <w:rsid w:val="009850EA"/>
    <w:rsid w:val="00985277"/>
    <w:rsid w:val="009856C0"/>
    <w:rsid w:val="0099084F"/>
    <w:rsid w:val="00997064"/>
    <w:rsid w:val="0099799B"/>
    <w:rsid w:val="009A4045"/>
    <w:rsid w:val="009B1AC1"/>
    <w:rsid w:val="009B22BE"/>
    <w:rsid w:val="009C199E"/>
    <w:rsid w:val="009C3EA8"/>
    <w:rsid w:val="009C3F79"/>
    <w:rsid w:val="009C449C"/>
    <w:rsid w:val="009C4C49"/>
    <w:rsid w:val="009D3779"/>
    <w:rsid w:val="009D56C5"/>
    <w:rsid w:val="009E102A"/>
    <w:rsid w:val="009E6946"/>
    <w:rsid w:val="00A00E97"/>
    <w:rsid w:val="00A02633"/>
    <w:rsid w:val="00A056D5"/>
    <w:rsid w:val="00A05FDD"/>
    <w:rsid w:val="00A06271"/>
    <w:rsid w:val="00A062C4"/>
    <w:rsid w:val="00A12E10"/>
    <w:rsid w:val="00A14017"/>
    <w:rsid w:val="00A14349"/>
    <w:rsid w:val="00A17A9A"/>
    <w:rsid w:val="00A20EA4"/>
    <w:rsid w:val="00A22EF4"/>
    <w:rsid w:val="00A25409"/>
    <w:rsid w:val="00A41826"/>
    <w:rsid w:val="00A4230C"/>
    <w:rsid w:val="00A442FA"/>
    <w:rsid w:val="00A47880"/>
    <w:rsid w:val="00A628A5"/>
    <w:rsid w:val="00A66AAF"/>
    <w:rsid w:val="00A70422"/>
    <w:rsid w:val="00A7498A"/>
    <w:rsid w:val="00A76F86"/>
    <w:rsid w:val="00A77567"/>
    <w:rsid w:val="00A81189"/>
    <w:rsid w:val="00A855CD"/>
    <w:rsid w:val="00A87406"/>
    <w:rsid w:val="00A87D9E"/>
    <w:rsid w:val="00A91869"/>
    <w:rsid w:val="00AA3F56"/>
    <w:rsid w:val="00AB1017"/>
    <w:rsid w:val="00AB10F0"/>
    <w:rsid w:val="00AB114B"/>
    <w:rsid w:val="00AB2CF8"/>
    <w:rsid w:val="00AB6A55"/>
    <w:rsid w:val="00AC3573"/>
    <w:rsid w:val="00AC4039"/>
    <w:rsid w:val="00AC53FA"/>
    <w:rsid w:val="00AD3827"/>
    <w:rsid w:val="00AD78E3"/>
    <w:rsid w:val="00AE25B7"/>
    <w:rsid w:val="00AF21DF"/>
    <w:rsid w:val="00AF372F"/>
    <w:rsid w:val="00B0354E"/>
    <w:rsid w:val="00B078E9"/>
    <w:rsid w:val="00B118D2"/>
    <w:rsid w:val="00B14441"/>
    <w:rsid w:val="00B207A8"/>
    <w:rsid w:val="00B2228A"/>
    <w:rsid w:val="00B223B8"/>
    <w:rsid w:val="00B27C41"/>
    <w:rsid w:val="00B3018C"/>
    <w:rsid w:val="00B308A7"/>
    <w:rsid w:val="00B31921"/>
    <w:rsid w:val="00B334D0"/>
    <w:rsid w:val="00B35E48"/>
    <w:rsid w:val="00B3675F"/>
    <w:rsid w:val="00B427CE"/>
    <w:rsid w:val="00B43F4F"/>
    <w:rsid w:val="00B52141"/>
    <w:rsid w:val="00B5464F"/>
    <w:rsid w:val="00B60FC9"/>
    <w:rsid w:val="00B63082"/>
    <w:rsid w:val="00B72118"/>
    <w:rsid w:val="00B74C20"/>
    <w:rsid w:val="00B82537"/>
    <w:rsid w:val="00B825F8"/>
    <w:rsid w:val="00B8421D"/>
    <w:rsid w:val="00B91AA2"/>
    <w:rsid w:val="00B94E44"/>
    <w:rsid w:val="00BA039E"/>
    <w:rsid w:val="00BA5429"/>
    <w:rsid w:val="00BA550C"/>
    <w:rsid w:val="00BB0E5A"/>
    <w:rsid w:val="00BB7119"/>
    <w:rsid w:val="00BB7E14"/>
    <w:rsid w:val="00BC0025"/>
    <w:rsid w:val="00BC0FFD"/>
    <w:rsid w:val="00BC6D43"/>
    <w:rsid w:val="00BC7670"/>
    <w:rsid w:val="00BD42B9"/>
    <w:rsid w:val="00BE048C"/>
    <w:rsid w:val="00BE0681"/>
    <w:rsid w:val="00BE2E13"/>
    <w:rsid w:val="00BE7477"/>
    <w:rsid w:val="00BF1DA1"/>
    <w:rsid w:val="00C1239B"/>
    <w:rsid w:val="00C1391F"/>
    <w:rsid w:val="00C14385"/>
    <w:rsid w:val="00C148EC"/>
    <w:rsid w:val="00C15259"/>
    <w:rsid w:val="00C278EC"/>
    <w:rsid w:val="00C3227F"/>
    <w:rsid w:val="00C36284"/>
    <w:rsid w:val="00C53383"/>
    <w:rsid w:val="00C53C93"/>
    <w:rsid w:val="00C73A9F"/>
    <w:rsid w:val="00C81BB4"/>
    <w:rsid w:val="00C82375"/>
    <w:rsid w:val="00C86D64"/>
    <w:rsid w:val="00C917A9"/>
    <w:rsid w:val="00C91C0A"/>
    <w:rsid w:val="00C961A0"/>
    <w:rsid w:val="00C97296"/>
    <w:rsid w:val="00CA3224"/>
    <w:rsid w:val="00CA4059"/>
    <w:rsid w:val="00CB1D92"/>
    <w:rsid w:val="00CC02C5"/>
    <w:rsid w:val="00CC32E5"/>
    <w:rsid w:val="00CC7231"/>
    <w:rsid w:val="00CC7936"/>
    <w:rsid w:val="00CD3216"/>
    <w:rsid w:val="00CE1CB3"/>
    <w:rsid w:val="00CF1DCC"/>
    <w:rsid w:val="00CF39C1"/>
    <w:rsid w:val="00CF50E4"/>
    <w:rsid w:val="00CF5853"/>
    <w:rsid w:val="00D01652"/>
    <w:rsid w:val="00D058A2"/>
    <w:rsid w:val="00D05D96"/>
    <w:rsid w:val="00D07137"/>
    <w:rsid w:val="00D12883"/>
    <w:rsid w:val="00D21307"/>
    <w:rsid w:val="00D2151E"/>
    <w:rsid w:val="00D225B7"/>
    <w:rsid w:val="00D24B90"/>
    <w:rsid w:val="00D24BFE"/>
    <w:rsid w:val="00D33502"/>
    <w:rsid w:val="00D41C3E"/>
    <w:rsid w:val="00D4754C"/>
    <w:rsid w:val="00D4791D"/>
    <w:rsid w:val="00D51726"/>
    <w:rsid w:val="00D5223F"/>
    <w:rsid w:val="00D54B68"/>
    <w:rsid w:val="00D5659C"/>
    <w:rsid w:val="00D64202"/>
    <w:rsid w:val="00D673D5"/>
    <w:rsid w:val="00D87246"/>
    <w:rsid w:val="00D9007D"/>
    <w:rsid w:val="00D94CF3"/>
    <w:rsid w:val="00DA258A"/>
    <w:rsid w:val="00DB0423"/>
    <w:rsid w:val="00DB48DE"/>
    <w:rsid w:val="00DC36E6"/>
    <w:rsid w:val="00DC3821"/>
    <w:rsid w:val="00DD01D1"/>
    <w:rsid w:val="00DD2124"/>
    <w:rsid w:val="00DD526C"/>
    <w:rsid w:val="00DE47E9"/>
    <w:rsid w:val="00DE62D4"/>
    <w:rsid w:val="00DF25E5"/>
    <w:rsid w:val="00DF4212"/>
    <w:rsid w:val="00E03A8B"/>
    <w:rsid w:val="00E06882"/>
    <w:rsid w:val="00E06BD6"/>
    <w:rsid w:val="00E07B9B"/>
    <w:rsid w:val="00E07BE0"/>
    <w:rsid w:val="00E11598"/>
    <w:rsid w:val="00E1322C"/>
    <w:rsid w:val="00E13E9C"/>
    <w:rsid w:val="00E202C1"/>
    <w:rsid w:val="00E20527"/>
    <w:rsid w:val="00E2202D"/>
    <w:rsid w:val="00E26A19"/>
    <w:rsid w:val="00E326D3"/>
    <w:rsid w:val="00E375E8"/>
    <w:rsid w:val="00E436C7"/>
    <w:rsid w:val="00E44F26"/>
    <w:rsid w:val="00E47220"/>
    <w:rsid w:val="00E53ACA"/>
    <w:rsid w:val="00E566C4"/>
    <w:rsid w:val="00E676A2"/>
    <w:rsid w:val="00E712C5"/>
    <w:rsid w:val="00E7452F"/>
    <w:rsid w:val="00E74B7F"/>
    <w:rsid w:val="00E752B8"/>
    <w:rsid w:val="00E829B9"/>
    <w:rsid w:val="00E836F4"/>
    <w:rsid w:val="00E84C20"/>
    <w:rsid w:val="00E90C9D"/>
    <w:rsid w:val="00EA2311"/>
    <w:rsid w:val="00EA7296"/>
    <w:rsid w:val="00EA7E66"/>
    <w:rsid w:val="00EA7FFD"/>
    <w:rsid w:val="00EB1A5D"/>
    <w:rsid w:val="00EB3C4E"/>
    <w:rsid w:val="00EC1D32"/>
    <w:rsid w:val="00EC3485"/>
    <w:rsid w:val="00ED7FEE"/>
    <w:rsid w:val="00EE3F8D"/>
    <w:rsid w:val="00EE6B46"/>
    <w:rsid w:val="00EE6D67"/>
    <w:rsid w:val="00EE77B9"/>
    <w:rsid w:val="00EF62EB"/>
    <w:rsid w:val="00EF6F54"/>
    <w:rsid w:val="00F0334F"/>
    <w:rsid w:val="00F037B3"/>
    <w:rsid w:val="00F04A18"/>
    <w:rsid w:val="00F04C83"/>
    <w:rsid w:val="00F1201F"/>
    <w:rsid w:val="00F17E6E"/>
    <w:rsid w:val="00F22155"/>
    <w:rsid w:val="00F23067"/>
    <w:rsid w:val="00F273C3"/>
    <w:rsid w:val="00F301FD"/>
    <w:rsid w:val="00F30498"/>
    <w:rsid w:val="00F30605"/>
    <w:rsid w:val="00F3107E"/>
    <w:rsid w:val="00F312EF"/>
    <w:rsid w:val="00F32232"/>
    <w:rsid w:val="00F35BAB"/>
    <w:rsid w:val="00F36C6A"/>
    <w:rsid w:val="00F37CCD"/>
    <w:rsid w:val="00F435E3"/>
    <w:rsid w:val="00F52F1D"/>
    <w:rsid w:val="00F53747"/>
    <w:rsid w:val="00F55915"/>
    <w:rsid w:val="00F63E2B"/>
    <w:rsid w:val="00F70AA6"/>
    <w:rsid w:val="00F746C5"/>
    <w:rsid w:val="00F75B54"/>
    <w:rsid w:val="00F7636E"/>
    <w:rsid w:val="00F77384"/>
    <w:rsid w:val="00F839C6"/>
    <w:rsid w:val="00F8587B"/>
    <w:rsid w:val="00F9178A"/>
    <w:rsid w:val="00F91AE7"/>
    <w:rsid w:val="00F9268A"/>
    <w:rsid w:val="00F971A5"/>
    <w:rsid w:val="00FA2BB3"/>
    <w:rsid w:val="00FC5F79"/>
    <w:rsid w:val="00FC60ED"/>
    <w:rsid w:val="00FD1B44"/>
    <w:rsid w:val="00FD2B29"/>
    <w:rsid w:val="00FD62CA"/>
    <w:rsid w:val="00FD7535"/>
    <w:rsid w:val="00FE2C73"/>
    <w:rsid w:val="00FE2D87"/>
    <w:rsid w:val="00FE376D"/>
    <w:rsid w:val="00FE75AE"/>
    <w:rsid w:val="00FF23F1"/>
    <w:rsid w:val="00FF2AA0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391A8FE8"/>
  <w15:docId w15:val="{77930F80-D8BF-4EE5-A774-970A289C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87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8587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qFormat/>
    <w:rsid w:val="00F8587B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sz w:val="24"/>
      <w:szCs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F8587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kern w:val="28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qFormat/>
    <w:rsid w:val="00F8587B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rsid w:val="00F8587B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val="cs-CZ"/>
    </w:rPr>
  </w:style>
  <w:style w:type="paragraph" w:styleId="Nadpis6">
    <w:name w:val="heading 6"/>
    <w:basedOn w:val="Normlny"/>
    <w:next w:val="Normlny"/>
    <w:link w:val="Nadpis6Char"/>
    <w:qFormat/>
    <w:rsid w:val="00F8587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val="cs-CZ"/>
    </w:rPr>
  </w:style>
  <w:style w:type="paragraph" w:styleId="Nadpis7">
    <w:name w:val="heading 7"/>
    <w:basedOn w:val="Normlny"/>
    <w:next w:val="Normlny"/>
    <w:link w:val="Nadpis7Char"/>
    <w:qFormat/>
    <w:rsid w:val="00F8587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val="cs-CZ"/>
    </w:rPr>
  </w:style>
  <w:style w:type="paragraph" w:styleId="Nadpis8">
    <w:name w:val="heading 8"/>
    <w:basedOn w:val="Normlny"/>
    <w:next w:val="Normlny"/>
    <w:link w:val="Nadpis8Char"/>
    <w:qFormat/>
    <w:rsid w:val="00F8587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szCs w:val="20"/>
      <w:lang w:val="cs-CZ"/>
    </w:rPr>
  </w:style>
  <w:style w:type="paragraph" w:styleId="Nadpis9">
    <w:name w:val="heading 9"/>
    <w:basedOn w:val="Normlny"/>
    <w:next w:val="Normlny"/>
    <w:link w:val="Nadpis9Char"/>
    <w:qFormat/>
    <w:rsid w:val="00F8587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link w:val="Styl2Char"/>
    <w:autoRedefine/>
    <w:rsid w:val="00286557"/>
    <w:pPr>
      <w:keepNext/>
      <w:numPr>
        <w:ilvl w:val="1"/>
        <w:numId w:val="12"/>
      </w:numPr>
      <w:spacing w:after="0" w:line="240" w:lineRule="auto"/>
      <w:ind w:left="0" w:firstLine="0"/>
    </w:pPr>
    <w:rPr>
      <w:rFonts w:ascii="Times New Roman" w:eastAsia="Times New Roman" w:hAnsi="Times New Roman"/>
      <w:b/>
      <w:bCs/>
    </w:rPr>
  </w:style>
  <w:style w:type="character" w:customStyle="1" w:styleId="Styl2Char">
    <w:name w:val="Styl2 Char"/>
    <w:link w:val="Styl2"/>
    <w:locked/>
    <w:rsid w:val="00286557"/>
    <w:rPr>
      <w:rFonts w:ascii="Times New Roman" w:eastAsia="Times New Roman" w:hAnsi="Times New Roman" w:cs="Times New Roman"/>
      <w:b/>
      <w:bCs/>
    </w:rPr>
  </w:style>
  <w:style w:type="character" w:customStyle="1" w:styleId="Bacil">
    <w:name w:val="Bacil"/>
    <w:qFormat/>
    <w:rsid w:val="009C449C"/>
    <w:rPr>
      <w:i/>
    </w:rPr>
  </w:style>
  <w:style w:type="paragraph" w:customStyle="1" w:styleId="SPCaPILhlavika">
    <w:name w:val="SPC a PIL hlavička"/>
    <w:basedOn w:val="Normlny"/>
    <w:autoRedefine/>
    <w:qFormat/>
    <w:rsid w:val="007C574B"/>
    <w:pPr>
      <w:spacing w:after="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1E7399"/>
    <w:pPr>
      <w:keepNext/>
      <w:numPr>
        <w:numId w:val="12"/>
      </w:numPr>
      <w:tabs>
        <w:tab w:val="clear" w:pos="502"/>
        <w:tab w:val="num" w:pos="426"/>
      </w:tabs>
      <w:spacing w:after="0" w:line="240" w:lineRule="auto"/>
      <w:ind w:left="360"/>
    </w:pPr>
    <w:rPr>
      <w:rFonts w:ascii="Times New Roman" w:eastAsia="Times New Roman" w:hAnsi="Times New Roman"/>
      <w:b/>
      <w:bCs/>
      <w:caps/>
      <w:szCs w:val="24"/>
    </w:rPr>
  </w:style>
  <w:style w:type="paragraph" w:customStyle="1" w:styleId="Styl2-2">
    <w:name w:val="Styl2-2"/>
    <w:basedOn w:val="Styl2"/>
    <w:next w:val="Normlny"/>
    <w:autoRedefine/>
    <w:qFormat/>
    <w:rsid w:val="00A87406"/>
    <w:pPr>
      <w:numPr>
        <w:ilvl w:val="0"/>
        <w:numId w:val="0"/>
      </w:numPr>
    </w:pPr>
    <w:rPr>
      <w:b w:val="0"/>
      <w:u w:val="single"/>
      <w:lang w:val="en-GB"/>
    </w:rPr>
  </w:style>
  <w:style w:type="paragraph" w:customStyle="1" w:styleId="Styl3">
    <w:name w:val="Styl3"/>
    <w:basedOn w:val="Normlny"/>
    <w:link w:val="Styl3Char"/>
    <w:rsid w:val="00F8587B"/>
    <w:pPr>
      <w:keepNext/>
      <w:tabs>
        <w:tab w:val="left" w:pos="6946"/>
      </w:tabs>
    </w:pPr>
    <w:rPr>
      <w:u w:val="single"/>
    </w:rPr>
  </w:style>
  <w:style w:type="character" w:customStyle="1" w:styleId="Styl3Char">
    <w:name w:val="Styl3 Char"/>
    <w:link w:val="Styl3"/>
    <w:rsid w:val="00DD01D1"/>
    <w:rPr>
      <w:rFonts w:ascii="Times New Roman" w:eastAsia="Calibri" w:hAnsi="Times New Roman" w:cs="Times New Roman"/>
      <w:szCs w:val="24"/>
      <w:u w:val="single"/>
    </w:rPr>
  </w:style>
  <w:style w:type="paragraph" w:customStyle="1" w:styleId="Styl4">
    <w:name w:val="Styl4"/>
    <w:basedOn w:val="Styl3"/>
    <w:autoRedefine/>
    <w:qFormat/>
    <w:rsid w:val="00F8587B"/>
    <w:pPr>
      <w:spacing w:after="60"/>
    </w:pPr>
    <w:rPr>
      <w:i/>
      <w:u w:val="none"/>
    </w:rPr>
  </w:style>
  <w:style w:type="paragraph" w:customStyle="1" w:styleId="Normlnedoblokusodrkami">
    <w:name w:val="Normálne do bloku s odrážkami"/>
    <w:basedOn w:val="Normlny"/>
    <w:rsid w:val="00A4230C"/>
    <w:pPr>
      <w:numPr>
        <w:numId w:val="7"/>
      </w:numPr>
      <w:spacing w:after="0" w:line="240" w:lineRule="auto"/>
    </w:pPr>
    <w:rPr>
      <w:rFonts w:ascii="Times New Roman" w:hAnsi="Times New Roman"/>
      <w:lang w:val="cs-CZ"/>
    </w:rPr>
  </w:style>
  <w:style w:type="character" w:customStyle="1" w:styleId="NormlndoblokuChar">
    <w:name w:val="Normální do bloku Char"/>
    <w:rsid w:val="00041DB2"/>
    <w:rPr>
      <w:rFonts w:ascii="Times New Roman" w:eastAsia="Calibri" w:hAnsi="Times New Roman" w:cs="Times New Roman"/>
      <w:szCs w:val="24"/>
    </w:rPr>
  </w:style>
  <w:style w:type="paragraph" w:customStyle="1" w:styleId="Normlndoblokusodrkami">
    <w:name w:val="Normální do bloku s odrážkami"/>
    <w:basedOn w:val="Normlny"/>
    <w:autoRedefine/>
    <w:qFormat/>
    <w:rsid w:val="00F8587B"/>
    <w:pPr>
      <w:numPr>
        <w:numId w:val="9"/>
      </w:numPr>
      <w:tabs>
        <w:tab w:val="left" w:pos="360"/>
      </w:tabs>
    </w:pPr>
    <w:rPr>
      <w:noProof/>
    </w:rPr>
  </w:style>
  <w:style w:type="paragraph" w:customStyle="1" w:styleId="Styl5">
    <w:name w:val="Styl5"/>
    <w:basedOn w:val="Normlny"/>
    <w:autoRedefine/>
    <w:qFormat/>
    <w:rsid w:val="00DD01D1"/>
    <w:pPr>
      <w:keepNext/>
      <w:suppressAutoHyphens/>
      <w:spacing w:before="120" w:after="120" w:line="240" w:lineRule="auto"/>
    </w:pPr>
    <w:rPr>
      <w:rFonts w:ascii="TimesNewRoman" w:hAnsi="TimesNewRoman" w:cs="TimesNewRoman"/>
      <w:b/>
      <w:szCs w:val="20"/>
      <w:lang w:val="cs-CZ"/>
    </w:rPr>
  </w:style>
  <w:style w:type="paragraph" w:styleId="Hlavika">
    <w:name w:val="header"/>
    <w:basedOn w:val="Normlny"/>
    <w:link w:val="HlavikaChar"/>
    <w:unhideWhenUsed/>
    <w:rsid w:val="00F8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93440D"/>
  </w:style>
  <w:style w:type="paragraph" w:styleId="Pta">
    <w:name w:val="footer"/>
    <w:basedOn w:val="Normlny"/>
    <w:link w:val="PtaChar"/>
    <w:unhideWhenUsed/>
    <w:rsid w:val="00F8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3440D"/>
  </w:style>
  <w:style w:type="paragraph" w:customStyle="1" w:styleId="Nadpisuvnittabulky">
    <w:name w:val="Nadpis uvnitř tabulky"/>
    <w:basedOn w:val="Normlny"/>
    <w:autoRedefine/>
    <w:qFormat/>
    <w:rsid w:val="00F36C6A"/>
    <w:pPr>
      <w:suppressAutoHyphens/>
      <w:spacing w:after="0" w:line="240" w:lineRule="auto"/>
      <w:jc w:val="center"/>
    </w:pPr>
    <w:rPr>
      <w:rFonts w:ascii="Times New Roman" w:hAnsi="Times New Roman"/>
      <w:szCs w:val="20"/>
      <w:lang w:val="cs-CZ"/>
    </w:rPr>
  </w:style>
  <w:style w:type="character" w:customStyle="1" w:styleId="Nadpis1Char">
    <w:name w:val="Nadpis 1 Char"/>
    <w:link w:val="Nadpis1"/>
    <w:rsid w:val="00F8587B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link w:val="Nadpis2"/>
    <w:rsid w:val="00F8587B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link w:val="Nadpis3"/>
    <w:rsid w:val="00F8587B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link w:val="Nadpis4"/>
    <w:rsid w:val="00F8587B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link w:val="Nadpis5"/>
    <w:rsid w:val="00F8587B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link w:val="Nadpis6"/>
    <w:rsid w:val="00F8587B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link w:val="Nadpis7"/>
    <w:rsid w:val="00F8587B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link w:val="Nadpis8"/>
    <w:rsid w:val="00F8587B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link w:val="Nadpis9"/>
    <w:rsid w:val="00F8587B"/>
    <w:rPr>
      <w:rFonts w:ascii="Times New Roman" w:eastAsia="Times New Roman" w:hAnsi="Times New Roman" w:cs="Times New Roman"/>
      <w:b/>
      <w:i/>
      <w:szCs w:val="20"/>
      <w:lang w:val="cs-CZ"/>
    </w:rPr>
  </w:style>
  <w:style w:type="paragraph" w:customStyle="1" w:styleId="EMEAEnBodyText">
    <w:name w:val="EMEA En Body Text"/>
    <w:basedOn w:val="Normlny"/>
    <w:rsid w:val="00F8587B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character" w:styleId="slostrany">
    <w:name w:val="page number"/>
    <w:basedOn w:val="Predvolenpsmoodseku"/>
    <w:rsid w:val="00F8587B"/>
  </w:style>
  <w:style w:type="character" w:styleId="Hypertextovprepojenie">
    <w:name w:val="Hyperlink"/>
    <w:rsid w:val="00F8587B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8587B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link w:val="Zkladntext"/>
    <w:rsid w:val="00F8587B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rsid w:val="00F8587B"/>
    <w:pPr>
      <w:ind w:left="567" w:hanging="567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semiHidden/>
    <w:rsid w:val="00F8587B"/>
    <w:pPr>
      <w:shd w:val="clear" w:color="auto" w:fill="000080"/>
      <w:spacing w:after="0" w:line="240" w:lineRule="auto"/>
      <w:ind w:left="567" w:hanging="567"/>
    </w:pPr>
    <w:rPr>
      <w:rFonts w:ascii="Tahoma" w:eastAsia="Times New Roman" w:hAnsi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F8587B"/>
    <w:rPr>
      <w:rFonts w:ascii="Tahoma" w:eastAsia="Times New Roman" w:hAnsi="Tahoma" w:cs="Times New Roman"/>
      <w:sz w:val="20"/>
      <w:szCs w:val="20"/>
      <w:shd w:val="clear" w:color="auto" w:fill="000080"/>
      <w:lang w:eastAsia="sk-SK"/>
    </w:rPr>
  </w:style>
  <w:style w:type="paragraph" w:styleId="Textbubliny">
    <w:name w:val="Balloon Text"/>
    <w:basedOn w:val="Normlny"/>
    <w:link w:val="TextbublinyChar"/>
    <w:semiHidden/>
    <w:rsid w:val="00F8587B"/>
    <w:pPr>
      <w:spacing w:after="0" w:line="240" w:lineRule="auto"/>
      <w:ind w:left="567" w:hanging="567"/>
    </w:pPr>
    <w:rPr>
      <w:rFonts w:ascii="Tahoma" w:eastAsia="Times New Roman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semiHidden/>
    <w:rsid w:val="00F8587B"/>
    <w:rPr>
      <w:rFonts w:ascii="Tahoma" w:eastAsia="Times New Roman" w:hAnsi="Tahoma" w:cs="Times New Roman"/>
      <w:sz w:val="16"/>
      <w:szCs w:val="16"/>
      <w:lang w:eastAsia="sk-SK"/>
    </w:rPr>
  </w:style>
  <w:style w:type="character" w:styleId="Odkaznakomentr">
    <w:name w:val="annotation reference"/>
    <w:semiHidden/>
    <w:rsid w:val="00F8587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8587B"/>
    <w:pPr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semiHidden/>
    <w:rsid w:val="00F858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8587B"/>
    <w:rPr>
      <w:b/>
      <w:bCs/>
    </w:rPr>
  </w:style>
  <w:style w:type="character" w:customStyle="1" w:styleId="PredmetkomentraChar">
    <w:name w:val="Predmet komentára Char"/>
    <w:link w:val="Predmetkomentra"/>
    <w:semiHidden/>
    <w:rsid w:val="00F858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F8587B"/>
    <w:pPr>
      <w:spacing w:after="120" w:line="480" w:lineRule="auto"/>
      <w:ind w:left="283" w:hanging="567"/>
    </w:pPr>
    <w:rPr>
      <w:rFonts w:ascii="Times New Roman" w:eastAsia="Times New Roman" w:hAnsi="Times New Roman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F8587B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Odsekzoznamu1">
    <w:name w:val="Odsek zoznamu1"/>
    <w:basedOn w:val="Normlny"/>
    <w:uiPriority w:val="34"/>
    <w:qFormat/>
    <w:rsid w:val="00F8587B"/>
    <w:pPr>
      <w:spacing w:after="0" w:line="240" w:lineRule="auto"/>
      <w:ind w:left="708"/>
    </w:pPr>
    <w:rPr>
      <w:rFonts w:ascii="Times New Roman" w:hAnsi="Times New Roman"/>
      <w:lang w:val="cs-CZ"/>
    </w:rPr>
  </w:style>
  <w:style w:type="paragraph" w:customStyle="1" w:styleId="normlndoblokukurz">
    <w:name w:val="normální do bloku kurz"/>
    <w:basedOn w:val="Normlny"/>
    <w:link w:val="normlndoblokukurzChar"/>
    <w:qFormat/>
    <w:rsid w:val="00F8587B"/>
    <w:rPr>
      <w:rFonts w:ascii="TimesNewRoman" w:eastAsia="Times New Roman" w:hAnsi="TimesNewRoman"/>
      <w:i/>
    </w:rPr>
  </w:style>
  <w:style w:type="paragraph" w:customStyle="1" w:styleId="Revize1">
    <w:name w:val="Revize1"/>
    <w:hidden/>
    <w:uiPriority w:val="99"/>
    <w:semiHidden/>
    <w:rsid w:val="00F8587B"/>
    <w:rPr>
      <w:sz w:val="22"/>
      <w:szCs w:val="22"/>
      <w:lang w:val="cs-CZ" w:eastAsia="en-US"/>
    </w:rPr>
  </w:style>
  <w:style w:type="character" w:customStyle="1" w:styleId="normlndoblokukurzChar">
    <w:name w:val="normální do bloku kurz Char"/>
    <w:link w:val="normlndoblokukurz"/>
    <w:rsid w:val="00F8587B"/>
    <w:rPr>
      <w:rFonts w:ascii="TimesNewRoman" w:eastAsia="Times New Roman" w:hAnsi="TimesNewRoman" w:cs="Times New Roman"/>
      <w:i/>
      <w:szCs w:val="24"/>
    </w:rPr>
  </w:style>
  <w:style w:type="character" w:customStyle="1" w:styleId="apple-style-span">
    <w:name w:val="apple-style-span"/>
    <w:basedOn w:val="Predvolenpsmoodseku"/>
    <w:rsid w:val="00F8587B"/>
  </w:style>
  <w:style w:type="character" w:customStyle="1" w:styleId="apple-converted-space">
    <w:name w:val="apple-converted-space"/>
    <w:basedOn w:val="Predvolenpsmoodseku"/>
    <w:rsid w:val="00F8587B"/>
  </w:style>
  <w:style w:type="character" w:customStyle="1" w:styleId="hps">
    <w:name w:val="hps"/>
    <w:basedOn w:val="Predvolenpsmoodseku"/>
    <w:rsid w:val="00F8587B"/>
  </w:style>
  <w:style w:type="character" w:customStyle="1" w:styleId="atn">
    <w:name w:val="atn"/>
    <w:basedOn w:val="Predvolenpsmoodseku"/>
    <w:rsid w:val="00F8587B"/>
  </w:style>
  <w:style w:type="paragraph" w:styleId="Revzia">
    <w:name w:val="Revision"/>
    <w:hidden/>
    <w:uiPriority w:val="99"/>
    <w:semiHidden/>
    <w:rsid w:val="006024A9"/>
    <w:rPr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BA55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8536</Words>
  <Characters>48657</Characters>
  <Application>Microsoft Office Word</Application>
  <DocSecurity>0</DocSecurity>
  <Lines>405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matuskova</dc:creator>
  <cp:keywords/>
  <cp:lastModifiedBy>Kytková, Adriana</cp:lastModifiedBy>
  <cp:revision>5</cp:revision>
  <dcterms:created xsi:type="dcterms:W3CDTF">2020-07-15T12:43:00Z</dcterms:created>
  <dcterms:modified xsi:type="dcterms:W3CDTF">2020-07-16T07:51:00Z</dcterms:modified>
</cp:coreProperties>
</file>