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D133A" w14:textId="77777777" w:rsidR="001D29E6" w:rsidRPr="009D3DED" w:rsidRDefault="001D29E6" w:rsidP="00FF309C">
      <w:pPr>
        <w:widowControl w:val="0"/>
        <w:rPr>
          <w:bCs/>
          <w:iCs/>
          <w:szCs w:val="22"/>
          <w:lang w:val="sk-SK"/>
        </w:rPr>
      </w:pPr>
    </w:p>
    <w:p w14:paraId="4B17F89C" w14:textId="77777777" w:rsidR="007302F0" w:rsidRDefault="007302F0" w:rsidP="00FF309C">
      <w:pPr>
        <w:widowControl w:val="0"/>
        <w:rPr>
          <w:bCs/>
          <w:iCs/>
          <w:szCs w:val="22"/>
          <w:lang w:val="sk-SK"/>
        </w:rPr>
      </w:pPr>
    </w:p>
    <w:p w14:paraId="09EBA4F4" w14:textId="12AB6459" w:rsidR="007302F0" w:rsidRDefault="007302F0" w:rsidP="00AA5B78">
      <w:pPr>
        <w:widowControl w:val="0"/>
        <w:jc w:val="center"/>
        <w:rPr>
          <w:bCs/>
          <w:iCs/>
          <w:szCs w:val="22"/>
          <w:lang w:val="sk-SK"/>
        </w:rPr>
      </w:pPr>
      <w:r w:rsidRPr="009D3DED">
        <w:rPr>
          <w:b/>
          <w:lang w:val="sk-SK"/>
        </w:rPr>
        <w:t>SÚHRN CHARAKTERISTICKÝCH VLASTNOSTÍ LIEKU</w:t>
      </w:r>
    </w:p>
    <w:p w14:paraId="68FBD605" w14:textId="77777777" w:rsidR="007302F0" w:rsidRDefault="007302F0" w:rsidP="00FF309C">
      <w:pPr>
        <w:widowControl w:val="0"/>
        <w:rPr>
          <w:bCs/>
          <w:iCs/>
          <w:szCs w:val="22"/>
          <w:lang w:val="sk-SK"/>
        </w:rPr>
      </w:pPr>
    </w:p>
    <w:p w14:paraId="0CB73CB1" w14:textId="3023D053" w:rsidR="001D29E6" w:rsidRPr="009D3DED" w:rsidRDefault="001D29E6" w:rsidP="00FF309C">
      <w:pPr>
        <w:widowControl w:val="0"/>
        <w:rPr>
          <w:szCs w:val="22"/>
          <w:lang w:val="sk-SK"/>
        </w:rPr>
      </w:pPr>
      <w:r w:rsidRPr="009D3DED">
        <w:rPr>
          <w:bCs/>
          <w:iCs/>
          <w:szCs w:val="22"/>
          <w:lang w:val="sk-SK"/>
        </w:rPr>
        <w:t>1.</w:t>
      </w:r>
      <w:r w:rsidRPr="009D3DED">
        <w:rPr>
          <w:bCs/>
          <w:iCs/>
          <w:szCs w:val="22"/>
          <w:lang w:val="sk-SK"/>
        </w:rPr>
        <w:tab/>
      </w:r>
      <w:r w:rsidR="00C70366" w:rsidRPr="009D3DED">
        <w:rPr>
          <w:b/>
          <w:szCs w:val="22"/>
          <w:lang w:val="sk-SK"/>
        </w:rPr>
        <w:t>NÁZOV LIEKU</w:t>
      </w:r>
    </w:p>
    <w:p w14:paraId="6C9FFF08" w14:textId="77777777" w:rsidR="001D29E6" w:rsidRPr="009D3DED" w:rsidRDefault="001D29E6" w:rsidP="00FF309C">
      <w:pPr>
        <w:rPr>
          <w:iCs/>
          <w:szCs w:val="22"/>
          <w:lang w:val="sk-SK"/>
        </w:rPr>
      </w:pPr>
    </w:p>
    <w:p w14:paraId="5107C09A" w14:textId="77777777" w:rsidR="0014282A" w:rsidRPr="009D3DED" w:rsidRDefault="005A15DF" w:rsidP="00FF309C">
      <w:pPr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Ibalgin Plus </w:t>
      </w:r>
    </w:p>
    <w:p w14:paraId="3174C6F6" w14:textId="27B9B564" w:rsidR="001D29E6" w:rsidRPr="009D3DED" w:rsidRDefault="00AA1F5C" w:rsidP="00FF309C">
      <w:pPr>
        <w:rPr>
          <w:szCs w:val="22"/>
          <w:lang w:val="sk-SK"/>
        </w:rPr>
      </w:pPr>
      <w:r w:rsidRPr="009D3DED">
        <w:rPr>
          <w:szCs w:val="22"/>
          <w:lang w:val="sk-SK"/>
        </w:rPr>
        <w:t>400</w:t>
      </w:r>
      <w:r w:rsidR="00F80F72">
        <w:rPr>
          <w:szCs w:val="22"/>
          <w:lang w:val="sk-SK"/>
        </w:rPr>
        <w:t xml:space="preserve"> </w:t>
      </w:r>
      <w:r w:rsidRPr="009D3DED">
        <w:rPr>
          <w:szCs w:val="22"/>
          <w:lang w:val="sk-SK"/>
        </w:rPr>
        <w:t>mg/100</w:t>
      </w:r>
      <w:r w:rsidR="00F80F72">
        <w:rPr>
          <w:szCs w:val="22"/>
          <w:lang w:val="sk-SK"/>
        </w:rPr>
        <w:t xml:space="preserve"> </w:t>
      </w:r>
      <w:r w:rsidRPr="009D3DED">
        <w:rPr>
          <w:szCs w:val="22"/>
          <w:lang w:val="sk-SK"/>
        </w:rPr>
        <w:t xml:space="preserve">mg </w:t>
      </w:r>
      <w:r w:rsidR="00542E76" w:rsidRPr="009D3DED">
        <w:rPr>
          <w:szCs w:val="22"/>
          <w:lang w:val="sk-SK"/>
        </w:rPr>
        <w:t>filmom obalené</w:t>
      </w:r>
      <w:r w:rsidR="000C0958" w:rsidRPr="009D3DED">
        <w:rPr>
          <w:szCs w:val="22"/>
          <w:lang w:val="sk-SK"/>
        </w:rPr>
        <w:t xml:space="preserve"> tablety</w:t>
      </w:r>
    </w:p>
    <w:p w14:paraId="68019E3C" w14:textId="77777777" w:rsidR="001D29E6" w:rsidRPr="009D3DED" w:rsidRDefault="001D29E6" w:rsidP="00FF309C">
      <w:pPr>
        <w:rPr>
          <w:iCs/>
          <w:szCs w:val="22"/>
          <w:lang w:val="sk-SK"/>
        </w:rPr>
      </w:pPr>
    </w:p>
    <w:p w14:paraId="21205FF5" w14:textId="77777777" w:rsidR="001D29E6" w:rsidRPr="009D3DED" w:rsidRDefault="001D29E6" w:rsidP="00FF309C">
      <w:pPr>
        <w:widowControl w:val="0"/>
        <w:rPr>
          <w:b/>
          <w:szCs w:val="22"/>
          <w:lang w:val="sk-SK"/>
        </w:rPr>
      </w:pPr>
    </w:p>
    <w:p w14:paraId="720DECA7" w14:textId="77777777" w:rsidR="001D29E6" w:rsidRPr="009D3DED" w:rsidRDefault="001D29E6" w:rsidP="00FF309C">
      <w:pPr>
        <w:widowControl w:val="0"/>
        <w:rPr>
          <w:szCs w:val="22"/>
          <w:lang w:val="sk-SK"/>
        </w:rPr>
      </w:pPr>
      <w:r w:rsidRPr="009D3DED">
        <w:rPr>
          <w:b/>
          <w:szCs w:val="22"/>
          <w:lang w:val="sk-SK"/>
        </w:rPr>
        <w:t>2.</w:t>
      </w:r>
      <w:r w:rsidRPr="009D3DED">
        <w:rPr>
          <w:b/>
          <w:szCs w:val="22"/>
          <w:lang w:val="sk-SK"/>
        </w:rPr>
        <w:tab/>
      </w:r>
      <w:r w:rsidR="00C70366" w:rsidRPr="009D3DED">
        <w:rPr>
          <w:b/>
          <w:szCs w:val="22"/>
          <w:lang w:val="sk-SK"/>
        </w:rPr>
        <w:t>KVALITATÍVNE A KVANTITATÍVNE ZLOŽENIE</w:t>
      </w:r>
    </w:p>
    <w:p w14:paraId="1B3CBAC8" w14:textId="77777777" w:rsidR="001D29E6" w:rsidRPr="009D3DED" w:rsidRDefault="001D29E6" w:rsidP="00FF309C">
      <w:pPr>
        <w:rPr>
          <w:szCs w:val="22"/>
          <w:lang w:val="sk-SK"/>
        </w:rPr>
      </w:pPr>
    </w:p>
    <w:p w14:paraId="03D644BB" w14:textId="77777777" w:rsidR="00AA1F5C" w:rsidRPr="009D3DED" w:rsidRDefault="00032F7B" w:rsidP="00FF309C">
      <w:pPr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Jedna </w:t>
      </w:r>
      <w:r w:rsidR="006A1077" w:rsidRPr="009D3DED">
        <w:rPr>
          <w:szCs w:val="22"/>
          <w:lang w:val="sk-SK"/>
        </w:rPr>
        <w:t xml:space="preserve">filmom obalená </w:t>
      </w:r>
      <w:r w:rsidRPr="009D3DED">
        <w:rPr>
          <w:szCs w:val="22"/>
          <w:lang w:val="sk-SK"/>
        </w:rPr>
        <w:t xml:space="preserve">tableta obsahuje </w:t>
      </w:r>
      <w:r w:rsidR="00AA1F5C" w:rsidRPr="009D3DED">
        <w:rPr>
          <w:szCs w:val="22"/>
          <w:lang w:val="sk-SK"/>
        </w:rPr>
        <w:t xml:space="preserve">400 mg </w:t>
      </w:r>
      <w:r w:rsidR="00B92304" w:rsidRPr="009D3DED">
        <w:rPr>
          <w:szCs w:val="22"/>
          <w:lang w:val="sk-SK"/>
        </w:rPr>
        <w:t xml:space="preserve">ibuprofénu </w:t>
      </w:r>
      <w:r w:rsidRPr="009D3DED">
        <w:rPr>
          <w:szCs w:val="22"/>
          <w:lang w:val="sk-SK"/>
        </w:rPr>
        <w:t>a</w:t>
      </w:r>
      <w:r w:rsidR="00542E76" w:rsidRPr="009D3DED">
        <w:rPr>
          <w:szCs w:val="22"/>
          <w:lang w:val="sk-SK"/>
        </w:rPr>
        <w:t xml:space="preserve"> </w:t>
      </w:r>
      <w:r w:rsidR="00AA1F5C" w:rsidRPr="009D3DED">
        <w:rPr>
          <w:szCs w:val="22"/>
          <w:lang w:val="sk-SK"/>
        </w:rPr>
        <w:t>100 mg</w:t>
      </w:r>
      <w:r w:rsidR="00B92304" w:rsidRPr="009D3DED">
        <w:rPr>
          <w:szCs w:val="22"/>
          <w:lang w:val="sk-SK"/>
        </w:rPr>
        <w:t xml:space="preserve"> kofeínu</w:t>
      </w:r>
      <w:r w:rsidR="00AA1F5C" w:rsidRPr="009D3DED">
        <w:rPr>
          <w:szCs w:val="22"/>
          <w:lang w:val="sk-SK"/>
        </w:rPr>
        <w:t>.</w:t>
      </w:r>
    </w:p>
    <w:p w14:paraId="4E1764A4" w14:textId="77777777" w:rsidR="00AA1F5C" w:rsidRPr="009D3DED" w:rsidRDefault="00AA1F5C" w:rsidP="00FF309C">
      <w:pPr>
        <w:rPr>
          <w:szCs w:val="22"/>
          <w:lang w:val="sk-SK"/>
        </w:rPr>
      </w:pPr>
    </w:p>
    <w:p w14:paraId="727CD5F2" w14:textId="77777777" w:rsidR="001D29E6" w:rsidRPr="009D3DED" w:rsidRDefault="00542E76" w:rsidP="00FF309C">
      <w:pPr>
        <w:rPr>
          <w:szCs w:val="22"/>
          <w:lang w:val="sk-SK"/>
        </w:rPr>
      </w:pPr>
      <w:r w:rsidRPr="009D3DED">
        <w:rPr>
          <w:lang w:val="sk-SK"/>
        </w:rPr>
        <w:t xml:space="preserve">Úplný zoznam pomocných látok, pozri časť </w:t>
      </w:r>
      <w:r w:rsidR="00032F7B" w:rsidRPr="009D3DED">
        <w:rPr>
          <w:szCs w:val="22"/>
          <w:lang w:val="sk-SK"/>
        </w:rPr>
        <w:t>6.1</w:t>
      </w:r>
      <w:r w:rsidR="001D29E6" w:rsidRPr="009D3DED">
        <w:rPr>
          <w:szCs w:val="22"/>
          <w:lang w:val="sk-SK"/>
        </w:rPr>
        <w:t>.</w:t>
      </w:r>
    </w:p>
    <w:p w14:paraId="3A28941C" w14:textId="77777777" w:rsidR="00433D78" w:rsidRPr="009D3DED" w:rsidRDefault="00433D78" w:rsidP="00FF309C">
      <w:pPr>
        <w:rPr>
          <w:szCs w:val="22"/>
          <w:lang w:val="sk-SK"/>
        </w:rPr>
      </w:pPr>
    </w:p>
    <w:p w14:paraId="41C6BEED" w14:textId="77777777" w:rsidR="001D29E6" w:rsidRPr="009D3DED" w:rsidRDefault="001D29E6" w:rsidP="00FF309C">
      <w:pPr>
        <w:rPr>
          <w:szCs w:val="22"/>
          <w:lang w:val="sk-SK"/>
        </w:rPr>
      </w:pPr>
    </w:p>
    <w:p w14:paraId="00977241" w14:textId="77777777" w:rsidR="001D29E6" w:rsidRPr="009D3DED" w:rsidRDefault="001D29E6" w:rsidP="00FF309C">
      <w:pPr>
        <w:ind w:left="567" w:hanging="567"/>
        <w:rPr>
          <w:b/>
          <w:caps/>
          <w:szCs w:val="22"/>
          <w:lang w:val="sk-SK"/>
        </w:rPr>
      </w:pPr>
      <w:r w:rsidRPr="009D3DED">
        <w:rPr>
          <w:b/>
          <w:szCs w:val="22"/>
          <w:lang w:val="sk-SK"/>
        </w:rPr>
        <w:t>3.</w:t>
      </w:r>
      <w:r w:rsidRPr="009D3DED">
        <w:rPr>
          <w:b/>
          <w:szCs w:val="22"/>
          <w:lang w:val="sk-SK"/>
        </w:rPr>
        <w:tab/>
      </w:r>
      <w:r w:rsidR="00542E76" w:rsidRPr="009D3DED">
        <w:rPr>
          <w:b/>
          <w:szCs w:val="22"/>
          <w:lang w:val="sk-SK"/>
        </w:rPr>
        <w:t>LIEKOVÁ FORMA</w:t>
      </w:r>
    </w:p>
    <w:p w14:paraId="4D06C728" w14:textId="77777777" w:rsidR="001D29E6" w:rsidRPr="009D3DED" w:rsidRDefault="001D29E6" w:rsidP="00FF309C">
      <w:pPr>
        <w:rPr>
          <w:szCs w:val="22"/>
          <w:lang w:val="sk-SK"/>
        </w:rPr>
      </w:pPr>
    </w:p>
    <w:p w14:paraId="1813356F" w14:textId="06038978" w:rsidR="00AA1F5C" w:rsidRPr="009D3DED" w:rsidRDefault="00542E76" w:rsidP="00FF309C">
      <w:pPr>
        <w:rPr>
          <w:szCs w:val="22"/>
          <w:lang w:val="sk-SK"/>
        </w:rPr>
      </w:pPr>
      <w:r w:rsidRPr="009D3DED">
        <w:rPr>
          <w:szCs w:val="22"/>
          <w:lang w:val="sk-SK"/>
        </w:rPr>
        <w:t>Filmom obalen</w:t>
      </w:r>
      <w:r w:rsidR="00E71B73">
        <w:rPr>
          <w:szCs w:val="22"/>
          <w:lang w:val="sk-SK"/>
        </w:rPr>
        <w:t>á</w:t>
      </w:r>
      <w:r w:rsidR="00A20DE4" w:rsidRPr="009D3DED">
        <w:rPr>
          <w:szCs w:val="22"/>
          <w:lang w:val="sk-SK"/>
        </w:rPr>
        <w:t xml:space="preserve"> tablet</w:t>
      </w:r>
      <w:r w:rsidR="00E71B73">
        <w:rPr>
          <w:szCs w:val="22"/>
          <w:lang w:val="sk-SK"/>
        </w:rPr>
        <w:t>a</w:t>
      </w:r>
      <w:r w:rsidR="00AA1F5C" w:rsidRPr="009D3DED">
        <w:rPr>
          <w:szCs w:val="22"/>
          <w:lang w:val="sk-SK"/>
        </w:rPr>
        <w:t>.</w:t>
      </w:r>
    </w:p>
    <w:p w14:paraId="33F5917B" w14:textId="561E3F30" w:rsidR="001D29E6" w:rsidRPr="009D3DED" w:rsidRDefault="00542E76">
      <w:pPr>
        <w:rPr>
          <w:szCs w:val="22"/>
          <w:lang w:val="sk-SK"/>
        </w:rPr>
      </w:pPr>
      <w:r w:rsidRPr="009D3DED">
        <w:rPr>
          <w:szCs w:val="22"/>
          <w:lang w:val="sk-SK"/>
        </w:rPr>
        <w:t>Biel</w:t>
      </w:r>
      <w:r w:rsidR="00E71B73">
        <w:rPr>
          <w:szCs w:val="22"/>
          <w:lang w:val="sk-SK"/>
        </w:rPr>
        <w:t>a,</w:t>
      </w:r>
      <w:r w:rsidRPr="009D3DED">
        <w:rPr>
          <w:szCs w:val="22"/>
          <w:lang w:val="sk-SK"/>
        </w:rPr>
        <w:t xml:space="preserve"> podlhovast</w:t>
      </w:r>
      <w:r w:rsidR="00E71B73">
        <w:rPr>
          <w:szCs w:val="22"/>
          <w:lang w:val="sk-SK"/>
        </w:rPr>
        <w:t>á,</w:t>
      </w:r>
      <w:r w:rsidRPr="009D3DED">
        <w:rPr>
          <w:szCs w:val="22"/>
          <w:lang w:val="sk-SK"/>
        </w:rPr>
        <w:t xml:space="preserve"> filmom obalen</w:t>
      </w:r>
      <w:r w:rsidR="00E71B73">
        <w:rPr>
          <w:szCs w:val="22"/>
          <w:lang w:val="sk-SK"/>
        </w:rPr>
        <w:t>á</w:t>
      </w:r>
      <w:r w:rsidRPr="009D3DED">
        <w:rPr>
          <w:szCs w:val="22"/>
          <w:lang w:val="sk-SK"/>
        </w:rPr>
        <w:t xml:space="preserve"> tablet</w:t>
      </w:r>
      <w:r w:rsidR="00E71B73">
        <w:rPr>
          <w:szCs w:val="22"/>
          <w:lang w:val="sk-SK"/>
        </w:rPr>
        <w:t>a</w:t>
      </w:r>
      <w:r w:rsidRPr="009D3DED">
        <w:rPr>
          <w:szCs w:val="22"/>
          <w:lang w:val="sk-SK"/>
        </w:rPr>
        <w:t xml:space="preserve"> </w:t>
      </w:r>
      <w:r w:rsidR="00B13A11" w:rsidRPr="009D3DED">
        <w:rPr>
          <w:szCs w:val="22"/>
          <w:lang w:val="sk-SK"/>
        </w:rPr>
        <w:t>s veľkosťou</w:t>
      </w:r>
      <w:r w:rsidRPr="009D3DED">
        <w:rPr>
          <w:szCs w:val="22"/>
          <w:lang w:val="sk-SK"/>
        </w:rPr>
        <w:t xml:space="preserve"> </w:t>
      </w:r>
      <w:r w:rsidR="00A20DE4" w:rsidRPr="009D3DED">
        <w:rPr>
          <w:szCs w:val="22"/>
          <w:lang w:val="sk-SK"/>
        </w:rPr>
        <w:t>17,8 mm x 8,6 mm</w:t>
      </w:r>
      <w:r w:rsidR="00AD3990" w:rsidRPr="009D3DED">
        <w:rPr>
          <w:szCs w:val="22"/>
          <w:lang w:val="sk-SK"/>
        </w:rPr>
        <w:t>.</w:t>
      </w:r>
    </w:p>
    <w:p w14:paraId="6EDAF153" w14:textId="77777777" w:rsidR="001D29E6" w:rsidRPr="009D3DED" w:rsidRDefault="001D29E6">
      <w:pPr>
        <w:rPr>
          <w:szCs w:val="22"/>
          <w:lang w:val="sk-SK"/>
        </w:rPr>
      </w:pPr>
    </w:p>
    <w:p w14:paraId="6068EE98" w14:textId="77777777" w:rsidR="0006409D" w:rsidRPr="009D3DED" w:rsidRDefault="0006409D">
      <w:pPr>
        <w:rPr>
          <w:szCs w:val="22"/>
          <w:lang w:val="sk-SK"/>
        </w:rPr>
      </w:pPr>
    </w:p>
    <w:p w14:paraId="3496175C" w14:textId="77777777" w:rsidR="001D29E6" w:rsidRPr="009D3DED" w:rsidRDefault="001D29E6">
      <w:pPr>
        <w:ind w:left="567" w:hanging="567"/>
        <w:rPr>
          <w:caps/>
          <w:szCs w:val="22"/>
          <w:lang w:val="sk-SK"/>
        </w:rPr>
      </w:pPr>
      <w:r w:rsidRPr="009D3DED">
        <w:rPr>
          <w:b/>
          <w:caps/>
          <w:szCs w:val="22"/>
          <w:lang w:val="sk-SK"/>
        </w:rPr>
        <w:t>4.</w:t>
      </w:r>
      <w:r w:rsidRPr="009D3DED">
        <w:rPr>
          <w:b/>
          <w:caps/>
          <w:szCs w:val="22"/>
          <w:lang w:val="sk-SK"/>
        </w:rPr>
        <w:tab/>
      </w:r>
      <w:r w:rsidR="00A20DE4" w:rsidRPr="009D3DED">
        <w:rPr>
          <w:b/>
          <w:caps/>
          <w:szCs w:val="22"/>
          <w:lang w:val="sk-SK"/>
        </w:rPr>
        <w:t>KLINICKÉ ÚDAJE</w:t>
      </w:r>
    </w:p>
    <w:p w14:paraId="7D0AEB9A" w14:textId="77777777" w:rsidR="001D29E6" w:rsidRPr="009D3DED" w:rsidRDefault="001D29E6">
      <w:pPr>
        <w:rPr>
          <w:szCs w:val="22"/>
          <w:lang w:val="sk-SK"/>
        </w:rPr>
      </w:pPr>
    </w:p>
    <w:p w14:paraId="26FD6237" w14:textId="77777777" w:rsidR="001D29E6" w:rsidRPr="009D3DED" w:rsidRDefault="001D29E6">
      <w:pPr>
        <w:ind w:left="567" w:hanging="567"/>
        <w:rPr>
          <w:szCs w:val="22"/>
          <w:lang w:val="sk-SK"/>
        </w:rPr>
      </w:pPr>
      <w:r w:rsidRPr="009D3DED">
        <w:rPr>
          <w:b/>
          <w:szCs w:val="22"/>
          <w:lang w:val="sk-SK"/>
        </w:rPr>
        <w:t>4.1</w:t>
      </w:r>
      <w:r w:rsidRPr="009D3DED">
        <w:rPr>
          <w:b/>
          <w:szCs w:val="22"/>
          <w:lang w:val="sk-SK"/>
        </w:rPr>
        <w:tab/>
      </w:r>
      <w:r w:rsidR="00A20DE4" w:rsidRPr="009D3DED">
        <w:rPr>
          <w:b/>
          <w:szCs w:val="22"/>
          <w:lang w:val="sk-SK"/>
        </w:rPr>
        <w:t>T</w:t>
      </w:r>
      <w:r w:rsidRPr="009D3DED">
        <w:rPr>
          <w:b/>
          <w:szCs w:val="22"/>
          <w:lang w:val="sk-SK"/>
        </w:rPr>
        <w:t>erapeuti</w:t>
      </w:r>
      <w:r w:rsidR="00A20DE4" w:rsidRPr="009D3DED">
        <w:rPr>
          <w:b/>
          <w:szCs w:val="22"/>
          <w:lang w:val="sk-SK"/>
        </w:rPr>
        <w:t>cké indik</w:t>
      </w:r>
      <w:r w:rsidR="00542E76" w:rsidRPr="009D3DED">
        <w:rPr>
          <w:b/>
          <w:szCs w:val="22"/>
          <w:lang w:val="sk-SK"/>
        </w:rPr>
        <w:t>ácie</w:t>
      </w:r>
    </w:p>
    <w:p w14:paraId="61ADA7C7" w14:textId="77777777" w:rsidR="001D29E6" w:rsidRPr="009D3DED" w:rsidRDefault="001D29E6">
      <w:pPr>
        <w:rPr>
          <w:szCs w:val="22"/>
          <w:lang w:val="sk-SK"/>
        </w:rPr>
      </w:pPr>
    </w:p>
    <w:p w14:paraId="5E0A684A" w14:textId="0CFE7C3B" w:rsidR="001D29E6" w:rsidRPr="009D3DED" w:rsidRDefault="005A15DF">
      <w:pPr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Ibalgin Plus </w:t>
      </w:r>
      <w:r w:rsidR="00542E76" w:rsidRPr="009D3DED">
        <w:rPr>
          <w:szCs w:val="22"/>
          <w:lang w:val="sk-SK"/>
        </w:rPr>
        <w:t>je indikovaný dospelý</w:t>
      </w:r>
      <w:r w:rsidR="00814485">
        <w:rPr>
          <w:szCs w:val="22"/>
          <w:lang w:val="sk-SK"/>
        </w:rPr>
        <w:t>m</w:t>
      </w:r>
      <w:r w:rsidR="00542E76" w:rsidRPr="009D3DED">
        <w:rPr>
          <w:szCs w:val="22"/>
          <w:lang w:val="sk-SK"/>
        </w:rPr>
        <w:t xml:space="preserve"> na krátkodobú symptomatickú liečbu akútnej </w:t>
      </w:r>
      <w:r w:rsidR="005B7C71" w:rsidRPr="009D3DED">
        <w:rPr>
          <w:szCs w:val="22"/>
          <w:lang w:val="sk-SK"/>
        </w:rPr>
        <w:t>stredne</w:t>
      </w:r>
      <w:r w:rsidR="006E0469" w:rsidRPr="009D3DED">
        <w:rPr>
          <w:szCs w:val="22"/>
          <w:lang w:val="sk-SK"/>
        </w:rPr>
        <w:t xml:space="preserve"> siln</w:t>
      </w:r>
      <w:r w:rsidR="005B7C71" w:rsidRPr="009D3DED">
        <w:rPr>
          <w:szCs w:val="22"/>
          <w:lang w:val="sk-SK"/>
        </w:rPr>
        <w:t>ej</w:t>
      </w:r>
      <w:r w:rsidR="006E0469" w:rsidRPr="009D3DED">
        <w:rPr>
          <w:szCs w:val="22"/>
          <w:lang w:val="sk-SK"/>
        </w:rPr>
        <w:t xml:space="preserve"> bolesti</w:t>
      </w:r>
      <w:r w:rsidR="00542E76" w:rsidRPr="009D3DED">
        <w:rPr>
          <w:szCs w:val="22"/>
          <w:lang w:val="sk-SK"/>
        </w:rPr>
        <w:t xml:space="preserve">, ako je bolesť zubov alebo bolesť hlavy </w:t>
      </w:r>
      <w:r w:rsidR="00A20DE4" w:rsidRPr="009D3DED">
        <w:rPr>
          <w:szCs w:val="22"/>
          <w:lang w:val="sk-SK"/>
        </w:rPr>
        <w:t>(</w:t>
      </w:r>
      <w:r w:rsidR="00542E76" w:rsidRPr="009D3DED">
        <w:rPr>
          <w:szCs w:val="22"/>
          <w:lang w:val="sk-SK"/>
        </w:rPr>
        <w:t>pozri časť</w:t>
      </w:r>
      <w:r w:rsidR="00A20DE4" w:rsidRPr="009D3DED">
        <w:rPr>
          <w:szCs w:val="22"/>
          <w:lang w:val="sk-SK"/>
        </w:rPr>
        <w:t xml:space="preserve"> </w:t>
      </w:r>
      <w:r w:rsidR="000A0D3A">
        <w:rPr>
          <w:szCs w:val="22"/>
          <w:lang w:val="sk-SK"/>
        </w:rPr>
        <w:t>5</w:t>
      </w:r>
      <w:r w:rsidR="00A20DE4" w:rsidRPr="009D3DED">
        <w:rPr>
          <w:szCs w:val="22"/>
          <w:lang w:val="sk-SK"/>
        </w:rPr>
        <w:t>.</w:t>
      </w:r>
      <w:r w:rsidR="000A0D3A">
        <w:rPr>
          <w:szCs w:val="22"/>
          <w:lang w:val="sk-SK"/>
        </w:rPr>
        <w:t>1</w:t>
      </w:r>
      <w:r w:rsidR="00A20DE4" w:rsidRPr="009D3DED">
        <w:rPr>
          <w:szCs w:val="22"/>
          <w:lang w:val="sk-SK"/>
        </w:rPr>
        <w:t>)</w:t>
      </w:r>
      <w:r w:rsidR="0019774E" w:rsidRPr="009D3DED">
        <w:rPr>
          <w:szCs w:val="22"/>
          <w:lang w:val="sk-SK"/>
        </w:rPr>
        <w:t>.</w:t>
      </w:r>
    </w:p>
    <w:p w14:paraId="504FC768" w14:textId="77777777" w:rsidR="006D3A4C" w:rsidRPr="009D3DED" w:rsidRDefault="006D3A4C">
      <w:pPr>
        <w:rPr>
          <w:szCs w:val="22"/>
          <w:lang w:val="sk-SK"/>
        </w:rPr>
      </w:pPr>
    </w:p>
    <w:p w14:paraId="1FA1C989" w14:textId="77777777" w:rsidR="001D29E6" w:rsidRPr="009D3DED" w:rsidRDefault="001D29E6">
      <w:pPr>
        <w:ind w:left="567" w:hanging="567"/>
        <w:rPr>
          <w:b/>
          <w:szCs w:val="22"/>
          <w:lang w:val="sk-SK"/>
        </w:rPr>
      </w:pPr>
      <w:r w:rsidRPr="009D3DED">
        <w:rPr>
          <w:b/>
          <w:szCs w:val="22"/>
          <w:lang w:val="sk-SK"/>
        </w:rPr>
        <w:t>4.2</w:t>
      </w:r>
      <w:r w:rsidRPr="009D3DED">
        <w:rPr>
          <w:b/>
          <w:szCs w:val="22"/>
          <w:lang w:val="sk-SK"/>
        </w:rPr>
        <w:tab/>
      </w:r>
      <w:r w:rsidR="00C70366" w:rsidRPr="009D3DED">
        <w:rPr>
          <w:b/>
          <w:szCs w:val="22"/>
          <w:lang w:val="sk-SK"/>
        </w:rPr>
        <w:t>Dávkovanie a spôsob podávania</w:t>
      </w:r>
    </w:p>
    <w:p w14:paraId="1CBD3DB3" w14:textId="77777777" w:rsidR="001D29E6" w:rsidRPr="009D3DED" w:rsidRDefault="001D29E6">
      <w:pPr>
        <w:ind w:left="567" w:hanging="567"/>
        <w:rPr>
          <w:szCs w:val="22"/>
          <w:lang w:val="sk-SK"/>
        </w:rPr>
      </w:pPr>
    </w:p>
    <w:p w14:paraId="22F4C6F5" w14:textId="77777777" w:rsidR="00C53ACC" w:rsidRPr="009D3DED" w:rsidRDefault="00C70366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9D3DED">
        <w:rPr>
          <w:szCs w:val="22"/>
          <w:u w:val="single"/>
          <w:lang w:val="sk-SK"/>
        </w:rPr>
        <w:t>Dávkovanie</w:t>
      </w:r>
    </w:p>
    <w:p w14:paraId="2381710F" w14:textId="77777777" w:rsidR="00282D7E" w:rsidRPr="009D3DED" w:rsidRDefault="00282D7E">
      <w:pPr>
        <w:rPr>
          <w:szCs w:val="22"/>
          <w:lang w:val="sk-SK"/>
        </w:rPr>
      </w:pPr>
    </w:p>
    <w:p w14:paraId="37DB0DF0" w14:textId="23020799" w:rsidR="00A34D13" w:rsidRPr="009D3DED" w:rsidRDefault="00542E76">
      <w:pPr>
        <w:autoSpaceDE w:val="0"/>
        <w:autoSpaceDN w:val="0"/>
        <w:adjustRightInd w:val="0"/>
        <w:rPr>
          <w:szCs w:val="22"/>
          <w:lang w:val="sk-SK" w:eastAsia="de-DE"/>
        </w:rPr>
      </w:pPr>
      <w:r w:rsidRPr="009D3DED">
        <w:rPr>
          <w:szCs w:val="22"/>
          <w:lang w:val="sk-SK" w:eastAsia="de-DE"/>
        </w:rPr>
        <w:t>P</w:t>
      </w:r>
      <w:bookmarkStart w:id="0" w:name="_Hlk32564584"/>
      <w:r w:rsidRPr="009D3DED">
        <w:rPr>
          <w:szCs w:val="22"/>
          <w:lang w:val="sk-SK" w:eastAsia="de-DE"/>
        </w:rPr>
        <w:t>ri akútnej</w:t>
      </w:r>
      <w:r w:rsidR="0053381F">
        <w:rPr>
          <w:szCs w:val="22"/>
          <w:lang w:val="sk-SK" w:eastAsia="de-DE"/>
        </w:rPr>
        <w:t xml:space="preserve"> </w:t>
      </w:r>
      <w:r w:rsidRPr="009D3DED">
        <w:rPr>
          <w:szCs w:val="22"/>
          <w:lang w:val="sk-SK" w:eastAsia="de-DE"/>
        </w:rPr>
        <w:t xml:space="preserve">stredne </w:t>
      </w:r>
      <w:r w:rsidR="005B7C71" w:rsidRPr="009D3DED">
        <w:rPr>
          <w:szCs w:val="22"/>
          <w:lang w:val="sk-SK" w:eastAsia="de-DE"/>
        </w:rPr>
        <w:t xml:space="preserve">silnej </w:t>
      </w:r>
      <w:r w:rsidRPr="009D3DED">
        <w:rPr>
          <w:szCs w:val="22"/>
          <w:lang w:val="sk-SK" w:eastAsia="de-DE"/>
        </w:rPr>
        <w:t>bolesti sa odporúča jednorazové podan</w:t>
      </w:r>
      <w:bookmarkEnd w:id="0"/>
      <w:r w:rsidRPr="009D3DED">
        <w:rPr>
          <w:szCs w:val="22"/>
          <w:lang w:val="sk-SK" w:eastAsia="de-DE"/>
        </w:rPr>
        <w:t>ie</w:t>
      </w:r>
      <w:r w:rsidR="00721540" w:rsidRPr="009D3DED">
        <w:rPr>
          <w:szCs w:val="22"/>
          <w:lang w:val="sk-SK" w:eastAsia="de-DE"/>
        </w:rPr>
        <w:t xml:space="preserve"> 400 mg </w:t>
      </w:r>
      <w:r w:rsidR="00C30552" w:rsidRPr="009D3DED">
        <w:rPr>
          <w:szCs w:val="22"/>
          <w:lang w:val="sk-SK" w:eastAsia="de-DE"/>
        </w:rPr>
        <w:t>ibuprofén</w:t>
      </w:r>
      <w:r w:rsidR="00721540" w:rsidRPr="009D3DED">
        <w:rPr>
          <w:szCs w:val="22"/>
          <w:lang w:val="sk-SK" w:eastAsia="de-DE"/>
        </w:rPr>
        <w:t xml:space="preserve">u a 100 mg </w:t>
      </w:r>
      <w:r w:rsidRPr="009D3DED">
        <w:rPr>
          <w:szCs w:val="22"/>
          <w:lang w:val="sk-SK" w:eastAsia="de-DE"/>
        </w:rPr>
        <w:t>kofeínu</w:t>
      </w:r>
      <w:r w:rsidR="00721540" w:rsidRPr="009D3DED">
        <w:rPr>
          <w:szCs w:val="22"/>
          <w:lang w:val="sk-SK" w:eastAsia="de-DE"/>
        </w:rPr>
        <w:t xml:space="preserve">. </w:t>
      </w:r>
      <w:r w:rsidRPr="009D3DED">
        <w:rPr>
          <w:szCs w:val="22"/>
          <w:lang w:val="sk-SK" w:eastAsia="de-DE"/>
        </w:rPr>
        <w:t xml:space="preserve">Podanie je možné zopakovať po 6 až 8 hodinách, avšak nesmie byť prekročená maximálna denná dávka </w:t>
      </w:r>
      <w:r w:rsidR="00721540" w:rsidRPr="009D3DED">
        <w:rPr>
          <w:szCs w:val="22"/>
          <w:lang w:val="sk-SK" w:eastAsia="de-DE"/>
        </w:rPr>
        <w:t>1</w:t>
      </w:r>
      <w:r w:rsidR="00D451BA">
        <w:rPr>
          <w:szCs w:val="22"/>
          <w:lang w:val="sk-SK" w:eastAsia="de-DE"/>
        </w:rPr>
        <w:t> </w:t>
      </w:r>
      <w:r w:rsidR="00721540" w:rsidRPr="009D3DED">
        <w:rPr>
          <w:szCs w:val="22"/>
          <w:lang w:val="sk-SK" w:eastAsia="de-DE"/>
        </w:rPr>
        <w:t xml:space="preserve">200 mg </w:t>
      </w:r>
      <w:r w:rsidR="00C30552" w:rsidRPr="009D3DED">
        <w:rPr>
          <w:szCs w:val="22"/>
          <w:lang w:val="sk-SK" w:eastAsia="de-DE"/>
        </w:rPr>
        <w:t>ibuprofén</w:t>
      </w:r>
      <w:r w:rsidR="00721540" w:rsidRPr="009D3DED">
        <w:rPr>
          <w:szCs w:val="22"/>
          <w:lang w:val="sk-SK" w:eastAsia="de-DE"/>
        </w:rPr>
        <w:t xml:space="preserve">u a 300 mg </w:t>
      </w:r>
      <w:r w:rsidRPr="009D3DED">
        <w:rPr>
          <w:szCs w:val="22"/>
          <w:lang w:val="sk-SK" w:eastAsia="de-DE"/>
        </w:rPr>
        <w:t>kofeín</w:t>
      </w:r>
      <w:r w:rsidR="00721540" w:rsidRPr="009D3DED">
        <w:rPr>
          <w:szCs w:val="22"/>
          <w:lang w:val="sk-SK" w:eastAsia="de-DE"/>
        </w:rPr>
        <w:t xml:space="preserve">u. </w:t>
      </w:r>
      <w:r w:rsidRPr="009D3DED">
        <w:rPr>
          <w:szCs w:val="22"/>
          <w:lang w:val="sk-SK" w:eastAsia="de-DE"/>
        </w:rPr>
        <w:t xml:space="preserve">Dĺžka liečby </w:t>
      </w:r>
      <w:r w:rsidR="005B7C71" w:rsidRPr="009D3DED">
        <w:rPr>
          <w:szCs w:val="22"/>
          <w:lang w:val="sk-SK" w:eastAsia="de-DE"/>
        </w:rPr>
        <w:t>nemá</w:t>
      </w:r>
      <w:r w:rsidRPr="009D3DED">
        <w:rPr>
          <w:szCs w:val="22"/>
          <w:lang w:val="sk-SK" w:eastAsia="de-DE"/>
        </w:rPr>
        <w:t xml:space="preserve"> presiahnuť 3 dni</w:t>
      </w:r>
      <w:r w:rsidR="00A34D13" w:rsidRPr="009D3DED">
        <w:rPr>
          <w:szCs w:val="22"/>
          <w:lang w:val="sk-SK" w:eastAsia="de-DE"/>
        </w:rPr>
        <w:t>.</w:t>
      </w:r>
    </w:p>
    <w:p w14:paraId="69B28095" w14:textId="77777777" w:rsidR="000C0B14" w:rsidRPr="009D3DED" w:rsidRDefault="000C0B14">
      <w:pPr>
        <w:autoSpaceDE w:val="0"/>
        <w:autoSpaceDN w:val="0"/>
        <w:adjustRightInd w:val="0"/>
        <w:rPr>
          <w:szCs w:val="22"/>
          <w:lang w:val="sk-SK" w:eastAsia="de-DE"/>
        </w:rPr>
      </w:pPr>
    </w:p>
    <w:p w14:paraId="7FFBD082" w14:textId="58E678F0" w:rsidR="000C0B14" w:rsidRPr="009D3DED" w:rsidRDefault="005A15DF">
      <w:pPr>
        <w:autoSpaceDE w:val="0"/>
        <w:autoSpaceDN w:val="0"/>
        <w:adjustRightInd w:val="0"/>
        <w:rPr>
          <w:szCs w:val="22"/>
          <w:lang w:val="sk-SK" w:eastAsia="de-DE"/>
        </w:rPr>
      </w:pPr>
      <w:r w:rsidRPr="009D3DED">
        <w:rPr>
          <w:szCs w:val="22"/>
          <w:lang w:val="sk-SK" w:eastAsia="de-DE"/>
        </w:rPr>
        <w:t>Ibalgin Plus</w:t>
      </w:r>
      <w:r w:rsidR="005B7C71" w:rsidRPr="009D3DED">
        <w:rPr>
          <w:szCs w:val="22"/>
          <w:lang w:val="sk-SK" w:eastAsia="de-DE"/>
        </w:rPr>
        <w:t xml:space="preserve"> </w:t>
      </w:r>
      <w:r w:rsidR="00CF1299" w:rsidRPr="009D3DED">
        <w:rPr>
          <w:szCs w:val="22"/>
          <w:lang w:val="sk-SK" w:eastAsia="de-DE"/>
        </w:rPr>
        <w:t>sa neodporúča pri mierne bolestivých stavoch alebo ak liečba trvá dlhšie ako 3 dni.</w:t>
      </w:r>
      <w:r w:rsidR="00E71B73">
        <w:rPr>
          <w:szCs w:val="22"/>
          <w:lang w:val="sk-SK" w:eastAsia="de-DE"/>
        </w:rPr>
        <w:t xml:space="preserve"> V týchto prípadoch sa má</w:t>
      </w:r>
      <w:r w:rsidR="00CF1299" w:rsidRPr="009D3DED">
        <w:rPr>
          <w:szCs w:val="22"/>
          <w:lang w:val="sk-SK" w:eastAsia="de-DE"/>
        </w:rPr>
        <w:t xml:space="preserve"> </w:t>
      </w:r>
      <w:r w:rsidR="00E71B73">
        <w:rPr>
          <w:szCs w:val="22"/>
          <w:lang w:val="sk-SK" w:eastAsia="de-DE"/>
        </w:rPr>
        <w:t>zvážiť l</w:t>
      </w:r>
      <w:r w:rsidR="00CF1299" w:rsidRPr="009D3DED">
        <w:rPr>
          <w:szCs w:val="22"/>
          <w:lang w:val="sk-SK" w:eastAsia="de-DE"/>
        </w:rPr>
        <w:t>iečba jedn</w:t>
      </w:r>
      <w:r w:rsidR="00E71B73">
        <w:rPr>
          <w:szCs w:val="22"/>
          <w:lang w:val="sk-SK" w:eastAsia="de-DE"/>
        </w:rPr>
        <w:t>ým</w:t>
      </w:r>
      <w:r w:rsidR="00CF1299" w:rsidRPr="009D3DED">
        <w:rPr>
          <w:szCs w:val="22"/>
          <w:lang w:val="sk-SK" w:eastAsia="de-DE"/>
        </w:rPr>
        <w:t xml:space="preserve"> </w:t>
      </w:r>
      <w:r w:rsidR="00E71B73">
        <w:rPr>
          <w:szCs w:val="22"/>
          <w:lang w:val="sk-SK" w:eastAsia="de-DE"/>
        </w:rPr>
        <w:t>liečivom</w:t>
      </w:r>
      <w:r w:rsidR="00AA5B78">
        <w:rPr>
          <w:szCs w:val="22"/>
          <w:lang w:val="sk-SK" w:eastAsia="de-DE"/>
        </w:rPr>
        <w:t xml:space="preserve"> </w:t>
      </w:r>
      <w:r w:rsidR="00CF1299" w:rsidRPr="009D3DED">
        <w:rPr>
          <w:szCs w:val="22"/>
          <w:lang w:val="sk-SK" w:eastAsia="de-DE"/>
        </w:rPr>
        <w:t xml:space="preserve">použitím najnižšej účinnej dávky, napr. </w:t>
      </w:r>
      <w:r w:rsidR="009D3DED">
        <w:rPr>
          <w:szCs w:val="22"/>
          <w:lang w:val="sk-SK" w:eastAsia="de-DE"/>
        </w:rPr>
        <w:t>i</w:t>
      </w:r>
      <w:r w:rsidR="00C30552" w:rsidRPr="009D3DED">
        <w:rPr>
          <w:szCs w:val="22"/>
          <w:lang w:val="sk-SK" w:eastAsia="de-DE"/>
        </w:rPr>
        <w:t>buprofén</w:t>
      </w:r>
      <w:r w:rsidR="00E71B73">
        <w:rPr>
          <w:szCs w:val="22"/>
          <w:lang w:val="sk-SK" w:eastAsia="de-DE"/>
        </w:rPr>
        <w:t xml:space="preserve"> v dávke</w:t>
      </w:r>
      <w:r w:rsidR="00CF1299" w:rsidRPr="009D3DED">
        <w:rPr>
          <w:szCs w:val="22"/>
          <w:lang w:val="sk-SK" w:eastAsia="de-DE"/>
        </w:rPr>
        <w:t xml:space="preserve"> 200 mg</w:t>
      </w:r>
      <w:r w:rsidR="000C0B14" w:rsidRPr="009D3DED">
        <w:rPr>
          <w:szCs w:val="22"/>
          <w:lang w:val="sk-SK" w:eastAsia="de-DE"/>
        </w:rPr>
        <w:t>.</w:t>
      </w:r>
    </w:p>
    <w:p w14:paraId="7A7AF925" w14:textId="77777777" w:rsidR="000C0B14" w:rsidRPr="009D3DED" w:rsidRDefault="000C0B14">
      <w:pPr>
        <w:autoSpaceDE w:val="0"/>
        <w:autoSpaceDN w:val="0"/>
        <w:adjustRightInd w:val="0"/>
        <w:rPr>
          <w:szCs w:val="22"/>
          <w:lang w:val="sk-SK" w:eastAsia="de-DE"/>
        </w:rPr>
      </w:pPr>
    </w:p>
    <w:p w14:paraId="5AB4EC43" w14:textId="7AFD3139" w:rsidR="000C0B14" w:rsidRPr="009D3DED" w:rsidRDefault="00CF1299">
      <w:pPr>
        <w:autoSpaceDE w:val="0"/>
        <w:autoSpaceDN w:val="0"/>
        <w:adjustRightInd w:val="0"/>
        <w:rPr>
          <w:szCs w:val="22"/>
          <w:lang w:val="sk-SK" w:eastAsia="de-DE"/>
        </w:rPr>
      </w:pPr>
      <w:r w:rsidRPr="009D3DED">
        <w:rPr>
          <w:szCs w:val="22"/>
          <w:lang w:val="sk-SK" w:eastAsia="de-DE"/>
        </w:rPr>
        <w:t xml:space="preserve">Len </w:t>
      </w:r>
      <w:r w:rsidR="009B6EF4">
        <w:rPr>
          <w:szCs w:val="22"/>
          <w:lang w:val="sk-SK" w:eastAsia="de-DE"/>
        </w:rPr>
        <w:t>na</w:t>
      </w:r>
      <w:r w:rsidRPr="009D3DED">
        <w:rPr>
          <w:szCs w:val="22"/>
          <w:lang w:val="sk-SK" w:eastAsia="de-DE"/>
        </w:rPr>
        <w:t xml:space="preserve"> krátkodobé použitie</w:t>
      </w:r>
      <w:r w:rsidR="000C0B14" w:rsidRPr="009D3DED">
        <w:rPr>
          <w:szCs w:val="22"/>
          <w:lang w:val="sk-SK" w:eastAsia="de-DE"/>
        </w:rPr>
        <w:t>.</w:t>
      </w:r>
    </w:p>
    <w:p w14:paraId="69D8AEDD" w14:textId="77777777" w:rsidR="000C0B14" w:rsidRPr="009D3DED" w:rsidRDefault="000C0B14">
      <w:pPr>
        <w:autoSpaceDE w:val="0"/>
        <w:autoSpaceDN w:val="0"/>
        <w:adjustRightInd w:val="0"/>
        <w:rPr>
          <w:szCs w:val="22"/>
          <w:lang w:val="sk-SK" w:eastAsia="de-DE"/>
        </w:rPr>
      </w:pPr>
    </w:p>
    <w:p w14:paraId="38B93D09" w14:textId="77777777" w:rsidR="000C0B14" w:rsidRPr="009D3DED" w:rsidRDefault="00CF1299">
      <w:pPr>
        <w:autoSpaceDE w:val="0"/>
        <w:autoSpaceDN w:val="0"/>
        <w:adjustRightInd w:val="0"/>
        <w:rPr>
          <w:szCs w:val="22"/>
          <w:lang w:val="sk-SK" w:eastAsia="de-DE"/>
        </w:rPr>
      </w:pPr>
      <w:r w:rsidRPr="009D3DED">
        <w:rPr>
          <w:szCs w:val="22"/>
          <w:lang w:val="sk-SK" w:eastAsia="de-DE"/>
        </w:rPr>
        <w:t xml:space="preserve">Nežiaduce účinky možno minimalizovať použitím najnižšej účinnej dávky počas čo najkratšej doby nevyhnutnej </w:t>
      </w:r>
      <w:r w:rsidR="00A472F7" w:rsidRPr="009D3DED">
        <w:rPr>
          <w:szCs w:val="22"/>
          <w:lang w:val="sk-SK" w:eastAsia="de-DE"/>
        </w:rPr>
        <w:t>na</w:t>
      </w:r>
      <w:r w:rsidRPr="009D3DED">
        <w:rPr>
          <w:szCs w:val="22"/>
          <w:lang w:val="sk-SK" w:eastAsia="de-DE"/>
        </w:rPr>
        <w:t xml:space="preserve"> kontrolu </w:t>
      </w:r>
      <w:r w:rsidR="00F51216" w:rsidRPr="009D3DED">
        <w:rPr>
          <w:szCs w:val="22"/>
          <w:lang w:val="sk-SK" w:eastAsia="de-DE"/>
        </w:rPr>
        <w:t>príznakov</w:t>
      </w:r>
      <w:r w:rsidRPr="009D3DED">
        <w:rPr>
          <w:szCs w:val="22"/>
          <w:lang w:val="sk-SK" w:eastAsia="de-DE"/>
        </w:rPr>
        <w:t xml:space="preserve"> </w:t>
      </w:r>
      <w:r w:rsidR="000C0B14" w:rsidRPr="009D3DED">
        <w:rPr>
          <w:szCs w:val="22"/>
          <w:lang w:val="sk-SK" w:eastAsia="de-DE"/>
        </w:rPr>
        <w:t>(</w:t>
      </w:r>
      <w:r w:rsidR="00542E76" w:rsidRPr="009D3DED">
        <w:rPr>
          <w:szCs w:val="22"/>
          <w:lang w:val="sk-SK" w:eastAsia="de-DE"/>
        </w:rPr>
        <w:t>pozri časť</w:t>
      </w:r>
      <w:r w:rsidR="000C0B14" w:rsidRPr="009D3DED">
        <w:rPr>
          <w:szCs w:val="22"/>
          <w:lang w:val="sk-SK" w:eastAsia="de-DE"/>
        </w:rPr>
        <w:t xml:space="preserve"> 4.4).</w:t>
      </w:r>
    </w:p>
    <w:p w14:paraId="35675990" w14:textId="77777777" w:rsidR="000C0B14" w:rsidRPr="009D3DED" w:rsidRDefault="000C0B14">
      <w:pPr>
        <w:autoSpaceDE w:val="0"/>
        <w:autoSpaceDN w:val="0"/>
        <w:adjustRightInd w:val="0"/>
        <w:rPr>
          <w:szCs w:val="22"/>
          <w:lang w:val="sk-SK" w:eastAsia="de-DE"/>
        </w:rPr>
      </w:pPr>
    </w:p>
    <w:p w14:paraId="58E3B43D" w14:textId="77777777" w:rsidR="003879F1" w:rsidRPr="009D3DED" w:rsidRDefault="00CF1299">
      <w:pPr>
        <w:autoSpaceDE w:val="0"/>
        <w:autoSpaceDN w:val="0"/>
        <w:adjustRightInd w:val="0"/>
        <w:rPr>
          <w:szCs w:val="22"/>
          <w:lang w:val="sk-SK" w:eastAsia="de-DE"/>
        </w:rPr>
      </w:pPr>
      <w:r w:rsidRPr="009D3DED">
        <w:rPr>
          <w:szCs w:val="22"/>
          <w:lang w:val="sk-SK" w:eastAsia="de-DE"/>
        </w:rPr>
        <w:t xml:space="preserve">Odporúča sa, aby pacienti s citlivým žalúdkom užívali </w:t>
      </w:r>
      <w:r w:rsidR="005A15DF" w:rsidRPr="009D3DED">
        <w:rPr>
          <w:szCs w:val="22"/>
          <w:lang w:val="sk-SK" w:eastAsia="de-DE"/>
        </w:rPr>
        <w:t>Ibalgin Plus</w:t>
      </w:r>
      <w:r w:rsidR="005B7C71" w:rsidRPr="009D3DED">
        <w:rPr>
          <w:szCs w:val="22"/>
          <w:lang w:val="sk-SK" w:eastAsia="de-DE"/>
        </w:rPr>
        <w:t xml:space="preserve"> </w:t>
      </w:r>
      <w:r w:rsidRPr="009D3DED">
        <w:rPr>
          <w:szCs w:val="22"/>
          <w:lang w:val="sk-SK" w:eastAsia="de-DE"/>
        </w:rPr>
        <w:t>s jedlom</w:t>
      </w:r>
      <w:r w:rsidR="003879F1" w:rsidRPr="009D3DED">
        <w:rPr>
          <w:szCs w:val="22"/>
          <w:lang w:val="sk-SK"/>
        </w:rPr>
        <w:t>.</w:t>
      </w:r>
    </w:p>
    <w:p w14:paraId="32867A94" w14:textId="77777777" w:rsidR="003879F1" w:rsidRPr="009D3DED" w:rsidRDefault="003879F1">
      <w:pPr>
        <w:rPr>
          <w:szCs w:val="22"/>
          <w:lang w:val="sk-SK"/>
        </w:rPr>
      </w:pPr>
    </w:p>
    <w:p w14:paraId="6C194140" w14:textId="77777777" w:rsidR="007F1717" w:rsidRPr="009D3DED" w:rsidRDefault="005B7C71">
      <w:pPr>
        <w:rPr>
          <w:szCs w:val="22"/>
          <w:u w:val="single"/>
          <w:lang w:val="sk-SK"/>
        </w:rPr>
      </w:pPr>
      <w:r w:rsidRPr="009D3DED">
        <w:rPr>
          <w:szCs w:val="22"/>
          <w:u w:val="single"/>
          <w:lang w:val="sk-SK"/>
        </w:rPr>
        <w:t xml:space="preserve">Osobitné </w:t>
      </w:r>
      <w:r w:rsidR="00CF1299" w:rsidRPr="009D3DED">
        <w:rPr>
          <w:szCs w:val="22"/>
          <w:u w:val="single"/>
          <w:lang w:val="sk-SK"/>
        </w:rPr>
        <w:t>populácie</w:t>
      </w:r>
    </w:p>
    <w:p w14:paraId="1FE92B03" w14:textId="77777777" w:rsidR="007F1717" w:rsidRPr="009D3DED" w:rsidRDefault="007F1717">
      <w:pPr>
        <w:rPr>
          <w:szCs w:val="22"/>
          <w:lang w:val="sk-SK"/>
        </w:rPr>
      </w:pPr>
    </w:p>
    <w:p w14:paraId="4F23E82F" w14:textId="77777777" w:rsidR="003879F1" w:rsidRPr="009D3DED" w:rsidRDefault="00A20DE4">
      <w:pPr>
        <w:tabs>
          <w:tab w:val="clear" w:pos="567"/>
        </w:tabs>
        <w:spacing w:line="240" w:lineRule="auto"/>
        <w:rPr>
          <w:bCs/>
          <w:i/>
          <w:iCs/>
          <w:szCs w:val="22"/>
          <w:lang w:val="sk-SK"/>
        </w:rPr>
      </w:pPr>
      <w:r w:rsidRPr="009D3DED">
        <w:rPr>
          <w:bCs/>
          <w:i/>
          <w:iCs/>
          <w:szCs w:val="22"/>
          <w:lang w:val="sk-SK"/>
        </w:rPr>
        <w:t>Starš</w:t>
      </w:r>
      <w:r w:rsidR="005B7C71" w:rsidRPr="009D3DED">
        <w:rPr>
          <w:bCs/>
          <w:i/>
          <w:iCs/>
          <w:szCs w:val="22"/>
          <w:lang w:val="sk-SK"/>
        </w:rPr>
        <w:t>í pacienti</w:t>
      </w:r>
    </w:p>
    <w:p w14:paraId="2F8F219A" w14:textId="317FF714" w:rsidR="003879F1" w:rsidRPr="009D3DED" w:rsidRDefault="00CF1299">
      <w:pPr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U starších pacientov sa neuskutočnili žiadne klinické štúdie, a preto nie je možné poskytnúť žiadne </w:t>
      </w:r>
      <w:r w:rsidR="009B6EF4">
        <w:rPr>
          <w:szCs w:val="22"/>
          <w:lang w:val="sk-SK"/>
        </w:rPr>
        <w:t>osobitné</w:t>
      </w:r>
      <w:r w:rsidR="009B6EF4" w:rsidRPr="009D3DED">
        <w:rPr>
          <w:szCs w:val="22"/>
          <w:lang w:val="sk-SK"/>
        </w:rPr>
        <w:t xml:space="preserve"> </w:t>
      </w:r>
      <w:r w:rsidRPr="009D3DED">
        <w:rPr>
          <w:szCs w:val="22"/>
          <w:lang w:val="sk-SK"/>
        </w:rPr>
        <w:t>odporúčania týkajúce sa dávky. Vzhľadom na zvýšené riziko výskytu nežiaducich účinkov u</w:t>
      </w:r>
      <w:r w:rsidR="009B6EF4">
        <w:rPr>
          <w:szCs w:val="22"/>
          <w:lang w:val="sk-SK"/>
        </w:rPr>
        <w:t xml:space="preserve"> starších pacientov po užití </w:t>
      </w:r>
      <w:r w:rsidRPr="009D3DED">
        <w:rPr>
          <w:szCs w:val="22"/>
          <w:lang w:val="sk-SK"/>
        </w:rPr>
        <w:t>nesteroidných protizápalových lie</w:t>
      </w:r>
      <w:r w:rsidR="00F51216" w:rsidRPr="009D3DED">
        <w:rPr>
          <w:szCs w:val="22"/>
          <w:lang w:val="sk-SK"/>
        </w:rPr>
        <w:t>kov</w:t>
      </w:r>
      <w:r w:rsidRPr="009D3DED">
        <w:rPr>
          <w:szCs w:val="22"/>
          <w:lang w:val="sk-SK"/>
        </w:rPr>
        <w:t xml:space="preserve"> (NSAID) </w:t>
      </w:r>
      <w:r w:rsidR="00A472F7" w:rsidRPr="009D3DED">
        <w:rPr>
          <w:szCs w:val="22"/>
          <w:lang w:val="sk-SK"/>
        </w:rPr>
        <w:t xml:space="preserve">a/alebo </w:t>
      </w:r>
      <w:r w:rsidRPr="009D3DED">
        <w:rPr>
          <w:szCs w:val="22"/>
          <w:lang w:val="sk-SK"/>
        </w:rPr>
        <w:t xml:space="preserve">kofeínu (pozri časť 4.4) sa odporúča </w:t>
      </w:r>
      <w:r w:rsidR="005B7C71" w:rsidRPr="009D3DED">
        <w:rPr>
          <w:szCs w:val="22"/>
          <w:lang w:val="sk-SK"/>
        </w:rPr>
        <w:t>zvýšená opatrnosť.</w:t>
      </w:r>
    </w:p>
    <w:p w14:paraId="2108D236" w14:textId="77777777" w:rsidR="003879F1" w:rsidRPr="009D3DED" w:rsidRDefault="003879F1">
      <w:pPr>
        <w:rPr>
          <w:szCs w:val="22"/>
          <w:lang w:val="sk-SK"/>
        </w:rPr>
      </w:pPr>
    </w:p>
    <w:p w14:paraId="6A751D1C" w14:textId="6A07BF8A" w:rsidR="003879F1" w:rsidRPr="009D3DED" w:rsidRDefault="009B6EF4">
      <w:pPr>
        <w:tabs>
          <w:tab w:val="clear" w:pos="567"/>
        </w:tabs>
        <w:spacing w:line="240" w:lineRule="auto"/>
        <w:rPr>
          <w:bCs/>
          <w:i/>
          <w:iCs/>
          <w:szCs w:val="22"/>
          <w:lang w:val="sk-SK"/>
        </w:rPr>
      </w:pPr>
      <w:r>
        <w:rPr>
          <w:bCs/>
          <w:i/>
          <w:iCs/>
          <w:szCs w:val="22"/>
          <w:lang w:val="sk-SK"/>
        </w:rPr>
        <w:t>Porucha funkcie obličiek</w:t>
      </w:r>
    </w:p>
    <w:p w14:paraId="29EA9D8E" w14:textId="63C6B446" w:rsidR="003879F1" w:rsidRPr="009D3DED" w:rsidRDefault="00CF1299">
      <w:pPr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U pacientov s miernou až stredne </w:t>
      </w:r>
      <w:r w:rsidR="005B7C71" w:rsidRPr="009D3DED">
        <w:rPr>
          <w:szCs w:val="22"/>
          <w:lang w:val="sk-SK"/>
        </w:rPr>
        <w:t>závažnou</w:t>
      </w:r>
      <w:r w:rsidRPr="009D3DED">
        <w:rPr>
          <w:szCs w:val="22"/>
          <w:lang w:val="sk-SK"/>
        </w:rPr>
        <w:t xml:space="preserve"> poruchou funkcie obličiek nie je potrebná úprava dávky</w:t>
      </w:r>
      <w:r w:rsidR="005B7C71" w:rsidRPr="009D3DED">
        <w:rPr>
          <w:szCs w:val="22"/>
          <w:lang w:val="sk-SK"/>
        </w:rPr>
        <w:t>, je však nutn</w:t>
      </w:r>
      <w:r w:rsidR="009B6EF4">
        <w:rPr>
          <w:szCs w:val="22"/>
          <w:lang w:val="sk-SK"/>
        </w:rPr>
        <w:t>á</w:t>
      </w:r>
      <w:r w:rsidR="005B7C71" w:rsidRPr="009D3DED">
        <w:rPr>
          <w:szCs w:val="22"/>
          <w:lang w:val="sk-SK"/>
        </w:rPr>
        <w:t xml:space="preserve"> opatrnosť (</w:t>
      </w:r>
      <w:r w:rsidR="009D3DED" w:rsidRPr="009D3DED">
        <w:rPr>
          <w:szCs w:val="22"/>
          <w:lang w:val="sk-SK" w:eastAsia="de-DE"/>
        </w:rPr>
        <w:t xml:space="preserve">pozri časť </w:t>
      </w:r>
      <w:r w:rsidR="005B7C71" w:rsidRPr="009D3DED">
        <w:rPr>
          <w:szCs w:val="22"/>
          <w:lang w:val="sk-SK"/>
        </w:rPr>
        <w:t>4.4.)</w:t>
      </w:r>
      <w:r w:rsidR="000A0D3A">
        <w:rPr>
          <w:szCs w:val="22"/>
          <w:lang w:val="sk-SK"/>
        </w:rPr>
        <w:t>.</w:t>
      </w:r>
      <w:r w:rsidRPr="009D3DED">
        <w:rPr>
          <w:szCs w:val="22"/>
          <w:lang w:val="sk-SK"/>
        </w:rPr>
        <w:t xml:space="preserve"> (</w:t>
      </w:r>
      <w:r w:rsidR="005B7C71" w:rsidRPr="009D3DED">
        <w:rPr>
          <w:szCs w:val="22"/>
          <w:lang w:val="sk-SK"/>
        </w:rPr>
        <w:t>P</w:t>
      </w:r>
      <w:r w:rsidRPr="009D3DED">
        <w:rPr>
          <w:szCs w:val="22"/>
          <w:lang w:val="sk-SK"/>
        </w:rPr>
        <w:t>re pacientov s</w:t>
      </w:r>
      <w:r w:rsidR="009F20FF">
        <w:rPr>
          <w:szCs w:val="22"/>
          <w:lang w:val="sk-SK"/>
        </w:rPr>
        <w:t>o</w:t>
      </w:r>
      <w:r w:rsidRPr="009D3DED">
        <w:rPr>
          <w:szCs w:val="22"/>
          <w:lang w:val="sk-SK"/>
        </w:rPr>
        <w:t xml:space="preserve"> </w:t>
      </w:r>
      <w:r w:rsidR="009F20FF">
        <w:rPr>
          <w:szCs w:val="22"/>
          <w:lang w:val="sk-SK"/>
        </w:rPr>
        <w:t>závažnou</w:t>
      </w:r>
      <w:r w:rsidRPr="009D3DED">
        <w:rPr>
          <w:szCs w:val="22"/>
          <w:lang w:val="sk-SK"/>
        </w:rPr>
        <w:t xml:space="preserve"> obličkovou nedostatočnosťou pozri časť 4.3)</w:t>
      </w:r>
      <w:r w:rsidR="003879F1" w:rsidRPr="009D3DED">
        <w:rPr>
          <w:szCs w:val="22"/>
          <w:lang w:val="sk-SK"/>
        </w:rPr>
        <w:t xml:space="preserve">. </w:t>
      </w:r>
    </w:p>
    <w:p w14:paraId="28AB1705" w14:textId="77777777" w:rsidR="003879F1" w:rsidRPr="009D3DED" w:rsidRDefault="003879F1">
      <w:pPr>
        <w:autoSpaceDE w:val="0"/>
        <w:autoSpaceDN w:val="0"/>
        <w:adjustRightInd w:val="0"/>
        <w:spacing w:line="240" w:lineRule="auto"/>
        <w:rPr>
          <w:szCs w:val="22"/>
          <w:lang w:val="sk-SK" w:eastAsia="zh-CN" w:bidi="th-TH"/>
        </w:rPr>
      </w:pPr>
    </w:p>
    <w:p w14:paraId="469EEAC4" w14:textId="08C1C8C8" w:rsidR="003879F1" w:rsidRPr="009D3DED" w:rsidRDefault="009B6EF4">
      <w:pPr>
        <w:tabs>
          <w:tab w:val="clear" w:pos="567"/>
        </w:tabs>
        <w:spacing w:line="240" w:lineRule="auto"/>
        <w:rPr>
          <w:bCs/>
          <w:i/>
          <w:iCs/>
          <w:szCs w:val="22"/>
          <w:lang w:val="sk-SK"/>
        </w:rPr>
      </w:pPr>
      <w:r>
        <w:rPr>
          <w:bCs/>
          <w:i/>
          <w:iCs/>
          <w:szCs w:val="22"/>
          <w:lang w:val="sk-SK"/>
        </w:rPr>
        <w:t>Porucha funkcie pečene</w:t>
      </w:r>
    </w:p>
    <w:p w14:paraId="59A133C6" w14:textId="039E87CE" w:rsidR="00A47C9C" w:rsidRPr="009D3DED" w:rsidRDefault="00CF1299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U pacientov s miernou až stredne </w:t>
      </w:r>
      <w:r w:rsidR="005B7C71" w:rsidRPr="009D3DED">
        <w:rPr>
          <w:szCs w:val="22"/>
          <w:lang w:val="sk-SK"/>
        </w:rPr>
        <w:t>závažnou</w:t>
      </w:r>
      <w:r w:rsidRPr="009D3DED">
        <w:rPr>
          <w:szCs w:val="22"/>
          <w:lang w:val="sk-SK"/>
        </w:rPr>
        <w:t xml:space="preserve"> poruchou funkcie pečene nie je potrebná úprava dávky</w:t>
      </w:r>
      <w:r w:rsidR="005B7C71" w:rsidRPr="009D3DED">
        <w:rPr>
          <w:szCs w:val="22"/>
          <w:lang w:val="sk-SK"/>
        </w:rPr>
        <w:t>, je však nutn</w:t>
      </w:r>
      <w:r w:rsidR="009B6EF4">
        <w:rPr>
          <w:szCs w:val="22"/>
          <w:lang w:val="sk-SK"/>
        </w:rPr>
        <w:t>á</w:t>
      </w:r>
      <w:r w:rsidR="0094374B">
        <w:rPr>
          <w:szCs w:val="22"/>
          <w:lang w:val="sk-SK"/>
        </w:rPr>
        <w:t xml:space="preserve"> </w:t>
      </w:r>
      <w:r w:rsidR="005B7C71" w:rsidRPr="009D3DED">
        <w:rPr>
          <w:szCs w:val="22"/>
          <w:lang w:val="sk-SK"/>
        </w:rPr>
        <w:t>opatrnosť (</w:t>
      </w:r>
      <w:r w:rsidR="009D3DED" w:rsidRPr="009D3DED">
        <w:rPr>
          <w:szCs w:val="22"/>
          <w:lang w:val="sk-SK" w:eastAsia="de-DE"/>
        </w:rPr>
        <w:t>pozri časť</w:t>
      </w:r>
      <w:r w:rsidR="005B7C71" w:rsidRPr="009D3DED">
        <w:rPr>
          <w:szCs w:val="22"/>
          <w:lang w:val="sk-SK"/>
        </w:rPr>
        <w:t xml:space="preserve"> 4.4.)</w:t>
      </w:r>
      <w:r w:rsidR="000A0D3A">
        <w:rPr>
          <w:szCs w:val="22"/>
          <w:lang w:val="sk-SK"/>
        </w:rPr>
        <w:t>.</w:t>
      </w:r>
      <w:r w:rsidRPr="009D3DED">
        <w:rPr>
          <w:szCs w:val="22"/>
          <w:lang w:val="sk-SK"/>
        </w:rPr>
        <w:t xml:space="preserve"> (</w:t>
      </w:r>
      <w:r w:rsidR="005B7C71" w:rsidRPr="009D3DED">
        <w:rPr>
          <w:szCs w:val="22"/>
          <w:lang w:val="sk-SK"/>
        </w:rPr>
        <w:t>P</w:t>
      </w:r>
      <w:r w:rsidRPr="009D3DED">
        <w:rPr>
          <w:szCs w:val="22"/>
          <w:lang w:val="sk-SK"/>
        </w:rPr>
        <w:t>re pacientov s</w:t>
      </w:r>
      <w:r w:rsidR="00F80F72">
        <w:rPr>
          <w:szCs w:val="22"/>
          <w:lang w:val="sk-SK"/>
        </w:rPr>
        <w:t>o závažnou</w:t>
      </w:r>
      <w:r w:rsidRPr="009D3DED">
        <w:rPr>
          <w:szCs w:val="22"/>
          <w:lang w:val="sk-SK"/>
        </w:rPr>
        <w:t xml:space="preserve"> dysfunkciou </w:t>
      </w:r>
      <w:r w:rsidR="00B13A11" w:rsidRPr="009D3DED">
        <w:rPr>
          <w:szCs w:val="22"/>
          <w:lang w:val="sk-SK"/>
        </w:rPr>
        <w:t xml:space="preserve">pečene </w:t>
      </w:r>
      <w:r w:rsidRPr="009D3DED">
        <w:rPr>
          <w:szCs w:val="22"/>
          <w:lang w:val="sk-SK"/>
        </w:rPr>
        <w:t xml:space="preserve">pozri časť </w:t>
      </w:r>
      <w:r w:rsidR="004412BD" w:rsidRPr="009D3DED">
        <w:rPr>
          <w:szCs w:val="22"/>
          <w:lang w:val="sk-SK"/>
        </w:rPr>
        <w:t>4.3)</w:t>
      </w:r>
      <w:r w:rsidR="003879F1" w:rsidRPr="009D3DED">
        <w:rPr>
          <w:szCs w:val="22"/>
          <w:lang w:val="sk-SK"/>
        </w:rPr>
        <w:t xml:space="preserve">. </w:t>
      </w:r>
    </w:p>
    <w:p w14:paraId="184C1337" w14:textId="77777777" w:rsidR="00A47C9C" w:rsidRPr="009D3DED" w:rsidRDefault="00A47C9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989E81E" w14:textId="77777777" w:rsidR="00D521FA" w:rsidRPr="009D3DED" w:rsidRDefault="00A20DE4">
      <w:pPr>
        <w:tabs>
          <w:tab w:val="clear" w:pos="567"/>
        </w:tabs>
        <w:spacing w:line="240" w:lineRule="auto"/>
        <w:rPr>
          <w:bCs/>
          <w:i/>
          <w:iCs/>
          <w:szCs w:val="22"/>
          <w:lang w:val="sk-SK"/>
        </w:rPr>
      </w:pPr>
      <w:r w:rsidRPr="009D3DED">
        <w:rPr>
          <w:bCs/>
          <w:i/>
          <w:iCs/>
          <w:szCs w:val="22"/>
          <w:lang w:val="sk-SK"/>
        </w:rPr>
        <w:t>P</w:t>
      </w:r>
      <w:r w:rsidR="00D521FA" w:rsidRPr="009D3DED">
        <w:rPr>
          <w:bCs/>
          <w:i/>
          <w:iCs/>
          <w:szCs w:val="22"/>
          <w:lang w:val="sk-SK"/>
        </w:rPr>
        <w:t>ediatric</w:t>
      </w:r>
      <w:r w:rsidRPr="009D3DED">
        <w:rPr>
          <w:bCs/>
          <w:i/>
          <w:iCs/>
          <w:szCs w:val="22"/>
          <w:lang w:val="sk-SK"/>
        </w:rPr>
        <w:t>ká popul</w:t>
      </w:r>
      <w:r w:rsidR="00CF1299" w:rsidRPr="009D3DED">
        <w:rPr>
          <w:bCs/>
          <w:i/>
          <w:iCs/>
          <w:szCs w:val="22"/>
          <w:lang w:val="sk-SK"/>
        </w:rPr>
        <w:t>ácia</w:t>
      </w:r>
    </w:p>
    <w:p w14:paraId="7A9A9725" w14:textId="787267D0" w:rsidR="00D521FA" w:rsidRPr="009D3DED" w:rsidRDefault="00CF1299" w:rsidP="00AA5B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9D3DED">
        <w:rPr>
          <w:lang w:val="sk-SK"/>
        </w:rPr>
        <w:t xml:space="preserve">Bezpečnosť a účinnosť </w:t>
      </w:r>
      <w:r w:rsidR="005A15DF" w:rsidRPr="009D3DED">
        <w:rPr>
          <w:lang w:val="sk-SK"/>
        </w:rPr>
        <w:t>Ibalgin</w:t>
      </w:r>
      <w:r w:rsidR="009F20FF">
        <w:rPr>
          <w:lang w:val="sk-SK"/>
        </w:rPr>
        <w:t>u</w:t>
      </w:r>
      <w:r w:rsidR="005A15DF" w:rsidRPr="009D3DED">
        <w:rPr>
          <w:lang w:val="sk-SK"/>
        </w:rPr>
        <w:t xml:space="preserve"> Plus</w:t>
      </w:r>
      <w:r w:rsidR="000A0D3A">
        <w:rPr>
          <w:lang w:val="sk-SK"/>
        </w:rPr>
        <w:t xml:space="preserve"> </w:t>
      </w:r>
      <w:r w:rsidRPr="009D3DED">
        <w:rPr>
          <w:lang w:val="sk-SK"/>
        </w:rPr>
        <w:t xml:space="preserve">u detí a </w:t>
      </w:r>
      <w:r w:rsidR="00B13A11" w:rsidRPr="009D3DED">
        <w:rPr>
          <w:lang w:val="sk-SK"/>
        </w:rPr>
        <w:t>dospievajúcich</w:t>
      </w:r>
      <w:r w:rsidRPr="009D3DED">
        <w:rPr>
          <w:lang w:val="sk-SK"/>
        </w:rPr>
        <w:t xml:space="preserve"> do 18 rokov nebola </w:t>
      </w:r>
      <w:r w:rsidR="00B13A11" w:rsidRPr="009D3DED">
        <w:rPr>
          <w:lang w:val="sk-SK"/>
        </w:rPr>
        <w:t xml:space="preserve">doteraz </w:t>
      </w:r>
      <w:r w:rsidRPr="009D3DED">
        <w:rPr>
          <w:lang w:val="sk-SK"/>
        </w:rPr>
        <w:t>stanovená. Nie sú dostupné žiadne údaje</w:t>
      </w:r>
      <w:r w:rsidR="00F15A72" w:rsidRPr="009D3DED">
        <w:rPr>
          <w:lang w:val="sk-SK"/>
        </w:rPr>
        <w:t xml:space="preserve">. </w:t>
      </w:r>
    </w:p>
    <w:p w14:paraId="17A554E3" w14:textId="77777777" w:rsidR="00F15A72" w:rsidRPr="009D3DED" w:rsidRDefault="00F15A72" w:rsidP="00AA5B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i/>
          <w:szCs w:val="22"/>
          <w:lang w:val="sk-SK"/>
        </w:rPr>
      </w:pPr>
    </w:p>
    <w:p w14:paraId="3CB6586A" w14:textId="77777777" w:rsidR="00D521FA" w:rsidRPr="009D3DED" w:rsidRDefault="00C70366" w:rsidP="00FF309C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9D3DED">
        <w:rPr>
          <w:szCs w:val="22"/>
          <w:u w:val="single"/>
          <w:lang w:val="sk-SK"/>
        </w:rPr>
        <w:t>Spôsob podávania</w:t>
      </w:r>
    </w:p>
    <w:p w14:paraId="3A6AAD14" w14:textId="77777777" w:rsidR="00D521FA" w:rsidRPr="009D3DED" w:rsidRDefault="00D521FA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297EB88D" w14:textId="77777777" w:rsidR="00CF1299" w:rsidRPr="009D3DED" w:rsidRDefault="00CF1299">
      <w:pPr>
        <w:spacing w:line="240" w:lineRule="auto"/>
        <w:ind w:right="354"/>
        <w:rPr>
          <w:szCs w:val="22"/>
          <w:lang w:val="sk-SK"/>
        </w:rPr>
      </w:pPr>
      <w:r w:rsidRPr="009D3DED">
        <w:rPr>
          <w:szCs w:val="22"/>
          <w:lang w:val="sk-SK"/>
        </w:rPr>
        <w:t>Perorálne použitie.</w:t>
      </w:r>
    </w:p>
    <w:p w14:paraId="7D7ABC5B" w14:textId="77777777" w:rsidR="00D521FA" w:rsidRPr="009D3DED" w:rsidRDefault="00CF1299">
      <w:pPr>
        <w:spacing w:line="240" w:lineRule="auto"/>
        <w:ind w:right="354"/>
        <w:rPr>
          <w:szCs w:val="22"/>
          <w:lang w:val="sk-SK"/>
        </w:rPr>
      </w:pPr>
      <w:r w:rsidRPr="009D3DED">
        <w:rPr>
          <w:szCs w:val="22"/>
          <w:lang w:val="sk-SK"/>
        </w:rPr>
        <w:t>Tablety sa prehĺtajú celé a zapíjajú sa pohárom vody</w:t>
      </w:r>
      <w:r w:rsidR="00D521FA" w:rsidRPr="009D3DED">
        <w:rPr>
          <w:szCs w:val="22"/>
          <w:lang w:val="sk-SK"/>
        </w:rPr>
        <w:t>.</w:t>
      </w:r>
    </w:p>
    <w:p w14:paraId="6898E5AB" w14:textId="77777777" w:rsidR="00D521FA" w:rsidRPr="009D3DED" w:rsidRDefault="00D521FA">
      <w:pPr>
        <w:autoSpaceDE w:val="0"/>
        <w:autoSpaceDN w:val="0"/>
        <w:adjustRightInd w:val="0"/>
        <w:spacing w:line="240" w:lineRule="auto"/>
        <w:rPr>
          <w:szCs w:val="22"/>
          <w:lang w:val="sk-SK" w:eastAsia="zh-CN" w:bidi="th-TH"/>
        </w:rPr>
      </w:pPr>
    </w:p>
    <w:p w14:paraId="4CAFBFA4" w14:textId="77777777" w:rsidR="001D29E6" w:rsidRPr="009D3DED" w:rsidRDefault="002B70BE">
      <w:pPr>
        <w:ind w:left="567" w:hanging="567"/>
        <w:rPr>
          <w:szCs w:val="22"/>
          <w:lang w:val="sk-SK"/>
        </w:rPr>
      </w:pPr>
      <w:r w:rsidRPr="009D3DED">
        <w:rPr>
          <w:b/>
          <w:szCs w:val="22"/>
          <w:lang w:val="sk-SK"/>
        </w:rPr>
        <w:t>4.3</w:t>
      </w:r>
      <w:r w:rsidRPr="009D3DED">
        <w:rPr>
          <w:b/>
          <w:szCs w:val="22"/>
          <w:lang w:val="sk-SK"/>
        </w:rPr>
        <w:tab/>
      </w:r>
      <w:r w:rsidR="00C70366" w:rsidRPr="009D3DED">
        <w:rPr>
          <w:b/>
          <w:szCs w:val="22"/>
          <w:lang w:val="sk-SK"/>
        </w:rPr>
        <w:t>Kontraindikácie</w:t>
      </w:r>
    </w:p>
    <w:p w14:paraId="0D57CD59" w14:textId="77777777" w:rsidR="001D29E6" w:rsidRPr="009D3DED" w:rsidRDefault="001D29E6">
      <w:pPr>
        <w:rPr>
          <w:szCs w:val="22"/>
          <w:lang w:val="sk-SK"/>
        </w:rPr>
      </w:pPr>
    </w:p>
    <w:p w14:paraId="7C6D8FD8" w14:textId="77777777" w:rsidR="001416E9" w:rsidRPr="009D3DED" w:rsidRDefault="00CF1299">
      <w:pPr>
        <w:pStyle w:val="Bezriadkovania"/>
        <w:numPr>
          <w:ilvl w:val="0"/>
          <w:numId w:val="22"/>
        </w:numPr>
        <w:rPr>
          <w:sz w:val="22"/>
          <w:szCs w:val="22"/>
          <w:lang w:val="sk-SK"/>
        </w:rPr>
      </w:pPr>
      <w:r w:rsidRPr="009D3DED">
        <w:rPr>
          <w:sz w:val="22"/>
          <w:szCs w:val="22"/>
          <w:lang w:val="sk-SK"/>
        </w:rPr>
        <w:t xml:space="preserve">Precitlivenosť na liečivá alebo na ktorúkoľvek z pomocných látok uvedených v časti </w:t>
      </w:r>
      <w:r w:rsidR="005E17B0" w:rsidRPr="009D3DED">
        <w:rPr>
          <w:sz w:val="22"/>
          <w:szCs w:val="22"/>
          <w:lang w:val="sk-SK"/>
        </w:rPr>
        <w:t>6.1</w:t>
      </w:r>
      <w:r w:rsidR="00E843DD" w:rsidRPr="009D3DED">
        <w:rPr>
          <w:sz w:val="22"/>
          <w:szCs w:val="22"/>
          <w:lang w:val="sk-SK"/>
        </w:rPr>
        <w:t>.</w:t>
      </w:r>
    </w:p>
    <w:p w14:paraId="12343A5F" w14:textId="3C30CD75" w:rsidR="0035012C" w:rsidRPr="009D3DED" w:rsidRDefault="003C046D">
      <w:pPr>
        <w:pStyle w:val="Bezriadkovania"/>
        <w:numPr>
          <w:ilvl w:val="0"/>
          <w:numId w:val="22"/>
        </w:numPr>
        <w:rPr>
          <w:sz w:val="22"/>
          <w:szCs w:val="22"/>
          <w:lang w:val="sk-SK" w:eastAsia="zh-CN" w:bidi="th-TH"/>
        </w:rPr>
      </w:pPr>
      <w:r>
        <w:rPr>
          <w:sz w:val="22"/>
          <w:szCs w:val="22"/>
          <w:lang w:val="sk-SK" w:eastAsia="zh-CN" w:bidi="th-TH"/>
        </w:rPr>
        <w:t>Anamnéza</w:t>
      </w:r>
      <w:r w:rsidR="00CF1299" w:rsidRPr="009D3DED">
        <w:rPr>
          <w:sz w:val="22"/>
          <w:szCs w:val="22"/>
          <w:lang w:val="sk-SK" w:eastAsia="zh-CN" w:bidi="th-TH"/>
        </w:rPr>
        <w:t xml:space="preserve"> </w:t>
      </w:r>
      <w:r>
        <w:rPr>
          <w:sz w:val="22"/>
          <w:szCs w:val="22"/>
          <w:lang w:val="sk-SK" w:eastAsia="zh-CN" w:bidi="th-TH"/>
        </w:rPr>
        <w:t>hypersenzitívnych reakcií</w:t>
      </w:r>
      <w:r w:rsidR="00B92304" w:rsidRPr="009D3DED">
        <w:rPr>
          <w:szCs w:val="22"/>
          <w:lang w:val="sk-SK"/>
        </w:rPr>
        <w:t xml:space="preserve"> </w:t>
      </w:r>
      <w:r w:rsidR="00CF1299" w:rsidRPr="009D3DED">
        <w:rPr>
          <w:sz w:val="22"/>
          <w:szCs w:val="22"/>
          <w:lang w:val="sk-SK" w:eastAsia="zh-CN" w:bidi="th-TH"/>
        </w:rPr>
        <w:t>(napr. bronchospazmus, astma, rinitída, angioedém alebo žihľavka) v spojení s užívaním kyseliny acetylsalicylovej alebo iných nesteroidných protizápalových liekov (NSAID</w:t>
      </w:r>
      <w:r w:rsidR="0035012C" w:rsidRPr="009D3DED">
        <w:rPr>
          <w:sz w:val="22"/>
          <w:szCs w:val="22"/>
          <w:lang w:val="sk-SK" w:eastAsia="zh-CN" w:bidi="th-TH"/>
        </w:rPr>
        <w:t>).</w:t>
      </w:r>
    </w:p>
    <w:p w14:paraId="78B00D60" w14:textId="77777777" w:rsidR="0035012C" w:rsidRPr="009D3DED" w:rsidRDefault="00CF1299">
      <w:pPr>
        <w:pStyle w:val="Bezriadkovania"/>
        <w:numPr>
          <w:ilvl w:val="0"/>
          <w:numId w:val="22"/>
        </w:numPr>
        <w:rPr>
          <w:sz w:val="22"/>
          <w:szCs w:val="22"/>
          <w:lang w:val="sk-SK" w:eastAsia="zh-CN" w:bidi="th-TH"/>
        </w:rPr>
      </w:pPr>
      <w:r w:rsidRPr="009D3DED">
        <w:rPr>
          <w:sz w:val="22"/>
          <w:szCs w:val="22"/>
          <w:lang w:val="sk-SK" w:eastAsia="zh-CN" w:bidi="th-TH"/>
        </w:rPr>
        <w:t>Neobjasnené poruchy krvotvorby</w:t>
      </w:r>
      <w:r w:rsidR="0035012C" w:rsidRPr="009D3DED">
        <w:rPr>
          <w:sz w:val="22"/>
          <w:szCs w:val="22"/>
          <w:lang w:val="sk-SK" w:eastAsia="zh-CN" w:bidi="th-TH"/>
        </w:rPr>
        <w:t>.</w:t>
      </w:r>
    </w:p>
    <w:p w14:paraId="14FE04ED" w14:textId="77777777" w:rsidR="0035012C" w:rsidRPr="009D3DED" w:rsidRDefault="00CF1299">
      <w:pPr>
        <w:pStyle w:val="Bezriadkovania"/>
        <w:numPr>
          <w:ilvl w:val="0"/>
          <w:numId w:val="22"/>
        </w:numPr>
        <w:rPr>
          <w:sz w:val="22"/>
          <w:szCs w:val="22"/>
          <w:lang w:val="sk-SK" w:eastAsia="zh-CN" w:bidi="th-TH"/>
        </w:rPr>
      </w:pPr>
      <w:r w:rsidRPr="009D3DED">
        <w:rPr>
          <w:sz w:val="22"/>
          <w:szCs w:val="22"/>
          <w:lang w:val="sk-SK" w:eastAsia="zh-CN" w:bidi="th-TH"/>
        </w:rPr>
        <w:t>Aktívny alebo recidivujúci alebo existujúci peptický vred</w:t>
      </w:r>
      <w:r w:rsidR="00A472F7" w:rsidRPr="009D3DED">
        <w:rPr>
          <w:sz w:val="22"/>
          <w:szCs w:val="22"/>
          <w:lang w:val="sk-SK" w:eastAsia="zh-CN" w:bidi="th-TH"/>
        </w:rPr>
        <w:t>/</w:t>
      </w:r>
      <w:r w:rsidRPr="009D3DED">
        <w:rPr>
          <w:sz w:val="22"/>
          <w:szCs w:val="22"/>
          <w:lang w:val="sk-SK" w:eastAsia="zh-CN" w:bidi="th-TH"/>
        </w:rPr>
        <w:t>krvácanie (dve alebo viac rôznych epizód potvrdenej ulcerácie alebo krvácania</w:t>
      </w:r>
      <w:r w:rsidR="0035012C" w:rsidRPr="009D3DED">
        <w:rPr>
          <w:sz w:val="22"/>
          <w:szCs w:val="22"/>
          <w:lang w:val="sk-SK" w:eastAsia="zh-CN" w:bidi="th-TH"/>
        </w:rPr>
        <w:t>).</w:t>
      </w:r>
    </w:p>
    <w:p w14:paraId="700FC50C" w14:textId="2051372F" w:rsidR="0035012C" w:rsidRPr="009D3DED" w:rsidRDefault="004A2B4C">
      <w:pPr>
        <w:pStyle w:val="Bezriadkovania"/>
        <w:numPr>
          <w:ilvl w:val="0"/>
          <w:numId w:val="22"/>
        </w:numPr>
        <w:rPr>
          <w:sz w:val="22"/>
          <w:szCs w:val="22"/>
          <w:lang w:val="sk-SK" w:eastAsia="zh-CN" w:bidi="th-TH"/>
        </w:rPr>
      </w:pPr>
      <w:r>
        <w:rPr>
          <w:sz w:val="22"/>
          <w:szCs w:val="22"/>
          <w:lang w:val="sk-SK" w:eastAsia="zh-CN" w:bidi="th-TH"/>
        </w:rPr>
        <w:t xml:space="preserve">Anamnéza </w:t>
      </w:r>
      <w:r w:rsidR="00CF1299" w:rsidRPr="009D3DED">
        <w:rPr>
          <w:sz w:val="22"/>
          <w:szCs w:val="22"/>
          <w:lang w:val="sk-SK" w:eastAsia="zh-CN" w:bidi="th-TH"/>
        </w:rPr>
        <w:t xml:space="preserve">gastrointestinálneho krvácania alebo perforácie v súvislosti s predchádzajúcou </w:t>
      </w:r>
      <w:r>
        <w:rPr>
          <w:sz w:val="22"/>
          <w:szCs w:val="22"/>
          <w:lang w:val="sk-SK" w:eastAsia="zh-CN" w:bidi="th-TH"/>
        </w:rPr>
        <w:t>liečbou</w:t>
      </w:r>
      <w:r w:rsidRPr="009D3DED">
        <w:rPr>
          <w:sz w:val="22"/>
          <w:szCs w:val="22"/>
          <w:lang w:val="sk-SK" w:eastAsia="zh-CN" w:bidi="th-TH"/>
        </w:rPr>
        <w:t xml:space="preserve"> </w:t>
      </w:r>
      <w:r w:rsidR="00CF1299" w:rsidRPr="009D3DED">
        <w:rPr>
          <w:sz w:val="22"/>
          <w:szCs w:val="22"/>
          <w:lang w:val="sk-SK" w:eastAsia="zh-CN" w:bidi="th-TH"/>
        </w:rPr>
        <w:t>NSAID</w:t>
      </w:r>
      <w:r w:rsidR="0035012C" w:rsidRPr="009D3DED">
        <w:rPr>
          <w:sz w:val="22"/>
          <w:szCs w:val="22"/>
          <w:lang w:val="sk-SK" w:eastAsia="zh-CN" w:bidi="th-TH"/>
        </w:rPr>
        <w:t>.</w:t>
      </w:r>
    </w:p>
    <w:p w14:paraId="28074C1B" w14:textId="77777777" w:rsidR="0035012C" w:rsidRPr="009D3DED" w:rsidRDefault="008B665A">
      <w:pPr>
        <w:pStyle w:val="Bezriadkovania"/>
        <w:numPr>
          <w:ilvl w:val="0"/>
          <w:numId w:val="22"/>
        </w:numPr>
        <w:rPr>
          <w:sz w:val="22"/>
          <w:szCs w:val="22"/>
          <w:lang w:val="sk-SK" w:eastAsia="zh-CN" w:bidi="th-TH"/>
        </w:rPr>
      </w:pPr>
      <w:r w:rsidRPr="009D3DED">
        <w:rPr>
          <w:sz w:val="22"/>
          <w:szCs w:val="22"/>
          <w:lang w:val="sk-SK" w:eastAsia="zh-CN" w:bidi="th-TH"/>
        </w:rPr>
        <w:t>Cerebrovaskulárne alebo iné aktívne krvácanie</w:t>
      </w:r>
      <w:r w:rsidR="0035012C" w:rsidRPr="009D3DED">
        <w:rPr>
          <w:sz w:val="22"/>
          <w:szCs w:val="22"/>
          <w:lang w:val="sk-SK" w:eastAsia="zh-CN" w:bidi="th-TH"/>
        </w:rPr>
        <w:t>.</w:t>
      </w:r>
    </w:p>
    <w:p w14:paraId="3AFF6D45" w14:textId="421FB702" w:rsidR="0035012C" w:rsidRPr="009D3DED" w:rsidRDefault="00F057AC">
      <w:pPr>
        <w:pStyle w:val="Bezriadkovania"/>
        <w:numPr>
          <w:ilvl w:val="0"/>
          <w:numId w:val="22"/>
        </w:numPr>
        <w:rPr>
          <w:sz w:val="22"/>
          <w:szCs w:val="22"/>
          <w:lang w:val="sk-SK" w:eastAsia="zh-CN" w:bidi="th-TH"/>
        </w:rPr>
      </w:pPr>
      <w:r w:rsidRPr="009D3DED">
        <w:rPr>
          <w:sz w:val="22"/>
          <w:szCs w:val="22"/>
          <w:lang w:val="sk-SK" w:eastAsia="zh-CN" w:bidi="th-TH"/>
        </w:rPr>
        <w:t>Závažné</w:t>
      </w:r>
      <w:r w:rsidR="008B665A" w:rsidRPr="009D3DED">
        <w:rPr>
          <w:sz w:val="22"/>
          <w:szCs w:val="22"/>
          <w:lang w:val="sk-SK" w:eastAsia="zh-CN" w:bidi="th-TH"/>
        </w:rPr>
        <w:t xml:space="preserve"> zlyh</w:t>
      </w:r>
      <w:r w:rsidR="004A2B4C">
        <w:rPr>
          <w:sz w:val="22"/>
          <w:szCs w:val="22"/>
          <w:lang w:val="sk-SK" w:eastAsia="zh-CN" w:bidi="th-TH"/>
        </w:rPr>
        <w:t>ávanie srdca</w:t>
      </w:r>
      <w:r w:rsidR="008B665A" w:rsidRPr="009D3DED">
        <w:rPr>
          <w:sz w:val="22"/>
          <w:szCs w:val="22"/>
          <w:lang w:val="sk-SK" w:eastAsia="zh-CN" w:bidi="th-TH"/>
        </w:rPr>
        <w:t xml:space="preserve"> (trieda</w:t>
      </w:r>
      <w:r w:rsidRPr="009D3DED">
        <w:rPr>
          <w:sz w:val="22"/>
          <w:szCs w:val="22"/>
          <w:lang w:val="sk-SK" w:eastAsia="zh-CN" w:bidi="th-TH"/>
        </w:rPr>
        <w:t xml:space="preserve"> IV podľa N</w:t>
      </w:r>
      <w:r w:rsidR="0035012C" w:rsidRPr="009D3DED">
        <w:rPr>
          <w:sz w:val="22"/>
          <w:szCs w:val="22"/>
          <w:lang w:val="sk-SK" w:eastAsia="zh-CN" w:bidi="th-TH"/>
        </w:rPr>
        <w:t>YHA).</w:t>
      </w:r>
    </w:p>
    <w:p w14:paraId="740FB226" w14:textId="55BCB040" w:rsidR="0035012C" w:rsidRPr="009D3DED" w:rsidRDefault="00F057AC">
      <w:pPr>
        <w:pStyle w:val="Bezriadkovania"/>
        <w:numPr>
          <w:ilvl w:val="0"/>
          <w:numId w:val="22"/>
        </w:numPr>
        <w:rPr>
          <w:sz w:val="22"/>
          <w:szCs w:val="22"/>
          <w:lang w:val="sk-SK" w:eastAsia="zh-CN" w:bidi="th-TH"/>
        </w:rPr>
      </w:pPr>
      <w:r w:rsidRPr="009D3DED">
        <w:rPr>
          <w:sz w:val="22"/>
          <w:szCs w:val="22"/>
          <w:lang w:val="sk-SK" w:eastAsia="zh-CN" w:bidi="th-TH"/>
        </w:rPr>
        <w:t>Závažné</w:t>
      </w:r>
      <w:r w:rsidR="008B665A" w:rsidRPr="009D3DED">
        <w:rPr>
          <w:sz w:val="22"/>
          <w:szCs w:val="22"/>
          <w:lang w:val="sk-SK" w:eastAsia="zh-CN" w:bidi="th-TH"/>
        </w:rPr>
        <w:t xml:space="preserve"> zlyh</w:t>
      </w:r>
      <w:r w:rsidR="004A2B4C">
        <w:rPr>
          <w:sz w:val="22"/>
          <w:szCs w:val="22"/>
          <w:lang w:val="sk-SK" w:eastAsia="zh-CN" w:bidi="th-TH"/>
        </w:rPr>
        <w:t>ávanie</w:t>
      </w:r>
      <w:r w:rsidR="008B665A" w:rsidRPr="009D3DED">
        <w:rPr>
          <w:sz w:val="22"/>
          <w:szCs w:val="22"/>
          <w:lang w:val="sk-SK" w:eastAsia="zh-CN" w:bidi="th-TH"/>
        </w:rPr>
        <w:t xml:space="preserve"> pečene</w:t>
      </w:r>
      <w:r w:rsidRPr="009D3DED">
        <w:rPr>
          <w:sz w:val="22"/>
          <w:szCs w:val="22"/>
          <w:lang w:val="sk-SK" w:eastAsia="zh-CN" w:bidi="th-TH"/>
        </w:rPr>
        <w:t xml:space="preserve"> alebo </w:t>
      </w:r>
      <w:r w:rsidR="008B665A" w:rsidRPr="009D3DED">
        <w:rPr>
          <w:sz w:val="22"/>
          <w:szCs w:val="22"/>
          <w:lang w:val="sk-SK" w:eastAsia="zh-CN" w:bidi="th-TH"/>
        </w:rPr>
        <w:t>obličiek</w:t>
      </w:r>
      <w:r w:rsidR="0035012C" w:rsidRPr="009D3DED">
        <w:rPr>
          <w:sz w:val="22"/>
          <w:szCs w:val="22"/>
          <w:lang w:val="sk-SK" w:eastAsia="zh-CN" w:bidi="th-TH"/>
        </w:rPr>
        <w:t>.</w:t>
      </w:r>
    </w:p>
    <w:p w14:paraId="193263F4" w14:textId="77777777" w:rsidR="0035012C" w:rsidRPr="009D3DED" w:rsidRDefault="008B665A">
      <w:pPr>
        <w:pStyle w:val="Bezriadkovania"/>
        <w:numPr>
          <w:ilvl w:val="0"/>
          <w:numId w:val="22"/>
        </w:numPr>
        <w:rPr>
          <w:sz w:val="22"/>
          <w:szCs w:val="22"/>
          <w:lang w:val="sk-SK" w:eastAsia="zh-CN" w:bidi="th-TH"/>
        </w:rPr>
      </w:pPr>
      <w:r w:rsidRPr="009D3DED">
        <w:rPr>
          <w:sz w:val="22"/>
          <w:szCs w:val="22"/>
          <w:lang w:val="sk-SK" w:eastAsia="zh-CN" w:bidi="th-TH"/>
        </w:rPr>
        <w:t xml:space="preserve">Tretí trimester tehotenstva </w:t>
      </w:r>
      <w:r w:rsidR="0035012C" w:rsidRPr="009D3DED">
        <w:rPr>
          <w:sz w:val="22"/>
          <w:szCs w:val="22"/>
          <w:lang w:val="sk-SK" w:eastAsia="zh-CN" w:bidi="th-TH"/>
        </w:rPr>
        <w:t>(</w:t>
      </w:r>
      <w:r w:rsidR="00542E76" w:rsidRPr="009D3DED">
        <w:rPr>
          <w:sz w:val="22"/>
          <w:szCs w:val="22"/>
          <w:lang w:val="sk-SK" w:eastAsia="zh-CN" w:bidi="th-TH"/>
        </w:rPr>
        <w:t>pozri časť</w:t>
      </w:r>
      <w:r w:rsidR="0035012C" w:rsidRPr="009D3DED">
        <w:rPr>
          <w:sz w:val="22"/>
          <w:szCs w:val="22"/>
          <w:lang w:val="sk-SK" w:eastAsia="zh-CN" w:bidi="th-TH"/>
        </w:rPr>
        <w:t xml:space="preserve"> 4.6).</w:t>
      </w:r>
    </w:p>
    <w:p w14:paraId="3D313CC4" w14:textId="77777777" w:rsidR="001416E9" w:rsidRPr="009D3DED" w:rsidRDefault="008E42FE">
      <w:pPr>
        <w:pStyle w:val="Bezriadkovania"/>
        <w:numPr>
          <w:ilvl w:val="0"/>
          <w:numId w:val="22"/>
        </w:numPr>
        <w:rPr>
          <w:sz w:val="22"/>
          <w:szCs w:val="22"/>
          <w:lang w:val="sk-SK" w:eastAsia="zh-CN" w:bidi="th-TH"/>
        </w:rPr>
      </w:pPr>
      <w:r w:rsidRPr="009D3DED">
        <w:rPr>
          <w:sz w:val="22"/>
          <w:szCs w:val="22"/>
          <w:lang w:val="sk-SK" w:eastAsia="zh-CN" w:bidi="th-TH"/>
        </w:rPr>
        <w:t>Ťažká dehydratácia (spôsobená vracaním, hnačkou alebo nedostatočným príjmom tekutín</w:t>
      </w:r>
      <w:r w:rsidR="001416E9" w:rsidRPr="009D3DED">
        <w:rPr>
          <w:sz w:val="22"/>
          <w:szCs w:val="22"/>
          <w:lang w:val="sk-SK" w:eastAsia="zh-CN" w:bidi="th-TH"/>
        </w:rPr>
        <w:t>)</w:t>
      </w:r>
      <w:r w:rsidR="00E843DD" w:rsidRPr="009D3DED">
        <w:rPr>
          <w:sz w:val="22"/>
          <w:szCs w:val="22"/>
          <w:lang w:val="sk-SK" w:eastAsia="zh-CN" w:bidi="th-TH"/>
        </w:rPr>
        <w:t>.</w:t>
      </w:r>
    </w:p>
    <w:p w14:paraId="24F4FCBA" w14:textId="77777777" w:rsidR="001D29E6" w:rsidRPr="009D3DED" w:rsidRDefault="001D29E6">
      <w:pPr>
        <w:rPr>
          <w:szCs w:val="22"/>
          <w:lang w:val="sk-SK"/>
        </w:rPr>
      </w:pPr>
    </w:p>
    <w:p w14:paraId="65903705" w14:textId="77777777" w:rsidR="001D29E6" w:rsidRPr="009D3DED" w:rsidRDefault="001D29E6">
      <w:pPr>
        <w:ind w:left="567" w:hanging="567"/>
        <w:rPr>
          <w:b/>
          <w:szCs w:val="22"/>
          <w:lang w:val="sk-SK"/>
        </w:rPr>
      </w:pPr>
      <w:r w:rsidRPr="009D3DED">
        <w:rPr>
          <w:b/>
          <w:szCs w:val="22"/>
          <w:lang w:val="sk-SK"/>
        </w:rPr>
        <w:t>4.4</w:t>
      </w:r>
      <w:r w:rsidRPr="009D3DED">
        <w:rPr>
          <w:b/>
          <w:szCs w:val="22"/>
          <w:lang w:val="sk-SK"/>
        </w:rPr>
        <w:tab/>
      </w:r>
      <w:r w:rsidR="00C70366" w:rsidRPr="009D3DED">
        <w:rPr>
          <w:b/>
          <w:szCs w:val="22"/>
          <w:lang w:val="sk-SK"/>
        </w:rPr>
        <w:t>Osobitné upozornenia a opatrenia pri používaní</w:t>
      </w:r>
    </w:p>
    <w:p w14:paraId="689BB7A5" w14:textId="77777777" w:rsidR="00C53ACC" w:rsidRPr="009D3DED" w:rsidRDefault="00C53ACC">
      <w:pPr>
        <w:ind w:left="567" w:hanging="567"/>
        <w:rPr>
          <w:szCs w:val="22"/>
          <w:lang w:val="sk-SK"/>
        </w:rPr>
      </w:pPr>
    </w:p>
    <w:p w14:paraId="38E1264F" w14:textId="42C27000" w:rsidR="005E17B0" w:rsidRPr="009D3DED" w:rsidRDefault="003C1237">
      <w:pPr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Nežiaduce účinky možno minimalizovať použitím najnižšej účinnej dávky počas čo najkratšej doby nevyhnutnej </w:t>
      </w:r>
      <w:r w:rsidR="006E2E44">
        <w:rPr>
          <w:szCs w:val="22"/>
          <w:lang w:val="sk-SK"/>
        </w:rPr>
        <w:t>na</w:t>
      </w:r>
      <w:r w:rsidRPr="009D3DED">
        <w:rPr>
          <w:szCs w:val="22"/>
          <w:lang w:val="sk-SK"/>
        </w:rPr>
        <w:t xml:space="preserve"> kontrolu </w:t>
      </w:r>
      <w:r w:rsidR="00F51216" w:rsidRPr="009D3DED">
        <w:rPr>
          <w:szCs w:val="22"/>
          <w:lang w:val="sk-SK"/>
        </w:rPr>
        <w:t>príznakov</w:t>
      </w:r>
      <w:r w:rsidRPr="009D3DED">
        <w:rPr>
          <w:szCs w:val="22"/>
          <w:lang w:val="sk-SK"/>
        </w:rPr>
        <w:t xml:space="preserve"> (pozri gastrointestinálne a kardiovaskulárne riziká nižšie</w:t>
      </w:r>
      <w:r w:rsidR="005E17B0" w:rsidRPr="009D3DED">
        <w:rPr>
          <w:szCs w:val="22"/>
          <w:lang w:val="sk-SK"/>
        </w:rPr>
        <w:t>).</w:t>
      </w:r>
    </w:p>
    <w:p w14:paraId="308777B9" w14:textId="77777777" w:rsidR="005E17B0" w:rsidRPr="009D3DED" w:rsidRDefault="005E17B0">
      <w:pPr>
        <w:rPr>
          <w:szCs w:val="22"/>
          <w:lang w:val="sk-SK"/>
        </w:rPr>
      </w:pPr>
    </w:p>
    <w:p w14:paraId="6091252C" w14:textId="65633438" w:rsidR="00F057AC" w:rsidRPr="009D3DED" w:rsidRDefault="006E2E44">
      <w:pPr>
        <w:rPr>
          <w:szCs w:val="22"/>
          <w:lang w:val="sk-SK"/>
        </w:rPr>
      </w:pPr>
      <w:r>
        <w:rPr>
          <w:szCs w:val="22"/>
          <w:lang w:val="sk-SK"/>
        </w:rPr>
        <w:t>O</w:t>
      </w:r>
      <w:r w:rsidR="00F057AC" w:rsidRPr="009D3DED">
        <w:rPr>
          <w:szCs w:val="22"/>
          <w:lang w:val="sk-SK"/>
        </w:rPr>
        <w:t xml:space="preserve">patrnosť je nutná pri </w:t>
      </w:r>
      <w:r w:rsidR="003C1237" w:rsidRPr="009D3DED">
        <w:rPr>
          <w:szCs w:val="22"/>
          <w:lang w:val="sk-SK"/>
        </w:rPr>
        <w:t>paciento</w:t>
      </w:r>
      <w:r w:rsidR="00F057AC" w:rsidRPr="009D3DED">
        <w:rPr>
          <w:szCs w:val="22"/>
          <w:lang w:val="sk-SK"/>
        </w:rPr>
        <w:t>ch</w:t>
      </w:r>
      <w:r w:rsidR="003C1237" w:rsidRPr="009D3DED">
        <w:rPr>
          <w:szCs w:val="22"/>
          <w:lang w:val="sk-SK"/>
        </w:rPr>
        <w:t xml:space="preserve"> s určitými stavmi, u ktorých môže dôjsť k</w:t>
      </w:r>
      <w:r w:rsidR="00F057AC" w:rsidRPr="009D3DED">
        <w:rPr>
          <w:szCs w:val="22"/>
          <w:lang w:val="sk-SK"/>
        </w:rPr>
        <w:t> </w:t>
      </w:r>
      <w:r w:rsidR="003C1237" w:rsidRPr="009D3DED">
        <w:rPr>
          <w:szCs w:val="22"/>
          <w:lang w:val="sk-SK"/>
        </w:rPr>
        <w:t>zhoršeniu</w:t>
      </w:r>
      <w:r w:rsidR="00F057AC" w:rsidRPr="009D3DED">
        <w:rPr>
          <w:szCs w:val="22"/>
          <w:lang w:val="sk-SK"/>
        </w:rPr>
        <w:t>:</w:t>
      </w:r>
    </w:p>
    <w:p w14:paraId="3B4C01D8" w14:textId="33B2D824" w:rsidR="003C1237" w:rsidRDefault="00F057AC">
      <w:pPr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      </w:t>
      </w:r>
      <w:r w:rsidR="00AA5B78">
        <w:rPr>
          <w:szCs w:val="22"/>
          <w:lang w:val="sk-SK"/>
        </w:rPr>
        <w:t xml:space="preserve"> </w:t>
      </w:r>
    </w:p>
    <w:p w14:paraId="695AFEDF" w14:textId="702A188E" w:rsidR="00713828" w:rsidRPr="0094374B" w:rsidRDefault="00713828" w:rsidP="0094374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D3DED">
        <w:rPr>
          <w:szCs w:val="22"/>
          <w:lang w:val="sk-SK"/>
        </w:rPr>
        <w:t>systémov</w:t>
      </w:r>
      <w:r>
        <w:rPr>
          <w:szCs w:val="22"/>
          <w:lang w:val="sk-SK"/>
        </w:rPr>
        <w:t>ého</w:t>
      </w:r>
      <w:r w:rsidRPr="009D3DED">
        <w:rPr>
          <w:szCs w:val="22"/>
          <w:lang w:val="sk-SK"/>
        </w:rPr>
        <w:t xml:space="preserve"> </w:t>
      </w:r>
      <w:r w:rsidRPr="004407FA">
        <w:rPr>
          <w:i/>
          <w:szCs w:val="22"/>
          <w:lang w:val="sk-SK"/>
        </w:rPr>
        <w:t>lupus erythematosus</w:t>
      </w:r>
      <w:r w:rsidRPr="009D3DED">
        <w:rPr>
          <w:szCs w:val="22"/>
          <w:lang w:val="sk-SK"/>
        </w:rPr>
        <w:t xml:space="preserve"> a zmiešané</w:t>
      </w:r>
      <w:r>
        <w:rPr>
          <w:szCs w:val="22"/>
          <w:lang w:val="sk-SK"/>
        </w:rPr>
        <w:t>ho</w:t>
      </w:r>
      <w:r w:rsidRPr="009D3DED">
        <w:rPr>
          <w:szCs w:val="22"/>
          <w:lang w:val="sk-SK"/>
        </w:rPr>
        <w:t xml:space="preserve"> ochoreni</w:t>
      </w:r>
      <w:r>
        <w:rPr>
          <w:szCs w:val="22"/>
          <w:lang w:val="sk-SK"/>
        </w:rPr>
        <w:t>a</w:t>
      </w:r>
      <w:r w:rsidRPr="009D3DED">
        <w:rPr>
          <w:szCs w:val="22"/>
          <w:lang w:val="sk-SK"/>
        </w:rPr>
        <w:t xml:space="preserve"> spojivového tkaniva - zvýšené riziko </w:t>
      </w:r>
      <w:r>
        <w:rPr>
          <w:szCs w:val="22"/>
          <w:lang w:val="sk-SK"/>
        </w:rPr>
        <w:t xml:space="preserve">      </w:t>
      </w:r>
      <w:r w:rsidRPr="009D3DED">
        <w:rPr>
          <w:szCs w:val="22"/>
          <w:lang w:val="sk-SK"/>
        </w:rPr>
        <w:t>aseptickej</w:t>
      </w:r>
      <w:r w:rsidRPr="0094374B">
        <w:rPr>
          <w:szCs w:val="22"/>
          <w:lang w:val="sk-SK"/>
        </w:rPr>
        <w:t xml:space="preserve">  meningitídy (pozri časť 4.8)</w:t>
      </w:r>
    </w:p>
    <w:p w14:paraId="0B69D408" w14:textId="77777777" w:rsidR="00713828" w:rsidRDefault="00713828" w:rsidP="00713828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D3DED">
        <w:rPr>
          <w:szCs w:val="22"/>
          <w:lang w:val="sk-SK"/>
        </w:rPr>
        <w:t>vroden</w:t>
      </w:r>
      <w:r>
        <w:rPr>
          <w:szCs w:val="22"/>
          <w:lang w:val="sk-SK"/>
        </w:rPr>
        <w:t>ej</w:t>
      </w:r>
      <w:r w:rsidRPr="009D3DED">
        <w:rPr>
          <w:szCs w:val="22"/>
          <w:lang w:val="sk-SK"/>
        </w:rPr>
        <w:t xml:space="preserve"> poruch</w:t>
      </w:r>
      <w:r>
        <w:rPr>
          <w:szCs w:val="22"/>
          <w:lang w:val="sk-SK"/>
        </w:rPr>
        <w:t>y</w:t>
      </w:r>
      <w:r w:rsidRPr="009D3DED">
        <w:rPr>
          <w:szCs w:val="22"/>
          <w:lang w:val="sk-SK"/>
        </w:rPr>
        <w:t xml:space="preserve"> metabolizmu porfyrínov (napr. akútna intermitentná porfýria)</w:t>
      </w:r>
    </w:p>
    <w:p w14:paraId="1B2BAA47" w14:textId="693594C6" w:rsidR="003C1237" w:rsidRPr="009D3DED" w:rsidRDefault="003C1237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D3DED">
        <w:rPr>
          <w:szCs w:val="22"/>
          <w:lang w:val="sk-SK"/>
        </w:rPr>
        <w:t>gastrointestináln</w:t>
      </w:r>
      <w:r w:rsidR="007A60E8">
        <w:rPr>
          <w:szCs w:val="22"/>
          <w:lang w:val="sk-SK"/>
        </w:rPr>
        <w:t>ych</w:t>
      </w:r>
      <w:r w:rsidRPr="009D3DED">
        <w:rPr>
          <w:szCs w:val="22"/>
          <w:lang w:val="sk-SK"/>
        </w:rPr>
        <w:t xml:space="preserve"> por</w:t>
      </w:r>
      <w:r w:rsidR="007A60E8">
        <w:rPr>
          <w:szCs w:val="22"/>
          <w:lang w:val="sk-SK"/>
        </w:rPr>
        <w:t>úch</w:t>
      </w:r>
      <w:r w:rsidRPr="009D3DED">
        <w:rPr>
          <w:szCs w:val="22"/>
          <w:lang w:val="sk-SK"/>
        </w:rPr>
        <w:t xml:space="preserve"> a chronick</w:t>
      </w:r>
      <w:r w:rsidR="007A60E8">
        <w:rPr>
          <w:szCs w:val="22"/>
          <w:lang w:val="sk-SK"/>
        </w:rPr>
        <w:t>ých</w:t>
      </w:r>
      <w:r w:rsidRPr="009D3DED">
        <w:rPr>
          <w:szCs w:val="22"/>
          <w:lang w:val="sk-SK"/>
        </w:rPr>
        <w:t xml:space="preserve"> zápalov</w:t>
      </w:r>
      <w:r w:rsidR="007A60E8">
        <w:rPr>
          <w:szCs w:val="22"/>
          <w:lang w:val="sk-SK"/>
        </w:rPr>
        <w:t>ých</w:t>
      </w:r>
      <w:r w:rsidRPr="009D3DED">
        <w:rPr>
          <w:szCs w:val="22"/>
          <w:lang w:val="sk-SK"/>
        </w:rPr>
        <w:t xml:space="preserve"> črevn</w:t>
      </w:r>
      <w:r w:rsidR="007A60E8">
        <w:rPr>
          <w:szCs w:val="22"/>
          <w:lang w:val="sk-SK"/>
        </w:rPr>
        <w:t>ých</w:t>
      </w:r>
      <w:r w:rsidRPr="009D3DED">
        <w:rPr>
          <w:szCs w:val="22"/>
          <w:lang w:val="sk-SK"/>
        </w:rPr>
        <w:t xml:space="preserve"> ochoren</w:t>
      </w:r>
      <w:r w:rsidR="007A60E8">
        <w:rPr>
          <w:szCs w:val="22"/>
          <w:lang w:val="sk-SK"/>
        </w:rPr>
        <w:t>í</w:t>
      </w:r>
      <w:r w:rsidRPr="009D3DED">
        <w:rPr>
          <w:szCs w:val="22"/>
          <w:lang w:val="sk-SK"/>
        </w:rPr>
        <w:t xml:space="preserve"> (napr. ulcerózna kolitída, Crohnova choroba) (pozri časť 4.8)</w:t>
      </w:r>
    </w:p>
    <w:p w14:paraId="753035BD" w14:textId="64B1B70C" w:rsidR="003C1237" w:rsidRPr="009D3DED" w:rsidRDefault="003C1237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D3DED">
        <w:rPr>
          <w:szCs w:val="22"/>
          <w:lang w:val="sk-SK"/>
        </w:rPr>
        <w:t>hypertenzi</w:t>
      </w:r>
      <w:r w:rsidR="007A60E8">
        <w:rPr>
          <w:szCs w:val="22"/>
          <w:lang w:val="sk-SK"/>
        </w:rPr>
        <w:t>e</w:t>
      </w:r>
      <w:r w:rsidRPr="009D3DED">
        <w:rPr>
          <w:szCs w:val="22"/>
          <w:lang w:val="sk-SK"/>
        </w:rPr>
        <w:t xml:space="preserve"> </w:t>
      </w:r>
      <w:r w:rsidR="00A472F7" w:rsidRPr="009D3DED">
        <w:rPr>
          <w:szCs w:val="22"/>
          <w:lang w:val="sk-SK"/>
        </w:rPr>
        <w:t xml:space="preserve">a/alebo </w:t>
      </w:r>
      <w:r w:rsidRPr="009D3DED">
        <w:rPr>
          <w:szCs w:val="22"/>
          <w:lang w:val="sk-SK"/>
        </w:rPr>
        <w:t>poruch</w:t>
      </w:r>
      <w:r w:rsidR="007A60E8">
        <w:rPr>
          <w:szCs w:val="22"/>
          <w:lang w:val="sk-SK"/>
        </w:rPr>
        <w:t>y</w:t>
      </w:r>
      <w:r w:rsidRPr="009D3DED">
        <w:rPr>
          <w:szCs w:val="22"/>
          <w:lang w:val="sk-SK"/>
        </w:rPr>
        <w:t xml:space="preserve"> funkcie srdca, pretože môže dôjsť k zhoršeniu funkcie obličiek (pozri časť 4.8)</w:t>
      </w:r>
    </w:p>
    <w:p w14:paraId="558A8C98" w14:textId="10C8350F" w:rsidR="003C1237" w:rsidRPr="009D3DED" w:rsidRDefault="003C1237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D3DED">
        <w:rPr>
          <w:szCs w:val="22"/>
          <w:lang w:val="sk-SK"/>
        </w:rPr>
        <w:t>poruch</w:t>
      </w:r>
      <w:r w:rsidR="007A60E8">
        <w:rPr>
          <w:szCs w:val="22"/>
          <w:lang w:val="sk-SK"/>
        </w:rPr>
        <w:t>y</w:t>
      </w:r>
      <w:r w:rsidRPr="009D3DED">
        <w:rPr>
          <w:szCs w:val="22"/>
          <w:lang w:val="sk-SK"/>
        </w:rPr>
        <w:t xml:space="preserve"> funkcie obličiek (pozri časť 4.8)</w:t>
      </w:r>
    </w:p>
    <w:p w14:paraId="3F4083A7" w14:textId="6BA830ED" w:rsidR="003C1237" w:rsidRPr="009D3DED" w:rsidRDefault="003C1237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D3DED">
        <w:rPr>
          <w:szCs w:val="22"/>
          <w:lang w:val="sk-SK"/>
        </w:rPr>
        <w:t>dysfunkci</w:t>
      </w:r>
      <w:r w:rsidR="007A60E8">
        <w:rPr>
          <w:szCs w:val="22"/>
          <w:lang w:val="sk-SK"/>
        </w:rPr>
        <w:t>e</w:t>
      </w:r>
      <w:r w:rsidRPr="009D3DED">
        <w:rPr>
          <w:szCs w:val="22"/>
          <w:lang w:val="sk-SK"/>
        </w:rPr>
        <w:t xml:space="preserve"> pečene (pozri časť 4.8)</w:t>
      </w:r>
    </w:p>
    <w:p w14:paraId="29076EBE" w14:textId="3A8681E1" w:rsidR="003C1237" w:rsidRPr="009D3DED" w:rsidRDefault="003C1237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D3DED">
        <w:rPr>
          <w:szCs w:val="22"/>
          <w:lang w:val="sk-SK"/>
        </w:rPr>
        <w:t>bezprostredne po veľkej operácii</w:t>
      </w:r>
    </w:p>
    <w:p w14:paraId="1D303708" w14:textId="3CEA3F90" w:rsidR="0035012C" w:rsidRPr="009D3DED" w:rsidRDefault="003C1237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D3DED">
        <w:rPr>
          <w:szCs w:val="22"/>
          <w:lang w:val="sk-SK"/>
        </w:rPr>
        <w:t>u pacientov s</w:t>
      </w:r>
      <w:r w:rsidR="006B40E6">
        <w:rPr>
          <w:szCs w:val="22"/>
          <w:lang w:val="sk-SK"/>
        </w:rPr>
        <w:t> alergickou pre</w:t>
      </w:r>
      <w:r w:rsidR="00F80F72">
        <w:rPr>
          <w:szCs w:val="22"/>
          <w:lang w:val="sk-SK"/>
        </w:rPr>
        <w:t xml:space="preserve">dispozíciou </w:t>
      </w:r>
      <w:r w:rsidRPr="009D3DED">
        <w:rPr>
          <w:szCs w:val="22"/>
          <w:lang w:val="sk-SK"/>
        </w:rPr>
        <w:t xml:space="preserve">na iné látky, pretože môžu byť náchylní </w:t>
      </w:r>
      <w:r w:rsidR="006B40E6">
        <w:rPr>
          <w:szCs w:val="22"/>
          <w:lang w:val="sk-SK"/>
        </w:rPr>
        <w:t>na</w:t>
      </w:r>
      <w:r w:rsidRPr="009D3DED">
        <w:rPr>
          <w:szCs w:val="22"/>
          <w:lang w:val="sk-SK"/>
        </w:rPr>
        <w:t xml:space="preserve"> </w:t>
      </w:r>
      <w:r w:rsidR="006B40E6">
        <w:rPr>
          <w:szCs w:val="22"/>
          <w:lang w:val="sk-SK"/>
        </w:rPr>
        <w:t>vznik</w:t>
      </w:r>
      <w:r w:rsidRPr="009D3DED">
        <w:rPr>
          <w:szCs w:val="22"/>
          <w:lang w:val="sk-SK"/>
        </w:rPr>
        <w:t xml:space="preserve"> </w:t>
      </w:r>
      <w:r w:rsidR="00B92304" w:rsidRPr="009D3DED">
        <w:rPr>
          <w:szCs w:val="22"/>
          <w:lang w:val="sk-SK"/>
        </w:rPr>
        <w:t>reakci</w:t>
      </w:r>
      <w:r w:rsidR="00561970" w:rsidRPr="009D3DED">
        <w:rPr>
          <w:szCs w:val="22"/>
          <w:lang w:val="sk-SK"/>
        </w:rPr>
        <w:t>í</w:t>
      </w:r>
      <w:r w:rsidR="00B92304" w:rsidRPr="009D3DED">
        <w:rPr>
          <w:szCs w:val="22"/>
          <w:lang w:val="sk-SK"/>
        </w:rPr>
        <w:t xml:space="preserve"> z precitlivenosti </w:t>
      </w:r>
      <w:r w:rsidR="006B40E6">
        <w:rPr>
          <w:szCs w:val="22"/>
          <w:lang w:val="sk-SK"/>
        </w:rPr>
        <w:t>aj</w:t>
      </w:r>
      <w:r w:rsidRPr="009D3DED">
        <w:rPr>
          <w:szCs w:val="22"/>
          <w:lang w:val="sk-SK"/>
        </w:rPr>
        <w:t xml:space="preserve"> na ibuprofén</w:t>
      </w:r>
    </w:p>
    <w:p w14:paraId="5DBBF6BC" w14:textId="589C13BC" w:rsidR="00547992" w:rsidRPr="009D3DED" w:rsidRDefault="00EA76E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D3DED">
        <w:rPr>
          <w:szCs w:val="22"/>
          <w:lang w:val="sk-SK"/>
        </w:rPr>
        <w:lastRenderedPageBreak/>
        <w:t xml:space="preserve">u pacientov so sennou nádchou, nosovými polypmi alebo chronickou obštrukčnou </w:t>
      </w:r>
      <w:r w:rsidR="006B40E6">
        <w:rPr>
          <w:szCs w:val="22"/>
          <w:lang w:val="sk-SK"/>
        </w:rPr>
        <w:t>chorobou</w:t>
      </w:r>
      <w:r w:rsidR="006B40E6" w:rsidRPr="009D3DED">
        <w:rPr>
          <w:szCs w:val="22"/>
          <w:lang w:val="sk-SK"/>
        </w:rPr>
        <w:t xml:space="preserve"> </w:t>
      </w:r>
      <w:r w:rsidRPr="009D3DED">
        <w:rPr>
          <w:szCs w:val="22"/>
          <w:lang w:val="sk-SK"/>
        </w:rPr>
        <w:t>p</w:t>
      </w:r>
      <w:r w:rsidR="006B40E6">
        <w:rPr>
          <w:szCs w:val="22"/>
          <w:lang w:val="sk-SK"/>
        </w:rPr>
        <w:t>ľúc</w:t>
      </w:r>
      <w:r w:rsidRPr="009D3DED">
        <w:rPr>
          <w:szCs w:val="22"/>
          <w:lang w:val="sk-SK"/>
        </w:rPr>
        <w:t>, pretože u týchto pacientov je prítomné zvýšené riziko alergických reakcií. Tie sa môžu prejaviť ako astmatické záchvaty (tzv. analgetická astma), Quinckeho edém alebo žihľavka</w:t>
      </w:r>
      <w:r w:rsidR="00547992" w:rsidRPr="009D3DED">
        <w:rPr>
          <w:szCs w:val="22"/>
          <w:lang w:val="sk-SK"/>
        </w:rPr>
        <w:t>.</w:t>
      </w:r>
    </w:p>
    <w:p w14:paraId="0EF5796B" w14:textId="77777777" w:rsidR="00B44E10" w:rsidRPr="009D3DED" w:rsidRDefault="00B44E10">
      <w:pPr>
        <w:rPr>
          <w:szCs w:val="22"/>
          <w:lang w:val="sk-SK"/>
        </w:rPr>
      </w:pPr>
    </w:p>
    <w:p w14:paraId="7A3FBFA8" w14:textId="77777777" w:rsidR="00547992" w:rsidRPr="009D3DED" w:rsidRDefault="0035012C">
      <w:pPr>
        <w:tabs>
          <w:tab w:val="clear" w:pos="567"/>
        </w:tabs>
        <w:spacing w:line="240" w:lineRule="auto"/>
        <w:rPr>
          <w:bCs/>
          <w:i/>
          <w:iCs/>
          <w:szCs w:val="22"/>
          <w:lang w:val="sk-SK"/>
        </w:rPr>
      </w:pPr>
      <w:r w:rsidRPr="009D3DED">
        <w:rPr>
          <w:bCs/>
          <w:i/>
          <w:iCs/>
          <w:szCs w:val="22"/>
          <w:lang w:val="sk-SK"/>
        </w:rPr>
        <w:t>Gastrointestináln</w:t>
      </w:r>
      <w:r w:rsidR="00EA76EB" w:rsidRPr="009D3DED">
        <w:rPr>
          <w:bCs/>
          <w:i/>
          <w:iCs/>
          <w:szCs w:val="22"/>
          <w:lang w:val="sk-SK"/>
        </w:rPr>
        <w:t>e</w:t>
      </w:r>
      <w:r w:rsidRPr="009D3DED">
        <w:rPr>
          <w:bCs/>
          <w:i/>
          <w:iCs/>
          <w:szCs w:val="22"/>
          <w:lang w:val="sk-SK"/>
        </w:rPr>
        <w:t xml:space="preserve"> (GI) účinky</w:t>
      </w:r>
    </w:p>
    <w:p w14:paraId="7AA87C4D" w14:textId="76ADFCDE" w:rsidR="00664276" w:rsidRPr="009D3DED" w:rsidRDefault="00EA76EB">
      <w:pPr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Súbežné užitie </w:t>
      </w:r>
      <w:r w:rsidR="005A15DF" w:rsidRPr="009D3DED">
        <w:rPr>
          <w:szCs w:val="22"/>
          <w:lang w:val="sk-SK"/>
        </w:rPr>
        <w:t>Ibalgin</w:t>
      </w:r>
      <w:r w:rsidR="006B40E6">
        <w:rPr>
          <w:szCs w:val="22"/>
          <w:lang w:val="sk-SK"/>
        </w:rPr>
        <w:t>u</w:t>
      </w:r>
      <w:r w:rsidR="005A15DF" w:rsidRPr="009D3DED">
        <w:rPr>
          <w:szCs w:val="22"/>
          <w:lang w:val="sk-SK"/>
        </w:rPr>
        <w:t xml:space="preserve"> Plus </w:t>
      </w:r>
      <w:r w:rsidRPr="009D3DED">
        <w:rPr>
          <w:szCs w:val="22"/>
          <w:lang w:val="sk-SK"/>
        </w:rPr>
        <w:t>a NSAID, vrátane selektívnych inhibítorov cyklooxygenázy-2, zvyšuje riziko nežiaducich účinkov (pozri časť 4.5) a je potrebné sa mu vyhnúť</w:t>
      </w:r>
      <w:r w:rsidR="00664276" w:rsidRPr="009D3DED">
        <w:rPr>
          <w:szCs w:val="22"/>
          <w:lang w:val="sk-SK"/>
        </w:rPr>
        <w:t>.</w:t>
      </w:r>
    </w:p>
    <w:p w14:paraId="2CB581F2" w14:textId="77777777" w:rsidR="00664276" w:rsidRPr="009D3DED" w:rsidRDefault="00664276">
      <w:pPr>
        <w:rPr>
          <w:szCs w:val="22"/>
          <w:lang w:val="sk-SK"/>
        </w:rPr>
      </w:pPr>
    </w:p>
    <w:p w14:paraId="4A46F103" w14:textId="77777777" w:rsidR="00664276" w:rsidRPr="009D3DED" w:rsidRDefault="00EA76EB">
      <w:pPr>
        <w:rPr>
          <w:szCs w:val="22"/>
          <w:lang w:val="sk-SK"/>
        </w:rPr>
      </w:pPr>
      <w:r w:rsidRPr="009D3DED">
        <w:rPr>
          <w:szCs w:val="22"/>
          <w:lang w:val="sk-SK"/>
        </w:rPr>
        <w:t>Gastrointestinálne krvácanie, ulcerácia alebo perforácia, ktoré môžu byť fatálne, boli hlásené pri všetkých NSAID kedykoľvek počas liečby, s varovnými príznakmi alebo bez nich a s výskytom alebo bez výskytu závažných GI príhod v anamnéze</w:t>
      </w:r>
      <w:r w:rsidR="00664276" w:rsidRPr="009D3DED">
        <w:rPr>
          <w:szCs w:val="22"/>
          <w:lang w:val="sk-SK"/>
        </w:rPr>
        <w:t>.</w:t>
      </w:r>
    </w:p>
    <w:p w14:paraId="1E98E09A" w14:textId="77777777" w:rsidR="00664276" w:rsidRPr="009D3DED" w:rsidRDefault="00EA76EB">
      <w:pPr>
        <w:rPr>
          <w:szCs w:val="22"/>
          <w:lang w:val="sk-SK"/>
        </w:rPr>
      </w:pPr>
      <w:r w:rsidRPr="009D3DED">
        <w:rPr>
          <w:szCs w:val="22"/>
          <w:lang w:val="sk-SK"/>
        </w:rPr>
        <w:t>Ak u pacientov liečených ibuprofénom dôjde ku krvácaniu alebo ulcerácii v gastrointestinálnom trakte, odporúča sa liečbu ukončiť</w:t>
      </w:r>
      <w:r w:rsidR="00664276" w:rsidRPr="009D3DED">
        <w:rPr>
          <w:szCs w:val="22"/>
          <w:lang w:val="sk-SK"/>
        </w:rPr>
        <w:t>.</w:t>
      </w:r>
    </w:p>
    <w:p w14:paraId="69ED259F" w14:textId="77777777" w:rsidR="00664276" w:rsidRPr="009D3DED" w:rsidRDefault="00664276">
      <w:pPr>
        <w:rPr>
          <w:szCs w:val="22"/>
          <w:lang w:val="sk-SK"/>
        </w:rPr>
      </w:pPr>
    </w:p>
    <w:p w14:paraId="49C92F02" w14:textId="19FCFE4B" w:rsidR="00664276" w:rsidRPr="009D3DED" w:rsidRDefault="00EA76EB">
      <w:pPr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Riziko krvácania, ulcerácie alebo perforácie v gastrointestinálnom trakte sa zvyšuje so zvyšujúcimi </w:t>
      </w:r>
      <w:r w:rsidR="00B92304" w:rsidRPr="009D3DED">
        <w:rPr>
          <w:szCs w:val="22"/>
          <w:lang w:val="sk-SK"/>
        </w:rPr>
        <w:t xml:space="preserve">sa </w:t>
      </w:r>
      <w:r w:rsidRPr="009D3DED">
        <w:rPr>
          <w:szCs w:val="22"/>
          <w:lang w:val="sk-SK"/>
        </w:rPr>
        <w:t>dávkami NSAID, u pacientov s vredovým ochorením v anamnéze, najmä ak je komplikovan</w:t>
      </w:r>
      <w:r w:rsidR="00B92304" w:rsidRPr="009D3DED">
        <w:rPr>
          <w:szCs w:val="22"/>
          <w:lang w:val="sk-SK"/>
        </w:rPr>
        <w:t>é</w:t>
      </w:r>
      <w:r w:rsidRPr="009D3DED">
        <w:rPr>
          <w:szCs w:val="22"/>
          <w:lang w:val="sk-SK"/>
        </w:rPr>
        <w:t xml:space="preserve"> krvácaním alebo perforáciou a u starších osôb. U týchto pacientov je potrebné začať liečbu najnižšou dostupnou dávkou. U týchto pacientov a tiež u pacientov vyžadujúcich </w:t>
      </w:r>
      <w:r w:rsidR="000D47A6" w:rsidRPr="009D3DED">
        <w:rPr>
          <w:szCs w:val="22"/>
          <w:lang w:val="sk-SK"/>
        </w:rPr>
        <w:t>súbežné podávanie</w:t>
      </w:r>
      <w:r w:rsidRPr="009D3DED">
        <w:rPr>
          <w:szCs w:val="22"/>
          <w:lang w:val="sk-SK"/>
        </w:rPr>
        <w:t xml:space="preserve"> nízk</w:t>
      </w:r>
      <w:r w:rsidR="000D47A6" w:rsidRPr="009D3DED">
        <w:rPr>
          <w:szCs w:val="22"/>
          <w:lang w:val="sk-SK"/>
        </w:rPr>
        <w:t>ych</w:t>
      </w:r>
      <w:r w:rsidRPr="009D3DED">
        <w:rPr>
          <w:szCs w:val="22"/>
          <w:lang w:val="sk-SK"/>
        </w:rPr>
        <w:t xml:space="preserve"> dáv</w:t>
      </w:r>
      <w:r w:rsidR="000D47A6" w:rsidRPr="009D3DED">
        <w:rPr>
          <w:szCs w:val="22"/>
          <w:lang w:val="sk-SK"/>
        </w:rPr>
        <w:t>ok</w:t>
      </w:r>
      <w:r w:rsidRPr="009D3DED">
        <w:rPr>
          <w:szCs w:val="22"/>
          <w:lang w:val="sk-SK"/>
        </w:rPr>
        <w:t xml:space="preserve"> kyseliny acetylsalicylovej alebo iných liekov, ktoré pravdepodobne zvyšujú gastrointestinálne riziko (pozri časť 4.5), sa má zvážiť kombinovaná liečba použitím ochranných liekov (napr. mi</w:t>
      </w:r>
      <w:r w:rsidR="004F1300">
        <w:rPr>
          <w:szCs w:val="22"/>
          <w:lang w:val="sk-SK"/>
        </w:rPr>
        <w:t>z</w:t>
      </w:r>
      <w:r w:rsidRPr="009D3DED">
        <w:rPr>
          <w:szCs w:val="22"/>
          <w:lang w:val="sk-SK"/>
        </w:rPr>
        <w:t>oprostol alebo inhibítory protónovej pumpy</w:t>
      </w:r>
      <w:r w:rsidR="009215E1" w:rsidRPr="009D3DED">
        <w:rPr>
          <w:szCs w:val="22"/>
          <w:lang w:val="sk-SK"/>
        </w:rPr>
        <w:t>)</w:t>
      </w:r>
      <w:r w:rsidR="00664276" w:rsidRPr="009D3DED">
        <w:rPr>
          <w:szCs w:val="22"/>
          <w:lang w:val="sk-SK"/>
        </w:rPr>
        <w:t>.</w:t>
      </w:r>
    </w:p>
    <w:p w14:paraId="461D4F4B" w14:textId="77777777" w:rsidR="00664276" w:rsidRPr="009D3DED" w:rsidRDefault="00664276">
      <w:pPr>
        <w:rPr>
          <w:szCs w:val="22"/>
          <w:lang w:val="sk-SK"/>
        </w:rPr>
      </w:pPr>
    </w:p>
    <w:p w14:paraId="6D77DBD7" w14:textId="64A02A0E" w:rsidR="00664276" w:rsidRPr="009D3DED" w:rsidRDefault="00EA76EB">
      <w:pPr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Pacienti musia byť poučení, že majú ihneď vysadiť liek a poradiť sa s lekárom, ak sa u nich vyskytne silná bolesť v hornej časti brucha alebo meléna </w:t>
      </w:r>
      <w:r w:rsidR="000D47A6" w:rsidRPr="009D3DED">
        <w:rPr>
          <w:szCs w:val="22"/>
          <w:lang w:val="sk-SK"/>
        </w:rPr>
        <w:t>či</w:t>
      </w:r>
      <w:r w:rsidRPr="009D3DED">
        <w:rPr>
          <w:szCs w:val="22"/>
          <w:lang w:val="sk-SK"/>
        </w:rPr>
        <w:t xml:space="preserve"> hemateméza. Pacienti s GI toxicitou v anamnéze, najmä starší pacienti, majú byť vyzvaní, aby hlásili všetky neobvyklé brušné príznaky (najmä gastrointestinálne krvácanie) v </w:t>
      </w:r>
      <w:r w:rsidR="00BB4839">
        <w:rPr>
          <w:szCs w:val="22"/>
          <w:lang w:val="sk-SK"/>
        </w:rPr>
        <w:t>za</w:t>
      </w:r>
      <w:r w:rsidRPr="009D3DED">
        <w:rPr>
          <w:szCs w:val="22"/>
          <w:lang w:val="sk-SK"/>
        </w:rPr>
        <w:t xml:space="preserve">čiatočných </w:t>
      </w:r>
      <w:r w:rsidR="00BB4839">
        <w:rPr>
          <w:szCs w:val="22"/>
          <w:lang w:val="sk-SK"/>
        </w:rPr>
        <w:t>fázach</w:t>
      </w:r>
      <w:r w:rsidR="00BB4839" w:rsidRPr="009D3DED">
        <w:rPr>
          <w:szCs w:val="22"/>
          <w:lang w:val="sk-SK"/>
        </w:rPr>
        <w:t xml:space="preserve"> </w:t>
      </w:r>
      <w:r w:rsidRPr="009D3DED">
        <w:rPr>
          <w:szCs w:val="22"/>
          <w:lang w:val="sk-SK"/>
        </w:rPr>
        <w:t>liečby</w:t>
      </w:r>
      <w:r w:rsidR="00664276" w:rsidRPr="009D3DED">
        <w:rPr>
          <w:szCs w:val="22"/>
          <w:lang w:val="sk-SK"/>
        </w:rPr>
        <w:t>.</w:t>
      </w:r>
    </w:p>
    <w:p w14:paraId="2A39C104" w14:textId="77777777" w:rsidR="00664276" w:rsidRPr="009D3DED" w:rsidRDefault="00664276">
      <w:pPr>
        <w:rPr>
          <w:szCs w:val="22"/>
          <w:lang w:val="sk-SK"/>
        </w:rPr>
      </w:pPr>
    </w:p>
    <w:p w14:paraId="04AE7E50" w14:textId="6F7A3D9D" w:rsidR="00664276" w:rsidRPr="009D3DED" w:rsidRDefault="00EA76EB">
      <w:pPr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U pacientov </w:t>
      </w:r>
      <w:r w:rsidR="000D47A6" w:rsidRPr="009D3DED">
        <w:rPr>
          <w:szCs w:val="22"/>
          <w:lang w:val="sk-SK"/>
        </w:rPr>
        <w:t xml:space="preserve">súbežne </w:t>
      </w:r>
      <w:r w:rsidRPr="009D3DED">
        <w:rPr>
          <w:szCs w:val="22"/>
          <w:lang w:val="sk-SK"/>
        </w:rPr>
        <w:t>užívajúcich lieky, ktoré by mohli zvýšiť riziko ulcerácie alebo krvácania, ako sú perorálne kortikosteroidy, antikoagulanciá, ako napr. warfarín, selektívne inhibítory spätného vychytávania s</w:t>
      </w:r>
      <w:r w:rsidR="00B55762">
        <w:rPr>
          <w:szCs w:val="22"/>
          <w:lang w:val="sk-SK"/>
        </w:rPr>
        <w:t>é</w:t>
      </w:r>
      <w:r w:rsidRPr="009D3DED">
        <w:rPr>
          <w:szCs w:val="22"/>
          <w:lang w:val="sk-SK"/>
        </w:rPr>
        <w:t xml:space="preserve">rotonínu alebo </w:t>
      </w:r>
      <w:r w:rsidR="00B6548A">
        <w:rPr>
          <w:szCs w:val="22"/>
          <w:lang w:val="sk-SK"/>
        </w:rPr>
        <w:t>antitrombotiká</w:t>
      </w:r>
      <w:r w:rsidRPr="009D3DED">
        <w:rPr>
          <w:szCs w:val="22"/>
          <w:lang w:val="sk-SK"/>
        </w:rPr>
        <w:t xml:space="preserve">, ako je kyselina acetylsalicylová, je potrebná zvýšená opatrnosť (pozri časť </w:t>
      </w:r>
      <w:r w:rsidR="00664276" w:rsidRPr="009D3DED">
        <w:rPr>
          <w:szCs w:val="22"/>
          <w:lang w:val="sk-SK"/>
        </w:rPr>
        <w:t>4.5).</w:t>
      </w:r>
    </w:p>
    <w:p w14:paraId="35307DF5" w14:textId="77777777" w:rsidR="00664276" w:rsidRPr="009D3DED" w:rsidRDefault="00664276">
      <w:pPr>
        <w:rPr>
          <w:szCs w:val="22"/>
          <w:lang w:val="sk-SK"/>
        </w:rPr>
      </w:pPr>
    </w:p>
    <w:p w14:paraId="205CF101" w14:textId="0E477565" w:rsidR="00547992" w:rsidRPr="009D3DED" w:rsidRDefault="00EA76EB">
      <w:pPr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NSAID by </w:t>
      </w:r>
      <w:r w:rsidR="00923447" w:rsidRPr="009D3DED">
        <w:rPr>
          <w:szCs w:val="22"/>
          <w:lang w:val="sk-SK"/>
        </w:rPr>
        <w:t xml:space="preserve">sa </w:t>
      </w:r>
      <w:r w:rsidRPr="009D3DED">
        <w:rPr>
          <w:szCs w:val="22"/>
          <w:lang w:val="sk-SK"/>
        </w:rPr>
        <w:t>mali podáva</w:t>
      </w:r>
      <w:r w:rsidR="00923447" w:rsidRPr="009D3DED">
        <w:rPr>
          <w:szCs w:val="22"/>
          <w:lang w:val="sk-SK"/>
        </w:rPr>
        <w:t>ť</w:t>
      </w:r>
      <w:r w:rsidRPr="009D3DED">
        <w:rPr>
          <w:szCs w:val="22"/>
          <w:lang w:val="sk-SK"/>
        </w:rPr>
        <w:t xml:space="preserve"> s opatrnosťou pacientom, ktorí majú v anamnéze GI ochorenia (napr. ulcerózn</w:t>
      </w:r>
      <w:r w:rsidR="002B359A">
        <w:rPr>
          <w:szCs w:val="22"/>
          <w:lang w:val="sk-SK"/>
        </w:rPr>
        <w:t>u</w:t>
      </w:r>
      <w:r w:rsidRPr="009D3DED">
        <w:rPr>
          <w:szCs w:val="22"/>
          <w:lang w:val="sk-SK"/>
        </w:rPr>
        <w:t xml:space="preserve"> kolitíd</w:t>
      </w:r>
      <w:r w:rsidR="002B359A">
        <w:rPr>
          <w:szCs w:val="22"/>
          <w:lang w:val="sk-SK"/>
        </w:rPr>
        <w:t>u</w:t>
      </w:r>
      <w:r w:rsidRPr="009D3DED">
        <w:rPr>
          <w:szCs w:val="22"/>
          <w:lang w:val="sk-SK"/>
        </w:rPr>
        <w:t>, Crohnov</w:t>
      </w:r>
      <w:r w:rsidR="002B359A">
        <w:rPr>
          <w:szCs w:val="22"/>
          <w:lang w:val="sk-SK"/>
        </w:rPr>
        <w:t>u</w:t>
      </w:r>
      <w:r w:rsidRPr="009D3DED">
        <w:rPr>
          <w:szCs w:val="22"/>
          <w:lang w:val="sk-SK"/>
        </w:rPr>
        <w:t xml:space="preserve"> chorob</w:t>
      </w:r>
      <w:r w:rsidR="002B359A">
        <w:rPr>
          <w:szCs w:val="22"/>
          <w:lang w:val="sk-SK"/>
        </w:rPr>
        <w:t>u</w:t>
      </w:r>
      <w:r w:rsidRPr="009D3DED">
        <w:rPr>
          <w:szCs w:val="22"/>
          <w:lang w:val="sk-SK"/>
        </w:rPr>
        <w:t>), pretože u nich môže dôjsť k zhoršeniu stavu</w:t>
      </w:r>
      <w:r w:rsidR="00664276" w:rsidRPr="009D3DED">
        <w:rPr>
          <w:szCs w:val="22"/>
          <w:lang w:val="sk-SK"/>
        </w:rPr>
        <w:t xml:space="preserve"> (</w:t>
      </w:r>
      <w:r w:rsidR="00542E76" w:rsidRPr="009D3DED">
        <w:rPr>
          <w:szCs w:val="22"/>
          <w:lang w:val="sk-SK"/>
        </w:rPr>
        <w:t>pozri časť</w:t>
      </w:r>
      <w:r w:rsidR="00664276" w:rsidRPr="009D3DED">
        <w:rPr>
          <w:szCs w:val="22"/>
          <w:lang w:val="sk-SK"/>
        </w:rPr>
        <w:t xml:space="preserve"> 4.8)</w:t>
      </w:r>
      <w:r w:rsidR="00547992" w:rsidRPr="009D3DED">
        <w:rPr>
          <w:szCs w:val="22"/>
          <w:lang w:val="sk-SK"/>
        </w:rPr>
        <w:t xml:space="preserve">. </w:t>
      </w:r>
    </w:p>
    <w:p w14:paraId="28967467" w14:textId="77777777" w:rsidR="00547992" w:rsidRPr="009D3DED" w:rsidRDefault="00547992">
      <w:pPr>
        <w:rPr>
          <w:szCs w:val="22"/>
          <w:lang w:val="sk-SK"/>
        </w:rPr>
      </w:pPr>
    </w:p>
    <w:p w14:paraId="2EFC605F" w14:textId="77777777" w:rsidR="00547992" w:rsidRPr="009D3DED" w:rsidRDefault="009215E1">
      <w:pPr>
        <w:tabs>
          <w:tab w:val="clear" w:pos="567"/>
        </w:tabs>
        <w:spacing w:line="240" w:lineRule="auto"/>
        <w:rPr>
          <w:bCs/>
          <w:i/>
          <w:iCs/>
          <w:szCs w:val="22"/>
          <w:lang w:val="sk-SK"/>
        </w:rPr>
      </w:pPr>
      <w:r w:rsidRPr="009D3DED">
        <w:rPr>
          <w:bCs/>
          <w:i/>
          <w:iCs/>
          <w:szCs w:val="22"/>
          <w:lang w:val="sk-SK"/>
        </w:rPr>
        <w:t xml:space="preserve">Závažné </w:t>
      </w:r>
      <w:r w:rsidR="00E27048" w:rsidRPr="009D3DED">
        <w:rPr>
          <w:bCs/>
          <w:i/>
          <w:iCs/>
          <w:szCs w:val="22"/>
          <w:lang w:val="sk-SK"/>
        </w:rPr>
        <w:t>kožn</w:t>
      </w:r>
      <w:r w:rsidR="00EA76EB" w:rsidRPr="009D3DED">
        <w:rPr>
          <w:bCs/>
          <w:i/>
          <w:iCs/>
          <w:szCs w:val="22"/>
          <w:lang w:val="sk-SK"/>
        </w:rPr>
        <w:t>é</w:t>
      </w:r>
      <w:r w:rsidR="00E27048" w:rsidRPr="009D3DED">
        <w:rPr>
          <w:bCs/>
          <w:i/>
          <w:iCs/>
          <w:szCs w:val="22"/>
          <w:lang w:val="sk-SK"/>
        </w:rPr>
        <w:t xml:space="preserve"> reakc</w:t>
      </w:r>
      <w:r w:rsidR="00EA76EB" w:rsidRPr="009D3DED">
        <w:rPr>
          <w:bCs/>
          <w:i/>
          <w:iCs/>
          <w:szCs w:val="22"/>
          <w:lang w:val="sk-SK"/>
        </w:rPr>
        <w:t>i</w:t>
      </w:r>
      <w:r w:rsidR="00E27048" w:rsidRPr="009D3DED">
        <w:rPr>
          <w:bCs/>
          <w:i/>
          <w:iCs/>
          <w:szCs w:val="22"/>
          <w:lang w:val="sk-SK"/>
        </w:rPr>
        <w:t>e</w:t>
      </w:r>
    </w:p>
    <w:p w14:paraId="2309E4E5" w14:textId="078C840D" w:rsidR="00785B5F" w:rsidRPr="009D3DED" w:rsidRDefault="00546EE8">
      <w:pPr>
        <w:rPr>
          <w:szCs w:val="22"/>
          <w:lang w:val="sk-SK"/>
        </w:rPr>
      </w:pPr>
      <w:r w:rsidRPr="009D3DED">
        <w:rPr>
          <w:szCs w:val="22"/>
          <w:lang w:val="sk-SK"/>
        </w:rPr>
        <w:t>V súvislosti s použitím NSAID boli veľmi zriedkavo hlásené závažné kožné reakcie, vrátane exfoliatívnej dermatitídy, Steven</w:t>
      </w:r>
      <w:r w:rsidR="00823BE6" w:rsidRPr="009D3DED">
        <w:rPr>
          <w:szCs w:val="22"/>
          <w:lang w:val="sk-SK"/>
        </w:rPr>
        <w:t>s</w:t>
      </w:r>
      <w:r w:rsidR="004F1300">
        <w:rPr>
          <w:szCs w:val="22"/>
          <w:lang w:val="sk-SK"/>
        </w:rPr>
        <w:t>ovho</w:t>
      </w:r>
      <w:r w:rsidRPr="009D3DED">
        <w:rPr>
          <w:szCs w:val="22"/>
          <w:lang w:val="sk-SK"/>
        </w:rPr>
        <w:t xml:space="preserve">-Johnsonovho syndrómu a toxickej epidermálnej nekrolýzy (pozri časť 4.8), z ktorých niektoré mali fatálne následky. </w:t>
      </w:r>
      <w:r w:rsidR="004F1300">
        <w:rPr>
          <w:szCs w:val="22"/>
          <w:lang w:val="sk-SK"/>
        </w:rPr>
        <w:t>Predpokladá</w:t>
      </w:r>
      <w:r w:rsidRPr="009D3DED">
        <w:rPr>
          <w:szCs w:val="22"/>
          <w:lang w:val="sk-SK"/>
        </w:rPr>
        <w:t xml:space="preserve"> sa, že u pacientov je najvyššie riziko týchto reakcií skoro na začiatku liečby, pričom k nástupu reakcie dochádza vo väčšine prípadov počas prvého mesiaca liečby. V súvislosti s </w:t>
      </w:r>
      <w:r w:rsidR="003F28DB">
        <w:rPr>
          <w:szCs w:val="22"/>
          <w:lang w:val="sk-SK"/>
        </w:rPr>
        <w:t>liekmi</w:t>
      </w:r>
      <w:r w:rsidR="003F28DB" w:rsidRPr="009D3DED">
        <w:rPr>
          <w:szCs w:val="22"/>
          <w:lang w:val="sk-SK"/>
        </w:rPr>
        <w:t xml:space="preserve"> </w:t>
      </w:r>
      <w:r w:rsidRPr="009D3DED">
        <w:rPr>
          <w:szCs w:val="22"/>
          <w:lang w:val="sk-SK"/>
        </w:rPr>
        <w:t xml:space="preserve">obsahujúcimi ibuprofén bola hlásená akútna generalizovaná exantematózna pustulóza </w:t>
      </w:r>
      <w:r w:rsidR="003007FD" w:rsidRPr="009D3DED">
        <w:rPr>
          <w:szCs w:val="22"/>
          <w:lang w:val="sk-SK"/>
        </w:rPr>
        <w:t xml:space="preserve">(AGEP). Liečbu </w:t>
      </w:r>
      <w:r w:rsidR="005A15DF" w:rsidRPr="009D3DED">
        <w:rPr>
          <w:szCs w:val="22"/>
          <w:lang w:val="sk-SK"/>
        </w:rPr>
        <w:t>Ibalgin</w:t>
      </w:r>
      <w:r w:rsidR="003F28DB">
        <w:rPr>
          <w:szCs w:val="22"/>
          <w:lang w:val="sk-SK"/>
        </w:rPr>
        <w:t>om</w:t>
      </w:r>
      <w:r w:rsidR="005A15DF" w:rsidRPr="009D3DED">
        <w:rPr>
          <w:szCs w:val="22"/>
          <w:lang w:val="sk-SK"/>
        </w:rPr>
        <w:t xml:space="preserve"> Plus </w:t>
      </w:r>
      <w:r w:rsidRPr="009D3DED">
        <w:rPr>
          <w:szCs w:val="22"/>
          <w:lang w:val="sk-SK"/>
        </w:rPr>
        <w:t xml:space="preserve">je preto potrebné </w:t>
      </w:r>
      <w:r w:rsidR="003F28DB">
        <w:rPr>
          <w:szCs w:val="22"/>
          <w:lang w:val="sk-SK"/>
        </w:rPr>
        <w:t>ukončiť</w:t>
      </w:r>
      <w:r w:rsidR="003F28DB" w:rsidRPr="009D3DED">
        <w:rPr>
          <w:szCs w:val="22"/>
          <w:lang w:val="sk-SK"/>
        </w:rPr>
        <w:t xml:space="preserve"> </w:t>
      </w:r>
      <w:r w:rsidRPr="009D3DED">
        <w:rPr>
          <w:szCs w:val="22"/>
          <w:lang w:val="sk-SK"/>
        </w:rPr>
        <w:t xml:space="preserve">pri prvom výskyte kožných vyrážok, </w:t>
      </w:r>
      <w:r w:rsidR="00A472F7" w:rsidRPr="009D3DED">
        <w:rPr>
          <w:szCs w:val="22"/>
          <w:lang w:val="sk-SK"/>
        </w:rPr>
        <w:t>slizničných</w:t>
      </w:r>
      <w:r w:rsidRPr="009D3DED">
        <w:rPr>
          <w:szCs w:val="22"/>
          <w:lang w:val="sk-SK"/>
        </w:rPr>
        <w:t xml:space="preserve"> lézií alebo iných </w:t>
      </w:r>
      <w:r w:rsidR="003F28DB">
        <w:rPr>
          <w:szCs w:val="22"/>
          <w:lang w:val="sk-SK"/>
        </w:rPr>
        <w:t>prejavoch</w:t>
      </w:r>
      <w:r w:rsidRPr="009D3DED">
        <w:rPr>
          <w:szCs w:val="22"/>
          <w:lang w:val="sk-SK"/>
        </w:rPr>
        <w:t xml:space="preserve"> precitlivenosti</w:t>
      </w:r>
      <w:r w:rsidR="00785B5F" w:rsidRPr="009D3DED">
        <w:rPr>
          <w:szCs w:val="22"/>
          <w:lang w:val="sk-SK"/>
        </w:rPr>
        <w:t>.</w:t>
      </w:r>
    </w:p>
    <w:p w14:paraId="4D9EEA80" w14:textId="77777777" w:rsidR="00785B5F" w:rsidRPr="009D3DED" w:rsidRDefault="00785B5F">
      <w:pPr>
        <w:rPr>
          <w:szCs w:val="22"/>
          <w:lang w:val="sk-SK"/>
        </w:rPr>
      </w:pPr>
    </w:p>
    <w:p w14:paraId="64970B03" w14:textId="3EDDE565" w:rsidR="00547992" w:rsidRPr="009D3DED" w:rsidRDefault="00535785">
      <w:pPr>
        <w:rPr>
          <w:szCs w:val="22"/>
          <w:lang w:val="sk-SK"/>
        </w:rPr>
      </w:pPr>
      <w:r w:rsidRPr="009D3DED">
        <w:rPr>
          <w:szCs w:val="22"/>
          <w:lang w:val="sk-SK"/>
        </w:rPr>
        <w:t>Výskyt varicel</w:t>
      </w:r>
      <w:r w:rsidR="005C53F7" w:rsidRPr="009D3DED">
        <w:rPr>
          <w:szCs w:val="22"/>
          <w:lang w:val="sk-SK"/>
        </w:rPr>
        <w:t>y</w:t>
      </w:r>
      <w:r w:rsidRPr="009D3DED">
        <w:rPr>
          <w:szCs w:val="22"/>
          <w:lang w:val="sk-SK"/>
        </w:rPr>
        <w:t xml:space="preserve"> môže byť vo výnimočných prípadoch spojený so vznikom závažných infekčných komplikácií kože a mäkkých tkanív. Vzhľadom na potenciál NSAID zhoršovať tieto</w:t>
      </w:r>
      <w:r w:rsidR="00A472F7" w:rsidRPr="009D3DED">
        <w:rPr>
          <w:szCs w:val="22"/>
          <w:lang w:val="sk-SK"/>
        </w:rPr>
        <w:t xml:space="preserve"> infekcie je vhodné vyhnúť sa užívaniu</w:t>
      </w:r>
      <w:r w:rsidRPr="009D3DED">
        <w:rPr>
          <w:szCs w:val="22"/>
          <w:lang w:val="sk-SK"/>
        </w:rPr>
        <w:t xml:space="preserve"> ibuprofénu v prípade </w:t>
      </w:r>
      <w:r w:rsidR="003F28DB">
        <w:rPr>
          <w:szCs w:val="22"/>
          <w:lang w:val="sk-SK"/>
        </w:rPr>
        <w:t xml:space="preserve">infekcie </w:t>
      </w:r>
      <w:r w:rsidR="009215E1" w:rsidRPr="009D3DED">
        <w:rPr>
          <w:szCs w:val="22"/>
          <w:lang w:val="sk-SK"/>
        </w:rPr>
        <w:t>varicelou</w:t>
      </w:r>
      <w:r w:rsidR="00547992" w:rsidRPr="009D3DED">
        <w:rPr>
          <w:szCs w:val="22"/>
          <w:lang w:val="sk-SK"/>
        </w:rPr>
        <w:t>.</w:t>
      </w:r>
    </w:p>
    <w:p w14:paraId="118E5C1E" w14:textId="77777777" w:rsidR="00547992" w:rsidRPr="009D3DED" w:rsidRDefault="00547992">
      <w:pPr>
        <w:rPr>
          <w:szCs w:val="22"/>
          <w:lang w:val="sk-SK"/>
        </w:rPr>
      </w:pPr>
    </w:p>
    <w:p w14:paraId="1D709F33" w14:textId="77777777" w:rsidR="00547992" w:rsidRPr="009D3DED" w:rsidRDefault="00535785">
      <w:pPr>
        <w:tabs>
          <w:tab w:val="clear" w:pos="567"/>
        </w:tabs>
        <w:spacing w:line="240" w:lineRule="auto"/>
        <w:rPr>
          <w:bCs/>
          <w:i/>
          <w:iCs/>
          <w:color w:val="000000" w:themeColor="text1"/>
          <w:szCs w:val="22"/>
          <w:lang w:val="sk-SK"/>
        </w:rPr>
      </w:pPr>
      <w:r w:rsidRPr="009D3DED">
        <w:rPr>
          <w:bCs/>
          <w:i/>
          <w:iCs/>
          <w:color w:val="000000" w:themeColor="text1"/>
          <w:szCs w:val="22"/>
          <w:lang w:val="sk-SK"/>
        </w:rPr>
        <w:t>Kardiovaskulárne</w:t>
      </w:r>
      <w:r w:rsidR="00E27048" w:rsidRPr="009D3DED">
        <w:rPr>
          <w:bCs/>
          <w:i/>
          <w:iCs/>
          <w:color w:val="000000" w:themeColor="text1"/>
          <w:szCs w:val="22"/>
          <w:lang w:val="sk-SK"/>
        </w:rPr>
        <w:t xml:space="preserve"> a</w:t>
      </w:r>
      <w:r w:rsidRPr="009D3DED">
        <w:rPr>
          <w:bCs/>
          <w:i/>
          <w:iCs/>
          <w:color w:val="000000" w:themeColor="text1"/>
          <w:szCs w:val="22"/>
          <w:lang w:val="sk-SK"/>
        </w:rPr>
        <w:t> </w:t>
      </w:r>
      <w:r w:rsidR="00E27048" w:rsidRPr="009D3DED">
        <w:rPr>
          <w:bCs/>
          <w:i/>
          <w:iCs/>
          <w:color w:val="000000" w:themeColor="text1"/>
          <w:szCs w:val="22"/>
          <w:lang w:val="sk-SK"/>
        </w:rPr>
        <w:t>cerebrovaskulárn</w:t>
      </w:r>
      <w:r w:rsidRPr="009D3DED">
        <w:rPr>
          <w:bCs/>
          <w:i/>
          <w:iCs/>
          <w:color w:val="000000" w:themeColor="text1"/>
          <w:szCs w:val="22"/>
          <w:lang w:val="sk-SK"/>
        </w:rPr>
        <w:t>e</w:t>
      </w:r>
      <w:r w:rsidR="00E27048" w:rsidRPr="009D3DED">
        <w:rPr>
          <w:bCs/>
          <w:i/>
          <w:iCs/>
          <w:color w:val="000000" w:themeColor="text1"/>
          <w:szCs w:val="22"/>
          <w:lang w:val="sk-SK"/>
        </w:rPr>
        <w:t xml:space="preserve"> účinky</w:t>
      </w:r>
    </w:p>
    <w:p w14:paraId="04983921" w14:textId="21AAB25C" w:rsidR="00547992" w:rsidRPr="009D3DED" w:rsidRDefault="00535785">
      <w:pPr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U pacientov s hypertenziou </w:t>
      </w:r>
      <w:r w:rsidR="00A472F7" w:rsidRPr="009D3DED">
        <w:rPr>
          <w:szCs w:val="22"/>
          <w:lang w:val="sk-SK"/>
        </w:rPr>
        <w:t xml:space="preserve">a/alebo </w:t>
      </w:r>
      <w:r w:rsidRPr="009D3DED">
        <w:rPr>
          <w:szCs w:val="22"/>
          <w:lang w:val="sk-SK"/>
        </w:rPr>
        <w:t>zlyh</w:t>
      </w:r>
      <w:r w:rsidR="002710EF">
        <w:rPr>
          <w:szCs w:val="22"/>
          <w:lang w:val="sk-SK"/>
        </w:rPr>
        <w:t>ávaním srdca</w:t>
      </w:r>
      <w:r w:rsidRPr="009D3DED">
        <w:rPr>
          <w:szCs w:val="22"/>
          <w:lang w:val="sk-SK"/>
        </w:rPr>
        <w:t xml:space="preserve"> v anamnéze je potrebná zvýšená opatrnosť, pretože v súvislosti s liečbou NSAID bola hlásená retencia tekutín, hypertenzia a výskyt opuchov</w:t>
      </w:r>
      <w:r w:rsidR="00547992" w:rsidRPr="009D3DED">
        <w:rPr>
          <w:szCs w:val="22"/>
          <w:lang w:val="sk-SK"/>
        </w:rPr>
        <w:t xml:space="preserve">. </w:t>
      </w:r>
    </w:p>
    <w:p w14:paraId="5ED4530B" w14:textId="77777777" w:rsidR="00547992" w:rsidRPr="009D3DED" w:rsidRDefault="00547992">
      <w:pPr>
        <w:rPr>
          <w:szCs w:val="22"/>
          <w:lang w:val="sk-SK"/>
        </w:rPr>
      </w:pPr>
    </w:p>
    <w:p w14:paraId="1282C5B5" w14:textId="328A1E89" w:rsidR="0061142C" w:rsidRPr="009D3DED" w:rsidRDefault="00BB5941">
      <w:pPr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Klinické štúdie naznačujú, že </w:t>
      </w:r>
      <w:r w:rsidR="00F057AC" w:rsidRPr="009D3DED">
        <w:rPr>
          <w:szCs w:val="22"/>
          <w:lang w:val="sk-SK"/>
        </w:rPr>
        <w:t>podanie</w:t>
      </w:r>
      <w:r w:rsidRPr="009D3DED">
        <w:rPr>
          <w:szCs w:val="22"/>
          <w:lang w:val="sk-SK"/>
        </w:rPr>
        <w:t xml:space="preserve"> ibuprofénu, najmä vo vysokých dávkach (2</w:t>
      </w:r>
      <w:r w:rsidR="00D451BA">
        <w:rPr>
          <w:szCs w:val="22"/>
          <w:lang w:val="sk-SK"/>
        </w:rPr>
        <w:t xml:space="preserve"> </w:t>
      </w:r>
      <w:r w:rsidRPr="009D3DED">
        <w:rPr>
          <w:szCs w:val="22"/>
          <w:lang w:val="sk-SK"/>
        </w:rPr>
        <w:t>400 mg</w:t>
      </w:r>
      <w:r w:rsidR="00A472F7" w:rsidRPr="009D3DED">
        <w:rPr>
          <w:szCs w:val="22"/>
          <w:lang w:val="sk-SK"/>
        </w:rPr>
        <w:t>/</w:t>
      </w:r>
      <w:r w:rsidRPr="009D3DED">
        <w:rPr>
          <w:szCs w:val="22"/>
          <w:lang w:val="sk-SK"/>
        </w:rPr>
        <w:t>deň), môže byť spojené s mierne zvýšeným rizikom art</w:t>
      </w:r>
      <w:r w:rsidR="00880C68">
        <w:rPr>
          <w:szCs w:val="22"/>
          <w:lang w:val="sk-SK"/>
        </w:rPr>
        <w:t>ériových</w:t>
      </w:r>
      <w:r w:rsidRPr="009D3DED">
        <w:rPr>
          <w:szCs w:val="22"/>
          <w:lang w:val="sk-SK"/>
        </w:rPr>
        <w:t xml:space="preserve"> trombotických príhod (napríklad infarktu myokardu alebo </w:t>
      </w:r>
      <w:r w:rsidRPr="009D3DED">
        <w:rPr>
          <w:szCs w:val="22"/>
          <w:lang w:val="sk-SK"/>
        </w:rPr>
        <w:lastRenderedPageBreak/>
        <w:t>cievnej mozgovej príhody). Epidemiologické štúdie nenaznačujú</w:t>
      </w:r>
      <w:r w:rsidR="00F057AC" w:rsidRPr="009D3DED">
        <w:rPr>
          <w:szCs w:val="22"/>
          <w:lang w:val="sk-SK"/>
        </w:rPr>
        <w:t xml:space="preserve"> zvýšené riziko art</w:t>
      </w:r>
      <w:r w:rsidR="00880C68">
        <w:rPr>
          <w:szCs w:val="22"/>
          <w:lang w:val="sk-SK"/>
        </w:rPr>
        <w:t>ériových</w:t>
      </w:r>
      <w:r w:rsidR="00F057AC" w:rsidRPr="009D3DED">
        <w:rPr>
          <w:szCs w:val="22"/>
          <w:lang w:val="sk-SK"/>
        </w:rPr>
        <w:t xml:space="preserve"> trombotických príhod pri podaní </w:t>
      </w:r>
      <w:r w:rsidRPr="009D3DED">
        <w:rPr>
          <w:szCs w:val="22"/>
          <w:lang w:val="sk-SK"/>
        </w:rPr>
        <w:t>nízk</w:t>
      </w:r>
      <w:r w:rsidR="00F057AC" w:rsidRPr="009D3DED">
        <w:rPr>
          <w:szCs w:val="22"/>
          <w:lang w:val="sk-SK"/>
        </w:rPr>
        <w:t>ych dávok</w:t>
      </w:r>
      <w:r w:rsidRPr="009D3DED">
        <w:rPr>
          <w:szCs w:val="22"/>
          <w:lang w:val="sk-SK"/>
        </w:rPr>
        <w:t xml:space="preserve"> ibuprofénu (napr. </w:t>
      </w:r>
      <w:r w:rsidRPr="009D3DED">
        <w:rPr>
          <w:szCs w:val="22"/>
          <w:lang w:val="sk-SK"/>
        </w:rPr>
        <w:sym w:font="Symbol" w:char="F0A3"/>
      </w:r>
      <w:r w:rsidRPr="009D3DED">
        <w:rPr>
          <w:szCs w:val="22"/>
          <w:lang w:val="sk-SK"/>
        </w:rPr>
        <w:t> </w:t>
      </w:r>
      <w:r w:rsidR="000D47A6" w:rsidRPr="009D3DED">
        <w:rPr>
          <w:szCs w:val="22"/>
          <w:lang w:val="sk-SK"/>
        </w:rPr>
        <w:t>1</w:t>
      </w:r>
      <w:r w:rsidR="00D451BA">
        <w:rPr>
          <w:szCs w:val="22"/>
          <w:lang w:val="sk-SK"/>
        </w:rPr>
        <w:t xml:space="preserve"> </w:t>
      </w:r>
      <w:r w:rsidR="000D47A6" w:rsidRPr="009D3DED">
        <w:rPr>
          <w:szCs w:val="22"/>
          <w:lang w:val="sk-SK"/>
        </w:rPr>
        <w:t xml:space="preserve">200 </w:t>
      </w:r>
      <w:r w:rsidRPr="009D3DED">
        <w:rPr>
          <w:szCs w:val="22"/>
          <w:lang w:val="sk-SK"/>
        </w:rPr>
        <w:t xml:space="preserve">mg </w:t>
      </w:r>
      <w:r w:rsidR="00A472F7" w:rsidRPr="009D3DED">
        <w:rPr>
          <w:szCs w:val="22"/>
          <w:lang w:val="sk-SK"/>
        </w:rPr>
        <w:t>/</w:t>
      </w:r>
      <w:r w:rsidRPr="009D3DED">
        <w:rPr>
          <w:szCs w:val="22"/>
          <w:lang w:val="sk-SK"/>
        </w:rPr>
        <w:t>deň)</w:t>
      </w:r>
      <w:r w:rsidR="00F057AC" w:rsidRPr="009D3DED">
        <w:rPr>
          <w:szCs w:val="22"/>
          <w:lang w:val="sk-SK"/>
        </w:rPr>
        <w:t>.</w:t>
      </w:r>
    </w:p>
    <w:p w14:paraId="3DE77C22" w14:textId="77777777" w:rsidR="0061142C" w:rsidRPr="009D3DED" w:rsidRDefault="0061142C">
      <w:pPr>
        <w:rPr>
          <w:szCs w:val="22"/>
          <w:lang w:val="sk-SK"/>
        </w:rPr>
      </w:pPr>
    </w:p>
    <w:p w14:paraId="7491F3D9" w14:textId="60A69F9A" w:rsidR="0061142C" w:rsidRPr="009D3DED" w:rsidRDefault="00BB5941">
      <w:pPr>
        <w:rPr>
          <w:szCs w:val="22"/>
          <w:lang w:val="sk-SK"/>
        </w:rPr>
      </w:pPr>
      <w:r w:rsidRPr="009D3DED">
        <w:rPr>
          <w:szCs w:val="22"/>
          <w:lang w:val="sk-SK"/>
        </w:rPr>
        <w:t>Pacienti s nekontrolovanou hypertenziou, kongestívnym zlyh</w:t>
      </w:r>
      <w:r w:rsidR="002710EF">
        <w:rPr>
          <w:szCs w:val="22"/>
          <w:lang w:val="sk-SK"/>
        </w:rPr>
        <w:t>ávaním srdca</w:t>
      </w:r>
      <w:r w:rsidRPr="009D3DED">
        <w:rPr>
          <w:szCs w:val="22"/>
          <w:lang w:val="sk-SK"/>
        </w:rPr>
        <w:t xml:space="preserve"> (NYHA II-III), preukázanou ischemickou chorobou srdca, </w:t>
      </w:r>
      <w:r w:rsidR="00F057AC" w:rsidRPr="009D3DED">
        <w:rPr>
          <w:szCs w:val="22"/>
          <w:lang w:val="sk-SK"/>
        </w:rPr>
        <w:t xml:space="preserve">ochorením </w:t>
      </w:r>
      <w:r w:rsidRPr="009D3DED">
        <w:rPr>
          <w:szCs w:val="22"/>
          <w:lang w:val="sk-SK"/>
        </w:rPr>
        <w:t>periférn</w:t>
      </w:r>
      <w:r w:rsidR="00F80F72">
        <w:rPr>
          <w:szCs w:val="22"/>
          <w:lang w:val="sk-SK"/>
        </w:rPr>
        <w:t>ych ciev</w:t>
      </w:r>
      <w:r w:rsidRPr="009D3DED">
        <w:rPr>
          <w:szCs w:val="22"/>
          <w:lang w:val="sk-SK"/>
        </w:rPr>
        <w:t xml:space="preserve"> </w:t>
      </w:r>
      <w:r w:rsidR="00A472F7" w:rsidRPr="009D3DED">
        <w:rPr>
          <w:szCs w:val="22"/>
          <w:lang w:val="sk-SK"/>
        </w:rPr>
        <w:t xml:space="preserve">a/alebo </w:t>
      </w:r>
      <w:r w:rsidRPr="009D3DED">
        <w:rPr>
          <w:szCs w:val="22"/>
          <w:lang w:val="sk-SK"/>
        </w:rPr>
        <w:t xml:space="preserve">cerebrovaskulárnym ochorením majú byť liečení </w:t>
      </w:r>
      <w:r w:rsidR="00C30552" w:rsidRPr="009D3DED">
        <w:rPr>
          <w:szCs w:val="22"/>
          <w:lang w:val="sk-SK"/>
        </w:rPr>
        <w:t>ibuprofén</w:t>
      </w:r>
      <w:r w:rsidRPr="009D3DED">
        <w:rPr>
          <w:szCs w:val="22"/>
          <w:lang w:val="sk-SK"/>
        </w:rPr>
        <w:t>om iba po starostlivom zvážení a mali by</w:t>
      </w:r>
      <w:r w:rsidR="00A472F7" w:rsidRPr="009D3DED">
        <w:rPr>
          <w:szCs w:val="22"/>
          <w:lang w:val="sk-SK"/>
        </w:rPr>
        <w:t xml:space="preserve"> sa vyvarovať vysoký</w:t>
      </w:r>
      <w:r w:rsidR="00EB560E">
        <w:rPr>
          <w:szCs w:val="22"/>
          <w:lang w:val="sk-SK"/>
        </w:rPr>
        <w:t>m</w:t>
      </w:r>
      <w:r w:rsidR="00A472F7" w:rsidRPr="009D3DED">
        <w:rPr>
          <w:szCs w:val="22"/>
          <w:lang w:val="sk-SK"/>
        </w:rPr>
        <w:t xml:space="preserve"> dáv</w:t>
      </w:r>
      <w:r w:rsidR="00EB560E">
        <w:rPr>
          <w:szCs w:val="22"/>
          <w:lang w:val="sk-SK"/>
        </w:rPr>
        <w:t>kam</w:t>
      </w:r>
      <w:r w:rsidR="00A472F7" w:rsidRPr="009D3DED">
        <w:rPr>
          <w:szCs w:val="22"/>
          <w:lang w:val="sk-SK"/>
        </w:rPr>
        <w:t xml:space="preserve"> (2</w:t>
      </w:r>
      <w:r w:rsidR="00D451BA">
        <w:rPr>
          <w:szCs w:val="22"/>
          <w:lang w:val="sk-SK"/>
        </w:rPr>
        <w:t xml:space="preserve"> </w:t>
      </w:r>
      <w:r w:rsidRPr="009D3DED">
        <w:rPr>
          <w:szCs w:val="22"/>
          <w:lang w:val="sk-SK"/>
        </w:rPr>
        <w:t>400 mg</w:t>
      </w:r>
      <w:r w:rsidR="00A472F7" w:rsidRPr="009D3DED">
        <w:rPr>
          <w:szCs w:val="22"/>
          <w:lang w:val="sk-SK"/>
        </w:rPr>
        <w:t>/</w:t>
      </w:r>
      <w:r w:rsidRPr="009D3DED">
        <w:rPr>
          <w:szCs w:val="22"/>
          <w:lang w:val="sk-SK"/>
        </w:rPr>
        <w:t>deň</w:t>
      </w:r>
      <w:r w:rsidR="0061142C" w:rsidRPr="009D3DED">
        <w:rPr>
          <w:szCs w:val="22"/>
          <w:lang w:val="sk-SK"/>
        </w:rPr>
        <w:t>).</w:t>
      </w:r>
    </w:p>
    <w:p w14:paraId="1E44C152" w14:textId="77777777" w:rsidR="0061142C" w:rsidRPr="009D3DED" w:rsidRDefault="0061142C">
      <w:pPr>
        <w:rPr>
          <w:szCs w:val="22"/>
          <w:lang w:val="sk-SK"/>
        </w:rPr>
      </w:pPr>
    </w:p>
    <w:p w14:paraId="4EB9396F" w14:textId="57CEF053" w:rsidR="00EC656C" w:rsidRPr="009D3DED" w:rsidRDefault="00BB5941">
      <w:pPr>
        <w:rPr>
          <w:szCs w:val="22"/>
          <w:lang w:val="sk-SK"/>
        </w:rPr>
      </w:pPr>
      <w:r w:rsidRPr="009D3DED">
        <w:rPr>
          <w:szCs w:val="22"/>
          <w:lang w:val="sk-SK"/>
        </w:rPr>
        <w:t>Starostlivé zváženie je potrebné aj pred začatím dlhodobej liečby u pacientov s rizikovými faktormi  vznik</w:t>
      </w:r>
      <w:r w:rsidR="00892147">
        <w:rPr>
          <w:szCs w:val="22"/>
          <w:lang w:val="sk-SK"/>
        </w:rPr>
        <w:t>u</w:t>
      </w:r>
      <w:r w:rsidRPr="009D3DED">
        <w:rPr>
          <w:szCs w:val="22"/>
          <w:lang w:val="sk-SK"/>
        </w:rPr>
        <w:t xml:space="preserve"> kardiovaskulárnej príhody (napr. hypertenzia, hyperlipidémia, diabetes mellitus, fajčenie), najmä ak </w:t>
      </w:r>
      <w:r w:rsidR="00F057AC" w:rsidRPr="009D3DED">
        <w:rPr>
          <w:szCs w:val="22"/>
          <w:lang w:val="sk-SK"/>
        </w:rPr>
        <w:t>je nutné podávanie</w:t>
      </w:r>
      <w:r w:rsidR="00B92304" w:rsidRPr="009D3DED">
        <w:rPr>
          <w:szCs w:val="22"/>
          <w:lang w:val="sk-SK"/>
        </w:rPr>
        <w:t xml:space="preserve"> vysok</w:t>
      </w:r>
      <w:r w:rsidR="00F057AC" w:rsidRPr="009D3DED">
        <w:rPr>
          <w:szCs w:val="22"/>
          <w:lang w:val="sk-SK"/>
        </w:rPr>
        <w:t xml:space="preserve">ých </w:t>
      </w:r>
      <w:r w:rsidR="00B92304" w:rsidRPr="009D3DED">
        <w:rPr>
          <w:szCs w:val="22"/>
          <w:lang w:val="sk-SK"/>
        </w:rPr>
        <w:t>dáv</w:t>
      </w:r>
      <w:r w:rsidR="00F057AC" w:rsidRPr="009D3DED">
        <w:rPr>
          <w:szCs w:val="22"/>
          <w:lang w:val="sk-SK"/>
        </w:rPr>
        <w:t>ok</w:t>
      </w:r>
      <w:r w:rsidR="00B92304" w:rsidRPr="009D3DED">
        <w:rPr>
          <w:szCs w:val="22"/>
          <w:lang w:val="sk-SK"/>
        </w:rPr>
        <w:t xml:space="preserve"> ibuprofénu (2</w:t>
      </w:r>
      <w:r w:rsidR="00D451BA">
        <w:rPr>
          <w:szCs w:val="22"/>
          <w:lang w:val="sk-SK"/>
        </w:rPr>
        <w:t xml:space="preserve"> </w:t>
      </w:r>
      <w:r w:rsidRPr="009D3DED">
        <w:rPr>
          <w:szCs w:val="22"/>
          <w:lang w:val="sk-SK"/>
        </w:rPr>
        <w:t>400 mg</w:t>
      </w:r>
      <w:r w:rsidR="00A472F7" w:rsidRPr="009D3DED">
        <w:rPr>
          <w:szCs w:val="22"/>
          <w:lang w:val="sk-SK"/>
        </w:rPr>
        <w:t>/</w:t>
      </w:r>
      <w:r w:rsidRPr="009D3DED">
        <w:rPr>
          <w:szCs w:val="22"/>
          <w:lang w:val="sk-SK"/>
        </w:rPr>
        <w:t>deň</w:t>
      </w:r>
      <w:r w:rsidR="0061142C" w:rsidRPr="009D3DED">
        <w:rPr>
          <w:szCs w:val="22"/>
          <w:lang w:val="sk-SK"/>
        </w:rPr>
        <w:t>)</w:t>
      </w:r>
      <w:r w:rsidR="00EC656C" w:rsidRPr="009D3DED">
        <w:rPr>
          <w:szCs w:val="22"/>
          <w:lang w:val="sk-SK"/>
        </w:rPr>
        <w:t>.</w:t>
      </w:r>
    </w:p>
    <w:p w14:paraId="32DD3E94" w14:textId="77777777" w:rsidR="00F023EB" w:rsidRPr="009D3DED" w:rsidRDefault="00F023EB">
      <w:pPr>
        <w:rPr>
          <w:szCs w:val="22"/>
          <w:lang w:val="sk-SK"/>
        </w:rPr>
      </w:pPr>
    </w:p>
    <w:p w14:paraId="6CB672C7" w14:textId="77777777" w:rsidR="00547992" w:rsidRPr="009D3DED" w:rsidRDefault="00F057AC">
      <w:pPr>
        <w:tabs>
          <w:tab w:val="clear" w:pos="567"/>
        </w:tabs>
        <w:spacing w:line="240" w:lineRule="auto"/>
        <w:rPr>
          <w:bCs/>
          <w:i/>
          <w:iCs/>
          <w:szCs w:val="22"/>
          <w:lang w:val="sk-SK"/>
        </w:rPr>
      </w:pPr>
      <w:r w:rsidRPr="009D3DED">
        <w:rPr>
          <w:bCs/>
          <w:i/>
          <w:iCs/>
          <w:szCs w:val="22"/>
          <w:lang w:val="sk-SK"/>
        </w:rPr>
        <w:t>Hypersenzitivita</w:t>
      </w:r>
    </w:p>
    <w:p w14:paraId="2E5E3348" w14:textId="4AF525CD" w:rsidR="00547992" w:rsidRPr="009D3DED" w:rsidRDefault="00BB5941">
      <w:pPr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Ťažké akútne reakcie </w:t>
      </w:r>
      <w:r w:rsidR="00B92304" w:rsidRPr="009D3DED">
        <w:rPr>
          <w:szCs w:val="22"/>
          <w:lang w:val="sk-SK"/>
        </w:rPr>
        <w:t xml:space="preserve">z </w:t>
      </w:r>
      <w:r w:rsidRPr="009D3DED">
        <w:rPr>
          <w:szCs w:val="22"/>
          <w:lang w:val="sk-SK"/>
        </w:rPr>
        <w:t xml:space="preserve">precitlivenosti (napr. anafylaktický šok) sa vyskytujú veľmi zriedkavo. Pri výskyte prvých </w:t>
      </w:r>
      <w:r w:rsidR="002710EF" w:rsidRPr="009D3DED">
        <w:rPr>
          <w:szCs w:val="22"/>
          <w:lang w:val="sk-SK"/>
        </w:rPr>
        <w:t>p</w:t>
      </w:r>
      <w:r w:rsidR="002710EF">
        <w:rPr>
          <w:szCs w:val="22"/>
          <w:lang w:val="sk-SK"/>
        </w:rPr>
        <w:t>rejavov</w:t>
      </w:r>
      <w:r w:rsidR="002710EF" w:rsidRPr="009D3DED">
        <w:rPr>
          <w:szCs w:val="22"/>
          <w:lang w:val="sk-SK"/>
        </w:rPr>
        <w:t xml:space="preserve"> </w:t>
      </w:r>
      <w:r w:rsidRPr="009D3DED">
        <w:rPr>
          <w:szCs w:val="22"/>
          <w:lang w:val="sk-SK"/>
        </w:rPr>
        <w:t xml:space="preserve">reakcie </w:t>
      </w:r>
      <w:r w:rsidR="00B92304" w:rsidRPr="009D3DED">
        <w:rPr>
          <w:szCs w:val="22"/>
          <w:lang w:val="sk-SK"/>
        </w:rPr>
        <w:t xml:space="preserve">z </w:t>
      </w:r>
      <w:r w:rsidRPr="009D3DED">
        <w:rPr>
          <w:szCs w:val="22"/>
          <w:lang w:val="sk-SK"/>
        </w:rPr>
        <w:t xml:space="preserve">precitlivenosti (napr. edém tváre, angioedém, dýchavičnosť, tachykardia, pokles krvného tlaku, anafylaktický šok) po užití </w:t>
      </w:r>
      <w:r w:rsidR="005A15DF" w:rsidRPr="009D3DED">
        <w:rPr>
          <w:szCs w:val="22"/>
          <w:lang w:val="sk-SK"/>
        </w:rPr>
        <w:t>Ibalgin</w:t>
      </w:r>
      <w:r w:rsidR="002710EF">
        <w:rPr>
          <w:szCs w:val="22"/>
          <w:lang w:val="sk-SK"/>
        </w:rPr>
        <w:t>u</w:t>
      </w:r>
      <w:r w:rsidR="005A15DF" w:rsidRPr="009D3DED">
        <w:rPr>
          <w:szCs w:val="22"/>
          <w:lang w:val="sk-SK"/>
        </w:rPr>
        <w:t xml:space="preserve"> Plus</w:t>
      </w:r>
      <w:r w:rsidR="00F057AC" w:rsidRPr="009D3DED">
        <w:rPr>
          <w:szCs w:val="22"/>
          <w:lang w:val="sk-SK"/>
        </w:rPr>
        <w:t xml:space="preserve"> </w:t>
      </w:r>
      <w:r w:rsidRPr="009D3DED">
        <w:rPr>
          <w:szCs w:val="22"/>
          <w:lang w:val="sk-SK"/>
        </w:rPr>
        <w:t xml:space="preserve">musí byť liečba prerušená. Pacienta </w:t>
      </w:r>
      <w:r w:rsidR="005C53F7" w:rsidRPr="009D3DED">
        <w:rPr>
          <w:szCs w:val="22"/>
          <w:lang w:val="sk-SK"/>
        </w:rPr>
        <w:t>je potrebné</w:t>
      </w:r>
      <w:r w:rsidRPr="009D3DED">
        <w:rPr>
          <w:szCs w:val="22"/>
          <w:lang w:val="sk-SK"/>
        </w:rPr>
        <w:t xml:space="preserve"> poučiť, že má ihneď vyhľadať </w:t>
      </w:r>
      <w:r w:rsidR="00F057AC" w:rsidRPr="009D3DED">
        <w:rPr>
          <w:szCs w:val="22"/>
          <w:lang w:val="sk-SK"/>
        </w:rPr>
        <w:t xml:space="preserve">lekársku </w:t>
      </w:r>
      <w:r w:rsidRPr="009D3DED">
        <w:rPr>
          <w:szCs w:val="22"/>
          <w:lang w:val="sk-SK"/>
        </w:rPr>
        <w:t>pomoc</w:t>
      </w:r>
      <w:r w:rsidR="00547992" w:rsidRPr="009D3DED">
        <w:rPr>
          <w:szCs w:val="22"/>
          <w:lang w:val="sk-SK"/>
        </w:rPr>
        <w:t xml:space="preserve">. </w:t>
      </w:r>
    </w:p>
    <w:p w14:paraId="6EE215B7" w14:textId="77777777" w:rsidR="00547992" w:rsidRPr="009D3DED" w:rsidRDefault="00547992">
      <w:pPr>
        <w:rPr>
          <w:szCs w:val="22"/>
          <w:lang w:val="sk-SK"/>
        </w:rPr>
      </w:pPr>
    </w:p>
    <w:p w14:paraId="7267EF09" w14:textId="77777777" w:rsidR="00641267" w:rsidRPr="009D3DED" w:rsidRDefault="00BB5941">
      <w:pPr>
        <w:tabs>
          <w:tab w:val="clear" w:pos="567"/>
        </w:tabs>
        <w:spacing w:line="240" w:lineRule="auto"/>
        <w:rPr>
          <w:bCs/>
          <w:i/>
          <w:iCs/>
          <w:szCs w:val="22"/>
          <w:lang w:val="sk-SK"/>
        </w:rPr>
      </w:pPr>
      <w:r w:rsidRPr="009D3DED">
        <w:rPr>
          <w:bCs/>
          <w:i/>
          <w:iCs/>
          <w:szCs w:val="22"/>
          <w:lang w:val="sk-SK"/>
        </w:rPr>
        <w:t>Účinky na pečeňové, obličkové a krvné parametre</w:t>
      </w:r>
    </w:p>
    <w:p w14:paraId="184A194B" w14:textId="19ECB7C8" w:rsidR="00547992" w:rsidRPr="009D3DED" w:rsidRDefault="00BB5941">
      <w:pPr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Ibuprofén môže dočasne inhibovať funkciu krvných doštičiek (agregáciu trombocytov). Pacienti s poruchami </w:t>
      </w:r>
      <w:r w:rsidR="00B5482D">
        <w:rPr>
          <w:szCs w:val="22"/>
          <w:lang w:val="sk-SK"/>
        </w:rPr>
        <w:t xml:space="preserve">krvných </w:t>
      </w:r>
      <w:r w:rsidRPr="009D3DED">
        <w:rPr>
          <w:szCs w:val="22"/>
          <w:lang w:val="sk-SK"/>
        </w:rPr>
        <w:t>doštičiek by sa preto mali starostlivo sledovať</w:t>
      </w:r>
      <w:r w:rsidR="00547992" w:rsidRPr="009D3DED">
        <w:rPr>
          <w:szCs w:val="22"/>
          <w:lang w:val="sk-SK"/>
        </w:rPr>
        <w:t xml:space="preserve">. </w:t>
      </w:r>
    </w:p>
    <w:p w14:paraId="6DB910CF" w14:textId="77777777" w:rsidR="00547992" w:rsidRPr="009D3DED" w:rsidRDefault="00547992">
      <w:pPr>
        <w:rPr>
          <w:szCs w:val="22"/>
          <w:lang w:val="sk-SK"/>
        </w:rPr>
      </w:pPr>
    </w:p>
    <w:p w14:paraId="6FC6C8BC" w14:textId="7CE2C006" w:rsidR="00905925" w:rsidRPr="009D3DED" w:rsidRDefault="00BB5941">
      <w:pPr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V prípade dlhodobej liečby ibuprofénom je potrebné pravidelne kontrolovať funkciu pečene a obličiek a krvné parametre. Prvými </w:t>
      </w:r>
      <w:r w:rsidR="00BA4385" w:rsidRPr="009D3DED">
        <w:rPr>
          <w:szCs w:val="22"/>
          <w:lang w:val="sk-SK"/>
        </w:rPr>
        <w:t>pr</w:t>
      </w:r>
      <w:r w:rsidR="00BA4385">
        <w:rPr>
          <w:szCs w:val="22"/>
          <w:lang w:val="sk-SK"/>
        </w:rPr>
        <w:t>ejavmi</w:t>
      </w:r>
      <w:r w:rsidR="00BA4385" w:rsidRPr="009D3DED">
        <w:rPr>
          <w:szCs w:val="22"/>
          <w:lang w:val="sk-SK"/>
        </w:rPr>
        <w:t xml:space="preserve"> </w:t>
      </w:r>
      <w:r w:rsidRPr="009D3DED">
        <w:rPr>
          <w:szCs w:val="22"/>
          <w:lang w:val="sk-SK"/>
        </w:rPr>
        <w:t xml:space="preserve">hematopoetických porúch môžu byť horúčka, bolesť v krku, povrchové rany v ústach, príznaky podobné chrípke, </w:t>
      </w:r>
      <w:r w:rsidR="00BA4385">
        <w:rPr>
          <w:szCs w:val="22"/>
          <w:lang w:val="sk-SK"/>
        </w:rPr>
        <w:t>nadmerná</w:t>
      </w:r>
      <w:r w:rsidR="00BA4385" w:rsidRPr="009D3DED">
        <w:rPr>
          <w:szCs w:val="22"/>
          <w:lang w:val="sk-SK"/>
        </w:rPr>
        <w:t xml:space="preserve"> </w:t>
      </w:r>
      <w:r w:rsidRPr="009D3DED">
        <w:rPr>
          <w:szCs w:val="22"/>
          <w:lang w:val="sk-SK"/>
        </w:rPr>
        <w:t>únava, krvácanie z nosa a krvácanie  kože</w:t>
      </w:r>
      <w:r w:rsidR="00905925" w:rsidRPr="009D3DED">
        <w:rPr>
          <w:szCs w:val="22"/>
          <w:lang w:val="sk-SK"/>
        </w:rPr>
        <w:t>.</w:t>
      </w:r>
    </w:p>
    <w:p w14:paraId="380FD819" w14:textId="77777777" w:rsidR="00905925" w:rsidRPr="009D3DED" w:rsidRDefault="00905925">
      <w:pPr>
        <w:rPr>
          <w:szCs w:val="22"/>
          <w:lang w:val="sk-SK"/>
        </w:rPr>
      </w:pPr>
    </w:p>
    <w:p w14:paraId="52E1FE0A" w14:textId="323D9025" w:rsidR="00C670BF" w:rsidRPr="009D3DED" w:rsidRDefault="00BB5941">
      <w:pPr>
        <w:rPr>
          <w:szCs w:val="22"/>
          <w:lang w:val="sk-SK"/>
        </w:rPr>
      </w:pPr>
      <w:r w:rsidRPr="009D3DED">
        <w:rPr>
          <w:szCs w:val="22"/>
          <w:lang w:val="sk-SK"/>
        </w:rPr>
        <w:t>Všeobecne možno konštatovať, že pravidelné užívanie analgetík, a najmä kombinácie rôznych liečiv s analgetickými účinkami, môže všeobecne viesť k trvalému poškodeniu obličiek s rizikom zlyhania obličiek (analgetická nefropatia). Toto riziko môže byť zvýšené pri fyzickej námahe spojené so stratou solí a dehydratáciou. Preto je potrebné vyhýbať sa pravidelnému užívaniu analgetík</w:t>
      </w:r>
      <w:r w:rsidR="00C670BF" w:rsidRPr="009D3DED">
        <w:rPr>
          <w:szCs w:val="22"/>
          <w:lang w:val="sk-SK"/>
        </w:rPr>
        <w:t>.</w:t>
      </w:r>
    </w:p>
    <w:p w14:paraId="42DB9FFF" w14:textId="77777777" w:rsidR="00C670BF" w:rsidRPr="009D3DED" w:rsidRDefault="00C670BF">
      <w:pPr>
        <w:rPr>
          <w:szCs w:val="22"/>
          <w:lang w:val="sk-SK"/>
        </w:rPr>
      </w:pPr>
    </w:p>
    <w:p w14:paraId="7E95D5B8" w14:textId="77777777" w:rsidR="00811130" w:rsidRPr="009D3DED" w:rsidRDefault="0002303C">
      <w:pPr>
        <w:tabs>
          <w:tab w:val="clear" w:pos="567"/>
        </w:tabs>
        <w:spacing w:line="240" w:lineRule="auto"/>
        <w:rPr>
          <w:bCs/>
          <w:i/>
          <w:iCs/>
          <w:szCs w:val="22"/>
          <w:lang w:val="sk-SK"/>
        </w:rPr>
      </w:pPr>
      <w:r w:rsidRPr="009D3DED">
        <w:rPr>
          <w:bCs/>
          <w:i/>
          <w:iCs/>
          <w:szCs w:val="22"/>
          <w:lang w:val="sk-SK"/>
        </w:rPr>
        <w:t xml:space="preserve">Dlhodobé </w:t>
      </w:r>
      <w:r w:rsidR="00BB5941" w:rsidRPr="009D3DED">
        <w:rPr>
          <w:bCs/>
          <w:i/>
          <w:iCs/>
          <w:szCs w:val="22"/>
          <w:lang w:val="sk-SK"/>
        </w:rPr>
        <w:t>užívanie analgetík</w:t>
      </w:r>
    </w:p>
    <w:p w14:paraId="5534FD1D" w14:textId="6FC6E56F" w:rsidR="00547992" w:rsidRPr="009D3DED" w:rsidRDefault="0002303C">
      <w:pPr>
        <w:rPr>
          <w:szCs w:val="22"/>
          <w:lang w:val="sk-SK"/>
        </w:rPr>
      </w:pPr>
      <w:r w:rsidRPr="009D3DED">
        <w:rPr>
          <w:szCs w:val="22"/>
          <w:lang w:val="sk-SK"/>
        </w:rPr>
        <w:t>Dlhodobé užívanie analgetík akéhokoľvek typu na boles</w:t>
      </w:r>
      <w:r w:rsidR="00C657B3">
        <w:rPr>
          <w:szCs w:val="22"/>
          <w:lang w:val="sk-SK"/>
        </w:rPr>
        <w:t>ti</w:t>
      </w:r>
      <w:r w:rsidRPr="009D3DED">
        <w:rPr>
          <w:szCs w:val="22"/>
          <w:lang w:val="sk-SK"/>
        </w:rPr>
        <w:t xml:space="preserve"> hlavy môže viesť k</w:t>
      </w:r>
      <w:r w:rsidR="00C657B3">
        <w:rPr>
          <w:szCs w:val="22"/>
          <w:lang w:val="sk-SK"/>
        </w:rPr>
        <w:t xml:space="preserve"> ich</w:t>
      </w:r>
      <w:r w:rsidRPr="009D3DED">
        <w:rPr>
          <w:szCs w:val="22"/>
          <w:lang w:val="sk-SK"/>
        </w:rPr>
        <w:t xml:space="preserve"> zhoršeniu. Ak sa táto situácia vyskytne alebo ak existuje </w:t>
      </w:r>
      <w:r w:rsidR="00BA4385">
        <w:rPr>
          <w:szCs w:val="22"/>
          <w:lang w:val="sk-SK"/>
        </w:rPr>
        <w:t xml:space="preserve">na ňu </w:t>
      </w:r>
      <w:r w:rsidRPr="009D3DED">
        <w:rPr>
          <w:szCs w:val="22"/>
          <w:lang w:val="sk-SK"/>
        </w:rPr>
        <w:t xml:space="preserve">podozrenie, je potrebné vyhľadať lekársku pomoc a liečba by </w:t>
      </w:r>
      <w:r w:rsidR="000D47A6" w:rsidRPr="009D3DED">
        <w:rPr>
          <w:szCs w:val="22"/>
          <w:lang w:val="sk-SK"/>
        </w:rPr>
        <w:t xml:space="preserve">sa </w:t>
      </w:r>
      <w:r w:rsidRPr="009D3DED">
        <w:rPr>
          <w:szCs w:val="22"/>
          <w:lang w:val="sk-SK"/>
        </w:rPr>
        <w:t>mala preruš</w:t>
      </w:r>
      <w:r w:rsidR="000D47A6" w:rsidRPr="009D3DED">
        <w:rPr>
          <w:szCs w:val="22"/>
          <w:lang w:val="sk-SK"/>
        </w:rPr>
        <w:t>iť</w:t>
      </w:r>
      <w:r w:rsidRPr="009D3DED">
        <w:rPr>
          <w:szCs w:val="22"/>
          <w:lang w:val="sk-SK"/>
        </w:rPr>
        <w:t>. U pacientov, ktorí sa sťažujú na časté alebo každodenné bolesti hlavy, napriek (alebo kvôli) pravidelnému užívaniu liekov na bolesť hlavy</w:t>
      </w:r>
      <w:r w:rsidR="000D47A6" w:rsidRPr="009D3DED">
        <w:rPr>
          <w:szCs w:val="22"/>
          <w:lang w:val="sk-SK"/>
        </w:rPr>
        <w:t>,</w:t>
      </w:r>
      <w:r w:rsidRPr="009D3DED">
        <w:rPr>
          <w:szCs w:val="22"/>
          <w:lang w:val="sk-SK"/>
        </w:rPr>
        <w:t xml:space="preserve"> je potrebné zvážiť možnosť bolesti hlavy z nadmerného užívania liekov (</w:t>
      </w:r>
      <w:r w:rsidR="003B5070" w:rsidRPr="005B40BA">
        <w:rPr>
          <w:szCs w:val="22"/>
          <w:lang w:val="sk-SK"/>
        </w:rPr>
        <w:t>medication overuse headache</w:t>
      </w:r>
      <w:r w:rsidR="007B384F">
        <w:rPr>
          <w:szCs w:val="22"/>
          <w:lang w:val="sk-SK"/>
        </w:rPr>
        <w:t>, MOH</w:t>
      </w:r>
      <w:r w:rsidR="00697ADF" w:rsidRPr="009D3DED">
        <w:rPr>
          <w:szCs w:val="22"/>
          <w:lang w:val="sk-SK"/>
        </w:rPr>
        <w:t>)</w:t>
      </w:r>
      <w:r w:rsidR="00547992" w:rsidRPr="009D3DED">
        <w:rPr>
          <w:szCs w:val="22"/>
          <w:lang w:val="sk-SK"/>
        </w:rPr>
        <w:t xml:space="preserve">. </w:t>
      </w:r>
    </w:p>
    <w:p w14:paraId="6CDF1261" w14:textId="77777777" w:rsidR="00547992" w:rsidRPr="009D3DED" w:rsidRDefault="00547992">
      <w:pPr>
        <w:rPr>
          <w:szCs w:val="22"/>
          <w:lang w:val="sk-SK"/>
        </w:rPr>
      </w:pPr>
    </w:p>
    <w:p w14:paraId="44D11311" w14:textId="77777777" w:rsidR="0002303C" w:rsidRPr="009D3DED" w:rsidRDefault="00B92304">
      <w:pPr>
        <w:autoSpaceDE w:val="0"/>
        <w:autoSpaceDN w:val="0"/>
        <w:adjustRightInd w:val="0"/>
        <w:spacing w:line="240" w:lineRule="auto"/>
        <w:rPr>
          <w:bCs/>
          <w:i/>
          <w:iCs/>
          <w:szCs w:val="22"/>
          <w:lang w:val="sk-SK"/>
        </w:rPr>
      </w:pPr>
      <w:r w:rsidRPr="009D3DED">
        <w:rPr>
          <w:bCs/>
          <w:i/>
          <w:iCs/>
          <w:szCs w:val="22"/>
          <w:lang w:val="sk-SK"/>
        </w:rPr>
        <w:t>Súbežn</w:t>
      </w:r>
      <w:r w:rsidR="0002303C" w:rsidRPr="009D3DED">
        <w:rPr>
          <w:bCs/>
          <w:i/>
          <w:iCs/>
          <w:szCs w:val="22"/>
          <w:lang w:val="sk-SK"/>
        </w:rPr>
        <w:t>á konzumácia alkoholu</w:t>
      </w:r>
    </w:p>
    <w:p w14:paraId="23D54885" w14:textId="7EB59BFE" w:rsidR="00547992" w:rsidRPr="009D3DED" w:rsidRDefault="0002303C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Pri </w:t>
      </w:r>
      <w:r w:rsidR="00B92304" w:rsidRPr="009D3DED">
        <w:rPr>
          <w:szCs w:val="22"/>
          <w:lang w:val="sk-SK"/>
        </w:rPr>
        <w:t>súbežn</w:t>
      </w:r>
      <w:r w:rsidRPr="009D3DED">
        <w:rPr>
          <w:szCs w:val="22"/>
          <w:lang w:val="sk-SK"/>
        </w:rPr>
        <w:t xml:space="preserve">ej konzumácii alkoholu </w:t>
      </w:r>
      <w:r w:rsidR="000D47A6" w:rsidRPr="009D3DED">
        <w:rPr>
          <w:szCs w:val="22"/>
          <w:lang w:val="sk-SK"/>
        </w:rPr>
        <w:t xml:space="preserve">sa </w:t>
      </w:r>
      <w:r w:rsidR="00F34866" w:rsidRPr="009D3DED">
        <w:rPr>
          <w:szCs w:val="22"/>
          <w:lang w:val="sk-SK"/>
        </w:rPr>
        <w:t xml:space="preserve">môžu pri </w:t>
      </w:r>
      <w:r w:rsidRPr="009D3DED">
        <w:rPr>
          <w:szCs w:val="22"/>
          <w:lang w:val="sk-SK"/>
        </w:rPr>
        <w:t xml:space="preserve">užívaní NSAID </w:t>
      </w:r>
      <w:r w:rsidR="000D47A6" w:rsidRPr="009D3DED">
        <w:rPr>
          <w:szCs w:val="22"/>
          <w:lang w:val="sk-SK"/>
        </w:rPr>
        <w:t xml:space="preserve">vyskytnúť </w:t>
      </w:r>
      <w:r w:rsidRPr="009D3DED">
        <w:rPr>
          <w:szCs w:val="22"/>
          <w:lang w:val="sk-SK"/>
        </w:rPr>
        <w:t xml:space="preserve">zvýšené nežiaduce účinky súvisiace s </w:t>
      </w:r>
      <w:r w:rsidR="00BA4385">
        <w:rPr>
          <w:szCs w:val="22"/>
          <w:lang w:val="sk-SK"/>
        </w:rPr>
        <w:t>liečivom</w:t>
      </w:r>
      <w:r w:rsidRPr="009D3DED">
        <w:rPr>
          <w:szCs w:val="22"/>
          <w:lang w:val="sk-SK"/>
        </w:rPr>
        <w:t>, najmä nežiaduce účinky týkajúce sa gastrointestinálneho traktu alebo centrálneho nervového systému</w:t>
      </w:r>
      <w:r w:rsidR="00547992" w:rsidRPr="009D3DED">
        <w:rPr>
          <w:szCs w:val="22"/>
          <w:lang w:val="sk-SK"/>
        </w:rPr>
        <w:t>.</w:t>
      </w:r>
    </w:p>
    <w:p w14:paraId="484BEBE2" w14:textId="77777777" w:rsidR="00547992" w:rsidRPr="009D3DED" w:rsidRDefault="00547992">
      <w:pPr>
        <w:spacing w:line="240" w:lineRule="auto"/>
        <w:ind w:right="354"/>
        <w:rPr>
          <w:szCs w:val="22"/>
          <w:lang w:val="sk-SK"/>
        </w:rPr>
      </w:pPr>
    </w:p>
    <w:p w14:paraId="23A52794" w14:textId="77777777" w:rsidR="00C670BF" w:rsidRPr="009D3DED" w:rsidRDefault="0002303C">
      <w:pPr>
        <w:autoSpaceDE w:val="0"/>
        <w:autoSpaceDN w:val="0"/>
        <w:adjustRightInd w:val="0"/>
        <w:spacing w:line="240" w:lineRule="auto"/>
        <w:rPr>
          <w:i/>
          <w:szCs w:val="22"/>
          <w:lang w:val="sk-SK"/>
        </w:rPr>
      </w:pPr>
      <w:r w:rsidRPr="009D3DED">
        <w:rPr>
          <w:i/>
          <w:szCs w:val="22"/>
          <w:lang w:val="sk-SK"/>
        </w:rPr>
        <w:t>Maskovanie príznakov infekcie</w:t>
      </w:r>
    </w:p>
    <w:p w14:paraId="11EC1084" w14:textId="77777777" w:rsidR="00C670BF" w:rsidRPr="009D3DED" w:rsidRDefault="00445EFD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D3DED">
        <w:rPr>
          <w:szCs w:val="22"/>
          <w:lang w:val="sk-SK"/>
        </w:rPr>
        <w:t>Ibuprofén môže maskovať príznaky infekcie a horúčky</w:t>
      </w:r>
      <w:r w:rsidR="00C670BF" w:rsidRPr="009D3DED">
        <w:rPr>
          <w:szCs w:val="22"/>
          <w:lang w:val="sk-SK"/>
        </w:rPr>
        <w:t>.</w:t>
      </w:r>
    </w:p>
    <w:p w14:paraId="284250D3" w14:textId="77777777" w:rsidR="00C670BF" w:rsidRPr="009D3DED" w:rsidRDefault="00C670BF">
      <w:pPr>
        <w:spacing w:line="240" w:lineRule="auto"/>
        <w:ind w:right="354"/>
        <w:rPr>
          <w:szCs w:val="22"/>
          <w:lang w:val="sk-SK"/>
        </w:rPr>
      </w:pPr>
    </w:p>
    <w:p w14:paraId="13238353" w14:textId="77777777" w:rsidR="00C557FE" w:rsidRPr="009D3DED" w:rsidRDefault="00C557FE">
      <w:pPr>
        <w:autoSpaceDE w:val="0"/>
        <w:autoSpaceDN w:val="0"/>
        <w:adjustRightInd w:val="0"/>
        <w:spacing w:line="240" w:lineRule="auto"/>
        <w:rPr>
          <w:i/>
          <w:szCs w:val="22"/>
          <w:lang w:val="sk-SK"/>
        </w:rPr>
      </w:pPr>
      <w:r w:rsidRPr="009D3DED">
        <w:rPr>
          <w:i/>
          <w:szCs w:val="22"/>
          <w:lang w:val="sk-SK"/>
        </w:rPr>
        <w:t>O</w:t>
      </w:r>
      <w:r w:rsidR="002F545C" w:rsidRPr="009D3DED">
        <w:rPr>
          <w:i/>
          <w:szCs w:val="22"/>
          <w:lang w:val="sk-SK"/>
        </w:rPr>
        <w:t>ftalmologické účinky</w:t>
      </w:r>
    </w:p>
    <w:p w14:paraId="5471C45E" w14:textId="77777777" w:rsidR="00C557FE" w:rsidRPr="009D3DED" w:rsidRDefault="00445EFD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D3DED">
        <w:rPr>
          <w:szCs w:val="22"/>
          <w:lang w:val="sk-SK"/>
        </w:rPr>
        <w:t>Pacienti, ktorí počas liečby ibuprofénom hlásia očné poruchy, by mali liečbu prerušiť a podstúpiť očné vyšetrenie</w:t>
      </w:r>
      <w:r w:rsidR="00C557FE" w:rsidRPr="009D3DED">
        <w:rPr>
          <w:szCs w:val="22"/>
          <w:lang w:val="sk-SK"/>
        </w:rPr>
        <w:t>.</w:t>
      </w:r>
    </w:p>
    <w:p w14:paraId="2B873359" w14:textId="77777777" w:rsidR="00C557FE" w:rsidRPr="009D3DED" w:rsidRDefault="00C557FE">
      <w:pPr>
        <w:spacing w:line="240" w:lineRule="auto"/>
        <w:ind w:right="354"/>
        <w:rPr>
          <w:szCs w:val="22"/>
          <w:lang w:val="sk-SK"/>
        </w:rPr>
      </w:pPr>
    </w:p>
    <w:p w14:paraId="7CC9B811" w14:textId="77777777" w:rsidR="00922B95" w:rsidRPr="009D3DED" w:rsidRDefault="00542E76">
      <w:pPr>
        <w:tabs>
          <w:tab w:val="clear" w:pos="567"/>
        </w:tabs>
        <w:spacing w:line="240" w:lineRule="auto"/>
        <w:rPr>
          <w:bCs/>
          <w:i/>
          <w:iCs/>
          <w:szCs w:val="22"/>
          <w:lang w:val="sk-SK"/>
        </w:rPr>
      </w:pPr>
      <w:r w:rsidRPr="009D3DED">
        <w:rPr>
          <w:bCs/>
          <w:i/>
          <w:iCs/>
          <w:szCs w:val="22"/>
          <w:lang w:val="sk-SK"/>
        </w:rPr>
        <w:t>Kofeín</w:t>
      </w:r>
    </w:p>
    <w:p w14:paraId="61A7631A" w14:textId="182E5AD5" w:rsidR="00547992" w:rsidRPr="009D3DED" w:rsidRDefault="00445EFD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Pri užívaní tohto </w:t>
      </w:r>
      <w:r w:rsidR="000D47A6" w:rsidRPr="009D3DED">
        <w:rPr>
          <w:szCs w:val="22"/>
          <w:lang w:val="sk-SK"/>
        </w:rPr>
        <w:t>lieku</w:t>
      </w:r>
      <w:r w:rsidRPr="009D3DED">
        <w:rPr>
          <w:szCs w:val="22"/>
          <w:lang w:val="sk-SK"/>
        </w:rPr>
        <w:t xml:space="preserve"> by sa malo zabrániť nadmernému príjmu kofeínu (napr. káva, čaj, potraviny, iné </w:t>
      </w:r>
      <w:r w:rsidR="00BA4385">
        <w:rPr>
          <w:szCs w:val="22"/>
          <w:lang w:val="sk-SK"/>
        </w:rPr>
        <w:t>lieky</w:t>
      </w:r>
      <w:r w:rsidRPr="009D3DED">
        <w:rPr>
          <w:szCs w:val="22"/>
          <w:lang w:val="sk-SK"/>
        </w:rPr>
        <w:t xml:space="preserve"> a nápoje</w:t>
      </w:r>
      <w:r w:rsidR="00697ADF" w:rsidRPr="009D3DED">
        <w:rPr>
          <w:szCs w:val="22"/>
          <w:lang w:val="sk-SK"/>
        </w:rPr>
        <w:t>) (</w:t>
      </w:r>
      <w:r w:rsidR="00542E76" w:rsidRPr="009D3DED">
        <w:rPr>
          <w:szCs w:val="22"/>
          <w:lang w:val="sk-SK"/>
        </w:rPr>
        <w:t>pozri časť</w:t>
      </w:r>
      <w:r w:rsidR="00697ADF" w:rsidRPr="009D3DED">
        <w:rPr>
          <w:szCs w:val="22"/>
          <w:lang w:val="sk-SK"/>
        </w:rPr>
        <w:t xml:space="preserve"> 4.9)</w:t>
      </w:r>
      <w:r w:rsidR="00343B17" w:rsidRPr="009D3DED">
        <w:rPr>
          <w:szCs w:val="22"/>
          <w:lang w:val="sk-SK"/>
        </w:rPr>
        <w:t>.</w:t>
      </w:r>
    </w:p>
    <w:p w14:paraId="6D91D142" w14:textId="77777777" w:rsidR="00343B17" w:rsidRPr="009D3DED" w:rsidRDefault="00343B1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0E15B1A3" w14:textId="77777777" w:rsidR="00547992" w:rsidRPr="009D3DED" w:rsidRDefault="00445EFD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Opatrnosť je potrebná pri </w:t>
      </w:r>
      <w:r w:rsidR="000D47A6" w:rsidRPr="009D3DED">
        <w:rPr>
          <w:szCs w:val="22"/>
          <w:lang w:val="sk-SK"/>
        </w:rPr>
        <w:t>užívaní</w:t>
      </w:r>
      <w:r w:rsidRPr="009D3DED">
        <w:rPr>
          <w:szCs w:val="22"/>
          <w:lang w:val="sk-SK"/>
        </w:rPr>
        <w:t xml:space="preserve"> kofeínu u pacientov s hypertyreózou (riziko nežiaducich účinkov kofeínu) alebo arytmiami</w:t>
      </w:r>
      <w:r w:rsidR="00E74487" w:rsidRPr="009D3DED">
        <w:rPr>
          <w:szCs w:val="22"/>
          <w:lang w:val="sk-SK"/>
        </w:rPr>
        <w:t>.</w:t>
      </w:r>
    </w:p>
    <w:p w14:paraId="714C79FA" w14:textId="77777777" w:rsidR="00547992" w:rsidRPr="009D3DED" w:rsidRDefault="00547992">
      <w:pPr>
        <w:spacing w:line="240" w:lineRule="auto"/>
        <w:ind w:right="354"/>
        <w:rPr>
          <w:szCs w:val="22"/>
          <w:lang w:val="sk-SK"/>
        </w:rPr>
      </w:pPr>
    </w:p>
    <w:p w14:paraId="1DF05BC4" w14:textId="455F6516" w:rsidR="00547992" w:rsidRPr="009D3DED" w:rsidRDefault="00F057AC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9D3DED">
        <w:rPr>
          <w:szCs w:val="22"/>
          <w:u w:val="single"/>
          <w:lang w:val="sk-SK"/>
        </w:rPr>
        <w:t xml:space="preserve">Osobitné </w:t>
      </w:r>
      <w:r w:rsidR="002F545C" w:rsidRPr="009D3DED">
        <w:rPr>
          <w:szCs w:val="22"/>
          <w:u w:val="single"/>
          <w:lang w:val="sk-SK"/>
        </w:rPr>
        <w:t>popul</w:t>
      </w:r>
      <w:r w:rsidR="00445EFD" w:rsidRPr="009D3DED">
        <w:rPr>
          <w:szCs w:val="22"/>
          <w:u w:val="single"/>
          <w:lang w:val="sk-SK"/>
        </w:rPr>
        <w:t>á</w:t>
      </w:r>
      <w:r w:rsidR="002F545C" w:rsidRPr="009D3DED">
        <w:rPr>
          <w:szCs w:val="22"/>
          <w:u w:val="single"/>
          <w:lang w:val="sk-SK"/>
        </w:rPr>
        <w:t>c</w:t>
      </w:r>
      <w:r w:rsidR="00445EFD" w:rsidRPr="009D3DED">
        <w:rPr>
          <w:szCs w:val="22"/>
          <w:u w:val="single"/>
          <w:lang w:val="sk-SK"/>
        </w:rPr>
        <w:t>i</w:t>
      </w:r>
      <w:r w:rsidR="002F545C" w:rsidRPr="009D3DED">
        <w:rPr>
          <w:szCs w:val="22"/>
          <w:u w:val="single"/>
          <w:lang w:val="sk-SK"/>
        </w:rPr>
        <w:t>e</w:t>
      </w:r>
    </w:p>
    <w:p w14:paraId="28FD3011" w14:textId="77B5D04F" w:rsidR="00547992" w:rsidRPr="009D3DED" w:rsidRDefault="00445EFD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U starších pacientov existuje zvýšené riziko </w:t>
      </w:r>
      <w:r w:rsidR="00D54265" w:rsidRPr="009D3DED">
        <w:rPr>
          <w:szCs w:val="22"/>
          <w:lang w:val="sk-SK"/>
        </w:rPr>
        <w:t>nežiaduci</w:t>
      </w:r>
      <w:r w:rsidRPr="009D3DED">
        <w:rPr>
          <w:szCs w:val="22"/>
          <w:lang w:val="sk-SK"/>
        </w:rPr>
        <w:t>ch účinkov NSAID, najmä krvácania do GI traktu a perforácie, ktoré môžu byť fatálne</w:t>
      </w:r>
      <w:r w:rsidR="00547992" w:rsidRPr="009D3DED">
        <w:rPr>
          <w:szCs w:val="22"/>
          <w:lang w:val="sk-SK"/>
        </w:rPr>
        <w:t>.</w:t>
      </w:r>
    </w:p>
    <w:p w14:paraId="1429C90E" w14:textId="77777777" w:rsidR="00547992" w:rsidRPr="009D3DED" w:rsidRDefault="00547992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2212DF80" w14:textId="6FF59E61" w:rsidR="00547992" w:rsidRPr="009D3DED" w:rsidRDefault="00445EFD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D3DED">
        <w:rPr>
          <w:szCs w:val="22"/>
          <w:lang w:val="sk-SK"/>
        </w:rPr>
        <w:t>U pacientov so zlyh</w:t>
      </w:r>
      <w:r w:rsidR="00BB4839">
        <w:rPr>
          <w:szCs w:val="22"/>
          <w:lang w:val="sk-SK"/>
        </w:rPr>
        <w:t>ávaním srdca</w:t>
      </w:r>
      <w:r w:rsidRPr="009D3DED">
        <w:rPr>
          <w:szCs w:val="22"/>
          <w:lang w:val="sk-SK"/>
        </w:rPr>
        <w:t xml:space="preserve">, u pacientov s chronickou poruchou funkcie obličiek alebo pečene, u pacientov užívajúcich diuretiká, u pacientov s hypovolémiou v dôsledku veľkého chirurgického zákroku a najmä u starších pacientov, je potrebné starostlivé sledovanie </w:t>
      </w:r>
      <w:r w:rsidR="00F715F4" w:rsidRPr="009D3DED">
        <w:rPr>
          <w:szCs w:val="22"/>
          <w:lang w:val="sk-SK"/>
        </w:rPr>
        <w:t>výdaja</w:t>
      </w:r>
      <w:r w:rsidRPr="009D3DED">
        <w:rPr>
          <w:szCs w:val="22"/>
          <w:lang w:val="sk-SK"/>
        </w:rPr>
        <w:t xml:space="preserve"> moču a funkcie obličiek, najmä v </w:t>
      </w:r>
      <w:r w:rsidR="00BB4839">
        <w:rPr>
          <w:szCs w:val="22"/>
          <w:lang w:val="sk-SK"/>
        </w:rPr>
        <w:t>za</w:t>
      </w:r>
      <w:r w:rsidRPr="009D3DED">
        <w:rPr>
          <w:szCs w:val="22"/>
          <w:lang w:val="sk-SK"/>
        </w:rPr>
        <w:t xml:space="preserve">čiatočných </w:t>
      </w:r>
      <w:r w:rsidR="00BB4839">
        <w:rPr>
          <w:szCs w:val="22"/>
          <w:lang w:val="sk-SK"/>
        </w:rPr>
        <w:t>fázach</w:t>
      </w:r>
      <w:r w:rsidR="00BB4839" w:rsidRPr="009D3DED">
        <w:rPr>
          <w:szCs w:val="22"/>
          <w:lang w:val="sk-SK"/>
        </w:rPr>
        <w:t xml:space="preserve"> </w:t>
      </w:r>
      <w:r w:rsidRPr="009D3DED">
        <w:rPr>
          <w:szCs w:val="22"/>
          <w:lang w:val="sk-SK"/>
        </w:rPr>
        <w:t>liečby</w:t>
      </w:r>
      <w:r w:rsidR="00547992" w:rsidRPr="009D3DED">
        <w:rPr>
          <w:szCs w:val="22"/>
          <w:lang w:val="sk-SK"/>
        </w:rPr>
        <w:t>.</w:t>
      </w:r>
    </w:p>
    <w:p w14:paraId="4914FAEE" w14:textId="77777777" w:rsidR="00685ED1" w:rsidRPr="009D3DED" w:rsidRDefault="00685ED1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44EB569A" w14:textId="77777777" w:rsidR="001D29E6" w:rsidRPr="009D3DED" w:rsidRDefault="001D29E6">
      <w:pPr>
        <w:ind w:left="567" w:hanging="567"/>
        <w:rPr>
          <w:szCs w:val="22"/>
          <w:lang w:val="sk-SK"/>
        </w:rPr>
      </w:pPr>
      <w:r w:rsidRPr="009D3DED">
        <w:rPr>
          <w:b/>
          <w:szCs w:val="22"/>
          <w:lang w:val="sk-SK"/>
        </w:rPr>
        <w:t>4.5</w:t>
      </w:r>
      <w:r w:rsidRPr="009D3DED">
        <w:rPr>
          <w:b/>
          <w:szCs w:val="22"/>
          <w:lang w:val="sk-SK"/>
        </w:rPr>
        <w:tab/>
      </w:r>
      <w:r w:rsidR="00C70366" w:rsidRPr="009D3DED">
        <w:rPr>
          <w:b/>
          <w:szCs w:val="22"/>
          <w:lang w:val="sk-SK"/>
        </w:rPr>
        <w:t>Liekové a iné interakcie</w:t>
      </w:r>
    </w:p>
    <w:p w14:paraId="13661921" w14:textId="77777777" w:rsidR="007D4B1B" w:rsidRPr="009D3DED" w:rsidRDefault="007D4B1B">
      <w:pPr>
        <w:rPr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7"/>
        <w:gridCol w:w="6022"/>
      </w:tblGrid>
      <w:tr w:rsidR="007D4B1B" w:rsidRPr="009D3DED" w14:paraId="56D21C09" w14:textId="77777777" w:rsidTr="001124DA">
        <w:tc>
          <w:tcPr>
            <w:tcW w:w="3607" w:type="dxa"/>
            <w:shd w:val="clear" w:color="auto" w:fill="auto"/>
            <w:tcMar>
              <w:top w:w="85" w:type="dxa"/>
              <w:bottom w:w="85" w:type="dxa"/>
            </w:tcMar>
          </w:tcPr>
          <w:p w14:paraId="4EDECFE5" w14:textId="77777777" w:rsidR="007D4B1B" w:rsidRPr="009D3DED" w:rsidRDefault="00B92304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9D3DED">
              <w:rPr>
                <w:b/>
                <w:bCs/>
                <w:szCs w:val="22"/>
                <w:lang w:val="sk-SK"/>
              </w:rPr>
              <w:t>Súbežn</w:t>
            </w:r>
            <w:r w:rsidR="000D47A6" w:rsidRPr="009D3DED">
              <w:rPr>
                <w:b/>
                <w:bCs/>
                <w:szCs w:val="22"/>
                <w:lang w:val="sk-SK"/>
              </w:rPr>
              <w:t xml:space="preserve">é </w:t>
            </w:r>
            <w:r w:rsidR="00445EFD" w:rsidRPr="009D3DED">
              <w:rPr>
                <w:b/>
                <w:bCs/>
                <w:szCs w:val="22"/>
                <w:lang w:val="sk-SK"/>
              </w:rPr>
              <w:t>užitie ibuprofénu s nasledujúcimi liekmi</w:t>
            </w:r>
            <w:r w:rsidR="007D4B1B" w:rsidRPr="009D3DED">
              <w:rPr>
                <w:b/>
                <w:bCs/>
                <w:szCs w:val="22"/>
                <w:lang w:val="sk-SK"/>
              </w:rPr>
              <w:t>:</w:t>
            </w:r>
          </w:p>
        </w:tc>
        <w:tc>
          <w:tcPr>
            <w:tcW w:w="6022" w:type="dxa"/>
            <w:shd w:val="clear" w:color="auto" w:fill="auto"/>
            <w:tcMar>
              <w:top w:w="85" w:type="dxa"/>
              <w:bottom w:w="85" w:type="dxa"/>
            </w:tcMar>
          </w:tcPr>
          <w:p w14:paraId="54DA53EA" w14:textId="77777777" w:rsidR="007D4B1B" w:rsidRPr="009D3DED" w:rsidRDefault="00541080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9D3DED">
              <w:rPr>
                <w:b/>
                <w:bCs/>
                <w:szCs w:val="22"/>
                <w:lang w:val="sk-SK"/>
              </w:rPr>
              <w:t>Možné účinky</w:t>
            </w:r>
            <w:r w:rsidR="007D4B1B" w:rsidRPr="009D3DED">
              <w:rPr>
                <w:b/>
                <w:bCs/>
                <w:szCs w:val="22"/>
                <w:lang w:val="sk-SK"/>
              </w:rPr>
              <w:t>:</w:t>
            </w:r>
          </w:p>
        </w:tc>
      </w:tr>
      <w:tr w:rsidR="007D4B1B" w:rsidRPr="009D3DED" w14:paraId="489EB86A" w14:textId="77777777" w:rsidTr="001124DA">
        <w:tc>
          <w:tcPr>
            <w:tcW w:w="3607" w:type="dxa"/>
            <w:shd w:val="clear" w:color="auto" w:fill="auto"/>
            <w:tcMar>
              <w:top w:w="85" w:type="dxa"/>
              <w:bottom w:w="85" w:type="dxa"/>
            </w:tcMar>
          </w:tcPr>
          <w:p w14:paraId="558A71EA" w14:textId="77777777" w:rsidR="007D4B1B" w:rsidRPr="009D3DED" w:rsidRDefault="00445EFD" w:rsidP="00FF309C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Iné NSAID, vrátane salicylátov</w:t>
            </w:r>
            <w:r w:rsidR="007D4B1B" w:rsidRPr="009D3DED">
              <w:rPr>
                <w:szCs w:val="22"/>
                <w:lang w:val="sk-SK"/>
              </w:rPr>
              <w:t>:</w:t>
            </w:r>
          </w:p>
        </w:tc>
        <w:tc>
          <w:tcPr>
            <w:tcW w:w="6022" w:type="dxa"/>
            <w:shd w:val="clear" w:color="auto" w:fill="auto"/>
            <w:tcMar>
              <w:top w:w="85" w:type="dxa"/>
              <w:bottom w:w="85" w:type="dxa"/>
            </w:tcMar>
          </w:tcPr>
          <w:p w14:paraId="3B410662" w14:textId="77777777" w:rsidR="007D4B1B" w:rsidRPr="009D3DED" w:rsidRDefault="00B9230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Súbežn</w:t>
            </w:r>
            <w:r w:rsidR="00445EFD" w:rsidRPr="009D3DED">
              <w:rPr>
                <w:szCs w:val="22"/>
                <w:lang w:val="sk-SK"/>
              </w:rPr>
              <w:t xml:space="preserve">é podanie niekoľkých NSAID môže zvýšiť riziko gastrointestinálnych vredov a krvácania v dôsledku synergického účinku. Preto je potrebné sa vyhnúť </w:t>
            </w:r>
            <w:r w:rsidRPr="009D3DED">
              <w:rPr>
                <w:szCs w:val="22"/>
                <w:lang w:val="sk-SK"/>
              </w:rPr>
              <w:t>súbežn</w:t>
            </w:r>
            <w:r w:rsidR="00445EFD" w:rsidRPr="009D3DED">
              <w:rPr>
                <w:szCs w:val="22"/>
                <w:lang w:val="sk-SK"/>
              </w:rPr>
              <w:t xml:space="preserve">ému </w:t>
            </w:r>
            <w:r w:rsidR="000D47A6" w:rsidRPr="009D3DED">
              <w:rPr>
                <w:szCs w:val="22"/>
                <w:lang w:val="sk-SK"/>
              </w:rPr>
              <w:t>užitiu</w:t>
            </w:r>
            <w:r w:rsidR="00445EFD" w:rsidRPr="009D3DED">
              <w:rPr>
                <w:szCs w:val="22"/>
                <w:lang w:val="sk-SK"/>
              </w:rPr>
              <w:t xml:space="preserve"> ibuprofénu s inými NSAID </w:t>
            </w:r>
            <w:r w:rsidR="00A44BE2" w:rsidRPr="009D3DED">
              <w:rPr>
                <w:szCs w:val="22"/>
                <w:lang w:val="sk-SK"/>
              </w:rPr>
              <w:t>(</w:t>
            </w:r>
            <w:r w:rsidR="00542E76" w:rsidRPr="009D3DED">
              <w:rPr>
                <w:szCs w:val="22"/>
                <w:lang w:val="sk-SK"/>
              </w:rPr>
              <w:t>pozri časť</w:t>
            </w:r>
            <w:r w:rsidR="00A44BE2" w:rsidRPr="009D3DED">
              <w:rPr>
                <w:szCs w:val="22"/>
                <w:lang w:val="sk-SK"/>
              </w:rPr>
              <w:t xml:space="preserve"> 4.4)</w:t>
            </w:r>
            <w:r w:rsidR="007D4B1B" w:rsidRPr="009D3DED">
              <w:rPr>
                <w:szCs w:val="22"/>
                <w:lang w:val="sk-SK"/>
              </w:rPr>
              <w:t>.</w:t>
            </w:r>
          </w:p>
        </w:tc>
      </w:tr>
      <w:tr w:rsidR="007D4B1B" w:rsidRPr="009D3DED" w14:paraId="699A2B71" w14:textId="77777777" w:rsidTr="001124DA">
        <w:tc>
          <w:tcPr>
            <w:tcW w:w="3607" w:type="dxa"/>
            <w:shd w:val="clear" w:color="auto" w:fill="auto"/>
            <w:tcMar>
              <w:top w:w="85" w:type="dxa"/>
              <w:bottom w:w="85" w:type="dxa"/>
            </w:tcMar>
          </w:tcPr>
          <w:p w14:paraId="0C159A0B" w14:textId="77777777" w:rsidR="007D4B1B" w:rsidRPr="009D3DED" w:rsidRDefault="0080601B" w:rsidP="00FF309C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D</w:t>
            </w:r>
            <w:r w:rsidR="00445EFD" w:rsidRPr="009D3DED">
              <w:rPr>
                <w:szCs w:val="22"/>
                <w:lang w:val="sk-SK"/>
              </w:rPr>
              <w:t>igoxí</w:t>
            </w:r>
            <w:r w:rsidR="007D4B1B" w:rsidRPr="009D3DED">
              <w:rPr>
                <w:szCs w:val="22"/>
                <w:lang w:val="sk-SK"/>
              </w:rPr>
              <w:t xml:space="preserve">n: </w:t>
            </w:r>
          </w:p>
        </w:tc>
        <w:tc>
          <w:tcPr>
            <w:tcW w:w="6022" w:type="dxa"/>
            <w:shd w:val="clear" w:color="auto" w:fill="auto"/>
            <w:tcMar>
              <w:top w:w="85" w:type="dxa"/>
              <w:bottom w:w="85" w:type="dxa"/>
            </w:tcMar>
          </w:tcPr>
          <w:p w14:paraId="33C3622D" w14:textId="16B9067A" w:rsidR="007D4B1B" w:rsidRPr="009D3DED" w:rsidRDefault="00B9230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Súbežn</w:t>
            </w:r>
            <w:r w:rsidR="000D47A6" w:rsidRPr="009D3DED">
              <w:rPr>
                <w:szCs w:val="22"/>
                <w:lang w:val="sk-SK"/>
              </w:rPr>
              <w:t xml:space="preserve">é užívanie </w:t>
            </w:r>
            <w:r w:rsidR="00D66EED" w:rsidRPr="009D3DED">
              <w:rPr>
                <w:szCs w:val="22"/>
                <w:lang w:val="sk-SK"/>
              </w:rPr>
              <w:t xml:space="preserve">ibuprofénu s </w:t>
            </w:r>
            <w:r w:rsidR="00445EFD" w:rsidRPr="009D3DED">
              <w:rPr>
                <w:szCs w:val="22"/>
                <w:lang w:val="sk-SK"/>
              </w:rPr>
              <w:t>liekmi</w:t>
            </w:r>
            <w:r w:rsidR="00524D62">
              <w:rPr>
                <w:szCs w:val="22"/>
                <w:lang w:val="sk-SK"/>
              </w:rPr>
              <w:t xml:space="preserve"> obsahujúcimi digoxín</w:t>
            </w:r>
            <w:r w:rsidR="00445EFD" w:rsidRPr="009D3DED">
              <w:rPr>
                <w:szCs w:val="22"/>
                <w:lang w:val="sk-SK"/>
              </w:rPr>
              <w:t xml:space="preserve"> môže zvýšiť sérové hladiny týchto liekov. Kontrola sérových hladín di</w:t>
            </w:r>
            <w:r w:rsidR="000D47A6" w:rsidRPr="009D3DED">
              <w:rPr>
                <w:szCs w:val="22"/>
                <w:lang w:val="sk-SK"/>
              </w:rPr>
              <w:t xml:space="preserve">goxínu nie je potrebná, ak sa </w:t>
            </w:r>
            <w:r w:rsidR="00445EFD" w:rsidRPr="009D3DED">
              <w:rPr>
                <w:szCs w:val="22"/>
                <w:lang w:val="sk-SK"/>
              </w:rPr>
              <w:t xml:space="preserve">užíva v súlade s odporúčaním (maximálne </w:t>
            </w:r>
            <w:r w:rsidR="00F34866" w:rsidRPr="009D3DED">
              <w:rPr>
                <w:szCs w:val="22"/>
                <w:lang w:val="sk-SK"/>
              </w:rPr>
              <w:t>počas</w:t>
            </w:r>
            <w:r w:rsidR="00445EFD" w:rsidRPr="009D3DED">
              <w:rPr>
                <w:szCs w:val="22"/>
                <w:lang w:val="sk-SK"/>
              </w:rPr>
              <w:t xml:space="preserve"> 3 dní</w:t>
            </w:r>
            <w:r w:rsidR="00A44BE2" w:rsidRPr="009D3DED">
              <w:rPr>
                <w:szCs w:val="22"/>
                <w:lang w:val="sk-SK"/>
              </w:rPr>
              <w:t>)</w:t>
            </w:r>
            <w:r w:rsidR="009C00AC" w:rsidRPr="009D3DED">
              <w:rPr>
                <w:szCs w:val="22"/>
                <w:lang w:val="sk-SK"/>
              </w:rPr>
              <w:t>.</w:t>
            </w:r>
          </w:p>
        </w:tc>
      </w:tr>
      <w:tr w:rsidR="007D4B1B" w:rsidRPr="009D3DED" w14:paraId="6ADCE0AC" w14:textId="77777777" w:rsidTr="001124DA">
        <w:tc>
          <w:tcPr>
            <w:tcW w:w="3607" w:type="dxa"/>
            <w:shd w:val="clear" w:color="auto" w:fill="auto"/>
            <w:tcMar>
              <w:top w:w="85" w:type="dxa"/>
              <w:bottom w:w="85" w:type="dxa"/>
            </w:tcMar>
          </w:tcPr>
          <w:p w14:paraId="5A8178BF" w14:textId="77777777" w:rsidR="007D4B1B" w:rsidRPr="009D3DED" w:rsidRDefault="00CD2BDA" w:rsidP="00FF309C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Kortikosteroidy</w:t>
            </w:r>
            <w:r w:rsidR="007D4B1B" w:rsidRPr="009D3DED">
              <w:rPr>
                <w:szCs w:val="22"/>
                <w:lang w:val="sk-SK"/>
              </w:rPr>
              <w:t xml:space="preserve">: </w:t>
            </w:r>
          </w:p>
          <w:p w14:paraId="34022A67" w14:textId="77777777" w:rsidR="007D4B1B" w:rsidRPr="009D3DED" w:rsidRDefault="007D4B1B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6022" w:type="dxa"/>
            <w:shd w:val="clear" w:color="auto" w:fill="auto"/>
            <w:tcMar>
              <w:top w:w="85" w:type="dxa"/>
              <w:bottom w:w="85" w:type="dxa"/>
            </w:tcMar>
          </w:tcPr>
          <w:p w14:paraId="5221844A" w14:textId="77777777" w:rsidR="007D4B1B" w:rsidRPr="009D3DED" w:rsidRDefault="00445EFD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Kortikosteroidy môžu zvyšovať riziko nežiaducich účinkov, najmä v gastrointestinálnom trakte (napr. gastrointestinálne ulcerácie alebo krvácanie)</w:t>
            </w:r>
            <w:r w:rsidR="00A44BE2" w:rsidRPr="009D3DED">
              <w:rPr>
                <w:szCs w:val="22"/>
                <w:lang w:val="sk-SK"/>
              </w:rPr>
              <w:t xml:space="preserve"> (</w:t>
            </w:r>
            <w:r w:rsidR="00542E76" w:rsidRPr="009D3DED">
              <w:rPr>
                <w:szCs w:val="22"/>
                <w:lang w:val="sk-SK"/>
              </w:rPr>
              <w:t>pozri časť</w:t>
            </w:r>
            <w:r w:rsidR="00A44BE2" w:rsidRPr="009D3DED">
              <w:rPr>
                <w:szCs w:val="22"/>
                <w:lang w:val="sk-SK"/>
              </w:rPr>
              <w:t xml:space="preserve"> 4.4)</w:t>
            </w:r>
            <w:r w:rsidR="007D4B1B" w:rsidRPr="009D3DED">
              <w:rPr>
                <w:szCs w:val="22"/>
                <w:lang w:val="sk-SK"/>
              </w:rPr>
              <w:t>.</w:t>
            </w:r>
          </w:p>
        </w:tc>
      </w:tr>
      <w:tr w:rsidR="007D4B1B" w:rsidRPr="009D3DED" w14:paraId="7D905043" w14:textId="77777777" w:rsidTr="001124DA">
        <w:tc>
          <w:tcPr>
            <w:tcW w:w="3607" w:type="dxa"/>
            <w:shd w:val="clear" w:color="auto" w:fill="auto"/>
            <w:tcMar>
              <w:top w:w="85" w:type="dxa"/>
              <w:bottom w:w="85" w:type="dxa"/>
            </w:tcMar>
          </w:tcPr>
          <w:p w14:paraId="36A425DD" w14:textId="533A4020" w:rsidR="007D4B1B" w:rsidRPr="009D3DED" w:rsidRDefault="003221B5" w:rsidP="00FF309C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Antitrombotiká</w:t>
            </w:r>
            <w:r w:rsidR="007D4B1B" w:rsidRPr="009D3DED">
              <w:rPr>
                <w:szCs w:val="22"/>
                <w:lang w:val="sk-SK"/>
              </w:rPr>
              <w:t>:</w:t>
            </w:r>
          </w:p>
        </w:tc>
        <w:tc>
          <w:tcPr>
            <w:tcW w:w="6022" w:type="dxa"/>
            <w:shd w:val="clear" w:color="auto" w:fill="auto"/>
            <w:tcMar>
              <w:top w:w="85" w:type="dxa"/>
              <w:bottom w:w="85" w:type="dxa"/>
            </w:tcMar>
          </w:tcPr>
          <w:p w14:paraId="524D6108" w14:textId="77777777" w:rsidR="007D4B1B" w:rsidRPr="009D3DED" w:rsidRDefault="00445EFD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 xml:space="preserve">Zvýšené riziko gastrointestinálneho krvácania </w:t>
            </w:r>
            <w:r w:rsidR="00A44BE2" w:rsidRPr="009D3DED">
              <w:rPr>
                <w:szCs w:val="22"/>
                <w:lang w:val="sk-SK"/>
              </w:rPr>
              <w:t>(</w:t>
            </w:r>
            <w:r w:rsidR="00542E76" w:rsidRPr="009D3DED">
              <w:rPr>
                <w:szCs w:val="22"/>
                <w:lang w:val="sk-SK"/>
              </w:rPr>
              <w:t>pozri časť</w:t>
            </w:r>
            <w:r w:rsidR="00A44BE2" w:rsidRPr="009D3DED">
              <w:rPr>
                <w:szCs w:val="22"/>
                <w:lang w:val="sk-SK"/>
              </w:rPr>
              <w:t xml:space="preserve"> 4.4)</w:t>
            </w:r>
            <w:r w:rsidR="007D4B1B" w:rsidRPr="009D3DED">
              <w:rPr>
                <w:szCs w:val="22"/>
                <w:lang w:val="sk-SK"/>
              </w:rPr>
              <w:t>.</w:t>
            </w:r>
          </w:p>
        </w:tc>
      </w:tr>
      <w:tr w:rsidR="007D4B1B" w:rsidRPr="009D3DED" w14:paraId="4EF78BE4" w14:textId="77777777" w:rsidTr="001124DA">
        <w:tc>
          <w:tcPr>
            <w:tcW w:w="3607" w:type="dxa"/>
            <w:shd w:val="clear" w:color="auto" w:fill="auto"/>
            <w:tcMar>
              <w:top w:w="85" w:type="dxa"/>
              <w:bottom w:w="85" w:type="dxa"/>
            </w:tcMar>
          </w:tcPr>
          <w:p w14:paraId="24640ACF" w14:textId="77777777" w:rsidR="007D4B1B" w:rsidRPr="009D3DED" w:rsidRDefault="00CD2BDA" w:rsidP="00FF309C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Kyselina acetylsalicylová</w:t>
            </w:r>
            <w:r w:rsidR="007D4B1B" w:rsidRPr="009D3DED">
              <w:rPr>
                <w:szCs w:val="22"/>
                <w:lang w:val="sk-SK"/>
              </w:rPr>
              <w:t>:</w:t>
            </w:r>
          </w:p>
        </w:tc>
        <w:tc>
          <w:tcPr>
            <w:tcW w:w="6022" w:type="dxa"/>
            <w:shd w:val="clear" w:color="auto" w:fill="auto"/>
            <w:tcMar>
              <w:top w:w="85" w:type="dxa"/>
              <w:bottom w:w="85" w:type="dxa"/>
            </w:tcMar>
          </w:tcPr>
          <w:p w14:paraId="2CFF7367" w14:textId="77777777" w:rsidR="00F023EB" w:rsidRPr="009D3DED" w:rsidRDefault="00B92304">
            <w:pPr>
              <w:pStyle w:val="BodytextAgency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9D3DED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Súbežn</w:t>
            </w:r>
            <w:r w:rsidR="00445EFD" w:rsidRPr="009D3DED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é podanie ibuprofénu a kyseliny acetylsalicylovej sa všeobecne neodporúča z dôvodu možného zvýšenia nežiaducich účinkov</w:t>
            </w:r>
            <w:r w:rsidR="00F023EB" w:rsidRPr="009D3DED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.</w:t>
            </w:r>
          </w:p>
          <w:p w14:paraId="5EFB05D7" w14:textId="77777777" w:rsidR="00F023EB" w:rsidRPr="009D3DED" w:rsidRDefault="00F023EB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</w:p>
          <w:p w14:paraId="5F1BF7A0" w14:textId="2C38D7D4" w:rsidR="007D4B1B" w:rsidRPr="009D3DED" w:rsidRDefault="00445EFD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color w:val="000000" w:themeColor="text1"/>
                <w:szCs w:val="24"/>
                <w:lang w:val="sk-SK"/>
              </w:rPr>
            </w:pPr>
            <w:r w:rsidRPr="009D3DED">
              <w:rPr>
                <w:bCs/>
                <w:iCs/>
                <w:color w:val="000000" w:themeColor="text1"/>
                <w:szCs w:val="24"/>
                <w:lang w:val="sk-SK"/>
              </w:rPr>
              <w:t>Experimentálne údaje naznačujú, že ibuprofén môže kompetitívne inhibovať účinok nízkych dávok kyseliny acetylsalicylovej na agregáciu trombocytov, ak sú ob</w:t>
            </w:r>
            <w:r w:rsidR="00524D62">
              <w:rPr>
                <w:bCs/>
                <w:iCs/>
                <w:color w:val="000000" w:themeColor="text1"/>
                <w:szCs w:val="24"/>
                <w:lang w:val="sk-SK"/>
              </w:rPr>
              <w:t>e</w:t>
            </w:r>
            <w:r w:rsidRPr="009D3DED">
              <w:rPr>
                <w:bCs/>
                <w:iCs/>
                <w:color w:val="000000" w:themeColor="text1"/>
                <w:szCs w:val="24"/>
                <w:lang w:val="sk-SK"/>
              </w:rPr>
              <w:t xml:space="preserve"> li</w:t>
            </w:r>
            <w:r w:rsidR="00524D62">
              <w:rPr>
                <w:bCs/>
                <w:iCs/>
                <w:color w:val="000000" w:themeColor="text1"/>
                <w:szCs w:val="24"/>
                <w:lang w:val="sk-SK"/>
              </w:rPr>
              <w:t>ečivá</w:t>
            </w:r>
            <w:r w:rsidRPr="009D3DED">
              <w:rPr>
                <w:bCs/>
                <w:iCs/>
                <w:color w:val="000000" w:themeColor="text1"/>
                <w:szCs w:val="24"/>
                <w:lang w:val="sk-SK"/>
              </w:rPr>
              <w:t xml:space="preserve"> podávané </w:t>
            </w:r>
            <w:r w:rsidR="00B92304" w:rsidRPr="009D3DED">
              <w:rPr>
                <w:bCs/>
                <w:iCs/>
                <w:color w:val="000000" w:themeColor="text1"/>
                <w:szCs w:val="24"/>
                <w:lang w:val="sk-SK"/>
              </w:rPr>
              <w:t>súbežn</w:t>
            </w:r>
            <w:r w:rsidRPr="009D3DED">
              <w:rPr>
                <w:bCs/>
                <w:iCs/>
                <w:color w:val="000000" w:themeColor="text1"/>
                <w:szCs w:val="24"/>
                <w:lang w:val="sk-SK"/>
              </w:rPr>
              <w:t xml:space="preserve">e. Vzhľadom na </w:t>
            </w:r>
            <w:r w:rsidR="003221B5">
              <w:rPr>
                <w:bCs/>
                <w:iCs/>
                <w:color w:val="000000" w:themeColor="text1"/>
                <w:szCs w:val="24"/>
                <w:lang w:val="sk-SK"/>
              </w:rPr>
              <w:t>neistotu</w:t>
            </w:r>
            <w:r w:rsidRPr="009D3DED">
              <w:rPr>
                <w:bCs/>
                <w:iCs/>
                <w:color w:val="000000" w:themeColor="text1"/>
                <w:szCs w:val="24"/>
                <w:lang w:val="sk-SK"/>
              </w:rPr>
              <w:t xml:space="preserve"> extrapolácie týchto údajov </w:t>
            </w:r>
            <w:r w:rsidR="003221B5">
              <w:rPr>
                <w:bCs/>
                <w:iCs/>
                <w:color w:val="000000" w:themeColor="text1"/>
                <w:szCs w:val="24"/>
                <w:lang w:val="sk-SK"/>
              </w:rPr>
              <w:t>do</w:t>
            </w:r>
            <w:r w:rsidRPr="009D3DED">
              <w:rPr>
                <w:bCs/>
                <w:iCs/>
                <w:color w:val="000000" w:themeColor="text1"/>
                <w:szCs w:val="24"/>
                <w:lang w:val="sk-SK"/>
              </w:rPr>
              <w:t xml:space="preserve"> klinick</w:t>
            </w:r>
            <w:r w:rsidR="003221B5">
              <w:rPr>
                <w:bCs/>
                <w:iCs/>
                <w:color w:val="000000" w:themeColor="text1"/>
                <w:szCs w:val="24"/>
                <w:lang w:val="sk-SK"/>
              </w:rPr>
              <w:t>ej</w:t>
            </w:r>
            <w:r w:rsidRPr="009D3DED">
              <w:rPr>
                <w:bCs/>
                <w:iCs/>
                <w:color w:val="000000" w:themeColor="text1"/>
                <w:szCs w:val="24"/>
                <w:lang w:val="sk-SK"/>
              </w:rPr>
              <w:t xml:space="preserve"> </w:t>
            </w:r>
            <w:r w:rsidR="003221B5">
              <w:rPr>
                <w:bCs/>
                <w:iCs/>
                <w:color w:val="000000" w:themeColor="text1"/>
                <w:szCs w:val="24"/>
                <w:lang w:val="sk-SK"/>
              </w:rPr>
              <w:t>praxe</w:t>
            </w:r>
            <w:r w:rsidRPr="009D3DED">
              <w:rPr>
                <w:bCs/>
                <w:iCs/>
                <w:color w:val="000000" w:themeColor="text1"/>
                <w:szCs w:val="24"/>
                <w:lang w:val="sk-SK"/>
              </w:rPr>
              <w:t xml:space="preserve"> nemožno vylúčiť možnosť, že pravidelné a dlhodobé užívanie </w:t>
            </w:r>
            <w:r w:rsidR="00C30552" w:rsidRPr="009D3DED">
              <w:rPr>
                <w:bCs/>
                <w:iCs/>
                <w:color w:val="000000" w:themeColor="text1"/>
                <w:szCs w:val="24"/>
                <w:lang w:val="sk-SK"/>
              </w:rPr>
              <w:t>ibuprofén</w:t>
            </w:r>
            <w:r w:rsidRPr="009D3DED">
              <w:rPr>
                <w:bCs/>
                <w:iCs/>
                <w:color w:val="000000" w:themeColor="text1"/>
                <w:szCs w:val="24"/>
                <w:lang w:val="sk-SK"/>
              </w:rPr>
              <w:t>u môže znižovať kardioprotektívny účinok  kyseliny acetylsalicylovej</w:t>
            </w:r>
            <w:r w:rsidR="003221B5">
              <w:rPr>
                <w:bCs/>
                <w:iCs/>
                <w:color w:val="000000" w:themeColor="text1"/>
                <w:szCs w:val="24"/>
                <w:lang w:val="sk-SK"/>
              </w:rPr>
              <w:t xml:space="preserve"> podávanej v nízkych dávkach</w:t>
            </w:r>
            <w:r w:rsidRPr="009D3DED">
              <w:rPr>
                <w:bCs/>
                <w:iCs/>
                <w:color w:val="000000" w:themeColor="text1"/>
                <w:szCs w:val="24"/>
                <w:lang w:val="sk-SK"/>
              </w:rPr>
              <w:t>.</w:t>
            </w:r>
            <w:r w:rsidR="000D47A6" w:rsidRPr="009D3DED">
              <w:rPr>
                <w:bCs/>
                <w:iCs/>
                <w:color w:val="000000" w:themeColor="text1"/>
                <w:szCs w:val="24"/>
                <w:lang w:val="sk-SK"/>
              </w:rPr>
              <w:t xml:space="preserve"> V</w:t>
            </w:r>
            <w:r w:rsidR="004407FA">
              <w:rPr>
                <w:bCs/>
                <w:iCs/>
                <w:color w:val="000000" w:themeColor="text1"/>
                <w:szCs w:val="24"/>
                <w:lang w:val="sk-SK"/>
              </w:rPr>
              <w:t> </w:t>
            </w:r>
            <w:r w:rsidR="000D47A6" w:rsidRPr="009D3DED">
              <w:rPr>
                <w:bCs/>
                <w:iCs/>
                <w:color w:val="000000" w:themeColor="text1"/>
                <w:szCs w:val="24"/>
                <w:lang w:val="sk-SK"/>
              </w:rPr>
              <w:t>prípade</w:t>
            </w:r>
            <w:r w:rsidR="004407FA">
              <w:rPr>
                <w:bCs/>
                <w:iCs/>
                <w:color w:val="000000" w:themeColor="text1"/>
                <w:szCs w:val="24"/>
                <w:lang w:val="sk-SK"/>
              </w:rPr>
              <w:t xml:space="preserve"> </w:t>
            </w:r>
            <w:r w:rsidR="003221B5">
              <w:rPr>
                <w:bCs/>
                <w:iCs/>
                <w:color w:val="000000" w:themeColor="text1"/>
                <w:szCs w:val="24"/>
                <w:lang w:val="sk-SK"/>
              </w:rPr>
              <w:t>občasného</w:t>
            </w:r>
            <w:r w:rsidR="000D47A6" w:rsidRPr="009D3DED">
              <w:rPr>
                <w:bCs/>
                <w:iCs/>
                <w:color w:val="000000" w:themeColor="text1"/>
                <w:szCs w:val="24"/>
                <w:lang w:val="sk-SK"/>
              </w:rPr>
              <w:t xml:space="preserve"> </w:t>
            </w:r>
            <w:r w:rsidRPr="009D3DED">
              <w:rPr>
                <w:bCs/>
                <w:iCs/>
                <w:color w:val="000000" w:themeColor="text1"/>
                <w:szCs w:val="24"/>
                <w:lang w:val="sk-SK"/>
              </w:rPr>
              <w:t>u</w:t>
            </w:r>
            <w:r w:rsidR="003221B5">
              <w:rPr>
                <w:bCs/>
                <w:iCs/>
                <w:color w:val="000000" w:themeColor="text1"/>
                <w:szCs w:val="24"/>
                <w:lang w:val="sk-SK"/>
              </w:rPr>
              <w:t>žívania</w:t>
            </w:r>
            <w:r w:rsidRPr="009D3DED">
              <w:rPr>
                <w:bCs/>
                <w:iCs/>
                <w:color w:val="000000" w:themeColor="text1"/>
                <w:szCs w:val="24"/>
                <w:lang w:val="sk-SK"/>
              </w:rPr>
              <w:t xml:space="preserve"> </w:t>
            </w:r>
            <w:r w:rsidR="00C30552" w:rsidRPr="009D3DED">
              <w:rPr>
                <w:bCs/>
                <w:iCs/>
                <w:color w:val="000000" w:themeColor="text1"/>
                <w:szCs w:val="24"/>
                <w:lang w:val="sk-SK"/>
              </w:rPr>
              <w:t>ibuprofén</w:t>
            </w:r>
            <w:r w:rsidRPr="009D3DED">
              <w:rPr>
                <w:bCs/>
                <w:iCs/>
                <w:color w:val="000000" w:themeColor="text1"/>
                <w:szCs w:val="24"/>
                <w:lang w:val="sk-SK"/>
              </w:rPr>
              <w:t xml:space="preserve">u sa nepredpokladá žiadny klinicky relevantný účinok </w:t>
            </w:r>
            <w:r w:rsidR="00A44BE2" w:rsidRPr="009D3DED">
              <w:rPr>
                <w:bCs/>
                <w:iCs/>
                <w:color w:val="000000" w:themeColor="text1"/>
                <w:szCs w:val="24"/>
                <w:lang w:val="sk-SK"/>
              </w:rPr>
              <w:t>(</w:t>
            </w:r>
            <w:r w:rsidR="00542E76" w:rsidRPr="009D3DED">
              <w:rPr>
                <w:bCs/>
                <w:iCs/>
                <w:color w:val="000000" w:themeColor="text1"/>
                <w:szCs w:val="24"/>
                <w:lang w:val="sk-SK"/>
              </w:rPr>
              <w:t>pozri časť</w:t>
            </w:r>
            <w:r w:rsidR="00A44BE2" w:rsidRPr="009D3DED">
              <w:rPr>
                <w:bCs/>
                <w:iCs/>
                <w:color w:val="000000" w:themeColor="text1"/>
                <w:szCs w:val="24"/>
                <w:lang w:val="sk-SK"/>
              </w:rPr>
              <w:t xml:space="preserve"> 5.1)</w:t>
            </w:r>
            <w:r w:rsidR="00F023EB" w:rsidRPr="009D3DED">
              <w:rPr>
                <w:szCs w:val="22"/>
                <w:lang w:val="sk-SK"/>
              </w:rPr>
              <w:t>.</w:t>
            </w:r>
          </w:p>
        </w:tc>
      </w:tr>
      <w:tr w:rsidR="007D4B1B" w:rsidRPr="009D3DED" w14:paraId="2B10261D" w14:textId="77777777" w:rsidTr="001124DA">
        <w:tc>
          <w:tcPr>
            <w:tcW w:w="3607" w:type="dxa"/>
            <w:shd w:val="clear" w:color="auto" w:fill="auto"/>
            <w:tcMar>
              <w:top w:w="85" w:type="dxa"/>
              <w:bottom w:w="85" w:type="dxa"/>
            </w:tcMar>
          </w:tcPr>
          <w:p w14:paraId="09BE90B5" w14:textId="77777777" w:rsidR="007D4B1B" w:rsidRPr="009D3DED" w:rsidRDefault="00CD2BDA" w:rsidP="00FF309C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Antik</w:t>
            </w:r>
            <w:r w:rsidR="007D4B1B" w:rsidRPr="009D3DED">
              <w:rPr>
                <w:szCs w:val="22"/>
                <w:lang w:val="sk-SK"/>
              </w:rPr>
              <w:t>oagulan</w:t>
            </w:r>
            <w:r w:rsidRPr="009D3DED">
              <w:rPr>
                <w:szCs w:val="22"/>
                <w:lang w:val="sk-SK"/>
              </w:rPr>
              <w:t>ci</w:t>
            </w:r>
            <w:r w:rsidR="00445EFD" w:rsidRPr="009D3DED">
              <w:rPr>
                <w:szCs w:val="22"/>
                <w:lang w:val="sk-SK"/>
              </w:rPr>
              <w:t>á</w:t>
            </w:r>
            <w:r w:rsidR="007D4B1B" w:rsidRPr="009D3DED">
              <w:rPr>
                <w:szCs w:val="22"/>
                <w:lang w:val="sk-SK"/>
              </w:rPr>
              <w:t xml:space="preserve">: </w:t>
            </w:r>
          </w:p>
        </w:tc>
        <w:tc>
          <w:tcPr>
            <w:tcW w:w="6022" w:type="dxa"/>
            <w:shd w:val="clear" w:color="auto" w:fill="auto"/>
            <w:tcMar>
              <w:top w:w="85" w:type="dxa"/>
              <w:bottom w:w="85" w:type="dxa"/>
            </w:tcMar>
          </w:tcPr>
          <w:p w14:paraId="6EC2324A" w14:textId="77777777" w:rsidR="007D4B1B" w:rsidRPr="009D3DED" w:rsidRDefault="00445EFD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 xml:space="preserve">NSAID môžu zosilniť účinok antikoagulancií </w:t>
            </w:r>
            <w:r w:rsidR="00A44BE2" w:rsidRPr="009D3DED">
              <w:rPr>
                <w:szCs w:val="22"/>
                <w:lang w:val="sk-SK"/>
              </w:rPr>
              <w:t>(</w:t>
            </w:r>
            <w:r w:rsidR="00542E76" w:rsidRPr="009D3DED">
              <w:rPr>
                <w:szCs w:val="22"/>
                <w:lang w:val="sk-SK"/>
              </w:rPr>
              <w:t>pozri časť</w:t>
            </w:r>
            <w:r w:rsidR="00A44BE2" w:rsidRPr="009D3DED">
              <w:rPr>
                <w:szCs w:val="22"/>
                <w:lang w:val="sk-SK"/>
              </w:rPr>
              <w:t xml:space="preserve"> 4.4)</w:t>
            </w:r>
            <w:r w:rsidR="007D4B1B" w:rsidRPr="009D3DED">
              <w:rPr>
                <w:szCs w:val="22"/>
                <w:lang w:val="sk-SK"/>
              </w:rPr>
              <w:t>.</w:t>
            </w:r>
          </w:p>
        </w:tc>
      </w:tr>
      <w:tr w:rsidR="007D4B1B" w:rsidRPr="009D3DED" w14:paraId="586F51EC" w14:textId="77777777" w:rsidTr="001124DA">
        <w:tc>
          <w:tcPr>
            <w:tcW w:w="3607" w:type="dxa"/>
            <w:shd w:val="clear" w:color="auto" w:fill="auto"/>
            <w:tcMar>
              <w:top w:w="85" w:type="dxa"/>
              <w:bottom w:w="85" w:type="dxa"/>
            </w:tcMar>
          </w:tcPr>
          <w:p w14:paraId="2592E94C" w14:textId="77777777" w:rsidR="007D4B1B" w:rsidRPr="009D3DED" w:rsidRDefault="00CD2BDA" w:rsidP="00FF309C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F</w:t>
            </w:r>
            <w:r w:rsidR="00445EFD" w:rsidRPr="009D3DED">
              <w:rPr>
                <w:szCs w:val="22"/>
                <w:lang w:val="sk-SK"/>
              </w:rPr>
              <w:t>enytoí</w:t>
            </w:r>
            <w:r w:rsidR="007D4B1B" w:rsidRPr="009D3DED">
              <w:rPr>
                <w:szCs w:val="22"/>
                <w:lang w:val="sk-SK"/>
              </w:rPr>
              <w:t>n:</w:t>
            </w:r>
          </w:p>
        </w:tc>
        <w:tc>
          <w:tcPr>
            <w:tcW w:w="6022" w:type="dxa"/>
            <w:shd w:val="clear" w:color="auto" w:fill="auto"/>
            <w:tcMar>
              <w:top w:w="85" w:type="dxa"/>
              <w:bottom w:w="85" w:type="dxa"/>
            </w:tcMar>
          </w:tcPr>
          <w:p w14:paraId="100CDC62" w14:textId="77777777" w:rsidR="007D4B1B" w:rsidRPr="009D3DED" w:rsidRDefault="00B9230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Súbežn</w:t>
            </w:r>
            <w:r w:rsidR="00445EFD" w:rsidRPr="009D3DED">
              <w:rPr>
                <w:szCs w:val="22"/>
                <w:lang w:val="sk-SK"/>
              </w:rPr>
              <w:t xml:space="preserve">é </w:t>
            </w:r>
            <w:r w:rsidR="000D47A6" w:rsidRPr="009D3DED">
              <w:rPr>
                <w:szCs w:val="22"/>
                <w:lang w:val="sk-SK"/>
              </w:rPr>
              <w:t xml:space="preserve">užívanie </w:t>
            </w:r>
            <w:r w:rsidR="00445EFD" w:rsidRPr="009D3DED">
              <w:rPr>
                <w:szCs w:val="22"/>
                <w:lang w:val="sk-SK"/>
              </w:rPr>
              <w:t xml:space="preserve">ibuprofénu s liekmi obsahujúcimi fenytoín môže zvýšiť sérové hladiny týchto liekov. Kontrola </w:t>
            </w:r>
            <w:r w:rsidR="00F34866" w:rsidRPr="009D3DED">
              <w:rPr>
                <w:szCs w:val="22"/>
                <w:lang w:val="sk-SK"/>
              </w:rPr>
              <w:t xml:space="preserve">sérových </w:t>
            </w:r>
            <w:r w:rsidR="00445EFD" w:rsidRPr="009D3DED">
              <w:rPr>
                <w:szCs w:val="22"/>
                <w:lang w:val="sk-SK"/>
              </w:rPr>
              <w:t xml:space="preserve">hladín fenytoínu </w:t>
            </w:r>
            <w:r w:rsidR="00BE3EB0" w:rsidRPr="009D3DED">
              <w:rPr>
                <w:szCs w:val="22"/>
                <w:lang w:val="sk-SK"/>
              </w:rPr>
              <w:t xml:space="preserve">nie je potrebná, ak sa </w:t>
            </w:r>
            <w:r w:rsidR="00445EFD" w:rsidRPr="009D3DED">
              <w:rPr>
                <w:szCs w:val="22"/>
                <w:lang w:val="sk-SK"/>
              </w:rPr>
              <w:t>užíva v súlade s odporúčaním (maximálne po</w:t>
            </w:r>
            <w:r w:rsidR="00BE3EB0" w:rsidRPr="009D3DED">
              <w:rPr>
                <w:szCs w:val="22"/>
                <w:lang w:val="sk-SK"/>
              </w:rPr>
              <w:t>čas</w:t>
            </w:r>
            <w:r w:rsidR="00445EFD" w:rsidRPr="009D3DED">
              <w:rPr>
                <w:szCs w:val="22"/>
                <w:lang w:val="sk-SK"/>
              </w:rPr>
              <w:t xml:space="preserve"> 3 dní</w:t>
            </w:r>
            <w:r w:rsidR="00A44BE2" w:rsidRPr="009D3DED">
              <w:rPr>
                <w:szCs w:val="22"/>
                <w:lang w:val="sk-SK"/>
              </w:rPr>
              <w:t>)</w:t>
            </w:r>
            <w:r w:rsidR="009C00AC" w:rsidRPr="009D3DED">
              <w:rPr>
                <w:szCs w:val="22"/>
                <w:lang w:val="sk-SK"/>
              </w:rPr>
              <w:t>.</w:t>
            </w:r>
          </w:p>
        </w:tc>
      </w:tr>
      <w:tr w:rsidR="007D4B1B" w:rsidRPr="009D3DED" w14:paraId="20F14EB3" w14:textId="77777777" w:rsidTr="001124DA">
        <w:tc>
          <w:tcPr>
            <w:tcW w:w="3607" w:type="dxa"/>
            <w:shd w:val="clear" w:color="auto" w:fill="auto"/>
            <w:tcMar>
              <w:top w:w="85" w:type="dxa"/>
              <w:bottom w:w="85" w:type="dxa"/>
            </w:tcMar>
          </w:tcPr>
          <w:p w14:paraId="41A6BF06" w14:textId="2434FC44" w:rsidR="007D4B1B" w:rsidRPr="009D3DED" w:rsidRDefault="00445EFD" w:rsidP="00FF309C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Selektívne inhibítory spätného vychytávania s</w:t>
            </w:r>
            <w:r w:rsidR="00B55762">
              <w:rPr>
                <w:szCs w:val="22"/>
                <w:lang w:val="sk-SK"/>
              </w:rPr>
              <w:t>é</w:t>
            </w:r>
            <w:r w:rsidRPr="009D3DED">
              <w:rPr>
                <w:szCs w:val="22"/>
                <w:lang w:val="sk-SK"/>
              </w:rPr>
              <w:t xml:space="preserve">rotonínu </w:t>
            </w:r>
            <w:r w:rsidR="00CD2BDA" w:rsidRPr="009D3DED">
              <w:rPr>
                <w:szCs w:val="22"/>
                <w:lang w:val="sk-SK"/>
              </w:rPr>
              <w:t>(SSRI</w:t>
            </w:r>
            <w:r w:rsidR="007D4B1B" w:rsidRPr="009D3DED">
              <w:rPr>
                <w:szCs w:val="22"/>
                <w:lang w:val="sk-SK"/>
              </w:rPr>
              <w:t>):</w:t>
            </w:r>
          </w:p>
        </w:tc>
        <w:tc>
          <w:tcPr>
            <w:tcW w:w="6022" w:type="dxa"/>
            <w:shd w:val="clear" w:color="auto" w:fill="auto"/>
            <w:tcMar>
              <w:top w:w="85" w:type="dxa"/>
              <w:bottom w:w="85" w:type="dxa"/>
            </w:tcMar>
          </w:tcPr>
          <w:p w14:paraId="34FB1F6C" w14:textId="77777777" w:rsidR="007D4B1B" w:rsidRPr="009D3DED" w:rsidRDefault="00445EFD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Zvýšené riziko gastrointestinálneho krvácania</w:t>
            </w:r>
            <w:r w:rsidR="00A44BE2" w:rsidRPr="009D3DED">
              <w:rPr>
                <w:szCs w:val="22"/>
                <w:lang w:val="sk-SK"/>
              </w:rPr>
              <w:t xml:space="preserve"> (</w:t>
            </w:r>
            <w:r w:rsidR="00542E76" w:rsidRPr="009D3DED">
              <w:rPr>
                <w:szCs w:val="22"/>
                <w:lang w:val="sk-SK"/>
              </w:rPr>
              <w:t>pozri časť</w:t>
            </w:r>
            <w:r w:rsidR="00A44BE2" w:rsidRPr="009D3DED">
              <w:rPr>
                <w:szCs w:val="22"/>
                <w:lang w:val="sk-SK"/>
              </w:rPr>
              <w:t xml:space="preserve"> 4.4)</w:t>
            </w:r>
            <w:r w:rsidR="007D4B1B" w:rsidRPr="009D3DED">
              <w:rPr>
                <w:szCs w:val="22"/>
                <w:lang w:val="sk-SK"/>
              </w:rPr>
              <w:t>.</w:t>
            </w:r>
          </w:p>
        </w:tc>
      </w:tr>
      <w:tr w:rsidR="007D4B1B" w:rsidRPr="009D3DED" w14:paraId="096A8712" w14:textId="77777777" w:rsidTr="001124DA">
        <w:tc>
          <w:tcPr>
            <w:tcW w:w="3607" w:type="dxa"/>
            <w:shd w:val="clear" w:color="auto" w:fill="auto"/>
            <w:tcMar>
              <w:top w:w="85" w:type="dxa"/>
              <w:bottom w:w="85" w:type="dxa"/>
            </w:tcMar>
          </w:tcPr>
          <w:p w14:paraId="6464E20C" w14:textId="77777777" w:rsidR="007D4B1B" w:rsidRPr="009D3DED" w:rsidRDefault="00445EFD" w:rsidP="00FF309C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lastRenderedPageBreak/>
              <w:t>Lítium</w:t>
            </w:r>
            <w:r w:rsidR="007D4B1B" w:rsidRPr="009D3DED">
              <w:rPr>
                <w:szCs w:val="22"/>
                <w:lang w:val="sk-SK"/>
              </w:rPr>
              <w:t>:</w:t>
            </w:r>
          </w:p>
        </w:tc>
        <w:tc>
          <w:tcPr>
            <w:tcW w:w="6022" w:type="dxa"/>
            <w:shd w:val="clear" w:color="auto" w:fill="auto"/>
            <w:tcMar>
              <w:top w:w="85" w:type="dxa"/>
              <w:bottom w:w="85" w:type="dxa"/>
            </w:tcMar>
          </w:tcPr>
          <w:p w14:paraId="0D40C8F8" w14:textId="77777777" w:rsidR="007D4B1B" w:rsidRPr="009D3DED" w:rsidRDefault="00B9230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Súbežn</w:t>
            </w:r>
            <w:r w:rsidR="00445EFD" w:rsidRPr="009D3DED">
              <w:rPr>
                <w:szCs w:val="22"/>
                <w:lang w:val="sk-SK"/>
              </w:rPr>
              <w:t xml:space="preserve">é </w:t>
            </w:r>
            <w:r w:rsidR="000D47A6" w:rsidRPr="009D3DED">
              <w:rPr>
                <w:szCs w:val="22"/>
                <w:lang w:val="sk-SK"/>
              </w:rPr>
              <w:t xml:space="preserve">užívanie </w:t>
            </w:r>
            <w:r w:rsidR="00445EFD" w:rsidRPr="009D3DED">
              <w:rPr>
                <w:szCs w:val="22"/>
                <w:lang w:val="sk-SK"/>
              </w:rPr>
              <w:t>ibuprofénu s liekmi obsahujúcimi lítium môže zvýšiť sérové hladiny týchto liekov. Kontrola sérových hladín</w:t>
            </w:r>
            <w:r w:rsidR="00BE3EB0" w:rsidRPr="009D3DED">
              <w:rPr>
                <w:szCs w:val="22"/>
                <w:lang w:val="sk-SK"/>
              </w:rPr>
              <w:t xml:space="preserve"> lítia nie je potrebná, ak sa </w:t>
            </w:r>
            <w:r w:rsidR="00445EFD" w:rsidRPr="009D3DED">
              <w:rPr>
                <w:szCs w:val="22"/>
                <w:lang w:val="sk-SK"/>
              </w:rPr>
              <w:t xml:space="preserve">užíva v súlade s odporúčaním (maximálne </w:t>
            </w:r>
            <w:r w:rsidR="00F34866" w:rsidRPr="009D3DED">
              <w:rPr>
                <w:szCs w:val="22"/>
                <w:lang w:val="sk-SK"/>
              </w:rPr>
              <w:t xml:space="preserve">počas </w:t>
            </w:r>
            <w:r w:rsidR="00445EFD" w:rsidRPr="009D3DED">
              <w:rPr>
                <w:szCs w:val="22"/>
                <w:lang w:val="sk-SK"/>
              </w:rPr>
              <w:t>3 dní</w:t>
            </w:r>
            <w:r w:rsidR="00D02665" w:rsidRPr="009D3DED">
              <w:rPr>
                <w:szCs w:val="22"/>
                <w:lang w:val="sk-SK"/>
              </w:rPr>
              <w:t>)</w:t>
            </w:r>
            <w:r w:rsidR="009C00AC" w:rsidRPr="009D3DED">
              <w:rPr>
                <w:szCs w:val="22"/>
                <w:lang w:val="sk-SK"/>
              </w:rPr>
              <w:t>.</w:t>
            </w:r>
          </w:p>
        </w:tc>
      </w:tr>
      <w:tr w:rsidR="007D4B1B" w:rsidRPr="009D3DED" w14:paraId="6EE82B81" w14:textId="77777777" w:rsidTr="001124DA">
        <w:tc>
          <w:tcPr>
            <w:tcW w:w="3607" w:type="dxa"/>
            <w:shd w:val="clear" w:color="auto" w:fill="auto"/>
            <w:tcMar>
              <w:top w:w="85" w:type="dxa"/>
              <w:bottom w:w="85" w:type="dxa"/>
            </w:tcMar>
          </w:tcPr>
          <w:p w14:paraId="56CC8120" w14:textId="77777777" w:rsidR="007D4B1B" w:rsidRPr="009D3DED" w:rsidRDefault="00CD2BDA" w:rsidP="00FF309C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 xml:space="preserve">Probenecid a </w:t>
            </w:r>
            <w:r w:rsidR="00445EFD" w:rsidRPr="009D3DED">
              <w:rPr>
                <w:szCs w:val="22"/>
                <w:lang w:val="sk-SK"/>
              </w:rPr>
              <w:t>sulfinpyrazón</w:t>
            </w:r>
            <w:r w:rsidR="007D4B1B" w:rsidRPr="009D3DED">
              <w:rPr>
                <w:szCs w:val="22"/>
                <w:lang w:val="sk-SK"/>
              </w:rPr>
              <w:t>:</w:t>
            </w:r>
          </w:p>
        </w:tc>
        <w:tc>
          <w:tcPr>
            <w:tcW w:w="6022" w:type="dxa"/>
            <w:shd w:val="clear" w:color="auto" w:fill="auto"/>
            <w:tcMar>
              <w:top w:w="85" w:type="dxa"/>
              <w:bottom w:w="85" w:type="dxa"/>
            </w:tcMar>
          </w:tcPr>
          <w:p w14:paraId="7E827C51" w14:textId="77777777" w:rsidR="007D4B1B" w:rsidRPr="009D3DED" w:rsidRDefault="00445EFD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Lieky, ktoré obsahujú probenecid alebo sulfinpyrazón, môžu predĺžiť vylučovanie ibuprofénu</w:t>
            </w:r>
            <w:r w:rsidR="007D4B1B" w:rsidRPr="009D3DED">
              <w:rPr>
                <w:szCs w:val="22"/>
                <w:lang w:val="sk-SK"/>
              </w:rPr>
              <w:t xml:space="preserve">. </w:t>
            </w:r>
          </w:p>
        </w:tc>
      </w:tr>
      <w:tr w:rsidR="007D4B1B" w:rsidRPr="009D3DED" w14:paraId="7E3C9676" w14:textId="77777777" w:rsidTr="001124DA">
        <w:tc>
          <w:tcPr>
            <w:tcW w:w="3607" w:type="dxa"/>
            <w:shd w:val="clear" w:color="auto" w:fill="auto"/>
            <w:tcMar>
              <w:top w:w="85" w:type="dxa"/>
              <w:bottom w:w="85" w:type="dxa"/>
            </w:tcMar>
          </w:tcPr>
          <w:p w14:paraId="5BD9EC46" w14:textId="07E69317" w:rsidR="007D4B1B" w:rsidRPr="009D3DED" w:rsidRDefault="00445EFD" w:rsidP="00FF309C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Diuretiká,  inhibítory</w:t>
            </w:r>
            <w:r w:rsidR="00AC6990">
              <w:rPr>
                <w:szCs w:val="22"/>
                <w:lang w:val="sk-SK"/>
              </w:rPr>
              <w:t xml:space="preserve"> enzýmu konvertujúceho angiotenzín</w:t>
            </w:r>
            <w:r w:rsidR="00A92F6C">
              <w:rPr>
                <w:szCs w:val="22"/>
                <w:lang w:val="sk-SK"/>
              </w:rPr>
              <w:t xml:space="preserve"> </w:t>
            </w:r>
            <w:r w:rsidR="00AC6990">
              <w:rPr>
                <w:szCs w:val="22"/>
                <w:lang w:val="sk-SK"/>
              </w:rPr>
              <w:t>(</w:t>
            </w:r>
            <w:r w:rsidR="00A92F6C">
              <w:rPr>
                <w:szCs w:val="22"/>
                <w:lang w:val="sk-SK"/>
              </w:rPr>
              <w:t>ACE</w:t>
            </w:r>
            <w:r w:rsidR="00AC6990">
              <w:rPr>
                <w:szCs w:val="22"/>
                <w:lang w:val="sk-SK"/>
              </w:rPr>
              <w:t>)</w:t>
            </w:r>
            <w:r w:rsidRPr="009D3DED">
              <w:rPr>
                <w:szCs w:val="22"/>
                <w:lang w:val="sk-SK"/>
              </w:rPr>
              <w:t xml:space="preserve">, betablokátory a </w:t>
            </w:r>
            <w:r w:rsidR="00BE3EB0" w:rsidRPr="009D3DED">
              <w:rPr>
                <w:szCs w:val="22"/>
                <w:lang w:val="sk-SK"/>
              </w:rPr>
              <w:t>antagonisty</w:t>
            </w:r>
            <w:r w:rsidRPr="009D3DED">
              <w:rPr>
                <w:szCs w:val="22"/>
                <w:lang w:val="sk-SK"/>
              </w:rPr>
              <w:t xml:space="preserve"> angiotenzínu </w:t>
            </w:r>
            <w:r w:rsidR="00CD2BDA" w:rsidRPr="009D3DED">
              <w:rPr>
                <w:szCs w:val="22"/>
                <w:lang w:val="sk-SK"/>
              </w:rPr>
              <w:t>II</w:t>
            </w:r>
            <w:r w:rsidR="007D4B1B" w:rsidRPr="009D3DED">
              <w:rPr>
                <w:szCs w:val="22"/>
                <w:lang w:val="sk-SK"/>
              </w:rPr>
              <w:t>:</w:t>
            </w:r>
          </w:p>
        </w:tc>
        <w:tc>
          <w:tcPr>
            <w:tcW w:w="6022" w:type="dxa"/>
            <w:shd w:val="clear" w:color="auto" w:fill="auto"/>
            <w:tcMar>
              <w:top w:w="85" w:type="dxa"/>
              <w:bottom w:w="85" w:type="dxa"/>
            </w:tcMar>
          </w:tcPr>
          <w:p w14:paraId="524A0F5F" w14:textId="77777777" w:rsidR="007D4B1B" w:rsidRPr="009D3DED" w:rsidRDefault="00445EFD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NSAID môžu znižovať účinok diuretík a ďalších antihypertenzív. U niektorých pacientov so zhor</w:t>
            </w:r>
            <w:r w:rsidR="00BE3EB0" w:rsidRPr="009D3DED">
              <w:rPr>
                <w:szCs w:val="22"/>
                <w:lang w:val="sk-SK"/>
              </w:rPr>
              <w:t>šenou funkciou obličiek (napr. d</w:t>
            </w:r>
            <w:r w:rsidRPr="009D3DED">
              <w:rPr>
                <w:szCs w:val="22"/>
                <w:lang w:val="sk-SK"/>
              </w:rPr>
              <w:t xml:space="preserve">ehydratovaní alebo starší pacienti so zhoršenou funkciou obličiek) môže </w:t>
            </w:r>
            <w:r w:rsidR="00B92304" w:rsidRPr="009D3DED">
              <w:rPr>
                <w:szCs w:val="22"/>
                <w:lang w:val="sk-SK"/>
              </w:rPr>
              <w:t>súbežn</w:t>
            </w:r>
            <w:r w:rsidRPr="009D3DED">
              <w:rPr>
                <w:szCs w:val="22"/>
                <w:lang w:val="sk-SK"/>
              </w:rPr>
              <w:t xml:space="preserve">é podanie inhibítora ACE, betablokátorov alebo antagonistov angiotenzínu II a liekov, ktoré inhibujú cyklooxygenázu, viesť k ďalšiemu zhoršeniu funkcie obličiek, vrátane možného akútneho zlyhania </w:t>
            </w:r>
            <w:r w:rsidR="00606DA7" w:rsidRPr="009D3DED">
              <w:rPr>
                <w:szCs w:val="22"/>
                <w:lang w:val="sk-SK"/>
              </w:rPr>
              <w:t>obličiek</w:t>
            </w:r>
            <w:r w:rsidRPr="009D3DED">
              <w:rPr>
                <w:szCs w:val="22"/>
                <w:lang w:val="sk-SK"/>
              </w:rPr>
              <w:t xml:space="preserve">, ktoré je zvyčajne reverzibilné. Preto by kombinácia mala byť podávaná s opatrnosťou, najmä u starších osôb. Pacienti by mali byť náležite hydratovaní a má sa zvážiť monitorovanie funkcie obličiek po začatí </w:t>
            </w:r>
            <w:r w:rsidR="00B92304" w:rsidRPr="009D3DED">
              <w:rPr>
                <w:szCs w:val="22"/>
                <w:lang w:val="sk-SK"/>
              </w:rPr>
              <w:t>súbežn</w:t>
            </w:r>
            <w:r w:rsidRPr="009D3DED">
              <w:rPr>
                <w:szCs w:val="22"/>
                <w:lang w:val="sk-SK"/>
              </w:rPr>
              <w:t>ej liečby a následne v pravidelných intervaloch</w:t>
            </w:r>
            <w:r w:rsidR="007D4B1B" w:rsidRPr="009D3DED">
              <w:rPr>
                <w:szCs w:val="22"/>
                <w:lang w:val="sk-SK"/>
              </w:rPr>
              <w:t>.</w:t>
            </w:r>
          </w:p>
        </w:tc>
      </w:tr>
      <w:tr w:rsidR="007D4B1B" w:rsidRPr="009D3DED" w14:paraId="4705EDCA" w14:textId="77777777" w:rsidTr="001124DA">
        <w:tc>
          <w:tcPr>
            <w:tcW w:w="3607" w:type="dxa"/>
            <w:shd w:val="clear" w:color="auto" w:fill="auto"/>
            <w:tcMar>
              <w:top w:w="85" w:type="dxa"/>
              <w:bottom w:w="85" w:type="dxa"/>
            </w:tcMar>
          </w:tcPr>
          <w:p w14:paraId="75651CBB" w14:textId="77777777" w:rsidR="007D4B1B" w:rsidRPr="009D3DED" w:rsidRDefault="00606DA7" w:rsidP="00FF309C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Draslík šetriace diuretiká</w:t>
            </w:r>
            <w:r w:rsidR="007D4B1B" w:rsidRPr="009D3DED">
              <w:rPr>
                <w:szCs w:val="22"/>
                <w:lang w:val="sk-SK"/>
              </w:rPr>
              <w:t>:</w:t>
            </w:r>
          </w:p>
        </w:tc>
        <w:tc>
          <w:tcPr>
            <w:tcW w:w="6022" w:type="dxa"/>
            <w:shd w:val="clear" w:color="auto" w:fill="auto"/>
            <w:tcMar>
              <w:top w:w="85" w:type="dxa"/>
              <w:bottom w:w="85" w:type="dxa"/>
            </w:tcMar>
          </w:tcPr>
          <w:p w14:paraId="430C397B" w14:textId="77777777" w:rsidR="007D4B1B" w:rsidRPr="009D3DED" w:rsidRDefault="00B9230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Súbežn</w:t>
            </w:r>
            <w:r w:rsidR="00606DA7" w:rsidRPr="009D3DED">
              <w:rPr>
                <w:szCs w:val="22"/>
                <w:lang w:val="sk-SK"/>
              </w:rPr>
              <w:t>é podanie ibuprofénu a draslík šetriacich diuretík môže viesť k hyperkaliémii. Odporúča sa kontrola sérových hladín draslíka</w:t>
            </w:r>
            <w:r w:rsidR="007D4B1B" w:rsidRPr="009D3DED">
              <w:rPr>
                <w:szCs w:val="22"/>
                <w:lang w:val="sk-SK"/>
              </w:rPr>
              <w:t>.</w:t>
            </w:r>
          </w:p>
        </w:tc>
      </w:tr>
      <w:tr w:rsidR="007D4B1B" w:rsidRPr="009D3DED" w14:paraId="703414A2" w14:textId="77777777" w:rsidTr="001124DA">
        <w:tc>
          <w:tcPr>
            <w:tcW w:w="3607" w:type="dxa"/>
            <w:shd w:val="clear" w:color="auto" w:fill="auto"/>
            <w:tcMar>
              <w:top w:w="85" w:type="dxa"/>
              <w:bottom w:w="85" w:type="dxa"/>
            </w:tcMar>
          </w:tcPr>
          <w:p w14:paraId="49802A82" w14:textId="77777777" w:rsidR="007D4B1B" w:rsidRPr="009D3DED" w:rsidRDefault="0080601B" w:rsidP="00FF309C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M</w:t>
            </w:r>
            <w:r w:rsidR="00606DA7" w:rsidRPr="009D3DED">
              <w:rPr>
                <w:szCs w:val="22"/>
                <w:lang w:val="sk-SK"/>
              </w:rPr>
              <w:t>etotrexá</w:t>
            </w:r>
            <w:r w:rsidR="00CD2BDA" w:rsidRPr="009D3DED">
              <w:rPr>
                <w:szCs w:val="22"/>
                <w:lang w:val="sk-SK"/>
              </w:rPr>
              <w:t>t</w:t>
            </w:r>
            <w:r w:rsidR="007D4B1B" w:rsidRPr="009D3DED">
              <w:rPr>
                <w:szCs w:val="22"/>
                <w:lang w:val="sk-SK"/>
              </w:rPr>
              <w:t>:</w:t>
            </w:r>
          </w:p>
        </w:tc>
        <w:tc>
          <w:tcPr>
            <w:tcW w:w="6022" w:type="dxa"/>
            <w:shd w:val="clear" w:color="auto" w:fill="auto"/>
            <w:tcMar>
              <w:top w:w="85" w:type="dxa"/>
              <w:bottom w:w="85" w:type="dxa"/>
            </w:tcMar>
          </w:tcPr>
          <w:p w14:paraId="54EBAC0B" w14:textId="77777777" w:rsidR="007D4B1B" w:rsidRPr="009D3DED" w:rsidRDefault="00606DA7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Podanie ibuprofénu do 24 hodín pred alebo po podaní metotrexátu môže viesť k zvýšeným koncentráciám metotrexátu a k zvýšeniu jeho toxického účinku</w:t>
            </w:r>
            <w:r w:rsidR="007D4B1B" w:rsidRPr="009D3DED">
              <w:rPr>
                <w:szCs w:val="22"/>
                <w:lang w:val="sk-SK"/>
              </w:rPr>
              <w:t xml:space="preserve">. </w:t>
            </w:r>
          </w:p>
        </w:tc>
      </w:tr>
      <w:tr w:rsidR="007D4B1B" w:rsidRPr="009D3DED" w14:paraId="0100E9C5" w14:textId="77777777" w:rsidTr="001124DA">
        <w:trPr>
          <w:cantSplit/>
        </w:trPr>
        <w:tc>
          <w:tcPr>
            <w:tcW w:w="3607" w:type="dxa"/>
            <w:shd w:val="clear" w:color="auto" w:fill="auto"/>
            <w:tcMar>
              <w:top w:w="85" w:type="dxa"/>
              <w:bottom w:w="85" w:type="dxa"/>
            </w:tcMar>
          </w:tcPr>
          <w:p w14:paraId="1908879C" w14:textId="77777777" w:rsidR="007D4B1B" w:rsidRPr="009D3DED" w:rsidRDefault="00CD2BDA" w:rsidP="00FF309C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C</w:t>
            </w:r>
            <w:r w:rsidR="00255F14" w:rsidRPr="009D3DED">
              <w:rPr>
                <w:szCs w:val="22"/>
                <w:lang w:val="sk-SK"/>
              </w:rPr>
              <w:t>y</w:t>
            </w:r>
            <w:r w:rsidRPr="009D3DED">
              <w:rPr>
                <w:szCs w:val="22"/>
                <w:lang w:val="sk-SK"/>
              </w:rPr>
              <w:t>k</w:t>
            </w:r>
            <w:r w:rsidR="00606DA7" w:rsidRPr="009D3DED">
              <w:rPr>
                <w:szCs w:val="22"/>
                <w:lang w:val="sk-SK"/>
              </w:rPr>
              <w:t>losporí</w:t>
            </w:r>
            <w:r w:rsidR="007D4B1B" w:rsidRPr="009D3DED">
              <w:rPr>
                <w:szCs w:val="22"/>
                <w:lang w:val="sk-SK"/>
              </w:rPr>
              <w:t>n:</w:t>
            </w:r>
          </w:p>
        </w:tc>
        <w:tc>
          <w:tcPr>
            <w:tcW w:w="6022" w:type="dxa"/>
            <w:shd w:val="clear" w:color="auto" w:fill="auto"/>
            <w:tcMar>
              <w:top w:w="85" w:type="dxa"/>
              <w:bottom w:w="85" w:type="dxa"/>
            </w:tcMar>
          </w:tcPr>
          <w:p w14:paraId="77472FC7" w14:textId="77777777" w:rsidR="007D4B1B" w:rsidRPr="009D3DED" w:rsidRDefault="00606DA7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 xml:space="preserve">Riziko poškodenia obličiek v dôsledku </w:t>
            </w:r>
            <w:r w:rsidR="00BE3EB0" w:rsidRPr="009D3DED">
              <w:rPr>
                <w:szCs w:val="22"/>
                <w:lang w:val="sk-SK"/>
              </w:rPr>
              <w:t xml:space="preserve">podávania </w:t>
            </w:r>
            <w:r w:rsidRPr="009D3DED">
              <w:rPr>
                <w:szCs w:val="22"/>
                <w:lang w:val="sk-SK"/>
              </w:rPr>
              <w:t xml:space="preserve">cyklosporínu sa zvyšuje pri </w:t>
            </w:r>
            <w:r w:rsidR="00B92304" w:rsidRPr="009D3DED">
              <w:rPr>
                <w:szCs w:val="22"/>
                <w:lang w:val="sk-SK"/>
              </w:rPr>
              <w:t>súbežn</w:t>
            </w:r>
            <w:r w:rsidRPr="009D3DED">
              <w:rPr>
                <w:szCs w:val="22"/>
                <w:lang w:val="sk-SK"/>
              </w:rPr>
              <w:t xml:space="preserve">om podaní niektorých nesteroidných protizápalových </w:t>
            </w:r>
            <w:r w:rsidR="00F51216" w:rsidRPr="009D3DED">
              <w:rPr>
                <w:szCs w:val="22"/>
                <w:lang w:val="sk-SK"/>
              </w:rPr>
              <w:t>liekov</w:t>
            </w:r>
            <w:r w:rsidRPr="009D3DED">
              <w:rPr>
                <w:szCs w:val="22"/>
                <w:lang w:val="sk-SK"/>
              </w:rPr>
              <w:t xml:space="preserve">. Tento účinok môže platiť aj pre kombináciu cyklosporínu s </w:t>
            </w:r>
            <w:r w:rsidR="00C30552" w:rsidRPr="009D3DED">
              <w:rPr>
                <w:szCs w:val="22"/>
                <w:lang w:val="sk-SK"/>
              </w:rPr>
              <w:t>ibuprofén</w:t>
            </w:r>
            <w:r w:rsidRPr="009D3DED">
              <w:rPr>
                <w:szCs w:val="22"/>
                <w:lang w:val="sk-SK"/>
              </w:rPr>
              <w:t>om</w:t>
            </w:r>
            <w:r w:rsidR="000445A6" w:rsidRPr="009D3DED">
              <w:rPr>
                <w:szCs w:val="22"/>
                <w:lang w:val="sk-SK"/>
              </w:rPr>
              <w:t>.</w:t>
            </w:r>
          </w:p>
        </w:tc>
      </w:tr>
      <w:tr w:rsidR="007D4B1B" w:rsidRPr="009D3DED" w14:paraId="6627D623" w14:textId="77777777" w:rsidTr="001124DA">
        <w:tc>
          <w:tcPr>
            <w:tcW w:w="3607" w:type="dxa"/>
            <w:shd w:val="clear" w:color="auto" w:fill="auto"/>
            <w:tcMar>
              <w:top w:w="85" w:type="dxa"/>
              <w:bottom w:w="85" w:type="dxa"/>
            </w:tcMar>
          </w:tcPr>
          <w:p w14:paraId="1B14E371" w14:textId="77777777" w:rsidR="007D4B1B" w:rsidRPr="009D3DED" w:rsidRDefault="00CD2BDA" w:rsidP="00FF309C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Tak</w:t>
            </w:r>
            <w:r w:rsidR="007D4B1B" w:rsidRPr="009D3DED">
              <w:rPr>
                <w:szCs w:val="22"/>
                <w:lang w:val="sk-SK"/>
              </w:rPr>
              <w:t xml:space="preserve">rolimus: </w:t>
            </w:r>
          </w:p>
        </w:tc>
        <w:tc>
          <w:tcPr>
            <w:tcW w:w="6022" w:type="dxa"/>
            <w:shd w:val="clear" w:color="auto" w:fill="auto"/>
            <w:tcMar>
              <w:top w:w="85" w:type="dxa"/>
              <w:bottom w:w="85" w:type="dxa"/>
            </w:tcMar>
          </w:tcPr>
          <w:p w14:paraId="0B66145C" w14:textId="77777777" w:rsidR="007D4B1B" w:rsidRPr="009D3DED" w:rsidRDefault="00606DA7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 xml:space="preserve">Riziko nefrotoxicity sa zvyšuje, ak sa oba lieky podávajú </w:t>
            </w:r>
            <w:r w:rsidR="00B92304" w:rsidRPr="009D3DED">
              <w:rPr>
                <w:szCs w:val="22"/>
                <w:lang w:val="sk-SK"/>
              </w:rPr>
              <w:t>súbežn</w:t>
            </w:r>
            <w:r w:rsidRPr="009D3DED">
              <w:rPr>
                <w:szCs w:val="22"/>
                <w:lang w:val="sk-SK"/>
              </w:rPr>
              <w:t>e</w:t>
            </w:r>
            <w:r w:rsidR="007D4B1B" w:rsidRPr="009D3DED">
              <w:rPr>
                <w:szCs w:val="22"/>
                <w:lang w:val="sk-SK"/>
              </w:rPr>
              <w:t>.</w:t>
            </w:r>
          </w:p>
        </w:tc>
      </w:tr>
      <w:tr w:rsidR="007D4B1B" w:rsidRPr="009D3DED" w14:paraId="103B11A5" w14:textId="77777777" w:rsidTr="001124DA">
        <w:tc>
          <w:tcPr>
            <w:tcW w:w="3607" w:type="dxa"/>
            <w:shd w:val="clear" w:color="auto" w:fill="auto"/>
            <w:tcMar>
              <w:top w:w="85" w:type="dxa"/>
              <w:bottom w:w="85" w:type="dxa"/>
            </w:tcMar>
          </w:tcPr>
          <w:p w14:paraId="214EF491" w14:textId="77777777" w:rsidR="007D4B1B" w:rsidRPr="009D3DED" w:rsidRDefault="00BE3EB0" w:rsidP="00FF309C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Zidovudí</w:t>
            </w:r>
            <w:r w:rsidR="00CD2BDA" w:rsidRPr="009D3DED">
              <w:rPr>
                <w:szCs w:val="22"/>
                <w:lang w:val="sk-SK"/>
              </w:rPr>
              <w:t>n</w:t>
            </w:r>
            <w:r w:rsidR="007D4B1B" w:rsidRPr="009D3DED">
              <w:rPr>
                <w:szCs w:val="22"/>
                <w:lang w:val="sk-SK"/>
              </w:rPr>
              <w:t>:</w:t>
            </w:r>
          </w:p>
        </w:tc>
        <w:tc>
          <w:tcPr>
            <w:tcW w:w="6022" w:type="dxa"/>
            <w:shd w:val="clear" w:color="auto" w:fill="auto"/>
            <w:tcMar>
              <w:top w:w="85" w:type="dxa"/>
              <w:bottom w:w="85" w:type="dxa"/>
            </w:tcMar>
          </w:tcPr>
          <w:p w14:paraId="6D09136C" w14:textId="1FBE84B6" w:rsidR="007D4B1B" w:rsidRPr="009D3DED" w:rsidRDefault="00606DA7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 xml:space="preserve">U HIV (+) hemofilikov, ktorí sú </w:t>
            </w:r>
            <w:r w:rsidR="00B92304" w:rsidRPr="009D3DED">
              <w:rPr>
                <w:szCs w:val="22"/>
                <w:lang w:val="sk-SK"/>
              </w:rPr>
              <w:t>súbežn</w:t>
            </w:r>
            <w:r w:rsidRPr="009D3DED">
              <w:rPr>
                <w:szCs w:val="22"/>
                <w:lang w:val="sk-SK"/>
              </w:rPr>
              <w:t>e liečení zidovudínom a ibuprofénom, je preukázané zvýšené riziko hemartróz a hematómov</w:t>
            </w:r>
            <w:r w:rsidR="007D4B1B" w:rsidRPr="009D3DED">
              <w:rPr>
                <w:szCs w:val="22"/>
                <w:lang w:val="sk-SK"/>
              </w:rPr>
              <w:t>.</w:t>
            </w:r>
          </w:p>
        </w:tc>
      </w:tr>
      <w:tr w:rsidR="007D4B1B" w:rsidRPr="009D3DED" w14:paraId="2A5E88B4" w14:textId="77777777" w:rsidTr="001124DA">
        <w:tc>
          <w:tcPr>
            <w:tcW w:w="3607" w:type="dxa"/>
            <w:shd w:val="clear" w:color="auto" w:fill="auto"/>
            <w:tcMar>
              <w:top w:w="85" w:type="dxa"/>
              <w:bottom w:w="85" w:type="dxa"/>
            </w:tcMar>
          </w:tcPr>
          <w:p w14:paraId="4520A0B6" w14:textId="77777777" w:rsidR="007D4B1B" w:rsidRPr="009D3DED" w:rsidRDefault="00CD2BDA" w:rsidP="00FF309C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Deriváty sulfonylmočoviny</w:t>
            </w:r>
            <w:r w:rsidR="007D4B1B" w:rsidRPr="009D3DED">
              <w:rPr>
                <w:szCs w:val="22"/>
                <w:lang w:val="sk-SK"/>
              </w:rPr>
              <w:t xml:space="preserve">: </w:t>
            </w:r>
          </w:p>
        </w:tc>
        <w:tc>
          <w:tcPr>
            <w:tcW w:w="6022" w:type="dxa"/>
            <w:shd w:val="clear" w:color="auto" w:fill="auto"/>
            <w:tcMar>
              <w:top w:w="85" w:type="dxa"/>
              <w:bottom w:w="85" w:type="dxa"/>
            </w:tcMar>
          </w:tcPr>
          <w:p w14:paraId="0FC241AF" w14:textId="77777777" w:rsidR="007D4B1B" w:rsidRPr="009D3DED" w:rsidRDefault="00606DA7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 xml:space="preserve">Klinické štúdie preukázali interakcie medzi nesteroidnými protizápalovými liekmi a antidiabetikami (deriváty sulfonylmočoviny). </w:t>
            </w:r>
            <w:r w:rsidR="00F715F4" w:rsidRPr="009D3DED">
              <w:rPr>
                <w:szCs w:val="22"/>
                <w:lang w:val="sk-SK"/>
              </w:rPr>
              <w:t>Aj keď</w:t>
            </w:r>
            <w:r w:rsidRPr="009D3DED">
              <w:rPr>
                <w:szCs w:val="22"/>
                <w:lang w:val="sk-SK"/>
              </w:rPr>
              <w:t xml:space="preserve"> neboli popísané žiadne interakcie medzi ibuprofénom a derivátmi sulfonylmočoviny, pri </w:t>
            </w:r>
            <w:r w:rsidR="00B92304" w:rsidRPr="009D3DED">
              <w:rPr>
                <w:szCs w:val="22"/>
                <w:lang w:val="sk-SK"/>
              </w:rPr>
              <w:t>súbežn</w:t>
            </w:r>
            <w:r w:rsidR="00BE3EB0" w:rsidRPr="009D3DED">
              <w:rPr>
                <w:szCs w:val="22"/>
                <w:lang w:val="sk-SK"/>
              </w:rPr>
              <w:t>om podávaní</w:t>
            </w:r>
            <w:r w:rsidRPr="009D3DED">
              <w:rPr>
                <w:szCs w:val="22"/>
                <w:lang w:val="sk-SK"/>
              </w:rPr>
              <w:t xml:space="preserve"> sa preventívne odporúča kontrolovať </w:t>
            </w:r>
            <w:r w:rsidR="00F715F4" w:rsidRPr="009D3DED">
              <w:rPr>
                <w:szCs w:val="22"/>
                <w:lang w:val="sk-SK"/>
              </w:rPr>
              <w:t>glykémiu.</w:t>
            </w:r>
          </w:p>
        </w:tc>
      </w:tr>
      <w:tr w:rsidR="007D4B1B" w:rsidRPr="009D3DED" w14:paraId="2F397235" w14:textId="77777777" w:rsidTr="001124DA">
        <w:tc>
          <w:tcPr>
            <w:tcW w:w="3607" w:type="dxa"/>
            <w:shd w:val="clear" w:color="auto" w:fill="auto"/>
            <w:tcMar>
              <w:top w:w="85" w:type="dxa"/>
              <w:bottom w:w="85" w:type="dxa"/>
            </w:tcMar>
          </w:tcPr>
          <w:p w14:paraId="07AF28BA" w14:textId="77777777" w:rsidR="007D4B1B" w:rsidRPr="009D3DED" w:rsidRDefault="00606DA7" w:rsidP="00FF309C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Chinoló</w:t>
            </w:r>
            <w:r w:rsidR="00CD2BDA" w:rsidRPr="009D3DED">
              <w:rPr>
                <w:szCs w:val="22"/>
                <w:lang w:val="sk-SK"/>
              </w:rPr>
              <w:t>nov</w:t>
            </w:r>
            <w:r w:rsidRPr="009D3DED">
              <w:rPr>
                <w:szCs w:val="22"/>
                <w:lang w:val="sk-SK"/>
              </w:rPr>
              <w:t>é</w:t>
            </w:r>
            <w:r w:rsidR="00CD2BDA" w:rsidRPr="009D3DED">
              <w:rPr>
                <w:szCs w:val="22"/>
                <w:lang w:val="sk-SK"/>
              </w:rPr>
              <w:t xml:space="preserve"> antibiotik</w:t>
            </w:r>
            <w:r w:rsidRPr="009D3DED">
              <w:rPr>
                <w:szCs w:val="22"/>
                <w:lang w:val="sk-SK"/>
              </w:rPr>
              <w:t>á</w:t>
            </w:r>
            <w:r w:rsidR="007D4B1B" w:rsidRPr="009D3DED">
              <w:rPr>
                <w:szCs w:val="22"/>
                <w:lang w:val="sk-SK"/>
              </w:rPr>
              <w:t>:</w:t>
            </w:r>
          </w:p>
        </w:tc>
        <w:tc>
          <w:tcPr>
            <w:tcW w:w="6022" w:type="dxa"/>
            <w:shd w:val="clear" w:color="auto" w:fill="auto"/>
            <w:tcMar>
              <w:top w:w="85" w:type="dxa"/>
              <w:bottom w:w="85" w:type="dxa"/>
            </w:tcMar>
          </w:tcPr>
          <w:p w14:paraId="65BA180C" w14:textId="77777777" w:rsidR="007D4B1B" w:rsidRPr="009D3DED" w:rsidRDefault="00606DA7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Údaje na zvieratách naznačujú, že NSAID môžu zvyšovať riziko kŕčov spojených s chinolónovými antibiotikami. U pacientov súbežne užívajúcich NSAID a chinolóny môže byť zvýšené riziko vzniku kŕčov</w:t>
            </w:r>
            <w:r w:rsidR="007D4B1B" w:rsidRPr="009D3DED">
              <w:rPr>
                <w:szCs w:val="22"/>
                <w:lang w:val="sk-SK"/>
              </w:rPr>
              <w:t>.</w:t>
            </w:r>
          </w:p>
        </w:tc>
      </w:tr>
      <w:tr w:rsidR="00C26BC1" w:rsidRPr="009D3DED" w14:paraId="54B15ADB" w14:textId="77777777" w:rsidTr="001124DA">
        <w:tc>
          <w:tcPr>
            <w:tcW w:w="3607" w:type="dxa"/>
            <w:shd w:val="clear" w:color="auto" w:fill="auto"/>
            <w:tcMar>
              <w:top w:w="85" w:type="dxa"/>
              <w:bottom w:w="85" w:type="dxa"/>
            </w:tcMar>
          </w:tcPr>
          <w:p w14:paraId="49DF19AB" w14:textId="77777777" w:rsidR="00C26BC1" w:rsidRPr="009D3DED" w:rsidRDefault="00606DA7" w:rsidP="00FF309C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Inhibí</w:t>
            </w:r>
            <w:r w:rsidR="00CD2BDA" w:rsidRPr="009D3DED">
              <w:rPr>
                <w:szCs w:val="22"/>
                <w:lang w:val="sk-SK"/>
              </w:rPr>
              <w:t xml:space="preserve">tory </w:t>
            </w:r>
            <w:r w:rsidR="00C26BC1" w:rsidRPr="009D3DED">
              <w:rPr>
                <w:szCs w:val="22"/>
                <w:lang w:val="sk-SK"/>
              </w:rPr>
              <w:t>CYP2C9:</w:t>
            </w:r>
          </w:p>
        </w:tc>
        <w:tc>
          <w:tcPr>
            <w:tcW w:w="6022" w:type="dxa"/>
            <w:shd w:val="clear" w:color="auto" w:fill="auto"/>
            <w:tcMar>
              <w:top w:w="85" w:type="dxa"/>
              <w:bottom w:w="85" w:type="dxa"/>
            </w:tcMar>
          </w:tcPr>
          <w:p w14:paraId="0C8490BD" w14:textId="1BBC9D03" w:rsidR="00C26BC1" w:rsidRPr="009D3DED" w:rsidRDefault="00B9230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Súbežn</w:t>
            </w:r>
            <w:r w:rsidR="00606DA7" w:rsidRPr="009D3DED">
              <w:rPr>
                <w:szCs w:val="22"/>
                <w:lang w:val="sk-SK"/>
              </w:rPr>
              <w:t>é podanie ibuprofénu s inhibítormi CYP2C9 môže zvýšiť expozíciu ibuprofénu (substrát CYP2C9). V štúdii s</w:t>
            </w:r>
            <w:r w:rsidR="0080601B" w:rsidRPr="009D3DED">
              <w:rPr>
                <w:szCs w:val="22"/>
                <w:lang w:val="sk-SK"/>
              </w:rPr>
              <w:t> </w:t>
            </w:r>
            <w:r w:rsidR="00606DA7" w:rsidRPr="009D3DED">
              <w:rPr>
                <w:szCs w:val="22"/>
                <w:lang w:val="sk-SK"/>
              </w:rPr>
              <w:t>vorikonazolom a</w:t>
            </w:r>
            <w:r w:rsidR="0080601B" w:rsidRPr="009D3DED">
              <w:rPr>
                <w:szCs w:val="22"/>
                <w:lang w:val="sk-SK"/>
              </w:rPr>
              <w:t> </w:t>
            </w:r>
            <w:r w:rsidR="00606DA7" w:rsidRPr="009D3DED">
              <w:rPr>
                <w:szCs w:val="22"/>
                <w:lang w:val="sk-SK"/>
              </w:rPr>
              <w:t xml:space="preserve">flukonazolom (inhibítory CYP2C9) bola preukázaná zvýšená expozícia S (+) - ibuprofénu približne o 80 až 100%. Ak sú </w:t>
            </w:r>
            <w:r w:rsidRPr="009D3DED">
              <w:rPr>
                <w:szCs w:val="22"/>
                <w:lang w:val="sk-SK"/>
              </w:rPr>
              <w:t>súbežn</w:t>
            </w:r>
            <w:r w:rsidR="00606DA7" w:rsidRPr="009D3DED">
              <w:rPr>
                <w:szCs w:val="22"/>
                <w:lang w:val="sk-SK"/>
              </w:rPr>
              <w:t>e podávané silné inhibítory CYP2C9, najmä ak sú podávané vysoké dávky ibuprofénu (2</w:t>
            </w:r>
            <w:r w:rsidR="00E8274D">
              <w:rPr>
                <w:szCs w:val="22"/>
                <w:lang w:val="sk-SK"/>
              </w:rPr>
              <w:t xml:space="preserve"> </w:t>
            </w:r>
            <w:r w:rsidR="00606DA7" w:rsidRPr="009D3DED">
              <w:rPr>
                <w:szCs w:val="22"/>
                <w:lang w:val="sk-SK"/>
              </w:rPr>
              <w:t>400 mg</w:t>
            </w:r>
            <w:r w:rsidR="00A472F7" w:rsidRPr="009D3DED">
              <w:rPr>
                <w:szCs w:val="22"/>
                <w:lang w:val="sk-SK"/>
              </w:rPr>
              <w:t>/</w:t>
            </w:r>
            <w:r w:rsidR="00606DA7" w:rsidRPr="009D3DED">
              <w:rPr>
                <w:szCs w:val="22"/>
                <w:lang w:val="sk-SK"/>
              </w:rPr>
              <w:t xml:space="preserve">deň) s </w:t>
            </w:r>
            <w:r w:rsidR="00606DA7" w:rsidRPr="009D3DED">
              <w:rPr>
                <w:szCs w:val="22"/>
                <w:lang w:val="sk-SK"/>
              </w:rPr>
              <w:lastRenderedPageBreak/>
              <w:t>vorikonazolom alebo flukonazolom, je potrebné zvážiť zníženie dávky ibuprofénu</w:t>
            </w:r>
            <w:r w:rsidR="00C26BC1" w:rsidRPr="009D3DED">
              <w:rPr>
                <w:szCs w:val="22"/>
                <w:lang w:val="sk-SK"/>
              </w:rPr>
              <w:t>.</w:t>
            </w:r>
          </w:p>
        </w:tc>
      </w:tr>
      <w:tr w:rsidR="00C26BC1" w:rsidRPr="009D3DED" w14:paraId="5E38B684" w14:textId="77777777" w:rsidTr="001124DA">
        <w:tc>
          <w:tcPr>
            <w:tcW w:w="3607" w:type="dxa"/>
            <w:shd w:val="clear" w:color="auto" w:fill="auto"/>
            <w:tcMar>
              <w:top w:w="85" w:type="dxa"/>
              <w:bottom w:w="85" w:type="dxa"/>
            </w:tcMar>
          </w:tcPr>
          <w:p w14:paraId="32F7663E" w14:textId="33A5868A" w:rsidR="00C26BC1" w:rsidRPr="009D3DED" w:rsidRDefault="00CD2BDA" w:rsidP="00FF309C">
            <w:pPr>
              <w:keepNext/>
              <w:tabs>
                <w:tab w:val="left" w:pos="1450"/>
                <w:tab w:val="left" w:pos="9226"/>
              </w:tabs>
              <w:rPr>
                <w:bCs/>
                <w:szCs w:val="22"/>
                <w:lang w:val="sk-SK"/>
              </w:rPr>
            </w:pPr>
            <w:r w:rsidRPr="009D3DED">
              <w:rPr>
                <w:bCs/>
                <w:szCs w:val="22"/>
                <w:lang w:val="sk-SK"/>
              </w:rPr>
              <w:lastRenderedPageBreak/>
              <w:t>Mifeprist</w:t>
            </w:r>
            <w:r w:rsidR="006F227B">
              <w:rPr>
                <w:bCs/>
                <w:szCs w:val="22"/>
                <w:lang w:val="sk-SK"/>
              </w:rPr>
              <w:t>ó</w:t>
            </w:r>
            <w:r w:rsidRPr="009D3DED">
              <w:rPr>
                <w:bCs/>
                <w:szCs w:val="22"/>
                <w:lang w:val="sk-SK"/>
              </w:rPr>
              <w:t>n</w:t>
            </w:r>
            <w:r w:rsidR="00C26BC1" w:rsidRPr="009D3DED">
              <w:rPr>
                <w:bCs/>
                <w:szCs w:val="22"/>
                <w:lang w:val="sk-SK"/>
              </w:rPr>
              <w:t>:</w:t>
            </w:r>
          </w:p>
          <w:p w14:paraId="581A1477" w14:textId="77777777" w:rsidR="00C26BC1" w:rsidRPr="009D3DED" w:rsidRDefault="00C26BC1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6022" w:type="dxa"/>
            <w:shd w:val="clear" w:color="auto" w:fill="auto"/>
            <w:tcMar>
              <w:top w:w="85" w:type="dxa"/>
              <w:bottom w:w="85" w:type="dxa"/>
            </w:tcMar>
          </w:tcPr>
          <w:p w14:paraId="7B8FFF0E" w14:textId="2899A24C" w:rsidR="00C26BC1" w:rsidRPr="009D3DED" w:rsidRDefault="00BE3EB0">
            <w:pPr>
              <w:autoSpaceDE w:val="0"/>
              <w:autoSpaceDN w:val="0"/>
              <w:adjustRightInd w:val="0"/>
              <w:spacing w:line="240" w:lineRule="auto"/>
              <w:rPr>
                <w:bCs/>
                <w:szCs w:val="22"/>
                <w:lang w:val="sk-SK"/>
              </w:rPr>
            </w:pPr>
            <w:r w:rsidRPr="009D3DED">
              <w:rPr>
                <w:bCs/>
                <w:szCs w:val="22"/>
                <w:lang w:val="sk-SK"/>
              </w:rPr>
              <w:t xml:space="preserve">NSAID by sa nemali </w:t>
            </w:r>
            <w:r w:rsidR="00606DA7" w:rsidRPr="009D3DED">
              <w:rPr>
                <w:bCs/>
                <w:szCs w:val="22"/>
                <w:lang w:val="sk-SK"/>
              </w:rPr>
              <w:t>užívať 8 až 12 dní po podaní mifeprist</w:t>
            </w:r>
            <w:r w:rsidR="006F227B">
              <w:rPr>
                <w:bCs/>
                <w:szCs w:val="22"/>
                <w:lang w:val="sk-SK"/>
              </w:rPr>
              <w:t>ó</w:t>
            </w:r>
            <w:r w:rsidR="00606DA7" w:rsidRPr="009D3DED">
              <w:rPr>
                <w:bCs/>
                <w:szCs w:val="22"/>
                <w:lang w:val="sk-SK"/>
              </w:rPr>
              <w:t>nu, pretože NSAID môžu znižovať účinok mifeprist</w:t>
            </w:r>
            <w:r w:rsidR="006F227B">
              <w:rPr>
                <w:bCs/>
                <w:szCs w:val="22"/>
                <w:lang w:val="sk-SK"/>
              </w:rPr>
              <w:t>ó</w:t>
            </w:r>
            <w:r w:rsidR="00606DA7" w:rsidRPr="009D3DED">
              <w:rPr>
                <w:bCs/>
                <w:szCs w:val="22"/>
                <w:lang w:val="sk-SK"/>
              </w:rPr>
              <w:t>nu</w:t>
            </w:r>
            <w:r w:rsidR="00C26BC1" w:rsidRPr="009D3DED">
              <w:rPr>
                <w:bCs/>
                <w:szCs w:val="22"/>
                <w:lang w:val="sk-SK"/>
              </w:rPr>
              <w:t>.</w:t>
            </w:r>
          </w:p>
        </w:tc>
      </w:tr>
      <w:tr w:rsidR="00C77D06" w:rsidRPr="009D3DED" w14:paraId="07F96D38" w14:textId="77777777" w:rsidTr="001124DA">
        <w:tc>
          <w:tcPr>
            <w:tcW w:w="3607" w:type="dxa"/>
            <w:shd w:val="clear" w:color="auto" w:fill="auto"/>
            <w:tcMar>
              <w:top w:w="85" w:type="dxa"/>
              <w:bottom w:w="85" w:type="dxa"/>
            </w:tcMar>
          </w:tcPr>
          <w:p w14:paraId="40BEDEAA" w14:textId="6AF602F2" w:rsidR="00C77D06" w:rsidRPr="009D3DED" w:rsidRDefault="00C77D06" w:rsidP="00FF309C">
            <w:pPr>
              <w:keepNext/>
              <w:tabs>
                <w:tab w:val="left" w:pos="1450"/>
                <w:tab w:val="left" w:pos="9226"/>
              </w:tabs>
              <w:rPr>
                <w:bCs/>
                <w:szCs w:val="22"/>
                <w:lang w:val="sk-SK"/>
              </w:rPr>
            </w:pPr>
            <w:r w:rsidRPr="009D3DED">
              <w:rPr>
                <w:bCs/>
                <w:szCs w:val="22"/>
                <w:lang w:val="sk-SK"/>
              </w:rPr>
              <w:t>Gink</w:t>
            </w:r>
            <w:r w:rsidR="00B55762">
              <w:rPr>
                <w:bCs/>
                <w:szCs w:val="22"/>
                <w:lang w:val="sk-SK"/>
              </w:rPr>
              <w:t>g</w:t>
            </w:r>
            <w:r w:rsidRPr="009D3DED">
              <w:rPr>
                <w:bCs/>
                <w:szCs w:val="22"/>
                <w:lang w:val="sk-SK"/>
              </w:rPr>
              <w:t>o biloba:</w:t>
            </w:r>
          </w:p>
        </w:tc>
        <w:tc>
          <w:tcPr>
            <w:tcW w:w="6022" w:type="dxa"/>
            <w:shd w:val="clear" w:color="auto" w:fill="auto"/>
            <w:tcMar>
              <w:top w:w="85" w:type="dxa"/>
              <w:bottom w:w="85" w:type="dxa"/>
            </w:tcMar>
          </w:tcPr>
          <w:p w14:paraId="7570EB22" w14:textId="77777777" w:rsidR="00C77D06" w:rsidRPr="009D3DED" w:rsidRDefault="00606DA7">
            <w:pPr>
              <w:autoSpaceDE w:val="0"/>
              <w:autoSpaceDN w:val="0"/>
              <w:adjustRightInd w:val="0"/>
              <w:spacing w:line="240" w:lineRule="auto"/>
              <w:rPr>
                <w:bCs/>
                <w:szCs w:val="22"/>
                <w:lang w:val="sk-SK"/>
              </w:rPr>
            </w:pPr>
            <w:r w:rsidRPr="009D3DED">
              <w:rPr>
                <w:bCs/>
                <w:szCs w:val="22"/>
                <w:lang w:val="sk-SK"/>
              </w:rPr>
              <w:t>Môže zvýšiť riziko krvácania</w:t>
            </w:r>
            <w:r w:rsidR="00C77D06" w:rsidRPr="009D3DED">
              <w:rPr>
                <w:bCs/>
                <w:szCs w:val="22"/>
                <w:lang w:val="sk-SK"/>
              </w:rPr>
              <w:t>.</w:t>
            </w:r>
          </w:p>
        </w:tc>
      </w:tr>
    </w:tbl>
    <w:p w14:paraId="663F265B" w14:textId="77777777" w:rsidR="001124DA" w:rsidRDefault="001124DA" w:rsidP="00FF309C">
      <w:pPr>
        <w:rPr>
          <w:szCs w:val="22"/>
          <w:lang w:val="sk-SK"/>
        </w:rPr>
      </w:pPr>
    </w:p>
    <w:p w14:paraId="01F502E0" w14:textId="77777777" w:rsidR="001124DA" w:rsidRDefault="001124DA" w:rsidP="00FF309C">
      <w:pPr>
        <w:rPr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6090"/>
      </w:tblGrid>
      <w:tr w:rsidR="001124DA" w:rsidRPr="009D3DED" w14:paraId="3D411BE0" w14:textId="77777777" w:rsidTr="007D6D09">
        <w:tc>
          <w:tcPr>
            <w:tcW w:w="3539" w:type="dxa"/>
            <w:shd w:val="clear" w:color="auto" w:fill="auto"/>
            <w:tcMar>
              <w:top w:w="85" w:type="dxa"/>
              <w:bottom w:w="85" w:type="dxa"/>
            </w:tcMar>
          </w:tcPr>
          <w:p w14:paraId="09BF80AD" w14:textId="77777777" w:rsidR="001124DA" w:rsidRPr="009D3DED" w:rsidRDefault="001124DA" w:rsidP="007D6D0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9D3DED">
              <w:rPr>
                <w:b/>
                <w:bCs/>
                <w:szCs w:val="22"/>
                <w:lang w:val="sk-SK"/>
              </w:rPr>
              <w:t>Súbežné použitie kofeínu s nasledujúcimi liekmi:</w:t>
            </w:r>
          </w:p>
        </w:tc>
        <w:tc>
          <w:tcPr>
            <w:tcW w:w="6090" w:type="dxa"/>
            <w:shd w:val="clear" w:color="auto" w:fill="auto"/>
            <w:tcMar>
              <w:top w:w="85" w:type="dxa"/>
              <w:bottom w:w="85" w:type="dxa"/>
            </w:tcMar>
          </w:tcPr>
          <w:p w14:paraId="12B823C6" w14:textId="77777777" w:rsidR="001124DA" w:rsidRPr="009D3DED" w:rsidRDefault="001124DA" w:rsidP="007D6D0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9D3DED">
              <w:rPr>
                <w:b/>
                <w:bCs/>
                <w:szCs w:val="22"/>
                <w:lang w:val="sk-SK"/>
              </w:rPr>
              <w:t>Možné účinky:</w:t>
            </w:r>
          </w:p>
        </w:tc>
      </w:tr>
      <w:tr w:rsidR="001124DA" w:rsidRPr="009D3DED" w14:paraId="2A6ECA6F" w14:textId="77777777" w:rsidTr="007D6D09">
        <w:tc>
          <w:tcPr>
            <w:tcW w:w="3539" w:type="dxa"/>
            <w:shd w:val="clear" w:color="auto" w:fill="auto"/>
            <w:tcMar>
              <w:top w:w="85" w:type="dxa"/>
              <w:bottom w:w="85" w:type="dxa"/>
            </w:tcMar>
          </w:tcPr>
          <w:p w14:paraId="05D73C04" w14:textId="77777777" w:rsidR="001124DA" w:rsidRPr="009D3DED" w:rsidRDefault="001124DA" w:rsidP="007D6D09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Barbituráty, antihistaminiká a ďalšie lieky so sedatívnym účinkom:</w:t>
            </w:r>
          </w:p>
        </w:tc>
        <w:tc>
          <w:tcPr>
            <w:tcW w:w="6090" w:type="dxa"/>
            <w:shd w:val="clear" w:color="auto" w:fill="auto"/>
            <w:tcMar>
              <w:top w:w="85" w:type="dxa"/>
              <w:bottom w:w="85" w:type="dxa"/>
            </w:tcMar>
          </w:tcPr>
          <w:p w14:paraId="2D261E8D" w14:textId="77777777" w:rsidR="001124DA" w:rsidRPr="009D3DED" w:rsidRDefault="001124DA" w:rsidP="007D6D09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Kofeín môže antagonizovať sedatívny účinok.</w:t>
            </w:r>
          </w:p>
        </w:tc>
      </w:tr>
      <w:tr w:rsidR="001124DA" w:rsidRPr="009D3DED" w14:paraId="265583C1" w14:textId="77777777" w:rsidTr="007D6D09">
        <w:tc>
          <w:tcPr>
            <w:tcW w:w="3539" w:type="dxa"/>
            <w:shd w:val="clear" w:color="auto" w:fill="auto"/>
            <w:tcMar>
              <w:top w:w="85" w:type="dxa"/>
              <w:bottom w:w="85" w:type="dxa"/>
            </w:tcMar>
          </w:tcPr>
          <w:p w14:paraId="7758DB8A" w14:textId="77777777" w:rsidR="001124DA" w:rsidRPr="009D3DED" w:rsidRDefault="001124DA" w:rsidP="007D6D09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 xml:space="preserve">Barbituráty a fajčenie: </w:t>
            </w:r>
          </w:p>
        </w:tc>
        <w:tc>
          <w:tcPr>
            <w:tcW w:w="6090" w:type="dxa"/>
            <w:shd w:val="clear" w:color="auto" w:fill="auto"/>
            <w:tcMar>
              <w:top w:w="85" w:type="dxa"/>
              <w:bottom w:w="85" w:type="dxa"/>
            </w:tcMar>
          </w:tcPr>
          <w:p w14:paraId="26EB2775" w14:textId="77777777" w:rsidR="001124DA" w:rsidRPr="009D3DED" w:rsidRDefault="001124DA" w:rsidP="007D6D09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Zvyšujú metabolizmus kofeínu v pečeni.</w:t>
            </w:r>
          </w:p>
        </w:tc>
      </w:tr>
      <w:tr w:rsidR="001124DA" w:rsidRPr="009D3DED" w14:paraId="65A5A45D" w14:textId="77777777" w:rsidTr="007D6D09">
        <w:tc>
          <w:tcPr>
            <w:tcW w:w="3539" w:type="dxa"/>
            <w:shd w:val="clear" w:color="auto" w:fill="auto"/>
            <w:tcMar>
              <w:top w:w="85" w:type="dxa"/>
              <w:bottom w:w="85" w:type="dxa"/>
            </w:tcMar>
          </w:tcPr>
          <w:p w14:paraId="39AC4B32" w14:textId="77777777" w:rsidR="001124DA" w:rsidRPr="009D3DED" w:rsidRDefault="001124DA" w:rsidP="007D6D09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 xml:space="preserve">Sympatomimetiká, tyroxín a ďalšie lieky s tachykardickým účinkom: </w:t>
            </w:r>
          </w:p>
        </w:tc>
        <w:tc>
          <w:tcPr>
            <w:tcW w:w="6090" w:type="dxa"/>
            <w:shd w:val="clear" w:color="auto" w:fill="auto"/>
            <w:tcMar>
              <w:top w:w="85" w:type="dxa"/>
              <w:bottom w:w="85" w:type="dxa"/>
            </w:tcMar>
          </w:tcPr>
          <w:p w14:paraId="21CD8CF7" w14:textId="77777777" w:rsidR="001124DA" w:rsidRPr="009D3DED" w:rsidRDefault="001124DA" w:rsidP="007D6D09">
            <w:pPr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Súbežné podanie môže zvýšiť tachykardický účinok.</w:t>
            </w:r>
          </w:p>
        </w:tc>
      </w:tr>
      <w:tr w:rsidR="001124DA" w:rsidRPr="009D3DED" w14:paraId="715D4211" w14:textId="77777777" w:rsidTr="007D6D09">
        <w:tc>
          <w:tcPr>
            <w:tcW w:w="3539" w:type="dxa"/>
            <w:shd w:val="clear" w:color="auto" w:fill="auto"/>
            <w:tcMar>
              <w:top w:w="85" w:type="dxa"/>
              <w:bottom w:w="85" w:type="dxa"/>
            </w:tcMar>
          </w:tcPr>
          <w:p w14:paraId="1E9F6C50" w14:textId="77777777" w:rsidR="001124DA" w:rsidRPr="009D3DED" w:rsidRDefault="001124DA" w:rsidP="007D6D09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 xml:space="preserve">Perorálne </w:t>
            </w:r>
            <w:r>
              <w:rPr>
                <w:szCs w:val="22"/>
                <w:lang w:val="sk-SK"/>
              </w:rPr>
              <w:t>kontraceptíva</w:t>
            </w:r>
            <w:r w:rsidRPr="009D3DED">
              <w:rPr>
                <w:szCs w:val="22"/>
                <w:lang w:val="sk-SK"/>
              </w:rPr>
              <w:t>, cimetidín, fluvoxamín a disulfiram:</w:t>
            </w:r>
          </w:p>
        </w:tc>
        <w:tc>
          <w:tcPr>
            <w:tcW w:w="6090" w:type="dxa"/>
            <w:shd w:val="clear" w:color="auto" w:fill="auto"/>
            <w:tcMar>
              <w:top w:w="85" w:type="dxa"/>
              <w:bottom w:w="85" w:type="dxa"/>
            </w:tcMar>
          </w:tcPr>
          <w:p w14:paraId="650AFB72" w14:textId="77777777" w:rsidR="001124DA" w:rsidRPr="009D3DED" w:rsidRDefault="001124DA" w:rsidP="007D6D09">
            <w:pPr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Súbežné podanie znižuje metabolizmus kofeínu v pečeni.</w:t>
            </w:r>
          </w:p>
        </w:tc>
      </w:tr>
      <w:tr w:rsidR="001124DA" w:rsidRPr="009D3DED" w14:paraId="70B25BCA" w14:textId="77777777" w:rsidTr="007D6D09">
        <w:tc>
          <w:tcPr>
            <w:tcW w:w="3539" w:type="dxa"/>
            <w:shd w:val="clear" w:color="auto" w:fill="auto"/>
            <w:tcMar>
              <w:top w:w="85" w:type="dxa"/>
              <w:bottom w:w="85" w:type="dxa"/>
            </w:tcMar>
          </w:tcPr>
          <w:p w14:paraId="21BC7778" w14:textId="77777777" w:rsidR="001124DA" w:rsidRPr="009D3DED" w:rsidRDefault="001124DA" w:rsidP="007D6D09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Teofylín:</w:t>
            </w:r>
          </w:p>
        </w:tc>
        <w:tc>
          <w:tcPr>
            <w:tcW w:w="6090" w:type="dxa"/>
            <w:shd w:val="clear" w:color="auto" w:fill="auto"/>
            <w:tcMar>
              <w:top w:w="85" w:type="dxa"/>
              <w:bottom w:w="85" w:type="dxa"/>
            </w:tcMar>
          </w:tcPr>
          <w:p w14:paraId="564002A5" w14:textId="77777777" w:rsidR="001124DA" w:rsidRPr="009D3DED" w:rsidRDefault="001124DA" w:rsidP="007D6D09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Kofeín znižuje vylučovanie teofylínu.</w:t>
            </w:r>
          </w:p>
        </w:tc>
      </w:tr>
      <w:tr w:rsidR="001124DA" w:rsidRPr="009D3DED" w14:paraId="3B06764C" w14:textId="77777777" w:rsidTr="007D6D09">
        <w:tc>
          <w:tcPr>
            <w:tcW w:w="3539" w:type="dxa"/>
            <w:shd w:val="clear" w:color="auto" w:fill="auto"/>
            <w:tcMar>
              <w:top w:w="85" w:type="dxa"/>
              <w:bottom w:w="85" w:type="dxa"/>
            </w:tcMar>
          </w:tcPr>
          <w:p w14:paraId="05784B26" w14:textId="77777777" w:rsidR="001124DA" w:rsidRPr="009D3DED" w:rsidRDefault="001124DA" w:rsidP="007D6D09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Chinolónové antibiotiká:</w:t>
            </w:r>
          </w:p>
        </w:tc>
        <w:tc>
          <w:tcPr>
            <w:tcW w:w="6090" w:type="dxa"/>
            <w:shd w:val="clear" w:color="auto" w:fill="auto"/>
            <w:tcMar>
              <w:top w:w="85" w:type="dxa"/>
              <w:bottom w:w="85" w:type="dxa"/>
            </w:tcMar>
          </w:tcPr>
          <w:p w14:paraId="72E7A088" w14:textId="77777777" w:rsidR="001124DA" w:rsidRPr="009D3DED" w:rsidRDefault="001124DA" w:rsidP="007D6D09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Súbežné podanie môže predĺžiť vylučovanie kofeínu.</w:t>
            </w:r>
          </w:p>
        </w:tc>
      </w:tr>
    </w:tbl>
    <w:p w14:paraId="25996B8B" w14:textId="77777777" w:rsidR="001124DA" w:rsidRPr="009D3DED" w:rsidRDefault="001124DA" w:rsidP="00FF309C">
      <w:pPr>
        <w:rPr>
          <w:szCs w:val="22"/>
          <w:lang w:val="sk-SK"/>
        </w:rPr>
      </w:pPr>
    </w:p>
    <w:p w14:paraId="76DA2971" w14:textId="77777777" w:rsidR="001D29E6" w:rsidRPr="009D3DED" w:rsidRDefault="001D29E6">
      <w:pPr>
        <w:ind w:left="567" w:hanging="567"/>
        <w:rPr>
          <w:szCs w:val="22"/>
          <w:lang w:val="sk-SK"/>
        </w:rPr>
      </w:pPr>
      <w:r w:rsidRPr="009D3DED">
        <w:rPr>
          <w:b/>
          <w:szCs w:val="22"/>
          <w:lang w:val="sk-SK"/>
        </w:rPr>
        <w:t>4.6</w:t>
      </w:r>
      <w:r w:rsidRPr="009D3DED">
        <w:rPr>
          <w:b/>
          <w:szCs w:val="22"/>
          <w:lang w:val="sk-SK"/>
        </w:rPr>
        <w:tab/>
      </w:r>
      <w:r w:rsidR="00C70366" w:rsidRPr="009D3DED">
        <w:rPr>
          <w:b/>
          <w:szCs w:val="22"/>
          <w:lang w:val="sk-SK"/>
        </w:rPr>
        <w:t>Fertilita, gravidita a laktácia</w:t>
      </w:r>
    </w:p>
    <w:p w14:paraId="2A74D59A" w14:textId="77777777" w:rsidR="00C53ACC" w:rsidRPr="009D3DED" w:rsidRDefault="00C53ACC">
      <w:pPr>
        <w:rPr>
          <w:i/>
          <w:szCs w:val="22"/>
          <w:lang w:val="sk-SK"/>
        </w:rPr>
      </w:pPr>
    </w:p>
    <w:p w14:paraId="5F335108" w14:textId="77777777" w:rsidR="00C53ACC" w:rsidRPr="009D3DED" w:rsidRDefault="00C70366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9D3DED">
        <w:rPr>
          <w:szCs w:val="22"/>
          <w:u w:val="single"/>
          <w:lang w:val="sk-SK"/>
        </w:rPr>
        <w:t>Gravidita</w:t>
      </w:r>
    </w:p>
    <w:p w14:paraId="4EB882D0" w14:textId="19F68FB6" w:rsidR="00EC126D" w:rsidRPr="009D3DED" w:rsidRDefault="001F6E1A">
      <w:pPr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Inhibícia syntézy prostaglandínov môže </w:t>
      </w:r>
      <w:r w:rsidR="00F715F4" w:rsidRPr="009D3DED">
        <w:rPr>
          <w:szCs w:val="22"/>
          <w:lang w:val="sk-SK"/>
        </w:rPr>
        <w:t xml:space="preserve">nepriaznivo </w:t>
      </w:r>
      <w:r w:rsidRPr="009D3DED">
        <w:rPr>
          <w:szCs w:val="22"/>
          <w:lang w:val="sk-SK"/>
        </w:rPr>
        <w:t xml:space="preserve">ovplyvniť tehotenstvo </w:t>
      </w:r>
      <w:r w:rsidR="00A472F7" w:rsidRPr="009D3DED">
        <w:rPr>
          <w:szCs w:val="22"/>
          <w:lang w:val="sk-SK"/>
        </w:rPr>
        <w:t xml:space="preserve">a/alebo </w:t>
      </w:r>
      <w:r w:rsidRPr="009D3DED">
        <w:rPr>
          <w:szCs w:val="22"/>
          <w:lang w:val="sk-SK"/>
        </w:rPr>
        <w:t>výv</w:t>
      </w:r>
      <w:r w:rsidR="001E3121">
        <w:rPr>
          <w:szCs w:val="22"/>
          <w:lang w:val="sk-SK"/>
        </w:rPr>
        <w:t>in</w:t>
      </w:r>
      <w:r w:rsidRPr="009D3DED">
        <w:rPr>
          <w:szCs w:val="22"/>
          <w:lang w:val="sk-SK"/>
        </w:rPr>
        <w:t xml:space="preserve"> embrya alebo plodu. Údaje z epidemiologických štúdií </w:t>
      </w:r>
      <w:r w:rsidR="00F715F4" w:rsidRPr="009D3DED">
        <w:rPr>
          <w:szCs w:val="22"/>
          <w:lang w:val="sk-SK"/>
        </w:rPr>
        <w:t xml:space="preserve">poukazujú na zvýšené riziko potratov, </w:t>
      </w:r>
      <w:r w:rsidRPr="009D3DED">
        <w:rPr>
          <w:szCs w:val="22"/>
          <w:lang w:val="sk-SK"/>
        </w:rPr>
        <w:t>malformáci</w:t>
      </w:r>
      <w:r w:rsidR="00F715F4" w:rsidRPr="009D3DED">
        <w:rPr>
          <w:szCs w:val="22"/>
          <w:lang w:val="sk-SK"/>
        </w:rPr>
        <w:t>í</w:t>
      </w:r>
      <w:r w:rsidRPr="009D3DED">
        <w:rPr>
          <w:szCs w:val="22"/>
          <w:lang w:val="sk-SK"/>
        </w:rPr>
        <w:t xml:space="preserve"> srdca a gastroschízy po použití inhibítor</w:t>
      </w:r>
      <w:r w:rsidR="00F715F4" w:rsidRPr="009D3DED">
        <w:rPr>
          <w:szCs w:val="22"/>
          <w:lang w:val="sk-SK"/>
        </w:rPr>
        <w:t>ov</w:t>
      </w:r>
      <w:r w:rsidRPr="009D3DED">
        <w:rPr>
          <w:szCs w:val="22"/>
          <w:lang w:val="sk-SK"/>
        </w:rPr>
        <w:t xml:space="preserve"> syntézy prostaglandínov na začiatku tehotenstva. Absolútne riziko kardiovaskulárnych malformácií bolo zvýšené z menej ako 1% na približne 1,5%. Predpokladá sa, že riziko sa zvyšuje s dávkou a dĺžkou liečby</w:t>
      </w:r>
      <w:r w:rsidR="00EC126D" w:rsidRPr="009D3DED">
        <w:rPr>
          <w:szCs w:val="22"/>
          <w:lang w:val="sk-SK"/>
        </w:rPr>
        <w:t xml:space="preserve">. </w:t>
      </w:r>
    </w:p>
    <w:p w14:paraId="177F366A" w14:textId="77777777" w:rsidR="00EC126D" w:rsidRPr="009D3DED" w:rsidRDefault="00EC126D">
      <w:pPr>
        <w:spacing w:line="240" w:lineRule="auto"/>
        <w:ind w:right="354"/>
        <w:rPr>
          <w:szCs w:val="22"/>
          <w:lang w:val="sk-SK"/>
        </w:rPr>
      </w:pPr>
    </w:p>
    <w:p w14:paraId="0657339D" w14:textId="1F2FA15C" w:rsidR="00EC126D" w:rsidRPr="009D3DED" w:rsidRDefault="001F6E1A">
      <w:pPr>
        <w:spacing w:line="240" w:lineRule="auto"/>
        <w:ind w:right="354"/>
        <w:rPr>
          <w:szCs w:val="22"/>
          <w:lang w:val="sk-SK"/>
        </w:rPr>
      </w:pPr>
      <w:r w:rsidRPr="009D3DED">
        <w:rPr>
          <w:szCs w:val="22"/>
          <w:lang w:val="sk-SK"/>
        </w:rPr>
        <w:t>U zvierat bolo preukázané, že podávanie inhibítora syntézy prostaglandínov vedie k zvýšeniu pre</w:t>
      </w:r>
      <w:r w:rsidR="001E3121">
        <w:rPr>
          <w:szCs w:val="22"/>
          <w:lang w:val="sk-SK"/>
        </w:rPr>
        <w:t>d</w:t>
      </w:r>
      <w:r w:rsidR="00263CFD" w:rsidRPr="009D3DED">
        <w:rPr>
          <w:szCs w:val="22"/>
          <w:lang w:val="sk-SK"/>
        </w:rPr>
        <w:t>implantačn</w:t>
      </w:r>
      <w:r w:rsidR="001E3121">
        <w:rPr>
          <w:szCs w:val="22"/>
          <w:lang w:val="sk-SK"/>
        </w:rPr>
        <w:t>ých</w:t>
      </w:r>
      <w:r w:rsidRPr="009D3DED">
        <w:rPr>
          <w:szCs w:val="22"/>
          <w:lang w:val="sk-SK"/>
        </w:rPr>
        <w:t xml:space="preserve"> a</w:t>
      </w:r>
      <w:r w:rsidR="001E3121">
        <w:rPr>
          <w:szCs w:val="22"/>
          <w:lang w:val="sk-SK"/>
        </w:rPr>
        <w:t> </w:t>
      </w:r>
      <w:r w:rsidRPr="009D3DED">
        <w:rPr>
          <w:szCs w:val="22"/>
          <w:lang w:val="sk-SK"/>
        </w:rPr>
        <w:t>postimplantačn</w:t>
      </w:r>
      <w:r w:rsidR="001E3121">
        <w:rPr>
          <w:szCs w:val="22"/>
          <w:lang w:val="sk-SK"/>
        </w:rPr>
        <w:t xml:space="preserve">ých </w:t>
      </w:r>
      <w:r w:rsidR="00CD03E1" w:rsidRPr="009D3DED">
        <w:rPr>
          <w:szCs w:val="22"/>
          <w:lang w:val="sk-SK"/>
        </w:rPr>
        <w:t>str</w:t>
      </w:r>
      <w:r w:rsidR="001E3121">
        <w:rPr>
          <w:szCs w:val="22"/>
          <w:lang w:val="sk-SK"/>
        </w:rPr>
        <w:t>át</w:t>
      </w:r>
      <w:r w:rsidRPr="009D3DED">
        <w:rPr>
          <w:szCs w:val="22"/>
          <w:lang w:val="sk-SK"/>
        </w:rPr>
        <w:t xml:space="preserve"> a embryofetálnej letalit</w:t>
      </w:r>
      <w:r w:rsidR="001E3121">
        <w:rPr>
          <w:szCs w:val="22"/>
          <w:lang w:val="sk-SK"/>
        </w:rPr>
        <w:t>e</w:t>
      </w:r>
      <w:r w:rsidRPr="009D3DED">
        <w:rPr>
          <w:szCs w:val="22"/>
          <w:lang w:val="sk-SK"/>
        </w:rPr>
        <w:t>. U zvierat, ktorým bol podaný inhibítor syntézy prostaglandínov počas obdobia organogenézy, bol hlásen</w:t>
      </w:r>
      <w:r w:rsidR="00CD03E1" w:rsidRPr="009D3DED">
        <w:rPr>
          <w:szCs w:val="22"/>
          <w:lang w:val="sk-SK"/>
        </w:rPr>
        <w:t>ý</w:t>
      </w:r>
      <w:r w:rsidRPr="009D3DED">
        <w:rPr>
          <w:szCs w:val="22"/>
          <w:lang w:val="sk-SK"/>
        </w:rPr>
        <w:t xml:space="preserve"> zvýšen</w:t>
      </w:r>
      <w:r w:rsidR="00CD03E1" w:rsidRPr="009D3DED">
        <w:rPr>
          <w:szCs w:val="22"/>
          <w:lang w:val="sk-SK"/>
        </w:rPr>
        <w:t>ý</w:t>
      </w:r>
      <w:r w:rsidRPr="009D3DED">
        <w:rPr>
          <w:szCs w:val="22"/>
          <w:lang w:val="sk-SK"/>
        </w:rPr>
        <w:t xml:space="preserve"> </w:t>
      </w:r>
      <w:r w:rsidR="00CD03E1" w:rsidRPr="009D3DED">
        <w:rPr>
          <w:szCs w:val="22"/>
          <w:lang w:val="sk-SK"/>
        </w:rPr>
        <w:t>výskyt</w:t>
      </w:r>
      <w:r w:rsidRPr="009D3DED">
        <w:rPr>
          <w:szCs w:val="22"/>
          <w:lang w:val="sk-SK"/>
        </w:rPr>
        <w:t xml:space="preserve"> rôznych malformácií, vrátane kardiovaskulárnych</w:t>
      </w:r>
      <w:r w:rsidR="00443B52" w:rsidRPr="009D3DED">
        <w:rPr>
          <w:szCs w:val="22"/>
          <w:lang w:val="sk-SK"/>
        </w:rPr>
        <w:t xml:space="preserve"> malformácií</w:t>
      </w:r>
      <w:r w:rsidR="00EC126D" w:rsidRPr="009D3DED">
        <w:rPr>
          <w:szCs w:val="22"/>
          <w:lang w:val="sk-SK"/>
        </w:rPr>
        <w:t>.</w:t>
      </w:r>
    </w:p>
    <w:p w14:paraId="5A63BCDD" w14:textId="77777777" w:rsidR="00EC126D" w:rsidRPr="009D3DED" w:rsidRDefault="00EC126D">
      <w:pPr>
        <w:spacing w:line="240" w:lineRule="auto"/>
        <w:ind w:right="354"/>
        <w:rPr>
          <w:szCs w:val="22"/>
          <w:lang w:val="sk-SK"/>
        </w:rPr>
      </w:pPr>
    </w:p>
    <w:p w14:paraId="2EB48E82" w14:textId="7ADBED08" w:rsidR="00F715F4" w:rsidRPr="009D3DED" w:rsidRDefault="00F715F4">
      <w:pPr>
        <w:spacing w:line="240" w:lineRule="auto"/>
        <w:ind w:right="354"/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Pokiaľ to nie je nevyhnutné, ibuprofén sa nemá podávať počas prvého a druhého trimestra gravidity. </w:t>
      </w:r>
    </w:p>
    <w:p w14:paraId="5FCBEE96" w14:textId="014DFBED" w:rsidR="00F715F4" w:rsidRPr="009D3DED" w:rsidRDefault="00F715F4">
      <w:pPr>
        <w:spacing w:line="240" w:lineRule="auto"/>
        <w:ind w:right="354"/>
        <w:rPr>
          <w:szCs w:val="22"/>
          <w:lang w:val="sk-SK"/>
        </w:rPr>
      </w:pPr>
      <w:r w:rsidRPr="009D3DED">
        <w:rPr>
          <w:szCs w:val="22"/>
          <w:lang w:val="sk-SK"/>
        </w:rPr>
        <w:t>Ak ibuprofén užíva žena, ktorá sa snaží otehotnieť</w:t>
      </w:r>
      <w:r w:rsidR="00E8274D">
        <w:rPr>
          <w:szCs w:val="22"/>
          <w:lang w:val="sk-SK"/>
        </w:rPr>
        <w:t>,</w:t>
      </w:r>
      <w:r w:rsidRPr="009D3DED">
        <w:rPr>
          <w:szCs w:val="22"/>
          <w:lang w:val="sk-SK"/>
        </w:rPr>
        <w:t xml:space="preserve"> alebo počas prvého a druhého trimestra gravidity</w:t>
      </w:r>
      <w:r w:rsidR="00E8274D">
        <w:rPr>
          <w:szCs w:val="22"/>
          <w:lang w:val="sk-SK"/>
        </w:rPr>
        <w:t>,</w:t>
      </w:r>
      <w:r w:rsidRPr="009D3DED">
        <w:rPr>
          <w:szCs w:val="22"/>
          <w:lang w:val="sk-SK"/>
        </w:rPr>
        <w:t xml:space="preserve"> mala by byť dávka čo najnižšia a dĺžka liečby čo najkratšia. </w:t>
      </w:r>
    </w:p>
    <w:p w14:paraId="2D8CD6C5" w14:textId="77777777" w:rsidR="00F715F4" w:rsidRPr="009D3DED" w:rsidRDefault="00F715F4">
      <w:pPr>
        <w:spacing w:line="240" w:lineRule="auto"/>
        <w:ind w:right="354"/>
        <w:rPr>
          <w:szCs w:val="22"/>
          <w:lang w:val="sk-SK"/>
        </w:rPr>
      </w:pPr>
    </w:p>
    <w:p w14:paraId="0F181B16" w14:textId="77777777" w:rsidR="00F715F4" w:rsidRPr="009D3DED" w:rsidRDefault="001F6E1A">
      <w:pPr>
        <w:tabs>
          <w:tab w:val="clear" w:pos="567"/>
        </w:tabs>
        <w:spacing w:line="240" w:lineRule="auto"/>
        <w:ind w:right="354"/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Počas tretieho trimestra </w:t>
      </w:r>
      <w:r w:rsidR="00F715F4" w:rsidRPr="009D3DED">
        <w:rPr>
          <w:szCs w:val="22"/>
          <w:lang w:val="sk-SK"/>
        </w:rPr>
        <w:t>gravidity</w:t>
      </w:r>
      <w:r w:rsidRPr="009D3DED">
        <w:rPr>
          <w:szCs w:val="22"/>
          <w:lang w:val="sk-SK"/>
        </w:rPr>
        <w:t xml:space="preserve"> môžu všetky inhibítory syntézy prostaglandínov vystaviť </w:t>
      </w:r>
    </w:p>
    <w:p w14:paraId="2AD3D477" w14:textId="77777777" w:rsidR="00D05018" w:rsidRPr="009D3DED" w:rsidRDefault="001F6E1A">
      <w:pPr>
        <w:tabs>
          <w:tab w:val="clear" w:pos="567"/>
        </w:tabs>
        <w:spacing w:line="240" w:lineRule="auto"/>
        <w:ind w:right="354"/>
        <w:rPr>
          <w:szCs w:val="22"/>
          <w:lang w:val="sk-SK"/>
        </w:rPr>
      </w:pPr>
      <w:r w:rsidRPr="009D3DED">
        <w:rPr>
          <w:szCs w:val="22"/>
          <w:lang w:val="sk-SK"/>
        </w:rPr>
        <w:t>plod</w:t>
      </w:r>
      <w:r w:rsidR="00D05018" w:rsidRPr="009D3DED">
        <w:rPr>
          <w:szCs w:val="22"/>
          <w:lang w:val="sk-SK"/>
        </w:rPr>
        <w:t xml:space="preserve">: </w:t>
      </w:r>
    </w:p>
    <w:p w14:paraId="1B8A98EC" w14:textId="77777777" w:rsidR="001F6E1A" w:rsidRPr="009D3DED" w:rsidRDefault="001F6E1A">
      <w:pPr>
        <w:numPr>
          <w:ilvl w:val="0"/>
          <w:numId w:val="10"/>
        </w:numPr>
        <w:tabs>
          <w:tab w:val="clear" w:pos="567"/>
        </w:tabs>
        <w:spacing w:line="240" w:lineRule="auto"/>
        <w:ind w:right="354"/>
        <w:rPr>
          <w:szCs w:val="22"/>
          <w:lang w:val="sk-SK"/>
        </w:rPr>
      </w:pPr>
      <w:r w:rsidRPr="009D3DED">
        <w:rPr>
          <w:szCs w:val="22"/>
          <w:lang w:val="sk-SK"/>
        </w:rPr>
        <w:t>kardiopulmonálnej toxicit</w:t>
      </w:r>
      <w:r w:rsidR="00F715F4" w:rsidRPr="009D3DED">
        <w:rPr>
          <w:szCs w:val="22"/>
          <w:lang w:val="sk-SK"/>
        </w:rPr>
        <w:t>e</w:t>
      </w:r>
      <w:r w:rsidRPr="009D3DED">
        <w:rPr>
          <w:szCs w:val="22"/>
          <w:lang w:val="sk-SK"/>
        </w:rPr>
        <w:t xml:space="preserve"> (s predčasným uz</w:t>
      </w:r>
      <w:r w:rsidR="00F715F4" w:rsidRPr="009D3DED">
        <w:rPr>
          <w:szCs w:val="22"/>
          <w:lang w:val="sk-SK"/>
        </w:rPr>
        <w:t>áverom</w:t>
      </w:r>
      <w:r w:rsidRPr="009D3DED">
        <w:rPr>
          <w:szCs w:val="22"/>
          <w:lang w:val="sk-SK"/>
        </w:rPr>
        <w:t xml:space="preserve"> </w:t>
      </w:r>
      <w:r w:rsidRPr="00AA5B78">
        <w:rPr>
          <w:i/>
          <w:szCs w:val="22"/>
          <w:lang w:val="sk-SK"/>
        </w:rPr>
        <w:t>ductus arteriosus</w:t>
      </w:r>
      <w:r w:rsidRPr="009D3DED">
        <w:rPr>
          <w:szCs w:val="22"/>
          <w:lang w:val="sk-SK"/>
        </w:rPr>
        <w:t xml:space="preserve"> a pľúcnou hypertenziou)</w:t>
      </w:r>
    </w:p>
    <w:p w14:paraId="2F195859" w14:textId="77777777" w:rsidR="00F715F4" w:rsidRPr="009D3DED" w:rsidRDefault="001F6E1A">
      <w:pPr>
        <w:numPr>
          <w:ilvl w:val="0"/>
          <w:numId w:val="10"/>
        </w:numPr>
        <w:tabs>
          <w:tab w:val="clear" w:pos="567"/>
        </w:tabs>
        <w:spacing w:line="240" w:lineRule="auto"/>
        <w:ind w:right="354"/>
        <w:rPr>
          <w:szCs w:val="22"/>
          <w:lang w:val="sk-SK"/>
        </w:rPr>
      </w:pPr>
      <w:r w:rsidRPr="009D3DED">
        <w:rPr>
          <w:szCs w:val="22"/>
          <w:lang w:val="sk-SK"/>
        </w:rPr>
        <w:t>renálnej dysfunkci</w:t>
      </w:r>
      <w:r w:rsidR="00F715F4" w:rsidRPr="009D3DED">
        <w:rPr>
          <w:szCs w:val="22"/>
          <w:lang w:val="sk-SK"/>
        </w:rPr>
        <w:t>i</w:t>
      </w:r>
      <w:r w:rsidRPr="009D3DED">
        <w:rPr>
          <w:szCs w:val="22"/>
          <w:lang w:val="sk-SK"/>
        </w:rPr>
        <w:t xml:space="preserve">, ktorá môže progredovať </w:t>
      </w:r>
      <w:r w:rsidR="00F715F4" w:rsidRPr="009D3DED">
        <w:rPr>
          <w:szCs w:val="22"/>
          <w:lang w:val="sk-SK"/>
        </w:rPr>
        <w:t>do renálneho zlyhania</w:t>
      </w:r>
      <w:r w:rsidRPr="009D3DED">
        <w:rPr>
          <w:szCs w:val="22"/>
          <w:lang w:val="sk-SK"/>
        </w:rPr>
        <w:t xml:space="preserve"> s </w:t>
      </w:r>
      <w:r w:rsidR="00443B52" w:rsidRPr="009D3DED">
        <w:rPr>
          <w:szCs w:val="22"/>
          <w:lang w:val="sk-SK"/>
        </w:rPr>
        <w:t>oligohydramnión</w:t>
      </w:r>
      <w:r w:rsidR="00F715F4" w:rsidRPr="009D3DED">
        <w:rPr>
          <w:szCs w:val="22"/>
          <w:lang w:val="sk-SK"/>
        </w:rPr>
        <w:t>om</w:t>
      </w:r>
      <w:r w:rsidR="00443B52" w:rsidRPr="009D3DED">
        <w:rPr>
          <w:szCs w:val="22"/>
          <w:lang w:val="sk-SK"/>
        </w:rPr>
        <w:t xml:space="preserve"> </w:t>
      </w:r>
    </w:p>
    <w:p w14:paraId="7A5F1429" w14:textId="77777777" w:rsidR="00754AE0" w:rsidRPr="009D3DED" w:rsidRDefault="00754AE0">
      <w:pPr>
        <w:tabs>
          <w:tab w:val="clear" w:pos="567"/>
        </w:tabs>
        <w:spacing w:line="240" w:lineRule="auto"/>
        <w:ind w:left="720" w:right="354"/>
        <w:rPr>
          <w:szCs w:val="22"/>
          <w:lang w:val="sk-SK"/>
        </w:rPr>
      </w:pPr>
    </w:p>
    <w:p w14:paraId="2C957430" w14:textId="77777777" w:rsidR="00F715F4" w:rsidRPr="009D3DED" w:rsidRDefault="00F715F4">
      <w:pPr>
        <w:tabs>
          <w:tab w:val="clear" w:pos="567"/>
        </w:tabs>
        <w:spacing w:line="240" w:lineRule="auto"/>
        <w:ind w:right="354"/>
        <w:rPr>
          <w:szCs w:val="22"/>
          <w:lang w:val="sk-SK"/>
        </w:rPr>
      </w:pPr>
      <w:r w:rsidRPr="009D3DED">
        <w:rPr>
          <w:szCs w:val="22"/>
          <w:lang w:val="sk-SK"/>
        </w:rPr>
        <w:t>matku a novorodenca</w:t>
      </w:r>
      <w:r w:rsidR="00754AE0" w:rsidRPr="009D3DED">
        <w:rPr>
          <w:szCs w:val="22"/>
          <w:lang w:val="sk-SK"/>
        </w:rPr>
        <w:t xml:space="preserve"> na konci tehotenstva</w:t>
      </w:r>
      <w:r w:rsidRPr="009D3DED">
        <w:rPr>
          <w:szCs w:val="22"/>
          <w:lang w:val="sk-SK"/>
        </w:rPr>
        <w:t>:</w:t>
      </w:r>
    </w:p>
    <w:p w14:paraId="7C9722AF" w14:textId="77777777" w:rsidR="00F715F4" w:rsidRPr="009D3DED" w:rsidRDefault="00F715F4">
      <w:pPr>
        <w:tabs>
          <w:tab w:val="clear" w:pos="567"/>
        </w:tabs>
        <w:spacing w:line="240" w:lineRule="auto"/>
        <w:ind w:right="354"/>
        <w:rPr>
          <w:szCs w:val="22"/>
          <w:lang w:val="sk-SK"/>
        </w:rPr>
      </w:pPr>
    </w:p>
    <w:p w14:paraId="4D1A9E31" w14:textId="229AC08D" w:rsidR="001F6E1A" w:rsidRPr="009D3DED" w:rsidRDefault="001F6E1A">
      <w:pPr>
        <w:numPr>
          <w:ilvl w:val="0"/>
          <w:numId w:val="10"/>
        </w:numPr>
        <w:tabs>
          <w:tab w:val="clear" w:pos="567"/>
        </w:tabs>
        <w:spacing w:line="240" w:lineRule="auto"/>
        <w:ind w:right="354"/>
        <w:rPr>
          <w:szCs w:val="22"/>
          <w:lang w:val="sk-SK"/>
        </w:rPr>
      </w:pPr>
      <w:r w:rsidRPr="009D3DED">
        <w:rPr>
          <w:szCs w:val="22"/>
          <w:lang w:val="sk-SK"/>
        </w:rPr>
        <w:t>možnému predĺženiu doby krvácania a antiagregačnému účinku, ktor</w:t>
      </w:r>
      <w:r w:rsidR="003852DF">
        <w:rPr>
          <w:szCs w:val="22"/>
          <w:lang w:val="sk-SK"/>
        </w:rPr>
        <w:t>é</w:t>
      </w:r>
      <w:r w:rsidRPr="009D3DED">
        <w:rPr>
          <w:szCs w:val="22"/>
          <w:lang w:val="sk-SK"/>
        </w:rPr>
        <w:t xml:space="preserve"> sa môž</w:t>
      </w:r>
      <w:r w:rsidR="00261CEA">
        <w:rPr>
          <w:szCs w:val="22"/>
          <w:lang w:val="sk-SK"/>
        </w:rPr>
        <w:t>e</w:t>
      </w:r>
      <w:r w:rsidRPr="009D3DED">
        <w:rPr>
          <w:szCs w:val="22"/>
          <w:lang w:val="sk-SK"/>
        </w:rPr>
        <w:t xml:space="preserve"> </w:t>
      </w:r>
      <w:r w:rsidR="005232F5">
        <w:rPr>
          <w:szCs w:val="22"/>
          <w:lang w:val="sk-SK"/>
        </w:rPr>
        <w:t>vyskytnúť</w:t>
      </w:r>
      <w:r w:rsidR="005232F5" w:rsidRPr="009D3DED">
        <w:rPr>
          <w:szCs w:val="22"/>
          <w:lang w:val="sk-SK"/>
        </w:rPr>
        <w:t xml:space="preserve"> </w:t>
      </w:r>
      <w:r w:rsidR="00261CEA">
        <w:rPr>
          <w:szCs w:val="22"/>
          <w:lang w:val="sk-SK"/>
        </w:rPr>
        <w:t xml:space="preserve">dokonca </w:t>
      </w:r>
      <w:r w:rsidRPr="009D3DED">
        <w:rPr>
          <w:szCs w:val="22"/>
          <w:lang w:val="sk-SK"/>
        </w:rPr>
        <w:t>aj pri veľmi nízkych dávkach.</w:t>
      </w:r>
    </w:p>
    <w:p w14:paraId="11339924" w14:textId="27C65ABD" w:rsidR="00EC126D" w:rsidRPr="009D3DED" w:rsidRDefault="001F6E1A">
      <w:pPr>
        <w:numPr>
          <w:ilvl w:val="0"/>
          <w:numId w:val="10"/>
        </w:numPr>
        <w:tabs>
          <w:tab w:val="clear" w:pos="567"/>
        </w:tabs>
        <w:spacing w:line="240" w:lineRule="auto"/>
        <w:ind w:right="354"/>
        <w:rPr>
          <w:szCs w:val="22"/>
          <w:lang w:val="sk-SK"/>
        </w:rPr>
      </w:pPr>
      <w:r w:rsidRPr="009D3DED">
        <w:rPr>
          <w:szCs w:val="22"/>
          <w:lang w:val="sk-SK"/>
        </w:rPr>
        <w:t>inhibíci</w:t>
      </w:r>
      <w:r w:rsidR="00754AE0" w:rsidRPr="009D3DED">
        <w:rPr>
          <w:szCs w:val="22"/>
          <w:lang w:val="sk-SK"/>
        </w:rPr>
        <w:t>i</w:t>
      </w:r>
      <w:r w:rsidRPr="009D3DED">
        <w:rPr>
          <w:szCs w:val="22"/>
          <w:lang w:val="sk-SK"/>
        </w:rPr>
        <w:t xml:space="preserve"> kontrakcií</w:t>
      </w:r>
      <w:r w:rsidR="00754AE0" w:rsidRPr="009D3DED">
        <w:rPr>
          <w:szCs w:val="22"/>
          <w:lang w:val="sk-SK"/>
        </w:rPr>
        <w:t xml:space="preserve"> uteru</w:t>
      </w:r>
      <w:r w:rsidRPr="009D3DED">
        <w:rPr>
          <w:szCs w:val="22"/>
          <w:lang w:val="sk-SK"/>
        </w:rPr>
        <w:t>, ktoré vedú k</w:t>
      </w:r>
      <w:r w:rsidR="00754AE0" w:rsidRPr="009D3DED">
        <w:rPr>
          <w:szCs w:val="22"/>
          <w:lang w:val="sk-SK"/>
        </w:rPr>
        <w:t> </w:t>
      </w:r>
      <w:r w:rsidRPr="009D3DED">
        <w:rPr>
          <w:szCs w:val="22"/>
          <w:lang w:val="sk-SK"/>
        </w:rPr>
        <w:t>o</w:t>
      </w:r>
      <w:r w:rsidR="00754AE0" w:rsidRPr="009D3DED">
        <w:rPr>
          <w:szCs w:val="22"/>
          <w:lang w:val="sk-SK"/>
        </w:rPr>
        <w:t xml:space="preserve">neskorenému </w:t>
      </w:r>
      <w:r w:rsidRPr="009D3DED">
        <w:rPr>
          <w:szCs w:val="22"/>
          <w:lang w:val="sk-SK"/>
        </w:rPr>
        <w:t>alebo predĺžen</w:t>
      </w:r>
      <w:r w:rsidR="00754AE0" w:rsidRPr="009D3DED">
        <w:rPr>
          <w:szCs w:val="22"/>
          <w:lang w:val="sk-SK"/>
        </w:rPr>
        <w:t>ému</w:t>
      </w:r>
      <w:r w:rsidRPr="009D3DED">
        <w:rPr>
          <w:szCs w:val="22"/>
          <w:lang w:val="sk-SK"/>
        </w:rPr>
        <w:t xml:space="preserve"> pôrodu</w:t>
      </w:r>
      <w:r w:rsidR="00EC126D" w:rsidRPr="009D3DED">
        <w:rPr>
          <w:szCs w:val="22"/>
          <w:lang w:val="sk-SK"/>
        </w:rPr>
        <w:t xml:space="preserve">. </w:t>
      </w:r>
    </w:p>
    <w:p w14:paraId="0386BDAB" w14:textId="77777777" w:rsidR="00EC126D" w:rsidRPr="009D3DED" w:rsidRDefault="00EC126D">
      <w:pPr>
        <w:rPr>
          <w:szCs w:val="22"/>
          <w:lang w:val="sk-SK"/>
        </w:rPr>
      </w:pPr>
    </w:p>
    <w:p w14:paraId="6326F673" w14:textId="7F93BB81" w:rsidR="001208B2" w:rsidRPr="009D3DED" w:rsidRDefault="005A15DF">
      <w:pPr>
        <w:rPr>
          <w:szCs w:val="22"/>
          <w:lang w:val="sk-SK"/>
        </w:rPr>
      </w:pPr>
      <w:r w:rsidRPr="009D3DED">
        <w:rPr>
          <w:szCs w:val="22"/>
          <w:lang w:val="sk-SK"/>
        </w:rPr>
        <w:lastRenderedPageBreak/>
        <w:t>Ibalgin Plus</w:t>
      </w:r>
      <w:r w:rsidR="00F715F4" w:rsidRPr="009D3DED">
        <w:rPr>
          <w:szCs w:val="22"/>
          <w:lang w:val="sk-SK"/>
        </w:rPr>
        <w:t xml:space="preserve"> </w:t>
      </w:r>
      <w:r w:rsidR="001F6E1A" w:rsidRPr="009D3DED">
        <w:rPr>
          <w:szCs w:val="22"/>
          <w:lang w:val="sk-SK"/>
        </w:rPr>
        <w:t xml:space="preserve">je preto kontraindikovaný počas tretieho trimestra </w:t>
      </w:r>
      <w:r w:rsidR="00754AE0" w:rsidRPr="009D3DED">
        <w:rPr>
          <w:szCs w:val="22"/>
          <w:lang w:val="sk-SK"/>
        </w:rPr>
        <w:t>gravidity</w:t>
      </w:r>
      <w:r w:rsidR="005232F5">
        <w:rPr>
          <w:szCs w:val="22"/>
          <w:lang w:val="sk-SK"/>
        </w:rPr>
        <w:t xml:space="preserve"> </w:t>
      </w:r>
      <w:r w:rsidR="00F82A93" w:rsidRPr="009D3DED">
        <w:rPr>
          <w:szCs w:val="22"/>
          <w:lang w:val="sk-SK"/>
        </w:rPr>
        <w:t>(</w:t>
      </w:r>
      <w:r w:rsidR="00542E76" w:rsidRPr="009D3DED">
        <w:rPr>
          <w:szCs w:val="22"/>
          <w:lang w:val="sk-SK"/>
        </w:rPr>
        <w:t>pozri časť</w:t>
      </w:r>
      <w:r w:rsidR="00F82A93" w:rsidRPr="009D3DED">
        <w:rPr>
          <w:szCs w:val="22"/>
          <w:lang w:val="sk-SK"/>
        </w:rPr>
        <w:t xml:space="preserve"> 4.3)</w:t>
      </w:r>
      <w:r w:rsidR="001208B2" w:rsidRPr="009D3DED">
        <w:rPr>
          <w:szCs w:val="22"/>
          <w:lang w:val="sk-SK"/>
        </w:rPr>
        <w:t xml:space="preserve">. </w:t>
      </w:r>
    </w:p>
    <w:p w14:paraId="68C995DB" w14:textId="77777777" w:rsidR="001208B2" w:rsidRPr="009D3DED" w:rsidRDefault="001208B2">
      <w:pPr>
        <w:rPr>
          <w:szCs w:val="22"/>
          <w:lang w:val="sk-SK"/>
        </w:rPr>
      </w:pPr>
    </w:p>
    <w:p w14:paraId="1886EAF9" w14:textId="618D4E11" w:rsidR="00EC126D" w:rsidRPr="009D3DED" w:rsidRDefault="001F6E1A">
      <w:pPr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Existujú dôkazy, že dlhodobý príjem veľkého množstva kofeínu môže u tehotných žien viesť k spontánnemu potratu alebo k predčasnému pôrodu. </w:t>
      </w:r>
      <w:r w:rsidR="003C2958">
        <w:rPr>
          <w:szCs w:val="22"/>
          <w:lang w:val="sk-SK"/>
        </w:rPr>
        <w:t>Pred</w:t>
      </w:r>
      <w:r w:rsidRPr="009D3DED">
        <w:rPr>
          <w:szCs w:val="22"/>
          <w:lang w:val="sk-SK"/>
        </w:rPr>
        <w:t>klinické štúdie preukázali reprodukčnú toxicitu pri veľmi vysokých dávkach</w:t>
      </w:r>
      <w:r w:rsidR="00EC126D" w:rsidRPr="009D3DED">
        <w:rPr>
          <w:szCs w:val="22"/>
          <w:lang w:val="sk-SK"/>
        </w:rPr>
        <w:t xml:space="preserve">. </w:t>
      </w:r>
    </w:p>
    <w:p w14:paraId="0AF101F7" w14:textId="77777777" w:rsidR="00EC126D" w:rsidRPr="009D3DED" w:rsidRDefault="00EC126D">
      <w:pPr>
        <w:rPr>
          <w:szCs w:val="22"/>
          <w:lang w:val="sk-SK"/>
        </w:rPr>
      </w:pPr>
    </w:p>
    <w:p w14:paraId="5AE51A59" w14:textId="04F8D0B3" w:rsidR="00C70366" w:rsidRPr="009D3DED" w:rsidRDefault="003C2958">
      <w:pPr>
        <w:rPr>
          <w:szCs w:val="22"/>
          <w:lang w:val="sk-SK"/>
        </w:rPr>
      </w:pPr>
      <w:r>
        <w:rPr>
          <w:szCs w:val="22"/>
          <w:u w:val="single"/>
          <w:lang w:val="sk-SK"/>
        </w:rPr>
        <w:t>Dojčenie</w:t>
      </w:r>
    </w:p>
    <w:p w14:paraId="2230BC53" w14:textId="1ED549D7" w:rsidR="00A40F09" w:rsidRPr="009D3DED" w:rsidRDefault="001F6E1A">
      <w:pPr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Ibuprofén a jeho metabolity môžu </w:t>
      </w:r>
      <w:r w:rsidR="00754AE0" w:rsidRPr="009D3DED">
        <w:rPr>
          <w:szCs w:val="22"/>
          <w:lang w:val="sk-SK"/>
        </w:rPr>
        <w:t xml:space="preserve">prechádzať do materského mlieka </w:t>
      </w:r>
      <w:r w:rsidRPr="009D3DED">
        <w:rPr>
          <w:szCs w:val="22"/>
          <w:lang w:val="sk-SK"/>
        </w:rPr>
        <w:t xml:space="preserve">v nízkych koncentráciách. Doteraz nie sú známe žiadne škodlivé účinky na dojčatá. </w:t>
      </w:r>
      <w:r w:rsidR="00D54265" w:rsidRPr="009D3DED">
        <w:rPr>
          <w:szCs w:val="22"/>
          <w:lang w:val="sk-SK"/>
        </w:rPr>
        <w:t>Pri</w:t>
      </w:r>
      <w:r w:rsidRPr="009D3DED">
        <w:rPr>
          <w:szCs w:val="22"/>
          <w:lang w:val="sk-SK"/>
        </w:rPr>
        <w:t xml:space="preserve"> krátkodobej liečb</w:t>
      </w:r>
      <w:r w:rsidR="00D54265" w:rsidRPr="009D3DED">
        <w:rPr>
          <w:szCs w:val="22"/>
          <w:lang w:val="sk-SK"/>
        </w:rPr>
        <w:t>e</w:t>
      </w:r>
      <w:r w:rsidRPr="009D3DED">
        <w:rPr>
          <w:szCs w:val="22"/>
          <w:lang w:val="sk-SK"/>
        </w:rPr>
        <w:t xml:space="preserve"> </w:t>
      </w:r>
      <w:r w:rsidR="00180EEF">
        <w:rPr>
          <w:szCs w:val="22"/>
          <w:lang w:val="sk-SK"/>
        </w:rPr>
        <w:t>pri</w:t>
      </w:r>
      <w:r w:rsidRPr="009D3DED">
        <w:rPr>
          <w:szCs w:val="22"/>
          <w:lang w:val="sk-SK"/>
        </w:rPr>
        <w:t xml:space="preserve"> použití odporúčanej dávky (pozri časť 4.2) preto prerušenie dojčenia všeobecne </w:t>
      </w:r>
      <w:r w:rsidR="00CD03E1" w:rsidRPr="009D3DED">
        <w:rPr>
          <w:szCs w:val="22"/>
          <w:lang w:val="sk-SK"/>
        </w:rPr>
        <w:t>nie je</w:t>
      </w:r>
      <w:r w:rsidRPr="009D3DED">
        <w:rPr>
          <w:szCs w:val="22"/>
          <w:lang w:val="sk-SK"/>
        </w:rPr>
        <w:t xml:space="preserve"> nutné</w:t>
      </w:r>
      <w:r w:rsidR="00A40F09" w:rsidRPr="009D3DED">
        <w:rPr>
          <w:szCs w:val="22"/>
          <w:lang w:val="sk-SK"/>
        </w:rPr>
        <w:t>.</w:t>
      </w:r>
    </w:p>
    <w:p w14:paraId="42B57686" w14:textId="77777777" w:rsidR="00A40F09" w:rsidRPr="009D3DED" w:rsidRDefault="00A40F09">
      <w:pPr>
        <w:rPr>
          <w:szCs w:val="22"/>
          <w:lang w:val="sk-SK"/>
        </w:rPr>
      </w:pPr>
    </w:p>
    <w:p w14:paraId="4690B943" w14:textId="0C782A0C" w:rsidR="008C5146" w:rsidRPr="009D3DED" w:rsidRDefault="001F6E1A">
      <w:pPr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Kofeín prechádza do materského mlieka a môže ovplyvniť stav a správanie </w:t>
      </w:r>
      <w:r w:rsidR="00CD03E1" w:rsidRPr="009D3DED">
        <w:rPr>
          <w:szCs w:val="22"/>
          <w:lang w:val="sk-SK"/>
        </w:rPr>
        <w:t xml:space="preserve"> </w:t>
      </w:r>
      <w:r w:rsidRPr="009D3DED">
        <w:rPr>
          <w:szCs w:val="22"/>
          <w:lang w:val="sk-SK"/>
        </w:rPr>
        <w:t>dojčeného dieťaťa. Bola popísaná podráždenosť a zlý spánok u dojčiat. Dojč</w:t>
      </w:r>
      <w:r w:rsidR="00115206">
        <w:rPr>
          <w:szCs w:val="22"/>
          <w:lang w:val="sk-SK"/>
        </w:rPr>
        <w:t>iace matky by preto mali užívať</w:t>
      </w:r>
      <w:r w:rsidRPr="009D3DED">
        <w:rPr>
          <w:szCs w:val="22"/>
          <w:lang w:val="sk-SK"/>
        </w:rPr>
        <w:t xml:space="preserve"> </w:t>
      </w:r>
      <w:r w:rsidR="005A15DF" w:rsidRPr="009D3DED">
        <w:rPr>
          <w:szCs w:val="22"/>
          <w:lang w:val="sk-SK"/>
        </w:rPr>
        <w:t>Ibalgin Plus</w:t>
      </w:r>
      <w:r w:rsidR="00B55762">
        <w:rPr>
          <w:szCs w:val="22"/>
          <w:lang w:val="sk-SK"/>
        </w:rPr>
        <w:t xml:space="preserve"> </w:t>
      </w:r>
      <w:r w:rsidRPr="009D3DED">
        <w:rPr>
          <w:szCs w:val="22"/>
          <w:lang w:val="sk-SK"/>
        </w:rPr>
        <w:t>iba v nevyhnutných prípadoch</w:t>
      </w:r>
      <w:r w:rsidR="00550F93" w:rsidRPr="009D3DED">
        <w:rPr>
          <w:szCs w:val="22"/>
          <w:lang w:val="sk-SK"/>
        </w:rPr>
        <w:t>.</w:t>
      </w:r>
    </w:p>
    <w:p w14:paraId="39201D3A" w14:textId="77777777" w:rsidR="008C5146" w:rsidRPr="009D3DED" w:rsidRDefault="008C5146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</w:p>
    <w:p w14:paraId="200E0467" w14:textId="77777777" w:rsidR="00C53ACC" w:rsidRPr="009D3DED" w:rsidRDefault="005E17B0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9D3DED">
        <w:rPr>
          <w:szCs w:val="22"/>
          <w:u w:val="single"/>
          <w:lang w:val="sk-SK"/>
        </w:rPr>
        <w:t>Fertilita</w:t>
      </w:r>
    </w:p>
    <w:p w14:paraId="54CB9E16" w14:textId="0589AE8E" w:rsidR="008C5146" w:rsidRPr="009D3DED" w:rsidRDefault="001F6E1A">
      <w:pPr>
        <w:rPr>
          <w:szCs w:val="22"/>
          <w:lang w:val="sk-SK"/>
        </w:rPr>
      </w:pPr>
      <w:r w:rsidRPr="009D3DED">
        <w:rPr>
          <w:szCs w:val="22"/>
          <w:lang w:val="sk-SK"/>
        </w:rPr>
        <w:t>Existujú dôkazy, že lieky, ktoré inhibujú cyklooxygenáz</w:t>
      </w:r>
      <w:r w:rsidR="003C2958">
        <w:rPr>
          <w:szCs w:val="22"/>
          <w:lang w:val="sk-SK"/>
        </w:rPr>
        <w:t>u</w:t>
      </w:r>
      <w:r w:rsidR="00A472F7" w:rsidRPr="009D3DED">
        <w:rPr>
          <w:szCs w:val="22"/>
          <w:lang w:val="sk-SK"/>
        </w:rPr>
        <w:t>/</w:t>
      </w:r>
      <w:r w:rsidR="003C2958">
        <w:rPr>
          <w:szCs w:val="22"/>
          <w:lang w:val="sk-SK"/>
        </w:rPr>
        <w:t xml:space="preserve">syntézu </w:t>
      </w:r>
      <w:r w:rsidRPr="009D3DED">
        <w:rPr>
          <w:szCs w:val="22"/>
          <w:lang w:val="sk-SK"/>
        </w:rPr>
        <w:t xml:space="preserve">prostaglandínov, môžu </w:t>
      </w:r>
      <w:r w:rsidR="00754AE0" w:rsidRPr="009D3DED">
        <w:rPr>
          <w:szCs w:val="22"/>
          <w:lang w:val="sk-SK"/>
        </w:rPr>
        <w:t>u ž</w:t>
      </w:r>
      <w:r w:rsidR="00B55762">
        <w:rPr>
          <w:szCs w:val="22"/>
          <w:lang w:val="sk-SK"/>
        </w:rPr>
        <w:t>i</w:t>
      </w:r>
      <w:r w:rsidR="00754AE0" w:rsidRPr="009D3DED">
        <w:rPr>
          <w:szCs w:val="22"/>
          <w:lang w:val="sk-SK"/>
        </w:rPr>
        <w:t xml:space="preserve">en svojím účinkom na </w:t>
      </w:r>
      <w:r w:rsidRPr="009D3DED">
        <w:rPr>
          <w:szCs w:val="22"/>
          <w:lang w:val="sk-SK"/>
        </w:rPr>
        <w:t xml:space="preserve">ovuláciu </w:t>
      </w:r>
      <w:r w:rsidR="00754AE0" w:rsidRPr="009D3DED">
        <w:rPr>
          <w:szCs w:val="22"/>
          <w:lang w:val="sk-SK"/>
        </w:rPr>
        <w:t>narušiť plodnosť.</w:t>
      </w:r>
      <w:r w:rsidRPr="009D3DED">
        <w:rPr>
          <w:szCs w:val="22"/>
          <w:lang w:val="sk-SK"/>
        </w:rPr>
        <w:t xml:space="preserve"> T</w:t>
      </w:r>
      <w:r w:rsidR="00754AE0" w:rsidRPr="009D3DED">
        <w:rPr>
          <w:szCs w:val="22"/>
          <w:lang w:val="sk-SK"/>
        </w:rPr>
        <w:t xml:space="preserve">ento účinok </w:t>
      </w:r>
      <w:r w:rsidRPr="009D3DED">
        <w:rPr>
          <w:szCs w:val="22"/>
          <w:lang w:val="sk-SK"/>
        </w:rPr>
        <w:t>je reverzibiln</w:t>
      </w:r>
      <w:r w:rsidR="00754AE0" w:rsidRPr="009D3DED">
        <w:rPr>
          <w:szCs w:val="22"/>
          <w:lang w:val="sk-SK"/>
        </w:rPr>
        <w:t>ý po ukončení liečby.</w:t>
      </w:r>
    </w:p>
    <w:p w14:paraId="227C9473" w14:textId="77777777" w:rsidR="00F82A93" w:rsidRPr="009D3DED" w:rsidRDefault="00F82A93">
      <w:pPr>
        <w:ind w:left="567" w:hanging="567"/>
        <w:rPr>
          <w:b/>
          <w:szCs w:val="22"/>
          <w:lang w:val="sk-SK"/>
        </w:rPr>
      </w:pPr>
    </w:p>
    <w:p w14:paraId="2057CD2E" w14:textId="77777777" w:rsidR="001D29E6" w:rsidRPr="009D3DED" w:rsidRDefault="001D29E6">
      <w:pPr>
        <w:ind w:left="567" w:hanging="567"/>
        <w:rPr>
          <w:szCs w:val="22"/>
          <w:lang w:val="sk-SK"/>
        </w:rPr>
      </w:pPr>
      <w:r w:rsidRPr="009D3DED">
        <w:rPr>
          <w:b/>
          <w:szCs w:val="22"/>
          <w:lang w:val="sk-SK"/>
        </w:rPr>
        <w:t>4.7</w:t>
      </w:r>
      <w:r w:rsidRPr="009D3DED">
        <w:rPr>
          <w:b/>
          <w:szCs w:val="22"/>
          <w:lang w:val="sk-SK"/>
        </w:rPr>
        <w:tab/>
      </w:r>
      <w:r w:rsidR="00C70366" w:rsidRPr="009D3DED">
        <w:rPr>
          <w:b/>
          <w:szCs w:val="22"/>
          <w:lang w:val="sk-SK"/>
        </w:rPr>
        <w:t>Ovplyvnenie schopnosti viesť vozidlá a obsluhovať stroje</w:t>
      </w:r>
    </w:p>
    <w:p w14:paraId="63672989" w14:textId="77777777" w:rsidR="001D29E6" w:rsidRPr="009D3DED" w:rsidRDefault="001D29E6">
      <w:pPr>
        <w:rPr>
          <w:szCs w:val="22"/>
          <w:lang w:val="sk-SK"/>
        </w:rPr>
      </w:pPr>
    </w:p>
    <w:p w14:paraId="07B16615" w14:textId="78F1D64A" w:rsidR="007D4B1B" w:rsidRPr="009D3DED" w:rsidRDefault="001F6E1A">
      <w:pPr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Vzhľadom </w:t>
      </w:r>
      <w:r w:rsidR="00393F6B">
        <w:rPr>
          <w:szCs w:val="22"/>
          <w:lang w:val="sk-SK"/>
        </w:rPr>
        <w:t>na</w:t>
      </w:r>
      <w:r w:rsidRPr="009D3DED">
        <w:rPr>
          <w:szCs w:val="22"/>
          <w:lang w:val="sk-SK"/>
        </w:rPr>
        <w:t xml:space="preserve"> to</w:t>
      </w:r>
      <w:r w:rsidR="00393F6B">
        <w:rPr>
          <w:szCs w:val="22"/>
          <w:lang w:val="sk-SK"/>
        </w:rPr>
        <w:t>,</w:t>
      </w:r>
      <w:r w:rsidRPr="009D3DED">
        <w:rPr>
          <w:szCs w:val="22"/>
          <w:lang w:val="sk-SK"/>
        </w:rPr>
        <w:t xml:space="preserve"> že pri užívaní </w:t>
      </w:r>
      <w:r w:rsidR="005A15DF" w:rsidRPr="009D3DED">
        <w:rPr>
          <w:szCs w:val="22"/>
          <w:lang w:val="sk-SK"/>
        </w:rPr>
        <w:t>Ibalgin</w:t>
      </w:r>
      <w:r w:rsidR="00393F6B">
        <w:rPr>
          <w:szCs w:val="22"/>
          <w:lang w:val="sk-SK"/>
        </w:rPr>
        <w:t>u</w:t>
      </w:r>
      <w:r w:rsidR="005A15DF" w:rsidRPr="009D3DED">
        <w:rPr>
          <w:szCs w:val="22"/>
          <w:lang w:val="sk-SK"/>
        </w:rPr>
        <w:t xml:space="preserve"> Plus </w:t>
      </w:r>
      <w:r w:rsidRPr="009D3DED">
        <w:rPr>
          <w:szCs w:val="22"/>
          <w:lang w:val="sk-SK"/>
        </w:rPr>
        <w:t>vo vysokých dávkach sa môžu vyskytnúť nežiaduce účinky na centrálny nervový systém, ako sú únava, závraty a poruchy zraku, môže dôjsť v ojedinelých prípadoch k</w:t>
      </w:r>
      <w:r w:rsidR="00393F6B">
        <w:rPr>
          <w:szCs w:val="22"/>
          <w:lang w:val="sk-SK"/>
        </w:rPr>
        <w:t>u</w:t>
      </w:r>
      <w:r w:rsidRPr="009D3DED">
        <w:rPr>
          <w:szCs w:val="22"/>
          <w:lang w:val="sk-SK"/>
        </w:rPr>
        <w:t xml:space="preserve"> zníženiu schopnosti reagovať a schopnosti viesť a obsluhovať stroje. To platí vo väčšej miere v kombinácii s alkoholom</w:t>
      </w:r>
      <w:r w:rsidR="007D4B1B" w:rsidRPr="009D3DED">
        <w:rPr>
          <w:szCs w:val="22"/>
          <w:lang w:val="sk-SK"/>
        </w:rPr>
        <w:t>.</w:t>
      </w:r>
    </w:p>
    <w:p w14:paraId="3BA5EA07" w14:textId="77777777" w:rsidR="00F82A93" w:rsidRPr="009D3DED" w:rsidRDefault="00F82A93">
      <w:pPr>
        <w:rPr>
          <w:szCs w:val="22"/>
          <w:lang w:val="sk-SK"/>
        </w:rPr>
      </w:pPr>
    </w:p>
    <w:p w14:paraId="670FE36F" w14:textId="77777777" w:rsidR="001D29E6" w:rsidRPr="009D3DED" w:rsidRDefault="00C70366">
      <w:pPr>
        <w:numPr>
          <w:ilvl w:val="1"/>
          <w:numId w:val="3"/>
        </w:numPr>
        <w:rPr>
          <w:b/>
          <w:szCs w:val="22"/>
          <w:lang w:val="sk-SK"/>
        </w:rPr>
      </w:pPr>
      <w:r w:rsidRPr="009D3DED">
        <w:rPr>
          <w:b/>
          <w:szCs w:val="22"/>
          <w:lang w:val="sk-SK"/>
        </w:rPr>
        <w:t>Nežiaduce účinky</w:t>
      </w:r>
    </w:p>
    <w:p w14:paraId="679511CF" w14:textId="77777777" w:rsidR="004454CC" w:rsidRPr="009D3DED" w:rsidRDefault="004454CC">
      <w:pPr>
        <w:rPr>
          <w:szCs w:val="22"/>
          <w:lang w:val="sk-SK"/>
        </w:rPr>
      </w:pPr>
    </w:p>
    <w:p w14:paraId="5CD90F09" w14:textId="1BA12664" w:rsidR="004454CC" w:rsidRPr="009D3DED" w:rsidRDefault="00750901">
      <w:pPr>
        <w:rPr>
          <w:szCs w:val="22"/>
          <w:lang w:val="sk-SK"/>
        </w:rPr>
      </w:pPr>
      <w:r>
        <w:rPr>
          <w:szCs w:val="22"/>
          <w:lang w:val="sk-SK"/>
        </w:rPr>
        <w:t>Zoznam</w:t>
      </w:r>
      <w:r w:rsidRPr="009D3DED">
        <w:rPr>
          <w:szCs w:val="22"/>
          <w:lang w:val="sk-SK"/>
        </w:rPr>
        <w:t xml:space="preserve"> </w:t>
      </w:r>
      <w:r w:rsidR="001F6E1A" w:rsidRPr="009D3DED">
        <w:rPr>
          <w:szCs w:val="22"/>
          <w:lang w:val="sk-SK"/>
        </w:rPr>
        <w:t xml:space="preserve">nasledujúcich </w:t>
      </w:r>
      <w:r w:rsidR="00D54265" w:rsidRPr="009D3DED">
        <w:rPr>
          <w:szCs w:val="22"/>
          <w:lang w:val="sk-SK"/>
        </w:rPr>
        <w:t>nežiaduci</w:t>
      </w:r>
      <w:r w:rsidR="001F6E1A" w:rsidRPr="009D3DED">
        <w:rPr>
          <w:szCs w:val="22"/>
          <w:lang w:val="sk-SK"/>
        </w:rPr>
        <w:t xml:space="preserve">ch účinkov zahŕňa všetky nežiaduce účinky, ktoré sa môžu objaviť pri liečbe </w:t>
      </w:r>
      <w:r w:rsidR="00C30552" w:rsidRPr="009D3DED">
        <w:rPr>
          <w:szCs w:val="22"/>
          <w:lang w:val="sk-SK"/>
        </w:rPr>
        <w:t>ibuprofén</w:t>
      </w:r>
      <w:r w:rsidR="001F6E1A" w:rsidRPr="009D3DED">
        <w:rPr>
          <w:szCs w:val="22"/>
          <w:lang w:val="sk-SK"/>
        </w:rPr>
        <w:t xml:space="preserve">om, vrátane </w:t>
      </w:r>
      <w:r w:rsidR="00D54265" w:rsidRPr="009D3DED">
        <w:rPr>
          <w:szCs w:val="22"/>
          <w:lang w:val="sk-SK"/>
        </w:rPr>
        <w:t>nežiaduci</w:t>
      </w:r>
      <w:r w:rsidR="001F6E1A" w:rsidRPr="009D3DED">
        <w:rPr>
          <w:szCs w:val="22"/>
          <w:lang w:val="sk-SK"/>
        </w:rPr>
        <w:t>ch účinkov, ktoré sa vyskytujú pri dlhodobej liečbe vysokými dávkami u pacientov s reumatizmom</w:t>
      </w:r>
      <w:r w:rsidR="00F82A93" w:rsidRPr="009D3DED">
        <w:rPr>
          <w:szCs w:val="22"/>
          <w:lang w:val="sk-SK"/>
        </w:rPr>
        <w:t>.</w:t>
      </w:r>
    </w:p>
    <w:p w14:paraId="0E22A823" w14:textId="77777777" w:rsidR="004454CC" w:rsidRPr="009D3DED" w:rsidRDefault="004454CC">
      <w:pPr>
        <w:rPr>
          <w:szCs w:val="22"/>
          <w:lang w:val="sk-SK"/>
        </w:rPr>
      </w:pPr>
    </w:p>
    <w:p w14:paraId="6298EE5A" w14:textId="77777777" w:rsidR="00CF49DD" w:rsidRPr="009D3DED" w:rsidRDefault="008F3F54">
      <w:pPr>
        <w:rPr>
          <w:szCs w:val="22"/>
          <w:lang w:val="sk-SK"/>
        </w:rPr>
      </w:pPr>
      <w:r w:rsidRPr="009D3DED">
        <w:rPr>
          <w:szCs w:val="22"/>
          <w:lang w:val="sk-SK"/>
        </w:rPr>
        <w:t>Pri</w:t>
      </w:r>
      <w:r w:rsidR="001F6E1A" w:rsidRPr="009D3DED">
        <w:rPr>
          <w:szCs w:val="22"/>
          <w:lang w:val="sk-SK"/>
        </w:rPr>
        <w:t xml:space="preserve"> nasledujúcich nežiaducich účinko</w:t>
      </w:r>
      <w:r w:rsidRPr="009D3DED">
        <w:rPr>
          <w:szCs w:val="22"/>
          <w:lang w:val="sk-SK"/>
        </w:rPr>
        <w:t>ch</w:t>
      </w:r>
      <w:r w:rsidR="001F6E1A" w:rsidRPr="009D3DED">
        <w:rPr>
          <w:szCs w:val="22"/>
          <w:lang w:val="sk-SK"/>
        </w:rPr>
        <w:t xml:space="preserve"> je potrebné vziať do úvahy, že sú prevažne závislé od dávky a vykazujú rozdiely</w:t>
      </w:r>
      <w:r w:rsidRPr="009D3DED">
        <w:rPr>
          <w:szCs w:val="22"/>
          <w:lang w:val="sk-SK"/>
        </w:rPr>
        <w:t xml:space="preserve"> medzi jednotlivými užívateľmi</w:t>
      </w:r>
      <w:r w:rsidR="00CF49DD" w:rsidRPr="009D3DED">
        <w:rPr>
          <w:szCs w:val="22"/>
          <w:lang w:val="sk-SK"/>
        </w:rPr>
        <w:t>.</w:t>
      </w:r>
    </w:p>
    <w:p w14:paraId="1FFCCFE9" w14:textId="77777777" w:rsidR="00CF49DD" w:rsidRPr="009D3DED" w:rsidRDefault="00CF49DD">
      <w:pPr>
        <w:rPr>
          <w:szCs w:val="22"/>
          <w:lang w:val="sk-SK"/>
        </w:rPr>
      </w:pPr>
    </w:p>
    <w:p w14:paraId="40C0CF9F" w14:textId="104A83BA" w:rsidR="004454CC" w:rsidRPr="009D3DED" w:rsidRDefault="008F3F54">
      <w:pPr>
        <w:rPr>
          <w:szCs w:val="22"/>
          <w:lang w:val="sk-SK"/>
        </w:rPr>
      </w:pPr>
      <w:r w:rsidRPr="009D3DED">
        <w:rPr>
          <w:szCs w:val="22"/>
          <w:lang w:val="sk-SK"/>
        </w:rPr>
        <w:t>Pri</w:t>
      </w:r>
      <w:r w:rsidR="001F6E1A" w:rsidRPr="009D3DED">
        <w:rPr>
          <w:szCs w:val="22"/>
          <w:lang w:val="sk-SK"/>
        </w:rPr>
        <w:t xml:space="preserve"> lieko</w:t>
      </w:r>
      <w:r w:rsidRPr="009D3DED">
        <w:rPr>
          <w:szCs w:val="22"/>
          <w:lang w:val="sk-SK"/>
        </w:rPr>
        <w:t>ch</w:t>
      </w:r>
      <w:r w:rsidR="001F6E1A" w:rsidRPr="009D3DED">
        <w:rPr>
          <w:szCs w:val="22"/>
          <w:lang w:val="sk-SK"/>
        </w:rPr>
        <w:t xml:space="preserve"> obsahujúcich ibuprofén sú najčastejšie pozorované nežiaduce účinky gastrointestinálne</w:t>
      </w:r>
      <w:r w:rsidR="00D54265" w:rsidRPr="009D3DED">
        <w:rPr>
          <w:szCs w:val="22"/>
          <w:lang w:val="sk-SK"/>
        </w:rPr>
        <w:t>j</w:t>
      </w:r>
      <w:r w:rsidR="001F6E1A" w:rsidRPr="009D3DED">
        <w:rPr>
          <w:szCs w:val="22"/>
          <w:lang w:val="sk-SK"/>
        </w:rPr>
        <w:t xml:space="preserve"> povahy. Môžu sa objaviť peptické vredy, perforácia alebo gastrointestinálne krvácanie, niekedy fatálne, najmä u starších osôb (pozri časť 4.4). Po podaní bola hlásená nevoľnosť, vracanie, hnačka, plynatosť, zápcha, dyspepsia, bolesť brucha, meléna, hemateméza, ulcerózna stomatitída, exacerbácia kolitídy a Crohnov</w:t>
      </w:r>
      <w:r w:rsidR="00F80F72">
        <w:rPr>
          <w:szCs w:val="22"/>
          <w:lang w:val="sk-SK"/>
        </w:rPr>
        <w:t>ej</w:t>
      </w:r>
      <w:r w:rsidR="001F6E1A" w:rsidRPr="009D3DED">
        <w:rPr>
          <w:szCs w:val="22"/>
          <w:lang w:val="sk-SK"/>
        </w:rPr>
        <w:t xml:space="preserve"> chorob</w:t>
      </w:r>
      <w:r w:rsidR="005232F5">
        <w:rPr>
          <w:szCs w:val="22"/>
          <w:lang w:val="sk-SK"/>
        </w:rPr>
        <w:t>y</w:t>
      </w:r>
      <w:r w:rsidR="001F6E1A" w:rsidRPr="009D3DED">
        <w:rPr>
          <w:szCs w:val="22"/>
          <w:lang w:val="sk-SK"/>
        </w:rPr>
        <w:t xml:space="preserve"> (pozri časť 4.4). Menej často bola pozorovaná gastritída. Najmä riziko výskytu gastrointestinálneho krvácania závisí od </w:t>
      </w:r>
      <w:r w:rsidR="00750901">
        <w:rPr>
          <w:szCs w:val="22"/>
          <w:lang w:val="sk-SK"/>
        </w:rPr>
        <w:t>rozsahu</w:t>
      </w:r>
      <w:r w:rsidR="001F6E1A" w:rsidRPr="009D3DED">
        <w:rPr>
          <w:szCs w:val="22"/>
          <w:lang w:val="sk-SK"/>
        </w:rPr>
        <w:t xml:space="preserve"> dávok a dĺžk</w:t>
      </w:r>
      <w:r w:rsidR="00D54265" w:rsidRPr="009D3DED">
        <w:rPr>
          <w:szCs w:val="22"/>
          <w:lang w:val="sk-SK"/>
        </w:rPr>
        <w:t>y</w:t>
      </w:r>
      <w:r w:rsidR="001F6E1A" w:rsidRPr="009D3DED">
        <w:rPr>
          <w:szCs w:val="22"/>
          <w:lang w:val="sk-SK"/>
        </w:rPr>
        <w:t xml:space="preserve"> </w:t>
      </w:r>
      <w:r w:rsidR="00D54265" w:rsidRPr="009D3DED">
        <w:rPr>
          <w:szCs w:val="22"/>
          <w:lang w:val="sk-SK"/>
        </w:rPr>
        <w:t>užívania</w:t>
      </w:r>
      <w:r w:rsidR="004454CC" w:rsidRPr="009D3DED">
        <w:rPr>
          <w:szCs w:val="22"/>
          <w:lang w:val="sk-SK"/>
        </w:rPr>
        <w:t>.</w:t>
      </w:r>
    </w:p>
    <w:p w14:paraId="3FE9E685" w14:textId="77777777" w:rsidR="004454CC" w:rsidRPr="009D3DED" w:rsidRDefault="004454CC">
      <w:pPr>
        <w:rPr>
          <w:szCs w:val="22"/>
          <w:lang w:val="sk-SK"/>
        </w:rPr>
      </w:pPr>
    </w:p>
    <w:p w14:paraId="0B3D5B67" w14:textId="30F3C47C" w:rsidR="004454CC" w:rsidRPr="009D3DED" w:rsidRDefault="00C86B12">
      <w:pPr>
        <w:rPr>
          <w:szCs w:val="22"/>
          <w:lang w:val="sk-SK"/>
        </w:rPr>
      </w:pPr>
      <w:r w:rsidRPr="009D3DED">
        <w:rPr>
          <w:szCs w:val="22"/>
          <w:lang w:val="sk-SK"/>
        </w:rPr>
        <w:t>V súvislosti s liečbou NSAID boli</w:t>
      </w:r>
      <w:r w:rsidR="00115206">
        <w:rPr>
          <w:szCs w:val="22"/>
          <w:lang w:val="sk-SK"/>
        </w:rPr>
        <w:t xml:space="preserve"> hlásené opuchy, hypertenzia a </w:t>
      </w:r>
      <w:r w:rsidRPr="009D3DED">
        <w:rPr>
          <w:szCs w:val="22"/>
          <w:lang w:val="sk-SK"/>
        </w:rPr>
        <w:t>zlyhanie</w:t>
      </w:r>
      <w:r w:rsidR="00750901">
        <w:rPr>
          <w:szCs w:val="22"/>
          <w:lang w:val="sk-SK"/>
        </w:rPr>
        <w:t xml:space="preserve"> srdca</w:t>
      </w:r>
      <w:r w:rsidR="004454CC" w:rsidRPr="009D3DED">
        <w:rPr>
          <w:szCs w:val="22"/>
          <w:lang w:val="sk-SK"/>
        </w:rPr>
        <w:t>.</w:t>
      </w:r>
    </w:p>
    <w:p w14:paraId="4BE84526" w14:textId="77777777" w:rsidR="004454CC" w:rsidRPr="009D3DED" w:rsidRDefault="004454CC">
      <w:pPr>
        <w:rPr>
          <w:szCs w:val="22"/>
          <w:lang w:val="sk-SK"/>
        </w:rPr>
      </w:pPr>
    </w:p>
    <w:p w14:paraId="28B1AEA1" w14:textId="2DE02A06" w:rsidR="004454CC" w:rsidRPr="009D3DED" w:rsidRDefault="00C86B12">
      <w:pPr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Klinické štúdie </w:t>
      </w:r>
      <w:r w:rsidR="00750901">
        <w:rPr>
          <w:szCs w:val="22"/>
          <w:lang w:val="sk-SK"/>
        </w:rPr>
        <w:t>naznačujú</w:t>
      </w:r>
      <w:r w:rsidR="00754AE0" w:rsidRPr="009D3DED">
        <w:rPr>
          <w:szCs w:val="22"/>
          <w:lang w:val="sk-SK"/>
        </w:rPr>
        <w:t>, že podanie</w:t>
      </w:r>
      <w:r w:rsidRPr="009D3DED">
        <w:rPr>
          <w:szCs w:val="22"/>
          <w:lang w:val="sk-SK"/>
        </w:rPr>
        <w:t xml:space="preserve"> ibuprofénu, najmä </w:t>
      </w:r>
      <w:r w:rsidR="00D54265" w:rsidRPr="009D3DED">
        <w:rPr>
          <w:szCs w:val="22"/>
          <w:lang w:val="sk-SK"/>
        </w:rPr>
        <w:t>vo</w:t>
      </w:r>
      <w:r w:rsidRPr="009D3DED">
        <w:rPr>
          <w:szCs w:val="22"/>
          <w:lang w:val="sk-SK"/>
        </w:rPr>
        <w:t xml:space="preserve"> vysok</w:t>
      </w:r>
      <w:r w:rsidR="00754AE0" w:rsidRPr="009D3DED">
        <w:rPr>
          <w:szCs w:val="22"/>
          <w:lang w:val="sk-SK"/>
        </w:rPr>
        <w:t xml:space="preserve">ých </w:t>
      </w:r>
      <w:r w:rsidRPr="009D3DED">
        <w:rPr>
          <w:szCs w:val="22"/>
          <w:lang w:val="sk-SK"/>
        </w:rPr>
        <w:t>dávk</w:t>
      </w:r>
      <w:r w:rsidR="00754AE0" w:rsidRPr="009D3DED">
        <w:rPr>
          <w:szCs w:val="22"/>
          <w:lang w:val="sk-SK"/>
        </w:rPr>
        <w:t>ach</w:t>
      </w:r>
      <w:r w:rsidRPr="009D3DED">
        <w:rPr>
          <w:szCs w:val="22"/>
          <w:lang w:val="sk-SK"/>
        </w:rPr>
        <w:t xml:space="preserve"> (2</w:t>
      </w:r>
      <w:r w:rsidR="005232F5">
        <w:rPr>
          <w:szCs w:val="22"/>
          <w:lang w:val="sk-SK"/>
        </w:rPr>
        <w:t xml:space="preserve"> </w:t>
      </w:r>
      <w:r w:rsidRPr="009D3DED">
        <w:rPr>
          <w:szCs w:val="22"/>
          <w:lang w:val="sk-SK"/>
        </w:rPr>
        <w:t>400 mg</w:t>
      </w:r>
      <w:r w:rsidR="00A472F7" w:rsidRPr="009D3DED">
        <w:rPr>
          <w:szCs w:val="22"/>
          <w:lang w:val="sk-SK"/>
        </w:rPr>
        <w:t>/</w:t>
      </w:r>
      <w:r w:rsidRPr="009D3DED">
        <w:rPr>
          <w:szCs w:val="22"/>
          <w:lang w:val="sk-SK"/>
        </w:rPr>
        <w:t>deň), môže byť spojené s malým zvýšením rizika art</w:t>
      </w:r>
      <w:r w:rsidR="00880C68">
        <w:rPr>
          <w:szCs w:val="22"/>
          <w:lang w:val="sk-SK"/>
        </w:rPr>
        <w:t>ériovej</w:t>
      </w:r>
      <w:r w:rsidRPr="009D3DED">
        <w:rPr>
          <w:szCs w:val="22"/>
          <w:lang w:val="sk-SK"/>
        </w:rPr>
        <w:t xml:space="preserve"> trombotickej príhody (napríklad infarktu myokardu alebo cievnej mozgovej príhody) </w:t>
      </w:r>
      <w:r w:rsidR="009A7EE0" w:rsidRPr="009D3DED">
        <w:rPr>
          <w:szCs w:val="22"/>
          <w:lang w:val="sk-SK"/>
        </w:rPr>
        <w:t>(</w:t>
      </w:r>
      <w:r w:rsidR="00542E76" w:rsidRPr="009D3DED">
        <w:rPr>
          <w:szCs w:val="22"/>
          <w:lang w:val="sk-SK"/>
        </w:rPr>
        <w:t>pozri časť</w:t>
      </w:r>
      <w:r w:rsidR="009A7EE0" w:rsidRPr="009D3DED">
        <w:rPr>
          <w:szCs w:val="22"/>
          <w:lang w:val="sk-SK"/>
        </w:rPr>
        <w:t xml:space="preserve"> 4.4)</w:t>
      </w:r>
      <w:r w:rsidR="004454CC" w:rsidRPr="009D3DED">
        <w:rPr>
          <w:szCs w:val="22"/>
          <w:lang w:val="sk-SK"/>
        </w:rPr>
        <w:t>.</w:t>
      </w:r>
    </w:p>
    <w:p w14:paraId="43851893" w14:textId="77777777" w:rsidR="00D624A0" w:rsidRPr="009D3DED" w:rsidRDefault="00D624A0">
      <w:pPr>
        <w:rPr>
          <w:szCs w:val="22"/>
          <w:lang w:val="sk-SK"/>
        </w:rPr>
      </w:pPr>
    </w:p>
    <w:p w14:paraId="640CA12F" w14:textId="6AF573AA" w:rsidR="007D673E" w:rsidRPr="009D3DED" w:rsidRDefault="00C86B12">
      <w:pPr>
        <w:rPr>
          <w:szCs w:val="22"/>
          <w:lang w:val="sk-SK" w:eastAsia="zh-CN" w:bidi="th-TH"/>
        </w:rPr>
      </w:pPr>
      <w:r w:rsidRPr="009D3DED">
        <w:rPr>
          <w:szCs w:val="22"/>
          <w:lang w:val="sk-SK"/>
        </w:rPr>
        <w:t>V jednej klinickej štúdii, ktorá skúmala účinok</w:t>
      </w:r>
      <w:r w:rsidR="009A7EE0" w:rsidRPr="009D3DED">
        <w:rPr>
          <w:szCs w:val="22"/>
          <w:lang w:val="sk-SK"/>
        </w:rPr>
        <w:t xml:space="preserve"> </w:t>
      </w:r>
      <w:r w:rsidR="005A15DF" w:rsidRPr="009D3DED">
        <w:rPr>
          <w:szCs w:val="22"/>
          <w:lang w:val="sk-SK"/>
        </w:rPr>
        <w:t>Ibalgin</w:t>
      </w:r>
      <w:r w:rsidR="00750901">
        <w:rPr>
          <w:szCs w:val="22"/>
          <w:lang w:val="sk-SK"/>
        </w:rPr>
        <w:t>u</w:t>
      </w:r>
      <w:r w:rsidR="005A15DF" w:rsidRPr="009D3DED">
        <w:rPr>
          <w:szCs w:val="22"/>
          <w:lang w:val="sk-SK"/>
        </w:rPr>
        <w:t xml:space="preserve"> Plus </w:t>
      </w:r>
      <w:r w:rsidR="009A7EE0" w:rsidRPr="009D3DED">
        <w:rPr>
          <w:szCs w:val="22"/>
          <w:lang w:val="sk-SK"/>
        </w:rPr>
        <w:t>n</w:t>
      </w:r>
      <w:r w:rsidRPr="009D3DED">
        <w:rPr>
          <w:szCs w:val="22"/>
          <w:lang w:val="sk-SK"/>
        </w:rPr>
        <w:t xml:space="preserve">a bolesť po extrakcii </w:t>
      </w:r>
      <w:r w:rsidR="00AF1432" w:rsidRPr="005B40BA">
        <w:rPr>
          <w:szCs w:val="22"/>
          <w:lang w:val="sk-SK"/>
        </w:rPr>
        <w:t>viacerých stoličiek</w:t>
      </w:r>
      <w:r w:rsidRPr="005B40BA">
        <w:rPr>
          <w:szCs w:val="22"/>
          <w:lang w:val="sk-SK"/>
        </w:rPr>
        <w:t>,</w:t>
      </w:r>
      <w:r w:rsidRPr="009D3DED">
        <w:rPr>
          <w:szCs w:val="22"/>
          <w:lang w:val="sk-SK"/>
        </w:rPr>
        <w:t xml:space="preserve"> bola hlásená frekvencia </w:t>
      </w:r>
      <w:r w:rsidR="00765D29" w:rsidRPr="009D3DED">
        <w:rPr>
          <w:szCs w:val="22"/>
          <w:lang w:val="sk-SK"/>
        </w:rPr>
        <w:t xml:space="preserve">výskytu </w:t>
      </w:r>
      <w:r w:rsidRPr="009D3DED">
        <w:rPr>
          <w:szCs w:val="22"/>
          <w:lang w:val="sk-SK"/>
        </w:rPr>
        <w:t>alveolárn</w:t>
      </w:r>
      <w:r w:rsidR="00D54265" w:rsidRPr="009D3DED">
        <w:rPr>
          <w:szCs w:val="22"/>
          <w:lang w:val="sk-SK"/>
        </w:rPr>
        <w:t>ej</w:t>
      </w:r>
      <w:r w:rsidRPr="009D3DED">
        <w:rPr>
          <w:szCs w:val="22"/>
          <w:lang w:val="sk-SK"/>
        </w:rPr>
        <w:t xml:space="preserve"> osteitíd</w:t>
      </w:r>
      <w:r w:rsidR="00D54265" w:rsidRPr="009D3DED">
        <w:rPr>
          <w:szCs w:val="22"/>
          <w:lang w:val="sk-SK"/>
        </w:rPr>
        <w:t>y</w:t>
      </w:r>
      <w:r w:rsidR="009A7EE0" w:rsidRPr="009D3DED">
        <w:rPr>
          <w:szCs w:val="22"/>
          <w:lang w:val="sk-SK"/>
        </w:rPr>
        <w:t xml:space="preserve"> 2,8 % a aftózn</w:t>
      </w:r>
      <w:r w:rsidR="00D54265" w:rsidRPr="009D3DED">
        <w:rPr>
          <w:szCs w:val="22"/>
          <w:lang w:val="sk-SK"/>
        </w:rPr>
        <w:t>ej stomatití</w:t>
      </w:r>
      <w:r w:rsidR="009A7EE0" w:rsidRPr="009D3DED">
        <w:rPr>
          <w:szCs w:val="22"/>
          <w:lang w:val="sk-SK"/>
        </w:rPr>
        <w:t>dy 1,4 %</w:t>
      </w:r>
      <w:r w:rsidR="00D53AA9" w:rsidRPr="009D3DED">
        <w:rPr>
          <w:szCs w:val="22"/>
          <w:lang w:val="sk-SK" w:eastAsia="zh-CN" w:bidi="th-TH"/>
        </w:rPr>
        <w:t>.</w:t>
      </w:r>
    </w:p>
    <w:p w14:paraId="5390637C" w14:textId="77777777" w:rsidR="007D673E" w:rsidRPr="009D3DED" w:rsidRDefault="007D673E">
      <w:pPr>
        <w:rPr>
          <w:szCs w:val="22"/>
          <w:lang w:val="sk-SK"/>
        </w:rPr>
      </w:pPr>
    </w:p>
    <w:p w14:paraId="65457CF6" w14:textId="62255C07" w:rsidR="00D624A0" w:rsidRPr="009D3DED" w:rsidRDefault="00B3719C">
      <w:pPr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Pacientov </w:t>
      </w:r>
      <w:r w:rsidR="00F34866" w:rsidRPr="009D3DED">
        <w:rPr>
          <w:szCs w:val="22"/>
          <w:lang w:val="sk-SK"/>
        </w:rPr>
        <w:t>je potrebné</w:t>
      </w:r>
      <w:r w:rsidRPr="009D3DED">
        <w:rPr>
          <w:szCs w:val="22"/>
          <w:lang w:val="sk-SK"/>
        </w:rPr>
        <w:t xml:space="preserve"> poučiť, že v prípade závažného nežiaduceho účinku majú ihneď prerušiť užívanie  </w:t>
      </w:r>
      <w:r w:rsidR="005A15DF" w:rsidRPr="009D3DED">
        <w:rPr>
          <w:szCs w:val="22"/>
          <w:lang w:val="sk-SK"/>
        </w:rPr>
        <w:t>Ibalgin</w:t>
      </w:r>
      <w:r w:rsidR="00C83F2B">
        <w:rPr>
          <w:szCs w:val="22"/>
          <w:lang w:val="sk-SK"/>
        </w:rPr>
        <w:t>u</w:t>
      </w:r>
      <w:r w:rsidR="005A15DF" w:rsidRPr="009D3DED">
        <w:rPr>
          <w:szCs w:val="22"/>
          <w:lang w:val="sk-SK"/>
        </w:rPr>
        <w:t xml:space="preserve"> Plus</w:t>
      </w:r>
      <w:r w:rsidR="00795F00" w:rsidRPr="009D3DED">
        <w:rPr>
          <w:szCs w:val="22"/>
          <w:lang w:val="sk-SK"/>
        </w:rPr>
        <w:t xml:space="preserve"> </w:t>
      </w:r>
      <w:r w:rsidRPr="009D3DED">
        <w:rPr>
          <w:szCs w:val="22"/>
          <w:lang w:val="sk-SK"/>
        </w:rPr>
        <w:t>a poradiť sa s lekárom</w:t>
      </w:r>
      <w:r w:rsidR="00D624A0" w:rsidRPr="009D3DED">
        <w:rPr>
          <w:szCs w:val="22"/>
          <w:lang w:val="sk-SK"/>
        </w:rPr>
        <w:t>.</w:t>
      </w:r>
    </w:p>
    <w:p w14:paraId="35D7DF4E" w14:textId="77777777" w:rsidR="00F97356" w:rsidRPr="009D3DED" w:rsidRDefault="00F97356">
      <w:pPr>
        <w:rPr>
          <w:szCs w:val="22"/>
          <w:lang w:val="sk-SK"/>
        </w:rPr>
      </w:pPr>
    </w:p>
    <w:p w14:paraId="359E896E" w14:textId="15E8AB49" w:rsidR="00F97356" w:rsidRPr="009D3DED" w:rsidRDefault="00B3719C">
      <w:pPr>
        <w:rPr>
          <w:szCs w:val="22"/>
          <w:lang w:val="sk-SK"/>
        </w:rPr>
      </w:pPr>
      <w:r w:rsidRPr="009D3DED">
        <w:rPr>
          <w:szCs w:val="22"/>
          <w:lang w:val="sk-SK"/>
        </w:rPr>
        <w:lastRenderedPageBreak/>
        <w:t xml:space="preserve">Nežiaduce účinky uvedené nižšie sú rozdelené </w:t>
      </w:r>
      <w:r w:rsidR="00795F00" w:rsidRPr="009D3DED">
        <w:rPr>
          <w:szCs w:val="22"/>
          <w:lang w:val="sk-SK"/>
        </w:rPr>
        <w:t>do skupín podľa terminológie s uvedením frekvencie</w:t>
      </w:r>
      <w:r w:rsidRPr="009D3DED">
        <w:rPr>
          <w:szCs w:val="22"/>
          <w:lang w:val="sk-SK"/>
        </w:rPr>
        <w:t xml:space="preserve">: </w:t>
      </w:r>
      <w:r w:rsidR="00795F00" w:rsidRPr="009D3DED">
        <w:rPr>
          <w:szCs w:val="22"/>
          <w:lang w:val="sk-SK"/>
        </w:rPr>
        <w:t>v</w:t>
      </w:r>
      <w:r w:rsidRPr="009D3DED">
        <w:rPr>
          <w:szCs w:val="22"/>
          <w:lang w:val="sk-SK"/>
        </w:rPr>
        <w:t>eľmi časté (≥</w:t>
      </w:r>
      <w:r w:rsidR="00C83F2B">
        <w:rPr>
          <w:szCs w:val="22"/>
          <w:lang w:val="sk-SK"/>
        </w:rPr>
        <w:t xml:space="preserve"> </w:t>
      </w:r>
      <w:r w:rsidRPr="009D3DED">
        <w:rPr>
          <w:szCs w:val="22"/>
          <w:lang w:val="sk-SK"/>
        </w:rPr>
        <w:t>1</w:t>
      </w:r>
      <w:r w:rsidR="00A472F7" w:rsidRPr="009D3DED">
        <w:rPr>
          <w:szCs w:val="22"/>
          <w:lang w:val="sk-SK"/>
        </w:rPr>
        <w:t>/</w:t>
      </w:r>
      <w:r w:rsidRPr="009D3DED">
        <w:rPr>
          <w:szCs w:val="22"/>
          <w:lang w:val="sk-SK"/>
        </w:rPr>
        <w:t>10); časté (≥</w:t>
      </w:r>
      <w:r w:rsidR="00C83F2B">
        <w:rPr>
          <w:szCs w:val="22"/>
          <w:lang w:val="sk-SK"/>
        </w:rPr>
        <w:t xml:space="preserve"> </w:t>
      </w:r>
      <w:r w:rsidRPr="009D3DED">
        <w:rPr>
          <w:szCs w:val="22"/>
          <w:lang w:val="sk-SK"/>
        </w:rPr>
        <w:t>1</w:t>
      </w:r>
      <w:r w:rsidR="00A472F7" w:rsidRPr="009D3DED">
        <w:rPr>
          <w:szCs w:val="22"/>
          <w:lang w:val="sk-SK"/>
        </w:rPr>
        <w:t>/</w:t>
      </w:r>
      <w:r w:rsidRPr="009D3DED">
        <w:rPr>
          <w:szCs w:val="22"/>
          <w:lang w:val="sk-SK"/>
        </w:rPr>
        <w:t>100 až &lt;</w:t>
      </w:r>
      <w:r w:rsidR="00C83F2B">
        <w:rPr>
          <w:szCs w:val="22"/>
          <w:lang w:val="sk-SK"/>
        </w:rPr>
        <w:t xml:space="preserve"> </w:t>
      </w:r>
      <w:r w:rsidRPr="009D3DED">
        <w:rPr>
          <w:szCs w:val="22"/>
          <w:lang w:val="sk-SK"/>
        </w:rPr>
        <w:t>1/10); menej časté (≥</w:t>
      </w:r>
      <w:r w:rsidR="00C83F2B">
        <w:rPr>
          <w:szCs w:val="22"/>
          <w:lang w:val="sk-SK"/>
        </w:rPr>
        <w:t xml:space="preserve"> </w:t>
      </w:r>
      <w:r w:rsidRPr="009D3DED">
        <w:rPr>
          <w:szCs w:val="22"/>
          <w:lang w:val="sk-SK"/>
        </w:rPr>
        <w:t>1</w:t>
      </w:r>
      <w:r w:rsidR="00A472F7" w:rsidRPr="009D3DED">
        <w:rPr>
          <w:szCs w:val="22"/>
          <w:lang w:val="sk-SK"/>
        </w:rPr>
        <w:t>/</w:t>
      </w:r>
      <w:r w:rsidRPr="009D3DED">
        <w:rPr>
          <w:szCs w:val="22"/>
          <w:lang w:val="sk-SK"/>
        </w:rPr>
        <w:t>1 000 až &lt;</w:t>
      </w:r>
      <w:r w:rsidR="00C83F2B">
        <w:rPr>
          <w:szCs w:val="22"/>
          <w:lang w:val="sk-SK"/>
        </w:rPr>
        <w:t xml:space="preserve"> </w:t>
      </w:r>
      <w:r w:rsidRPr="009D3DED">
        <w:rPr>
          <w:szCs w:val="22"/>
          <w:lang w:val="sk-SK"/>
        </w:rPr>
        <w:t>1/100); zriedkavé (≥</w:t>
      </w:r>
      <w:r w:rsidR="00C83F2B">
        <w:rPr>
          <w:szCs w:val="22"/>
          <w:lang w:val="sk-SK"/>
        </w:rPr>
        <w:t xml:space="preserve"> </w:t>
      </w:r>
      <w:r w:rsidRPr="009D3DED">
        <w:rPr>
          <w:szCs w:val="22"/>
          <w:lang w:val="sk-SK"/>
        </w:rPr>
        <w:t>1</w:t>
      </w:r>
      <w:r w:rsidR="00A472F7" w:rsidRPr="009D3DED">
        <w:rPr>
          <w:szCs w:val="22"/>
          <w:lang w:val="sk-SK"/>
        </w:rPr>
        <w:t>/</w:t>
      </w:r>
      <w:r w:rsidRPr="009D3DED">
        <w:rPr>
          <w:szCs w:val="22"/>
          <w:lang w:val="sk-SK"/>
        </w:rPr>
        <w:t>10 000 až &lt;</w:t>
      </w:r>
      <w:r w:rsidR="00C83F2B">
        <w:rPr>
          <w:szCs w:val="22"/>
          <w:lang w:val="sk-SK"/>
        </w:rPr>
        <w:t xml:space="preserve"> </w:t>
      </w:r>
      <w:r w:rsidRPr="009D3DED">
        <w:rPr>
          <w:szCs w:val="22"/>
          <w:lang w:val="sk-SK"/>
        </w:rPr>
        <w:t>1/1 000); veľmi zriedkavé (&lt;</w:t>
      </w:r>
      <w:r w:rsidR="00C83F2B">
        <w:rPr>
          <w:szCs w:val="22"/>
          <w:lang w:val="sk-SK"/>
        </w:rPr>
        <w:t xml:space="preserve"> </w:t>
      </w:r>
      <w:r w:rsidRPr="009D3DED">
        <w:rPr>
          <w:szCs w:val="22"/>
          <w:lang w:val="sk-SK"/>
        </w:rPr>
        <w:t>1/10 000); neznáme (z dostupných údajov</w:t>
      </w:r>
      <w:r w:rsidR="00F97356" w:rsidRPr="009D3DED">
        <w:rPr>
          <w:szCs w:val="22"/>
          <w:lang w:val="sk-SK"/>
        </w:rPr>
        <w:t>)</w:t>
      </w:r>
      <w:r w:rsidR="00187772">
        <w:rPr>
          <w:szCs w:val="22"/>
          <w:lang w:val="sk-SK"/>
        </w:rPr>
        <w:t>.</w:t>
      </w:r>
    </w:p>
    <w:p w14:paraId="1E0B0F7D" w14:textId="77777777" w:rsidR="003D4280" w:rsidRPr="009D3DED" w:rsidRDefault="003D4280">
      <w:pPr>
        <w:rPr>
          <w:szCs w:val="22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1453"/>
        <w:gridCol w:w="5836"/>
      </w:tblGrid>
      <w:tr w:rsidR="00BA00B9" w:rsidRPr="009D3DED" w14:paraId="6556D9EA" w14:textId="77777777" w:rsidTr="00E2569B">
        <w:tc>
          <w:tcPr>
            <w:tcW w:w="2232" w:type="dxa"/>
            <w:shd w:val="clear" w:color="auto" w:fill="auto"/>
          </w:tcPr>
          <w:p w14:paraId="295DEFAD" w14:textId="77777777" w:rsidR="00BA00B9" w:rsidRPr="009D3DED" w:rsidRDefault="00263CFD">
            <w:pPr>
              <w:rPr>
                <w:b/>
                <w:bCs/>
                <w:szCs w:val="22"/>
                <w:lang w:val="sk-SK"/>
              </w:rPr>
            </w:pPr>
            <w:r w:rsidRPr="009D3DED">
              <w:rPr>
                <w:b/>
                <w:bCs/>
                <w:szCs w:val="22"/>
                <w:lang w:val="sk-SK"/>
              </w:rPr>
              <w:t>Trieda orgánových systémov</w:t>
            </w:r>
          </w:p>
        </w:tc>
        <w:tc>
          <w:tcPr>
            <w:tcW w:w="1453" w:type="dxa"/>
            <w:shd w:val="clear" w:color="auto" w:fill="auto"/>
          </w:tcPr>
          <w:p w14:paraId="13C07B58" w14:textId="77777777" w:rsidR="00BA00B9" w:rsidRPr="009D3DED" w:rsidRDefault="00A16BF4">
            <w:pPr>
              <w:rPr>
                <w:b/>
                <w:bCs/>
                <w:szCs w:val="22"/>
                <w:lang w:val="sk-SK"/>
              </w:rPr>
            </w:pPr>
            <w:r w:rsidRPr="009D3DED">
              <w:rPr>
                <w:b/>
                <w:bCs/>
                <w:szCs w:val="22"/>
                <w:lang w:val="sk-SK"/>
              </w:rPr>
              <w:t>Frekvenci</w:t>
            </w:r>
            <w:r w:rsidR="00D54265" w:rsidRPr="009D3DED">
              <w:rPr>
                <w:b/>
                <w:bCs/>
                <w:szCs w:val="22"/>
                <w:lang w:val="sk-SK"/>
              </w:rPr>
              <w:t>a</w:t>
            </w:r>
          </w:p>
          <w:p w14:paraId="5A489AFC" w14:textId="77777777" w:rsidR="00AA0621" w:rsidRPr="009D3DED" w:rsidRDefault="00AA0621">
            <w:pPr>
              <w:rPr>
                <w:b/>
                <w:bCs/>
                <w:szCs w:val="22"/>
                <w:lang w:val="sk-SK"/>
              </w:rPr>
            </w:pPr>
            <w:r w:rsidRPr="009D3DED">
              <w:rPr>
                <w:b/>
                <w:bCs/>
                <w:szCs w:val="22"/>
                <w:lang w:val="sk-SK"/>
              </w:rPr>
              <w:t>výskytu</w:t>
            </w:r>
          </w:p>
        </w:tc>
        <w:tc>
          <w:tcPr>
            <w:tcW w:w="5836" w:type="dxa"/>
            <w:shd w:val="clear" w:color="auto" w:fill="auto"/>
          </w:tcPr>
          <w:p w14:paraId="2E6EA258" w14:textId="77777777" w:rsidR="00BA00B9" w:rsidRPr="009D3DED" w:rsidRDefault="00263CFD">
            <w:pPr>
              <w:rPr>
                <w:b/>
                <w:bCs/>
                <w:szCs w:val="22"/>
                <w:lang w:val="sk-SK"/>
              </w:rPr>
            </w:pPr>
            <w:r w:rsidRPr="009D3DED">
              <w:rPr>
                <w:b/>
                <w:bCs/>
                <w:szCs w:val="22"/>
                <w:lang w:val="sk-SK"/>
              </w:rPr>
              <w:t>Nežiaduci účinok</w:t>
            </w:r>
          </w:p>
        </w:tc>
      </w:tr>
      <w:tr w:rsidR="00340366" w:rsidRPr="009D3DED" w14:paraId="0F106012" w14:textId="77777777" w:rsidTr="00E2569B">
        <w:trPr>
          <w:trHeight w:val="1322"/>
        </w:trPr>
        <w:tc>
          <w:tcPr>
            <w:tcW w:w="2232" w:type="dxa"/>
            <w:shd w:val="clear" w:color="auto" w:fill="auto"/>
          </w:tcPr>
          <w:p w14:paraId="4FF2DEF1" w14:textId="77777777" w:rsidR="00340366" w:rsidRPr="009D3DED" w:rsidRDefault="006C1878" w:rsidP="00FF309C">
            <w:pPr>
              <w:rPr>
                <w:b/>
                <w:bCs/>
                <w:szCs w:val="22"/>
                <w:lang w:val="sk-SK"/>
              </w:rPr>
            </w:pPr>
            <w:r w:rsidRPr="009D3DED">
              <w:rPr>
                <w:b/>
                <w:bCs/>
                <w:szCs w:val="22"/>
                <w:lang w:val="sk-SK"/>
              </w:rPr>
              <w:t>Infekc</w:t>
            </w:r>
            <w:r w:rsidR="00263CFD" w:rsidRPr="009D3DED">
              <w:rPr>
                <w:b/>
                <w:bCs/>
                <w:szCs w:val="22"/>
                <w:lang w:val="sk-SK"/>
              </w:rPr>
              <w:t>ie a </w:t>
            </w:r>
            <w:r w:rsidR="00334319" w:rsidRPr="009D3DED">
              <w:rPr>
                <w:b/>
                <w:szCs w:val="22"/>
                <w:lang w:val="sk-SK"/>
              </w:rPr>
              <w:t>nákazy</w:t>
            </w:r>
            <w:r w:rsidR="00263CFD" w:rsidRPr="009D3DED">
              <w:rPr>
                <w:rStyle w:val="apple-converted-space"/>
                <w:rFonts w:ascii="Arial" w:hAnsi="Arial" w:cs="Arial"/>
                <w:color w:val="3C4043"/>
                <w:sz w:val="15"/>
                <w:szCs w:val="15"/>
                <w:shd w:val="clear" w:color="auto" w:fill="FFFFFF"/>
                <w:lang w:val="sk-SK"/>
              </w:rPr>
              <w:t> </w:t>
            </w:r>
          </w:p>
        </w:tc>
        <w:tc>
          <w:tcPr>
            <w:tcW w:w="1453" w:type="dxa"/>
            <w:shd w:val="clear" w:color="auto" w:fill="auto"/>
          </w:tcPr>
          <w:p w14:paraId="335FA3D6" w14:textId="77777777" w:rsidR="00340366" w:rsidRPr="009D3DED" w:rsidRDefault="00795F00">
            <w:pPr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v</w:t>
            </w:r>
            <w:r w:rsidR="00B3719C" w:rsidRPr="009D3DED">
              <w:rPr>
                <w:szCs w:val="22"/>
                <w:lang w:val="sk-SK"/>
              </w:rPr>
              <w:t>eľmi zriedkavé</w:t>
            </w:r>
          </w:p>
        </w:tc>
        <w:tc>
          <w:tcPr>
            <w:tcW w:w="5836" w:type="dxa"/>
            <w:shd w:val="clear" w:color="auto" w:fill="auto"/>
          </w:tcPr>
          <w:p w14:paraId="771D0BE0" w14:textId="3A529D02" w:rsidR="006C1878" w:rsidRPr="009D3DED" w:rsidRDefault="00B3719C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Exacerbácia zápalo</w:t>
            </w:r>
            <w:r w:rsidR="00263CFD" w:rsidRPr="009D3DED">
              <w:rPr>
                <w:szCs w:val="22"/>
                <w:lang w:val="sk-SK"/>
              </w:rPr>
              <w:t xml:space="preserve">v spojených s infekciou (napr. </w:t>
            </w:r>
            <w:r w:rsidR="00C83F2B">
              <w:rPr>
                <w:szCs w:val="22"/>
                <w:lang w:val="sk-SK"/>
              </w:rPr>
              <w:t>vznik</w:t>
            </w:r>
            <w:r w:rsidR="00C83F2B" w:rsidRPr="009D3DED">
              <w:rPr>
                <w:szCs w:val="22"/>
                <w:lang w:val="sk-SK"/>
              </w:rPr>
              <w:t xml:space="preserve"> </w:t>
            </w:r>
            <w:r w:rsidRPr="009D3DED">
              <w:rPr>
                <w:szCs w:val="22"/>
                <w:lang w:val="sk-SK"/>
              </w:rPr>
              <w:t>nekrotizujúcej fasciitídy</w:t>
            </w:r>
            <w:r w:rsidR="006C1878" w:rsidRPr="009D3DED">
              <w:rPr>
                <w:szCs w:val="22"/>
                <w:lang w:val="sk-SK"/>
              </w:rPr>
              <w:t>).</w:t>
            </w:r>
            <w:r w:rsidR="006C1878" w:rsidRPr="009D3DED">
              <w:rPr>
                <w:szCs w:val="22"/>
                <w:vertAlign w:val="superscript"/>
                <w:lang w:val="sk-SK"/>
              </w:rPr>
              <w:t>2</w:t>
            </w:r>
          </w:p>
          <w:p w14:paraId="305D86FD" w14:textId="0E5E2BD3" w:rsidR="00340366" w:rsidRPr="009D3DED" w:rsidRDefault="00B3719C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 xml:space="preserve">Príznaky aseptickej meningitídy (stuhnutosť krku, bolesť hlavy, nevoľnosť, vracanie, horúčka alebo dezorientácia), najmä u pacientov s už existujúcimi autoimunitnými </w:t>
            </w:r>
            <w:r w:rsidR="00C83F2B">
              <w:rPr>
                <w:szCs w:val="22"/>
                <w:lang w:val="sk-SK"/>
              </w:rPr>
              <w:t>ochoreniami</w:t>
            </w:r>
            <w:r w:rsidRPr="009D3DED">
              <w:rPr>
                <w:szCs w:val="22"/>
                <w:lang w:val="sk-SK"/>
              </w:rPr>
              <w:t xml:space="preserve"> (SLE, zmiešané ochorenie spojivového tkaniva</w:t>
            </w:r>
            <w:r w:rsidR="006C1878" w:rsidRPr="009D3DED">
              <w:rPr>
                <w:szCs w:val="22"/>
                <w:lang w:val="sk-SK"/>
              </w:rPr>
              <w:t>)</w:t>
            </w:r>
            <w:r w:rsidR="00340366" w:rsidRPr="009D3DED">
              <w:rPr>
                <w:szCs w:val="22"/>
                <w:lang w:val="sk-SK"/>
              </w:rPr>
              <w:t>.</w:t>
            </w:r>
            <w:r w:rsidR="00340366" w:rsidRPr="009D3DED">
              <w:rPr>
                <w:szCs w:val="22"/>
                <w:vertAlign w:val="superscript"/>
                <w:lang w:val="sk-SK"/>
              </w:rPr>
              <w:t>2</w:t>
            </w:r>
          </w:p>
        </w:tc>
      </w:tr>
      <w:tr w:rsidR="00BA00B9" w:rsidRPr="009D3DED" w14:paraId="063EF85F" w14:textId="77777777" w:rsidTr="00E2569B">
        <w:tc>
          <w:tcPr>
            <w:tcW w:w="2232" w:type="dxa"/>
            <w:shd w:val="clear" w:color="auto" w:fill="auto"/>
          </w:tcPr>
          <w:p w14:paraId="024242F2" w14:textId="77777777" w:rsidR="00BA00B9" w:rsidRPr="009D3DED" w:rsidRDefault="006C1878" w:rsidP="00FF309C">
            <w:pPr>
              <w:rPr>
                <w:b/>
                <w:bCs/>
                <w:szCs w:val="22"/>
                <w:lang w:val="sk-SK"/>
              </w:rPr>
            </w:pPr>
            <w:r w:rsidRPr="009D3DED">
              <w:rPr>
                <w:b/>
                <w:bCs/>
                <w:szCs w:val="22"/>
                <w:lang w:val="sk-SK"/>
              </w:rPr>
              <w:t>Poruchy krv</w:t>
            </w:r>
            <w:r w:rsidR="00EC4AB0" w:rsidRPr="009D3DED">
              <w:rPr>
                <w:b/>
                <w:bCs/>
                <w:szCs w:val="22"/>
                <w:lang w:val="sk-SK"/>
              </w:rPr>
              <w:t>i</w:t>
            </w:r>
            <w:r w:rsidRPr="009D3DED">
              <w:rPr>
                <w:b/>
                <w:bCs/>
                <w:szCs w:val="22"/>
                <w:lang w:val="sk-SK"/>
              </w:rPr>
              <w:t xml:space="preserve"> a lymfatického systému</w:t>
            </w:r>
          </w:p>
        </w:tc>
        <w:tc>
          <w:tcPr>
            <w:tcW w:w="1453" w:type="dxa"/>
            <w:shd w:val="clear" w:color="auto" w:fill="auto"/>
          </w:tcPr>
          <w:p w14:paraId="430EFE6D" w14:textId="77777777" w:rsidR="00BA00B9" w:rsidRPr="009D3DED" w:rsidRDefault="00795F00">
            <w:pPr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v</w:t>
            </w:r>
            <w:r w:rsidR="00B3719C" w:rsidRPr="009D3DED">
              <w:rPr>
                <w:szCs w:val="22"/>
                <w:lang w:val="sk-SK"/>
              </w:rPr>
              <w:t>eľmi zriedkavé</w:t>
            </w:r>
          </w:p>
        </w:tc>
        <w:tc>
          <w:tcPr>
            <w:tcW w:w="5836" w:type="dxa"/>
            <w:shd w:val="clear" w:color="auto" w:fill="auto"/>
          </w:tcPr>
          <w:p w14:paraId="31438480" w14:textId="77777777" w:rsidR="00BA00B9" w:rsidRPr="009D3DED" w:rsidRDefault="00B3719C">
            <w:pPr>
              <w:rPr>
                <w:szCs w:val="22"/>
                <w:lang w:val="sk-SK"/>
              </w:rPr>
            </w:pPr>
            <w:r w:rsidRPr="009D3DED">
              <w:rPr>
                <w:color w:val="000000" w:themeColor="text1"/>
                <w:szCs w:val="22"/>
                <w:lang w:val="sk-SK"/>
              </w:rPr>
              <w:t>Poruchy krvotvorby (anémia, leukopénia, trombocytopénia, pancytopénia, agranulocytóza</w:t>
            </w:r>
            <w:r w:rsidR="006C1878" w:rsidRPr="009D3DED">
              <w:rPr>
                <w:color w:val="000000" w:themeColor="text1"/>
                <w:szCs w:val="22"/>
                <w:lang w:val="sk-SK"/>
              </w:rPr>
              <w:t>)</w:t>
            </w:r>
            <w:r w:rsidR="00F83021" w:rsidRPr="009D3DED">
              <w:rPr>
                <w:szCs w:val="22"/>
                <w:lang w:val="sk-SK"/>
              </w:rPr>
              <w:t>.</w:t>
            </w:r>
            <w:r w:rsidR="00BA00B9" w:rsidRPr="009D3DED">
              <w:rPr>
                <w:szCs w:val="22"/>
                <w:vertAlign w:val="superscript"/>
                <w:lang w:val="sk-SK"/>
              </w:rPr>
              <w:t>2</w:t>
            </w:r>
          </w:p>
        </w:tc>
      </w:tr>
      <w:tr w:rsidR="00F83021" w:rsidRPr="009D3DED" w14:paraId="105ABC2C" w14:textId="77777777" w:rsidTr="00E2569B">
        <w:trPr>
          <w:trHeight w:val="539"/>
        </w:trPr>
        <w:tc>
          <w:tcPr>
            <w:tcW w:w="2232" w:type="dxa"/>
            <w:vMerge w:val="restart"/>
            <w:shd w:val="clear" w:color="auto" w:fill="auto"/>
          </w:tcPr>
          <w:p w14:paraId="38CB0E22" w14:textId="77777777" w:rsidR="00F83021" w:rsidRPr="009D3DED" w:rsidRDefault="006C1878" w:rsidP="00FF309C">
            <w:pPr>
              <w:rPr>
                <w:b/>
                <w:bCs/>
                <w:szCs w:val="22"/>
                <w:lang w:val="sk-SK"/>
              </w:rPr>
            </w:pPr>
            <w:r w:rsidRPr="009D3DED">
              <w:rPr>
                <w:b/>
                <w:bCs/>
                <w:szCs w:val="22"/>
                <w:lang w:val="sk-SK"/>
              </w:rPr>
              <w:t xml:space="preserve">Poruchy </w:t>
            </w:r>
            <w:r w:rsidR="00EC4AB0" w:rsidRPr="009D3DED">
              <w:rPr>
                <w:b/>
                <w:bCs/>
                <w:szCs w:val="22"/>
                <w:lang w:val="sk-SK"/>
              </w:rPr>
              <w:t>imunitného</w:t>
            </w:r>
            <w:r w:rsidRPr="009D3DED">
              <w:rPr>
                <w:b/>
                <w:bCs/>
                <w:szCs w:val="22"/>
                <w:lang w:val="sk-SK"/>
              </w:rPr>
              <w:t xml:space="preserve"> systému</w:t>
            </w:r>
          </w:p>
        </w:tc>
        <w:tc>
          <w:tcPr>
            <w:tcW w:w="1453" w:type="dxa"/>
            <w:shd w:val="clear" w:color="auto" w:fill="auto"/>
          </w:tcPr>
          <w:p w14:paraId="60E9FBFA" w14:textId="77777777" w:rsidR="00F83021" w:rsidRPr="009D3DED" w:rsidRDefault="00795F00">
            <w:pPr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m</w:t>
            </w:r>
            <w:r w:rsidR="00B3719C" w:rsidRPr="009D3DED">
              <w:rPr>
                <w:szCs w:val="22"/>
                <w:lang w:val="sk-SK"/>
              </w:rPr>
              <w:t>enej časté</w:t>
            </w:r>
          </w:p>
        </w:tc>
        <w:tc>
          <w:tcPr>
            <w:tcW w:w="5836" w:type="dxa"/>
            <w:shd w:val="clear" w:color="auto" w:fill="auto"/>
          </w:tcPr>
          <w:p w14:paraId="0B74868E" w14:textId="77777777" w:rsidR="00F83021" w:rsidRPr="009D3DED" w:rsidRDefault="00B3719C">
            <w:pPr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 xml:space="preserve">Reakcie </w:t>
            </w:r>
            <w:r w:rsidR="00D54265" w:rsidRPr="009D3DED">
              <w:rPr>
                <w:szCs w:val="22"/>
                <w:lang w:val="sk-SK"/>
              </w:rPr>
              <w:t xml:space="preserve">z </w:t>
            </w:r>
            <w:r w:rsidRPr="009D3DED">
              <w:rPr>
                <w:szCs w:val="22"/>
                <w:lang w:val="sk-SK"/>
              </w:rPr>
              <w:t>precitlivenosti s kožnými vyrážkami a svrbením, astmatické záchvaty (s poklesom krvného tlaku</w:t>
            </w:r>
            <w:r w:rsidR="006C1878" w:rsidRPr="009D3DED">
              <w:rPr>
                <w:szCs w:val="22"/>
                <w:lang w:val="sk-SK"/>
              </w:rPr>
              <w:t>)</w:t>
            </w:r>
            <w:r w:rsidR="00F83021" w:rsidRPr="009D3DED">
              <w:rPr>
                <w:szCs w:val="22"/>
                <w:lang w:val="sk-SK"/>
              </w:rPr>
              <w:t>.</w:t>
            </w:r>
            <w:r w:rsidR="00F83021" w:rsidRPr="009D3DED">
              <w:rPr>
                <w:szCs w:val="22"/>
                <w:vertAlign w:val="superscript"/>
                <w:lang w:val="sk-SK"/>
              </w:rPr>
              <w:t>2</w:t>
            </w:r>
          </w:p>
        </w:tc>
      </w:tr>
      <w:tr w:rsidR="00F83021" w:rsidRPr="009D3DED" w14:paraId="38944BDB" w14:textId="77777777" w:rsidTr="00E2569B">
        <w:trPr>
          <w:trHeight w:val="538"/>
        </w:trPr>
        <w:tc>
          <w:tcPr>
            <w:tcW w:w="2232" w:type="dxa"/>
            <w:vMerge/>
            <w:shd w:val="clear" w:color="auto" w:fill="auto"/>
          </w:tcPr>
          <w:p w14:paraId="03F19B83" w14:textId="77777777" w:rsidR="00F83021" w:rsidRPr="009D3DED" w:rsidRDefault="00F83021">
            <w:pPr>
              <w:rPr>
                <w:b/>
                <w:bCs/>
                <w:szCs w:val="22"/>
                <w:lang w:val="sk-SK"/>
              </w:rPr>
            </w:pPr>
          </w:p>
        </w:tc>
        <w:tc>
          <w:tcPr>
            <w:tcW w:w="1453" w:type="dxa"/>
            <w:shd w:val="clear" w:color="auto" w:fill="auto"/>
          </w:tcPr>
          <w:p w14:paraId="66E7948E" w14:textId="77777777" w:rsidR="00F83021" w:rsidRPr="009D3DED" w:rsidRDefault="00795F00">
            <w:pPr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v</w:t>
            </w:r>
            <w:r w:rsidR="00B3719C" w:rsidRPr="009D3DED">
              <w:rPr>
                <w:szCs w:val="22"/>
                <w:lang w:val="sk-SK"/>
              </w:rPr>
              <w:t>eľmi zriedkavé</w:t>
            </w:r>
          </w:p>
        </w:tc>
        <w:tc>
          <w:tcPr>
            <w:tcW w:w="5836" w:type="dxa"/>
            <w:shd w:val="clear" w:color="auto" w:fill="auto"/>
          </w:tcPr>
          <w:p w14:paraId="5D3AEC9E" w14:textId="6F544430" w:rsidR="00F83021" w:rsidRPr="009D3DED" w:rsidRDefault="00C83F2B">
            <w:pPr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Závažné</w:t>
            </w:r>
            <w:r w:rsidRPr="009D3DED">
              <w:rPr>
                <w:szCs w:val="22"/>
                <w:lang w:val="sk-SK"/>
              </w:rPr>
              <w:t xml:space="preserve"> </w:t>
            </w:r>
            <w:r w:rsidR="00B3719C" w:rsidRPr="009D3DED">
              <w:rPr>
                <w:szCs w:val="22"/>
                <w:lang w:val="sk-SK"/>
              </w:rPr>
              <w:t xml:space="preserve">generalizované </w:t>
            </w:r>
            <w:r w:rsidR="00B92304" w:rsidRPr="009D3DED">
              <w:rPr>
                <w:szCs w:val="22"/>
                <w:lang w:val="sk-SK"/>
              </w:rPr>
              <w:t>reakcie z precitlivenosti</w:t>
            </w:r>
            <w:r w:rsidR="00B3719C" w:rsidRPr="009D3DED">
              <w:rPr>
                <w:szCs w:val="22"/>
                <w:lang w:val="sk-SK"/>
              </w:rPr>
              <w:t>, možné pr</w:t>
            </w:r>
            <w:r>
              <w:rPr>
                <w:szCs w:val="22"/>
                <w:lang w:val="sk-SK"/>
              </w:rPr>
              <w:t>ejavy</w:t>
            </w:r>
            <w:r w:rsidR="00B3719C" w:rsidRPr="009D3DED">
              <w:rPr>
                <w:szCs w:val="22"/>
                <w:lang w:val="sk-SK"/>
              </w:rPr>
              <w:t xml:space="preserve"> sú edém tváre, angioedém, dýchavičnosť, tachykardia, pokles krvného tlaku, anafylaktický šok</w:t>
            </w:r>
            <w:r w:rsidR="00F83021" w:rsidRPr="009D3DED">
              <w:rPr>
                <w:szCs w:val="22"/>
                <w:lang w:val="sk-SK"/>
              </w:rPr>
              <w:t>.</w:t>
            </w:r>
            <w:r w:rsidR="00F83021" w:rsidRPr="009D3DED">
              <w:rPr>
                <w:szCs w:val="22"/>
                <w:vertAlign w:val="superscript"/>
                <w:lang w:val="sk-SK"/>
              </w:rPr>
              <w:t>2</w:t>
            </w:r>
          </w:p>
        </w:tc>
      </w:tr>
      <w:tr w:rsidR="00F83021" w:rsidRPr="009D3DED" w14:paraId="30CD7DEF" w14:textId="77777777" w:rsidTr="00E2569B">
        <w:trPr>
          <w:trHeight w:val="107"/>
        </w:trPr>
        <w:tc>
          <w:tcPr>
            <w:tcW w:w="2232" w:type="dxa"/>
            <w:vMerge w:val="restart"/>
            <w:shd w:val="clear" w:color="auto" w:fill="auto"/>
          </w:tcPr>
          <w:p w14:paraId="2C2EDDF6" w14:textId="77777777" w:rsidR="00F83021" w:rsidRPr="009D3DED" w:rsidRDefault="00F83021" w:rsidP="00FF309C">
            <w:pPr>
              <w:rPr>
                <w:b/>
                <w:bCs/>
                <w:szCs w:val="22"/>
                <w:lang w:val="sk-SK"/>
              </w:rPr>
            </w:pPr>
            <w:r w:rsidRPr="009D3DED">
              <w:rPr>
                <w:b/>
                <w:bCs/>
                <w:szCs w:val="22"/>
                <w:lang w:val="sk-SK"/>
              </w:rPr>
              <w:t>Psychiatric</w:t>
            </w:r>
            <w:r w:rsidR="006C1878" w:rsidRPr="009D3DED">
              <w:rPr>
                <w:b/>
                <w:bCs/>
                <w:szCs w:val="22"/>
                <w:lang w:val="sk-SK"/>
              </w:rPr>
              <w:t>ké poruchy</w:t>
            </w:r>
          </w:p>
        </w:tc>
        <w:tc>
          <w:tcPr>
            <w:tcW w:w="1453" w:type="dxa"/>
            <w:shd w:val="clear" w:color="auto" w:fill="auto"/>
          </w:tcPr>
          <w:p w14:paraId="1D05F232" w14:textId="77777777" w:rsidR="00F83021" w:rsidRPr="009D3DED" w:rsidRDefault="00795F00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m</w:t>
            </w:r>
            <w:r w:rsidR="00B3719C" w:rsidRPr="009D3DED">
              <w:rPr>
                <w:szCs w:val="22"/>
                <w:lang w:val="sk-SK"/>
              </w:rPr>
              <w:t>enej časté</w:t>
            </w:r>
          </w:p>
        </w:tc>
        <w:tc>
          <w:tcPr>
            <w:tcW w:w="5836" w:type="dxa"/>
            <w:shd w:val="clear" w:color="auto" w:fill="auto"/>
          </w:tcPr>
          <w:p w14:paraId="08293B1D" w14:textId="77777777" w:rsidR="00F83021" w:rsidRPr="009D3DED" w:rsidRDefault="00CC7733">
            <w:pPr>
              <w:pStyle w:val="CSTextinTable10pt"/>
              <w:keepNext w:val="0"/>
              <w:keepLines w:val="0"/>
              <w:spacing w:before="0" w:after="0"/>
              <w:rPr>
                <w:sz w:val="22"/>
                <w:szCs w:val="22"/>
                <w:lang w:val="sk-SK" w:eastAsia="en-US"/>
              </w:rPr>
            </w:pPr>
            <w:r w:rsidRPr="009D3DED">
              <w:rPr>
                <w:sz w:val="22"/>
                <w:szCs w:val="22"/>
                <w:lang w:val="sk-SK" w:eastAsia="en-US"/>
              </w:rPr>
              <w:t>P</w:t>
            </w:r>
            <w:r w:rsidR="00B3719C" w:rsidRPr="009D3DED">
              <w:rPr>
                <w:sz w:val="22"/>
                <w:szCs w:val="22"/>
                <w:lang w:val="sk-SK" w:eastAsia="en-US"/>
              </w:rPr>
              <w:t>sychotické reakcie</w:t>
            </w:r>
            <w:r w:rsidR="00F83021" w:rsidRPr="009D3DED">
              <w:rPr>
                <w:sz w:val="22"/>
                <w:szCs w:val="22"/>
                <w:vertAlign w:val="superscript"/>
                <w:lang w:val="sk-SK" w:eastAsia="en-US"/>
              </w:rPr>
              <w:t>1,2</w:t>
            </w:r>
          </w:p>
        </w:tc>
      </w:tr>
      <w:tr w:rsidR="00F83021" w:rsidRPr="009D3DED" w14:paraId="50F4C09D" w14:textId="77777777" w:rsidTr="00E2569B">
        <w:trPr>
          <w:trHeight w:val="106"/>
        </w:trPr>
        <w:tc>
          <w:tcPr>
            <w:tcW w:w="2232" w:type="dxa"/>
            <w:vMerge/>
            <w:shd w:val="clear" w:color="auto" w:fill="auto"/>
          </w:tcPr>
          <w:p w14:paraId="56650EB8" w14:textId="77777777" w:rsidR="00F83021" w:rsidRPr="009D3DED" w:rsidRDefault="00F83021">
            <w:pPr>
              <w:rPr>
                <w:b/>
                <w:bCs/>
                <w:szCs w:val="22"/>
                <w:lang w:val="sk-SK"/>
              </w:rPr>
            </w:pPr>
          </w:p>
        </w:tc>
        <w:tc>
          <w:tcPr>
            <w:tcW w:w="1453" w:type="dxa"/>
            <w:shd w:val="clear" w:color="auto" w:fill="auto"/>
          </w:tcPr>
          <w:p w14:paraId="7DF27AF6" w14:textId="77777777" w:rsidR="00F83021" w:rsidRPr="009D3DED" w:rsidRDefault="00795F00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v</w:t>
            </w:r>
            <w:r w:rsidR="00B3719C" w:rsidRPr="009D3DED">
              <w:rPr>
                <w:szCs w:val="22"/>
                <w:lang w:val="sk-SK"/>
              </w:rPr>
              <w:t>eľmi zriedkavé</w:t>
            </w:r>
          </w:p>
        </w:tc>
        <w:tc>
          <w:tcPr>
            <w:tcW w:w="5836" w:type="dxa"/>
            <w:shd w:val="clear" w:color="auto" w:fill="auto"/>
          </w:tcPr>
          <w:p w14:paraId="5A643291" w14:textId="77777777" w:rsidR="00F83021" w:rsidRPr="009D3DED" w:rsidRDefault="00F83021">
            <w:pPr>
              <w:pStyle w:val="CSTextinTable10pt"/>
              <w:keepNext w:val="0"/>
              <w:keepLines w:val="0"/>
              <w:spacing w:before="0" w:after="0"/>
              <w:rPr>
                <w:sz w:val="22"/>
                <w:szCs w:val="22"/>
                <w:lang w:val="sk-SK" w:eastAsia="en-US"/>
              </w:rPr>
            </w:pPr>
            <w:r w:rsidRPr="009D3DED">
              <w:rPr>
                <w:sz w:val="22"/>
                <w:szCs w:val="22"/>
                <w:lang w:val="sk-SK" w:eastAsia="en-US"/>
              </w:rPr>
              <w:t>Depres</w:t>
            </w:r>
            <w:r w:rsidR="00CC7733" w:rsidRPr="009D3DED">
              <w:rPr>
                <w:sz w:val="22"/>
                <w:szCs w:val="22"/>
                <w:lang w:val="sk-SK" w:eastAsia="en-US"/>
              </w:rPr>
              <w:t>ia</w:t>
            </w:r>
            <w:r w:rsidRPr="009D3DED">
              <w:rPr>
                <w:sz w:val="22"/>
                <w:szCs w:val="22"/>
                <w:vertAlign w:val="superscript"/>
                <w:lang w:val="sk-SK" w:eastAsia="en-US"/>
              </w:rPr>
              <w:t>2</w:t>
            </w:r>
          </w:p>
        </w:tc>
      </w:tr>
      <w:tr w:rsidR="00F83021" w:rsidRPr="009D3DED" w14:paraId="5CE282CB" w14:textId="77777777" w:rsidTr="00E2569B">
        <w:trPr>
          <w:trHeight w:val="326"/>
        </w:trPr>
        <w:tc>
          <w:tcPr>
            <w:tcW w:w="2232" w:type="dxa"/>
            <w:vMerge w:val="restart"/>
            <w:shd w:val="clear" w:color="auto" w:fill="auto"/>
          </w:tcPr>
          <w:p w14:paraId="588E1C01" w14:textId="77777777" w:rsidR="00F83021" w:rsidRPr="009D3DED" w:rsidRDefault="00F007C4" w:rsidP="00FF309C">
            <w:pPr>
              <w:rPr>
                <w:b/>
                <w:bCs/>
                <w:szCs w:val="22"/>
                <w:lang w:val="sk-SK"/>
              </w:rPr>
            </w:pPr>
            <w:r w:rsidRPr="009D3DED">
              <w:rPr>
                <w:b/>
                <w:bCs/>
                <w:szCs w:val="22"/>
                <w:lang w:val="sk-SK"/>
              </w:rPr>
              <w:t>Poruchy nervového systému</w:t>
            </w:r>
          </w:p>
        </w:tc>
        <w:tc>
          <w:tcPr>
            <w:tcW w:w="1453" w:type="dxa"/>
            <w:shd w:val="clear" w:color="auto" w:fill="auto"/>
          </w:tcPr>
          <w:p w14:paraId="5ED52B74" w14:textId="77777777" w:rsidR="00F83021" w:rsidRPr="009D3DED" w:rsidRDefault="00795F00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č</w:t>
            </w:r>
            <w:r w:rsidR="00AA0621" w:rsidRPr="009D3DED">
              <w:rPr>
                <w:szCs w:val="22"/>
                <w:lang w:val="sk-SK"/>
              </w:rPr>
              <w:t>asté</w:t>
            </w:r>
          </w:p>
        </w:tc>
        <w:tc>
          <w:tcPr>
            <w:tcW w:w="5836" w:type="dxa"/>
            <w:shd w:val="clear" w:color="auto" w:fill="auto"/>
          </w:tcPr>
          <w:p w14:paraId="32F0D9DB" w14:textId="77777777" w:rsidR="00F83021" w:rsidRPr="009D3DED" w:rsidRDefault="006C1878">
            <w:pPr>
              <w:pStyle w:val="CSTextinTable10pt"/>
              <w:keepNext w:val="0"/>
              <w:keepLines w:val="0"/>
              <w:spacing w:before="0" w:after="0"/>
              <w:rPr>
                <w:sz w:val="22"/>
                <w:szCs w:val="22"/>
                <w:lang w:val="sk-SK" w:eastAsia="en-US"/>
              </w:rPr>
            </w:pPr>
            <w:r w:rsidRPr="009D3DED">
              <w:rPr>
                <w:sz w:val="22"/>
                <w:szCs w:val="22"/>
                <w:lang w:val="sk-SK" w:eastAsia="en-US"/>
              </w:rPr>
              <w:t>Závrat</w:t>
            </w:r>
            <w:r w:rsidR="00EC4AB0" w:rsidRPr="009D3DED">
              <w:rPr>
                <w:sz w:val="22"/>
                <w:szCs w:val="22"/>
                <w:lang w:val="sk-SK" w:eastAsia="en-US"/>
              </w:rPr>
              <w:t>y</w:t>
            </w:r>
            <w:r w:rsidR="00F83021" w:rsidRPr="009D3DED">
              <w:rPr>
                <w:sz w:val="22"/>
                <w:szCs w:val="22"/>
                <w:vertAlign w:val="superscript"/>
                <w:lang w:val="sk-SK" w:eastAsia="en-US"/>
              </w:rPr>
              <w:t>1,2</w:t>
            </w:r>
            <w:r w:rsidR="003D4280" w:rsidRPr="009D3DED">
              <w:rPr>
                <w:sz w:val="22"/>
                <w:szCs w:val="22"/>
                <w:lang w:val="sk-SK" w:eastAsia="en-US"/>
              </w:rPr>
              <w:t xml:space="preserve">, </w:t>
            </w:r>
            <w:r w:rsidR="00A16BF4" w:rsidRPr="009D3DED">
              <w:rPr>
                <w:sz w:val="22"/>
                <w:szCs w:val="22"/>
                <w:lang w:val="sk-SK" w:eastAsia="en-US"/>
              </w:rPr>
              <w:t>nespavosť</w:t>
            </w:r>
            <w:r w:rsidR="00EC4AB0" w:rsidRPr="009D3DED">
              <w:rPr>
                <w:sz w:val="22"/>
                <w:szCs w:val="22"/>
                <w:lang w:val="sk-SK" w:eastAsia="en-US"/>
              </w:rPr>
              <w:t xml:space="preserve"> (insomnia</w:t>
            </w:r>
            <w:r w:rsidR="00F83021" w:rsidRPr="009D3DED">
              <w:rPr>
                <w:sz w:val="22"/>
                <w:szCs w:val="22"/>
                <w:lang w:val="sk-SK" w:eastAsia="en-US"/>
              </w:rPr>
              <w:t>)</w:t>
            </w:r>
            <w:r w:rsidR="00F83021" w:rsidRPr="009D3DED">
              <w:rPr>
                <w:sz w:val="22"/>
                <w:szCs w:val="22"/>
                <w:vertAlign w:val="superscript"/>
                <w:lang w:val="sk-SK" w:eastAsia="en-US"/>
              </w:rPr>
              <w:t>1,2,3</w:t>
            </w:r>
            <w:r w:rsidR="003D4280" w:rsidRPr="009D3DED">
              <w:rPr>
                <w:sz w:val="22"/>
                <w:szCs w:val="22"/>
                <w:lang w:val="sk-SK" w:eastAsia="en-US"/>
              </w:rPr>
              <w:t xml:space="preserve">, </w:t>
            </w:r>
            <w:r w:rsidR="00A16BF4" w:rsidRPr="009D3DED">
              <w:rPr>
                <w:sz w:val="22"/>
                <w:szCs w:val="22"/>
                <w:lang w:val="sk-SK" w:eastAsia="en-US"/>
              </w:rPr>
              <w:t>bolesť</w:t>
            </w:r>
            <w:r w:rsidRPr="009D3DED">
              <w:rPr>
                <w:sz w:val="22"/>
                <w:szCs w:val="22"/>
                <w:lang w:val="sk-SK" w:eastAsia="en-US"/>
              </w:rPr>
              <w:t xml:space="preserve"> hlavy</w:t>
            </w:r>
            <w:r w:rsidR="00547182" w:rsidRPr="009D3DED">
              <w:rPr>
                <w:sz w:val="22"/>
                <w:szCs w:val="22"/>
                <w:vertAlign w:val="superscript"/>
                <w:lang w:val="sk-SK" w:eastAsia="en-US"/>
              </w:rPr>
              <w:t>4</w:t>
            </w:r>
          </w:p>
        </w:tc>
      </w:tr>
      <w:tr w:rsidR="00F83021" w:rsidRPr="009D3DED" w14:paraId="3AC5F7A7" w14:textId="77777777" w:rsidTr="00E2569B">
        <w:trPr>
          <w:trHeight w:val="325"/>
        </w:trPr>
        <w:tc>
          <w:tcPr>
            <w:tcW w:w="2232" w:type="dxa"/>
            <w:vMerge/>
            <w:shd w:val="clear" w:color="auto" w:fill="auto"/>
          </w:tcPr>
          <w:p w14:paraId="78C09696" w14:textId="77777777" w:rsidR="00F83021" w:rsidRPr="009D3DED" w:rsidRDefault="00F83021">
            <w:pPr>
              <w:rPr>
                <w:b/>
                <w:bCs/>
                <w:szCs w:val="22"/>
                <w:lang w:val="sk-SK"/>
              </w:rPr>
            </w:pPr>
          </w:p>
        </w:tc>
        <w:tc>
          <w:tcPr>
            <w:tcW w:w="1453" w:type="dxa"/>
            <w:shd w:val="clear" w:color="auto" w:fill="auto"/>
          </w:tcPr>
          <w:p w14:paraId="0F5DE777" w14:textId="77777777" w:rsidR="00F83021" w:rsidRPr="009D3DED" w:rsidRDefault="00795F00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m</w:t>
            </w:r>
            <w:r w:rsidR="00B3719C" w:rsidRPr="009D3DED">
              <w:rPr>
                <w:szCs w:val="22"/>
                <w:lang w:val="sk-SK"/>
              </w:rPr>
              <w:t>enej časté</w:t>
            </w:r>
          </w:p>
        </w:tc>
        <w:tc>
          <w:tcPr>
            <w:tcW w:w="5836" w:type="dxa"/>
            <w:shd w:val="clear" w:color="auto" w:fill="auto"/>
          </w:tcPr>
          <w:p w14:paraId="20857428" w14:textId="0EC8C74C" w:rsidR="00F83021" w:rsidRPr="009D3DED" w:rsidRDefault="00B3719C">
            <w:pPr>
              <w:pStyle w:val="CSTextinTable10pt"/>
              <w:keepNext w:val="0"/>
              <w:keepLines w:val="0"/>
              <w:spacing w:before="0" w:after="0"/>
              <w:rPr>
                <w:sz w:val="22"/>
                <w:szCs w:val="22"/>
                <w:lang w:val="sk-SK" w:eastAsia="en-US"/>
              </w:rPr>
            </w:pPr>
            <w:r w:rsidRPr="009D3DED">
              <w:rPr>
                <w:sz w:val="22"/>
                <w:szCs w:val="22"/>
                <w:lang w:val="sk-SK" w:eastAsia="en-US"/>
              </w:rPr>
              <w:t xml:space="preserve">Poruchy centrálneho nervového systému, ako sú agitácia </w:t>
            </w:r>
            <w:r w:rsidR="00F83021" w:rsidRPr="009D3DED">
              <w:rPr>
                <w:sz w:val="22"/>
                <w:szCs w:val="22"/>
                <w:vertAlign w:val="superscript"/>
                <w:lang w:val="sk-SK" w:eastAsia="en-US"/>
              </w:rPr>
              <w:t>2</w:t>
            </w:r>
            <w:r w:rsidR="00F83021" w:rsidRPr="009D3DED">
              <w:rPr>
                <w:sz w:val="22"/>
                <w:szCs w:val="22"/>
                <w:lang w:val="sk-SK" w:eastAsia="en-US"/>
              </w:rPr>
              <w:t xml:space="preserve">, </w:t>
            </w:r>
            <w:r w:rsidR="006C1878" w:rsidRPr="009D3DED">
              <w:rPr>
                <w:sz w:val="22"/>
                <w:szCs w:val="22"/>
                <w:lang w:val="sk-SK" w:eastAsia="en-US"/>
              </w:rPr>
              <w:t>podrážd</w:t>
            </w:r>
            <w:r w:rsidR="00C83F2B">
              <w:rPr>
                <w:sz w:val="22"/>
                <w:szCs w:val="22"/>
                <w:lang w:val="sk-SK" w:eastAsia="en-US"/>
              </w:rPr>
              <w:t>e</w:t>
            </w:r>
            <w:r w:rsidR="006C1878" w:rsidRPr="009D3DED">
              <w:rPr>
                <w:sz w:val="22"/>
                <w:szCs w:val="22"/>
                <w:lang w:val="sk-SK" w:eastAsia="en-US"/>
              </w:rPr>
              <w:t>nost</w:t>
            </w:r>
            <w:r w:rsidR="00F83021" w:rsidRPr="009D3DED">
              <w:rPr>
                <w:sz w:val="22"/>
                <w:szCs w:val="22"/>
                <w:vertAlign w:val="superscript"/>
                <w:lang w:val="sk-SK" w:eastAsia="en-US"/>
              </w:rPr>
              <w:t>2</w:t>
            </w:r>
            <w:r w:rsidR="00E25EBD" w:rsidRPr="009D3DED">
              <w:rPr>
                <w:sz w:val="22"/>
                <w:szCs w:val="22"/>
                <w:vertAlign w:val="superscript"/>
                <w:lang w:val="sk-SK" w:eastAsia="en-US"/>
              </w:rPr>
              <w:t xml:space="preserve"> </w:t>
            </w:r>
            <w:r w:rsidR="00E25EBD" w:rsidRPr="009D3DED">
              <w:rPr>
                <w:sz w:val="22"/>
                <w:szCs w:val="22"/>
                <w:lang w:val="sk-SK" w:eastAsia="en-US"/>
              </w:rPr>
              <w:t>al</w:t>
            </w:r>
            <w:r w:rsidR="006C1878" w:rsidRPr="009D3DED">
              <w:rPr>
                <w:sz w:val="22"/>
                <w:szCs w:val="22"/>
                <w:lang w:val="sk-SK" w:eastAsia="en-US"/>
              </w:rPr>
              <w:t>ebo únava</w:t>
            </w:r>
            <w:r w:rsidR="00F83021" w:rsidRPr="009D3DED">
              <w:rPr>
                <w:sz w:val="22"/>
                <w:szCs w:val="22"/>
                <w:vertAlign w:val="superscript"/>
                <w:lang w:val="sk-SK" w:eastAsia="en-US"/>
              </w:rPr>
              <w:t>2</w:t>
            </w:r>
          </w:p>
        </w:tc>
      </w:tr>
      <w:tr w:rsidR="00F83021" w:rsidRPr="009D3DED" w14:paraId="464C9102" w14:textId="77777777" w:rsidTr="00E2569B">
        <w:tc>
          <w:tcPr>
            <w:tcW w:w="2232" w:type="dxa"/>
            <w:vMerge/>
            <w:shd w:val="clear" w:color="auto" w:fill="auto"/>
          </w:tcPr>
          <w:p w14:paraId="57BA8254" w14:textId="77777777" w:rsidR="00F83021" w:rsidRPr="009D3DED" w:rsidRDefault="00F83021">
            <w:pPr>
              <w:rPr>
                <w:b/>
                <w:bCs/>
                <w:szCs w:val="22"/>
                <w:lang w:val="sk-SK"/>
              </w:rPr>
            </w:pPr>
          </w:p>
        </w:tc>
        <w:tc>
          <w:tcPr>
            <w:tcW w:w="1453" w:type="dxa"/>
            <w:shd w:val="clear" w:color="auto" w:fill="auto"/>
          </w:tcPr>
          <w:p w14:paraId="2926C75B" w14:textId="77777777" w:rsidR="00F83021" w:rsidRPr="009D3DED" w:rsidRDefault="00795F00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n</w:t>
            </w:r>
            <w:r w:rsidR="00AA0621" w:rsidRPr="009D3DED">
              <w:rPr>
                <w:szCs w:val="22"/>
                <w:lang w:val="sk-SK"/>
              </w:rPr>
              <w:t>eznáme</w:t>
            </w:r>
          </w:p>
        </w:tc>
        <w:tc>
          <w:tcPr>
            <w:tcW w:w="5836" w:type="dxa"/>
            <w:shd w:val="clear" w:color="auto" w:fill="auto"/>
          </w:tcPr>
          <w:p w14:paraId="4FBAA4AE" w14:textId="77777777" w:rsidR="00F83021" w:rsidRPr="009D3DED" w:rsidRDefault="00F83021">
            <w:pPr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Tremor</w:t>
            </w:r>
            <w:r w:rsidRPr="009D3DED">
              <w:rPr>
                <w:szCs w:val="22"/>
                <w:vertAlign w:val="superscript"/>
                <w:lang w:val="sk-SK"/>
              </w:rPr>
              <w:t>3</w:t>
            </w:r>
          </w:p>
        </w:tc>
      </w:tr>
      <w:tr w:rsidR="00BA00B9" w:rsidRPr="009D3DED" w14:paraId="30A92DE9" w14:textId="77777777" w:rsidTr="00E2569B">
        <w:tc>
          <w:tcPr>
            <w:tcW w:w="2232" w:type="dxa"/>
            <w:shd w:val="clear" w:color="auto" w:fill="auto"/>
          </w:tcPr>
          <w:p w14:paraId="0263E5DA" w14:textId="77777777" w:rsidR="00BA00B9" w:rsidRPr="009D3DED" w:rsidRDefault="006C1878" w:rsidP="00FF309C">
            <w:pPr>
              <w:rPr>
                <w:b/>
                <w:bCs/>
                <w:szCs w:val="22"/>
                <w:lang w:val="sk-SK"/>
              </w:rPr>
            </w:pPr>
            <w:r w:rsidRPr="009D3DED">
              <w:rPr>
                <w:b/>
                <w:bCs/>
                <w:szCs w:val="22"/>
                <w:lang w:val="sk-SK"/>
              </w:rPr>
              <w:t>Poruchy oka</w:t>
            </w:r>
          </w:p>
        </w:tc>
        <w:tc>
          <w:tcPr>
            <w:tcW w:w="1453" w:type="dxa"/>
            <w:shd w:val="clear" w:color="auto" w:fill="auto"/>
          </w:tcPr>
          <w:p w14:paraId="4D7593CB" w14:textId="77777777" w:rsidR="00BA00B9" w:rsidRPr="009D3DED" w:rsidRDefault="00795F00">
            <w:pPr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m</w:t>
            </w:r>
            <w:r w:rsidR="00B3719C" w:rsidRPr="009D3DED">
              <w:rPr>
                <w:szCs w:val="22"/>
                <w:lang w:val="sk-SK"/>
              </w:rPr>
              <w:t>enej časté</w:t>
            </w:r>
          </w:p>
        </w:tc>
        <w:tc>
          <w:tcPr>
            <w:tcW w:w="5836" w:type="dxa"/>
            <w:shd w:val="clear" w:color="auto" w:fill="auto"/>
          </w:tcPr>
          <w:p w14:paraId="32B3A40C" w14:textId="47926AC7" w:rsidR="00BA00B9" w:rsidRPr="009D3DED" w:rsidRDefault="006C1878">
            <w:pPr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Poruchy vid</w:t>
            </w:r>
            <w:r w:rsidR="00E25EBD" w:rsidRPr="009D3DED">
              <w:rPr>
                <w:szCs w:val="22"/>
                <w:lang w:val="sk-SK"/>
              </w:rPr>
              <w:t>enia</w:t>
            </w:r>
            <w:r w:rsidR="00F02BC2" w:rsidRPr="009D3DED">
              <w:rPr>
                <w:szCs w:val="22"/>
                <w:lang w:val="sk-SK"/>
              </w:rPr>
              <w:t>.</w:t>
            </w:r>
            <w:r w:rsidR="00BA00B9" w:rsidRPr="009D3DED">
              <w:rPr>
                <w:szCs w:val="22"/>
                <w:vertAlign w:val="superscript"/>
                <w:lang w:val="sk-SK"/>
              </w:rPr>
              <w:t>2</w:t>
            </w:r>
            <w:r w:rsidR="00AC11CF" w:rsidRPr="009D3DED">
              <w:rPr>
                <w:szCs w:val="22"/>
                <w:lang w:val="sk-SK"/>
              </w:rPr>
              <w:t xml:space="preserve">V </w:t>
            </w:r>
            <w:r w:rsidR="00B3719C" w:rsidRPr="009D3DED">
              <w:rPr>
                <w:szCs w:val="22"/>
                <w:lang w:val="sk-SK"/>
              </w:rPr>
              <w:t xml:space="preserve">takom prípade by malo byť užívanie  </w:t>
            </w:r>
            <w:r w:rsidR="005A15DF" w:rsidRPr="009D3DED">
              <w:rPr>
                <w:szCs w:val="22"/>
                <w:lang w:val="sk-SK"/>
              </w:rPr>
              <w:t>Ibalgin</w:t>
            </w:r>
            <w:r w:rsidR="00C83F2B">
              <w:rPr>
                <w:szCs w:val="22"/>
                <w:lang w:val="sk-SK"/>
              </w:rPr>
              <w:t>u</w:t>
            </w:r>
            <w:r w:rsidR="005A15DF" w:rsidRPr="009D3DED">
              <w:rPr>
                <w:szCs w:val="22"/>
                <w:lang w:val="sk-SK"/>
              </w:rPr>
              <w:t xml:space="preserve"> Plus </w:t>
            </w:r>
            <w:r w:rsidR="00B3719C" w:rsidRPr="009D3DED">
              <w:rPr>
                <w:szCs w:val="22"/>
                <w:lang w:val="sk-SK"/>
              </w:rPr>
              <w:t>prerušené a malo by byť vykonané očné vyšetrenie</w:t>
            </w:r>
            <w:r w:rsidRPr="009D3DED">
              <w:rPr>
                <w:szCs w:val="22"/>
                <w:lang w:val="sk-SK"/>
              </w:rPr>
              <w:t>.</w:t>
            </w:r>
          </w:p>
        </w:tc>
      </w:tr>
      <w:tr w:rsidR="00BA00B9" w:rsidRPr="009D3DED" w14:paraId="59BD5ED1" w14:textId="77777777" w:rsidTr="00E2569B">
        <w:tc>
          <w:tcPr>
            <w:tcW w:w="2232" w:type="dxa"/>
            <w:shd w:val="clear" w:color="auto" w:fill="auto"/>
          </w:tcPr>
          <w:p w14:paraId="65531D68" w14:textId="77777777" w:rsidR="00BA00B9" w:rsidRPr="009D3DED" w:rsidRDefault="006C1878" w:rsidP="00FF309C">
            <w:pPr>
              <w:rPr>
                <w:b/>
                <w:bCs/>
                <w:szCs w:val="22"/>
                <w:lang w:val="sk-SK"/>
              </w:rPr>
            </w:pPr>
            <w:r w:rsidRPr="009D3DED">
              <w:rPr>
                <w:b/>
                <w:bCs/>
                <w:szCs w:val="22"/>
                <w:lang w:val="sk-SK"/>
              </w:rPr>
              <w:t>Poruchy ucha a labyrintu</w:t>
            </w:r>
          </w:p>
        </w:tc>
        <w:tc>
          <w:tcPr>
            <w:tcW w:w="1453" w:type="dxa"/>
            <w:shd w:val="clear" w:color="auto" w:fill="auto"/>
          </w:tcPr>
          <w:p w14:paraId="409C0FD9" w14:textId="77777777" w:rsidR="00BA00B9" w:rsidRPr="009D3DED" w:rsidRDefault="00795F00">
            <w:pPr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z</w:t>
            </w:r>
            <w:r w:rsidR="00B3719C" w:rsidRPr="009D3DED">
              <w:rPr>
                <w:szCs w:val="22"/>
                <w:lang w:val="sk-SK"/>
              </w:rPr>
              <w:t>riedkavé</w:t>
            </w:r>
          </w:p>
        </w:tc>
        <w:tc>
          <w:tcPr>
            <w:tcW w:w="5836" w:type="dxa"/>
            <w:shd w:val="clear" w:color="auto" w:fill="auto"/>
          </w:tcPr>
          <w:p w14:paraId="3E18D558" w14:textId="77777777" w:rsidR="00BA00B9" w:rsidRPr="009D3DED" w:rsidRDefault="00404BE0">
            <w:pPr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Tin</w:t>
            </w:r>
            <w:r w:rsidR="00BA00B9" w:rsidRPr="009D3DED">
              <w:rPr>
                <w:szCs w:val="22"/>
                <w:lang w:val="sk-SK"/>
              </w:rPr>
              <w:t>itus</w:t>
            </w:r>
            <w:r w:rsidR="00BA00B9" w:rsidRPr="009D3DED">
              <w:rPr>
                <w:szCs w:val="22"/>
                <w:vertAlign w:val="superscript"/>
                <w:lang w:val="sk-SK"/>
              </w:rPr>
              <w:t>2</w:t>
            </w:r>
            <w:r w:rsidR="001955E3" w:rsidRPr="009D3DED">
              <w:rPr>
                <w:szCs w:val="22"/>
                <w:lang w:val="sk-SK"/>
              </w:rPr>
              <w:t xml:space="preserve">, </w:t>
            </w:r>
            <w:r w:rsidR="00B3719C" w:rsidRPr="009D3DED">
              <w:rPr>
                <w:szCs w:val="22"/>
                <w:lang w:val="sk-SK"/>
              </w:rPr>
              <w:t xml:space="preserve">zhoršenie sluchu </w:t>
            </w:r>
            <w:r w:rsidR="001647ED" w:rsidRPr="009D3DED">
              <w:rPr>
                <w:szCs w:val="22"/>
                <w:vertAlign w:val="superscript"/>
                <w:lang w:val="sk-SK"/>
              </w:rPr>
              <w:t>2</w:t>
            </w:r>
          </w:p>
        </w:tc>
      </w:tr>
      <w:tr w:rsidR="00001D3D" w:rsidRPr="009D3DED" w14:paraId="1ECB2FA8" w14:textId="77777777" w:rsidTr="00E2569B">
        <w:tc>
          <w:tcPr>
            <w:tcW w:w="2232" w:type="dxa"/>
            <w:vMerge w:val="restart"/>
            <w:shd w:val="clear" w:color="auto" w:fill="auto"/>
          </w:tcPr>
          <w:p w14:paraId="50EB6D90" w14:textId="77777777" w:rsidR="00001D3D" w:rsidRPr="009D3DED" w:rsidRDefault="00404BE0" w:rsidP="00FF309C">
            <w:pPr>
              <w:rPr>
                <w:b/>
                <w:bCs/>
                <w:szCs w:val="22"/>
                <w:lang w:val="sk-SK"/>
              </w:rPr>
            </w:pPr>
            <w:r w:rsidRPr="009D3DED">
              <w:rPr>
                <w:b/>
                <w:bCs/>
                <w:szCs w:val="22"/>
                <w:lang w:val="sk-SK"/>
              </w:rPr>
              <w:t>Srdeční poruchy</w:t>
            </w:r>
          </w:p>
        </w:tc>
        <w:tc>
          <w:tcPr>
            <w:tcW w:w="1453" w:type="dxa"/>
            <w:shd w:val="clear" w:color="auto" w:fill="auto"/>
          </w:tcPr>
          <w:p w14:paraId="72D70DE4" w14:textId="77777777" w:rsidR="00001D3D" w:rsidRPr="009D3DED" w:rsidRDefault="00795F00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m</w:t>
            </w:r>
            <w:r w:rsidR="00B3719C" w:rsidRPr="009D3DED">
              <w:rPr>
                <w:szCs w:val="22"/>
                <w:lang w:val="sk-SK"/>
              </w:rPr>
              <w:t>enej časté</w:t>
            </w:r>
          </w:p>
        </w:tc>
        <w:tc>
          <w:tcPr>
            <w:tcW w:w="5836" w:type="dxa"/>
            <w:shd w:val="clear" w:color="auto" w:fill="auto"/>
          </w:tcPr>
          <w:p w14:paraId="3F3CE933" w14:textId="77777777" w:rsidR="00001D3D" w:rsidRPr="009D3DED" w:rsidRDefault="00E25EBD">
            <w:pPr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Palpitácie</w:t>
            </w:r>
            <w:r w:rsidR="00001D3D" w:rsidRPr="009D3DED">
              <w:rPr>
                <w:szCs w:val="22"/>
                <w:vertAlign w:val="superscript"/>
                <w:lang w:val="sk-SK"/>
              </w:rPr>
              <w:t>1,2</w:t>
            </w:r>
          </w:p>
        </w:tc>
      </w:tr>
      <w:tr w:rsidR="00001D3D" w:rsidRPr="009D3DED" w14:paraId="2933D8D4" w14:textId="77777777" w:rsidTr="00E2569B">
        <w:trPr>
          <w:trHeight w:val="107"/>
        </w:trPr>
        <w:tc>
          <w:tcPr>
            <w:tcW w:w="2232" w:type="dxa"/>
            <w:vMerge/>
            <w:shd w:val="clear" w:color="auto" w:fill="auto"/>
          </w:tcPr>
          <w:p w14:paraId="73F0099C" w14:textId="77777777" w:rsidR="00001D3D" w:rsidRPr="009D3DED" w:rsidRDefault="00001D3D">
            <w:pPr>
              <w:rPr>
                <w:b/>
                <w:bCs/>
                <w:szCs w:val="22"/>
                <w:lang w:val="sk-SK"/>
              </w:rPr>
            </w:pPr>
          </w:p>
        </w:tc>
        <w:tc>
          <w:tcPr>
            <w:tcW w:w="1453" w:type="dxa"/>
            <w:shd w:val="clear" w:color="auto" w:fill="auto"/>
          </w:tcPr>
          <w:p w14:paraId="5AAD8DBF" w14:textId="77777777" w:rsidR="00001D3D" w:rsidRPr="009D3DED" w:rsidRDefault="00795F00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v</w:t>
            </w:r>
            <w:r w:rsidR="00B3719C" w:rsidRPr="009D3DED">
              <w:rPr>
                <w:szCs w:val="22"/>
                <w:lang w:val="sk-SK"/>
              </w:rPr>
              <w:t>eľmi zriedkavé</w:t>
            </w:r>
          </w:p>
        </w:tc>
        <w:tc>
          <w:tcPr>
            <w:tcW w:w="5836" w:type="dxa"/>
            <w:shd w:val="clear" w:color="auto" w:fill="auto"/>
          </w:tcPr>
          <w:p w14:paraId="4F23BDC4" w14:textId="7760AD8C" w:rsidR="00001D3D" w:rsidRPr="009D3DED" w:rsidRDefault="00C83F2B">
            <w:pPr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Z</w:t>
            </w:r>
            <w:r w:rsidR="00E25EBD" w:rsidRPr="009D3DED">
              <w:rPr>
                <w:szCs w:val="22"/>
                <w:lang w:val="sk-SK"/>
              </w:rPr>
              <w:t>lyhanie</w:t>
            </w:r>
            <w:r>
              <w:rPr>
                <w:szCs w:val="22"/>
                <w:lang w:val="sk-SK"/>
              </w:rPr>
              <w:t xml:space="preserve"> srdca</w:t>
            </w:r>
            <w:r w:rsidR="00CF388C" w:rsidRPr="009D3DED">
              <w:rPr>
                <w:szCs w:val="22"/>
                <w:vertAlign w:val="superscript"/>
                <w:lang w:val="sk-SK"/>
              </w:rPr>
              <w:t>2</w:t>
            </w:r>
            <w:r w:rsidR="00CF388C" w:rsidRPr="009D3DED">
              <w:rPr>
                <w:szCs w:val="22"/>
                <w:lang w:val="sk-SK"/>
              </w:rPr>
              <w:t xml:space="preserve">, </w:t>
            </w:r>
            <w:r w:rsidR="00404BE0" w:rsidRPr="009D3DED">
              <w:rPr>
                <w:szCs w:val="22"/>
                <w:lang w:val="sk-SK"/>
              </w:rPr>
              <w:t>infarkt myokardu</w:t>
            </w:r>
            <w:r w:rsidR="00CF388C" w:rsidRPr="009D3DED">
              <w:rPr>
                <w:szCs w:val="22"/>
                <w:vertAlign w:val="superscript"/>
                <w:lang w:val="sk-SK"/>
              </w:rPr>
              <w:t>2</w:t>
            </w:r>
          </w:p>
        </w:tc>
      </w:tr>
      <w:tr w:rsidR="00001D3D" w:rsidRPr="009D3DED" w14:paraId="433ACC4B" w14:textId="77777777" w:rsidTr="00E2569B">
        <w:trPr>
          <w:trHeight w:val="106"/>
        </w:trPr>
        <w:tc>
          <w:tcPr>
            <w:tcW w:w="2232" w:type="dxa"/>
            <w:vMerge/>
            <w:shd w:val="clear" w:color="auto" w:fill="auto"/>
          </w:tcPr>
          <w:p w14:paraId="45120193" w14:textId="77777777" w:rsidR="00001D3D" w:rsidRPr="009D3DED" w:rsidRDefault="00001D3D">
            <w:pPr>
              <w:rPr>
                <w:b/>
                <w:bCs/>
                <w:szCs w:val="22"/>
                <w:lang w:val="sk-SK"/>
              </w:rPr>
            </w:pPr>
          </w:p>
        </w:tc>
        <w:tc>
          <w:tcPr>
            <w:tcW w:w="1453" w:type="dxa"/>
            <w:shd w:val="clear" w:color="auto" w:fill="auto"/>
          </w:tcPr>
          <w:p w14:paraId="5ED345F5" w14:textId="77777777" w:rsidR="00001D3D" w:rsidRPr="009D3DED" w:rsidRDefault="00795F00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n</w:t>
            </w:r>
            <w:r w:rsidR="00F83F7C" w:rsidRPr="009D3DED">
              <w:rPr>
                <w:szCs w:val="22"/>
                <w:lang w:val="sk-SK"/>
              </w:rPr>
              <w:t>eznáme</w:t>
            </w:r>
          </w:p>
        </w:tc>
        <w:tc>
          <w:tcPr>
            <w:tcW w:w="5836" w:type="dxa"/>
            <w:shd w:val="clear" w:color="auto" w:fill="auto"/>
          </w:tcPr>
          <w:p w14:paraId="6A2FB4DF" w14:textId="77777777" w:rsidR="00001D3D" w:rsidRPr="009D3DED" w:rsidDel="00E15ABA" w:rsidRDefault="00404BE0">
            <w:pPr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Tachykardi</w:t>
            </w:r>
            <w:r w:rsidR="00E25EBD" w:rsidRPr="009D3DED">
              <w:rPr>
                <w:szCs w:val="22"/>
                <w:lang w:val="sk-SK"/>
              </w:rPr>
              <w:t>a</w:t>
            </w:r>
            <w:r w:rsidR="00CF388C" w:rsidRPr="009D3DED">
              <w:rPr>
                <w:szCs w:val="22"/>
                <w:vertAlign w:val="superscript"/>
                <w:lang w:val="sk-SK"/>
              </w:rPr>
              <w:t>3</w:t>
            </w:r>
          </w:p>
        </w:tc>
      </w:tr>
      <w:tr w:rsidR="00BA00B9" w:rsidRPr="009D3DED" w14:paraId="5495CC35" w14:textId="77777777" w:rsidTr="00E2569B">
        <w:tc>
          <w:tcPr>
            <w:tcW w:w="2232" w:type="dxa"/>
            <w:shd w:val="clear" w:color="auto" w:fill="auto"/>
          </w:tcPr>
          <w:p w14:paraId="41BC27B2" w14:textId="77777777" w:rsidR="00BA00B9" w:rsidRPr="009D3DED" w:rsidRDefault="00404BE0" w:rsidP="00FF309C">
            <w:pPr>
              <w:rPr>
                <w:b/>
                <w:bCs/>
                <w:szCs w:val="22"/>
                <w:lang w:val="sk-SK"/>
              </w:rPr>
            </w:pPr>
            <w:r w:rsidRPr="009D3DED">
              <w:rPr>
                <w:b/>
                <w:bCs/>
                <w:szCs w:val="22"/>
                <w:lang w:val="sk-SK"/>
              </w:rPr>
              <w:t>C</w:t>
            </w:r>
            <w:r w:rsidR="00CC7733" w:rsidRPr="009D3DED">
              <w:rPr>
                <w:b/>
                <w:bCs/>
                <w:szCs w:val="22"/>
                <w:lang w:val="sk-SK"/>
              </w:rPr>
              <w:t>ievne</w:t>
            </w:r>
            <w:r w:rsidRPr="009D3DED">
              <w:rPr>
                <w:b/>
                <w:bCs/>
                <w:szCs w:val="22"/>
                <w:lang w:val="sk-SK"/>
              </w:rPr>
              <w:t xml:space="preserve"> poruchy</w:t>
            </w:r>
          </w:p>
        </w:tc>
        <w:tc>
          <w:tcPr>
            <w:tcW w:w="1453" w:type="dxa"/>
            <w:shd w:val="clear" w:color="auto" w:fill="auto"/>
          </w:tcPr>
          <w:p w14:paraId="6A4BB852" w14:textId="77777777" w:rsidR="00BA00B9" w:rsidRPr="009D3DED" w:rsidRDefault="00795F00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v</w:t>
            </w:r>
            <w:r w:rsidR="00B3719C" w:rsidRPr="009D3DED">
              <w:rPr>
                <w:szCs w:val="22"/>
                <w:lang w:val="sk-SK"/>
              </w:rPr>
              <w:t>eľmi zriedkavé</w:t>
            </w:r>
          </w:p>
        </w:tc>
        <w:tc>
          <w:tcPr>
            <w:tcW w:w="5836" w:type="dxa"/>
            <w:shd w:val="clear" w:color="auto" w:fill="auto"/>
          </w:tcPr>
          <w:p w14:paraId="75EB07C3" w14:textId="7EFB7381" w:rsidR="00CA6238" w:rsidRPr="009D3DED" w:rsidRDefault="00CC7733">
            <w:pPr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A</w:t>
            </w:r>
            <w:r w:rsidR="00BA00B9" w:rsidRPr="009D3DED">
              <w:rPr>
                <w:szCs w:val="22"/>
                <w:lang w:val="sk-SK"/>
              </w:rPr>
              <w:t>rt</w:t>
            </w:r>
            <w:r w:rsidR="00880C68">
              <w:rPr>
                <w:szCs w:val="22"/>
                <w:lang w:val="sk-SK"/>
              </w:rPr>
              <w:t>ériová</w:t>
            </w:r>
            <w:r w:rsidR="00404BE0" w:rsidRPr="009D3DED">
              <w:rPr>
                <w:szCs w:val="22"/>
                <w:lang w:val="sk-SK"/>
              </w:rPr>
              <w:t xml:space="preserve"> </w:t>
            </w:r>
            <w:r w:rsidR="00BA00B9" w:rsidRPr="009D3DED">
              <w:rPr>
                <w:szCs w:val="22"/>
                <w:lang w:val="sk-SK"/>
              </w:rPr>
              <w:t>hyperten</w:t>
            </w:r>
            <w:r w:rsidR="00404BE0" w:rsidRPr="009D3DED">
              <w:rPr>
                <w:szCs w:val="22"/>
                <w:lang w:val="sk-SK"/>
              </w:rPr>
              <w:t>z</w:t>
            </w:r>
            <w:r w:rsidRPr="009D3DED">
              <w:rPr>
                <w:szCs w:val="22"/>
                <w:lang w:val="sk-SK"/>
              </w:rPr>
              <w:t>ia</w:t>
            </w:r>
            <w:r w:rsidR="00BA00B9" w:rsidRPr="009D3DED">
              <w:rPr>
                <w:szCs w:val="22"/>
                <w:vertAlign w:val="superscript"/>
                <w:lang w:val="sk-SK"/>
              </w:rPr>
              <w:t>2</w:t>
            </w:r>
            <w:r w:rsidR="00404BE0" w:rsidRPr="009D3DED">
              <w:rPr>
                <w:szCs w:val="22"/>
                <w:lang w:val="sk-SK"/>
              </w:rPr>
              <w:t>, vask</w:t>
            </w:r>
            <w:r w:rsidRPr="009D3DED">
              <w:rPr>
                <w:szCs w:val="22"/>
                <w:lang w:val="sk-SK"/>
              </w:rPr>
              <w:t>ulití</w:t>
            </w:r>
            <w:r w:rsidR="00404BE0" w:rsidRPr="009D3DED">
              <w:rPr>
                <w:szCs w:val="22"/>
                <w:lang w:val="sk-SK"/>
              </w:rPr>
              <w:t>da</w:t>
            </w:r>
          </w:p>
        </w:tc>
      </w:tr>
      <w:tr w:rsidR="00CF388C" w:rsidRPr="009D3DED" w14:paraId="51D57BE6" w14:textId="77777777" w:rsidTr="00E2569B">
        <w:tc>
          <w:tcPr>
            <w:tcW w:w="2232" w:type="dxa"/>
            <w:vMerge w:val="restart"/>
            <w:shd w:val="clear" w:color="auto" w:fill="auto"/>
          </w:tcPr>
          <w:p w14:paraId="11C7FD93" w14:textId="77777777" w:rsidR="00CF388C" w:rsidRPr="009D3DED" w:rsidRDefault="00404BE0" w:rsidP="00FF309C">
            <w:pPr>
              <w:rPr>
                <w:b/>
                <w:bCs/>
                <w:szCs w:val="22"/>
                <w:lang w:val="sk-SK"/>
              </w:rPr>
            </w:pPr>
            <w:r w:rsidRPr="009D3DED">
              <w:rPr>
                <w:b/>
                <w:bCs/>
                <w:szCs w:val="22"/>
                <w:lang w:val="sk-SK"/>
              </w:rPr>
              <w:t>Gastrointestináln</w:t>
            </w:r>
            <w:r w:rsidR="00CC7733" w:rsidRPr="009D3DED">
              <w:rPr>
                <w:b/>
                <w:bCs/>
                <w:szCs w:val="22"/>
                <w:lang w:val="sk-SK"/>
              </w:rPr>
              <w:t>e</w:t>
            </w:r>
            <w:r w:rsidRPr="009D3DED">
              <w:rPr>
                <w:b/>
                <w:bCs/>
                <w:szCs w:val="22"/>
                <w:lang w:val="sk-SK"/>
              </w:rPr>
              <w:t xml:space="preserve"> poruchy</w:t>
            </w:r>
          </w:p>
        </w:tc>
        <w:tc>
          <w:tcPr>
            <w:tcW w:w="1453" w:type="dxa"/>
            <w:shd w:val="clear" w:color="auto" w:fill="auto"/>
          </w:tcPr>
          <w:p w14:paraId="4057AE98" w14:textId="77777777" w:rsidR="00CF388C" w:rsidRPr="009D3DED" w:rsidRDefault="00795F00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č</w:t>
            </w:r>
            <w:r w:rsidR="00F83F7C" w:rsidRPr="009D3DED">
              <w:rPr>
                <w:szCs w:val="22"/>
                <w:lang w:val="sk-SK"/>
              </w:rPr>
              <w:t>asté</w:t>
            </w:r>
          </w:p>
        </w:tc>
        <w:tc>
          <w:tcPr>
            <w:tcW w:w="5836" w:type="dxa"/>
            <w:shd w:val="clear" w:color="auto" w:fill="auto"/>
          </w:tcPr>
          <w:p w14:paraId="7ED1CDEA" w14:textId="72ADA9B5" w:rsidR="00CF388C" w:rsidRPr="009D3DED" w:rsidRDefault="00E25EBD">
            <w:pPr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G</w:t>
            </w:r>
            <w:r w:rsidR="00A16BF4" w:rsidRPr="009D3DED">
              <w:rPr>
                <w:szCs w:val="22"/>
                <w:lang w:val="sk-SK"/>
              </w:rPr>
              <w:t>astrointestinálne problémy</w:t>
            </w:r>
            <w:r w:rsidR="00CF388C" w:rsidRPr="009D3DED">
              <w:rPr>
                <w:szCs w:val="22"/>
                <w:vertAlign w:val="superscript"/>
                <w:lang w:val="sk-SK"/>
              </w:rPr>
              <w:t>2,3</w:t>
            </w:r>
            <w:r w:rsidR="00A70801" w:rsidRPr="009D3DED">
              <w:rPr>
                <w:szCs w:val="22"/>
                <w:lang w:val="sk-SK"/>
              </w:rPr>
              <w:t>ako je</w:t>
            </w:r>
            <w:r w:rsidR="00404BE0" w:rsidRPr="009D3DED">
              <w:rPr>
                <w:szCs w:val="22"/>
                <w:lang w:val="sk-SK"/>
              </w:rPr>
              <w:t xml:space="preserve"> pyróza</w:t>
            </w:r>
            <w:r w:rsidR="00DC0958" w:rsidRPr="009D3DED">
              <w:rPr>
                <w:szCs w:val="22"/>
                <w:vertAlign w:val="superscript"/>
                <w:lang w:val="sk-SK"/>
              </w:rPr>
              <w:t>2</w:t>
            </w:r>
            <w:r w:rsidR="00CF388C" w:rsidRPr="009D3DED">
              <w:rPr>
                <w:szCs w:val="22"/>
                <w:lang w:val="sk-SK"/>
              </w:rPr>
              <w:t xml:space="preserve">, </w:t>
            </w:r>
            <w:r w:rsidR="00A16BF4" w:rsidRPr="009D3DED">
              <w:rPr>
                <w:szCs w:val="22"/>
                <w:lang w:val="sk-SK"/>
              </w:rPr>
              <w:t>bolesť brucha</w:t>
            </w:r>
            <w:r w:rsidR="00DC0958" w:rsidRPr="009D3DED">
              <w:rPr>
                <w:szCs w:val="22"/>
                <w:vertAlign w:val="superscript"/>
                <w:lang w:val="sk-SK"/>
              </w:rPr>
              <w:t>2</w:t>
            </w:r>
            <w:r w:rsidR="00CF388C" w:rsidRPr="009D3DED">
              <w:rPr>
                <w:szCs w:val="22"/>
                <w:lang w:val="sk-SK"/>
              </w:rPr>
              <w:t xml:space="preserve">, </w:t>
            </w:r>
            <w:r w:rsidR="00A70801" w:rsidRPr="009D3DED">
              <w:rPr>
                <w:szCs w:val="22"/>
                <w:lang w:val="sk-SK"/>
              </w:rPr>
              <w:t>nauz</w:t>
            </w:r>
            <w:r w:rsidR="00CF388C" w:rsidRPr="009D3DED">
              <w:rPr>
                <w:szCs w:val="22"/>
                <w:lang w:val="sk-SK"/>
              </w:rPr>
              <w:t>ea</w:t>
            </w:r>
            <w:r w:rsidR="00A70801" w:rsidRPr="009D3DED">
              <w:rPr>
                <w:szCs w:val="22"/>
                <w:lang w:val="sk-SK"/>
              </w:rPr>
              <w:t xml:space="preserve"> </w:t>
            </w:r>
            <w:r w:rsidR="00CF388C" w:rsidRPr="009D3DED">
              <w:rPr>
                <w:szCs w:val="22"/>
                <w:vertAlign w:val="superscript"/>
                <w:lang w:val="sk-SK"/>
              </w:rPr>
              <w:t>1</w:t>
            </w:r>
            <w:r w:rsidR="00DC0958" w:rsidRPr="009D3DED">
              <w:rPr>
                <w:szCs w:val="22"/>
                <w:vertAlign w:val="superscript"/>
                <w:lang w:val="sk-SK"/>
              </w:rPr>
              <w:t>,2</w:t>
            </w:r>
            <w:r w:rsidR="00CF388C" w:rsidRPr="009D3DED">
              <w:rPr>
                <w:szCs w:val="22"/>
                <w:lang w:val="sk-SK"/>
              </w:rPr>
              <w:t xml:space="preserve">, </w:t>
            </w:r>
            <w:r w:rsidR="00404BE0" w:rsidRPr="009D3DED">
              <w:rPr>
                <w:szCs w:val="22"/>
                <w:lang w:val="sk-SK"/>
              </w:rPr>
              <w:t>vrac</w:t>
            </w:r>
            <w:r w:rsidR="00A70801" w:rsidRPr="009D3DED">
              <w:rPr>
                <w:szCs w:val="22"/>
                <w:lang w:val="sk-SK"/>
              </w:rPr>
              <w:t>anie</w:t>
            </w:r>
            <w:r w:rsidR="00DC0958" w:rsidRPr="009D3DED">
              <w:rPr>
                <w:szCs w:val="22"/>
                <w:vertAlign w:val="superscript"/>
                <w:lang w:val="sk-SK"/>
              </w:rPr>
              <w:t>2</w:t>
            </w:r>
            <w:r w:rsidR="00CF388C" w:rsidRPr="009D3DED">
              <w:rPr>
                <w:szCs w:val="22"/>
                <w:lang w:val="sk-SK"/>
              </w:rPr>
              <w:t>, flatulenc</w:t>
            </w:r>
            <w:r w:rsidR="00A70801" w:rsidRPr="009D3DED">
              <w:rPr>
                <w:szCs w:val="22"/>
                <w:lang w:val="sk-SK"/>
              </w:rPr>
              <w:t>ia</w:t>
            </w:r>
            <w:r w:rsidR="00DC0958" w:rsidRPr="009D3DED">
              <w:rPr>
                <w:szCs w:val="22"/>
                <w:vertAlign w:val="superscript"/>
                <w:lang w:val="sk-SK"/>
              </w:rPr>
              <w:t>2</w:t>
            </w:r>
            <w:r w:rsidR="00CF388C" w:rsidRPr="009D3DED">
              <w:rPr>
                <w:szCs w:val="22"/>
                <w:lang w:val="sk-SK"/>
              </w:rPr>
              <w:t xml:space="preserve">, </w:t>
            </w:r>
            <w:r w:rsidR="00A70801" w:rsidRPr="009D3DED">
              <w:rPr>
                <w:szCs w:val="22"/>
                <w:lang w:val="sk-SK"/>
              </w:rPr>
              <w:t>hnačka</w:t>
            </w:r>
            <w:r w:rsidR="00DC0958" w:rsidRPr="009D3DED">
              <w:rPr>
                <w:szCs w:val="22"/>
                <w:vertAlign w:val="superscript"/>
                <w:lang w:val="sk-SK"/>
              </w:rPr>
              <w:t>2</w:t>
            </w:r>
            <w:r w:rsidR="00CF388C" w:rsidRPr="009D3DED">
              <w:rPr>
                <w:szCs w:val="22"/>
                <w:lang w:val="sk-SK"/>
              </w:rPr>
              <w:t xml:space="preserve">, </w:t>
            </w:r>
            <w:r w:rsidR="00404BE0" w:rsidRPr="009D3DED">
              <w:rPr>
                <w:szCs w:val="22"/>
                <w:lang w:val="sk-SK"/>
              </w:rPr>
              <w:t>zá</w:t>
            </w:r>
            <w:r w:rsidR="00A70801" w:rsidRPr="009D3DED">
              <w:rPr>
                <w:szCs w:val="22"/>
                <w:lang w:val="sk-SK"/>
              </w:rPr>
              <w:t>pcha</w:t>
            </w:r>
            <w:r w:rsidR="00DC0958" w:rsidRPr="009D3DED">
              <w:rPr>
                <w:szCs w:val="22"/>
                <w:vertAlign w:val="superscript"/>
                <w:lang w:val="sk-SK"/>
              </w:rPr>
              <w:t>2</w:t>
            </w:r>
            <w:r w:rsidR="00CF388C" w:rsidRPr="009D3DED">
              <w:rPr>
                <w:szCs w:val="22"/>
                <w:lang w:val="sk-SK"/>
              </w:rPr>
              <w:t xml:space="preserve">, </w:t>
            </w:r>
            <w:r w:rsidR="00A16BF4" w:rsidRPr="009D3DED">
              <w:rPr>
                <w:color w:val="000000" w:themeColor="text1"/>
                <w:lang w:val="sk-SK"/>
              </w:rPr>
              <w:t>mierna strata krvi v gastrointestinálnom trakte, v zriedkavých prípadoch vedúca k anémii</w:t>
            </w:r>
            <w:r w:rsidR="00A16BF4" w:rsidRPr="009D3DED">
              <w:rPr>
                <w:color w:val="000000" w:themeColor="text1"/>
                <w:szCs w:val="22"/>
                <w:lang w:val="sk-SK"/>
              </w:rPr>
              <w:t xml:space="preserve"> </w:t>
            </w:r>
            <w:r w:rsidR="00CF388C" w:rsidRPr="009D3DED">
              <w:rPr>
                <w:szCs w:val="22"/>
                <w:vertAlign w:val="superscript"/>
                <w:lang w:val="sk-SK"/>
              </w:rPr>
              <w:t>2</w:t>
            </w:r>
          </w:p>
        </w:tc>
      </w:tr>
      <w:tr w:rsidR="00CF388C" w:rsidRPr="009D3DED" w14:paraId="5A052F4E" w14:textId="77777777" w:rsidTr="00E2569B">
        <w:trPr>
          <w:trHeight w:val="107"/>
        </w:trPr>
        <w:tc>
          <w:tcPr>
            <w:tcW w:w="2232" w:type="dxa"/>
            <w:vMerge/>
            <w:shd w:val="clear" w:color="auto" w:fill="auto"/>
          </w:tcPr>
          <w:p w14:paraId="05FF03FE" w14:textId="77777777" w:rsidR="00CF388C" w:rsidRPr="009D3DED" w:rsidRDefault="00CF388C">
            <w:pPr>
              <w:rPr>
                <w:b/>
                <w:bCs/>
                <w:szCs w:val="22"/>
                <w:lang w:val="sk-SK"/>
              </w:rPr>
            </w:pPr>
          </w:p>
        </w:tc>
        <w:tc>
          <w:tcPr>
            <w:tcW w:w="1453" w:type="dxa"/>
            <w:shd w:val="clear" w:color="auto" w:fill="auto"/>
          </w:tcPr>
          <w:p w14:paraId="2348EE28" w14:textId="77777777" w:rsidR="00CF388C" w:rsidRPr="009D3DED" w:rsidRDefault="00795F00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m</w:t>
            </w:r>
            <w:r w:rsidR="00B3719C" w:rsidRPr="009D3DED">
              <w:rPr>
                <w:szCs w:val="22"/>
                <w:lang w:val="sk-SK"/>
              </w:rPr>
              <w:t>enej časté</w:t>
            </w:r>
          </w:p>
        </w:tc>
        <w:tc>
          <w:tcPr>
            <w:tcW w:w="5836" w:type="dxa"/>
            <w:shd w:val="clear" w:color="auto" w:fill="auto"/>
          </w:tcPr>
          <w:p w14:paraId="3FE547ED" w14:textId="2F333C98" w:rsidR="00CF388C" w:rsidRPr="009D3DED" w:rsidRDefault="00B3719C">
            <w:pPr>
              <w:rPr>
                <w:color w:val="000000" w:themeColor="text1"/>
                <w:lang w:val="sk-SK"/>
              </w:rPr>
            </w:pPr>
            <w:r w:rsidRPr="009D3DED">
              <w:rPr>
                <w:color w:val="000000" w:themeColor="text1"/>
                <w:lang w:val="sk-SK"/>
              </w:rPr>
              <w:t xml:space="preserve">Gastrointestinálne vredy potenciálne s krvácaním </w:t>
            </w:r>
            <w:r w:rsidR="00A472F7" w:rsidRPr="009D3DED">
              <w:rPr>
                <w:color w:val="000000" w:themeColor="text1"/>
                <w:lang w:val="sk-SK"/>
              </w:rPr>
              <w:t xml:space="preserve">a/alebo </w:t>
            </w:r>
            <w:r w:rsidRPr="009D3DED">
              <w:rPr>
                <w:color w:val="000000" w:themeColor="text1"/>
                <w:lang w:val="sk-SK"/>
              </w:rPr>
              <w:t>perforáciou, meléna, hemateméza, ulcerózna stomatitída, exacerbácia kolitídy a Crohnov</w:t>
            </w:r>
            <w:r w:rsidR="00523840">
              <w:rPr>
                <w:color w:val="000000" w:themeColor="text1"/>
                <w:lang w:val="sk-SK"/>
              </w:rPr>
              <w:t>ej</w:t>
            </w:r>
            <w:r w:rsidRPr="009D3DED">
              <w:rPr>
                <w:color w:val="000000" w:themeColor="text1"/>
                <w:lang w:val="sk-SK"/>
              </w:rPr>
              <w:t xml:space="preserve"> chorob</w:t>
            </w:r>
            <w:r w:rsidR="00523840">
              <w:rPr>
                <w:color w:val="000000" w:themeColor="text1"/>
                <w:lang w:val="sk-SK"/>
              </w:rPr>
              <w:t>y</w:t>
            </w:r>
            <w:r w:rsidRPr="009D3DED">
              <w:rPr>
                <w:color w:val="000000" w:themeColor="text1"/>
                <w:lang w:val="sk-SK"/>
              </w:rPr>
              <w:t>, gastritída (pozri časť 4.4</w:t>
            </w:r>
            <w:r w:rsidR="00404BE0" w:rsidRPr="009D3DED">
              <w:rPr>
                <w:color w:val="000000" w:themeColor="text1"/>
                <w:lang w:val="sk-SK"/>
              </w:rPr>
              <w:t>)</w:t>
            </w:r>
            <w:r w:rsidR="00DC0958" w:rsidRPr="009D3DED">
              <w:rPr>
                <w:szCs w:val="22"/>
                <w:vertAlign w:val="superscript"/>
                <w:lang w:val="sk-SK"/>
              </w:rPr>
              <w:t>2</w:t>
            </w:r>
          </w:p>
        </w:tc>
      </w:tr>
      <w:tr w:rsidR="00CF388C" w:rsidRPr="009D3DED" w14:paraId="7B6ACCFF" w14:textId="77777777" w:rsidTr="00E2569B">
        <w:trPr>
          <w:trHeight w:val="106"/>
        </w:trPr>
        <w:tc>
          <w:tcPr>
            <w:tcW w:w="2232" w:type="dxa"/>
            <w:vMerge/>
            <w:shd w:val="clear" w:color="auto" w:fill="auto"/>
          </w:tcPr>
          <w:p w14:paraId="13F4A5DF" w14:textId="77777777" w:rsidR="00CF388C" w:rsidRPr="009D3DED" w:rsidRDefault="00CF388C">
            <w:pPr>
              <w:rPr>
                <w:b/>
                <w:bCs/>
                <w:szCs w:val="22"/>
                <w:lang w:val="sk-SK"/>
              </w:rPr>
            </w:pPr>
          </w:p>
        </w:tc>
        <w:tc>
          <w:tcPr>
            <w:tcW w:w="1453" w:type="dxa"/>
            <w:shd w:val="clear" w:color="auto" w:fill="auto"/>
          </w:tcPr>
          <w:p w14:paraId="2B8C0A05" w14:textId="77777777" w:rsidR="00CF388C" w:rsidRPr="009D3DED" w:rsidRDefault="00795F00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v</w:t>
            </w:r>
            <w:r w:rsidR="00B3719C" w:rsidRPr="009D3DED">
              <w:rPr>
                <w:szCs w:val="22"/>
                <w:lang w:val="sk-SK"/>
              </w:rPr>
              <w:t>eľmi zriedkavé</w:t>
            </w:r>
          </w:p>
        </w:tc>
        <w:tc>
          <w:tcPr>
            <w:tcW w:w="5836" w:type="dxa"/>
            <w:shd w:val="clear" w:color="auto" w:fill="auto"/>
          </w:tcPr>
          <w:p w14:paraId="36692986" w14:textId="77777777" w:rsidR="00CF388C" w:rsidRPr="009D3DED" w:rsidRDefault="00CC7733">
            <w:pPr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Ez</w:t>
            </w:r>
            <w:r w:rsidR="00DC0958" w:rsidRPr="009D3DED">
              <w:rPr>
                <w:szCs w:val="22"/>
                <w:lang w:val="sk-SK"/>
              </w:rPr>
              <w:t>o</w:t>
            </w:r>
            <w:r w:rsidRPr="009D3DED">
              <w:rPr>
                <w:szCs w:val="22"/>
                <w:lang w:val="sk-SK"/>
              </w:rPr>
              <w:t>fagití</w:t>
            </w:r>
            <w:r w:rsidR="00404BE0" w:rsidRPr="009D3DED">
              <w:rPr>
                <w:szCs w:val="22"/>
                <w:lang w:val="sk-SK"/>
              </w:rPr>
              <w:t>da</w:t>
            </w:r>
            <w:r w:rsidR="00DC0958" w:rsidRPr="009D3DED">
              <w:rPr>
                <w:szCs w:val="22"/>
                <w:vertAlign w:val="superscript"/>
                <w:lang w:val="sk-SK"/>
              </w:rPr>
              <w:t>2</w:t>
            </w:r>
            <w:r w:rsidR="00404BE0" w:rsidRPr="009D3DED">
              <w:rPr>
                <w:szCs w:val="22"/>
                <w:lang w:val="sk-SK"/>
              </w:rPr>
              <w:t>, pank</w:t>
            </w:r>
            <w:r w:rsidRPr="009D3DED">
              <w:rPr>
                <w:szCs w:val="22"/>
                <w:lang w:val="sk-SK"/>
              </w:rPr>
              <w:t>reatití</w:t>
            </w:r>
            <w:r w:rsidR="00404BE0" w:rsidRPr="009D3DED">
              <w:rPr>
                <w:szCs w:val="22"/>
                <w:lang w:val="sk-SK"/>
              </w:rPr>
              <w:t>da</w:t>
            </w:r>
            <w:r w:rsidR="00DC0958" w:rsidRPr="009D3DED">
              <w:rPr>
                <w:szCs w:val="22"/>
                <w:vertAlign w:val="superscript"/>
                <w:lang w:val="sk-SK"/>
              </w:rPr>
              <w:t>2</w:t>
            </w:r>
            <w:r w:rsidR="00DC0958" w:rsidRPr="009D3DED">
              <w:rPr>
                <w:szCs w:val="22"/>
                <w:lang w:val="sk-SK"/>
              </w:rPr>
              <w:t xml:space="preserve">, </w:t>
            </w:r>
            <w:r w:rsidRPr="009D3DED">
              <w:rPr>
                <w:color w:val="000000" w:themeColor="text1"/>
                <w:lang w:val="sk-SK"/>
              </w:rPr>
              <w:t xml:space="preserve">tvorba črevnej </w:t>
            </w:r>
            <w:r w:rsidR="00AA0621" w:rsidRPr="009D3DED">
              <w:rPr>
                <w:color w:val="000000" w:themeColor="text1"/>
                <w:lang w:val="sk-SK"/>
              </w:rPr>
              <w:t xml:space="preserve">diafragmatickej </w:t>
            </w:r>
            <w:r w:rsidRPr="009D3DED">
              <w:rPr>
                <w:color w:val="000000" w:themeColor="text1"/>
                <w:lang w:val="sk-SK"/>
              </w:rPr>
              <w:t>striktúry</w:t>
            </w:r>
            <w:r w:rsidR="00DC0958" w:rsidRPr="009D3DED">
              <w:rPr>
                <w:szCs w:val="22"/>
                <w:vertAlign w:val="superscript"/>
                <w:lang w:val="sk-SK"/>
              </w:rPr>
              <w:t>2</w:t>
            </w:r>
          </w:p>
        </w:tc>
      </w:tr>
      <w:tr w:rsidR="0009432B" w:rsidRPr="009D3DED" w14:paraId="3662BA12" w14:textId="77777777" w:rsidTr="00E2569B">
        <w:tc>
          <w:tcPr>
            <w:tcW w:w="2232" w:type="dxa"/>
            <w:shd w:val="clear" w:color="auto" w:fill="auto"/>
          </w:tcPr>
          <w:p w14:paraId="4B47523D" w14:textId="77777777" w:rsidR="0009432B" w:rsidRPr="009D3DED" w:rsidRDefault="00CC7733" w:rsidP="00FF309C">
            <w:pPr>
              <w:rPr>
                <w:b/>
                <w:bCs/>
                <w:szCs w:val="22"/>
                <w:lang w:val="sk-SK"/>
              </w:rPr>
            </w:pPr>
            <w:r w:rsidRPr="009D3DED">
              <w:rPr>
                <w:b/>
                <w:bCs/>
                <w:szCs w:val="22"/>
                <w:lang w:val="sk-SK"/>
              </w:rPr>
              <w:t>Poruchy pečene a žlčových ciest</w:t>
            </w:r>
          </w:p>
        </w:tc>
        <w:tc>
          <w:tcPr>
            <w:tcW w:w="1453" w:type="dxa"/>
            <w:shd w:val="clear" w:color="auto" w:fill="auto"/>
          </w:tcPr>
          <w:p w14:paraId="0A2AD4E4" w14:textId="77777777" w:rsidR="0009432B" w:rsidRPr="009D3DED" w:rsidRDefault="00795F00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v</w:t>
            </w:r>
            <w:r w:rsidR="00B3719C" w:rsidRPr="009D3DED">
              <w:rPr>
                <w:szCs w:val="22"/>
                <w:lang w:val="sk-SK"/>
              </w:rPr>
              <w:t>eľmi zriedkavé</w:t>
            </w:r>
          </w:p>
        </w:tc>
        <w:tc>
          <w:tcPr>
            <w:tcW w:w="5836" w:type="dxa"/>
            <w:shd w:val="clear" w:color="auto" w:fill="auto"/>
          </w:tcPr>
          <w:p w14:paraId="2835E36E" w14:textId="77777777" w:rsidR="0009432B" w:rsidRPr="009D3DED" w:rsidRDefault="00B3719C">
            <w:pPr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Pečeňová dysfunkcia, poškodenie pečene, najmä pri dlhodobej liečbe, zlyhanie pečene, akútna hepatitída</w:t>
            </w:r>
            <w:r w:rsidR="0009432B" w:rsidRPr="009D3DED">
              <w:rPr>
                <w:szCs w:val="22"/>
                <w:lang w:val="sk-SK"/>
              </w:rPr>
              <w:t>.</w:t>
            </w:r>
            <w:r w:rsidR="0009432B" w:rsidRPr="009D3DED">
              <w:rPr>
                <w:szCs w:val="22"/>
                <w:vertAlign w:val="superscript"/>
                <w:lang w:val="sk-SK"/>
              </w:rPr>
              <w:t>2</w:t>
            </w:r>
          </w:p>
        </w:tc>
      </w:tr>
      <w:tr w:rsidR="00BF6970" w:rsidRPr="009D3DED" w14:paraId="0671AAD1" w14:textId="77777777" w:rsidTr="00E2569B">
        <w:tc>
          <w:tcPr>
            <w:tcW w:w="2232" w:type="dxa"/>
            <w:vMerge w:val="restart"/>
            <w:shd w:val="clear" w:color="auto" w:fill="auto"/>
          </w:tcPr>
          <w:p w14:paraId="0489067B" w14:textId="77777777" w:rsidR="00BF6970" w:rsidRPr="009D3DED" w:rsidRDefault="00CC7733" w:rsidP="00FF309C">
            <w:pPr>
              <w:rPr>
                <w:b/>
                <w:bCs/>
                <w:szCs w:val="22"/>
                <w:lang w:val="sk-SK"/>
              </w:rPr>
            </w:pPr>
            <w:r w:rsidRPr="009D3DED">
              <w:rPr>
                <w:b/>
                <w:bCs/>
                <w:szCs w:val="22"/>
                <w:lang w:val="sk-SK"/>
              </w:rPr>
              <w:t>Poruchy kože a podkožného tkaniva</w:t>
            </w:r>
          </w:p>
        </w:tc>
        <w:tc>
          <w:tcPr>
            <w:tcW w:w="1453" w:type="dxa"/>
            <w:shd w:val="clear" w:color="auto" w:fill="auto"/>
          </w:tcPr>
          <w:p w14:paraId="17CA4A2B" w14:textId="77777777" w:rsidR="00BF6970" w:rsidRPr="009D3DED" w:rsidRDefault="00795F00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v</w:t>
            </w:r>
            <w:r w:rsidR="00B3719C" w:rsidRPr="009D3DED">
              <w:rPr>
                <w:szCs w:val="22"/>
                <w:lang w:val="sk-SK"/>
              </w:rPr>
              <w:t>eľmi zriedkavé</w:t>
            </w:r>
          </w:p>
        </w:tc>
        <w:tc>
          <w:tcPr>
            <w:tcW w:w="5836" w:type="dxa"/>
            <w:shd w:val="clear" w:color="auto" w:fill="auto"/>
          </w:tcPr>
          <w:p w14:paraId="468C10EA" w14:textId="5BA86E2E" w:rsidR="00BF6970" w:rsidRPr="009D3DED" w:rsidRDefault="00A70801">
            <w:pPr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B</w:t>
            </w:r>
            <w:r w:rsidR="00B3719C" w:rsidRPr="009D3DED">
              <w:rPr>
                <w:szCs w:val="22"/>
                <w:lang w:val="sk-SK"/>
              </w:rPr>
              <w:t>ulózne reakcie, ako sú Stevens</w:t>
            </w:r>
            <w:r w:rsidR="00523840">
              <w:rPr>
                <w:szCs w:val="22"/>
                <w:lang w:val="sk-SK"/>
              </w:rPr>
              <w:t>ov</w:t>
            </w:r>
            <w:r w:rsidR="00B3719C" w:rsidRPr="009D3DED">
              <w:rPr>
                <w:szCs w:val="22"/>
                <w:lang w:val="sk-SK"/>
              </w:rPr>
              <w:t xml:space="preserve">-Johnsonov syndróm a toxická epidermálna nekrolýza (Lyellov syndróm), alopécia, </w:t>
            </w:r>
            <w:r w:rsidR="00B3719C" w:rsidRPr="009D3DED">
              <w:rPr>
                <w:szCs w:val="22"/>
                <w:lang w:val="sk-SK"/>
              </w:rPr>
              <w:lastRenderedPageBreak/>
              <w:t xml:space="preserve">ťažké kožné infekcie, komplikácie v oblasti mäkkých tkanív pri infekcii </w:t>
            </w:r>
            <w:r w:rsidR="009A1F2A" w:rsidRPr="009D3DED">
              <w:rPr>
                <w:szCs w:val="22"/>
                <w:lang w:val="sk-SK"/>
              </w:rPr>
              <w:t>varicelou</w:t>
            </w:r>
            <w:r w:rsidR="00BF6970" w:rsidRPr="009D3DED">
              <w:rPr>
                <w:szCs w:val="22"/>
                <w:lang w:val="sk-SK"/>
              </w:rPr>
              <w:t>.</w:t>
            </w:r>
            <w:r w:rsidR="00BF6970" w:rsidRPr="009D3DED">
              <w:rPr>
                <w:szCs w:val="22"/>
                <w:vertAlign w:val="superscript"/>
                <w:lang w:val="sk-SK"/>
              </w:rPr>
              <w:t>2</w:t>
            </w:r>
          </w:p>
        </w:tc>
      </w:tr>
      <w:tr w:rsidR="00BF6970" w:rsidRPr="009D3DED" w14:paraId="5022F662" w14:textId="77777777" w:rsidTr="00E2569B">
        <w:tc>
          <w:tcPr>
            <w:tcW w:w="2232" w:type="dxa"/>
            <w:vMerge/>
            <w:shd w:val="clear" w:color="auto" w:fill="auto"/>
          </w:tcPr>
          <w:p w14:paraId="51B2C42E" w14:textId="77777777" w:rsidR="00BF6970" w:rsidRPr="009D3DED" w:rsidRDefault="00BF6970">
            <w:pPr>
              <w:rPr>
                <w:b/>
                <w:bCs/>
                <w:szCs w:val="22"/>
                <w:lang w:val="sk-SK"/>
              </w:rPr>
            </w:pPr>
          </w:p>
        </w:tc>
        <w:tc>
          <w:tcPr>
            <w:tcW w:w="1453" w:type="dxa"/>
            <w:shd w:val="clear" w:color="auto" w:fill="auto"/>
          </w:tcPr>
          <w:p w14:paraId="521CF1A6" w14:textId="77777777" w:rsidR="00BF6970" w:rsidRPr="009D3DED" w:rsidRDefault="00795F00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n</w:t>
            </w:r>
            <w:r w:rsidR="00F83F7C" w:rsidRPr="009D3DED">
              <w:rPr>
                <w:szCs w:val="22"/>
                <w:lang w:val="sk-SK"/>
              </w:rPr>
              <w:t>eznáme</w:t>
            </w:r>
          </w:p>
        </w:tc>
        <w:tc>
          <w:tcPr>
            <w:tcW w:w="5836" w:type="dxa"/>
            <w:shd w:val="clear" w:color="auto" w:fill="auto"/>
          </w:tcPr>
          <w:p w14:paraId="3B6F5E72" w14:textId="6797C82E" w:rsidR="00B3719C" w:rsidRPr="009D3DED" w:rsidRDefault="00523840">
            <w:pPr>
              <w:rPr>
                <w:iCs/>
                <w:color w:val="000000" w:themeColor="text1"/>
                <w:lang w:val="sk-SK"/>
              </w:rPr>
            </w:pPr>
            <w:r>
              <w:rPr>
                <w:iCs/>
                <w:color w:val="000000" w:themeColor="text1"/>
                <w:lang w:val="sk-SK"/>
              </w:rPr>
              <w:t>Lieková vyrážka</w:t>
            </w:r>
            <w:r w:rsidR="00B3719C" w:rsidRPr="009D3DED">
              <w:rPr>
                <w:iCs/>
                <w:color w:val="000000" w:themeColor="text1"/>
                <w:lang w:val="sk-SK"/>
              </w:rPr>
              <w:t xml:space="preserve"> s eozinofíliou a systémovými príznakmi (DRESS syndróm)</w:t>
            </w:r>
          </w:p>
          <w:p w14:paraId="3A871FE5" w14:textId="77777777" w:rsidR="00B3719C" w:rsidRPr="009D3DED" w:rsidRDefault="00B3719C">
            <w:pPr>
              <w:rPr>
                <w:iCs/>
                <w:color w:val="000000" w:themeColor="text1"/>
                <w:lang w:val="sk-SK"/>
              </w:rPr>
            </w:pPr>
            <w:r w:rsidRPr="009D3DED">
              <w:rPr>
                <w:iCs/>
                <w:color w:val="000000" w:themeColor="text1"/>
                <w:lang w:val="sk-SK"/>
              </w:rPr>
              <w:t>Akútna generalizovaná exantematózna pustulóza (AGEP)</w:t>
            </w:r>
          </w:p>
          <w:p w14:paraId="6CDF5DEB" w14:textId="77777777" w:rsidR="00E2569B" w:rsidRPr="009D3DED" w:rsidRDefault="009A1F2A">
            <w:pPr>
              <w:rPr>
                <w:szCs w:val="22"/>
                <w:lang w:val="sk-SK"/>
              </w:rPr>
            </w:pPr>
            <w:r w:rsidRPr="009D3DED">
              <w:rPr>
                <w:iCs/>
                <w:color w:val="000000" w:themeColor="text1"/>
                <w:lang w:val="sk-SK"/>
              </w:rPr>
              <w:t>F</w:t>
            </w:r>
            <w:r w:rsidR="00B3719C" w:rsidRPr="009D3DED">
              <w:rPr>
                <w:iCs/>
                <w:color w:val="000000" w:themeColor="text1"/>
                <w:lang w:val="sk-SK"/>
              </w:rPr>
              <w:t>otosenzitívn</w:t>
            </w:r>
            <w:r w:rsidR="00AA0621" w:rsidRPr="009D3DED">
              <w:rPr>
                <w:iCs/>
                <w:color w:val="000000" w:themeColor="text1"/>
                <w:lang w:val="sk-SK"/>
              </w:rPr>
              <w:t>a</w:t>
            </w:r>
            <w:r w:rsidR="00B3719C" w:rsidRPr="009D3DED">
              <w:rPr>
                <w:iCs/>
                <w:color w:val="000000" w:themeColor="text1"/>
                <w:lang w:val="sk-SK"/>
              </w:rPr>
              <w:t xml:space="preserve"> reakci</w:t>
            </w:r>
            <w:r w:rsidR="00AA0621" w:rsidRPr="009D3DED">
              <w:rPr>
                <w:iCs/>
                <w:color w:val="000000" w:themeColor="text1"/>
                <w:lang w:val="sk-SK"/>
              </w:rPr>
              <w:t>a</w:t>
            </w:r>
          </w:p>
        </w:tc>
      </w:tr>
      <w:tr w:rsidR="00824F6B" w:rsidRPr="009D3DED" w14:paraId="43DCD1BB" w14:textId="77777777" w:rsidTr="00E2569B">
        <w:trPr>
          <w:trHeight w:val="539"/>
        </w:trPr>
        <w:tc>
          <w:tcPr>
            <w:tcW w:w="2232" w:type="dxa"/>
            <w:vMerge w:val="restart"/>
            <w:shd w:val="clear" w:color="auto" w:fill="auto"/>
          </w:tcPr>
          <w:p w14:paraId="6852EABC" w14:textId="77777777" w:rsidR="00824F6B" w:rsidRPr="009D3DED" w:rsidRDefault="00CC7733" w:rsidP="00FF309C">
            <w:pPr>
              <w:rPr>
                <w:b/>
                <w:bCs/>
                <w:szCs w:val="22"/>
                <w:lang w:val="sk-SK"/>
              </w:rPr>
            </w:pPr>
            <w:r w:rsidRPr="009D3DED">
              <w:rPr>
                <w:b/>
                <w:bCs/>
                <w:szCs w:val="22"/>
                <w:lang w:val="sk-SK"/>
              </w:rPr>
              <w:t>Poruchy obličiek a močových ciest</w:t>
            </w:r>
          </w:p>
        </w:tc>
        <w:tc>
          <w:tcPr>
            <w:tcW w:w="1453" w:type="dxa"/>
            <w:shd w:val="clear" w:color="auto" w:fill="auto"/>
          </w:tcPr>
          <w:p w14:paraId="50042608" w14:textId="77777777" w:rsidR="00824F6B" w:rsidRPr="009D3DED" w:rsidRDefault="00795F00">
            <w:pPr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z</w:t>
            </w:r>
            <w:r w:rsidR="00B3719C" w:rsidRPr="009D3DED">
              <w:rPr>
                <w:szCs w:val="22"/>
                <w:lang w:val="sk-SK"/>
              </w:rPr>
              <w:t>riedkavé</w:t>
            </w:r>
          </w:p>
        </w:tc>
        <w:tc>
          <w:tcPr>
            <w:tcW w:w="5836" w:type="dxa"/>
            <w:shd w:val="clear" w:color="auto" w:fill="auto"/>
          </w:tcPr>
          <w:p w14:paraId="4A33E4C9" w14:textId="77777777" w:rsidR="00824F6B" w:rsidRPr="009D3DED" w:rsidRDefault="00B3719C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color w:val="000000" w:themeColor="text1"/>
                <w:lang w:val="sk-SK"/>
              </w:rPr>
              <w:t>Poškodenie renáln</w:t>
            </w:r>
            <w:r w:rsidR="00AA0621" w:rsidRPr="009D3DED">
              <w:rPr>
                <w:color w:val="000000" w:themeColor="text1"/>
                <w:lang w:val="sk-SK"/>
              </w:rPr>
              <w:t>eho tkani</w:t>
            </w:r>
            <w:r w:rsidRPr="009D3DED">
              <w:rPr>
                <w:color w:val="000000" w:themeColor="text1"/>
                <w:lang w:val="sk-SK"/>
              </w:rPr>
              <w:t>v</w:t>
            </w:r>
            <w:r w:rsidR="00AA0621" w:rsidRPr="009D3DED">
              <w:rPr>
                <w:color w:val="000000" w:themeColor="text1"/>
                <w:lang w:val="sk-SK"/>
              </w:rPr>
              <w:t>a</w:t>
            </w:r>
            <w:r w:rsidRPr="009D3DED">
              <w:rPr>
                <w:color w:val="000000" w:themeColor="text1"/>
                <w:lang w:val="sk-SK"/>
              </w:rPr>
              <w:t xml:space="preserve"> (papilárna nekróza), zvýšená koncentrácia kyseliny močovej v krvi, zvýšená koncentrácia močoviny v krvi</w:t>
            </w:r>
            <w:r w:rsidR="00824F6B" w:rsidRPr="009D3DED">
              <w:rPr>
                <w:szCs w:val="22"/>
                <w:lang w:val="sk-SK"/>
              </w:rPr>
              <w:t>.</w:t>
            </w:r>
            <w:r w:rsidR="00824F6B" w:rsidRPr="009D3DED">
              <w:rPr>
                <w:szCs w:val="22"/>
                <w:vertAlign w:val="superscript"/>
                <w:lang w:val="sk-SK"/>
              </w:rPr>
              <w:t>2</w:t>
            </w:r>
          </w:p>
        </w:tc>
      </w:tr>
      <w:tr w:rsidR="00824F6B" w:rsidRPr="009D3DED" w14:paraId="365AC14B" w14:textId="77777777" w:rsidTr="00E2569B">
        <w:trPr>
          <w:trHeight w:val="538"/>
        </w:trPr>
        <w:tc>
          <w:tcPr>
            <w:tcW w:w="2232" w:type="dxa"/>
            <w:vMerge/>
            <w:shd w:val="clear" w:color="auto" w:fill="auto"/>
          </w:tcPr>
          <w:p w14:paraId="0966BD31" w14:textId="77777777" w:rsidR="00824F6B" w:rsidRPr="009D3DED" w:rsidRDefault="00824F6B">
            <w:pPr>
              <w:rPr>
                <w:szCs w:val="22"/>
                <w:lang w:val="sk-SK"/>
              </w:rPr>
            </w:pPr>
          </w:p>
        </w:tc>
        <w:tc>
          <w:tcPr>
            <w:tcW w:w="1453" w:type="dxa"/>
            <w:shd w:val="clear" w:color="auto" w:fill="auto"/>
          </w:tcPr>
          <w:p w14:paraId="4574B480" w14:textId="77777777" w:rsidR="00824F6B" w:rsidRPr="009D3DED" w:rsidRDefault="00795F00">
            <w:pPr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v</w:t>
            </w:r>
            <w:r w:rsidR="00B3719C" w:rsidRPr="009D3DED">
              <w:rPr>
                <w:szCs w:val="22"/>
                <w:lang w:val="sk-SK"/>
              </w:rPr>
              <w:t>eľmi zriedkavé</w:t>
            </w:r>
          </w:p>
        </w:tc>
        <w:tc>
          <w:tcPr>
            <w:tcW w:w="5836" w:type="dxa"/>
            <w:shd w:val="clear" w:color="auto" w:fill="auto"/>
          </w:tcPr>
          <w:p w14:paraId="293D7914" w14:textId="0F8B2177" w:rsidR="00824F6B" w:rsidRPr="009D3DED" w:rsidRDefault="00B3719C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Edémy (najmä u pacientov s</w:t>
            </w:r>
            <w:r w:rsidR="009A1F2A" w:rsidRPr="009D3DED">
              <w:rPr>
                <w:szCs w:val="22"/>
                <w:lang w:val="sk-SK"/>
              </w:rPr>
              <w:t> art</w:t>
            </w:r>
            <w:r w:rsidR="00880C68">
              <w:rPr>
                <w:szCs w:val="22"/>
                <w:lang w:val="sk-SK"/>
              </w:rPr>
              <w:t>ériovou</w:t>
            </w:r>
            <w:r w:rsidR="009A1F2A" w:rsidRPr="009D3DED">
              <w:rPr>
                <w:szCs w:val="22"/>
                <w:lang w:val="sk-SK"/>
              </w:rPr>
              <w:t xml:space="preserve"> </w:t>
            </w:r>
            <w:r w:rsidRPr="009D3DED">
              <w:rPr>
                <w:szCs w:val="22"/>
                <w:lang w:val="sk-SK"/>
              </w:rPr>
              <w:t xml:space="preserve">hypertenziou alebo obličiek), nefrotický syndróm, intersticiálna nefritída, </w:t>
            </w:r>
            <w:r w:rsidR="00AA0621" w:rsidRPr="009D3DED">
              <w:rPr>
                <w:szCs w:val="22"/>
                <w:lang w:val="sk-SK"/>
              </w:rPr>
              <w:t>akútna renálna insuficiencia</w:t>
            </w:r>
            <w:r w:rsidR="00824F6B" w:rsidRPr="009D3DED">
              <w:rPr>
                <w:szCs w:val="22"/>
                <w:lang w:val="sk-SK"/>
              </w:rPr>
              <w:t>.</w:t>
            </w:r>
            <w:r w:rsidR="00824F6B" w:rsidRPr="009D3DED">
              <w:rPr>
                <w:szCs w:val="22"/>
                <w:vertAlign w:val="superscript"/>
                <w:lang w:val="sk-SK"/>
              </w:rPr>
              <w:t>2</w:t>
            </w:r>
          </w:p>
        </w:tc>
      </w:tr>
      <w:tr w:rsidR="00BA00B9" w:rsidRPr="009D3DED" w14:paraId="73D3E6FF" w14:textId="77777777" w:rsidTr="00E2569B">
        <w:tc>
          <w:tcPr>
            <w:tcW w:w="9521" w:type="dxa"/>
            <w:gridSpan w:val="3"/>
            <w:shd w:val="clear" w:color="auto" w:fill="auto"/>
          </w:tcPr>
          <w:p w14:paraId="52B62998" w14:textId="77777777" w:rsidR="00CC7733" w:rsidRPr="009D3DED" w:rsidRDefault="00BA00B9" w:rsidP="00AA5B78">
            <w:pPr>
              <w:keepNext/>
              <w:keepLines/>
              <w:suppressLineNumbers/>
              <w:ind w:left="142" w:hanging="142"/>
              <w:rPr>
                <w:szCs w:val="22"/>
                <w:lang w:val="sk-SK"/>
              </w:rPr>
            </w:pPr>
            <w:r w:rsidRPr="009D3DED">
              <w:rPr>
                <w:szCs w:val="22"/>
                <w:vertAlign w:val="superscript"/>
                <w:lang w:val="sk-SK"/>
              </w:rPr>
              <w:t>1</w:t>
            </w:r>
            <w:r w:rsidR="00283151" w:rsidRPr="009D3DED">
              <w:rPr>
                <w:szCs w:val="22"/>
                <w:lang w:val="sk-SK"/>
              </w:rPr>
              <w:t>Identifikované nežiaduce účinky pozorované pri kombinovanej liečbe ibuprofénom a</w:t>
            </w:r>
            <w:r w:rsidR="00CC7733" w:rsidRPr="009D3DED">
              <w:rPr>
                <w:szCs w:val="22"/>
                <w:lang w:val="sk-SK"/>
              </w:rPr>
              <w:t> </w:t>
            </w:r>
            <w:r w:rsidR="00283151" w:rsidRPr="009D3DED">
              <w:rPr>
                <w:szCs w:val="22"/>
                <w:lang w:val="sk-SK"/>
              </w:rPr>
              <w:t>kofeín</w:t>
            </w:r>
            <w:r w:rsidR="00AC74A4" w:rsidRPr="009D3DED">
              <w:rPr>
                <w:szCs w:val="22"/>
                <w:lang w:val="sk-SK"/>
              </w:rPr>
              <w:t>om</w:t>
            </w:r>
          </w:p>
          <w:p w14:paraId="316693C5" w14:textId="44E77503" w:rsidR="00BA00B9" w:rsidRPr="009D3DED" w:rsidRDefault="00BA00B9" w:rsidP="00AA5B78">
            <w:pPr>
              <w:keepNext/>
              <w:keepLines/>
              <w:suppressLineNumbers/>
              <w:ind w:left="142" w:hanging="142"/>
              <w:rPr>
                <w:szCs w:val="22"/>
                <w:lang w:val="sk-SK"/>
              </w:rPr>
            </w:pPr>
            <w:r w:rsidRPr="009D3DED">
              <w:rPr>
                <w:szCs w:val="22"/>
                <w:vertAlign w:val="superscript"/>
                <w:lang w:val="sk-SK"/>
              </w:rPr>
              <w:t>2</w:t>
            </w:r>
            <w:r w:rsidR="00283151" w:rsidRPr="009D3DED">
              <w:rPr>
                <w:szCs w:val="22"/>
                <w:lang w:val="sk-SK"/>
              </w:rPr>
              <w:t xml:space="preserve">Identifikované nežiaduce účinky ibuprofénu na základe SPC </w:t>
            </w:r>
            <w:r w:rsidR="00AF1C06">
              <w:rPr>
                <w:szCs w:val="22"/>
                <w:lang w:val="sk-SK"/>
              </w:rPr>
              <w:t xml:space="preserve">liekov obsahujúcich </w:t>
            </w:r>
            <w:r w:rsidR="00283151" w:rsidRPr="009D3DED">
              <w:rPr>
                <w:szCs w:val="22"/>
                <w:lang w:val="sk-SK"/>
              </w:rPr>
              <w:t>ibuprofén v EÚ</w:t>
            </w:r>
          </w:p>
          <w:p w14:paraId="473FC774" w14:textId="77777777" w:rsidR="00CC7733" w:rsidRPr="009D3DED" w:rsidRDefault="00BA00B9" w:rsidP="00FF309C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highlight w:val="yellow"/>
                <w:lang w:val="sk-SK"/>
              </w:rPr>
            </w:pPr>
            <w:r w:rsidRPr="009D3DED">
              <w:rPr>
                <w:szCs w:val="22"/>
                <w:vertAlign w:val="superscript"/>
                <w:lang w:val="sk-SK"/>
              </w:rPr>
              <w:t>3</w:t>
            </w:r>
            <w:r w:rsidR="00283151" w:rsidRPr="009D3DED">
              <w:rPr>
                <w:szCs w:val="22"/>
                <w:lang w:val="sk-SK"/>
              </w:rPr>
              <w:t xml:space="preserve">Identifikované nežiaduce účinky kofeínu na základe skúseností s inými kombinovanými </w:t>
            </w:r>
            <w:r w:rsidR="00AC74A4" w:rsidRPr="009D3DED">
              <w:rPr>
                <w:szCs w:val="22"/>
                <w:lang w:val="sk-SK"/>
              </w:rPr>
              <w:t>liekmi</w:t>
            </w:r>
            <w:r w:rsidR="00283151" w:rsidRPr="009D3DED">
              <w:rPr>
                <w:szCs w:val="22"/>
                <w:lang w:val="sk-SK"/>
              </w:rPr>
              <w:t xml:space="preserve"> obsahujúcimi kofeín</w:t>
            </w:r>
          </w:p>
          <w:p w14:paraId="74D393A4" w14:textId="77777777" w:rsidR="00547182" w:rsidRPr="009D3DED" w:rsidRDefault="0054718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9D3DED">
              <w:rPr>
                <w:szCs w:val="22"/>
                <w:vertAlign w:val="superscript"/>
                <w:lang w:val="sk-SK"/>
              </w:rPr>
              <w:t>4</w:t>
            </w:r>
            <w:r w:rsidR="00283151" w:rsidRPr="009D3DED">
              <w:rPr>
                <w:szCs w:val="22"/>
                <w:lang w:val="sk-SK"/>
              </w:rPr>
              <w:t>Na základe jednej klinickej štúdie s 282 pacientmi</w:t>
            </w:r>
          </w:p>
        </w:tc>
      </w:tr>
    </w:tbl>
    <w:p w14:paraId="2351BE8C" w14:textId="77777777" w:rsidR="00BA00B9" w:rsidRPr="009D3DED" w:rsidRDefault="00BA00B9" w:rsidP="00FF309C">
      <w:pPr>
        <w:autoSpaceDE w:val="0"/>
        <w:autoSpaceDN w:val="0"/>
        <w:adjustRightInd w:val="0"/>
        <w:spacing w:line="240" w:lineRule="auto"/>
        <w:rPr>
          <w:szCs w:val="22"/>
          <w:lang w:val="sk-SK" w:eastAsia="zh-CN" w:bidi="th-TH"/>
        </w:rPr>
      </w:pPr>
    </w:p>
    <w:p w14:paraId="1207C8B8" w14:textId="77777777" w:rsidR="00F00876" w:rsidRPr="009D3DED" w:rsidRDefault="00283151">
      <w:pPr>
        <w:autoSpaceDE w:val="0"/>
        <w:autoSpaceDN w:val="0"/>
        <w:adjustRightInd w:val="0"/>
        <w:rPr>
          <w:szCs w:val="22"/>
          <w:u w:val="single"/>
          <w:lang w:val="sk-SK"/>
        </w:rPr>
      </w:pPr>
      <w:r w:rsidRPr="009D3DED">
        <w:rPr>
          <w:szCs w:val="22"/>
          <w:u w:val="single"/>
          <w:lang w:val="sk-SK"/>
        </w:rPr>
        <w:t xml:space="preserve">Hlásenie podozrení na nežiaduce </w:t>
      </w:r>
      <w:r w:rsidR="009A1F2A" w:rsidRPr="009D3DED">
        <w:rPr>
          <w:szCs w:val="22"/>
          <w:u w:val="single"/>
          <w:lang w:val="sk-SK"/>
        </w:rPr>
        <w:t>reakcie</w:t>
      </w:r>
    </w:p>
    <w:p w14:paraId="4FABF5BD" w14:textId="77777777" w:rsidR="00F00876" w:rsidRPr="009D3DED" w:rsidRDefault="00283151">
      <w:pPr>
        <w:autoSpaceDE w:val="0"/>
        <w:autoSpaceDN w:val="0"/>
        <w:adjustRightInd w:val="0"/>
        <w:rPr>
          <w:szCs w:val="22"/>
          <w:lang w:val="sk-SK"/>
        </w:rPr>
      </w:pPr>
      <w:r w:rsidRPr="009D3DED">
        <w:rPr>
          <w:color w:val="000000" w:themeColor="text1"/>
          <w:lang w:val="sk-SK"/>
        </w:rPr>
        <w:t xml:space="preserve">Hlásenie podozrení na nežiaduce </w:t>
      </w:r>
      <w:r w:rsidR="009A1F2A" w:rsidRPr="009D3DED">
        <w:rPr>
          <w:color w:val="000000" w:themeColor="text1"/>
          <w:lang w:val="sk-SK"/>
        </w:rPr>
        <w:t>reakcie</w:t>
      </w:r>
      <w:r w:rsidRPr="009D3DED">
        <w:rPr>
          <w:color w:val="000000" w:themeColor="text1"/>
          <w:lang w:val="sk-SK"/>
        </w:rPr>
        <w:t xml:space="preserve"> po registrácii lieku je dôležité. </w:t>
      </w:r>
      <w:r w:rsidR="009A1F2A" w:rsidRPr="009D3DED">
        <w:rPr>
          <w:noProof/>
          <w:szCs w:val="22"/>
          <w:lang w:val="sk-SK"/>
        </w:rPr>
        <w:t>Umožňuje priebežné monitorovanie pomeru prínosu a rizika lieku.</w:t>
      </w:r>
      <w:r w:rsidR="009A1F2A" w:rsidRPr="009D3DED">
        <w:rPr>
          <w:szCs w:val="22"/>
          <w:lang w:val="sk-SK"/>
        </w:rPr>
        <w:t xml:space="preserve"> Od </w:t>
      </w:r>
      <w:r w:rsidR="009A1F2A" w:rsidRPr="009D3DED">
        <w:rPr>
          <w:noProof/>
          <w:szCs w:val="22"/>
          <w:lang w:val="sk-SK"/>
        </w:rPr>
        <w:t>zdravotníckych pracovníkov sa vyžaduje, aby hlásili akékoľvek podozrenia na nežiaduce reakcie na</w:t>
      </w:r>
      <w:r w:rsidRPr="009D3DED">
        <w:rPr>
          <w:color w:val="000000" w:themeColor="text1"/>
          <w:szCs w:val="22"/>
          <w:highlight w:val="lightGray"/>
          <w:lang w:val="sk-SK"/>
        </w:rPr>
        <w:t xml:space="preserve"> </w:t>
      </w:r>
      <w:r w:rsidR="009A1F2A" w:rsidRPr="009D3DED">
        <w:rPr>
          <w:noProof/>
          <w:szCs w:val="22"/>
          <w:highlight w:val="lightGray"/>
          <w:lang w:val="sk-SK"/>
        </w:rPr>
        <w:t xml:space="preserve">národné centrum hlásenia uvedené </w:t>
      </w:r>
      <w:r w:rsidRPr="009D3DED">
        <w:rPr>
          <w:szCs w:val="22"/>
          <w:highlight w:val="lightGray"/>
          <w:lang w:val="sk-SK"/>
        </w:rPr>
        <w:t>v</w:t>
      </w:r>
      <w:r w:rsidR="002B70BE" w:rsidRPr="009D3DED">
        <w:rPr>
          <w:szCs w:val="22"/>
          <w:highlight w:val="lightGray"/>
          <w:lang w:val="sk-SK"/>
        </w:rPr>
        <w:t> </w:t>
      </w:r>
      <w:hyperlink r:id="rId11" w:history="1">
        <w:r w:rsidR="00320093" w:rsidRPr="00AA5B78">
          <w:rPr>
            <w:rStyle w:val="Hypertextovprepojenie"/>
            <w:szCs w:val="22"/>
            <w:highlight w:val="lightGray"/>
            <w:lang w:val="sk-SK"/>
          </w:rPr>
          <w:t>Prílohe</w:t>
        </w:r>
        <w:r w:rsidR="002B70BE" w:rsidRPr="00AA5B78">
          <w:rPr>
            <w:rStyle w:val="Hypertextovprepojenie"/>
            <w:szCs w:val="22"/>
            <w:highlight w:val="lightGray"/>
            <w:lang w:val="sk-SK"/>
          </w:rPr>
          <w:t xml:space="preserve"> </w:t>
        </w:r>
        <w:r w:rsidR="00F00876" w:rsidRPr="00AA5B78">
          <w:rPr>
            <w:rStyle w:val="Hypertextovprepojenie"/>
            <w:szCs w:val="22"/>
            <w:highlight w:val="lightGray"/>
            <w:lang w:val="sk-SK"/>
          </w:rPr>
          <w:t>V</w:t>
        </w:r>
      </w:hyperlink>
      <w:r w:rsidR="00F00876" w:rsidRPr="00AA5B78">
        <w:rPr>
          <w:szCs w:val="22"/>
          <w:highlight w:val="lightGray"/>
          <w:lang w:val="sk-SK"/>
        </w:rPr>
        <w:t>.</w:t>
      </w:r>
    </w:p>
    <w:p w14:paraId="12FF24A9" w14:textId="77777777" w:rsidR="004454CC" w:rsidRPr="009D3DED" w:rsidRDefault="004454CC">
      <w:pPr>
        <w:ind w:left="567" w:hanging="567"/>
        <w:rPr>
          <w:b/>
          <w:szCs w:val="22"/>
          <w:lang w:val="sk-SK"/>
        </w:rPr>
      </w:pPr>
    </w:p>
    <w:p w14:paraId="612E286E" w14:textId="77777777" w:rsidR="001D29E6" w:rsidRPr="009D3DED" w:rsidRDefault="001D29E6">
      <w:pPr>
        <w:ind w:left="567" w:hanging="567"/>
        <w:rPr>
          <w:szCs w:val="22"/>
          <w:lang w:val="sk-SK"/>
        </w:rPr>
      </w:pPr>
      <w:r w:rsidRPr="009D3DED">
        <w:rPr>
          <w:b/>
          <w:szCs w:val="22"/>
          <w:lang w:val="sk-SK"/>
        </w:rPr>
        <w:t>4.9</w:t>
      </w:r>
      <w:r w:rsidRPr="009D3DED">
        <w:rPr>
          <w:b/>
          <w:szCs w:val="22"/>
          <w:lang w:val="sk-SK"/>
        </w:rPr>
        <w:tab/>
      </w:r>
      <w:r w:rsidR="00C70366" w:rsidRPr="009D3DED">
        <w:rPr>
          <w:b/>
          <w:szCs w:val="22"/>
          <w:lang w:val="sk-SK"/>
        </w:rPr>
        <w:t>Predávkovanie</w:t>
      </w:r>
    </w:p>
    <w:p w14:paraId="42D1F747" w14:textId="77777777" w:rsidR="001D29E6" w:rsidRPr="009D3DED" w:rsidRDefault="001D29E6">
      <w:pPr>
        <w:rPr>
          <w:szCs w:val="22"/>
          <w:lang w:val="sk-SK"/>
        </w:rPr>
      </w:pPr>
    </w:p>
    <w:p w14:paraId="0C08272D" w14:textId="77777777" w:rsidR="00883E34" w:rsidRPr="009D3DED" w:rsidRDefault="00C30552">
      <w:pPr>
        <w:rPr>
          <w:szCs w:val="22"/>
          <w:u w:val="single"/>
          <w:lang w:val="sk-SK"/>
        </w:rPr>
      </w:pPr>
      <w:r w:rsidRPr="009D3DED">
        <w:rPr>
          <w:szCs w:val="22"/>
          <w:u w:val="single"/>
          <w:lang w:val="sk-SK"/>
        </w:rPr>
        <w:t>Ibuprofén</w:t>
      </w:r>
    </w:p>
    <w:p w14:paraId="2FD3AEA8" w14:textId="02F487CF" w:rsidR="001D51D9" w:rsidRPr="009D3DED" w:rsidRDefault="003300BD">
      <w:pPr>
        <w:rPr>
          <w:szCs w:val="22"/>
          <w:lang w:val="sk-SK"/>
        </w:rPr>
      </w:pPr>
      <w:r w:rsidRPr="009D3DED">
        <w:rPr>
          <w:szCs w:val="22"/>
          <w:lang w:val="sk-SK"/>
        </w:rPr>
        <w:t>Medzi príznaky predávkovania patrí nevoľnosť, vracanie, bolesť brucha alebo zriedkavejšie hnačka. Ďalej sa môžu vyskytnúť n</w:t>
      </w:r>
      <w:r w:rsidR="00CC7733" w:rsidRPr="009D3DED">
        <w:rPr>
          <w:szCs w:val="22"/>
          <w:lang w:val="sk-SK"/>
        </w:rPr>
        <w:t>ystagmus, rozmazané videnie, ti</w:t>
      </w:r>
      <w:r w:rsidRPr="009D3DED">
        <w:rPr>
          <w:szCs w:val="22"/>
          <w:lang w:val="sk-SK"/>
        </w:rPr>
        <w:t>nitus, bolesti hlavy a gastrointestinálne krvácanie. V prípade závažnejších otráv býva pozorovaná toxicita v centrálnom nervovom systéme, prejavujúca sa ako závraty, ospalosť, občasn</w:t>
      </w:r>
      <w:r w:rsidR="006D74EC">
        <w:rPr>
          <w:szCs w:val="22"/>
          <w:lang w:val="sk-SK"/>
        </w:rPr>
        <w:t>á</w:t>
      </w:r>
      <w:r w:rsidRPr="009D3DED">
        <w:rPr>
          <w:szCs w:val="22"/>
          <w:lang w:val="sk-SK"/>
        </w:rPr>
        <w:t xml:space="preserve"> agitácia, strata vedomia alebo kóma. U pacientov sa niekedy objavujú kŕče. Pri závažnej otrave môže dôjsť k metabolickej acidóze. Môže dôjsť k podchladeniu a hyperkaliémii. Môže dôjsť k akútnemu zlyhaniu obličiek, poškodeni</w:t>
      </w:r>
      <w:r w:rsidR="00CC7733" w:rsidRPr="009D3DED">
        <w:rPr>
          <w:szCs w:val="22"/>
          <w:lang w:val="sk-SK"/>
        </w:rPr>
        <w:t>u</w:t>
      </w:r>
      <w:r w:rsidRPr="009D3DED">
        <w:rPr>
          <w:szCs w:val="22"/>
          <w:lang w:val="sk-SK"/>
        </w:rPr>
        <w:t xml:space="preserve"> pe</w:t>
      </w:r>
      <w:r w:rsidR="00CC7733" w:rsidRPr="009D3DED">
        <w:rPr>
          <w:szCs w:val="22"/>
          <w:lang w:val="sk-SK"/>
        </w:rPr>
        <w:t>čene, hypotenzii</w:t>
      </w:r>
      <w:r w:rsidRPr="009D3DED">
        <w:rPr>
          <w:szCs w:val="22"/>
          <w:lang w:val="sk-SK"/>
        </w:rPr>
        <w:t>, útlm</w:t>
      </w:r>
      <w:r w:rsidR="00CC7733" w:rsidRPr="009D3DED">
        <w:rPr>
          <w:szCs w:val="22"/>
          <w:lang w:val="sk-SK"/>
        </w:rPr>
        <w:t>u</w:t>
      </w:r>
      <w:r w:rsidRPr="009D3DED">
        <w:rPr>
          <w:szCs w:val="22"/>
          <w:lang w:val="sk-SK"/>
        </w:rPr>
        <w:t xml:space="preserve"> dýchania</w:t>
      </w:r>
      <w:r w:rsidR="00CC7733" w:rsidRPr="009D3DED">
        <w:rPr>
          <w:szCs w:val="22"/>
          <w:lang w:val="sk-SK"/>
        </w:rPr>
        <w:t xml:space="preserve"> (</w:t>
      </w:r>
      <w:r w:rsidRPr="009D3DED">
        <w:rPr>
          <w:szCs w:val="22"/>
          <w:lang w:val="sk-SK"/>
        </w:rPr>
        <w:t>respiračn</w:t>
      </w:r>
      <w:r w:rsidR="00CC7733" w:rsidRPr="009D3DED">
        <w:rPr>
          <w:szCs w:val="22"/>
          <w:lang w:val="sk-SK"/>
        </w:rPr>
        <w:t>ej</w:t>
      </w:r>
      <w:r w:rsidRPr="009D3DED">
        <w:rPr>
          <w:szCs w:val="22"/>
          <w:lang w:val="sk-SK"/>
        </w:rPr>
        <w:t xml:space="preserve"> depresi</w:t>
      </w:r>
      <w:r w:rsidR="00CC7733" w:rsidRPr="009D3DED">
        <w:rPr>
          <w:szCs w:val="22"/>
          <w:lang w:val="sk-SK"/>
        </w:rPr>
        <w:t>i) a cyanóze</w:t>
      </w:r>
      <w:r w:rsidRPr="009D3DED">
        <w:rPr>
          <w:szCs w:val="22"/>
          <w:lang w:val="sk-SK"/>
        </w:rPr>
        <w:t>. U</w:t>
      </w:r>
      <w:r w:rsidR="00CC7733" w:rsidRPr="009D3DED">
        <w:rPr>
          <w:szCs w:val="22"/>
          <w:lang w:val="sk-SK"/>
        </w:rPr>
        <w:t xml:space="preserve"> astmatikov je možná exacerbácia</w:t>
      </w:r>
      <w:r w:rsidRPr="009D3DED">
        <w:rPr>
          <w:szCs w:val="22"/>
          <w:lang w:val="sk-SK"/>
        </w:rPr>
        <w:t xml:space="preserve"> astmy</w:t>
      </w:r>
      <w:r w:rsidR="001D51D9" w:rsidRPr="009D3DED">
        <w:rPr>
          <w:szCs w:val="22"/>
          <w:lang w:val="sk-SK"/>
        </w:rPr>
        <w:t>.</w:t>
      </w:r>
    </w:p>
    <w:p w14:paraId="66E03D8B" w14:textId="77777777" w:rsidR="00883E34" w:rsidRPr="009D3DED" w:rsidRDefault="003300BD">
      <w:pPr>
        <w:rPr>
          <w:szCs w:val="22"/>
          <w:lang w:val="sk-SK"/>
        </w:rPr>
      </w:pPr>
      <w:r w:rsidRPr="009D3DED">
        <w:rPr>
          <w:szCs w:val="22"/>
          <w:lang w:val="sk-SK"/>
        </w:rPr>
        <w:t>Špecifické antidotum neexistuje</w:t>
      </w:r>
      <w:r w:rsidR="00883E34" w:rsidRPr="009D3DED">
        <w:rPr>
          <w:szCs w:val="22"/>
          <w:lang w:val="sk-SK"/>
        </w:rPr>
        <w:t xml:space="preserve">. </w:t>
      </w:r>
    </w:p>
    <w:p w14:paraId="43A5E785" w14:textId="77777777" w:rsidR="00883E34" w:rsidRPr="009D3DED" w:rsidRDefault="00883E34">
      <w:pPr>
        <w:rPr>
          <w:szCs w:val="22"/>
          <w:lang w:val="sk-SK"/>
        </w:rPr>
      </w:pPr>
    </w:p>
    <w:p w14:paraId="4EAFB3FB" w14:textId="77777777" w:rsidR="00883E34" w:rsidRPr="009D3DED" w:rsidRDefault="00542E76">
      <w:pPr>
        <w:rPr>
          <w:szCs w:val="22"/>
          <w:u w:val="single"/>
          <w:lang w:val="sk-SK"/>
        </w:rPr>
      </w:pPr>
      <w:r w:rsidRPr="009D3DED">
        <w:rPr>
          <w:szCs w:val="22"/>
          <w:u w:val="single"/>
          <w:lang w:val="sk-SK"/>
        </w:rPr>
        <w:t>Kofeín</w:t>
      </w:r>
    </w:p>
    <w:p w14:paraId="459875C8" w14:textId="77777777" w:rsidR="00883E34" w:rsidRPr="009D3DED" w:rsidRDefault="009E15BE">
      <w:pPr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Príznaky toxicity sa môžu objaviť pri vysokých dávkach kofeínu (250-500 mg a vyšších), ak je dávka podávaná </w:t>
      </w:r>
      <w:r w:rsidR="001503E0" w:rsidRPr="009D3DED">
        <w:rPr>
          <w:szCs w:val="22"/>
          <w:lang w:val="sk-SK"/>
        </w:rPr>
        <w:t>krátkodobo</w:t>
      </w:r>
      <w:r w:rsidR="00883E34" w:rsidRPr="009D3DED">
        <w:rPr>
          <w:szCs w:val="22"/>
          <w:lang w:val="sk-SK"/>
        </w:rPr>
        <w:t>.</w:t>
      </w:r>
    </w:p>
    <w:p w14:paraId="04EB4C15" w14:textId="77777777" w:rsidR="00883E34" w:rsidRPr="009D3DED" w:rsidRDefault="00883E34">
      <w:pPr>
        <w:rPr>
          <w:szCs w:val="22"/>
          <w:lang w:val="sk-SK"/>
        </w:rPr>
      </w:pPr>
    </w:p>
    <w:p w14:paraId="51D26D9C" w14:textId="77777777" w:rsidR="00883E34" w:rsidRPr="009D3DED" w:rsidRDefault="00C30552">
      <w:pPr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Prvými príznakmi akútnej otravy kofeínom sú zvyčajne tras a nepokoj. Po nich nasleduje nevoľnosť, vracanie, tachykardia a zmätenosť. Pri závažnej intoxikácii sa môžu objaviť delírium, záchvaty, supraventrikulárne a komorové tachyarytmie, </w:t>
      </w:r>
      <w:r w:rsidR="00A70801" w:rsidRPr="009D3DED">
        <w:rPr>
          <w:szCs w:val="22"/>
          <w:lang w:val="sk-SK"/>
        </w:rPr>
        <w:t xml:space="preserve">hypokaliémia </w:t>
      </w:r>
      <w:r w:rsidRPr="009D3DED">
        <w:rPr>
          <w:szCs w:val="22"/>
          <w:lang w:val="sk-SK"/>
        </w:rPr>
        <w:t>a hyperglykémia</w:t>
      </w:r>
      <w:r w:rsidR="00883E34" w:rsidRPr="009D3DED">
        <w:rPr>
          <w:szCs w:val="22"/>
          <w:lang w:val="sk-SK"/>
        </w:rPr>
        <w:t>.</w:t>
      </w:r>
    </w:p>
    <w:p w14:paraId="10C3EB6B" w14:textId="77777777" w:rsidR="00AF5EFF" w:rsidRPr="009D3DED" w:rsidRDefault="00AF5EFF">
      <w:pPr>
        <w:rPr>
          <w:szCs w:val="22"/>
          <w:lang w:val="sk-SK"/>
        </w:rPr>
      </w:pPr>
    </w:p>
    <w:p w14:paraId="472B1102" w14:textId="4AE9E0C5" w:rsidR="00A72BDB" w:rsidRPr="009D3DED" w:rsidRDefault="00D403C1">
      <w:pPr>
        <w:rPr>
          <w:szCs w:val="22"/>
          <w:u w:val="single"/>
          <w:lang w:val="sk-SK"/>
        </w:rPr>
      </w:pPr>
      <w:r>
        <w:rPr>
          <w:szCs w:val="22"/>
          <w:u w:val="single"/>
          <w:lang w:val="sk-SK"/>
        </w:rPr>
        <w:t xml:space="preserve">Liečba </w:t>
      </w:r>
      <w:r w:rsidR="00A70801" w:rsidRPr="009D3DED">
        <w:rPr>
          <w:szCs w:val="22"/>
          <w:u w:val="single"/>
          <w:lang w:val="sk-SK"/>
        </w:rPr>
        <w:t>predávkovania</w:t>
      </w:r>
      <w:r w:rsidR="002B70BE" w:rsidRPr="009D3DED">
        <w:rPr>
          <w:szCs w:val="22"/>
          <w:u w:val="single"/>
          <w:lang w:val="sk-SK"/>
        </w:rPr>
        <w:t xml:space="preserve"> </w:t>
      </w:r>
      <w:r w:rsidR="00795F00" w:rsidRPr="009D3DED">
        <w:rPr>
          <w:szCs w:val="22"/>
          <w:u w:val="single"/>
          <w:lang w:val="sk-SK" w:eastAsia="de-DE"/>
        </w:rPr>
        <w:t>Ibalgin</w:t>
      </w:r>
      <w:r>
        <w:rPr>
          <w:szCs w:val="22"/>
          <w:u w:val="single"/>
          <w:lang w:val="sk-SK" w:eastAsia="de-DE"/>
        </w:rPr>
        <w:t>om</w:t>
      </w:r>
      <w:r w:rsidR="00795F00" w:rsidRPr="009D3DED">
        <w:rPr>
          <w:szCs w:val="22"/>
          <w:u w:val="single"/>
          <w:lang w:val="sk-SK" w:eastAsia="de-DE"/>
        </w:rPr>
        <w:t xml:space="preserve"> Plus</w:t>
      </w:r>
    </w:p>
    <w:p w14:paraId="5A3848D9" w14:textId="6DACC796" w:rsidR="00883E34" w:rsidRPr="009D3DED" w:rsidRDefault="00C30552">
      <w:pPr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Liečba má byť symptomatická a podporná a mala by zahŕňať udržiavanie priechodnosti dýchacích ciest a monitorovanie srdcových a životných funkcií, kým nebudú stabilné. Ak sa pacient dostaví do 1 hodiny po požití potenciálne toxického množstva, možno zvážiť perorálne podanie aktívneho uhlia alebo </w:t>
      </w:r>
      <w:r w:rsidR="00D403C1">
        <w:rPr>
          <w:szCs w:val="22"/>
          <w:lang w:val="sk-SK"/>
        </w:rPr>
        <w:t>gastrick</w:t>
      </w:r>
      <w:r w:rsidR="00123326">
        <w:rPr>
          <w:szCs w:val="22"/>
          <w:lang w:val="sk-SK"/>
        </w:rPr>
        <w:t>ú</w:t>
      </w:r>
      <w:r w:rsidR="00D403C1">
        <w:rPr>
          <w:szCs w:val="22"/>
          <w:lang w:val="sk-SK"/>
        </w:rPr>
        <w:t xml:space="preserve"> laváž</w:t>
      </w:r>
      <w:r w:rsidRPr="009D3DED">
        <w:rPr>
          <w:szCs w:val="22"/>
          <w:lang w:val="sk-SK"/>
        </w:rPr>
        <w:t xml:space="preserve">. </w:t>
      </w:r>
      <w:r w:rsidR="00D403C1">
        <w:rPr>
          <w:szCs w:val="22"/>
          <w:lang w:val="sk-SK"/>
        </w:rPr>
        <w:t xml:space="preserve">Príznaky na úrovni </w:t>
      </w:r>
      <w:r w:rsidR="00795F00" w:rsidRPr="009D3DED">
        <w:rPr>
          <w:szCs w:val="22"/>
          <w:lang w:val="sk-SK"/>
        </w:rPr>
        <w:t xml:space="preserve">CNS </w:t>
      </w:r>
      <w:r w:rsidRPr="009D3DED">
        <w:rPr>
          <w:szCs w:val="22"/>
          <w:lang w:val="sk-SK"/>
        </w:rPr>
        <w:t>a kŕče možno liečiť benzodiazepín</w:t>
      </w:r>
      <w:r w:rsidR="00AC74A4" w:rsidRPr="009D3DED">
        <w:rPr>
          <w:szCs w:val="22"/>
          <w:lang w:val="sk-SK"/>
        </w:rPr>
        <w:t>mi</w:t>
      </w:r>
      <w:r w:rsidRPr="009D3DED">
        <w:rPr>
          <w:szCs w:val="22"/>
          <w:lang w:val="sk-SK"/>
        </w:rPr>
        <w:t xml:space="preserve">; supraventrikulárne tachyarytmie </w:t>
      </w:r>
      <w:r w:rsidR="009A6B94">
        <w:rPr>
          <w:szCs w:val="22"/>
          <w:lang w:val="sk-SK"/>
        </w:rPr>
        <w:t xml:space="preserve">je </w:t>
      </w:r>
      <w:r w:rsidRPr="009D3DED">
        <w:rPr>
          <w:szCs w:val="22"/>
          <w:lang w:val="sk-SK"/>
        </w:rPr>
        <w:t xml:space="preserve">možné </w:t>
      </w:r>
      <w:r w:rsidR="00795F00" w:rsidRPr="009D3DED">
        <w:rPr>
          <w:szCs w:val="22"/>
          <w:lang w:val="sk-SK"/>
        </w:rPr>
        <w:t>kontrolovať</w:t>
      </w:r>
      <w:r w:rsidRPr="009D3DED">
        <w:rPr>
          <w:szCs w:val="22"/>
          <w:lang w:val="sk-SK"/>
        </w:rPr>
        <w:t xml:space="preserve"> pomocou intravenózn</w:t>
      </w:r>
      <w:r w:rsidR="009A6B94">
        <w:rPr>
          <w:szCs w:val="22"/>
          <w:lang w:val="sk-SK"/>
        </w:rPr>
        <w:t>e podaných</w:t>
      </w:r>
      <w:r w:rsidRPr="009D3DED">
        <w:rPr>
          <w:szCs w:val="22"/>
          <w:lang w:val="sk-SK"/>
        </w:rPr>
        <w:t xml:space="preserve"> ß-blokátorov, ako je propranolol</w:t>
      </w:r>
      <w:r w:rsidR="00883E34" w:rsidRPr="009D3DED">
        <w:rPr>
          <w:szCs w:val="22"/>
          <w:lang w:val="sk-SK"/>
        </w:rPr>
        <w:t>.</w:t>
      </w:r>
    </w:p>
    <w:p w14:paraId="3C4FA5D7" w14:textId="77777777" w:rsidR="00883E34" w:rsidRPr="009D3DED" w:rsidRDefault="00883E34">
      <w:pPr>
        <w:spacing w:line="240" w:lineRule="auto"/>
        <w:ind w:right="354"/>
        <w:rPr>
          <w:szCs w:val="22"/>
          <w:lang w:val="sk-SK"/>
        </w:rPr>
      </w:pPr>
    </w:p>
    <w:p w14:paraId="569A105B" w14:textId="77777777" w:rsidR="001D29E6" w:rsidRPr="009D3DED" w:rsidRDefault="001D29E6">
      <w:pPr>
        <w:rPr>
          <w:szCs w:val="22"/>
          <w:lang w:val="sk-SK"/>
        </w:rPr>
      </w:pPr>
    </w:p>
    <w:p w14:paraId="6F72586F" w14:textId="77777777" w:rsidR="001D29E6" w:rsidRPr="009D3DED" w:rsidRDefault="001D29E6">
      <w:pPr>
        <w:ind w:left="567" w:hanging="567"/>
        <w:rPr>
          <w:szCs w:val="22"/>
          <w:lang w:val="sk-SK"/>
        </w:rPr>
      </w:pPr>
      <w:r w:rsidRPr="009D3DED">
        <w:rPr>
          <w:b/>
          <w:szCs w:val="22"/>
          <w:lang w:val="sk-SK"/>
        </w:rPr>
        <w:t>5.</w:t>
      </w:r>
      <w:r w:rsidRPr="009D3DED">
        <w:rPr>
          <w:b/>
          <w:szCs w:val="22"/>
          <w:lang w:val="sk-SK"/>
        </w:rPr>
        <w:tab/>
      </w:r>
      <w:r w:rsidR="00566C10" w:rsidRPr="009D3DED">
        <w:rPr>
          <w:b/>
          <w:szCs w:val="22"/>
          <w:lang w:val="sk-SK"/>
        </w:rPr>
        <w:t>FARMAKOLOGICKÉ VLASTNOSTI</w:t>
      </w:r>
    </w:p>
    <w:p w14:paraId="10B79150" w14:textId="77777777" w:rsidR="001D29E6" w:rsidRPr="009D3DED" w:rsidRDefault="001D29E6">
      <w:pPr>
        <w:rPr>
          <w:b/>
          <w:szCs w:val="22"/>
          <w:lang w:val="sk-SK"/>
        </w:rPr>
      </w:pPr>
    </w:p>
    <w:p w14:paraId="6D4E6E9F" w14:textId="77777777" w:rsidR="001D29E6" w:rsidRPr="009D3DED" w:rsidRDefault="001D29E6">
      <w:pPr>
        <w:ind w:left="567" w:hanging="567"/>
        <w:rPr>
          <w:szCs w:val="22"/>
          <w:lang w:val="sk-SK"/>
        </w:rPr>
      </w:pPr>
      <w:r w:rsidRPr="009D3DED">
        <w:rPr>
          <w:b/>
          <w:szCs w:val="22"/>
          <w:lang w:val="sk-SK"/>
        </w:rPr>
        <w:t xml:space="preserve">5.1 </w:t>
      </w:r>
      <w:r w:rsidRPr="009D3DED">
        <w:rPr>
          <w:b/>
          <w:szCs w:val="22"/>
          <w:lang w:val="sk-SK"/>
        </w:rPr>
        <w:tab/>
      </w:r>
      <w:r w:rsidR="00566C10" w:rsidRPr="009D3DED">
        <w:rPr>
          <w:b/>
          <w:szCs w:val="22"/>
          <w:lang w:val="sk-SK"/>
        </w:rPr>
        <w:t>Farmakodynamické vlastnosti</w:t>
      </w:r>
    </w:p>
    <w:p w14:paraId="74F6AB51" w14:textId="77777777" w:rsidR="001D29E6" w:rsidRPr="009D3DED" w:rsidRDefault="001D29E6">
      <w:pPr>
        <w:rPr>
          <w:szCs w:val="22"/>
          <w:lang w:val="sk-SK"/>
        </w:rPr>
      </w:pPr>
    </w:p>
    <w:p w14:paraId="36172F73" w14:textId="5AEEA68F" w:rsidR="00377B60" w:rsidRPr="009D3DED" w:rsidRDefault="00A70801">
      <w:pPr>
        <w:spacing w:line="240" w:lineRule="auto"/>
        <w:ind w:right="354"/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Farmakoterapeutická skupina: </w:t>
      </w:r>
      <w:r w:rsidR="00741716">
        <w:rPr>
          <w:szCs w:val="22"/>
          <w:lang w:val="sk-SK"/>
        </w:rPr>
        <w:t>nesteroidové antiflogistiká a antireumatiká</w:t>
      </w:r>
      <w:r w:rsidR="00C30552" w:rsidRPr="009D3DED">
        <w:rPr>
          <w:szCs w:val="22"/>
          <w:lang w:val="sk-SK"/>
        </w:rPr>
        <w:t>, deriváty kyseliny propiónovej</w:t>
      </w:r>
    </w:p>
    <w:p w14:paraId="32840D58" w14:textId="77777777" w:rsidR="001D29E6" w:rsidRPr="009D3DED" w:rsidRDefault="00377B60">
      <w:pPr>
        <w:spacing w:line="240" w:lineRule="auto"/>
        <w:ind w:right="354"/>
        <w:rPr>
          <w:i/>
          <w:szCs w:val="22"/>
          <w:lang w:val="sk-SK"/>
        </w:rPr>
      </w:pPr>
      <w:r w:rsidRPr="009D3DED">
        <w:rPr>
          <w:szCs w:val="22"/>
          <w:lang w:val="sk-SK"/>
        </w:rPr>
        <w:t xml:space="preserve">ATC </w:t>
      </w:r>
      <w:r w:rsidR="00566C10" w:rsidRPr="009D3DED">
        <w:rPr>
          <w:szCs w:val="22"/>
          <w:lang w:val="sk-SK"/>
        </w:rPr>
        <w:t>kód</w:t>
      </w:r>
      <w:r w:rsidRPr="009D3DED">
        <w:rPr>
          <w:szCs w:val="22"/>
          <w:lang w:val="sk-SK"/>
        </w:rPr>
        <w:t>: M01AE51</w:t>
      </w:r>
    </w:p>
    <w:p w14:paraId="0F00B626" w14:textId="77777777" w:rsidR="00377B60" w:rsidRPr="009D3DED" w:rsidRDefault="00377B60">
      <w:pPr>
        <w:tabs>
          <w:tab w:val="clear" w:pos="567"/>
        </w:tabs>
        <w:spacing w:line="240" w:lineRule="auto"/>
        <w:rPr>
          <w:i/>
          <w:szCs w:val="22"/>
          <w:lang w:val="sk-SK"/>
        </w:rPr>
      </w:pPr>
    </w:p>
    <w:p w14:paraId="295886BB" w14:textId="77777777" w:rsidR="00C53ACC" w:rsidRPr="009D3DED" w:rsidRDefault="00C70366" w:rsidP="00AA5B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9D3DED">
        <w:rPr>
          <w:szCs w:val="22"/>
          <w:u w:val="single"/>
          <w:lang w:val="sk-SK"/>
        </w:rPr>
        <w:t>Mechanizmus účinku</w:t>
      </w:r>
    </w:p>
    <w:p w14:paraId="44356CE1" w14:textId="77777777" w:rsidR="00564454" w:rsidRPr="009D3DED" w:rsidRDefault="00564454" w:rsidP="00AA5B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</w:p>
    <w:p w14:paraId="509ECF60" w14:textId="77777777" w:rsidR="00564454" w:rsidRPr="009D3DED" w:rsidRDefault="00C30552" w:rsidP="00FF309C">
      <w:pPr>
        <w:autoSpaceDE w:val="0"/>
        <w:autoSpaceDN w:val="0"/>
        <w:adjustRightInd w:val="0"/>
        <w:spacing w:line="240" w:lineRule="auto"/>
        <w:rPr>
          <w:i/>
          <w:iCs/>
          <w:szCs w:val="22"/>
          <w:u w:val="single"/>
          <w:lang w:val="sk-SK" w:eastAsia="zh-CN" w:bidi="th-TH"/>
        </w:rPr>
      </w:pPr>
      <w:r w:rsidRPr="009D3DED">
        <w:rPr>
          <w:i/>
          <w:iCs/>
          <w:szCs w:val="22"/>
          <w:u w:val="single"/>
          <w:lang w:val="sk-SK" w:eastAsia="zh-CN" w:bidi="th-TH"/>
        </w:rPr>
        <w:t>Ibuprofén</w:t>
      </w:r>
    </w:p>
    <w:p w14:paraId="77867555" w14:textId="0745CB39" w:rsidR="00564454" w:rsidRPr="009D3DED" w:rsidRDefault="00C30552">
      <w:pPr>
        <w:rPr>
          <w:szCs w:val="22"/>
          <w:lang w:val="sk-SK"/>
        </w:rPr>
      </w:pPr>
      <w:r w:rsidRPr="009D3DED">
        <w:rPr>
          <w:szCs w:val="22"/>
          <w:lang w:val="sk-SK"/>
        </w:rPr>
        <w:t>Ibuprofén je nesteroidn</w:t>
      </w:r>
      <w:r w:rsidR="00741716">
        <w:rPr>
          <w:szCs w:val="22"/>
          <w:lang w:val="sk-SK"/>
        </w:rPr>
        <w:t>é</w:t>
      </w:r>
      <w:r w:rsidRPr="009D3DED">
        <w:rPr>
          <w:szCs w:val="22"/>
          <w:lang w:val="sk-SK"/>
        </w:rPr>
        <w:t xml:space="preserve"> protizápalov</w:t>
      </w:r>
      <w:r w:rsidR="00741716">
        <w:rPr>
          <w:szCs w:val="22"/>
          <w:lang w:val="sk-SK"/>
        </w:rPr>
        <w:t>é</w:t>
      </w:r>
      <w:r w:rsidRPr="009D3DED">
        <w:rPr>
          <w:szCs w:val="22"/>
          <w:lang w:val="sk-SK"/>
        </w:rPr>
        <w:t xml:space="preserve"> lie</w:t>
      </w:r>
      <w:r w:rsidR="00741716">
        <w:rPr>
          <w:szCs w:val="22"/>
          <w:lang w:val="sk-SK"/>
        </w:rPr>
        <w:t>čivo</w:t>
      </w:r>
      <w:r w:rsidRPr="009D3DED">
        <w:rPr>
          <w:szCs w:val="22"/>
          <w:lang w:val="sk-SK"/>
        </w:rPr>
        <w:t xml:space="preserve"> (NSAID), ktorého účinnosť </w:t>
      </w:r>
      <w:r w:rsidR="00741716">
        <w:rPr>
          <w:szCs w:val="22"/>
          <w:lang w:val="sk-SK"/>
        </w:rPr>
        <w:t>bola preukázané v testoch na</w:t>
      </w:r>
      <w:r w:rsidRPr="009D3DED">
        <w:rPr>
          <w:szCs w:val="22"/>
          <w:lang w:val="sk-SK"/>
        </w:rPr>
        <w:t xml:space="preserve"> konvenčných zvieracích model</w:t>
      </w:r>
      <w:r w:rsidR="00741716">
        <w:rPr>
          <w:szCs w:val="22"/>
          <w:lang w:val="sk-SK"/>
        </w:rPr>
        <w:t>och</w:t>
      </w:r>
      <w:r w:rsidRPr="009D3DED">
        <w:rPr>
          <w:szCs w:val="22"/>
          <w:lang w:val="sk-SK"/>
        </w:rPr>
        <w:t xml:space="preserve"> zápalu, </w:t>
      </w:r>
      <w:r w:rsidR="00741716">
        <w:rPr>
          <w:szCs w:val="22"/>
          <w:lang w:val="sk-SK"/>
        </w:rPr>
        <w:t xml:space="preserve">a to </w:t>
      </w:r>
      <w:r w:rsidR="00AC7F26" w:rsidRPr="009D3DED">
        <w:rPr>
          <w:szCs w:val="22"/>
          <w:lang w:val="sk-SK"/>
        </w:rPr>
        <w:t xml:space="preserve">prostredníctvom </w:t>
      </w:r>
      <w:r w:rsidRPr="009D3DED">
        <w:rPr>
          <w:szCs w:val="22"/>
          <w:lang w:val="sk-SK"/>
        </w:rPr>
        <w:t>inhibíci</w:t>
      </w:r>
      <w:r w:rsidR="00AC7F26" w:rsidRPr="009D3DED">
        <w:rPr>
          <w:szCs w:val="22"/>
          <w:lang w:val="sk-SK"/>
        </w:rPr>
        <w:t xml:space="preserve">e </w:t>
      </w:r>
      <w:r w:rsidRPr="009D3DED">
        <w:rPr>
          <w:szCs w:val="22"/>
          <w:lang w:val="sk-SK"/>
        </w:rPr>
        <w:t>syntézy prostaglandínov</w:t>
      </w:r>
      <w:r w:rsidR="00564454" w:rsidRPr="009D3DED">
        <w:rPr>
          <w:szCs w:val="22"/>
          <w:lang w:val="sk-SK"/>
        </w:rPr>
        <w:t>.</w:t>
      </w:r>
    </w:p>
    <w:p w14:paraId="7C502773" w14:textId="77777777" w:rsidR="00564454" w:rsidRPr="009D3DED" w:rsidRDefault="00564454">
      <w:pPr>
        <w:spacing w:line="240" w:lineRule="auto"/>
        <w:ind w:right="354"/>
        <w:rPr>
          <w:szCs w:val="22"/>
          <w:lang w:val="sk-SK"/>
        </w:rPr>
      </w:pPr>
    </w:p>
    <w:p w14:paraId="2A06646F" w14:textId="77777777" w:rsidR="00564454" w:rsidRPr="009D3DED" w:rsidRDefault="00542E76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zh-CN" w:bidi="th-TH"/>
        </w:rPr>
      </w:pPr>
      <w:r w:rsidRPr="009D3DED">
        <w:rPr>
          <w:i/>
          <w:iCs/>
          <w:szCs w:val="22"/>
          <w:u w:val="single"/>
          <w:lang w:val="sk-SK" w:eastAsia="zh-CN" w:bidi="th-TH"/>
        </w:rPr>
        <w:t>Kofeín</w:t>
      </w:r>
    </w:p>
    <w:p w14:paraId="5247C154" w14:textId="5972F979" w:rsidR="00F71EC4" w:rsidRPr="009D3DED" w:rsidRDefault="00C30552">
      <w:pPr>
        <w:rPr>
          <w:szCs w:val="22"/>
          <w:lang w:val="sk-SK"/>
        </w:rPr>
      </w:pPr>
      <w:r w:rsidRPr="009D3DED">
        <w:rPr>
          <w:szCs w:val="22"/>
          <w:lang w:val="sk-SK"/>
        </w:rPr>
        <w:t>Kofeín je metylxantín, ktorý má antinociceptívn</w:t>
      </w:r>
      <w:r w:rsidR="00A70801" w:rsidRPr="009D3DED">
        <w:rPr>
          <w:szCs w:val="22"/>
          <w:lang w:val="sk-SK"/>
        </w:rPr>
        <w:t>e</w:t>
      </w:r>
      <w:r w:rsidRPr="009D3DED">
        <w:rPr>
          <w:szCs w:val="22"/>
          <w:lang w:val="sk-SK"/>
        </w:rPr>
        <w:t xml:space="preserve"> účinky, najmä prostredníctvom antagonizmu adenozínových receptorov a inhibíci</w:t>
      </w:r>
      <w:r w:rsidR="00741716">
        <w:rPr>
          <w:szCs w:val="22"/>
          <w:lang w:val="sk-SK"/>
        </w:rPr>
        <w:t>e</w:t>
      </w:r>
      <w:r w:rsidRPr="009D3DED">
        <w:rPr>
          <w:szCs w:val="22"/>
          <w:lang w:val="sk-SK"/>
        </w:rPr>
        <w:t xml:space="preserve"> syntézy </w:t>
      </w:r>
      <w:r w:rsidR="00741716">
        <w:rPr>
          <w:szCs w:val="22"/>
          <w:lang w:val="sk-SK"/>
        </w:rPr>
        <w:t>prostaglandínov (PG)</w:t>
      </w:r>
      <w:r w:rsidR="00F71EC4" w:rsidRPr="009D3DED">
        <w:rPr>
          <w:szCs w:val="22"/>
          <w:lang w:val="sk-SK"/>
        </w:rPr>
        <w:t xml:space="preserve">. </w:t>
      </w:r>
    </w:p>
    <w:p w14:paraId="25D0868A" w14:textId="77777777" w:rsidR="00564454" w:rsidRPr="009D3DED" w:rsidRDefault="00564454">
      <w:pPr>
        <w:rPr>
          <w:szCs w:val="22"/>
          <w:lang w:val="sk-SK"/>
        </w:rPr>
      </w:pPr>
    </w:p>
    <w:p w14:paraId="4BC61980" w14:textId="77777777" w:rsidR="00C53ACC" w:rsidRPr="009D3DED" w:rsidRDefault="00566C10" w:rsidP="00AA5B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9D3DED">
        <w:rPr>
          <w:szCs w:val="22"/>
          <w:u w:val="single"/>
          <w:lang w:val="sk-SK"/>
        </w:rPr>
        <w:t>F</w:t>
      </w:r>
      <w:r w:rsidR="00564454" w:rsidRPr="009D3DED">
        <w:rPr>
          <w:szCs w:val="22"/>
          <w:u w:val="single"/>
          <w:lang w:val="sk-SK"/>
        </w:rPr>
        <w:t>arma</w:t>
      </w:r>
      <w:r w:rsidRPr="009D3DED">
        <w:rPr>
          <w:szCs w:val="22"/>
          <w:u w:val="single"/>
          <w:lang w:val="sk-SK"/>
        </w:rPr>
        <w:t>k</w:t>
      </w:r>
      <w:r w:rsidR="00564454" w:rsidRPr="009D3DED">
        <w:rPr>
          <w:szCs w:val="22"/>
          <w:u w:val="single"/>
          <w:lang w:val="sk-SK"/>
        </w:rPr>
        <w:t>odynamic</w:t>
      </w:r>
      <w:r w:rsidRPr="009D3DED">
        <w:rPr>
          <w:szCs w:val="22"/>
          <w:u w:val="single"/>
          <w:lang w:val="sk-SK"/>
        </w:rPr>
        <w:t>ké účinky</w:t>
      </w:r>
    </w:p>
    <w:p w14:paraId="09CD1447" w14:textId="77777777" w:rsidR="00564454" w:rsidRPr="009D3DED" w:rsidRDefault="00564454" w:rsidP="00AA5B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</w:p>
    <w:p w14:paraId="1B8F93EE" w14:textId="77777777" w:rsidR="00564454" w:rsidRPr="009D3DED" w:rsidRDefault="00C30552" w:rsidP="00FF309C">
      <w:pPr>
        <w:autoSpaceDE w:val="0"/>
        <w:autoSpaceDN w:val="0"/>
        <w:adjustRightInd w:val="0"/>
        <w:spacing w:line="240" w:lineRule="auto"/>
        <w:rPr>
          <w:i/>
          <w:iCs/>
          <w:szCs w:val="22"/>
          <w:u w:val="single"/>
          <w:lang w:val="sk-SK" w:eastAsia="zh-CN" w:bidi="th-TH"/>
        </w:rPr>
      </w:pPr>
      <w:r w:rsidRPr="009D3DED">
        <w:rPr>
          <w:i/>
          <w:iCs/>
          <w:szCs w:val="22"/>
          <w:u w:val="single"/>
          <w:lang w:val="sk-SK" w:eastAsia="zh-CN" w:bidi="th-TH"/>
        </w:rPr>
        <w:t>Ibuprofén</w:t>
      </w:r>
    </w:p>
    <w:p w14:paraId="6E2AC469" w14:textId="77777777" w:rsidR="00E13B54" w:rsidRPr="009D3DED" w:rsidRDefault="00E13B54">
      <w:pPr>
        <w:rPr>
          <w:szCs w:val="22"/>
          <w:lang w:val="sk-SK"/>
        </w:rPr>
      </w:pPr>
    </w:p>
    <w:p w14:paraId="79BDDDC3" w14:textId="77777777" w:rsidR="00E13B54" w:rsidRPr="009D3DED" w:rsidRDefault="00AC74A4">
      <w:pPr>
        <w:rPr>
          <w:szCs w:val="22"/>
          <w:lang w:val="sk-SK"/>
        </w:rPr>
      </w:pPr>
      <w:r w:rsidRPr="009D3DED">
        <w:rPr>
          <w:szCs w:val="22"/>
          <w:lang w:val="sk-SK"/>
        </w:rPr>
        <w:t>U ľudí i</w:t>
      </w:r>
      <w:r w:rsidR="00C30552" w:rsidRPr="009D3DED">
        <w:rPr>
          <w:szCs w:val="22"/>
          <w:lang w:val="sk-SK"/>
        </w:rPr>
        <w:t>buprofén znižuje bolesť súvisiac</w:t>
      </w:r>
      <w:r w:rsidRPr="009D3DED">
        <w:rPr>
          <w:szCs w:val="22"/>
          <w:lang w:val="sk-SK"/>
        </w:rPr>
        <w:t>u</w:t>
      </w:r>
      <w:r w:rsidR="00C30552" w:rsidRPr="009D3DED">
        <w:rPr>
          <w:szCs w:val="22"/>
          <w:lang w:val="sk-SK"/>
        </w:rPr>
        <w:t xml:space="preserve"> so zápalom</w:t>
      </w:r>
      <w:r w:rsidR="00A70801" w:rsidRPr="009D3DED">
        <w:rPr>
          <w:szCs w:val="22"/>
          <w:lang w:val="sk-SK"/>
        </w:rPr>
        <w:t>, opuchy a horúčku. Okrem toho ibuprofén</w:t>
      </w:r>
      <w:r w:rsidR="00C30552" w:rsidRPr="009D3DED">
        <w:rPr>
          <w:szCs w:val="22"/>
          <w:lang w:val="sk-SK"/>
        </w:rPr>
        <w:t xml:space="preserve"> reverzibilne inhibuje agregáciu trombocytov indukovanú ADP a kolagénom</w:t>
      </w:r>
      <w:r w:rsidR="00E13B54" w:rsidRPr="009D3DED">
        <w:rPr>
          <w:szCs w:val="22"/>
          <w:lang w:val="sk-SK"/>
        </w:rPr>
        <w:t>.</w:t>
      </w:r>
    </w:p>
    <w:p w14:paraId="03F17828" w14:textId="77777777" w:rsidR="00E13B54" w:rsidRPr="009D3DED" w:rsidRDefault="00E13B54">
      <w:pPr>
        <w:rPr>
          <w:szCs w:val="22"/>
          <w:lang w:val="sk-SK"/>
        </w:rPr>
      </w:pPr>
    </w:p>
    <w:p w14:paraId="619B42D0" w14:textId="1748683B" w:rsidR="00795F00" w:rsidRPr="009D3DED" w:rsidRDefault="00741716">
      <w:pPr>
        <w:rPr>
          <w:szCs w:val="22"/>
          <w:lang w:val="sk-SK"/>
        </w:rPr>
      </w:pPr>
      <w:r>
        <w:rPr>
          <w:szCs w:val="22"/>
          <w:lang w:val="sk-SK"/>
        </w:rPr>
        <w:t>Experimentálne</w:t>
      </w:r>
      <w:r w:rsidRPr="009D3DED">
        <w:rPr>
          <w:szCs w:val="22"/>
          <w:lang w:val="sk-SK"/>
        </w:rPr>
        <w:t xml:space="preserve"> </w:t>
      </w:r>
      <w:r w:rsidR="00795F00" w:rsidRPr="009D3DED">
        <w:rPr>
          <w:szCs w:val="22"/>
          <w:lang w:val="sk-SK"/>
        </w:rPr>
        <w:t>údaje poukazujú na to, že ibuprofén pri súbežnom podávaní s nízkou dávkou kyseliny acetylsalicylovej môže kompetitívne inhibovať jej vplyv na agregáci</w:t>
      </w:r>
      <w:r w:rsidR="00F80F72">
        <w:rPr>
          <w:szCs w:val="22"/>
          <w:lang w:val="sk-SK"/>
        </w:rPr>
        <w:t>u</w:t>
      </w:r>
      <w:r w:rsidR="00795F00" w:rsidRPr="009D3DED">
        <w:rPr>
          <w:szCs w:val="22"/>
          <w:lang w:val="sk-SK"/>
        </w:rPr>
        <w:t xml:space="preserve"> trombocytov. Niektoré farmakodynamické štúdie poukazujú na to, že pokiaľ bol</w:t>
      </w:r>
      <w:r>
        <w:rPr>
          <w:szCs w:val="22"/>
          <w:lang w:val="sk-SK"/>
        </w:rPr>
        <w:t>a</w:t>
      </w:r>
      <w:r w:rsidR="00795F00" w:rsidRPr="009D3DED">
        <w:rPr>
          <w:szCs w:val="22"/>
          <w:lang w:val="sk-SK"/>
        </w:rPr>
        <w:t xml:space="preserve"> </w:t>
      </w:r>
      <w:r w:rsidR="0051423F" w:rsidRPr="009D3DED">
        <w:rPr>
          <w:szCs w:val="22"/>
          <w:lang w:val="sk-SK"/>
        </w:rPr>
        <w:t>podaná</w:t>
      </w:r>
      <w:r w:rsidR="00795F00" w:rsidRPr="009D3DED">
        <w:rPr>
          <w:szCs w:val="22"/>
          <w:lang w:val="sk-SK"/>
        </w:rPr>
        <w:t xml:space="preserve"> jednor</w:t>
      </w:r>
      <w:r>
        <w:rPr>
          <w:szCs w:val="22"/>
          <w:lang w:val="sk-SK"/>
        </w:rPr>
        <w:t>a</w:t>
      </w:r>
      <w:r w:rsidR="00795F00" w:rsidRPr="009D3DED">
        <w:rPr>
          <w:szCs w:val="22"/>
          <w:lang w:val="sk-SK"/>
        </w:rPr>
        <w:t>zová dávka 400 mg ibuprofénu počas 8 hodín pred alebo do 30 minút po podaní kyseliny acetylsalicylovej s r</w:t>
      </w:r>
      <w:r w:rsidR="00EA23D1">
        <w:rPr>
          <w:szCs w:val="22"/>
          <w:lang w:val="sk-SK"/>
        </w:rPr>
        <w:t>ý</w:t>
      </w:r>
      <w:r w:rsidR="00795F00" w:rsidRPr="009D3DED">
        <w:rPr>
          <w:szCs w:val="22"/>
          <w:lang w:val="sk-SK"/>
        </w:rPr>
        <w:t>chl</w:t>
      </w:r>
      <w:r w:rsidR="00EA23D1">
        <w:rPr>
          <w:szCs w:val="22"/>
          <w:lang w:val="sk-SK"/>
        </w:rPr>
        <w:t>y</w:t>
      </w:r>
      <w:r w:rsidR="00795F00" w:rsidRPr="009D3DED">
        <w:rPr>
          <w:szCs w:val="22"/>
          <w:lang w:val="sk-SK"/>
        </w:rPr>
        <w:t>m uvo</w:t>
      </w:r>
      <w:r w:rsidR="00EA23D1">
        <w:rPr>
          <w:szCs w:val="22"/>
          <w:lang w:val="sk-SK"/>
        </w:rPr>
        <w:t>ľ</w:t>
      </w:r>
      <w:r w:rsidR="00795F00" w:rsidRPr="009D3DED">
        <w:rPr>
          <w:szCs w:val="22"/>
          <w:lang w:val="sk-SK"/>
        </w:rPr>
        <w:t>ňovaním (81 mg), došlo k zníženému účinku kyseliny acetylsalicylov</w:t>
      </w:r>
      <w:r>
        <w:rPr>
          <w:szCs w:val="22"/>
          <w:lang w:val="sk-SK"/>
        </w:rPr>
        <w:t>ej</w:t>
      </w:r>
      <w:r w:rsidR="00795F00" w:rsidRPr="009D3DED">
        <w:rPr>
          <w:szCs w:val="22"/>
          <w:lang w:val="sk-SK"/>
        </w:rPr>
        <w:t xml:space="preserve"> na tvorbu trombox</w:t>
      </w:r>
      <w:r w:rsidR="00F80F72">
        <w:rPr>
          <w:szCs w:val="22"/>
          <w:lang w:val="sk-SK"/>
        </w:rPr>
        <w:t>á</w:t>
      </w:r>
      <w:r w:rsidR="00795F00" w:rsidRPr="009D3DED">
        <w:rPr>
          <w:szCs w:val="22"/>
          <w:lang w:val="sk-SK"/>
        </w:rPr>
        <w:t xml:space="preserve">nu alebo agregáciu trombocytov. </w:t>
      </w:r>
      <w:r w:rsidR="0051423F" w:rsidRPr="009D3DED">
        <w:rPr>
          <w:szCs w:val="22"/>
          <w:lang w:val="sk-SK"/>
        </w:rPr>
        <w:t>Aj keď existuje</w:t>
      </w:r>
      <w:r w:rsidR="00795F00" w:rsidRPr="009D3DED">
        <w:rPr>
          <w:szCs w:val="22"/>
          <w:lang w:val="sk-SK"/>
        </w:rPr>
        <w:t xml:space="preserve"> určitá neistota týkaj</w:t>
      </w:r>
      <w:r w:rsidR="0051423F" w:rsidRPr="009D3DED">
        <w:rPr>
          <w:szCs w:val="22"/>
          <w:lang w:val="sk-SK"/>
        </w:rPr>
        <w:t>úca sa</w:t>
      </w:r>
      <w:r w:rsidR="00795F00" w:rsidRPr="009D3DED">
        <w:rPr>
          <w:szCs w:val="22"/>
          <w:lang w:val="sk-SK"/>
        </w:rPr>
        <w:t xml:space="preserve"> extrapol</w:t>
      </w:r>
      <w:r w:rsidR="0051423F" w:rsidRPr="009D3DED">
        <w:rPr>
          <w:szCs w:val="22"/>
          <w:lang w:val="sk-SK"/>
        </w:rPr>
        <w:t>ácie t</w:t>
      </w:r>
      <w:r>
        <w:rPr>
          <w:szCs w:val="22"/>
          <w:lang w:val="sk-SK"/>
        </w:rPr>
        <w:t>ýchto</w:t>
      </w:r>
      <w:r w:rsidR="0051423F" w:rsidRPr="009D3DED">
        <w:rPr>
          <w:szCs w:val="22"/>
          <w:lang w:val="sk-SK"/>
        </w:rPr>
        <w:t xml:space="preserve"> údajov </w:t>
      </w:r>
      <w:r>
        <w:rPr>
          <w:szCs w:val="22"/>
          <w:lang w:val="sk-SK"/>
        </w:rPr>
        <w:t>do</w:t>
      </w:r>
      <w:r w:rsidR="0051423F" w:rsidRPr="009D3DED">
        <w:rPr>
          <w:szCs w:val="22"/>
          <w:lang w:val="sk-SK"/>
        </w:rPr>
        <w:t xml:space="preserve"> klinick</w:t>
      </w:r>
      <w:r>
        <w:rPr>
          <w:szCs w:val="22"/>
          <w:lang w:val="sk-SK"/>
        </w:rPr>
        <w:t>ej</w:t>
      </w:r>
      <w:r w:rsidR="0051423F" w:rsidRPr="009D3DED">
        <w:rPr>
          <w:szCs w:val="22"/>
          <w:lang w:val="sk-SK"/>
        </w:rPr>
        <w:t xml:space="preserve"> </w:t>
      </w:r>
      <w:r>
        <w:rPr>
          <w:szCs w:val="22"/>
          <w:lang w:val="sk-SK"/>
        </w:rPr>
        <w:t>praxe</w:t>
      </w:r>
      <w:r w:rsidR="00795F00" w:rsidRPr="009D3DED">
        <w:rPr>
          <w:szCs w:val="22"/>
          <w:lang w:val="sk-SK"/>
        </w:rPr>
        <w:t>, ne</w:t>
      </w:r>
      <w:r w:rsidR="0051423F" w:rsidRPr="009D3DED">
        <w:rPr>
          <w:szCs w:val="22"/>
          <w:lang w:val="sk-SK"/>
        </w:rPr>
        <w:t>dá sa vylúčiť</w:t>
      </w:r>
      <w:r w:rsidR="00795F00" w:rsidRPr="009D3DED">
        <w:rPr>
          <w:szCs w:val="22"/>
          <w:lang w:val="sk-SK"/>
        </w:rPr>
        <w:t xml:space="preserve"> možnos</w:t>
      </w:r>
      <w:r w:rsidR="0051423F" w:rsidRPr="009D3DED">
        <w:rPr>
          <w:szCs w:val="22"/>
          <w:lang w:val="sk-SK"/>
        </w:rPr>
        <w:t>ť</w:t>
      </w:r>
      <w:r w:rsidR="00795F00" w:rsidRPr="009D3DED">
        <w:rPr>
          <w:szCs w:val="22"/>
          <w:lang w:val="sk-SK"/>
        </w:rPr>
        <w:t>, že pravidelné a dl</w:t>
      </w:r>
      <w:r w:rsidR="0051423F" w:rsidRPr="009D3DED">
        <w:rPr>
          <w:szCs w:val="22"/>
          <w:lang w:val="sk-SK"/>
        </w:rPr>
        <w:t>hodobé</w:t>
      </w:r>
      <w:r w:rsidR="00795F00" w:rsidRPr="009D3DED">
        <w:rPr>
          <w:szCs w:val="22"/>
          <w:lang w:val="sk-SK"/>
        </w:rPr>
        <w:t xml:space="preserve"> užív</w:t>
      </w:r>
      <w:r w:rsidR="0051423F" w:rsidRPr="009D3DED">
        <w:rPr>
          <w:szCs w:val="22"/>
          <w:lang w:val="sk-SK"/>
        </w:rPr>
        <w:t xml:space="preserve">anie ibuprofénu môže znížiť </w:t>
      </w:r>
      <w:r w:rsidR="00795F00" w:rsidRPr="009D3DED">
        <w:rPr>
          <w:szCs w:val="22"/>
          <w:lang w:val="sk-SK"/>
        </w:rPr>
        <w:t>kardioprotekt</w:t>
      </w:r>
      <w:r w:rsidR="0051423F" w:rsidRPr="009D3DED">
        <w:rPr>
          <w:szCs w:val="22"/>
          <w:lang w:val="sk-SK"/>
        </w:rPr>
        <w:t>ívny</w:t>
      </w:r>
      <w:r w:rsidR="00795F00" w:rsidRPr="009D3DED">
        <w:rPr>
          <w:szCs w:val="22"/>
          <w:lang w:val="sk-SK"/>
        </w:rPr>
        <w:t xml:space="preserve"> účin</w:t>
      </w:r>
      <w:r w:rsidR="0051423F" w:rsidRPr="009D3DED">
        <w:rPr>
          <w:szCs w:val="22"/>
          <w:lang w:val="sk-SK"/>
        </w:rPr>
        <w:t>o</w:t>
      </w:r>
      <w:r w:rsidR="00795F00" w:rsidRPr="009D3DED">
        <w:rPr>
          <w:szCs w:val="22"/>
          <w:lang w:val="sk-SK"/>
        </w:rPr>
        <w:t>k nízk</w:t>
      </w:r>
      <w:r w:rsidR="0051423F" w:rsidRPr="009D3DED">
        <w:rPr>
          <w:szCs w:val="22"/>
          <w:lang w:val="sk-SK"/>
        </w:rPr>
        <w:t>ej</w:t>
      </w:r>
      <w:r w:rsidR="00795F00" w:rsidRPr="009D3DED">
        <w:rPr>
          <w:szCs w:val="22"/>
          <w:lang w:val="sk-SK"/>
        </w:rPr>
        <w:t xml:space="preserve"> dávky kyseliny acetylsalicylov</w:t>
      </w:r>
      <w:r w:rsidR="0051423F" w:rsidRPr="009D3DED">
        <w:rPr>
          <w:szCs w:val="22"/>
          <w:lang w:val="sk-SK"/>
        </w:rPr>
        <w:t>ej</w:t>
      </w:r>
      <w:r w:rsidR="00795F00" w:rsidRPr="009D3DED">
        <w:rPr>
          <w:szCs w:val="22"/>
          <w:lang w:val="sk-SK"/>
        </w:rPr>
        <w:t>. P</w:t>
      </w:r>
      <w:r w:rsidR="0051423F" w:rsidRPr="009D3DED">
        <w:rPr>
          <w:szCs w:val="22"/>
          <w:lang w:val="sk-SK"/>
        </w:rPr>
        <w:t>ri</w:t>
      </w:r>
      <w:r w:rsidR="00795F00" w:rsidRPr="009D3DED">
        <w:rPr>
          <w:szCs w:val="22"/>
          <w:lang w:val="sk-SK"/>
        </w:rPr>
        <w:t xml:space="preserve"> občasn</w:t>
      </w:r>
      <w:r w:rsidR="0051423F" w:rsidRPr="009D3DED">
        <w:rPr>
          <w:szCs w:val="22"/>
          <w:lang w:val="sk-SK"/>
        </w:rPr>
        <w:t>om</w:t>
      </w:r>
      <w:r w:rsidR="00795F00" w:rsidRPr="009D3DED">
        <w:rPr>
          <w:szCs w:val="22"/>
          <w:lang w:val="sk-SK"/>
        </w:rPr>
        <w:t xml:space="preserve"> </w:t>
      </w:r>
      <w:r w:rsidR="0051423F" w:rsidRPr="009D3DED">
        <w:rPr>
          <w:szCs w:val="22"/>
          <w:lang w:val="sk-SK"/>
        </w:rPr>
        <w:t>po</w:t>
      </w:r>
      <w:r w:rsidR="00795F00" w:rsidRPr="009D3DED">
        <w:rPr>
          <w:szCs w:val="22"/>
          <w:lang w:val="sk-SK"/>
        </w:rPr>
        <w:t>užití ibuprof</w:t>
      </w:r>
      <w:r w:rsidR="0051423F" w:rsidRPr="009D3DED">
        <w:rPr>
          <w:szCs w:val="22"/>
          <w:lang w:val="sk-SK"/>
        </w:rPr>
        <w:t>é</w:t>
      </w:r>
      <w:r w:rsidR="00795F00" w:rsidRPr="009D3DED">
        <w:rPr>
          <w:szCs w:val="22"/>
          <w:lang w:val="sk-SK"/>
        </w:rPr>
        <w:t xml:space="preserve">nu </w:t>
      </w:r>
      <w:r w:rsidR="0051423F" w:rsidRPr="009D3DED">
        <w:rPr>
          <w:szCs w:val="22"/>
          <w:lang w:val="sk-SK"/>
        </w:rPr>
        <w:t>nie je klinicky významný vplyv pravdepodobný</w:t>
      </w:r>
      <w:r w:rsidR="00795F00" w:rsidRPr="009D3DED">
        <w:rPr>
          <w:szCs w:val="22"/>
          <w:lang w:val="sk-SK"/>
        </w:rPr>
        <w:t xml:space="preserve"> (</w:t>
      </w:r>
      <w:r w:rsidR="00A64196">
        <w:rPr>
          <w:szCs w:val="22"/>
          <w:lang w:val="sk-SK"/>
        </w:rPr>
        <w:t>pozri časť</w:t>
      </w:r>
      <w:r w:rsidR="00795F00" w:rsidRPr="009D3DED">
        <w:rPr>
          <w:szCs w:val="22"/>
          <w:lang w:val="sk-SK"/>
        </w:rPr>
        <w:t xml:space="preserve"> 4.5).</w:t>
      </w:r>
    </w:p>
    <w:p w14:paraId="057B6CF2" w14:textId="77777777" w:rsidR="00F023EB" w:rsidRPr="009D3DED" w:rsidRDefault="00F023EB">
      <w:pPr>
        <w:spacing w:line="240" w:lineRule="auto"/>
        <w:ind w:right="354"/>
        <w:rPr>
          <w:szCs w:val="22"/>
          <w:lang w:val="sk-SK"/>
        </w:rPr>
      </w:pPr>
    </w:p>
    <w:p w14:paraId="6B0F2A2C" w14:textId="77777777" w:rsidR="00564454" w:rsidRPr="009D3DED" w:rsidRDefault="00542E76">
      <w:pPr>
        <w:autoSpaceDE w:val="0"/>
        <w:autoSpaceDN w:val="0"/>
        <w:adjustRightInd w:val="0"/>
        <w:spacing w:line="240" w:lineRule="auto"/>
        <w:rPr>
          <w:i/>
          <w:iCs/>
          <w:szCs w:val="22"/>
          <w:u w:val="single"/>
          <w:lang w:val="sk-SK" w:eastAsia="zh-CN" w:bidi="th-TH"/>
        </w:rPr>
      </w:pPr>
      <w:r w:rsidRPr="009D3DED">
        <w:rPr>
          <w:i/>
          <w:iCs/>
          <w:szCs w:val="22"/>
          <w:u w:val="single"/>
          <w:lang w:val="sk-SK" w:eastAsia="zh-CN" w:bidi="th-TH"/>
        </w:rPr>
        <w:t>Kofeín</w:t>
      </w:r>
    </w:p>
    <w:p w14:paraId="3FD1C4E8" w14:textId="77777777" w:rsidR="00564454" w:rsidRPr="009D3DED" w:rsidRDefault="00C30552">
      <w:pPr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Kofeín je slabý stimulant a používa sa ako </w:t>
      </w:r>
      <w:r w:rsidR="0051423F" w:rsidRPr="009D3DED">
        <w:rPr>
          <w:szCs w:val="22"/>
          <w:lang w:val="sk-SK"/>
        </w:rPr>
        <w:t xml:space="preserve">analgetické </w:t>
      </w:r>
      <w:r w:rsidRPr="009D3DED">
        <w:rPr>
          <w:szCs w:val="22"/>
          <w:lang w:val="sk-SK"/>
        </w:rPr>
        <w:t>adjuvan</w:t>
      </w:r>
      <w:r w:rsidR="0051423F" w:rsidRPr="009D3DED">
        <w:rPr>
          <w:szCs w:val="22"/>
          <w:lang w:val="sk-SK"/>
        </w:rPr>
        <w:t>s</w:t>
      </w:r>
      <w:r w:rsidR="00564454" w:rsidRPr="009D3DED">
        <w:rPr>
          <w:szCs w:val="22"/>
          <w:lang w:val="sk-SK"/>
        </w:rPr>
        <w:t xml:space="preserve">. </w:t>
      </w:r>
    </w:p>
    <w:p w14:paraId="6D7BD9E9" w14:textId="77777777" w:rsidR="00564454" w:rsidRPr="009D3DED" w:rsidRDefault="00564454">
      <w:pPr>
        <w:rPr>
          <w:szCs w:val="22"/>
          <w:lang w:val="sk-SK"/>
        </w:rPr>
      </w:pPr>
    </w:p>
    <w:p w14:paraId="4363B37C" w14:textId="77777777" w:rsidR="00C53ACC" w:rsidRPr="009D3DED" w:rsidRDefault="00C70366" w:rsidP="00AA5B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9D3DED">
        <w:rPr>
          <w:szCs w:val="22"/>
          <w:u w:val="single"/>
          <w:lang w:val="sk-SK"/>
        </w:rPr>
        <w:t>Klinická účinnosť a</w:t>
      </w:r>
      <w:r w:rsidR="0051423F" w:rsidRPr="009D3DED">
        <w:rPr>
          <w:szCs w:val="22"/>
          <w:u w:val="single"/>
          <w:lang w:val="sk-SK"/>
        </w:rPr>
        <w:t> </w:t>
      </w:r>
      <w:r w:rsidRPr="009D3DED">
        <w:rPr>
          <w:szCs w:val="22"/>
          <w:u w:val="single"/>
          <w:lang w:val="sk-SK"/>
        </w:rPr>
        <w:t>bezpečnosť</w:t>
      </w:r>
    </w:p>
    <w:p w14:paraId="62E96EFE" w14:textId="77777777" w:rsidR="0051423F" w:rsidRPr="009D3DED" w:rsidRDefault="0051423F" w:rsidP="00AA5B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</w:p>
    <w:p w14:paraId="3053E309" w14:textId="2071F660" w:rsidR="0051423F" w:rsidRPr="009D3DED" w:rsidRDefault="0051423F" w:rsidP="00AA5B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D3DED">
        <w:rPr>
          <w:szCs w:val="22"/>
          <w:lang w:val="sk-SK"/>
        </w:rPr>
        <w:t>Prínos Ibalgin</w:t>
      </w:r>
      <w:r w:rsidR="0024060C">
        <w:rPr>
          <w:szCs w:val="22"/>
          <w:lang w:val="sk-SK"/>
        </w:rPr>
        <w:t>u</w:t>
      </w:r>
      <w:r w:rsidRPr="009D3DED">
        <w:rPr>
          <w:szCs w:val="22"/>
          <w:lang w:val="sk-SK"/>
        </w:rPr>
        <w:t xml:space="preserve"> Plus bol preukázaný u pacientov s ak</w:t>
      </w:r>
      <w:r w:rsidR="00EA23D1">
        <w:rPr>
          <w:szCs w:val="22"/>
          <w:lang w:val="sk-SK"/>
        </w:rPr>
        <w:t>ú</w:t>
      </w:r>
      <w:r w:rsidRPr="009D3DED">
        <w:rPr>
          <w:szCs w:val="22"/>
          <w:lang w:val="sk-SK"/>
        </w:rPr>
        <w:t>tnou bolesťou zubov ako model</w:t>
      </w:r>
      <w:r w:rsidR="00A64196">
        <w:rPr>
          <w:szCs w:val="22"/>
          <w:lang w:val="sk-SK"/>
        </w:rPr>
        <w:t>om</w:t>
      </w:r>
      <w:r w:rsidRPr="009D3DED">
        <w:rPr>
          <w:szCs w:val="22"/>
          <w:lang w:val="sk-SK"/>
        </w:rPr>
        <w:t xml:space="preserve"> somatickej  bolesti. Účinok sa m</w:t>
      </w:r>
      <w:r w:rsidR="006E0469" w:rsidRPr="009D3DED">
        <w:rPr>
          <w:szCs w:val="22"/>
          <w:lang w:val="sk-SK"/>
        </w:rPr>
        <w:t>ô</w:t>
      </w:r>
      <w:r w:rsidRPr="009D3DED">
        <w:rPr>
          <w:szCs w:val="22"/>
          <w:lang w:val="sk-SK"/>
        </w:rPr>
        <w:t>že kvantitat</w:t>
      </w:r>
      <w:r w:rsidR="006E0469" w:rsidRPr="009D3DED">
        <w:rPr>
          <w:szCs w:val="22"/>
          <w:lang w:val="sk-SK"/>
        </w:rPr>
        <w:t>ívne</w:t>
      </w:r>
      <w:r w:rsidRPr="009D3DED">
        <w:rPr>
          <w:szCs w:val="22"/>
          <w:lang w:val="sk-SK"/>
        </w:rPr>
        <w:t xml:space="preserve"> l</w:t>
      </w:r>
      <w:r w:rsidR="006E0469" w:rsidRPr="009D3DED">
        <w:rPr>
          <w:szCs w:val="22"/>
          <w:lang w:val="sk-SK"/>
        </w:rPr>
        <w:t xml:space="preserve">íšiť </w:t>
      </w:r>
      <w:r w:rsidRPr="009D3DED">
        <w:rPr>
          <w:szCs w:val="22"/>
          <w:lang w:val="sk-SK"/>
        </w:rPr>
        <w:t xml:space="preserve">v závislosti </w:t>
      </w:r>
      <w:r w:rsidR="0024060C">
        <w:rPr>
          <w:szCs w:val="22"/>
          <w:lang w:val="sk-SK"/>
        </w:rPr>
        <w:t>od</w:t>
      </w:r>
      <w:r w:rsidRPr="009D3DED">
        <w:rPr>
          <w:szCs w:val="22"/>
          <w:lang w:val="sk-SK"/>
        </w:rPr>
        <w:t xml:space="preserve"> typ</w:t>
      </w:r>
      <w:r w:rsidR="0024060C">
        <w:rPr>
          <w:szCs w:val="22"/>
          <w:lang w:val="sk-SK"/>
        </w:rPr>
        <w:t>u</w:t>
      </w:r>
      <w:r w:rsidRPr="009D3DED">
        <w:rPr>
          <w:szCs w:val="22"/>
          <w:lang w:val="sk-SK"/>
        </w:rPr>
        <w:t xml:space="preserve"> bolesti (na</w:t>
      </w:r>
      <w:r w:rsidR="006E0469" w:rsidRPr="009D3DED">
        <w:rPr>
          <w:szCs w:val="22"/>
          <w:lang w:val="sk-SK"/>
        </w:rPr>
        <w:t>pr.</w:t>
      </w:r>
      <w:r w:rsidRPr="009D3DED">
        <w:rPr>
          <w:szCs w:val="22"/>
          <w:lang w:val="sk-SK"/>
        </w:rPr>
        <w:t xml:space="preserve"> </w:t>
      </w:r>
      <w:r w:rsidR="006E0469" w:rsidRPr="009D3DED">
        <w:rPr>
          <w:szCs w:val="22"/>
          <w:lang w:val="sk-SK"/>
        </w:rPr>
        <w:t>n</w:t>
      </w:r>
      <w:r w:rsidRPr="009D3DED">
        <w:rPr>
          <w:szCs w:val="22"/>
          <w:lang w:val="sk-SK"/>
        </w:rPr>
        <w:t>eb</w:t>
      </w:r>
      <w:r w:rsidR="006E0469" w:rsidRPr="009D3DED">
        <w:rPr>
          <w:szCs w:val="22"/>
          <w:lang w:val="sk-SK"/>
        </w:rPr>
        <w:t>ol dokázaný prínos pre akútnu bolesť dolnej časti chrbta alebo bolesti v oblasti krku</w:t>
      </w:r>
      <w:r w:rsidRPr="009D3DED">
        <w:rPr>
          <w:szCs w:val="22"/>
          <w:lang w:val="sk-SK"/>
        </w:rPr>
        <w:t xml:space="preserve"> – </w:t>
      </w:r>
      <w:r w:rsidR="00F80F72">
        <w:rPr>
          <w:szCs w:val="22"/>
          <w:lang w:val="sk-SK"/>
        </w:rPr>
        <w:t>šije</w:t>
      </w:r>
      <w:r w:rsidRPr="009D3DED">
        <w:rPr>
          <w:szCs w:val="22"/>
          <w:lang w:val="sk-SK"/>
        </w:rPr>
        <w:t>).</w:t>
      </w:r>
    </w:p>
    <w:p w14:paraId="1D39A52A" w14:textId="77777777" w:rsidR="0051423F" w:rsidRPr="009D3DED" w:rsidRDefault="0051423F" w:rsidP="00AA5B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</w:p>
    <w:p w14:paraId="47820E61" w14:textId="2FA039C6" w:rsidR="00813B5A" w:rsidRPr="009D3DED" w:rsidRDefault="00CF78FF" w:rsidP="00FF309C">
      <w:pPr>
        <w:autoSpaceDE w:val="0"/>
        <w:autoSpaceDN w:val="0"/>
        <w:adjustRightInd w:val="0"/>
        <w:rPr>
          <w:szCs w:val="22"/>
          <w:lang w:val="sk-SK"/>
        </w:rPr>
      </w:pPr>
      <w:r w:rsidRPr="009D3DED">
        <w:rPr>
          <w:szCs w:val="22"/>
          <w:lang w:val="sk-SK"/>
        </w:rPr>
        <w:t>Randomizovaná</w:t>
      </w:r>
      <w:r w:rsidR="0024060C">
        <w:rPr>
          <w:szCs w:val="22"/>
          <w:lang w:val="sk-SK"/>
        </w:rPr>
        <w:t>,</w:t>
      </w:r>
      <w:r w:rsidRPr="009D3DED">
        <w:rPr>
          <w:szCs w:val="22"/>
          <w:lang w:val="sk-SK"/>
        </w:rPr>
        <w:t xml:space="preserve"> dvojito zaslepená</w:t>
      </w:r>
      <w:r w:rsidR="0024060C">
        <w:rPr>
          <w:szCs w:val="22"/>
          <w:lang w:val="sk-SK"/>
        </w:rPr>
        <w:t>,</w:t>
      </w:r>
      <w:r w:rsidR="00C30552" w:rsidRPr="009D3DED">
        <w:rPr>
          <w:szCs w:val="22"/>
          <w:lang w:val="sk-SK"/>
        </w:rPr>
        <w:t xml:space="preserve"> kontrolovaná štúdia zahŕňajúca 562 pacientov s akútnou stredn</w:t>
      </w:r>
      <w:r w:rsidR="00A64196">
        <w:rPr>
          <w:szCs w:val="22"/>
          <w:lang w:val="sk-SK"/>
        </w:rPr>
        <w:t>e</w:t>
      </w:r>
      <w:r w:rsidR="00C30552" w:rsidRPr="009D3DED">
        <w:rPr>
          <w:szCs w:val="22"/>
          <w:lang w:val="sk-SK"/>
        </w:rPr>
        <w:t xml:space="preserve"> </w:t>
      </w:r>
      <w:r w:rsidR="00A64196">
        <w:rPr>
          <w:szCs w:val="22"/>
          <w:lang w:val="sk-SK"/>
        </w:rPr>
        <w:t>silnou</w:t>
      </w:r>
      <w:r w:rsidR="00A64196" w:rsidRPr="009D3DED">
        <w:rPr>
          <w:szCs w:val="22"/>
          <w:lang w:val="sk-SK"/>
        </w:rPr>
        <w:t xml:space="preserve"> </w:t>
      </w:r>
      <w:r w:rsidR="00C30552" w:rsidRPr="009D3DED">
        <w:rPr>
          <w:szCs w:val="22"/>
          <w:lang w:val="sk-SK"/>
        </w:rPr>
        <w:t xml:space="preserve">až </w:t>
      </w:r>
      <w:r w:rsidR="00A64196">
        <w:rPr>
          <w:szCs w:val="22"/>
          <w:lang w:val="sk-SK"/>
        </w:rPr>
        <w:t>silnou</w:t>
      </w:r>
      <w:r w:rsidR="00A64196" w:rsidRPr="009D3DED">
        <w:rPr>
          <w:szCs w:val="22"/>
          <w:lang w:val="sk-SK"/>
        </w:rPr>
        <w:t xml:space="preserve"> </w:t>
      </w:r>
      <w:r w:rsidR="00C30552" w:rsidRPr="009D3DED">
        <w:rPr>
          <w:szCs w:val="22"/>
          <w:lang w:val="sk-SK"/>
        </w:rPr>
        <w:t>bolesťou po extrakcii zuba hodnotila kombináciu 400 mg ibuprofénu a 100 mg kofeínu. U pacientov liečených touto kombináciou bola preukázaná štatisticky významná a klinicky relevantná redukcia intenzity bolesti (≥ 1 na numerickej hodnotiace</w:t>
      </w:r>
      <w:r w:rsidRPr="009D3DED">
        <w:rPr>
          <w:szCs w:val="22"/>
          <w:lang w:val="sk-SK"/>
        </w:rPr>
        <w:t>j</w:t>
      </w:r>
      <w:r w:rsidR="00C30552" w:rsidRPr="009D3DED">
        <w:rPr>
          <w:szCs w:val="22"/>
          <w:lang w:val="sk-SK"/>
        </w:rPr>
        <w:t xml:space="preserve"> stupnici NRS</w:t>
      </w:r>
      <w:r w:rsidR="00B84FCB">
        <w:rPr>
          <w:szCs w:val="22"/>
          <w:lang w:val="sk-SK"/>
        </w:rPr>
        <w:t xml:space="preserve"> </w:t>
      </w:r>
      <w:r w:rsidR="00805235">
        <w:rPr>
          <w:szCs w:val="22"/>
          <w:lang w:val="sk-SK"/>
        </w:rPr>
        <w:t>(</w:t>
      </w:r>
      <w:r w:rsidR="002A1D5C">
        <w:rPr>
          <w:szCs w:val="22"/>
          <w:lang w:val="sk-SK"/>
        </w:rPr>
        <w:t>Numer</w:t>
      </w:r>
      <w:r w:rsidR="00713828">
        <w:rPr>
          <w:szCs w:val="22"/>
          <w:lang w:val="sk-SK"/>
        </w:rPr>
        <w:t>i</w:t>
      </w:r>
      <w:r w:rsidR="002A1D5C">
        <w:rPr>
          <w:szCs w:val="22"/>
          <w:lang w:val="sk-SK"/>
        </w:rPr>
        <w:t>c rating Scale</w:t>
      </w:r>
      <w:r w:rsidR="00805235">
        <w:rPr>
          <w:szCs w:val="22"/>
          <w:lang w:val="sk-SK"/>
        </w:rPr>
        <w:t>)</w:t>
      </w:r>
      <w:r w:rsidR="00C30552" w:rsidRPr="009D3DED">
        <w:rPr>
          <w:szCs w:val="22"/>
          <w:lang w:val="sk-SK"/>
        </w:rPr>
        <w:t>) v porovnaní so samotným ibuprofén</w:t>
      </w:r>
      <w:r w:rsidR="00AE130E" w:rsidRPr="009D3DED">
        <w:rPr>
          <w:szCs w:val="22"/>
          <w:lang w:val="sk-SK"/>
        </w:rPr>
        <w:t>om</w:t>
      </w:r>
      <w:r w:rsidR="00C30552" w:rsidRPr="009D3DED">
        <w:rPr>
          <w:szCs w:val="22"/>
          <w:lang w:val="sk-SK"/>
        </w:rPr>
        <w:t xml:space="preserve"> v časovom intervale 0,5-2 h. Až štyri hodiny po podaní boli výsledky štatisticky významné, ale priemerný rozdiel intenzity bolesti v NRS bol menší ako 1</w:t>
      </w:r>
      <w:r w:rsidR="00813B5A" w:rsidRPr="009D3DED">
        <w:rPr>
          <w:szCs w:val="22"/>
          <w:lang w:val="sk-SK"/>
        </w:rPr>
        <w:t>.</w:t>
      </w:r>
    </w:p>
    <w:p w14:paraId="636E7C13" w14:textId="4ECAB937" w:rsidR="00CD24D4" w:rsidRPr="009D3DED" w:rsidRDefault="00C30552">
      <w:pPr>
        <w:autoSpaceDE w:val="0"/>
        <w:autoSpaceDN w:val="0"/>
        <w:adjustRightInd w:val="0"/>
        <w:rPr>
          <w:szCs w:val="22"/>
          <w:lang w:val="sk-SK"/>
        </w:rPr>
      </w:pPr>
      <w:r w:rsidRPr="009D3DED">
        <w:rPr>
          <w:szCs w:val="22"/>
          <w:lang w:val="sk-SK"/>
        </w:rPr>
        <w:t>Kombinácia ibuprofén</w:t>
      </w:r>
      <w:r w:rsidR="0024060C">
        <w:rPr>
          <w:szCs w:val="22"/>
          <w:lang w:val="sk-SK"/>
        </w:rPr>
        <w:t>u</w:t>
      </w:r>
      <w:r w:rsidRPr="009D3DED">
        <w:rPr>
          <w:szCs w:val="22"/>
          <w:lang w:val="sk-SK"/>
        </w:rPr>
        <w:t xml:space="preserve"> </w:t>
      </w:r>
      <w:r w:rsidR="0051423F" w:rsidRPr="009D3DED">
        <w:rPr>
          <w:szCs w:val="22"/>
          <w:lang w:val="sk-SK"/>
        </w:rPr>
        <w:t>s kofeínom</w:t>
      </w:r>
      <w:r w:rsidRPr="009D3DED">
        <w:rPr>
          <w:szCs w:val="22"/>
          <w:lang w:val="sk-SK"/>
        </w:rPr>
        <w:t xml:space="preserve"> vykázala výrazne kratší čas do badateľného zmierneni</w:t>
      </w:r>
      <w:r w:rsidR="008E6669" w:rsidRPr="009D3DED">
        <w:rPr>
          <w:szCs w:val="22"/>
          <w:lang w:val="sk-SK"/>
        </w:rPr>
        <w:t>a</w:t>
      </w:r>
      <w:r w:rsidRPr="009D3DED">
        <w:rPr>
          <w:szCs w:val="22"/>
          <w:lang w:val="sk-SK"/>
        </w:rPr>
        <w:t xml:space="preserve"> bolesti (o 55 minút skôr, v porovnaní so samotným </w:t>
      </w:r>
      <w:r w:rsidR="008E6669" w:rsidRPr="009D3DED">
        <w:rPr>
          <w:szCs w:val="22"/>
          <w:lang w:val="sk-SK"/>
        </w:rPr>
        <w:t>i</w:t>
      </w:r>
      <w:r w:rsidR="00A70801" w:rsidRPr="009D3DED">
        <w:rPr>
          <w:szCs w:val="22"/>
          <w:lang w:val="sk-SK"/>
        </w:rPr>
        <w:t>buprofén</w:t>
      </w:r>
      <w:r w:rsidR="008E6669" w:rsidRPr="009D3DED">
        <w:rPr>
          <w:szCs w:val="22"/>
          <w:lang w:val="sk-SK"/>
        </w:rPr>
        <w:t>om</w:t>
      </w:r>
      <w:r w:rsidR="00813B5A" w:rsidRPr="009D3DED">
        <w:rPr>
          <w:szCs w:val="22"/>
          <w:lang w:val="sk-SK"/>
        </w:rPr>
        <w:t>)</w:t>
      </w:r>
      <w:r w:rsidR="00282D7E" w:rsidRPr="009D3DED">
        <w:rPr>
          <w:color w:val="0D0D0D"/>
          <w:szCs w:val="22"/>
          <w:lang w:val="sk-SK"/>
        </w:rPr>
        <w:t>.</w:t>
      </w:r>
    </w:p>
    <w:p w14:paraId="209AC0C4" w14:textId="77777777" w:rsidR="00CD24D4" w:rsidRPr="009D3DED" w:rsidRDefault="00CD24D4">
      <w:pPr>
        <w:rPr>
          <w:szCs w:val="22"/>
          <w:lang w:val="sk-SK"/>
        </w:rPr>
      </w:pPr>
    </w:p>
    <w:p w14:paraId="6BE1ED33" w14:textId="77777777" w:rsidR="00564454" w:rsidRPr="009D3DED" w:rsidRDefault="00C30552">
      <w:pPr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V tejto štúdii bola preukázaná bezpečnosť a znášanlivosť kombinácie 400 mg </w:t>
      </w:r>
      <w:r w:rsidR="00CF78FF" w:rsidRPr="009D3DED">
        <w:rPr>
          <w:szCs w:val="22"/>
          <w:lang w:val="sk-SK"/>
        </w:rPr>
        <w:t xml:space="preserve">ibuprofénu </w:t>
      </w:r>
      <w:r w:rsidRPr="009D3DED">
        <w:rPr>
          <w:szCs w:val="22"/>
          <w:lang w:val="sk-SK"/>
        </w:rPr>
        <w:t>plus 100 mg</w:t>
      </w:r>
      <w:r w:rsidR="00CF78FF" w:rsidRPr="009D3DED">
        <w:rPr>
          <w:szCs w:val="22"/>
          <w:lang w:val="sk-SK"/>
        </w:rPr>
        <w:t xml:space="preserve"> kofeínu</w:t>
      </w:r>
      <w:r w:rsidRPr="009D3DED">
        <w:rPr>
          <w:szCs w:val="22"/>
          <w:lang w:val="sk-SK"/>
        </w:rPr>
        <w:t xml:space="preserve"> počas liečebného obdobia v dĺžke 5 dní. Výskyt nežiaducich účinkov bol početne vyšší v porovnaní so samotným ibuprofénom</w:t>
      </w:r>
      <w:r w:rsidR="00895DF5" w:rsidRPr="009D3DED">
        <w:rPr>
          <w:szCs w:val="22"/>
          <w:lang w:val="sk-SK"/>
        </w:rPr>
        <w:t>.</w:t>
      </w:r>
    </w:p>
    <w:p w14:paraId="5555C11A" w14:textId="77777777" w:rsidR="002928BE" w:rsidRPr="009D3DED" w:rsidRDefault="002928BE">
      <w:pPr>
        <w:rPr>
          <w:szCs w:val="22"/>
          <w:lang w:val="sk-SK"/>
        </w:rPr>
      </w:pPr>
    </w:p>
    <w:p w14:paraId="55DDDAC9" w14:textId="31B31560" w:rsidR="00917E26" w:rsidRPr="00AA5B78" w:rsidRDefault="00C30552" w:rsidP="00AA5B78">
      <w:pPr>
        <w:rPr>
          <w:rFonts w:cs="Arial"/>
          <w:color w:val="000000"/>
          <w:lang w:val="sk-SK"/>
        </w:rPr>
      </w:pPr>
      <w:r w:rsidRPr="00AA5B78">
        <w:rPr>
          <w:rFonts w:cs="Arial"/>
          <w:color w:val="000000"/>
          <w:lang w:val="sk-SK"/>
        </w:rPr>
        <w:t>Ďalši</w:t>
      </w:r>
      <w:r w:rsidR="008E6669" w:rsidRPr="00AA5B78">
        <w:rPr>
          <w:rFonts w:cs="Arial"/>
          <w:color w:val="000000"/>
          <w:lang w:val="sk-SK"/>
        </w:rPr>
        <w:t>a</w:t>
      </w:r>
      <w:r w:rsidRPr="00AA5B78">
        <w:rPr>
          <w:rFonts w:cs="Arial"/>
          <w:color w:val="000000"/>
          <w:lang w:val="sk-SK"/>
        </w:rPr>
        <w:t xml:space="preserve"> randomizovaná</w:t>
      </w:r>
      <w:r w:rsidR="003F6BB7" w:rsidRPr="00AA5B78">
        <w:rPr>
          <w:rFonts w:cs="Arial"/>
          <w:color w:val="000000"/>
          <w:lang w:val="sk-SK"/>
        </w:rPr>
        <w:t>,</w:t>
      </w:r>
      <w:r w:rsidRPr="00AA5B78">
        <w:rPr>
          <w:rFonts w:cs="Arial"/>
          <w:color w:val="000000"/>
          <w:lang w:val="sk-SK"/>
        </w:rPr>
        <w:t xml:space="preserve"> placebom a aktívne kontrolovaná</w:t>
      </w:r>
      <w:r w:rsidR="003F6BB7" w:rsidRPr="00AA5B78">
        <w:rPr>
          <w:rFonts w:cs="Arial"/>
          <w:color w:val="000000"/>
          <w:lang w:val="sk-SK"/>
        </w:rPr>
        <w:t>,</w:t>
      </w:r>
      <w:r w:rsidRPr="00AA5B78">
        <w:rPr>
          <w:rFonts w:cs="Arial"/>
          <w:color w:val="000000"/>
          <w:lang w:val="sk-SK"/>
        </w:rPr>
        <w:t xml:space="preserve"> multicentrická štúdia s paralelnými skupinami realizovaná v niekoľkých krajinách, porovnávajúc</w:t>
      </w:r>
      <w:r w:rsidR="008E6669" w:rsidRPr="00AA5B78">
        <w:rPr>
          <w:rFonts w:cs="Arial"/>
          <w:color w:val="000000"/>
          <w:lang w:val="sk-SK"/>
        </w:rPr>
        <w:t>a</w:t>
      </w:r>
      <w:r w:rsidRPr="00AA5B78">
        <w:rPr>
          <w:rFonts w:cs="Arial"/>
          <w:color w:val="000000"/>
          <w:lang w:val="sk-SK"/>
        </w:rPr>
        <w:t xml:space="preserve"> účinok fixn</w:t>
      </w:r>
      <w:r w:rsidR="00CF78FF" w:rsidRPr="00AA5B78">
        <w:rPr>
          <w:rFonts w:cs="Arial"/>
          <w:color w:val="000000"/>
          <w:lang w:val="sk-SK"/>
        </w:rPr>
        <w:t>ej kombinácie</w:t>
      </w:r>
      <w:r w:rsidRPr="00AA5B78">
        <w:rPr>
          <w:rFonts w:cs="Arial"/>
          <w:color w:val="000000"/>
          <w:lang w:val="sk-SK"/>
        </w:rPr>
        <w:t xml:space="preserve"> obsahujúc</w:t>
      </w:r>
      <w:r w:rsidR="00CF78FF" w:rsidRPr="00AA5B78">
        <w:rPr>
          <w:rFonts w:cs="Arial"/>
          <w:color w:val="000000"/>
          <w:lang w:val="sk-SK"/>
        </w:rPr>
        <w:t>ej</w:t>
      </w:r>
      <w:r w:rsidRPr="00AA5B78">
        <w:rPr>
          <w:rFonts w:cs="Arial"/>
          <w:color w:val="000000"/>
          <w:lang w:val="sk-SK"/>
        </w:rPr>
        <w:t xml:space="preserve"> 400 mg </w:t>
      </w:r>
      <w:r w:rsidR="00CF78FF" w:rsidRPr="00AA5B78">
        <w:rPr>
          <w:rFonts w:cs="Arial"/>
          <w:color w:val="000000"/>
          <w:lang w:val="sk-SK"/>
        </w:rPr>
        <w:lastRenderedPageBreak/>
        <w:t xml:space="preserve">ibuprofénu </w:t>
      </w:r>
      <w:r w:rsidRPr="00AA5B78">
        <w:rPr>
          <w:rFonts w:cs="Arial"/>
          <w:color w:val="000000"/>
          <w:lang w:val="sk-SK"/>
        </w:rPr>
        <w:t xml:space="preserve">a 100 mg </w:t>
      </w:r>
      <w:r w:rsidR="00CF78FF" w:rsidRPr="00AA5B78">
        <w:rPr>
          <w:rFonts w:cs="Arial"/>
          <w:color w:val="000000"/>
          <w:lang w:val="sk-SK"/>
        </w:rPr>
        <w:t xml:space="preserve">kofeínu </w:t>
      </w:r>
      <w:r w:rsidRPr="00AA5B78">
        <w:rPr>
          <w:rFonts w:cs="Arial"/>
          <w:color w:val="000000"/>
          <w:lang w:val="sk-SK"/>
        </w:rPr>
        <w:t>v porovnaní s</w:t>
      </w:r>
      <w:r w:rsidR="00CF78FF" w:rsidRPr="00AA5B78">
        <w:rPr>
          <w:rFonts w:cs="Arial"/>
          <w:color w:val="000000"/>
          <w:lang w:val="sk-SK"/>
        </w:rPr>
        <w:t>o</w:t>
      </w:r>
      <w:r w:rsidRPr="00AA5B78">
        <w:rPr>
          <w:rFonts w:cs="Arial"/>
          <w:color w:val="000000"/>
          <w:lang w:val="sk-SK"/>
        </w:rPr>
        <w:t xml:space="preserve"> 400 mg </w:t>
      </w:r>
      <w:r w:rsidR="00CF78FF" w:rsidRPr="00AA5B78">
        <w:rPr>
          <w:rFonts w:cs="Arial"/>
          <w:color w:val="000000"/>
          <w:lang w:val="sk-SK"/>
        </w:rPr>
        <w:t xml:space="preserve">ibuprofénu </w:t>
      </w:r>
      <w:r w:rsidRPr="00AA5B78">
        <w:rPr>
          <w:rFonts w:cs="Arial"/>
          <w:color w:val="000000"/>
          <w:lang w:val="sk-SK"/>
        </w:rPr>
        <w:t>a placebom u pacientov s akútnou bolesťou v bedrovej oblasti alebo v oblasti krku. Primárnym cieľovým ukazovateľom bola zmena najhorš</w:t>
      </w:r>
      <w:r w:rsidR="008E6669" w:rsidRPr="00AA5B78">
        <w:rPr>
          <w:rFonts w:cs="Arial"/>
          <w:color w:val="000000"/>
          <w:lang w:val="sk-SK"/>
        </w:rPr>
        <w:t>ej</w:t>
      </w:r>
      <w:r w:rsidRPr="00AA5B78">
        <w:rPr>
          <w:rFonts w:cs="Arial"/>
          <w:color w:val="000000"/>
          <w:lang w:val="sk-SK"/>
        </w:rPr>
        <w:t xml:space="preserve"> bolesti pri pohybe (POMWP) za jeden deň po začatí liečby oproti východiskovému stavu. Oba aktívne lieky vykazovali podobné zníženie POMWP. Sekundárnym cieľom bolo posúdiť bezpečnosť a znášanlivosť kombinácie 400 mg </w:t>
      </w:r>
      <w:r w:rsidR="008E6669" w:rsidRPr="00AA5B78">
        <w:rPr>
          <w:rFonts w:cs="Arial"/>
          <w:color w:val="000000"/>
          <w:lang w:val="sk-SK"/>
        </w:rPr>
        <w:t>i</w:t>
      </w:r>
      <w:r w:rsidRPr="00AA5B78">
        <w:rPr>
          <w:rFonts w:cs="Arial"/>
          <w:color w:val="000000"/>
          <w:lang w:val="sk-SK"/>
        </w:rPr>
        <w:t>buprofén</w:t>
      </w:r>
      <w:r w:rsidR="008E6669" w:rsidRPr="00AA5B78">
        <w:rPr>
          <w:rFonts w:cs="Arial"/>
          <w:color w:val="000000"/>
          <w:lang w:val="sk-SK"/>
        </w:rPr>
        <w:t>u</w:t>
      </w:r>
      <w:r w:rsidR="00A472F7" w:rsidRPr="00AA5B78">
        <w:rPr>
          <w:rFonts w:cs="Arial"/>
          <w:color w:val="000000"/>
          <w:lang w:val="sk-SK"/>
        </w:rPr>
        <w:t>/</w:t>
      </w:r>
      <w:r w:rsidRPr="00AA5B78">
        <w:rPr>
          <w:rFonts w:cs="Arial"/>
          <w:color w:val="000000"/>
          <w:lang w:val="sk-SK"/>
        </w:rPr>
        <w:t xml:space="preserve">100 mg kofeínu v porovnaní s tabletou </w:t>
      </w:r>
      <w:r w:rsidR="003F6BB7" w:rsidRPr="00AA5B78">
        <w:rPr>
          <w:rFonts w:cs="Arial"/>
          <w:color w:val="000000"/>
          <w:lang w:val="sk-SK"/>
        </w:rPr>
        <w:t>so</w:t>
      </w:r>
      <w:r w:rsidRPr="00AA5B78">
        <w:rPr>
          <w:rFonts w:cs="Arial"/>
          <w:color w:val="000000"/>
          <w:lang w:val="sk-SK"/>
        </w:rPr>
        <w:t>400 mg</w:t>
      </w:r>
      <w:r w:rsidR="003F6BB7" w:rsidRPr="00AA5B78">
        <w:rPr>
          <w:rFonts w:cs="Arial"/>
          <w:color w:val="000000"/>
          <w:lang w:val="sk-SK"/>
        </w:rPr>
        <w:t xml:space="preserve"> ibuprofénu</w:t>
      </w:r>
      <w:r w:rsidRPr="00AA5B78">
        <w:rPr>
          <w:rFonts w:cs="Arial"/>
          <w:color w:val="000000"/>
          <w:lang w:val="sk-SK"/>
        </w:rPr>
        <w:t xml:space="preserve"> a s placebom. Celkový podiel pacientov s nežiaducimi účinkami vzniknutými pri liečbe bol v tejto štúdii nízky (placebo: 5,6%, </w:t>
      </w:r>
      <w:r w:rsidR="008E6669" w:rsidRPr="00AA5B78">
        <w:rPr>
          <w:rFonts w:cs="Arial"/>
          <w:color w:val="000000"/>
          <w:lang w:val="sk-SK"/>
        </w:rPr>
        <w:t>i</w:t>
      </w:r>
      <w:r w:rsidR="00F30F1B" w:rsidRPr="00AA5B78">
        <w:rPr>
          <w:rFonts w:cs="Arial"/>
          <w:color w:val="000000"/>
          <w:lang w:val="sk-SK"/>
        </w:rPr>
        <w:t>buprofén</w:t>
      </w:r>
      <w:r w:rsidRPr="00AA5B78">
        <w:rPr>
          <w:rFonts w:cs="Arial"/>
          <w:color w:val="000000"/>
          <w:lang w:val="sk-SK"/>
        </w:rPr>
        <w:t xml:space="preserve">: 7,1%, </w:t>
      </w:r>
      <w:r w:rsidR="008E6669" w:rsidRPr="00AA5B78">
        <w:rPr>
          <w:rFonts w:cs="Arial"/>
          <w:color w:val="000000"/>
          <w:lang w:val="sk-SK"/>
        </w:rPr>
        <w:t>i</w:t>
      </w:r>
      <w:r w:rsidRPr="00AA5B78">
        <w:rPr>
          <w:rFonts w:cs="Arial"/>
          <w:color w:val="000000"/>
          <w:lang w:val="sk-SK"/>
        </w:rPr>
        <w:t>buprofén</w:t>
      </w:r>
      <w:r w:rsidR="00A472F7" w:rsidRPr="00AA5B78">
        <w:rPr>
          <w:rFonts w:cs="Arial"/>
          <w:color w:val="000000"/>
          <w:lang w:val="sk-SK"/>
        </w:rPr>
        <w:t>/</w:t>
      </w:r>
      <w:r w:rsidRPr="00AA5B78">
        <w:rPr>
          <w:rFonts w:cs="Arial"/>
          <w:color w:val="000000"/>
          <w:lang w:val="sk-SK"/>
        </w:rPr>
        <w:t>kofeín: 7,8%). Štúdia nepreukázala, že by fixná kombinácia 400 mg ibuprofénu a 100 mg kofeínu bola superi</w:t>
      </w:r>
      <w:r w:rsidR="00470FE1">
        <w:rPr>
          <w:rFonts w:cs="Arial"/>
          <w:color w:val="000000"/>
          <w:lang w:val="sk-SK"/>
        </w:rPr>
        <w:t>ó</w:t>
      </w:r>
      <w:r w:rsidRPr="00AA5B78">
        <w:rPr>
          <w:rFonts w:cs="Arial"/>
          <w:color w:val="000000"/>
          <w:lang w:val="sk-SK"/>
        </w:rPr>
        <w:t>rn</w:t>
      </w:r>
      <w:r w:rsidR="00470FE1">
        <w:rPr>
          <w:rFonts w:cs="Arial"/>
          <w:color w:val="000000"/>
          <w:lang w:val="sk-SK"/>
        </w:rPr>
        <w:t>a</w:t>
      </w:r>
      <w:r w:rsidRPr="00AA5B78">
        <w:rPr>
          <w:rFonts w:cs="Arial"/>
          <w:color w:val="000000"/>
          <w:lang w:val="sk-SK"/>
        </w:rPr>
        <w:t xml:space="preserve"> oproti 400 mg </w:t>
      </w:r>
      <w:r w:rsidR="00CF78FF" w:rsidRPr="00AA5B78">
        <w:rPr>
          <w:rFonts w:cs="Arial"/>
          <w:color w:val="000000"/>
          <w:lang w:val="sk-SK"/>
        </w:rPr>
        <w:t xml:space="preserve">ibuprofénu </w:t>
      </w:r>
      <w:r w:rsidRPr="00AA5B78">
        <w:rPr>
          <w:rFonts w:cs="Arial"/>
          <w:color w:val="000000"/>
          <w:lang w:val="sk-SK"/>
        </w:rPr>
        <w:t>alebo placeb</w:t>
      </w:r>
      <w:r w:rsidR="00CF78FF" w:rsidRPr="00AA5B78">
        <w:rPr>
          <w:rFonts w:cs="Arial"/>
          <w:color w:val="000000"/>
          <w:lang w:val="sk-SK"/>
        </w:rPr>
        <w:t>u</w:t>
      </w:r>
      <w:r w:rsidRPr="00AA5B78">
        <w:rPr>
          <w:rFonts w:cs="Arial"/>
          <w:color w:val="000000"/>
          <w:lang w:val="sk-SK"/>
        </w:rPr>
        <w:t>, pokiaľ ide o analgetický účinok u pacientov s bolesťami chrbta alebo krku</w:t>
      </w:r>
      <w:r w:rsidR="002928BE" w:rsidRPr="00AA5B78">
        <w:rPr>
          <w:rFonts w:cs="Arial"/>
          <w:color w:val="000000"/>
          <w:lang w:val="sk-SK"/>
        </w:rPr>
        <w:t>.</w:t>
      </w:r>
    </w:p>
    <w:p w14:paraId="3B1F30C7" w14:textId="77777777" w:rsidR="002928BE" w:rsidRPr="00AA5B78" w:rsidRDefault="002928BE">
      <w:pPr>
        <w:rPr>
          <w:rFonts w:cs="Arial"/>
          <w:color w:val="000000"/>
          <w:lang w:val="sk-SK"/>
        </w:rPr>
      </w:pPr>
    </w:p>
    <w:p w14:paraId="369F2161" w14:textId="77777777" w:rsidR="001D29E6" w:rsidRPr="009D3DED" w:rsidRDefault="001D29E6">
      <w:pPr>
        <w:ind w:left="567" w:hanging="567"/>
        <w:rPr>
          <w:b/>
          <w:szCs w:val="22"/>
          <w:lang w:val="sk-SK"/>
        </w:rPr>
      </w:pPr>
      <w:r w:rsidRPr="009D3DED">
        <w:rPr>
          <w:b/>
          <w:szCs w:val="22"/>
          <w:lang w:val="sk-SK"/>
        </w:rPr>
        <w:t>5.2</w:t>
      </w:r>
      <w:r w:rsidRPr="009D3DED">
        <w:rPr>
          <w:b/>
          <w:szCs w:val="22"/>
          <w:lang w:val="sk-SK"/>
        </w:rPr>
        <w:tab/>
      </w:r>
      <w:r w:rsidR="00566C10" w:rsidRPr="009D3DED">
        <w:rPr>
          <w:b/>
          <w:szCs w:val="22"/>
          <w:lang w:val="sk-SK"/>
        </w:rPr>
        <w:t>Farmakokinetické vlastnosti</w:t>
      </w:r>
    </w:p>
    <w:p w14:paraId="11D04CF9" w14:textId="77777777" w:rsidR="00C53ACC" w:rsidRPr="009D3DED" w:rsidRDefault="00C53ACC">
      <w:pPr>
        <w:ind w:left="567" w:hanging="567"/>
        <w:rPr>
          <w:szCs w:val="22"/>
          <w:lang w:val="sk-SK"/>
        </w:rPr>
      </w:pPr>
    </w:p>
    <w:p w14:paraId="7F25B1E9" w14:textId="77777777" w:rsidR="00BD2F74" w:rsidRPr="009D3DED" w:rsidRDefault="00C30552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zh-CN" w:bidi="th-TH"/>
        </w:rPr>
      </w:pPr>
      <w:r w:rsidRPr="009D3DED">
        <w:rPr>
          <w:szCs w:val="22"/>
          <w:u w:val="single"/>
          <w:lang w:val="sk-SK" w:eastAsia="zh-CN" w:bidi="th-TH"/>
        </w:rPr>
        <w:t>Ibuprofén</w:t>
      </w:r>
    </w:p>
    <w:p w14:paraId="64274675" w14:textId="77777777" w:rsidR="00777769" w:rsidRPr="009D3DED" w:rsidRDefault="00566C10">
      <w:pPr>
        <w:numPr>
          <w:ilvl w:val="12"/>
          <w:numId w:val="0"/>
        </w:numPr>
        <w:ind w:right="-2"/>
        <w:rPr>
          <w:i/>
          <w:szCs w:val="22"/>
          <w:lang w:val="sk-SK"/>
        </w:rPr>
      </w:pPr>
      <w:r w:rsidRPr="009D3DED">
        <w:rPr>
          <w:i/>
          <w:szCs w:val="22"/>
          <w:lang w:val="sk-SK"/>
        </w:rPr>
        <w:t>Absorpc</w:t>
      </w:r>
      <w:r w:rsidR="00C70366" w:rsidRPr="009D3DED">
        <w:rPr>
          <w:i/>
          <w:szCs w:val="22"/>
          <w:lang w:val="sk-SK"/>
        </w:rPr>
        <w:t>ia</w:t>
      </w:r>
    </w:p>
    <w:p w14:paraId="51C6D86F" w14:textId="74364346" w:rsidR="00564454" w:rsidRPr="009D3DED" w:rsidRDefault="00F30F1B">
      <w:pPr>
        <w:rPr>
          <w:szCs w:val="22"/>
          <w:lang w:val="sk-SK"/>
        </w:rPr>
      </w:pPr>
      <w:r w:rsidRPr="009D3DED">
        <w:rPr>
          <w:rFonts w:cs="Arial"/>
          <w:color w:val="000000"/>
          <w:lang w:val="sk-SK"/>
        </w:rPr>
        <w:t xml:space="preserve">Po perorálnom podaní je ibuprofén takmer kompletne absorbovaný z gastrointestinálneho traktu. Po perorálnej dávke 400 mg ibuprofénu sa dosiahla maximálna plazmatická koncentrácia ibuprofénu </w:t>
      </w:r>
      <w:r w:rsidR="008950B3" w:rsidRPr="009D3DED">
        <w:rPr>
          <w:rFonts w:cs="Arial"/>
          <w:color w:val="000000"/>
          <w:lang w:val="sk-SK"/>
        </w:rPr>
        <w:t>31,0 ± 17,2 µg/ml (C</w:t>
      </w:r>
      <w:r w:rsidR="008950B3" w:rsidRPr="009D3DED">
        <w:rPr>
          <w:rFonts w:cs="Arial"/>
          <w:color w:val="000000"/>
          <w:vertAlign w:val="subscript"/>
          <w:lang w:val="sk-SK"/>
        </w:rPr>
        <w:t>max</w:t>
      </w:r>
      <w:r w:rsidR="008950B3" w:rsidRPr="009D3DED">
        <w:rPr>
          <w:rFonts w:cs="Arial"/>
          <w:color w:val="000000"/>
          <w:lang w:val="sk-SK"/>
        </w:rPr>
        <w:t>) za medián doby 1,5–1,9 h (t</w:t>
      </w:r>
      <w:r w:rsidR="008950B3" w:rsidRPr="009D3DED">
        <w:rPr>
          <w:rFonts w:cs="Arial"/>
          <w:color w:val="000000"/>
          <w:vertAlign w:val="subscript"/>
          <w:lang w:val="sk-SK"/>
        </w:rPr>
        <w:t>max</w:t>
      </w:r>
      <w:r w:rsidR="008950B3" w:rsidRPr="009D3DED">
        <w:rPr>
          <w:rFonts w:cs="Arial"/>
          <w:color w:val="000000"/>
          <w:lang w:val="sk-SK"/>
        </w:rPr>
        <w:t xml:space="preserve">). </w:t>
      </w:r>
      <w:r w:rsidR="00B92304" w:rsidRPr="009D3DED">
        <w:rPr>
          <w:rFonts w:cs="Arial"/>
          <w:color w:val="000000"/>
          <w:lang w:val="sk-SK"/>
        </w:rPr>
        <w:t>Súbežn</w:t>
      </w:r>
      <w:r w:rsidRPr="009D3DED">
        <w:rPr>
          <w:rFonts w:cs="Arial"/>
          <w:color w:val="000000"/>
          <w:lang w:val="sk-SK"/>
        </w:rPr>
        <w:t xml:space="preserve">é podanie s jedlom môže predĺžiť hodnotu </w:t>
      </w:r>
      <w:r w:rsidR="008950B3" w:rsidRPr="009D3DED">
        <w:rPr>
          <w:rFonts w:cs="Arial"/>
          <w:color w:val="000000"/>
          <w:lang w:val="sk-SK"/>
        </w:rPr>
        <w:t>t</w:t>
      </w:r>
      <w:r w:rsidR="008950B3" w:rsidRPr="009D3DED">
        <w:rPr>
          <w:rFonts w:cs="Arial"/>
          <w:color w:val="000000"/>
          <w:vertAlign w:val="subscript"/>
          <w:lang w:val="sk-SK"/>
        </w:rPr>
        <w:t>max</w:t>
      </w:r>
      <w:r w:rsidR="008950B3" w:rsidRPr="009D3DED">
        <w:rPr>
          <w:rFonts w:cs="Arial"/>
          <w:color w:val="000000"/>
          <w:lang w:val="sk-SK"/>
        </w:rPr>
        <w:t xml:space="preserve"> </w:t>
      </w:r>
      <w:r w:rsidRPr="009D3DED">
        <w:rPr>
          <w:rFonts w:cs="Arial"/>
          <w:color w:val="000000"/>
          <w:lang w:val="sk-SK"/>
        </w:rPr>
        <w:t>približne</w:t>
      </w:r>
      <w:r w:rsidR="00CF78FF" w:rsidRPr="009D3DED">
        <w:rPr>
          <w:rFonts w:cs="Arial"/>
          <w:color w:val="000000"/>
          <w:lang w:val="sk-SK"/>
        </w:rPr>
        <w:t xml:space="preserve"> dva</w:t>
      </w:r>
      <w:r w:rsidR="008950B3" w:rsidRPr="009D3DED">
        <w:rPr>
          <w:rFonts w:cs="Arial"/>
          <w:color w:val="000000"/>
          <w:lang w:val="sk-SK"/>
        </w:rPr>
        <w:t xml:space="preserve">krát. </w:t>
      </w:r>
      <w:r w:rsidRPr="009D3DED">
        <w:rPr>
          <w:rFonts w:cs="Arial"/>
          <w:color w:val="000000"/>
          <w:lang w:val="sk-SK"/>
        </w:rPr>
        <w:t xml:space="preserve">Geometrický priemer plochy pod krivkou závislosti koncentrácie </w:t>
      </w:r>
      <w:r w:rsidR="004D7461">
        <w:rPr>
          <w:rFonts w:cs="Arial"/>
          <w:color w:val="000000"/>
          <w:lang w:val="sk-SK"/>
        </w:rPr>
        <w:t>od</w:t>
      </w:r>
      <w:r w:rsidRPr="009D3DED">
        <w:rPr>
          <w:rFonts w:cs="Arial"/>
          <w:color w:val="000000"/>
          <w:lang w:val="sk-SK"/>
        </w:rPr>
        <w:t xml:space="preserve"> čas</w:t>
      </w:r>
      <w:r w:rsidR="004D7461">
        <w:rPr>
          <w:rFonts w:cs="Arial"/>
          <w:color w:val="000000"/>
          <w:lang w:val="sk-SK"/>
        </w:rPr>
        <w:t>u</w:t>
      </w:r>
      <w:r w:rsidRPr="009D3DED">
        <w:rPr>
          <w:rFonts w:cs="Arial"/>
          <w:color w:val="000000"/>
          <w:lang w:val="sk-SK"/>
        </w:rPr>
        <w:t xml:space="preserve"> do posledného meraného bodu</w:t>
      </w:r>
      <w:r w:rsidR="008950B3" w:rsidRPr="009D3DED">
        <w:rPr>
          <w:rFonts w:cs="Arial"/>
          <w:color w:val="000000"/>
          <w:lang w:val="sk-SK"/>
        </w:rPr>
        <w:t xml:space="preserve"> (AUC</w:t>
      </w:r>
      <w:r w:rsidR="008950B3" w:rsidRPr="009D3DED">
        <w:rPr>
          <w:rFonts w:cs="Arial"/>
          <w:color w:val="000000"/>
          <w:vertAlign w:val="subscript"/>
          <w:lang w:val="sk-SK"/>
        </w:rPr>
        <w:t>0-t</w:t>
      </w:r>
      <w:r w:rsidR="008950B3" w:rsidRPr="009D3DED">
        <w:rPr>
          <w:rFonts w:cs="Arial"/>
          <w:color w:val="000000"/>
          <w:lang w:val="sk-SK"/>
        </w:rPr>
        <w:t xml:space="preserve"> ±% gCV) </w:t>
      </w:r>
      <w:r w:rsidR="004D7461">
        <w:rPr>
          <w:rFonts w:cs="Arial"/>
          <w:color w:val="000000"/>
          <w:lang w:val="sk-SK"/>
        </w:rPr>
        <w:t>bol</w:t>
      </w:r>
      <w:r w:rsidR="008950B3" w:rsidRPr="009D3DED">
        <w:rPr>
          <w:rFonts w:cs="Arial"/>
          <w:color w:val="000000"/>
          <w:lang w:val="sk-SK"/>
        </w:rPr>
        <w:t xml:space="preserve"> 133,0 ± 22,2 µg/ml/h</w:t>
      </w:r>
      <w:r w:rsidR="00564454" w:rsidRPr="009D3DED">
        <w:rPr>
          <w:szCs w:val="22"/>
          <w:lang w:val="sk-SK"/>
        </w:rPr>
        <w:t>.</w:t>
      </w:r>
    </w:p>
    <w:p w14:paraId="546A03AC" w14:textId="77777777" w:rsidR="00564454" w:rsidRPr="009D3DED" w:rsidRDefault="00564454">
      <w:pPr>
        <w:numPr>
          <w:ilvl w:val="12"/>
          <w:numId w:val="0"/>
        </w:numPr>
        <w:ind w:right="-2"/>
        <w:rPr>
          <w:iCs/>
          <w:szCs w:val="22"/>
          <w:u w:val="single"/>
          <w:lang w:val="sk-SK"/>
        </w:rPr>
      </w:pPr>
    </w:p>
    <w:p w14:paraId="021BC62A" w14:textId="77777777" w:rsidR="00777769" w:rsidRPr="009D3DED" w:rsidRDefault="00566C10">
      <w:pPr>
        <w:numPr>
          <w:ilvl w:val="12"/>
          <w:numId w:val="0"/>
        </w:numPr>
        <w:ind w:right="-2"/>
        <w:rPr>
          <w:i/>
          <w:szCs w:val="22"/>
          <w:lang w:val="sk-SK"/>
        </w:rPr>
      </w:pPr>
      <w:r w:rsidRPr="009D3DED">
        <w:rPr>
          <w:i/>
          <w:szCs w:val="22"/>
          <w:lang w:val="sk-SK"/>
        </w:rPr>
        <w:t>Distrib</w:t>
      </w:r>
      <w:r w:rsidR="00C70366" w:rsidRPr="009D3DED">
        <w:rPr>
          <w:i/>
          <w:szCs w:val="22"/>
          <w:lang w:val="sk-SK"/>
        </w:rPr>
        <w:t>úcia</w:t>
      </w:r>
    </w:p>
    <w:p w14:paraId="7E8DE337" w14:textId="34824AC6" w:rsidR="00F30F1B" w:rsidRPr="009D3DED" w:rsidRDefault="004D7461">
      <w:pPr>
        <w:rPr>
          <w:rFonts w:cs="Arial"/>
          <w:color w:val="000000"/>
          <w:lang w:val="sk-SK"/>
        </w:rPr>
      </w:pPr>
      <w:r>
        <w:rPr>
          <w:rFonts w:cs="Arial"/>
          <w:color w:val="000000"/>
          <w:lang w:val="sk-SK"/>
        </w:rPr>
        <w:t>Približne 99% i</w:t>
      </w:r>
      <w:r w:rsidR="00F30F1B" w:rsidRPr="009D3DED">
        <w:rPr>
          <w:rFonts w:cs="Arial"/>
          <w:color w:val="000000"/>
          <w:lang w:val="sk-SK"/>
        </w:rPr>
        <w:t>buprofén</w:t>
      </w:r>
      <w:r>
        <w:rPr>
          <w:rFonts w:cs="Arial"/>
          <w:color w:val="000000"/>
          <w:lang w:val="sk-SK"/>
        </w:rPr>
        <w:t>u</w:t>
      </w:r>
      <w:r w:rsidR="00F30F1B" w:rsidRPr="009D3DED">
        <w:rPr>
          <w:rFonts w:cs="Arial"/>
          <w:color w:val="000000"/>
          <w:lang w:val="sk-SK"/>
        </w:rPr>
        <w:t xml:space="preserve"> sa viaže na plazmatické proteíny</w:t>
      </w:r>
      <w:r w:rsidR="00CF78FF" w:rsidRPr="009D3DED">
        <w:rPr>
          <w:rFonts w:cs="Arial"/>
          <w:color w:val="000000"/>
          <w:lang w:val="sk-SK"/>
        </w:rPr>
        <w:t>. Zdanlivý distribučný objem i</w:t>
      </w:r>
      <w:r w:rsidR="00F30F1B" w:rsidRPr="009D3DED">
        <w:rPr>
          <w:rFonts w:cs="Arial"/>
          <w:color w:val="000000"/>
          <w:lang w:val="sk-SK"/>
        </w:rPr>
        <w:t>buprofén</w:t>
      </w:r>
      <w:r w:rsidR="00CF78FF" w:rsidRPr="009D3DED">
        <w:rPr>
          <w:rFonts w:cs="Arial"/>
          <w:color w:val="000000"/>
          <w:lang w:val="sk-SK"/>
        </w:rPr>
        <w:t>u</w:t>
      </w:r>
      <w:r w:rsidR="00F30F1B" w:rsidRPr="009D3DED">
        <w:rPr>
          <w:rFonts w:cs="Arial"/>
          <w:color w:val="000000"/>
          <w:lang w:val="sk-SK"/>
        </w:rPr>
        <w:t xml:space="preserve"> po perorálnom podaní je približne 0,1 až 0,2 l</w:t>
      </w:r>
      <w:r w:rsidR="00A472F7" w:rsidRPr="009D3DED">
        <w:rPr>
          <w:rFonts w:cs="Arial"/>
          <w:color w:val="000000"/>
          <w:lang w:val="sk-SK"/>
        </w:rPr>
        <w:t>/</w:t>
      </w:r>
      <w:r w:rsidR="00F30F1B" w:rsidRPr="009D3DED">
        <w:rPr>
          <w:rFonts w:cs="Arial"/>
          <w:color w:val="000000"/>
          <w:lang w:val="sk-SK"/>
        </w:rPr>
        <w:t xml:space="preserve">kg. Ibuprofén môže byť vylučovaný do ľudského materského mlieka a jeho prítomnosť klesá s koncentráciou bielkovín a dĺžkou laktácie. Relatívna dávka ibuprofénu u dojčeného dieťaťa bola kvantifikovaná ako ≤ 10%, čo je považované za bezpečné dokonca aj u predčasne narodených detí. Predpokladá sa, že </w:t>
      </w:r>
      <w:r w:rsidR="00AE130E" w:rsidRPr="009D3DED">
        <w:rPr>
          <w:rFonts w:cs="Arial"/>
          <w:color w:val="000000"/>
          <w:lang w:val="sk-SK"/>
        </w:rPr>
        <w:t>i</w:t>
      </w:r>
      <w:r w:rsidR="00F30F1B" w:rsidRPr="009D3DED">
        <w:rPr>
          <w:rFonts w:cs="Arial"/>
          <w:color w:val="000000"/>
          <w:lang w:val="sk-SK"/>
        </w:rPr>
        <w:t xml:space="preserve">buprofén prechádza hematoencefalickou </w:t>
      </w:r>
      <w:r>
        <w:rPr>
          <w:rFonts w:cs="Arial"/>
          <w:color w:val="000000"/>
          <w:lang w:val="sk-SK"/>
        </w:rPr>
        <w:t>aj</w:t>
      </w:r>
      <w:r w:rsidR="00F30F1B" w:rsidRPr="009D3DED">
        <w:rPr>
          <w:rFonts w:cs="Arial"/>
          <w:color w:val="000000"/>
          <w:lang w:val="sk-SK"/>
        </w:rPr>
        <w:t xml:space="preserve"> </w:t>
      </w:r>
      <w:r w:rsidR="00F30F1B" w:rsidRPr="008133BF">
        <w:rPr>
          <w:rFonts w:cs="Arial"/>
          <w:color w:val="000000"/>
          <w:lang w:val="sk-SK"/>
        </w:rPr>
        <w:t>hematolikvorov</w:t>
      </w:r>
      <w:r w:rsidR="00F30F1B" w:rsidRPr="0000152C">
        <w:rPr>
          <w:rFonts w:cs="Arial"/>
          <w:color w:val="000000"/>
          <w:lang w:val="sk-SK"/>
        </w:rPr>
        <w:t>ou bariérou.</w:t>
      </w:r>
    </w:p>
    <w:p w14:paraId="2452AA66" w14:textId="77777777" w:rsidR="00564454" w:rsidRPr="009D3DED" w:rsidRDefault="00F30F1B">
      <w:pPr>
        <w:rPr>
          <w:szCs w:val="22"/>
          <w:lang w:val="sk-SK"/>
        </w:rPr>
      </w:pPr>
      <w:r w:rsidRPr="009D3DED">
        <w:rPr>
          <w:rFonts w:cs="Arial"/>
          <w:color w:val="000000"/>
          <w:lang w:val="sk-SK"/>
        </w:rPr>
        <w:t>V synoviálnej tekutine sú prítomné stabilné koncentrácie ibuprofénu 5-8 mg</w:t>
      </w:r>
      <w:r w:rsidR="00A472F7" w:rsidRPr="009D3DED">
        <w:rPr>
          <w:rFonts w:cs="Arial"/>
          <w:color w:val="000000"/>
          <w:lang w:val="sk-SK"/>
        </w:rPr>
        <w:t>/</w:t>
      </w:r>
      <w:r w:rsidRPr="009D3DED">
        <w:rPr>
          <w:rFonts w:cs="Arial"/>
          <w:color w:val="000000"/>
          <w:lang w:val="sk-SK"/>
        </w:rPr>
        <w:t>l v čase 2 až 8 hodín po podaní</w:t>
      </w:r>
      <w:r w:rsidR="00662482" w:rsidRPr="009D3DED">
        <w:rPr>
          <w:rFonts w:cs="Arial"/>
          <w:color w:val="000000"/>
          <w:lang w:val="sk-SK"/>
        </w:rPr>
        <w:t>. Hodnota C</w:t>
      </w:r>
      <w:r w:rsidR="00662482" w:rsidRPr="009D3DED">
        <w:rPr>
          <w:rFonts w:cs="Arial"/>
          <w:color w:val="000000"/>
          <w:vertAlign w:val="subscript"/>
          <w:lang w:val="sk-SK"/>
        </w:rPr>
        <w:t>max</w:t>
      </w:r>
      <w:r w:rsidR="00662482" w:rsidRPr="009D3DED">
        <w:rPr>
          <w:rFonts w:cs="Arial"/>
          <w:color w:val="000000"/>
          <w:lang w:val="sk-SK"/>
        </w:rPr>
        <w:t xml:space="preserve"> </w:t>
      </w:r>
      <w:r w:rsidRPr="009D3DED">
        <w:rPr>
          <w:rFonts w:cs="Arial"/>
          <w:color w:val="000000"/>
          <w:lang w:val="sk-SK"/>
        </w:rPr>
        <w:t xml:space="preserve">v synoviálnej tekutine zodpovedá zhruba jednej tretine hodnoty </w:t>
      </w:r>
      <w:r w:rsidR="00662482" w:rsidRPr="009D3DED">
        <w:rPr>
          <w:rFonts w:cs="Arial"/>
          <w:color w:val="000000"/>
          <w:lang w:val="sk-SK"/>
        </w:rPr>
        <w:t>C</w:t>
      </w:r>
      <w:r w:rsidR="00662482" w:rsidRPr="009D3DED">
        <w:rPr>
          <w:rFonts w:cs="Arial"/>
          <w:color w:val="000000"/>
          <w:vertAlign w:val="subscript"/>
          <w:lang w:val="sk-SK"/>
        </w:rPr>
        <w:t>max</w:t>
      </w:r>
      <w:r w:rsidR="00662482" w:rsidRPr="009D3DED">
        <w:rPr>
          <w:rFonts w:cs="Arial"/>
          <w:color w:val="000000"/>
          <w:lang w:val="sk-SK"/>
        </w:rPr>
        <w:t xml:space="preserve"> v </w:t>
      </w:r>
      <w:r w:rsidRPr="009D3DED">
        <w:rPr>
          <w:rFonts w:cs="Arial"/>
          <w:color w:val="000000"/>
          <w:lang w:val="sk-SK"/>
        </w:rPr>
        <w:t>plazme</w:t>
      </w:r>
      <w:r w:rsidR="00D72F55" w:rsidRPr="009D3DED">
        <w:rPr>
          <w:szCs w:val="22"/>
          <w:lang w:val="sk-SK"/>
        </w:rPr>
        <w:t xml:space="preserve">. </w:t>
      </w:r>
    </w:p>
    <w:p w14:paraId="125FC760" w14:textId="77777777" w:rsidR="00D72F55" w:rsidRPr="009D3DED" w:rsidRDefault="00D72F55">
      <w:pPr>
        <w:rPr>
          <w:szCs w:val="22"/>
          <w:lang w:val="sk-SK"/>
        </w:rPr>
      </w:pPr>
    </w:p>
    <w:p w14:paraId="7F7069D0" w14:textId="77777777" w:rsidR="00777769" w:rsidRPr="009D3DED" w:rsidRDefault="00566C10">
      <w:pPr>
        <w:numPr>
          <w:ilvl w:val="12"/>
          <w:numId w:val="0"/>
        </w:numPr>
        <w:ind w:right="-2"/>
        <w:rPr>
          <w:i/>
          <w:szCs w:val="22"/>
          <w:lang w:val="sk-SK"/>
        </w:rPr>
      </w:pPr>
      <w:r w:rsidRPr="009D3DED">
        <w:rPr>
          <w:i/>
          <w:szCs w:val="22"/>
          <w:lang w:val="sk-SK"/>
        </w:rPr>
        <w:t>Biotransform</w:t>
      </w:r>
      <w:r w:rsidR="00C70366" w:rsidRPr="009D3DED">
        <w:rPr>
          <w:i/>
          <w:szCs w:val="22"/>
          <w:lang w:val="sk-SK"/>
        </w:rPr>
        <w:t>ácia</w:t>
      </w:r>
    </w:p>
    <w:p w14:paraId="16985CC2" w14:textId="77777777" w:rsidR="002062CA" w:rsidRPr="009D3DED" w:rsidRDefault="00F30F1B">
      <w:pPr>
        <w:rPr>
          <w:szCs w:val="22"/>
          <w:lang w:val="sk-SK"/>
        </w:rPr>
      </w:pPr>
      <w:r w:rsidRPr="009D3DED">
        <w:rPr>
          <w:szCs w:val="22"/>
          <w:lang w:val="sk-SK"/>
        </w:rPr>
        <w:t>Biotransfor</w:t>
      </w:r>
      <w:r w:rsidR="000B1EB5" w:rsidRPr="009D3DED">
        <w:rPr>
          <w:szCs w:val="22"/>
          <w:lang w:val="sk-SK"/>
        </w:rPr>
        <w:t>mácia v pečeni zahŕňa konjugáciu</w:t>
      </w:r>
      <w:r w:rsidRPr="009D3DED">
        <w:rPr>
          <w:szCs w:val="22"/>
          <w:lang w:val="sk-SK"/>
        </w:rPr>
        <w:t xml:space="preserve"> ibuprofénu s kyselinou glukurónovou a oxidáci</w:t>
      </w:r>
      <w:r w:rsidR="000B1EB5" w:rsidRPr="009D3DED">
        <w:rPr>
          <w:szCs w:val="22"/>
          <w:lang w:val="sk-SK"/>
        </w:rPr>
        <w:t>u</w:t>
      </w:r>
      <w:r w:rsidRPr="009D3DED">
        <w:rPr>
          <w:szCs w:val="22"/>
          <w:lang w:val="sk-SK"/>
        </w:rPr>
        <w:t xml:space="preserve"> za vzniku dvoch hlavných inaktívnych metabolitov, 2-hydroxyibuprofénu a karboxyibuprofénu</w:t>
      </w:r>
      <w:r w:rsidR="00662482" w:rsidRPr="009D3DED">
        <w:rPr>
          <w:szCs w:val="22"/>
          <w:lang w:val="sk-SK"/>
        </w:rPr>
        <w:t xml:space="preserve">. </w:t>
      </w:r>
      <w:r w:rsidRPr="009D3DED">
        <w:rPr>
          <w:szCs w:val="22"/>
          <w:lang w:val="sk-SK"/>
        </w:rPr>
        <w:t xml:space="preserve">Degradácia </w:t>
      </w:r>
      <w:r w:rsidRPr="009D3DED">
        <w:rPr>
          <w:rFonts w:cs="Arial"/>
          <w:color w:val="000000"/>
          <w:lang w:val="sk-SK"/>
        </w:rPr>
        <w:t xml:space="preserve">ibuprofénu </w:t>
      </w:r>
      <w:r w:rsidRPr="009D3DED">
        <w:rPr>
          <w:szCs w:val="22"/>
          <w:lang w:val="sk-SK"/>
        </w:rPr>
        <w:t xml:space="preserve">je katalyzovaná enzýmami </w:t>
      </w:r>
      <w:r w:rsidR="00662482" w:rsidRPr="009D3DED">
        <w:rPr>
          <w:szCs w:val="22"/>
          <w:lang w:val="sk-SK"/>
        </w:rPr>
        <w:t>CYP2C9, CYP2C8 a CYP2C19</w:t>
      </w:r>
      <w:r w:rsidR="002062CA" w:rsidRPr="009D3DED">
        <w:rPr>
          <w:szCs w:val="22"/>
          <w:lang w:val="sk-SK"/>
        </w:rPr>
        <w:t xml:space="preserve">. </w:t>
      </w:r>
    </w:p>
    <w:p w14:paraId="6E2B2C41" w14:textId="77777777" w:rsidR="00564454" w:rsidRPr="009D3DED" w:rsidRDefault="00564454">
      <w:pPr>
        <w:numPr>
          <w:ilvl w:val="12"/>
          <w:numId w:val="0"/>
        </w:numPr>
        <w:ind w:right="-2"/>
        <w:rPr>
          <w:iCs/>
          <w:szCs w:val="22"/>
          <w:u w:val="single"/>
          <w:lang w:val="sk-SK"/>
        </w:rPr>
      </w:pPr>
    </w:p>
    <w:p w14:paraId="094DB925" w14:textId="77777777" w:rsidR="00777769" w:rsidRPr="009D3DED" w:rsidRDefault="00566C10">
      <w:pPr>
        <w:numPr>
          <w:ilvl w:val="12"/>
          <w:numId w:val="0"/>
        </w:numPr>
        <w:ind w:right="-2"/>
        <w:rPr>
          <w:i/>
          <w:szCs w:val="22"/>
          <w:lang w:val="sk-SK"/>
        </w:rPr>
      </w:pPr>
      <w:r w:rsidRPr="009D3DED">
        <w:rPr>
          <w:i/>
          <w:szCs w:val="22"/>
          <w:lang w:val="sk-SK"/>
        </w:rPr>
        <w:t>Elimin</w:t>
      </w:r>
      <w:r w:rsidR="00C70366" w:rsidRPr="009D3DED">
        <w:rPr>
          <w:i/>
          <w:szCs w:val="22"/>
          <w:lang w:val="sk-SK"/>
        </w:rPr>
        <w:t>ácia</w:t>
      </w:r>
    </w:p>
    <w:p w14:paraId="05C479EA" w14:textId="0DF208FB" w:rsidR="002062CA" w:rsidRPr="009D3DED" w:rsidRDefault="00F30F1B">
      <w:pPr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Po 24 hodinách sa z moču získa </w:t>
      </w:r>
      <w:r w:rsidR="00662482" w:rsidRPr="009D3DED">
        <w:rPr>
          <w:szCs w:val="22"/>
          <w:lang w:val="sk-SK"/>
        </w:rPr>
        <w:t xml:space="preserve">74,5 % ± 9,6 % dávky </w:t>
      </w:r>
      <w:r w:rsidR="00C30552" w:rsidRPr="009D3DED">
        <w:rPr>
          <w:szCs w:val="22"/>
          <w:lang w:val="sk-SK"/>
        </w:rPr>
        <w:t>ibuprofén</w:t>
      </w:r>
      <w:r w:rsidR="00662482" w:rsidRPr="009D3DED">
        <w:rPr>
          <w:szCs w:val="22"/>
          <w:lang w:val="sk-SK"/>
        </w:rPr>
        <w:t xml:space="preserve">u 400 mg, </w:t>
      </w:r>
      <w:r w:rsidRPr="009D3DED">
        <w:rPr>
          <w:szCs w:val="22"/>
          <w:lang w:val="sk-SK"/>
        </w:rPr>
        <w:t xml:space="preserve">z toho množstvo voľného aktívneho ibuprofénu predstavuje </w:t>
      </w:r>
      <w:r w:rsidR="00662482" w:rsidRPr="009D3DED">
        <w:rPr>
          <w:szCs w:val="22"/>
          <w:lang w:val="sk-SK"/>
        </w:rPr>
        <w:t xml:space="preserve">cca 8 %. </w:t>
      </w:r>
      <w:r w:rsidRPr="009D3DED">
        <w:rPr>
          <w:szCs w:val="22"/>
          <w:lang w:val="sk-SK"/>
        </w:rPr>
        <w:t xml:space="preserve">Polčas eliminácie u zdravých </w:t>
      </w:r>
      <w:r w:rsidR="004D7461">
        <w:rPr>
          <w:szCs w:val="22"/>
          <w:lang w:val="sk-SK"/>
        </w:rPr>
        <w:t>osôb</w:t>
      </w:r>
      <w:r w:rsidRPr="009D3DED">
        <w:rPr>
          <w:szCs w:val="22"/>
          <w:lang w:val="sk-SK"/>
        </w:rPr>
        <w:t xml:space="preserve"> a u pacientov s ochorením pečene a obličiek je</w:t>
      </w:r>
      <w:r w:rsidR="00662482" w:rsidRPr="009D3DED">
        <w:rPr>
          <w:szCs w:val="22"/>
          <w:lang w:val="sk-SK"/>
        </w:rPr>
        <w:t xml:space="preserve"> 1,8 až 3,5 hodiny. </w:t>
      </w:r>
      <w:r w:rsidRPr="009D3DED">
        <w:rPr>
          <w:szCs w:val="22"/>
          <w:lang w:val="sk-SK"/>
        </w:rPr>
        <w:t>Zdanliv</w:t>
      </w:r>
      <w:r w:rsidR="00AE130E" w:rsidRPr="009D3DED">
        <w:rPr>
          <w:szCs w:val="22"/>
          <w:lang w:val="sk-SK"/>
        </w:rPr>
        <w:t>ý</w:t>
      </w:r>
      <w:r w:rsidR="00662482" w:rsidRPr="009D3DED">
        <w:rPr>
          <w:szCs w:val="22"/>
          <w:lang w:val="sk-SK"/>
        </w:rPr>
        <w:t xml:space="preserve"> </w:t>
      </w:r>
      <w:r w:rsidRPr="009D3DED">
        <w:rPr>
          <w:szCs w:val="22"/>
          <w:lang w:val="sk-SK"/>
        </w:rPr>
        <w:t xml:space="preserve">klírens </w:t>
      </w:r>
      <w:r w:rsidR="00C30552" w:rsidRPr="009D3DED">
        <w:rPr>
          <w:szCs w:val="22"/>
          <w:lang w:val="sk-SK"/>
        </w:rPr>
        <w:t>ibuprofén</w:t>
      </w:r>
      <w:r w:rsidR="00662482" w:rsidRPr="009D3DED">
        <w:rPr>
          <w:szCs w:val="22"/>
          <w:lang w:val="sk-SK"/>
        </w:rPr>
        <w:t xml:space="preserve">u po </w:t>
      </w:r>
      <w:r w:rsidRPr="009D3DED">
        <w:rPr>
          <w:szCs w:val="22"/>
          <w:lang w:val="sk-SK"/>
        </w:rPr>
        <w:t>perorálnom</w:t>
      </w:r>
      <w:r w:rsidR="00662482" w:rsidRPr="009D3DED">
        <w:rPr>
          <w:szCs w:val="22"/>
          <w:lang w:val="sk-SK"/>
        </w:rPr>
        <w:t xml:space="preserve"> </w:t>
      </w:r>
      <w:r w:rsidRPr="009D3DED">
        <w:rPr>
          <w:szCs w:val="22"/>
          <w:lang w:val="sk-SK"/>
        </w:rPr>
        <w:t>podaní</w:t>
      </w:r>
      <w:r w:rsidR="00662482" w:rsidRPr="009D3DED">
        <w:rPr>
          <w:szCs w:val="22"/>
          <w:lang w:val="sk-SK"/>
        </w:rPr>
        <w:t xml:space="preserve"> </w:t>
      </w:r>
      <w:r w:rsidR="004D7461">
        <w:rPr>
          <w:szCs w:val="22"/>
          <w:lang w:val="sk-SK"/>
        </w:rPr>
        <w:t>je</w:t>
      </w:r>
      <w:r w:rsidR="00662482" w:rsidRPr="009D3DED">
        <w:rPr>
          <w:szCs w:val="22"/>
          <w:lang w:val="sk-SK"/>
        </w:rPr>
        <w:t xml:space="preserve"> </w:t>
      </w:r>
      <w:r w:rsidRPr="009D3DED">
        <w:rPr>
          <w:szCs w:val="22"/>
          <w:lang w:val="sk-SK"/>
        </w:rPr>
        <w:t>približne</w:t>
      </w:r>
      <w:r w:rsidR="00662482" w:rsidRPr="009D3DED">
        <w:rPr>
          <w:szCs w:val="22"/>
          <w:lang w:val="sk-SK"/>
        </w:rPr>
        <w:t xml:space="preserve"> 0,05 - 0,1 l/h/kg</w:t>
      </w:r>
      <w:r w:rsidR="002062CA" w:rsidRPr="009D3DED">
        <w:rPr>
          <w:szCs w:val="22"/>
          <w:lang w:val="sk-SK"/>
        </w:rPr>
        <w:t>.</w:t>
      </w:r>
    </w:p>
    <w:p w14:paraId="5D85C5B2" w14:textId="77777777" w:rsidR="002062CA" w:rsidRPr="009D3DED" w:rsidRDefault="002062CA">
      <w:pPr>
        <w:rPr>
          <w:szCs w:val="22"/>
          <w:lang w:val="sk-SK"/>
        </w:rPr>
      </w:pPr>
    </w:p>
    <w:p w14:paraId="6FFE26A3" w14:textId="77777777" w:rsidR="00777769" w:rsidRPr="009D3DED" w:rsidRDefault="00566C10">
      <w:pPr>
        <w:numPr>
          <w:ilvl w:val="12"/>
          <w:numId w:val="0"/>
        </w:numPr>
        <w:ind w:right="-2"/>
        <w:rPr>
          <w:i/>
          <w:szCs w:val="22"/>
          <w:lang w:val="sk-SK"/>
        </w:rPr>
      </w:pPr>
      <w:r w:rsidRPr="009D3DED">
        <w:rPr>
          <w:i/>
          <w:szCs w:val="22"/>
          <w:lang w:val="sk-SK"/>
        </w:rPr>
        <w:t>Linearita/nelinearita</w:t>
      </w:r>
    </w:p>
    <w:p w14:paraId="041D276A" w14:textId="194F31C5" w:rsidR="002062CA" w:rsidRPr="009D3DED" w:rsidRDefault="00F30F1B">
      <w:pPr>
        <w:rPr>
          <w:szCs w:val="22"/>
          <w:lang w:val="sk-SK"/>
        </w:rPr>
      </w:pPr>
      <w:r w:rsidRPr="009D3DED">
        <w:rPr>
          <w:szCs w:val="22"/>
          <w:lang w:val="sk-SK"/>
        </w:rPr>
        <w:t>Lineárna</w:t>
      </w:r>
      <w:r w:rsidR="00662482" w:rsidRPr="009D3DED">
        <w:rPr>
          <w:szCs w:val="22"/>
          <w:lang w:val="sk-SK"/>
        </w:rPr>
        <w:t xml:space="preserve"> farmakokinetika </w:t>
      </w:r>
      <w:r w:rsidR="00C30552" w:rsidRPr="009D3DED">
        <w:rPr>
          <w:szCs w:val="22"/>
          <w:lang w:val="sk-SK"/>
        </w:rPr>
        <w:t>ibuprofén</w:t>
      </w:r>
      <w:r w:rsidR="00662482" w:rsidRPr="009D3DED">
        <w:rPr>
          <w:szCs w:val="22"/>
          <w:lang w:val="sk-SK"/>
        </w:rPr>
        <w:t xml:space="preserve">u </w:t>
      </w:r>
      <w:r w:rsidRPr="009D3DED">
        <w:rPr>
          <w:szCs w:val="22"/>
          <w:lang w:val="sk-SK"/>
        </w:rPr>
        <w:t xml:space="preserve">bola </w:t>
      </w:r>
      <w:r w:rsidR="004D7461">
        <w:rPr>
          <w:szCs w:val="22"/>
          <w:lang w:val="sk-SK"/>
        </w:rPr>
        <w:t>zaznamenaná</w:t>
      </w:r>
      <w:r w:rsidR="004D7461" w:rsidRPr="009D3DED">
        <w:rPr>
          <w:szCs w:val="22"/>
          <w:lang w:val="sk-SK"/>
        </w:rPr>
        <w:t xml:space="preserve"> </w:t>
      </w:r>
      <w:r w:rsidRPr="009D3DED">
        <w:rPr>
          <w:szCs w:val="22"/>
          <w:lang w:val="sk-SK"/>
        </w:rPr>
        <w:t xml:space="preserve">v rozmedzí dávok </w:t>
      </w:r>
      <w:r w:rsidR="00662482" w:rsidRPr="009D3DED">
        <w:rPr>
          <w:szCs w:val="22"/>
          <w:lang w:val="sk-SK"/>
        </w:rPr>
        <w:t>200 až 400 mg</w:t>
      </w:r>
      <w:r w:rsidR="002062CA" w:rsidRPr="009D3DED">
        <w:rPr>
          <w:szCs w:val="22"/>
          <w:lang w:val="sk-SK"/>
        </w:rPr>
        <w:t xml:space="preserve">. </w:t>
      </w:r>
    </w:p>
    <w:p w14:paraId="6D7DCC12" w14:textId="77777777" w:rsidR="002062CA" w:rsidRPr="009D3DED" w:rsidRDefault="002062CA">
      <w:pPr>
        <w:rPr>
          <w:szCs w:val="22"/>
          <w:lang w:val="sk-SK"/>
        </w:rPr>
      </w:pPr>
    </w:p>
    <w:p w14:paraId="0E0AC215" w14:textId="28DB8C40" w:rsidR="002062CA" w:rsidRPr="009D3DED" w:rsidRDefault="004D7461">
      <w:pPr>
        <w:spacing w:line="240" w:lineRule="auto"/>
        <w:ind w:right="354"/>
        <w:rPr>
          <w:iCs/>
          <w:szCs w:val="22"/>
          <w:u w:val="single"/>
          <w:lang w:val="sk-SK"/>
        </w:rPr>
      </w:pPr>
      <w:r>
        <w:rPr>
          <w:iCs/>
          <w:szCs w:val="22"/>
          <w:u w:val="single"/>
          <w:lang w:val="sk-SK"/>
        </w:rPr>
        <w:t>Osobitné</w:t>
      </w:r>
      <w:r w:rsidRPr="009D3DED">
        <w:rPr>
          <w:iCs/>
          <w:szCs w:val="22"/>
          <w:u w:val="single"/>
          <w:lang w:val="sk-SK"/>
        </w:rPr>
        <w:t xml:space="preserve"> </w:t>
      </w:r>
      <w:r w:rsidR="00117F69" w:rsidRPr="009D3DED">
        <w:rPr>
          <w:iCs/>
          <w:szCs w:val="22"/>
          <w:u w:val="single"/>
          <w:lang w:val="sk-SK"/>
        </w:rPr>
        <w:t>populácie</w:t>
      </w:r>
    </w:p>
    <w:p w14:paraId="4DC456B3" w14:textId="606D7A11" w:rsidR="002062CA" w:rsidRPr="009D3DED" w:rsidRDefault="00566C10">
      <w:pPr>
        <w:rPr>
          <w:i/>
          <w:szCs w:val="22"/>
          <w:lang w:val="sk-SK"/>
        </w:rPr>
      </w:pPr>
      <w:r w:rsidRPr="009D3DED">
        <w:rPr>
          <w:i/>
          <w:szCs w:val="22"/>
          <w:lang w:val="sk-SK"/>
        </w:rPr>
        <w:t>Starš</w:t>
      </w:r>
      <w:r w:rsidR="004D7461">
        <w:rPr>
          <w:i/>
          <w:szCs w:val="22"/>
          <w:lang w:val="sk-SK"/>
        </w:rPr>
        <w:t>í pacienti</w:t>
      </w:r>
    </w:p>
    <w:p w14:paraId="003EFE47" w14:textId="62F0D28A" w:rsidR="002062CA" w:rsidRPr="009D3DED" w:rsidRDefault="00F30F1B">
      <w:pPr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Bolo hlásené, že </w:t>
      </w:r>
      <w:r w:rsidR="00F65D32">
        <w:rPr>
          <w:szCs w:val="22"/>
          <w:lang w:val="sk-SK"/>
        </w:rPr>
        <w:t>zdanlivý</w:t>
      </w:r>
      <w:r w:rsidR="00F65D32" w:rsidRPr="009D3DED">
        <w:rPr>
          <w:szCs w:val="22"/>
          <w:lang w:val="sk-SK"/>
        </w:rPr>
        <w:t xml:space="preserve"> </w:t>
      </w:r>
      <w:r w:rsidRPr="009D3DED">
        <w:rPr>
          <w:szCs w:val="22"/>
          <w:lang w:val="sk-SK"/>
        </w:rPr>
        <w:t xml:space="preserve">klírens, zdanlivý distribučný objem a priemerný rezidenčný čas ibuprofénu u starších osôb (vo veku 65 až 85 rokov) sa nelíši od hodnôt u mladých </w:t>
      </w:r>
      <w:r w:rsidR="004D7461">
        <w:rPr>
          <w:szCs w:val="22"/>
          <w:lang w:val="sk-SK"/>
        </w:rPr>
        <w:t>osôb</w:t>
      </w:r>
      <w:r w:rsidR="004D7461" w:rsidRPr="009D3DED">
        <w:rPr>
          <w:szCs w:val="22"/>
          <w:lang w:val="sk-SK"/>
        </w:rPr>
        <w:t xml:space="preserve"> </w:t>
      </w:r>
      <w:r w:rsidRPr="009D3DED">
        <w:rPr>
          <w:szCs w:val="22"/>
          <w:lang w:val="sk-SK"/>
        </w:rPr>
        <w:t>(vo veku 22 až 35 rokov</w:t>
      </w:r>
      <w:r w:rsidR="00662482" w:rsidRPr="009D3DED">
        <w:rPr>
          <w:szCs w:val="22"/>
          <w:lang w:val="sk-SK"/>
        </w:rPr>
        <w:t>)</w:t>
      </w:r>
      <w:r w:rsidR="002062CA" w:rsidRPr="009D3DED">
        <w:rPr>
          <w:szCs w:val="22"/>
          <w:lang w:val="sk-SK"/>
        </w:rPr>
        <w:t xml:space="preserve">. </w:t>
      </w:r>
    </w:p>
    <w:p w14:paraId="0BAD96D4" w14:textId="77777777" w:rsidR="002062CA" w:rsidRPr="009D3DED" w:rsidRDefault="002062CA">
      <w:pPr>
        <w:rPr>
          <w:szCs w:val="22"/>
          <w:lang w:val="sk-SK"/>
        </w:rPr>
      </w:pPr>
    </w:p>
    <w:p w14:paraId="1D7FFCDD" w14:textId="679DF750" w:rsidR="002062CA" w:rsidRPr="009D3DED" w:rsidRDefault="00F30F1B">
      <w:pPr>
        <w:rPr>
          <w:szCs w:val="22"/>
          <w:lang w:val="sk-SK"/>
        </w:rPr>
      </w:pPr>
      <w:r w:rsidRPr="009D3DED">
        <w:rPr>
          <w:i/>
          <w:szCs w:val="22"/>
          <w:lang w:val="sk-SK"/>
        </w:rPr>
        <w:t>Porucha funkcie obličiek</w:t>
      </w:r>
      <w:r w:rsidR="002062CA" w:rsidRPr="009D3DED">
        <w:rPr>
          <w:szCs w:val="22"/>
          <w:lang w:val="sk-SK"/>
        </w:rPr>
        <w:br/>
      </w:r>
      <w:r w:rsidRPr="009D3DED">
        <w:rPr>
          <w:szCs w:val="22"/>
          <w:lang w:val="sk-SK"/>
        </w:rPr>
        <w:t xml:space="preserve">Polčas ibuprofénu počas hemodialýzy (1,3 až 1,9 h) je v rozmedzí hodnôt polčasu u </w:t>
      </w:r>
      <w:r w:rsidR="004D7461">
        <w:rPr>
          <w:szCs w:val="22"/>
          <w:lang w:val="sk-SK"/>
        </w:rPr>
        <w:t>zdravých osôb</w:t>
      </w:r>
      <w:r w:rsidRPr="009D3DED">
        <w:rPr>
          <w:szCs w:val="22"/>
          <w:lang w:val="sk-SK"/>
        </w:rPr>
        <w:t xml:space="preserve">. Pri hemodialýze je odstránená iba malá frakcia z celkovej </w:t>
      </w:r>
      <w:r w:rsidR="004D7461">
        <w:rPr>
          <w:szCs w:val="22"/>
          <w:lang w:val="sk-SK"/>
        </w:rPr>
        <w:t>užitej</w:t>
      </w:r>
      <w:r w:rsidR="004D7461" w:rsidRPr="009D3DED">
        <w:rPr>
          <w:szCs w:val="22"/>
          <w:lang w:val="sk-SK"/>
        </w:rPr>
        <w:t xml:space="preserve"> </w:t>
      </w:r>
      <w:r w:rsidRPr="009D3DED">
        <w:rPr>
          <w:szCs w:val="22"/>
          <w:lang w:val="sk-SK"/>
        </w:rPr>
        <w:t>dávky, t</w:t>
      </w:r>
      <w:r w:rsidR="00117F69" w:rsidRPr="009D3DED">
        <w:rPr>
          <w:szCs w:val="22"/>
          <w:lang w:val="sk-SK"/>
        </w:rPr>
        <w:t>.</w:t>
      </w:r>
      <w:r w:rsidRPr="009D3DED">
        <w:rPr>
          <w:szCs w:val="22"/>
          <w:lang w:val="sk-SK"/>
        </w:rPr>
        <w:t>j. &lt;4%. Nedialyzovatelnos</w:t>
      </w:r>
      <w:r w:rsidR="00117F69" w:rsidRPr="009D3DED">
        <w:rPr>
          <w:szCs w:val="22"/>
          <w:lang w:val="sk-SK"/>
        </w:rPr>
        <w:t>ť</w:t>
      </w:r>
      <w:r w:rsidRPr="009D3DED">
        <w:rPr>
          <w:szCs w:val="22"/>
          <w:lang w:val="sk-SK"/>
        </w:rPr>
        <w:t xml:space="preserve"> ibuprofénu je pravdepodobne pripisovaná jeho vysokej väzbe na proteíny. </w:t>
      </w:r>
      <w:r w:rsidR="004D7461">
        <w:rPr>
          <w:szCs w:val="22"/>
          <w:lang w:val="sk-SK"/>
        </w:rPr>
        <w:t>P</w:t>
      </w:r>
      <w:r w:rsidRPr="009D3DED">
        <w:rPr>
          <w:szCs w:val="22"/>
          <w:lang w:val="sk-SK"/>
        </w:rPr>
        <w:t>acien</w:t>
      </w:r>
      <w:r w:rsidR="00C24D4F" w:rsidRPr="009D3DED">
        <w:rPr>
          <w:szCs w:val="22"/>
          <w:lang w:val="sk-SK"/>
        </w:rPr>
        <w:t>ti</w:t>
      </w:r>
      <w:r w:rsidR="004D7461">
        <w:rPr>
          <w:szCs w:val="22"/>
          <w:lang w:val="sk-SK"/>
        </w:rPr>
        <w:t xml:space="preserve"> s urémiou</w:t>
      </w:r>
      <w:r w:rsidR="00C24D4F" w:rsidRPr="009D3DED">
        <w:rPr>
          <w:szCs w:val="22"/>
          <w:lang w:val="sk-SK"/>
        </w:rPr>
        <w:t xml:space="preserve"> môžu potrebovať dlhšiu dobu na</w:t>
      </w:r>
      <w:r w:rsidRPr="009D3DED">
        <w:rPr>
          <w:szCs w:val="22"/>
          <w:lang w:val="sk-SK"/>
        </w:rPr>
        <w:t xml:space="preserve"> dosiahnuti</w:t>
      </w:r>
      <w:r w:rsidR="00C24D4F" w:rsidRPr="009D3DED">
        <w:rPr>
          <w:szCs w:val="22"/>
          <w:lang w:val="sk-SK"/>
        </w:rPr>
        <w:t>e</w:t>
      </w:r>
      <w:r w:rsidRPr="009D3DED">
        <w:rPr>
          <w:szCs w:val="22"/>
          <w:lang w:val="sk-SK"/>
        </w:rPr>
        <w:t xml:space="preserve"> terapeutických koncentrácií, nevyžadujú však úpravu dávky. Vypočítaný polčas eliminácie u starších pacientov s poškodením obličiek dosahuje 3,25 h</w:t>
      </w:r>
      <w:r w:rsidR="002062CA" w:rsidRPr="009D3DED">
        <w:rPr>
          <w:szCs w:val="22"/>
          <w:lang w:val="sk-SK"/>
        </w:rPr>
        <w:t xml:space="preserve">. </w:t>
      </w:r>
    </w:p>
    <w:p w14:paraId="521474D4" w14:textId="77777777" w:rsidR="002062CA" w:rsidRPr="009D3DED" w:rsidRDefault="002062CA">
      <w:pPr>
        <w:rPr>
          <w:szCs w:val="22"/>
          <w:lang w:val="sk-SK"/>
        </w:rPr>
      </w:pPr>
    </w:p>
    <w:p w14:paraId="75D2CFB4" w14:textId="77777777" w:rsidR="002062CA" w:rsidRPr="009D3DED" w:rsidRDefault="00F30F1B">
      <w:pPr>
        <w:rPr>
          <w:i/>
          <w:szCs w:val="22"/>
          <w:lang w:val="sk-SK"/>
        </w:rPr>
      </w:pPr>
      <w:r w:rsidRPr="009D3DED">
        <w:rPr>
          <w:i/>
          <w:szCs w:val="22"/>
          <w:lang w:val="sk-SK"/>
        </w:rPr>
        <w:t>Porucha funkcie pečene</w:t>
      </w:r>
    </w:p>
    <w:p w14:paraId="33771717" w14:textId="77777777" w:rsidR="003519A1" w:rsidRPr="009D3DED" w:rsidRDefault="00F30F1B">
      <w:pPr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Po perorálnom podaní nemá dysfunkcia pečene žiadny účinok na farmakokinetický profil </w:t>
      </w:r>
      <w:r w:rsidR="00C30552" w:rsidRPr="009D3DED">
        <w:rPr>
          <w:szCs w:val="22"/>
          <w:lang w:val="sk-SK"/>
        </w:rPr>
        <w:t>ibuprofén</w:t>
      </w:r>
      <w:r w:rsidR="00F007C4" w:rsidRPr="009D3DED">
        <w:rPr>
          <w:szCs w:val="22"/>
          <w:lang w:val="sk-SK"/>
        </w:rPr>
        <w:t>u, t</w:t>
      </w:r>
      <w:r w:rsidR="00117F69" w:rsidRPr="009D3DED">
        <w:rPr>
          <w:szCs w:val="22"/>
          <w:lang w:val="sk-SK"/>
        </w:rPr>
        <w:t>.</w:t>
      </w:r>
      <w:r w:rsidR="00F007C4" w:rsidRPr="009D3DED">
        <w:rPr>
          <w:szCs w:val="22"/>
          <w:lang w:val="sk-SK"/>
        </w:rPr>
        <w:t>j.</w:t>
      </w:r>
      <w:r w:rsidR="00985BF6" w:rsidRPr="009D3DED">
        <w:rPr>
          <w:szCs w:val="22"/>
          <w:lang w:val="sk-SK"/>
        </w:rPr>
        <w:t xml:space="preserve"> na </w:t>
      </w:r>
      <w:r w:rsidR="003519A1" w:rsidRPr="009D3DED">
        <w:rPr>
          <w:szCs w:val="22"/>
          <w:lang w:val="sk-SK"/>
        </w:rPr>
        <w:t>hodnotu AUC a t</w:t>
      </w:r>
      <w:r w:rsidR="003519A1" w:rsidRPr="009D3DED">
        <w:rPr>
          <w:szCs w:val="22"/>
          <w:vertAlign w:val="subscript"/>
          <w:lang w:val="sk-SK"/>
        </w:rPr>
        <w:t>1/2</w:t>
      </w:r>
      <w:r w:rsidR="003519A1" w:rsidRPr="009D3DED">
        <w:rPr>
          <w:szCs w:val="22"/>
          <w:lang w:val="sk-SK"/>
        </w:rPr>
        <w:t xml:space="preserve">. Úprava dávky </w:t>
      </w:r>
      <w:r w:rsidR="00117F69" w:rsidRPr="009D3DED">
        <w:rPr>
          <w:szCs w:val="22"/>
          <w:lang w:val="sk-SK"/>
        </w:rPr>
        <w:t>nie je</w:t>
      </w:r>
      <w:r w:rsidR="003519A1" w:rsidRPr="009D3DED">
        <w:rPr>
          <w:szCs w:val="22"/>
          <w:lang w:val="sk-SK"/>
        </w:rPr>
        <w:t xml:space="preserve"> nutná.</w:t>
      </w:r>
    </w:p>
    <w:p w14:paraId="7ABD9A01" w14:textId="77777777" w:rsidR="002062CA" w:rsidRPr="009D3DED" w:rsidRDefault="002062CA">
      <w:pPr>
        <w:rPr>
          <w:szCs w:val="22"/>
          <w:lang w:val="sk-SK"/>
        </w:rPr>
      </w:pPr>
    </w:p>
    <w:p w14:paraId="56CA1199" w14:textId="77777777" w:rsidR="002062CA" w:rsidRPr="009D3DED" w:rsidRDefault="00542E76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zh-CN" w:bidi="th-TH"/>
        </w:rPr>
      </w:pPr>
      <w:r w:rsidRPr="009D3DED">
        <w:rPr>
          <w:szCs w:val="22"/>
          <w:u w:val="single"/>
          <w:lang w:val="sk-SK" w:eastAsia="zh-CN" w:bidi="th-TH"/>
        </w:rPr>
        <w:t>Kofeín</w:t>
      </w:r>
    </w:p>
    <w:p w14:paraId="2111F087" w14:textId="77777777" w:rsidR="002062CA" w:rsidRPr="009D3DED" w:rsidRDefault="00C70366">
      <w:pPr>
        <w:spacing w:line="240" w:lineRule="auto"/>
        <w:ind w:right="354"/>
        <w:rPr>
          <w:i/>
          <w:iCs/>
          <w:szCs w:val="22"/>
          <w:lang w:val="sk-SK"/>
        </w:rPr>
      </w:pPr>
      <w:r w:rsidRPr="009D3DED">
        <w:rPr>
          <w:i/>
          <w:iCs/>
          <w:szCs w:val="22"/>
          <w:lang w:val="sk-SK"/>
        </w:rPr>
        <w:t>Absorpcia</w:t>
      </w:r>
    </w:p>
    <w:p w14:paraId="48452BA2" w14:textId="3225A097" w:rsidR="002062CA" w:rsidRPr="009D3DED" w:rsidRDefault="00F30F1B">
      <w:pPr>
        <w:rPr>
          <w:szCs w:val="22"/>
          <w:lang w:val="sk-SK"/>
        </w:rPr>
      </w:pPr>
      <w:r w:rsidRPr="009D3DED">
        <w:rPr>
          <w:szCs w:val="22"/>
          <w:lang w:val="sk-SK"/>
        </w:rPr>
        <w:t>Kofeín sa ľahko a úplne vstrebáva s absorpčným polčasom cca 10 minút, maximálna koncentrácia sa dosiahne približne za 30 až 40 minút</w:t>
      </w:r>
      <w:r w:rsidR="002062CA" w:rsidRPr="009D3DED">
        <w:rPr>
          <w:szCs w:val="22"/>
          <w:lang w:val="sk-SK"/>
        </w:rPr>
        <w:t>.</w:t>
      </w:r>
    </w:p>
    <w:p w14:paraId="20A7AF5C" w14:textId="77777777" w:rsidR="002062CA" w:rsidRPr="009D3DED" w:rsidRDefault="002062CA">
      <w:pPr>
        <w:spacing w:line="240" w:lineRule="auto"/>
        <w:ind w:right="354"/>
        <w:rPr>
          <w:szCs w:val="22"/>
          <w:lang w:val="sk-SK"/>
        </w:rPr>
      </w:pPr>
    </w:p>
    <w:p w14:paraId="5BFF172A" w14:textId="77777777" w:rsidR="002062CA" w:rsidRPr="009D3DED" w:rsidRDefault="00566C10">
      <w:pPr>
        <w:rPr>
          <w:i/>
          <w:iCs/>
          <w:szCs w:val="22"/>
          <w:lang w:val="sk-SK"/>
        </w:rPr>
      </w:pPr>
      <w:r w:rsidRPr="009D3DED">
        <w:rPr>
          <w:i/>
          <w:iCs/>
          <w:szCs w:val="22"/>
          <w:lang w:val="sk-SK"/>
        </w:rPr>
        <w:t>Distrib</w:t>
      </w:r>
      <w:r w:rsidR="00C70366" w:rsidRPr="009D3DED">
        <w:rPr>
          <w:i/>
          <w:iCs/>
          <w:szCs w:val="22"/>
          <w:lang w:val="sk-SK"/>
        </w:rPr>
        <w:t>úcia</w:t>
      </w:r>
    </w:p>
    <w:p w14:paraId="64288FAE" w14:textId="77777777" w:rsidR="002062CA" w:rsidRPr="009D3DED" w:rsidRDefault="00F30F1B">
      <w:pPr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Kofeín je distribuovaný do väčšiny tkanív, prechádza hematoencefalickou bariérou, placentou a vylučuje sa do materského mlieka. Väzba na proteíny je relatívne nízka </w:t>
      </w:r>
      <w:r w:rsidR="003519A1" w:rsidRPr="009D3DED">
        <w:rPr>
          <w:szCs w:val="22"/>
          <w:lang w:val="sk-SK"/>
        </w:rPr>
        <w:t>(30 až 40 %)</w:t>
      </w:r>
      <w:r w:rsidR="002062CA" w:rsidRPr="009D3DED">
        <w:rPr>
          <w:szCs w:val="22"/>
          <w:lang w:val="sk-SK"/>
        </w:rPr>
        <w:t>.</w:t>
      </w:r>
    </w:p>
    <w:p w14:paraId="031CF5DC" w14:textId="77777777" w:rsidR="002062CA" w:rsidRPr="009D3DED" w:rsidRDefault="002062CA">
      <w:pPr>
        <w:spacing w:line="240" w:lineRule="auto"/>
        <w:ind w:right="354"/>
        <w:rPr>
          <w:szCs w:val="22"/>
          <w:lang w:val="sk-SK"/>
        </w:rPr>
      </w:pPr>
    </w:p>
    <w:p w14:paraId="09109EC4" w14:textId="77777777" w:rsidR="002062CA" w:rsidRPr="009D3DED" w:rsidRDefault="00566C10">
      <w:pPr>
        <w:rPr>
          <w:i/>
          <w:iCs/>
          <w:szCs w:val="22"/>
          <w:lang w:val="sk-SK"/>
        </w:rPr>
      </w:pPr>
      <w:r w:rsidRPr="009D3DED">
        <w:rPr>
          <w:i/>
          <w:iCs/>
          <w:szCs w:val="22"/>
          <w:lang w:val="sk-SK"/>
        </w:rPr>
        <w:t>Biotransform</w:t>
      </w:r>
      <w:r w:rsidR="00C70366" w:rsidRPr="009D3DED">
        <w:rPr>
          <w:i/>
          <w:iCs/>
          <w:szCs w:val="22"/>
          <w:lang w:val="sk-SK"/>
        </w:rPr>
        <w:t>ácia</w:t>
      </w:r>
    </w:p>
    <w:p w14:paraId="5DA76E44" w14:textId="688E833D" w:rsidR="002062CA" w:rsidRPr="009D3DED" w:rsidRDefault="00F30F1B">
      <w:pPr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Kofeín </w:t>
      </w:r>
      <w:r w:rsidR="004D7461">
        <w:rPr>
          <w:szCs w:val="22"/>
          <w:lang w:val="sk-SK"/>
        </w:rPr>
        <w:t>sa</w:t>
      </w:r>
      <w:r w:rsidRPr="009D3DED">
        <w:rPr>
          <w:szCs w:val="22"/>
          <w:lang w:val="sk-SK"/>
        </w:rPr>
        <w:t xml:space="preserve"> takmer kompletne metabolizuje v pečeni na hlavné metabolity dimetylxantín</w:t>
      </w:r>
      <w:r w:rsidR="00117F69" w:rsidRPr="009D3DED">
        <w:rPr>
          <w:szCs w:val="22"/>
          <w:lang w:val="sk-SK"/>
        </w:rPr>
        <w:t>,</w:t>
      </w:r>
      <w:r w:rsidRPr="009D3DED">
        <w:rPr>
          <w:szCs w:val="22"/>
          <w:lang w:val="sk-SK"/>
        </w:rPr>
        <w:t xml:space="preserve"> paraxant</w:t>
      </w:r>
      <w:r w:rsidR="00117F69" w:rsidRPr="009D3DED">
        <w:rPr>
          <w:szCs w:val="22"/>
          <w:lang w:val="sk-SK"/>
        </w:rPr>
        <w:t>í</w:t>
      </w:r>
      <w:r w:rsidRPr="009D3DED">
        <w:rPr>
          <w:szCs w:val="22"/>
          <w:lang w:val="sk-SK"/>
        </w:rPr>
        <w:t>n, teobromín a teofylín. Hlavným enzýmom podieľajúcim sa na biotransformácii kofeínu je CYP 1A2, ktorý zaisťuje viac ako 95% klírens</w:t>
      </w:r>
      <w:r w:rsidR="004D7461">
        <w:rPr>
          <w:szCs w:val="22"/>
          <w:lang w:val="sk-SK"/>
        </w:rPr>
        <w:t>u</w:t>
      </w:r>
      <w:r w:rsidRPr="009D3DED">
        <w:rPr>
          <w:szCs w:val="22"/>
          <w:lang w:val="sk-SK"/>
        </w:rPr>
        <w:t xml:space="preserve"> kofeínu</w:t>
      </w:r>
      <w:r w:rsidR="002062CA" w:rsidRPr="009D3DED">
        <w:rPr>
          <w:szCs w:val="22"/>
          <w:lang w:val="sk-SK"/>
        </w:rPr>
        <w:t>.</w:t>
      </w:r>
    </w:p>
    <w:p w14:paraId="7B3E05D9" w14:textId="77777777" w:rsidR="002062CA" w:rsidRPr="009D3DED" w:rsidRDefault="002062CA">
      <w:pPr>
        <w:rPr>
          <w:szCs w:val="22"/>
          <w:lang w:val="sk-SK"/>
        </w:rPr>
      </w:pPr>
    </w:p>
    <w:p w14:paraId="157360FA" w14:textId="77777777" w:rsidR="002062CA" w:rsidRPr="009D3DED" w:rsidRDefault="00566C10">
      <w:pPr>
        <w:rPr>
          <w:i/>
          <w:iCs/>
          <w:szCs w:val="22"/>
          <w:lang w:val="sk-SK"/>
        </w:rPr>
      </w:pPr>
      <w:r w:rsidRPr="009D3DED">
        <w:rPr>
          <w:i/>
          <w:iCs/>
          <w:szCs w:val="22"/>
          <w:lang w:val="sk-SK"/>
        </w:rPr>
        <w:t>Elimin</w:t>
      </w:r>
      <w:r w:rsidR="00C70366" w:rsidRPr="009D3DED">
        <w:rPr>
          <w:i/>
          <w:iCs/>
          <w:szCs w:val="22"/>
          <w:lang w:val="sk-SK"/>
        </w:rPr>
        <w:t>ácia</w:t>
      </w:r>
    </w:p>
    <w:p w14:paraId="065C1623" w14:textId="77777777" w:rsidR="002062CA" w:rsidRPr="009D3DED" w:rsidRDefault="00F30F1B">
      <w:pPr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Polčas eliminácie je relatívne variabilný </w:t>
      </w:r>
      <w:r w:rsidR="002062CA" w:rsidRPr="009D3DED">
        <w:rPr>
          <w:szCs w:val="22"/>
          <w:lang w:val="sk-SK"/>
        </w:rPr>
        <w:t>(2</w:t>
      </w:r>
      <w:r w:rsidR="002062CA" w:rsidRPr="009D3DED">
        <w:rPr>
          <w:szCs w:val="22"/>
          <w:lang w:val="sk-SK"/>
        </w:rPr>
        <w:noBreakHyphen/>
        <w:t>12</w:t>
      </w:r>
      <w:r w:rsidR="003519A1" w:rsidRPr="009D3DED">
        <w:rPr>
          <w:szCs w:val="22"/>
          <w:lang w:val="sk-SK"/>
        </w:rPr>
        <w:t> h</w:t>
      </w:r>
      <w:r w:rsidR="002062CA" w:rsidRPr="009D3DED">
        <w:rPr>
          <w:szCs w:val="22"/>
          <w:lang w:val="sk-SK"/>
        </w:rPr>
        <w:t xml:space="preserve">). </w:t>
      </w:r>
    </w:p>
    <w:p w14:paraId="15CA02DA" w14:textId="1A39419D" w:rsidR="003519A1" w:rsidRPr="009D3DED" w:rsidRDefault="00F30F1B">
      <w:pPr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Kofeín a jeho metabolity (xantín a deriváty kyseliny močovej) sa vylučujú najmä obličkami (86% dávky počas 48 hodín). Iba 0,5% až 2% podaného kofeínu sa vylučuje močom v </w:t>
      </w:r>
      <w:r w:rsidR="004D7461">
        <w:rPr>
          <w:szCs w:val="22"/>
          <w:lang w:val="sk-SK"/>
        </w:rPr>
        <w:t>nezmenenej</w:t>
      </w:r>
      <w:r w:rsidR="004D7461" w:rsidRPr="009D3DED">
        <w:rPr>
          <w:szCs w:val="22"/>
          <w:lang w:val="sk-SK"/>
        </w:rPr>
        <w:t xml:space="preserve"> </w:t>
      </w:r>
      <w:r w:rsidRPr="009D3DED">
        <w:rPr>
          <w:szCs w:val="22"/>
          <w:lang w:val="sk-SK"/>
        </w:rPr>
        <w:t>forme</w:t>
      </w:r>
      <w:r w:rsidR="003519A1" w:rsidRPr="009D3DED">
        <w:rPr>
          <w:szCs w:val="22"/>
          <w:lang w:val="sk-SK"/>
        </w:rPr>
        <w:t>.</w:t>
      </w:r>
    </w:p>
    <w:p w14:paraId="01DC1946" w14:textId="77777777" w:rsidR="002062CA" w:rsidRPr="009D3DED" w:rsidRDefault="002062CA">
      <w:pPr>
        <w:rPr>
          <w:szCs w:val="22"/>
          <w:lang w:val="sk-SK"/>
        </w:rPr>
      </w:pPr>
    </w:p>
    <w:p w14:paraId="73C24F1E" w14:textId="0E8D47BA" w:rsidR="003519A1" w:rsidRPr="009D3DED" w:rsidRDefault="00117F69">
      <w:pPr>
        <w:spacing w:line="240" w:lineRule="auto"/>
        <w:ind w:right="354"/>
        <w:rPr>
          <w:szCs w:val="22"/>
          <w:lang w:val="sk-SK"/>
        </w:rPr>
      </w:pPr>
      <w:r w:rsidRPr="009D3DED">
        <w:rPr>
          <w:szCs w:val="22"/>
          <w:u w:val="single"/>
          <w:lang w:val="sk-SK" w:eastAsia="zh-CN" w:bidi="th-TH"/>
        </w:rPr>
        <w:t>Kombinácia</w:t>
      </w:r>
      <w:r w:rsidR="00566C10" w:rsidRPr="009D3DED">
        <w:rPr>
          <w:szCs w:val="22"/>
          <w:u w:val="single"/>
          <w:lang w:val="sk-SK" w:eastAsia="zh-CN" w:bidi="th-TH"/>
        </w:rPr>
        <w:t xml:space="preserve"> </w:t>
      </w:r>
      <w:r w:rsidR="00C30552" w:rsidRPr="009D3DED">
        <w:rPr>
          <w:szCs w:val="22"/>
          <w:u w:val="single"/>
          <w:lang w:val="sk-SK" w:eastAsia="zh-CN" w:bidi="th-TH"/>
        </w:rPr>
        <w:t>ibuprofén</w:t>
      </w:r>
      <w:r w:rsidR="00566C10" w:rsidRPr="009D3DED">
        <w:rPr>
          <w:szCs w:val="22"/>
          <w:u w:val="single"/>
          <w:lang w:val="sk-SK" w:eastAsia="zh-CN" w:bidi="th-TH"/>
        </w:rPr>
        <w:t xml:space="preserve">u a </w:t>
      </w:r>
      <w:r w:rsidR="00542E76" w:rsidRPr="009D3DED">
        <w:rPr>
          <w:szCs w:val="22"/>
          <w:u w:val="single"/>
          <w:lang w:val="sk-SK" w:eastAsia="zh-CN" w:bidi="th-TH"/>
        </w:rPr>
        <w:t>kofeín</w:t>
      </w:r>
      <w:r w:rsidR="00566C10" w:rsidRPr="009D3DED">
        <w:rPr>
          <w:szCs w:val="22"/>
          <w:u w:val="single"/>
          <w:lang w:val="sk-SK" w:eastAsia="zh-CN" w:bidi="th-TH"/>
        </w:rPr>
        <w:t>u</w:t>
      </w:r>
      <w:r w:rsidR="002062CA" w:rsidRPr="009D3DED">
        <w:rPr>
          <w:szCs w:val="22"/>
          <w:u w:val="single"/>
          <w:lang w:val="sk-SK" w:eastAsia="zh-CN" w:bidi="th-TH"/>
        </w:rPr>
        <w:br/>
      </w:r>
      <w:r w:rsidR="00F30F1B" w:rsidRPr="009D3DED">
        <w:rPr>
          <w:szCs w:val="22"/>
          <w:lang w:val="sk-SK"/>
        </w:rPr>
        <w:t xml:space="preserve">Za podmienok nalačno bolo preukázané, že </w:t>
      </w:r>
      <w:r w:rsidR="004D7461">
        <w:rPr>
          <w:szCs w:val="22"/>
          <w:lang w:val="sk-SK"/>
        </w:rPr>
        <w:t>lieková forma s</w:t>
      </w:r>
      <w:r w:rsidR="00F30F1B" w:rsidRPr="009D3DED">
        <w:rPr>
          <w:szCs w:val="22"/>
          <w:lang w:val="sk-SK"/>
        </w:rPr>
        <w:t xml:space="preserve"> ibuprofén</w:t>
      </w:r>
      <w:r w:rsidR="004D7461">
        <w:rPr>
          <w:szCs w:val="22"/>
          <w:lang w:val="sk-SK"/>
        </w:rPr>
        <w:t>om</w:t>
      </w:r>
      <w:r w:rsidR="00F30F1B" w:rsidRPr="009D3DED">
        <w:rPr>
          <w:szCs w:val="22"/>
          <w:lang w:val="sk-SK"/>
        </w:rPr>
        <w:t xml:space="preserve"> a kofeín</w:t>
      </w:r>
      <w:r w:rsidR="004D7461">
        <w:rPr>
          <w:szCs w:val="22"/>
          <w:lang w:val="sk-SK"/>
        </w:rPr>
        <w:t>om</w:t>
      </w:r>
      <w:r w:rsidR="00F30F1B" w:rsidRPr="009D3DED">
        <w:rPr>
          <w:szCs w:val="22"/>
          <w:lang w:val="sk-SK"/>
        </w:rPr>
        <w:t xml:space="preserve"> je bioekvivalentn</w:t>
      </w:r>
      <w:r w:rsidRPr="009D3DED">
        <w:rPr>
          <w:szCs w:val="22"/>
          <w:lang w:val="sk-SK"/>
        </w:rPr>
        <w:t>á</w:t>
      </w:r>
      <w:r w:rsidR="00F30F1B" w:rsidRPr="009D3DED">
        <w:rPr>
          <w:szCs w:val="22"/>
          <w:lang w:val="sk-SK"/>
        </w:rPr>
        <w:t xml:space="preserve"> s inými </w:t>
      </w:r>
      <w:r w:rsidR="004D7461">
        <w:rPr>
          <w:szCs w:val="22"/>
          <w:lang w:val="sk-SK"/>
        </w:rPr>
        <w:t>liekovými formami</w:t>
      </w:r>
      <w:r w:rsidR="00F30F1B" w:rsidRPr="009D3DED">
        <w:rPr>
          <w:szCs w:val="22"/>
          <w:lang w:val="sk-SK"/>
        </w:rPr>
        <w:t xml:space="preserve"> obsahujúcimi </w:t>
      </w:r>
      <w:r w:rsidR="004D7461">
        <w:rPr>
          <w:szCs w:val="22"/>
          <w:lang w:val="sk-SK"/>
        </w:rPr>
        <w:t>iba</w:t>
      </w:r>
      <w:r w:rsidR="004D7461" w:rsidRPr="009D3DED">
        <w:rPr>
          <w:szCs w:val="22"/>
          <w:lang w:val="sk-SK"/>
        </w:rPr>
        <w:t xml:space="preserve"> </w:t>
      </w:r>
      <w:r w:rsidR="00F30F1B" w:rsidRPr="009D3DED">
        <w:rPr>
          <w:szCs w:val="22"/>
          <w:lang w:val="sk-SK"/>
        </w:rPr>
        <w:t>ibuprofén. Farmakokinetický profil kofeínu sa nemení prítomnosťou ibuprofénu a naopak</w:t>
      </w:r>
      <w:r w:rsidR="003519A1" w:rsidRPr="009D3DED">
        <w:rPr>
          <w:szCs w:val="22"/>
          <w:lang w:val="sk-SK"/>
        </w:rPr>
        <w:t>.</w:t>
      </w:r>
    </w:p>
    <w:p w14:paraId="0062370D" w14:textId="77777777" w:rsidR="003519A1" w:rsidRPr="009D3DED" w:rsidRDefault="003519A1">
      <w:pPr>
        <w:spacing w:line="240" w:lineRule="auto"/>
        <w:ind w:right="354"/>
        <w:rPr>
          <w:szCs w:val="22"/>
          <w:lang w:val="sk-SK"/>
        </w:rPr>
      </w:pPr>
    </w:p>
    <w:p w14:paraId="52E6AF95" w14:textId="094040E3" w:rsidR="003519A1" w:rsidRPr="009D3DED" w:rsidRDefault="001617F3">
      <w:pPr>
        <w:spacing w:line="240" w:lineRule="auto"/>
        <w:ind w:right="354"/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V podmienkach nalačno (po celonočnom hladovaní </w:t>
      </w:r>
      <w:r w:rsidR="003519A1" w:rsidRPr="009D3DED">
        <w:rPr>
          <w:szCs w:val="22"/>
          <w:lang w:val="sk-SK"/>
        </w:rPr>
        <w:t>(</w:t>
      </w:r>
      <w:r w:rsidR="00737734" w:rsidRPr="009D3DED">
        <w:rPr>
          <w:rFonts w:cs="Arial"/>
          <w:color w:val="000000"/>
          <w:lang w:val="sk-SK"/>
        </w:rPr>
        <w:t>≥</w:t>
      </w:r>
      <w:r w:rsidR="003519A1" w:rsidRPr="009D3DED">
        <w:rPr>
          <w:szCs w:val="22"/>
          <w:lang w:val="sk-SK"/>
        </w:rPr>
        <w:t xml:space="preserve"> 10 </w:t>
      </w:r>
      <w:r w:rsidRPr="009D3DED">
        <w:rPr>
          <w:szCs w:val="22"/>
          <w:lang w:val="sk-SK"/>
        </w:rPr>
        <w:t>hodín</w:t>
      </w:r>
      <w:r w:rsidR="003519A1" w:rsidRPr="009D3DED">
        <w:rPr>
          <w:szCs w:val="22"/>
          <w:lang w:val="sk-SK"/>
        </w:rPr>
        <w:t>) je</w:t>
      </w:r>
      <w:r w:rsidR="00737734" w:rsidRPr="009D3DED">
        <w:rPr>
          <w:szCs w:val="22"/>
          <w:lang w:val="sk-SK"/>
        </w:rPr>
        <w:t xml:space="preserve"> hodnota</w:t>
      </w:r>
      <w:r w:rsidR="003519A1" w:rsidRPr="009D3DED">
        <w:rPr>
          <w:szCs w:val="22"/>
          <w:lang w:val="sk-SK"/>
        </w:rPr>
        <w:t xml:space="preserve"> C</w:t>
      </w:r>
      <w:r w:rsidR="003519A1" w:rsidRPr="009D3DED">
        <w:rPr>
          <w:szCs w:val="22"/>
          <w:vertAlign w:val="subscript"/>
          <w:lang w:val="sk-SK"/>
        </w:rPr>
        <w:t>max</w:t>
      </w:r>
      <w:r w:rsidR="003519A1" w:rsidRPr="009D3DED">
        <w:rPr>
          <w:szCs w:val="22"/>
          <w:lang w:val="sk-SK"/>
        </w:rPr>
        <w:t xml:space="preserve"> </w:t>
      </w:r>
      <w:r w:rsidR="00C30552" w:rsidRPr="009D3DED">
        <w:rPr>
          <w:szCs w:val="22"/>
          <w:lang w:val="sk-SK"/>
        </w:rPr>
        <w:t>ibuprofén</w:t>
      </w:r>
      <w:r w:rsidR="00737734" w:rsidRPr="009D3DED">
        <w:rPr>
          <w:szCs w:val="22"/>
          <w:lang w:val="sk-SK"/>
        </w:rPr>
        <w:t>u</w:t>
      </w:r>
      <w:r w:rsidR="003519A1" w:rsidRPr="009D3DED">
        <w:rPr>
          <w:szCs w:val="22"/>
          <w:lang w:val="sk-SK"/>
        </w:rPr>
        <w:t xml:space="preserve"> z</w:t>
      </w:r>
      <w:r w:rsidR="00B84FCB">
        <w:rPr>
          <w:szCs w:val="22"/>
          <w:lang w:val="sk-SK"/>
        </w:rPr>
        <w:t> </w:t>
      </w:r>
      <w:r w:rsidR="005A15DF" w:rsidRPr="009D3DED">
        <w:rPr>
          <w:szCs w:val="22"/>
          <w:lang w:val="sk-SK"/>
        </w:rPr>
        <w:t>Ibalgin</w:t>
      </w:r>
      <w:r w:rsidR="004D7461">
        <w:rPr>
          <w:szCs w:val="22"/>
          <w:lang w:val="sk-SK"/>
        </w:rPr>
        <w:t>u</w:t>
      </w:r>
      <w:r w:rsidR="005A15DF" w:rsidRPr="009D3DED">
        <w:rPr>
          <w:szCs w:val="22"/>
          <w:lang w:val="sk-SK"/>
        </w:rPr>
        <w:t xml:space="preserve"> Plus</w:t>
      </w:r>
      <w:r w:rsidR="00EA23D1">
        <w:rPr>
          <w:szCs w:val="22"/>
          <w:lang w:val="sk-SK"/>
        </w:rPr>
        <w:t xml:space="preserve"> </w:t>
      </w:r>
      <w:r w:rsidR="003519A1" w:rsidRPr="009D3DED">
        <w:rPr>
          <w:szCs w:val="22"/>
          <w:lang w:val="sk-SK"/>
        </w:rPr>
        <w:t>nižš</w:t>
      </w:r>
      <w:r w:rsidR="00D22594" w:rsidRPr="009D3DED">
        <w:rPr>
          <w:szCs w:val="22"/>
          <w:lang w:val="sk-SK"/>
        </w:rPr>
        <w:t>ia</w:t>
      </w:r>
      <w:r w:rsidR="003519A1" w:rsidRPr="009D3DED">
        <w:rPr>
          <w:szCs w:val="22"/>
          <w:lang w:val="sk-SK"/>
        </w:rPr>
        <w:t xml:space="preserve"> (o 41,9</w:t>
      </w:r>
      <w:r w:rsidR="00737734" w:rsidRPr="009D3DED">
        <w:rPr>
          <w:szCs w:val="22"/>
          <w:lang w:val="sk-SK"/>
        </w:rPr>
        <w:t> </w:t>
      </w:r>
      <w:r w:rsidR="003519A1" w:rsidRPr="009D3DED">
        <w:rPr>
          <w:szCs w:val="22"/>
          <w:lang w:val="sk-SK"/>
        </w:rPr>
        <w:t xml:space="preserve">%) a </w:t>
      </w:r>
      <w:r w:rsidR="00737734" w:rsidRPr="009D3DED">
        <w:rPr>
          <w:szCs w:val="22"/>
          <w:lang w:val="sk-SK"/>
        </w:rPr>
        <w:t xml:space="preserve">hodnota </w:t>
      </w:r>
      <w:r w:rsidR="004D7461">
        <w:rPr>
          <w:szCs w:val="22"/>
          <w:lang w:val="sk-SK"/>
        </w:rPr>
        <w:t>t</w:t>
      </w:r>
      <w:r w:rsidR="003519A1" w:rsidRPr="009D3DED">
        <w:rPr>
          <w:szCs w:val="22"/>
          <w:vertAlign w:val="subscript"/>
          <w:lang w:val="sk-SK"/>
        </w:rPr>
        <w:t>max</w:t>
      </w:r>
      <w:r w:rsidRPr="009D3DED">
        <w:rPr>
          <w:szCs w:val="22"/>
          <w:lang w:val="sk-SK"/>
        </w:rPr>
        <w:t xml:space="preserve"> </w:t>
      </w:r>
      <w:r w:rsidR="00737734" w:rsidRPr="009D3DED">
        <w:rPr>
          <w:szCs w:val="22"/>
          <w:lang w:val="sk-SK"/>
        </w:rPr>
        <w:t xml:space="preserve">je </w:t>
      </w:r>
      <w:r w:rsidR="00D22594" w:rsidRPr="009D3DED">
        <w:rPr>
          <w:szCs w:val="22"/>
          <w:lang w:val="sk-SK"/>
        </w:rPr>
        <w:t>dlhšia</w:t>
      </w:r>
      <w:r w:rsidR="003519A1" w:rsidRPr="009D3DED">
        <w:rPr>
          <w:szCs w:val="22"/>
          <w:lang w:val="sk-SK"/>
        </w:rPr>
        <w:t xml:space="preserve"> (1,88 h vs. 0,50 h) </w:t>
      </w:r>
      <w:r w:rsidRPr="009D3DED">
        <w:rPr>
          <w:szCs w:val="22"/>
          <w:lang w:val="sk-SK"/>
        </w:rPr>
        <w:t>v porovnaní s</w:t>
      </w:r>
      <w:r w:rsidR="004D7461">
        <w:rPr>
          <w:szCs w:val="22"/>
          <w:lang w:val="sk-SK"/>
        </w:rPr>
        <w:t> </w:t>
      </w:r>
      <w:r w:rsidRPr="009D3DED">
        <w:rPr>
          <w:szCs w:val="22"/>
          <w:lang w:val="sk-SK"/>
        </w:rPr>
        <w:t>ibuprofén</w:t>
      </w:r>
      <w:r w:rsidR="004D7461">
        <w:rPr>
          <w:szCs w:val="22"/>
          <w:lang w:val="sk-SK"/>
        </w:rPr>
        <w:t>-</w:t>
      </w:r>
      <w:r w:rsidR="004F7447" w:rsidRPr="009D3DED">
        <w:rPr>
          <w:szCs w:val="22"/>
          <w:lang w:val="sk-SK"/>
        </w:rPr>
        <w:t>lyz</w:t>
      </w:r>
      <w:r w:rsidR="004D7461">
        <w:rPr>
          <w:szCs w:val="22"/>
          <w:lang w:val="sk-SK"/>
        </w:rPr>
        <w:t>ínom</w:t>
      </w:r>
      <w:r w:rsidRPr="009D3DED">
        <w:rPr>
          <w:szCs w:val="22"/>
          <w:lang w:val="sk-SK"/>
        </w:rPr>
        <w:t xml:space="preserve">. Expozícia bola u oboch </w:t>
      </w:r>
      <w:r w:rsidR="00B47776" w:rsidRPr="009D3DED">
        <w:rPr>
          <w:szCs w:val="22"/>
          <w:lang w:val="sk-SK"/>
        </w:rPr>
        <w:t>liekov</w:t>
      </w:r>
      <w:r w:rsidRPr="009D3DED">
        <w:rPr>
          <w:szCs w:val="22"/>
          <w:lang w:val="sk-SK"/>
        </w:rPr>
        <w:t xml:space="preserve"> ekvivalentná</w:t>
      </w:r>
      <w:r w:rsidR="003519A1" w:rsidRPr="009D3DED">
        <w:rPr>
          <w:szCs w:val="22"/>
          <w:lang w:val="sk-SK"/>
        </w:rPr>
        <w:t>.</w:t>
      </w:r>
    </w:p>
    <w:p w14:paraId="76EADA5E" w14:textId="77777777" w:rsidR="003519A1" w:rsidRPr="009D3DED" w:rsidRDefault="003519A1">
      <w:pPr>
        <w:spacing w:line="240" w:lineRule="auto"/>
        <w:ind w:right="354"/>
        <w:rPr>
          <w:szCs w:val="22"/>
          <w:lang w:val="sk-SK"/>
        </w:rPr>
      </w:pPr>
    </w:p>
    <w:p w14:paraId="2AC83E50" w14:textId="742593C4" w:rsidR="003519A1" w:rsidRPr="009D3DED" w:rsidRDefault="001617F3">
      <w:pPr>
        <w:spacing w:line="240" w:lineRule="auto"/>
        <w:ind w:right="354"/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Za podmienok </w:t>
      </w:r>
      <w:r w:rsidR="0099323E">
        <w:rPr>
          <w:szCs w:val="22"/>
          <w:lang w:val="sk-SK"/>
        </w:rPr>
        <w:t>nasýtenia</w:t>
      </w:r>
      <w:r w:rsidRPr="009D3DED">
        <w:rPr>
          <w:szCs w:val="22"/>
          <w:lang w:val="sk-SK"/>
        </w:rPr>
        <w:t xml:space="preserve"> je hodnota </w:t>
      </w:r>
      <w:r w:rsidR="003519A1" w:rsidRPr="009D3DED">
        <w:rPr>
          <w:szCs w:val="22"/>
          <w:lang w:val="sk-SK"/>
        </w:rPr>
        <w:t>C</w:t>
      </w:r>
      <w:r w:rsidR="003519A1" w:rsidRPr="009D3DED">
        <w:rPr>
          <w:szCs w:val="22"/>
          <w:vertAlign w:val="subscript"/>
          <w:lang w:val="sk-SK"/>
        </w:rPr>
        <w:t>max</w:t>
      </w:r>
      <w:r w:rsidR="00D66EED" w:rsidRPr="009D3DED">
        <w:rPr>
          <w:szCs w:val="22"/>
          <w:lang w:val="sk-SK"/>
        </w:rPr>
        <w:t xml:space="preserve"> vyššia</w:t>
      </w:r>
      <w:r w:rsidR="003519A1" w:rsidRPr="009D3DED">
        <w:rPr>
          <w:szCs w:val="22"/>
          <w:lang w:val="sk-SK"/>
        </w:rPr>
        <w:t xml:space="preserve"> (o 12,7</w:t>
      </w:r>
      <w:r w:rsidR="00737734" w:rsidRPr="009D3DED">
        <w:rPr>
          <w:szCs w:val="22"/>
          <w:lang w:val="sk-SK"/>
        </w:rPr>
        <w:t> </w:t>
      </w:r>
      <w:r w:rsidR="003519A1" w:rsidRPr="009D3DED">
        <w:rPr>
          <w:szCs w:val="22"/>
          <w:lang w:val="sk-SK"/>
        </w:rPr>
        <w:t xml:space="preserve">%) a </w:t>
      </w:r>
      <w:r w:rsidR="00737734" w:rsidRPr="009D3DED">
        <w:rPr>
          <w:szCs w:val="22"/>
          <w:lang w:val="sk-SK"/>
        </w:rPr>
        <w:t xml:space="preserve">hodnota </w:t>
      </w:r>
      <w:r w:rsidR="0099323E">
        <w:rPr>
          <w:szCs w:val="22"/>
          <w:lang w:val="sk-SK"/>
        </w:rPr>
        <w:t>t</w:t>
      </w:r>
      <w:r w:rsidR="003519A1" w:rsidRPr="009D3DED">
        <w:rPr>
          <w:szCs w:val="22"/>
          <w:vertAlign w:val="subscript"/>
          <w:lang w:val="sk-SK"/>
        </w:rPr>
        <w:t>max</w:t>
      </w:r>
      <w:r w:rsidR="003519A1" w:rsidRPr="009D3DED">
        <w:rPr>
          <w:szCs w:val="22"/>
          <w:lang w:val="sk-SK"/>
        </w:rPr>
        <w:t xml:space="preserve"> kratš</w:t>
      </w:r>
      <w:r w:rsidR="00D66EED" w:rsidRPr="009D3DED">
        <w:rPr>
          <w:szCs w:val="22"/>
          <w:lang w:val="sk-SK"/>
        </w:rPr>
        <w:t>ia</w:t>
      </w:r>
      <w:r w:rsidR="003519A1" w:rsidRPr="009D3DED">
        <w:rPr>
          <w:szCs w:val="22"/>
          <w:lang w:val="sk-SK"/>
        </w:rPr>
        <w:t xml:space="preserve"> (1,25 h vs. 1,625 h) </w:t>
      </w:r>
      <w:r w:rsidR="00737734" w:rsidRPr="009D3DED">
        <w:rPr>
          <w:szCs w:val="22"/>
          <w:lang w:val="sk-SK"/>
        </w:rPr>
        <w:t>pr</w:t>
      </w:r>
      <w:r w:rsidR="00D66EED" w:rsidRPr="009D3DED">
        <w:rPr>
          <w:szCs w:val="22"/>
          <w:lang w:val="sk-SK"/>
        </w:rPr>
        <w:t>e</w:t>
      </w:r>
      <w:r w:rsidR="00801193" w:rsidRPr="009D3DED">
        <w:rPr>
          <w:szCs w:val="22"/>
          <w:lang w:val="sk-SK"/>
        </w:rPr>
        <w:t> </w:t>
      </w:r>
      <w:r w:rsidR="00C30552" w:rsidRPr="009D3DED">
        <w:rPr>
          <w:szCs w:val="22"/>
          <w:lang w:val="sk-SK"/>
        </w:rPr>
        <w:t>ibuprofén</w:t>
      </w:r>
      <w:r w:rsidR="00737734" w:rsidRPr="009D3DED">
        <w:rPr>
          <w:szCs w:val="22"/>
          <w:lang w:val="sk-SK"/>
        </w:rPr>
        <w:t xml:space="preserve"> z  </w:t>
      </w:r>
      <w:r w:rsidR="005A15DF" w:rsidRPr="009D3DED">
        <w:rPr>
          <w:szCs w:val="22"/>
          <w:lang w:val="sk-SK"/>
        </w:rPr>
        <w:t>Ibalgin</w:t>
      </w:r>
      <w:r w:rsidR="0099323E">
        <w:rPr>
          <w:szCs w:val="22"/>
          <w:lang w:val="sk-SK"/>
        </w:rPr>
        <w:t>u</w:t>
      </w:r>
      <w:r w:rsidR="005A15DF" w:rsidRPr="009D3DED">
        <w:rPr>
          <w:szCs w:val="22"/>
          <w:lang w:val="sk-SK"/>
        </w:rPr>
        <w:t xml:space="preserve"> Plus</w:t>
      </w:r>
      <w:r w:rsidR="00EA23D1">
        <w:rPr>
          <w:szCs w:val="22"/>
          <w:lang w:val="sk-SK"/>
        </w:rPr>
        <w:t xml:space="preserve"> </w:t>
      </w:r>
      <w:r w:rsidRPr="009D3DED">
        <w:rPr>
          <w:szCs w:val="22"/>
          <w:lang w:val="sk-SK"/>
        </w:rPr>
        <w:t xml:space="preserve">v porovnaní s tabletou </w:t>
      </w:r>
      <w:r w:rsidR="0099323E">
        <w:rPr>
          <w:szCs w:val="22"/>
          <w:lang w:val="sk-SK"/>
        </w:rPr>
        <w:t xml:space="preserve">s obsahom </w:t>
      </w:r>
      <w:r w:rsidRPr="009D3DED">
        <w:rPr>
          <w:szCs w:val="22"/>
          <w:lang w:val="sk-SK"/>
        </w:rPr>
        <w:t>ibuprofén</w:t>
      </w:r>
      <w:r w:rsidR="0099323E">
        <w:rPr>
          <w:szCs w:val="22"/>
          <w:lang w:val="sk-SK"/>
        </w:rPr>
        <w:t>-</w:t>
      </w:r>
      <w:r w:rsidRPr="009D3DED">
        <w:rPr>
          <w:szCs w:val="22"/>
          <w:lang w:val="sk-SK"/>
        </w:rPr>
        <w:t>lyz</w:t>
      </w:r>
      <w:r w:rsidR="0099323E">
        <w:rPr>
          <w:szCs w:val="22"/>
          <w:lang w:val="sk-SK"/>
        </w:rPr>
        <w:t>ínu</w:t>
      </w:r>
      <w:r w:rsidRPr="009D3DED">
        <w:rPr>
          <w:szCs w:val="22"/>
          <w:lang w:val="sk-SK"/>
        </w:rPr>
        <w:t xml:space="preserve"> z referenčného lie</w:t>
      </w:r>
      <w:r w:rsidR="0099323E">
        <w:rPr>
          <w:szCs w:val="22"/>
          <w:lang w:val="sk-SK"/>
        </w:rPr>
        <w:t>ku</w:t>
      </w:r>
      <w:r w:rsidRPr="009D3DED">
        <w:rPr>
          <w:szCs w:val="22"/>
          <w:lang w:val="sk-SK"/>
        </w:rPr>
        <w:t xml:space="preserve">. Expozícia bola u oboch </w:t>
      </w:r>
      <w:r w:rsidR="0099323E">
        <w:rPr>
          <w:szCs w:val="22"/>
          <w:lang w:val="sk-SK"/>
        </w:rPr>
        <w:t>liekov</w:t>
      </w:r>
      <w:r w:rsidRPr="009D3DED">
        <w:rPr>
          <w:szCs w:val="22"/>
          <w:lang w:val="sk-SK"/>
        </w:rPr>
        <w:t xml:space="preserve"> ekvivalentná</w:t>
      </w:r>
      <w:r w:rsidR="00737734" w:rsidRPr="009D3DED">
        <w:rPr>
          <w:szCs w:val="22"/>
          <w:lang w:val="sk-SK"/>
        </w:rPr>
        <w:t>.</w:t>
      </w:r>
    </w:p>
    <w:p w14:paraId="4ECD400F" w14:textId="77777777" w:rsidR="00282D7E" w:rsidRPr="009D3DED" w:rsidRDefault="00282D7E" w:rsidP="00B84FCB">
      <w:pPr>
        <w:rPr>
          <w:b/>
          <w:szCs w:val="22"/>
          <w:lang w:val="sk-SK"/>
        </w:rPr>
      </w:pPr>
    </w:p>
    <w:p w14:paraId="331F6414" w14:textId="77777777" w:rsidR="001D29E6" w:rsidRPr="009D3DED" w:rsidRDefault="001D29E6">
      <w:pPr>
        <w:ind w:left="567" w:hanging="567"/>
        <w:rPr>
          <w:szCs w:val="22"/>
          <w:lang w:val="sk-SK"/>
        </w:rPr>
      </w:pPr>
      <w:r w:rsidRPr="009D3DED">
        <w:rPr>
          <w:b/>
          <w:szCs w:val="22"/>
          <w:lang w:val="sk-SK"/>
        </w:rPr>
        <w:t>5.3</w:t>
      </w:r>
      <w:r w:rsidRPr="009D3DED">
        <w:rPr>
          <w:b/>
          <w:szCs w:val="22"/>
          <w:lang w:val="sk-SK"/>
        </w:rPr>
        <w:tab/>
      </w:r>
      <w:r w:rsidR="00C70366" w:rsidRPr="009D3DED">
        <w:rPr>
          <w:b/>
          <w:szCs w:val="22"/>
          <w:lang w:val="sk-SK"/>
        </w:rPr>
        <w:t>Predklinické údaje o bezpečnosti</w:t>
      </w:r>
    </w:p>
    <w:p w14:paraId="564F2AEE" w14:textId="77777777" w:rsidR="007637EC" w:rsidRPr="009D3DED" w:rsidRDefault="007637EC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zh-CN" w:bidi="th-TH"/>
        </w:rPr>
      </w:pPr>
    </w:p>
    <w:p w14:paraId="362EDA3B" w14:textId="77777777" w:rsidR="00982D24" w:rsidRPr="009D3DED" w:rsidRDefault="00C30552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zh-CN" w:bidi="th-TH"/>
        </w:rPr>
      </w:pPr>
      <w:r w:rsidRPr="009D3DED">
        <w:rPr>
          <w:szCs w:val="22"/>
          <w:u w:val="single"/>
          <w:lang w:val="sk-SK" w:eastAsia="zh-CN" w:bidi="th-TH"/>
        </w:rPr>
        <w:t>Ibuprofén</w:t>
      </w:r>
    </w:p>
    <w:p w14:paraId="3E76E73F" w14:textId="1F2A115E" w:rsidR="008E4C0E" w:rsidRPr="009D3DED" w:rsidRDefault="001617F3">
      <w:pPr>
        <w:spacing w:line="240" w:lineRule="auto"/>
        <w:ind w:right="354"/>
        <w:rPr>
          <w:szCs w:val="22"/>
          <w:lang w:val="sk-SK"/>
        </w:rPr>
      </w:pPr>
      <w:r w:rsidRPr="009D3DED">
        <w:rPr>
          <w:rFonts w:cs="Arial"/>
          <w:color w:val="000000"/>
          <w:lang w:val="sk-SK"/>
        </w:rPr>
        <w:t>Subchronická a chronická toxicita ibuprofénu v experimentoch na zvieratách bola pozorovaná najmä vo forme lézií a ulceráci</w:t>
      </w:r>
      <w:r w:rsidR="00117F69" w:rsidRPr="009D3DED">
        <w:rPr>
          <w:rFonts w:cs="Arial"/>
          <w:color w:val="000000"/>
          <w:lang w:val="sk-SK"/>
        </w:rPr>
        <w:t>í</w:t>
      </w:r>
      <w:r w:rsidRPr="009D3DED">
        <w:rPr>
          <w:rFonts w:cs="Arial"/>
          <w:color w:val="000000"/>
          <w:lang w:val="sk-SK"/>
        </w:rPr>
        <w:t xml:space="preserve"> v gastrointestinálnom trakte. Štúdie </w:t>
      </w:r>
      <w:r w:rsidRPr="00F80F72">
        <w:rPr>
          <w:rFonts w:cs="Arial"/>
          <w:i/>
          <w:iCs/>
          <w:color w:val="000000"/>
          <w:lang w:val="sk-SK"/>
        </w:rPr>
        <w:t>in vitro</w:t>
      </w:r>
      <w:r w:rsidRPr="009D3DED">
        <w:rPr>
          <w:rFonts w:cs="Arial"/>
          <w:color w:val="000000"/>
          <w:lang w:val="sk-SK"/>
        </w:rPr>
        <w:t xml:space="preserve"> a </w:t>
      </w:r>
      <w:r w:rsidRPr="00F80F72">
        <w:rPr>
          <w:rFonts w:cs="Arial"/>
          <w:i/>
          <w:iCs/>
          <w:color w:val="000000"/>
          <w:lang w:val="sk-SK"/>
        </w:rPr>
        <w:t>in vivo</w:t>
      </w:r>
      <w:r w:rsidRPr="009D3DED">
        <w:rPr>
          <w:rFonts w:cs="Arial"/>
          <w:color w:val="000000"/>
          <w:lang w:val="sk-SK"/>
        </w:rPr>
        <w:t xml:space="preserve"> neposkytli žiadne klinicky relevantné dôkazy o mutagénnom potenciáli ibuprofénu. V štúdiách na potkanoch a myšiach nebol preukázaný karcinogénny účinok ibuprofénu. Ibuprofén nenarušil plodnosť u potkanov a štúdie na králikoch neposkytli žiadne dôkazy o teratogenite. U potkanov vyvolal ibuprofén matern</w:t>
      </w:r>
      <w:r w:rsidR="00962DA5" w:rsidRPr="009D3DED">
        <w:rPr>
          <w:rFonts w:cs="Arial"/>
          <w:color w:val="000000"/>
          <w:lang w:val="sk-SK"/>
        </w:rPr>
        <w:t xml:space="preserve">álnu </w:t>
      </w:r>
      <w:r w:rsidRPr="009D3DED">
        <w:rPr>
          <w:rFonts w:cs="Arial"/>
          <w:color w:val="000000"/>
          <w:lang w:val="sk-SK"/>
        </w:rPr>
        <w:t xml:space="preserve">a embryofetálnu toxicitu a takisto zvyšoval výskyt </w:t>
      </w:r>
      <w:r w:rsidR="000D6295">
        <w:rPr>
          <w:rFonts w:cs="Arial"/>
          <w:color w:val="000000"/>
          <w:lang w:val="sk-SK"/>
        </w:rPr>
        <w:t xml:space="preserve">porúch </w:t>
      </w:r>
      <w:r w:rsidR="000D6295" w:rsidRPr="000D6295">
        <w:rPr>
          <w:rFonts w:cs="Arial"/>
          <w:color w:val="000000"/>
          <w:lang w:val="sk-SK"/>
        </w:rPr>
        <w:t>kostry</w:t>
      </w:r>
      <w:r w:rsidRPr="009D3DED">
        <w:rPr>
          <w:rFonts w:cs="Arial"/>
          <w:color w:val="000000"/>
          <w:lang w:val="sk-SK"/>
        </w:rPr>
        <w:t xml:space="preserve"> pri vysokých hladinách perorálnych dávok (600 mg</w:t>
      </w:r>
      <w:r w:rsidR="00A472F7" w:rsidRPr="009D3DED">
        <w:rPr>
          <w:rFonts w:cs="Arial"/>
          <w:color w:val="000000"/>
          <w:lang w:val="sk-SK"/>
        </w:rPr>
        <w:t>/</w:t>
      </w:r>
      <w:r w:rsidRPr="009D3DED">
        <w:rPr>
          <w:rFonts w:cs="Arial"/>
          <w:color w:val="000000"/>
          <w:lang w:val="sk-SK"/>
        </w:rPr>
        <w:t>kg</w:t>
      </w:r>
      <w:r w:rsidR="00A472F7" w:rsidRPr="009D3DED">
        <w:rPr>
          <w:rFonts w:cs="Arial"/>
          <w:color w:val="000000"/>
          <w:lang w:val="sk-SK"/>
        </w:rPr>
        <w:t>/</w:t>
      </w:r>
      <w:r w:rsidRPr="009D3DED">
        <w:rPr>
          <w:rFonts w:cs="Arial"/>
          <w:color w:val="000000"/>
          <w:lang w:val="sk-SK"/>
        </w:rPr>
        <w:t xml:space="preserve">deň). Výskyt vonkajších </w:t>
      </w:r>
      <w:r w:rsidR="000D6295" w:rsidRPr="000D6295">
        <w:rPr>
          <w:rFonts w:cs="Arial"/>
          <w:color w:val="000000"/>
          <w:lang w:val="sk-SK"/>
        </w:rPr>
        <w:t>porúch</w:t>
      </w:r>
      <w:r w:rsidR="000D6295" w:rsidRPr="009D3DED">
        <w:rPr>
          <w:rFonts w:cs="Arial"/>
          <w:color w:val="000000"/>
          <w:lang w:val="sk-SK"/>
        </w:rPr>
        <w:t xml:space="preserve"> </w:t>
      </w:r>
      <w:r w:rsidRPr="009D3DED">
        <w:rPr>
          <w:rFonts w:cs="Arial"/>
          <w:color w:val="000000"/>
          <w:lang w:val="sk-SK"/>
        </w:rPr>
        <w:t>sa zvýšil pri dávkach 255 mg</w:t>
      </w:r>
      <w:r w:rsidR="00A472F7" w:rsidRPr="009D3DED">
        <w:rPr>
          <w:rFonts w:cs="Arial"/>
          <w:color w:val="000000"/>
          <w:lang w:val="sk-SK"/>
        </w:rPr>
        <w:t>/</w:t>
      </w:r>
      <w:r w:rsidRPr="009D3DED">
        <w:rPr>
          <w:rFonts w:cs="Arial"/>
          <w:color w:val="000000"/>
          <w:lang w:val="sk-SK"/>
        </w:rPr>
        <w:t>kg</w:t>
      </w:r>
      <w:r w:rsidR="00A472F7" w:rsidRPr="009D3DED">
        <w:rPr>
          <w:rFonts w:cs="Arial"/>
          <w:color w:val="000000"/>
          <w:lang w:val="sk-SK"/>
        </w:rPr>
        <w:t>/</w:t>
      </w:r>
      <w:r w:rsidRPr="009D3DED">
        <w:rPr>
          <w:rFonts w:cs="Arial"/>
          <w:color w:val="000000"/>
          <w:lang w:val="sk-SK"/>
        </w:rPr>
        <w:t>deň a vyšších. Experimentálne štúdie preukázali, že ibuprofén prechádza placentárnou bariérou</w:t>
      </w:r>
      <w:r w:rsidR="00982D24" w:rsidRPr="009D3DED">
        <w:rPr>
          <w:szCs w:val="22"/>
          <w:lang w:val="sk-SK"/>
        </w:rPr>
        <w:t>.</w:t>
      </w:r>
    </w:p>
    <w:p w14:paraId="72921F3F" w14:textId="77777777" w:rsidR="008E4C0E" w:rsidRPr="009D3DED" w:rsidRDefault="008E4C0E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zh-CN" w:bidi="th-TH"/>
        </w:rPr>
      </w:pPr>
    </w:p>
    <w:p w14:paraId="6AC5990A" w14:textId="77777777" w:rsidR="00982D24" w:rsidRPr="009D3DED" w:rsidRDefault="00542E76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zh-CN" w:bidi="th-TH"/>
        </w:rPr>
      </w:pPr>
      <w:r w:rsidRPr="009D3DED">
        <w:rPr>
          <w:szCs w:val="22"/>
          <w:u w:val="single"/>
          <w:lang w:val="sk-SK" w:eastAsia="zh-CN" w:bidi="th-TH"/>
        </w:rPr>
        <w:t>Kofeín</w:t>
      </w:r>
    </w:p>
    <w:p w14:paraId="398CF6DD" w14:textId="1B475D56" w:rsidR="00685ED1" w:rsidRPr="009D3DED" w:rsidRDefault="001617F3" w:rsidP="006053A6">
      <w:pPr>
        <w:spacing w:line="240" w:lineRule="auto"/>
        <w:ind w:right="354"/>
        <w:rPr>
          <w:szCs w:val="22"/>
          <w:lang w:val="sk-SK"/>
        </w:rPr>
      </w:pPr>
      <w:r w:rsidRPr="009D3DED">
        <w:rPr>
          <w:rFonts w:cs="Arial"/>
          <w:color w:val="000000"/>
          <w:lang w:val="sk-SK"/>
        </w:rPr>
        <w:t>Kofeín nebol mutagénny, ale bol klastogénn</w:t>
      </w:r>
      <w:r w:rsidR="00117F69" w:rsidRPr="009D3DED">
        <w:rPr>
          <w:rFonts w:cs="Arial"/>
          <w:color w:val="000000"/>
          <w:lang w:val="sk-SK"/>
        </w:rPr>
        <w:t>y</w:t>
      </w:r>
      <w:r w:rsidRPr="009D3DED">
        <w:rPr>
          <w:rFonts w:cs="Arial"/>
          <w:color w:val="000000"/>
          <w:lang w:val="sk-SK"/>
        </w:rPr>
        <w:t xml:space="preserve"> </w:t>
      </w:r>
      <w:r w:rsidR="00A472F7" w:rsidRPr="009D3DED">
        <w:rPr>
          <w:rFonts w:cs="Arial"/>
          <w:color w:val="000000"/>
          <w:lang w:val="sk-SK"/>
        </w:rPr>
        <w:t xml:space="preserve">a/alebo </w:t>
      </w:r>
      <w:r w:rsidRPr="009D3DED">
        <w:rPr>
          <w:rFonts w:cs="Arial"/>
          <w:color w:val="000000"/>
          <w:lang w:val="sk-SK"/>
        </w:rPr>
        <w:t xml:space="preserve">aneugenický v niekoľkých relevantných testoch genotoxicity </w:t>
      </w:r>
      <w:r w:rsidRPr="009D3DED">
        <w:rPr>
          <w:rFonts w:cs="Arial"/>
          <w:i/>
          <w:color w:val="000000"/>
          <w:lang w:val="sk-SK"/>
        </w:rPr>
        <w:t>in vitro</w:t>
      </w:r>
      <w:r w:rsidRPr="009D3DED">
        <w:rPr>
          <w:rFonts w:cs="Arial"/>
          <w:color w:val="000000"/>
          <w:lang w:val="sk-SK"/>
        </w:rPr>
        <w:t xml:space="preserve"> s obmedzenými dôkazmi </w:t>
      </w:r>
      <w:r w:rsidRPr="009D3DED">
        <w:rPr>
          <w:rFonts w:cs="Arial"/>
          <w:i/>
          <w:color w:val="000000"/>
          <w:lang w:val="sk-SK"/>
        </w:rPr>
        <w:t>in vivo</w:t>
      </w:r>
      <w:r w:rsidRPr="009D3DED">
        <w:rPr>
          <w:rFonts w:cs="Arial"/>
          <w:color w:val="000000"/>
          <w:lang w:val="sk-SK"/>
        </w:rPr>
        <w:t>. U experimentálnych zvierat alebo u ľudí neexistujú dostatočné dôkazy o karcinogenite. Bolo popísané, že kofeín v dávkach</w:t>
      </w:r>
      <w:r w:rsidR="001D3100">
        <w:rPr>
          <w:rFonts w:cs="Arial"/>
          <w:color w:val="000000"/>
          <w:lang w:val="sk-SK"/>
        </w:rPr>
        <w:t xml:space="preserve"> toxických pre matku</w:t>
      </w:r>
      <w:r w:rsidRPr="009D3DED">
        <w:rPr>
          <w:rFonts w:cs="Arial"/>
          <w:color w:val="000000"/>
          <w:lang w:val="sk-SK"/>
        </w:rPr>
        <w:t xml:space="preserve"> vyvoláva výv</w:t>
      </w:r>
      <w:r w:rsidR="001D3100">
        <w:rPr>
          <w:rFonts w:cs="Arial"/>
          <w:color w:val="000000"/>
          <w:lang w:val="sk-SK"/>
        </w:rPr>
        <w:t>inovu</w:t>
      </w:r>
      <w:r w:rsidRPr="009D3DED">
        <w:rPr>
          <w:rFonts w:cs="Arial"/>
          <w:color w:val="000000"/>
          <w:lang w:val="sk-SK"/>
        </w:rPr>
        <w:t xml:space="preserve"> inhibíciu kostrového </w:t>
      </w:r>
      <w:r w:rsidRPr="006053A6">
        <w:rPr>
          <w:rFonts w:cs="Arial"/>
          <w:color w:val="000000"/>
          <w:lang w:val="sk-SK"/>
        </w:rPr>
        <w:t xml:space="preserve">systému a </w:t>
      </w:r>
      <w:r w:rsidRPr="00F9152C">
        <w:rPr>
          <w:rFonts w:cs="Arial"/>
          <w:color w:val="000000"/>
          <w:lang w:val="sk-SK"/>
        </w:rPr>
        <w:t>hrubé</w:t>
      </w:r>
      <w:r w:rsidRPr="009D3DED">
        <w:rPr>
          <w:rFonts w:cs="Arial"/>
          <w:color w:val="000000"/>
          <w:lang w:val="sk-SK"/>
        </w:rPr>
        <w:t xml:space="preserve"> malformácie u laboratórnych zvierat, ktoré sú spôsobené  hemodynamickými poruchami</w:t>
      </w:r>
      <w:r w:rsidR="001D3100">
        <w:rPr>
          <w:rFonts w:cs="Arial"/>
          <w:color w:val="000000"/>
          <w:lang w:val="sk-SK"/>
        </w:rPr>
        <w:t xml:space="preserve"> u matky</w:t>
      </w:r>
      <w:r w:rsidRPr="009D3DED">
        <w:rPr>
          <w:rFonts w:cs="Arial"/>
          <w:color w:val="000000"/>
          <w:lang w:val="sk-SK"/>
        </w:rPr>
        <w:t xml:space="preserve">. Neexistujú však žiadne dôkazy, ktoré by </w:t>
      </w:r>
      <w:r w:rsidRPr="009D3DED">
        <w:rPr>
          <w:rFonts w:cs="Arial"/>
          <w:color w:val="000000"/>
          <w:lang w:val="sk-SK"/>
        </w:rPr>
        <w:lastRenderedPageBreak/>
        <w:t>preukazovali teratogénny účinok kofeínu u ľudí. Kofeín vo veľmi vysokých perorálnych dávkach ovplyvnil poimplant</w:t>
      </w:r>
      <w:r w:rsidR="00F9152C">
        <w:rPr>
          <w:rFonts w:cs="Arial"/>
          <w:color w:val="000000"/>
          <w:lang w:val="sk-SK"/>
        </w:rPr>
        <w:t>ačnú</w:t>
      </w:r>
      <w:r w:rsidRPr="009D3DED">
        <w:rPr>
          <w:rFonts w:cs="Arial"/>
          <w:color w:val="000000"/>
          <w:lang w:val="sk-SK"/>
        </w:rPr>
        <w:t xml:space="preserve"> mortalitu a index plodnosti u potkanov a myší. Klinický význam týchto účinkov na parametre plodnosti nie je známy</w:t>
      </w:r>
      <w:r w:rsidR="00982D24" w:rsidRPr="009D3DED">
        <w:rPr>
          <w:szCs w:val="22"/>
          <w:lang w:val="sk-SK"/>
        </w:rPr>
        <w:t>.</w:t>
      </w:r>
    </w:p>
    <w:p w14:paraId="6FE75B37" w14:textId="77777777" w:rsidR="009D4D51" w:rsidRPr="009D3DED" w:rsidRDefault="009D4D51">
      <w:pPr>
        <w:spacing w:line="240" w:lineRule="auto"/>
        <w:ind w:right="354"/>
        <w:rPr>
          <w:b/>
          <w:szCs w:val="22"/>
          <w:lang w:val="sk-SK"/>
        </w:rPr>
      </w:pPr>
    </w:p>
    <w:p w14:paraId="19A35281" w14:textId="77777777" w:rsidR="00A77176" w:rsidRPr="009D3DED" w:rsidRDefault="00566C10">
      <w:pPr>
        <w:rPr>
          <w:szCs w:val="22"/>
          <w:u w:val="single"/>
          <w:lang w:val="sk-SK"/>
        </w:rPr>
      </w:pPr>
      <w:r w:rsidRPr="009D3DED">
        <w:rPr>
          <w:szCs w:val="22"/>
          <w:u w:val="single"/>
          <w:lang w:val="sk-SK"/>
        </w:rPr>
        <w:t>Kombin</w:t>
      </w:r>
      <w:r w:rsidR="00117F69" w:rsidRPr="009D3DED">
        <w:rPr>
          <w:szCs w:val="22"/>
          <w:u w:val="single"/>
          <w:lang w:val="sk-SK"/>
        </w:rPr>
        <w:t>ácia</w:t>
      </w:r>
      <w:r w:rsidRPr="009D3DED">
        <w:rPr>
          <w:szCs w:val="22"/>
          <w:u w:val="single"/>
          <w:lang w:val="sk-SK"/>
        </w:rPr>
        <w:t xml:space="preserve"> </w:t>
      </w:r>
      <w:r w:rsidR="00C30552" w:rsidRPr="009D3DED">
        <w:rPr>
          <w:szCs w:val="22"/>
          <w:u w:val="single"/>
          <w:lang w:val="sk-SK"/>
        </w:rPr>
        <w:t>ibuprofén</w:t>
      </w:r>
      <w:r w:rsidR="00A77176" w:rsidRPr="009D3DED">
        <w:rPr>
          <w:szCs w:val="22"/>
          <w:u w:val="single"/>
          <w:lang w:val="sk-SK"/>
        </w:rPr>
        <w:t>/</w:t>
      </w:r>
      <w:r w:rsidR="00542E76" w:rsidRPr="009D3DED">
        <w:rPr>
          <w:szCs w:val="22"/>
          <w:u w:val="single"/>
          <w:lang w:val="sk-SK"/>
        </w:rPr>
        <w:t>kofeín</w:t>
      </w:r>
    </w:p>
    <w:p w14:paraId="29A0ECB7" w14:textId="4B0F93A7" w:rsidR="005745B7" w:rsidRPr="009D3DED" w:rsidRDefault="001617F3" w:rsidP="00AA5B78">
      <w:pPr>
        <w:ind w:right="352"/>
        <w:rPr>
          <w:szCs w:val="22"/>
          <w:lang w:val="sk-SK"/>
        </w:rPr>
      </w:pPr>
      <w:r w:rsidRPr="009D3DED">
        <w:rPr>
          <w:rFonts w:cs="Arial"/>
          <w:color w:val="000000"/>
          <w:lang w:val="sk-SK"/>
        </w:rPr>
        <w:t>V štúdii toxicity u samcov potkanov po opakovanej perorálnej dávke raz denne</w:t>
      </w:r>
      <w:r w:rsidR="001D3100">
        <w:rPr>
          <w:rFonts w:cs="Arial"/>
          <w:color w:val="000000"/>
          <w:lang w:val="sk-SK"/>
        </w:rPr>
        <w:t xml:space="preserve"> počas 7 dní</w:t>
      </w:r>
      <w:r w:rsidRPr="009D3DED">
        <w:rPr>
          <w:rFonts w:cs="Arial"/>
          <w:color w:val="000000"/>
          <w:lang w:val="sk-SK"/>
        </w:rPr>
        <w:t xml:space="preserve"> sa porovnávali dávky kombináci</w:t>
      </w:r>
      <w:r w:rsidR="001D3100">
        <w:rPr>
          <w:rFonts w:cs="Arial"/>
          <w:color w:val="000000"/>
          <w:lang w:val="sk-SK"/>
        </w:rPr>
        <w:t>e</w:t>
      </w:r>
      <w:r w:rsidRPr="009D3DED">
        <w:rPr>
          <w:rFonts w:cs="Arial"/>
          <w:color w:val="000000"/>
          <w:lang w:val="sk-SK"/>
        </w:rPr>
        <w:t xml:space="preserve"> ibuprofénu a kofeínu (120 mg</w:t>
      </w:r>
      <w:r w:rsidR="00A472F7" w:rsidRPr="009D3DED">
        <w:rPr>
          <w:rFonts w:cs="Arial"/>
          <w:color w:val="000000"/>
          <w:lang w:val="sk-SK"/>
        </w:rPr>
        <w:t>/</w:t>
      </w:r>
      <w:r w:rsidRPr="009D3DED">
        <w:rPr>
          <w:rFonts w:cs="Arial"/>
          <w:color w:val="000000"/>
          <w:lang w:val="sk-SK"/>
        </w:rPr>
        <w:t>30 mg a 180 mg</w:t>
      </w:r>
      <w:r w:rsidR="00A472F7" w:rsidRPr="009D3DED">
        <w:rPr>
          <w:rFonts w:cs="Arial"/>
          <w:color w:val="000000"/>
          <w:lang w:val="sk-SK"/>
        </w:rPr>
        <w:t>/</w:t>
      </w:r>
      <w:r w:rsidRPr="009D3DED">
        <w:rPr>
          <w:rFonts w:cs="Arial"/>
          <w:color w:val="000000"/>
          <w:lang w:val="sk-SK"/>
        </w:rPr>
        <w:t>45 mg na kg telesnej hmotnosti) s jednotlivými zložkami ibuprofén (120 a 180 mg</w:t>
      </w:r>
      <w:r w:rsidR="00A472F7" w:rsidRPr="009D3DED">
        <w:rPr>
          <w:rFonts w:cs="Arial"/>
          <w:color w:val="000000"/>
          <w:lang w:val="sk-SK"/>
        </w:rPr>
        <w:t>/</w:t>
      </w:r>
      <w:r w:rsidRPr="009D3DED">
        <w:rPr>
          <w:rFonts w:cs="Arial"/>
          <w:color w:val="000000"/>
          <w:lang w:val="sk-SK"/>
        </w:rPr>
        <w:t>kg telesnej hmotnosti ) a kofeín (30 a 45 mg</w:t>
      </w:r>
      <w:r w:rsidR="00A472F7" w:rsidRPr="009D3DED">
        <w:rPr>
          <w:rFonts w:cs="Arial"/>
          <w:color w:val="000000"/>
          <w:lang w:val="sk-SK"/>
        </w:rPr>
        <w:t>/</w:t>
      </w:r>
      <w:r w:rsidRPr="009D3DED">
        <w:rPr>
          <w:rFonts w:cs="Arial"/>
          <w:color w:val="000000"/>
          <w:lang w:val="sk-SK"/>
        </w:rPr>
        <w:t>kg telesnej hmotnosti) a</w:t>
      </w:r>
      <w:r w:rsidR="00117F69" w:rsidRPr="009D3DED">
        <w:rPr>
          <w:rFonts w:cs="Arial"/>
          <w:color w:val="000000"/>
          <w:lang w:val="sk-SK"/>
        </w:rPr>
        <w:t xml:space="preserve"> </w:t>
      </w:r>
      <w:r w:rsidRPr="009D3DED">
        <w:rPr>
          <w:rFonts w:cs="Arial"/>
          <w:color w:val="000000"/>
          <w:lang w:val="sk-SK"/>
        </w:rPr>
        <w:t xml:space="preserve">s </w:t>
      </w:r>
      <w:r w:rsidR="00962DA5" w:rsidRPr="009D3DED">
        <w:rPr>
          <w:rFonts w:cs="Arial"/>
          <w:color w:val="000000"/>
          <w:lang w:val="sk-SK"/>
        </w:rPr>
        <w:t>vehikulom</w:t>
      </w:r>
      <w:r w:rsidRPr="009D3DED">
        <w:rPr>
          <w:rFonts w:cs="Arial"/>
          <w:color w:val="000000"/>
          <w:lang w:val="sk-SK"/>
        </w:rPr>
        <w:t xml:space="preserve">. Expozícia ibuprofénu a kofeínu u zvierat bola výrazne vyššia ako u ľudí pri odporúčanej terapeutickej dávke. Pri kombinácii </w:t>
      </w:r>
      <w:r w:rsidR="00117F69" w:rsidRPr="009D3DED">
        <w:rPr>
          <w:rFonts w:cs="Arial"/>
          <w:color w:val="000000"/>
          <w:lang w:val="sk-SK"/>
        </w:rPr>
        <w:t>i</w:t>
      </w:r>
      <w:r w:rsidR="00A70801" w:rsidRPr="009D3DED">
        <w:rPr>
          <w:rFonts w:cs="Arial"/>
          <w:color w:val="000000"/>
          <w:lang w:val="sk-SK"/>
        </w:rPr>
        <w:t>buprofén</w:t>
      </w:r>
      <w:r w:rsidR="00A472F7" w:rsidRPr="009D3DED">
        <w:rPr>
          <w:rFonts w:cs="Arial"/>
          <w:color w:val="000000"/>
          <w:lang w:val="sk-SK"/>
        </w:rPr>
        <w:t>/</w:t>
      </w:r>
      <w:r w:rsidRPr="009D3DED">
        <w:rPr>
          <w:rFonts w:cs="Arial"/>
          <w:color w:val="000000"/>
          <w:lang w:val="sk-SK"/>
        </w:rPr>
        <w:t>kofeín v porovnaní s ibuprofénom ako samostatn</w:t>
      </w:r>
      <w:r w:rsidR="002B3A3B">
        <w:rPr>
          <w:rFonts w:cs="Arial"/>
          <w:color w:val="000000"/>
          <w:lang w:val="sk-SK"/>
        </w:rPr>
        <w:t>ým</w:t>
      </w:r>
      <w:r w:rsidRPr="009D3DED">
        <w:rPr>
          <w:rFonts w:cs="Arial"/>
          <w:color w:val="000000"/>
          <w:lang w:val="sk-SK"/>
        </w:rPr>
        <w:t xml:space="preserve"> </w:t>
      </w:r>
      <w:r w:rsidR="002B3A3B">
        <w:rPr>
          <w:rFonts w:cs="Arial"/>
          <w:color w:val="000000"/>
          <w:lang w:val="sk-SK"/>
        </w:rPr>
        <w:t>liečivom</w:t>
      </w:r>
      <w:r w:rsidRPr="009D3DED">
        <w:rPr>
          <w:rFonts w:cs="Arial"/>
          <w:color w:val="000000"/>
          <w:lang w:val="sk-SK"/>
        </w:rPr>
        <w:t xml:space="preserve"> neboli pozorované žiadne </w:t>
      </w:r>
      <w:r w:rsidR="002B3A3B">
        <w:rPr>
          <w:rFonts w:cs="Arial"/>
          <w:color w:val="000000"/>
          <w:lang w:val="sk-SK"/>
        </w:rPr>
        <w:t>náznaky</w:t>
      </w:r>
      <w:r w:rsidRPr="009D3DED">
        <w:rPr>
          <w:rFonts w:cs="Arial"/>
          <w:color w:val="000000"/>
          <w:lang w:val="sk-SK"/>
        </w:rPr>
        <w:t xml:space="preserve"> neočakávaných toxikologických lézií ani významné zvýšenia toxicity</w:t>
      </w:r>
      <w:r w:rsidR="002B3A3B">
        <w:rPr>
          <w:rFonts w:cs="Arial"/>
          <w:color w:val="000000"/>
          <w:lang w:val="sk-SK"/>
        </w:rPr>
        <w:t xml:space="preserve"> v gastrointestinálnom trakte</w:t>
      </w:r>
      <w:r w:rsidR="005745B7" w:rsidRPr="009D3DED">
        <w:rPr>
          <w:szCs w:val="22"/>
          <w:lang w:val="sk-SK"/>
        </w:rPr>
        <w:t>.</w:t>
      </w:r>
    </w:p>
    <w:p w14:paraId="1DA5F7C2" w14:textId="77777777" w:rsidR="00A77176" w:rsidRPr="009D3DED" w:rsidRDefault="00A77176" w:rsidP="00FF309C">
      <w:pPr>
        <w:rPr>
          <w:szCs w:val="22"/>
          <w:lang w:val="sk-SK"/>
        </w:rPr>
      </w:pPr>
    </w:p>
    <w:p w14:paraId="031E87B3" w14:textId="06925CF7" w:rsidR="005745B7" w:rsidRPr="009D3DED" w:rsidRDefault="001617F3" w:rsidP="00AA5B78">
      <w:pPr>
        <w:ind w:right="352"/>
        <w:rPr>
          <w:szCs w:val="22"/>
          <w:lang w:val="sk-SK"/>
        </w:rPr>
      </w:pPr>
      <w:r w:rsidRPr="009D3DED">
        <w:rPr>
          <w:rFonts w:cs="Arial"/>
          <w:color w:val="000000"/>
          <w:lang w:val="sk-SK"/>
        </w:rPr>
        <w:t xml:space="preserve">Vo farmakologickej štúdii bezpečnosti </w:t>
      </w:r>
      <w:r w:rsidR="00FF309C">
        <w:rPr>
          <w:rFonts w:cs="Arial"/>
          <w:color w:val="000000"/>
          <w:lang w:val="sk-SK"/>
        </w:rPr>
        <w:t>na</w:t>
      </w:r>
      <w:r w:rsidRPr="009D3DED">
        <w:rPr>
          <w:rFonts w:cs="Arial"/>
          <w:color w:val="000000"/>
          <w:lang w:val="sk-SK"/>
        </w:rPr>
        <w:t xml:space="preserve"> pso</w:t>
      </w:r>
      <w:r w:rsidR="00FF309C">
        <w:rPr>
          <w:rFonts w:cs="Arial"/>
          <w:color w:val="000000"/>
          <w:lang w:val="sk-SK"/>
        </w:rPr>
        <w:t>ch</w:t>
      </w:r>
      <w:r w:rsidRPr="009D3DED">
        <w:rPr>
          <w:rFonts w:cs="Arial"/>
          <w:color w:val="000000"/>
          <w:lang w:val="sk-SK"/>
        </w:rPr>
        <w:t>, v ktorej boli jednotlivé dávky kombinácie ibuprofénu a kofeínu (50 mg</w:t>
      </w:r>
      <w:r w:rsidR="00A472F7" w:rsidRPr="009D3DED">
        <w:rPr>
          <w:rFonts w:cs="Arial"/>
          <w:color w:val="000000"/>
          <w:lang w:val="sk-SK"/>
        </w:rPr>
        <w:t>/</w:t>
      </w:r>
      <w:r w:rsidRPr="009D3DED">
        <w:rPr>
          <w:rFonts w:cs="Arial"/>
          <w:color w:val="000000"/>
          <w:lang w:val="sk-SK"/>
        </w:rPr>
        <w:t>12,5 mg na kg telesnej hmotnosti) porovnávané s jednotlivými zložkami ibuprofén (50 mg</w:t>
      </w:r>
      <w:r w:rsidR="00A472F7" w:rsidRPr="009D3DED">
        <w:rPr>
          <w:rFonts w:cs="Arial"/>
          <w:color w:val="000000"/>
          <w:lang w:val="sk-SK"/>
        </w:rPr>
        <w:t>/</w:t>
      </w:r>
      <w:r w:rsidRPr="009D3DED">
        <w:rPr>
          <w:rFonts w:cs="Arial"/>
          <w:color w:val="000000"/>
          <w:lang w:val="sk-SK"/>
        </w:rPr>
        <w:t>kg telesnej hmotnosti) a kofeín (12,5 mg</w:t>
      </w:r>
      <w:r w:rsidR="00A472F7" w:rsidRPr="009D3DED">
        <w:rPr>
          <w:rFonts w:cs="Arial"/>
          <w:color w:val="000000"/>
          <w:lang w:val="sk-SK"/>
        </w:rPr>
        <w:t>/</w:t>
      </w:r>
      <w:r w:rsidRPr="009D3DED">
        <w:rPr>
          <w:rFonts w:cs="Arial"/>
          <w:color w:val="000000"/>
          <w:lang w:val="sk-SK"/>
        </w:rPr>
        <w:t>kg telesnej hmotnosti) a</w:t>
      </w:r>
      <w:r w:rsidR="00117F69" w:rsidRPr="009D3DED">
        <w:rPr>
          <w:rFonts w:cs="Arial"/>
          <w:color w:val="000000"/>
          <w:lang w:val="sk-SK"/>
        </w:rPr>
        <w:t xml:space="preserve"> </w:t>
      </w:r>
      <w:r w:rsidRPr="009D3DED">
        <w:rPr>
          <w:rFonts w:cs="Arial"/>
          <w:color w:val="000000"/>
          <w:lang w:val="sk-SK"/>
        </w:rPr>
        <w:t xml:space="preserve">s </w:t>
      </w:r>
      <w:r w:rsidR="00962DA5" w:rsidRPr="009D3DED">
        <w:rPr>
          <w:rFonts w:cs="Arial"/>
          <w:color w:val="000000"/>
          <w:lang w:val="sk-SK"/>
        </w:rPr>
        <w:t>vehikulom</w:t>
      </w:r>
      <w:r w:rsidRPr="009D3DED">
        <w:rPr>
          <w:rFonts w:cs="Arial"/>
          <w:color w:val="000000"/>
          <w:lang w:val="sk-SK"/>
        </w:rPr>
        <w:t>, a ktorá zahŕňala telemetrické vyhodnotenie kardiovaskulárnych účinkov, vrátane účinkov na krvný tlak, srdcovú frekvenciu a elektrokardiogram (EKG), kombinácia ibuprofénu a kofeínu n</w:t>
      </w:r>
      <w:r w:rsidR="00FF309C">
        <w:rPr>
          <w:rFonts w:cs="Arial"/>
          <w:color w:val="000000"/>
          <w:lang w:val="sk-SK"/>
        </w:rPr>
        <w:t>epredstavovala</w:t>
      </w:r>
      <w:r w:rsidRPr="009D3DED">
        <w:rPr>
          <w:rFonts w:cs="Arial"/>
          <w:color w:val="000000"/>
          <w:lang w:val="sk-SK"/>
        </w:rPr>
        <w:t xml:space="preserve"> žiadne </w:t>
      </w:r>
      <w:r w:rsidR="00FF309C">
        <w:rPr>
          <w:rFonts w:cs="Arial"/>
          <w:color w:val="000000"/>
          <w:lang w:val="sk-SK"/>
        </w:rPr>
        <w:t> </w:t>
      </w:r>
      <w:r w:rsidRPr="009D3DED">
        <w:rPr>
          <w:rFonts w:cs="Arial"/>
          <w:color w:val="000000"/>
          <w:lang w:val="sk-SK"/>
        </w:rPr>
        <w:t>bezpečno</w:t>
      </w:r>
      <w:r w:rsidR="00FF309C">
        <w:rPr>
          <w:rFonts w:cs="Arial"/>
          <w:color w:val="000000"/>
          <w:lang w:val="sk-SK"/>
        </w:rPr>
        <w:t>stné riziká</w:t>
      </w:r>
      <w:r w:rsidRPr="009D3DED">
        <w:rPr>
          <w:rFonts w:cs="Arial"/>
          <w:color w:val="000000"/>
          <w:lang w:val="sk-SK"/>
        </w:rPr>
        <w:t xml:space="preserve"> pri systémovej expozícii ibuprofénu a kofeínu, ktorá výrazne prekročila príslušné expozície u ľudí pri odporúčanej terapeutickej dávke. Neboli preukázané žiadne relevantné farmakodynamické interakcie medzi kofeínom a ibuprofénom</w:t>
      </w:r>
      <w:r w:rsidR="005745B7" w:rsidRPr="009D3DED">
        <w:rPr>
          <w:szCs w:val="22"/>
          <w:lang w:val="sk-SK"/>
        </w:rPr>
        <w:t>.</w:t>
      </w:r>
    </w:p>
    <w:p w14:paraId="454896AC" w14:textId="77777777" w:rsidR="00A47C9C" w:rsidRPr="009D3DED" w:rsidRDefault="00A47C9C" w:rsidP="00FF309C">
      <w:pPr>
        <w:rPr>
          <w:szCs w:val="22"/>
          <w:lang w:val="sk-SK"/>
        </w:rPr>
      </w:pPr>
    </w:p>
    <w:p w14:paraId="0CC92A9E" w14:textId="39F904D9" w:rsidR="00A47C9C" w:rsidRPr="009D3DED" w:rsidRDefault="00FF309C" w:rsidP="00FF309C">
      <w:pPr>
        <w:rPr>
          <w:iCs/>
          <w:color w:val="000000"/>
          <w:lang w:val="sk-SK"/>
        </w:rPr>
      </w:pPr>
      <w:r>
        <w:rPr>
          <w:iCs/>
          <w:color w:val="000000"/>
          <w:lang w:val="sk-SK"/>
        </w:rPr>
        <w:t>Liečivo</w:t>
      </w:r>
      <w:r w:rsidR="006E0469" w:rsidRPr="009D3DED">
        <w:rPr>
          <w:iCs/>
          <w:color w:val="000000"/>
          <w:lang w:val="sk-SK"/>
        </w:rPr>
        <w:t xml:space="preserve"> i</w:t>
      </w:r>
      <w:r w:rsidR="00C30552" w:rsidRPr="009D3DED">
        <w:rPr>
          <w:iCs/>
          <w:color w:val="000000"/>
          <w:lang w:val="sk-SK"/>
        </w:rPr>
        <w:t>buprofén</w:t>
      </w:r>
      <w:r w:rsidR="00541080" w:rsidRPr="009D3DED">
        <w:rPr>
          <w:iCs/>
          <w:color w:val="000000"/>
          <w:lang w:val="sk-SK"/>
        </w:rPr>
        <w:t xml:space="preserve"> </w:t>
      </w:r>
      <w:r w:rsidR="006E0469" w:rsidRPr="009D3DED">
        <w:rPr>
          <w:iCs/>
          <w:color w:val="000000"/>
          <w:lang w:val="sk-SK"/>
        </w:rPr>
        <w:t>môže predstavovať riziko pre</w:t>
      </w:r>
      <w:r w:rsidR="001617F3" w:rsidRPr="009D3DED">
        <w:rPr>
          <w:iCs/>
          <w:color w:val="000000"/>
          <w:lang w:val="sk-SK"/>
        </w:rPr>
        <w:t xml:space="preserve"> vodné prostredie</w:t>
      </w:r>
      <w:r w:rsidR="006E0469" w:rsidRPr="009D3DED">
        <w:rPr>
          <w:iCs/>
          <w:color w:val="000000"/>
          <w:lang w:val="sk-SK"/>
        </w:rPr>
        <w:t xml:space="preserve">, hlavne pre ryby </w:t>
      </w:r>
      <w:r w:rsidR="00541080" w:rsidRPr="009D3DED">
        <w:rPr>
          <w:iCs/>
          <w:color w:val="000000"/>
          <w:lang w:val="sk-SK"/>
        </w:rPr>
        <w:t>(</w:t>
      </w:r>
      <w:r w:rsidR="00542E76" w:rsidRPr="009D3DED">
        <w:rPr>
          <w:iCs/>
          <w:color w:val="000000"/>
          <w:lang w:val="sk-SK"/>
        </w:rPr>
        <w:t>pozri časť</w:t>
      </w:r>
      <w:r w:rsidR="00541080" w:rsidRPr="009D3DED">
        <w:rPr>
          <w:iCs/>
          <w:color w:val="000000"/>
          <w:lang w:val="sk-SK"/>
        </w:rPr>
        <w:t xml:space="preserve"> 6.6)</w:t>
      </w:r>
      <w:r w:rsidR="00A47C9C" w:rsidRPr="009D3DED">
        <w:rPr>
          <w:iCs/>
          <w:color w:val="000000"/>
          <w:lang w:val="sk-SK"/>
        </w:rPr>
        <w:t>.</w:t>
      </w:r>
    </w:p>
    <w:p w14:paraId="1C74A99F" w14:textId="77777777" w:rsidR="00A402F4" w:rsidRPr="009D3DED" w:rsidRDefault="00A402F4">
      <w:pPr>
        <w:rPr>
          <w:iCs/>
          <w:color w:val="000000"/>
          <w:lang w:val="sk-SK"/>
        </w:rPr>
      </w:pPr>
    </w:p>
    <w:p w14:paraId="429BF168" w14:textId="77777777" w:rsidR="00A77176" w:rsidRPr="009D3DED" w:rsidRDefault="00A77176">
      <w:pPr>
        <w:rPr>
          <w:b/>
          <w:szCs w:val="22"/>
          <w:lang w:val="sk-SK"/>
        </w:rPr>
      </w:pPr>
    </w:p>
    <w:p w14:paraId="738908E8" w14:textId="77777777" w:rsidR="001D29E6" w:rsidRPr="009D3DED" w:rsidRDefault="001D29E6">
      <w:pPr>
        <w:ind w:left="567" w:hanging="567"/>
        <w:rPr>
          <w:b/>
          <w:szCs w:val="22"/>
          <w:lang w:val="sk-SK"/>
        </w:rPr>
      </w:pPr>
      <w:r w:rsidRPr="009D3DED">
        <w:rPr>
          <w:b/>
          <w:szCs w:val="22"/>
          <w:lang w:val="sk-SK"/>
        </w:rPr>
        <w:t>6.</w:t>
      </w:r>
      <w:r w:rsidRPr="009D3DED">
        <w:rPr>
          <w:b/>
          <w:szCs w:val="22"/>
          <w:lang w:val="sk-SK"/>
        </w:rPr>
        <w:tab/>
      </w:r>
      <w:r w:rsidR="00C70366" w:rsidRPr="009D3DED">
        <w:rPr>
          <w:b/>
          <w:szCs w:val="22"/>
          <w:lang w:val="sk-SK"/>
        </w:rPr>
        <w:t>FARMACEUTICKÉ INFORMÁCIE</w:t>
      </w:r>
    </w:p>
    <w:p w14:paraId="6B279C39" w14:textId="77777777" w:rsidR="001D29E6" w:rsidRPr="009D3DED" w:rsidRDefault="001D29E6">
      <w:pPr>
        <w:rPr>
          <w:b/>
          <w:szCs w:val="22"/>
          <w:lang w:val="sk-SK"/>
        </w:rPr>
      </w:pPr>
    </w:p>
    <w:p w14:paraId="69A11EEE" w14:textId="77777777" w:rsidR="001D29E6" w:rsidRPr="009D3DED" w:rsidRDefault="001D29E6">
      <w:pPr>
        <w:ind w:left="567" w:hanging="567"/>
        <w:rPr>
          <w:b/>
          <w:szCs w:val="22"/>
          <w:lang w:val="sk-SK"/>
        </w:rPr>
      </w:pPr>
      <w:r w:rsidRPr="009D3DED">
        <w:rPr>
          <w:b/>
          <w:szCs w:val="22"/>
          <w:lang w:val="sk-SK"/>
        </w:rPr>
        <w:t>6.1</w:t>
      </w:r>
      <w:r w:rsidRPr="009D3DED">
        <w:rPr>
          <w:b/>
          <w:szCs w:val="22"/>
          <w:lang w:val="sk-SK"/>
        </w:rPr>
        <w:tab/>
      </w:r>
      <w:r w:rsidR="00C70366" w:rsidRPr="009D3DED">
        <w:rPr>
          <w:b/>
          <w:szCs w:val="22"/>
          <w:lang w:val="sk-SK"/>
        </w:rPr>
        <w:t>Zoznam pomocných látok</w:t>
      </w:r>
    </w:p>
    <w:p w14:paraId="652C83C6" w14:textId="77777777" w:rsidR="001D29E6" w:rsidRPr="009D3DED" w:rsidRDefault="001D29E6">
      <w:pPr>
        <w:rPr>
          <w:szCs w:val="22"/>
          <w:lang w:val="sk-SK"/>
        </w:rPr>
      </w:pPr>
    </w:p>
    <w:p w14:paraId="77C831AC" w14:textId="77777777" w:rsidR="00445E1A" w:rsidRPr="009D3DED" w:rsidRDefault="001617F3">
      <w:pPr>
        <w:rPr>
          <w:szCs w:val="22"/>
          <w:u w:val="single"/>
          <w:lang w:val="sk-SK"/>
        </w:rPr>
      </w:pPr>
      <w:r w:rsidRPr="009D3DED">
        <w:rPr>
          <w:szCs w:val="22"/>
          <w:u w:val="single"/>
          <w:lang w:val="sk-SK"/>
        </w:rPr>
        <w:t>Jadro</w:t>
      </w:r>
      <w:r w:rsidR="00E21506" w:rsidRPr="009D3DED">
        <w:rPr>
          <w:szCs w:val="22"/>
          <w:u w:val="single"/>
          <w:lang w:val="sk-SK"/>
        </w:rPr>
        <w:t xml:space="preserve"> tablety</w:t>
      </w:r>
    </w:p>
    <w:p w14:paraId="56267F28" w14:textId="77777777" w:rsidR="00E21506" w:rsidRPr="009D3DED" w:rsidRDefault="006E0469">
      <w:pPr>
        <w:rPr>
          <w:szCs w:val="22"/>
          <w:lang w:val="sk-SK"/>
        </w:rPr>
      </w:pPr>
      <w:r w:rsidRPr="009D3DED">
        <w:rPr>
          <w:szCs w:val="22"/>
          <w:lang w:val="sk-SK"/>
        </w:rPr>
        <w:t>mikrokryštalická celulóza</w:t>
      </w:r>
    </w:p>
    <w:p w14:paraId="1DE8FC1F" w14:textId="213BBEAB" w:rsidR="00E21506" w:rsidRPr="009D3DED" w:rsidRDefault="008527C5">
      <w:pPr>
        <w:rPr>
          <w:szCs w:val="22"/>
          <w:lang w:val="sk-SK"/>
        </w:rPr>
      </w:pPr>
      <w:r>
        <w:rPr>
          <w:szCs w:val="22"/>
          <w:lang w:val="sk-SK"/>
        </w:rPr>
        <w:t>s</w:t>
      </w:r>
      <w:r w:rsidR="00E21506" w:rsidRPr="009D3DED">
        <w:rPr>
          <w:szCs w:val="22"/>
          <w:lang w:val="sk-SK"/>
        </w:rPr>
        <w:t xml:space="preserve">odná </w:t>
      </w:r>
      <w:r w:rsidR="001617F3" w:rsidRPr="009D3DED">
        <w:rPr>
          <w:szCs w:val="22"/>
          <w:lang w:val="sk-SK"/>
        </w:rPr>
        <w:t>soľ kroskarmelózy</w:t>
      </w:r>
    </w:p>
    <w:p w14:paraId="0E1CFBE5" w14:textId="1F39811E" w:rsidR="00E21506" w:rsidRPr="009D3DED" w:rsidRDefault="008527C5">
      <w:pPr>
        <w:rPr>
          <w:szCs w:val="22"/>
          <w:lang w:val="sk-SK"/>
        </w:rPr>
      </w:pPr>
      <w:r>
        <w:rPr>
          <w:szCs w:val="22"/>
          <w:lang w:val="sk-SK"/>
        </w:rPr>
        <w:t>k</w:t>
      </w:r>
      <w:r w:rsidR="00E21506" w:rsidRPr="009D3DED">
        <w:rPr>
          <w:szCs w:val="22"/>
          <w:lang w:val="sk-SK"/>
        </w:rPr>
        <w:t>oloidn</w:t>
      </w:r>
      <w:r>
        <w:rPr>
          <w:szCs w:val="22"/>
          <w:lang w:val="sk-SK"/>
        </w:rPr>
        <w:t>ý</w:t>
      </w:r>
      <w:r w:rsidR="00E21506" w:rsidRPr="009D3DED">
        <w:rPr>
          <w:szCs w:val="22"/>
          <w:lang w:val="sk-SK"/>
        </w:rPr>
        <w:t xml:space="preserve"> bezvodý oxid </w:t>
      </w:r>
      <w:r w:rsidR="001617F3" w:rsidRPr="009D3DED">
        <w:rPr>
          <w:szCs w:val="22"/>
          <w:lang w:val="sk-SK"/>
        </w:rPr>
        <w:t>kremičitý</w:t>
      </w:r>
    </w:p>
    <w:p w14:paraId="08F83060" w14:textId="35ADE199" w:rsidR="00E21506" w:rsidRPr="009D3DED" w:rsidRDefault="008527C5">
      <w:pPr>
        <w:rPr>
          <w:szCs w:val="22"/>
          <w:lang w:val="sk-SK"/>
        </w:rPr>
      </w:pPr>
      <w:r>
        <w:rPr>
          <w:szCs w:val="22"/>
          <w:lang w:val="sk-SK"/>
        </w:rPr>
        <w:t>s</w:t>
      </w:r>
      <w:r w:rsidR="00E21506" w:rsidRPr="009D3DED">
        <w:rPr>
          <w:szCs w:val="22"/>
          <w:lang w:val="sk-SK"/>
        </w:rPr>
        <w:t>tear</w:t>
      </w:r>
      <w:r>
        <w:rPr>
          <w:szCs w:val="22"/>
          <w:lang w:val="sk-SK"/>
        </w:rPr>
        <w:t>át</w:t>
      </w:r>
      <w:r w:rsidR="00E21506" w:rsidRPr="009D3DED">
        <w:rPr>
          <w:szCs w:val="22"/>
          <w:lang w:val="sk-SK"/>
        </w:rPr>
        <w:t xml:space="preserve"> </w:t>
      </w:r>
      <w:r w:rsidR="001617F3" w:rsidRPr="009D3DED">
        <w:rPr>
          <w:szCs w:val="22"/>
          <w:lang w:val="sk-SK"/>
        </w:rPr>
        <w:t>horečnatý</w:t>
      </w:r>
    </w:p>
    <w:p w14:paraId="34647E7C" w14:textId="77777777" w:rsidR="00CD6125" w:rsidRPr="009D3DED" w:rsidRDefault="00CD6125">
      <w:pPr>
        <w:rPr>
          <w:szCs w:val="22"/>
          <w:lang w:val="sk-SK"/>
        </w:rPr>
      </w:pPr>
    </w:p>
    <w:p w14:paraId="0E5529F3" w14:textId="77777777" w:rsidR="00445E1A" w:rsidRPr="009D3DED" w:rsidRDefault="00FD21DA">
      <w:pPr>
        <w:rPr>
          <w:szCs w:val="22"/>
          <w:u w:val="single"/>
          <w:lang w:val="sk-SK"/>
        </w:rPr>
      </w:pPr>
      <w:r w:rsidRPr="009D3DED">
        <w:rPr>
          <w:szCs w:val="22"/>
          <w:u w:val="single"/>
          <w:lang w:val="sk-SK"/>
        </w:rPr>
        <w:t>Obal tablety:</w:t>
      </w:r>
    </w:p>
    <w:p w14:paraId="74370D04" w14:textId="6AB48638" w:rsidR="00E21506" w:rsidRPr="009D3DED" w:rsidRDefault="008527C5">
      <w:pPr>
        <w:rPr>
          <w:szCs w:val="22"/>
          <w:lang w:val="sk-SK"/>
        </w:rPr>
      </w:pPr>
      <w:r>
        <w:rPr>
          <w:szCs w:val="22"/>
          <w:lang w:val="sk-SK"/>
        </w:rPr>
        <w:t>h</w:t>
      </w:r>
      <w:r w:rsidR="00117F69" w:rsidRPr="009D3DED">
        <w:rPr>
          <w:szCs w:val="22"/>
          <w:lang w:val="sk-SK"/>
        </w:rPr>
        <w:t>ydroxypropylmet</w:t>
      </w:r>
      <w:r w:rsidR="00E21506" w:rsidRPr="009D3DED">
        <w:rPr>
          <w:szCs w:val="22"/>
          <w:lang w:val="sk-SK"/>
        </w:rPr>
        <w:t>ylcelulóza</w:t>
      </w:r>
    </w:p>
    <w:p w14:paraId="7EFB4610" w14:textId="2A8DF1CE" w:rsidR="00E21506" w:rsidRPr="009D3DED" w:rsidRDefault="008527C5">
      <w:pPr>
        <w:rPr>
          <w:szCs w:val="22"/>
          <w:lang w:val="sk-SK"/>
        </w:rPr>
      </w:pPr>
      <w:r>
        <w:rPr>
          <w:szCs w:val="22"/>
          <w:lang w:val="sk-SK"/>
        </w:rPr>
        <w:t>h</w:t>
      </w:r>
      <w:r w:rsidR="00E21506" w:rsidRPr="009D3DED">
        <w:rPr>
          <w:szCs w:val="22"/>
          <w:lang w:val="sk-SK"/>
        </w:rPr>
        <w:t>ydroxypropylcelulóza</w:t>
      </w:r>
    </w:p>
    <w:p w14:paraId="08BBDE82" w14:textId="22822F0C" w:rsidR="00E21506" w:rsidRPr="009D3DED" w:rsidRDefault="008527C5">
      <w:pPr>
        <w:rPr>
          <w:szCs w:val="22"/>
          <w:lang w:val="sk-SK"/>
        </w:rPr>
      </w:pPr>
      <w:r>
        <w:rPr>
          <w:szCs w:val="22"/>
          <w:lang w:val="sk-SK"/>
        </w:rPr>
        <w:t>m</w:t>
      </w:r>
      <w:r w:rsidR="00E21506" w:rsidRPr="009D3DED">
        <w:rPr>
          <w:szCs w:val="22"/>
          <w:lang w:val="sk-SK"/>
        </w:rPr>
        <w:t>akrogol 6000</w:t>
      </w:r>
    </w:p>
    <w:p w14:paraId="2A53DD19" w14:textId="7753B693" w:rsidR="00CD6125" w:rsidRPr="009D3DED" w:rsidRDefault="008527C5">
      <w:pPr>
        <w:rPr>
          <w:szCs w:val="22"/>
          <w:lang w:val="sk-SK"/>
        </w:rPr>
      </w:pPr>
      <w:r>
        <w:rPr>
          <w:szCs w:val="22"/>
          <w:lang w:val="sk-SK"/>
        </w:rPr>
        <w:t>m</w:t>
      </w:r>
      <w:r w:rsidR="00E21506" w:rsidRPr="009D3DED">
        <w:rPr>
          <w:szCs w:val="22"/>
          <w:lang w:val="sk-SK"/>
        </w:rPr>
        <w:t>aste</w:t>
      </w:r>
      <w:r w:rsidR="00D76684" w:rsidRPr="009D3DED">
        <w:rPr>
          <w:szCs w:val="22"/>
          <w:lang w:val="sk-SK"/>
        </w:rPr>
        <w:t>nec</w:t>
      </w:r>
    </w:p>
    <w:p w14:paraId="6E55C093" w14:textId="61900FB9" w:rsidR="003B731B" w:rsidRPr="009D3DED" w:rsidRDefault="008527C5">
      <w:pPr>
        <w:rPr>
          <w:szCs w:val="22"/>
          <w:lang w:val="sk-SK"/>
        </w:rPr>
      </w:pPr>
      <w:r>
        <w:rPr>
          <w:szCs w:val="22"/>
          <w:lang w:val="sk-SK"/>
        </w:rPr>
        <w:t>o</w:t>
      </w:r>
      <w:r w:rsidR="00E21506" w:rsidRPr="009D3DED">
        <w:rPr>
          <w:szCs w:val="22"/>
          <w:lang w:val="sk-SK"/>
        </w:rPr>
        <w:t>xid titaničitý</w:t>
      </w:r>
      <w:r w:rsidR="00F35BBC" w:rsidRPr="009D3DED">
        <w:rPr>
          <w:szCs w:val="22"/>
          <w:lang w:val="sk-SK"/>
        </w:rPr>
        <w:t xml:space="preserve"> (E171)</w:t>
      </w:r>
    </w:p>
    <w:p w14:paraId="6AC9C5F4" w14:textId="77777777" w:rsidR="00FB21F9" w:rsidRPr="009D3DED" w:rsidRDefault="00FB21F9">
      <w:pPr>
        <w:rPr>
          <w:szCs w:val="22"/>
          <w:lang w:val="sk-SK"/>
        </w:rPr>
      </w:pPr>
    </w:p>
    <w:p w14:paraId="59BC19E6" w14:textId="77777777" w:rsidR="001D29E6" w:rsidRPr="009D3DED" w:rsidRDefault="001D29E6">
      <w:pPr>
        <w:ind w:left="567" w:hanging="567"/>
        <w:rPr>
          <w:szCs w:val="22"/>
          <w:lang w:val="sk-SK"/>
        </w:rPr>
      </w:pPr>
      <w:r w:rsidRPr="009D3DED">
        <w:rPr>
          <w:b/>
          <w:szCs w:val="22"/>
          <w:lang w:val="sk-SK"/>
        </w:rPr>
        <w:t>6.2</w:t>
      </w:r>
      <w:r w:rsidRPr="009D3DED">
        <w:rPr>
          <w:b/>
          <w:szCs w:val="22"/>
          <w:lang w:val="sk-SK"/>
        </w:rPr>
        <w:tab/>
      </w:r>
      <w:r w:rsidR="00E21506" w:rsidRPr="009D3DED">
        <w:rPr>
          <w:b/>
          <w:szCs w:val="22"/>
          <w:lang w:val="sk-SK"/>
        </w:rPr>
        <w:t>Inkompatibility</w:t>
      </w:r>
    </w:p>
    <w:p w14:paraId="203A7AED" w14:textId="77777777" w:rsidR="00FB21F9" w:rsidRPr="009D3DED" w:rsidRDefault="00FB21F9">
      <w:pPr>
        <w:rPr>
          <w:szCs w:val="22"/>
          <w:lang w:val="sk-SK"/>
        </w:rPr>
      </w:pPr>
    </w:p>
    <w:p w14:paraId="7E8A9EED" w14:textId="6EB822D1" w:rsidR="003B731B" w:rsidRPr="009D3DED" w:rsidRDefault="008527C5">
      <w:pPr>
        <w:rPr>
          <w:szCs w:val="22"/>
          <w:lang w:val="sk-SK"/>
        </w:rPr>
      </w:pPr>
      <w:r>
        <w:rPr>
          <w:lang w:val="sk-SK"/>
        </w:rPr>
        <w:t>Neaplikovateľné.</w:t>
      </w:r>
    </w:p>
    <w:p w14:paraId="26FFD938" w14:textId="77777777" w:rsidR="001D29E6" w:rsidRPr="009D3DED" w:rsidRDefault="001D29E6">
      <w:pPr>
        <w:rPr>
          <w:szCs w:val="22"/>
          <w:lang w:val="sk-SK"/>
        </w:rPr>
      </w:pPr>
    </w:p>
    <w:p w14:paraId="403CFB35" w14:textId="77777777" w:rsidR="001D29E6" w:rsidRPr="009D3DED" w:rsidRDefault="001D29E6">
      <w:pPr>
        <w:ind w:left="567" w:hanging="567"/>
        <w:rPr>
          <w:szCs w:val="22"/>
          <w:lang w:val="sk-SK"/>
        </w:rPr>
      </w:pPr>
      <w:r w:rsidRPr="009D3DED">
        <w:rPr>
          <w:b/>
          <w:szCs w:val="22"/>
          <w:lang w:val="sk-SK"/>
        </w:rPr>
        <w:t>6.3</w:t>
      </w:r>
      <w:r w:rsidRPr="009D3DED">
        <w:rPr>
          <w:b/>
          <w:szCs w:val="22"/>
          <w:lang w:val="sk-SK"/>
        </w:rPr>
        <w:tab/>
      </w:r>
      <w:r w:rsidR="007977D8" w:rsidRPr="009D3DED">
        <w:rPr>
          <w:b/>
          <w:szCs w:val="22"/>
          <w:lang w:val="sk-SK"/>
        </w:rPr>
        <w:t>Čas použiteľnosti</w:t>
      </w:r>
    </w:p>
    <w:p w14:paraId="7E7DED20" w14:textId="77777777" w:rsidR="003B731B" w:rsidRPr="009D3DED" w:rsidRDefault="003B731B">
      <w:pPr>
        <w:rPr>
          <w:szCs w:val="22"/>
          <w:lang w:val="sk-SK"/>
        </w:rPr>
      </w:pPr>
    </w:p>
    <w:p w14:paraId="3FFEF2C4" w14:textId="77777777" w:rsidR="001D29E6" w:rsidRPr="009D3DED" w:rsidRDefault="00685ED1">
      <w:pPr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3 </w:t>
      </w:r>
      <w:r w:rsidR="00E21506" w:rsidRPr="009D3DED">
        <w:rPr>
          <w:szCs w:val="22"/>
          <w:lang w:val="sk-SK"/>
        </w:rPr>
        <w:t>roky</w:t>
      </w:r>
    </w:p>
    <w:p w14:paraId="32B412B5" w14:textId="77777777" w:rsidR="008E43A6" w:rsidRPr="009D3DED" w:rsidRDefault="008E43A6">
      <w:pPr>
        <w:rPr>
          <w:b/>
          <w:szCs w:val="22"/>
          <w:lang w:val="sk-SK"/>
        </w:rPr>
      </w:pPr>
    </w:p>
    <w:p w14:paraId="413E8ADC" w14:textId="77777777" w:rsidR="001D29E6" w:rsidRPr="009D3DED" w:rsidRDefault="001D29E6">
      <w:pPr>
        <w:ind w:left="567" w:hanging="567"/>
        <w:rPr>
          <w:b/>
          <w:szCs w:val="22"/>
          <w:lang w:val="sk-SK"/>
        </w:rPr>
      </w:pPr>
      <w:r w:rsidRPr="009D3DED">
        <w:rPr>
          <w:b/>
          <w:szCs w:val="22"/>
          <w:lang w:val="sk-SK"/>
        </w:rPr>
        <w:t>6.4</w:t>
      </w:r>
      <w:r w:rsidRPr="009D3DED">
        <w:rPr>
          <w:b/>
          <w:szCs w:val="22"/>
          <w:lang w:val="sk-SK"/>
        </w:rPr>
        <w:tab/>
      </w:r>
      <w:r w:rsidR="007977D8" w:rsidRPr="009D3DED">
        <w:rPr>
          <w:b/>
          <w:szCs w:val="22"/>
          <w:lang w:val="sk-SK"/>
        </w:rPr>
        <w:t>Špeciálne upozornenia na uchovávanie</w:t>
      </w:r>
    </w:p>
    <w:p w14:paraId="17620359" w14:textId="77777777" w:rsidR="001D29E6" w:rsidRPr="009D3DED" w:rsidRDefault="001D29E6">
      <w:pPr>
        <w:rPr>
          <w:i/>
          <w:iCs/>
          <w:szCs w:val="22"/>
          <w:lang w:val="sk-SK"/>
        </w:rPr>
      </w:pPr>
    </w:p>
    <w:p w14:paraId="2627369D" w14:textId="291C9A5F" w:rsidR="001D29E6" w:rsidRPr="009D3DED" w:rsidRDefault="006E0469">
      <w:pPr>
        <w:rPr>
          <w:szCs w:val="22"/>
          <w:lang w:val="sk-SK"/>
        </w:rPr>
      </w:pPr>
      <w:r w:rsidRPr="009D3DED">
        <w:rPr>
          <w:szCs w:val="22"/>
          <w:lang w:val="sk-SK"/>
        </w:rPr>
        <w:t>Uchovávajte pre teplote do 25° C.</w:t>
      </w:r>
    </w:p>
    <w:p w14:paraId="4966F13D" w14:textId="77777777" w:rsidR="006E0469" w:rsidRPr="009D3DED" w:rsidRDefault="006E0469">
      <w:pPr>
        <w:rPr>
          <w:szCs w:val="22"/>
          <w:lang w:val="sk-SK"/>
        </w:rPr>
      </w:pPr>
    </w:p>
    <w:p w14:paraId="0D418096" w14:textId="77777777" w:rsidR="001D29E6" w:rsidRPr="009D3DED" w:rsidRDefault="00E21506">
      <w:pPr>
        <w:numPr>
          <w:ilvl w:val="1"/>
          <w:numId w:val="4"/>
        </w:numPr>
        <w:rPr>
          <w:b/>
          <w:szCs w:val="22"/>
          <w:lang w:val="sk-SK"/>
        </w:rPr>
      </w:pPr>
      <w:r w:rsidRPr="009D3DED">
        <w:rPr>
          <w:b/>
          <w:szCs w:val="22"/>
          <w:lang w:val="sk-SK"/>
        </w:rPr>
        <w:lastRenderedPageBreak/>
        <w:t xml:space="preserve">Druh obalu a obsah </w:t>
      </w:r>
      <w:r w:rsidR="007977D8" w:rsidRPr="009D3DED">
        <w:rPr>
          <w:b/>
          <w:szCs w:val="22"/>
          <w:lang w:val="sk-SK"/>
        </w:rPr>
        <w:t>balenia</w:t>
      </w:r>
    </w:p>
    <w:p w14:paraId="24EEC2A6" w14:textId="77777777" w:rsidR="001D29E6" w:rsidRPr="009D3DED" w:rsidRDefault="001D29E6">
      <w:pPr>
        <w:rPr>
          <w:szCs w:val="22"/>
          <w:lang w:val="sk-SK"/>
        </w:rPr>
      </w:pPr>
    </w:p>
    <w:p w14:paraId="76AE3112" w14:textId="77777777" w:rsidR="003B731B" w:rsidRPr="009D3DED" w:rsidRDefault="001617F3">
      <w:pPr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Nepriehľadný biely blister </w:t>
      </w:r>
      <w:r w:rsidR="00E21506" w:rsidRPr="009D3DED">
        <w:rPr>
          <w:szCs w:val="22"/>
          <w:lang w:val="sk-SK"/>
        </w:rPr>
        <w:t>(PVC/PVDC a hliníková fóli</w:t>
      </w:r>
      <w:r w:rsidR="00117F69" w:rsidRPr="009D3DED">
        <w:rPr>
          <w:szCs w:val="22"/>
          <w:lang w:val="sk-SK"/>
        </w:rPr>
        <w:t>a</w:t>
      </w:r>
      <w:r w:rsidR="00E21506" w:rsidRPr="009D3DED">
        <w:rPr>
          <w:szCs w:val="22"/>
          <w:lang w:val="sk-SK"/>
        </w:rPr>
        <w:t>)</w:t>
      </w:r>
      <w:r w:rsidR="00876649" w:rsidRPr="009D3DED">
        <w:rPr>
          <w:szCs w:val="22"/>
          <w:lang w:val="sk-SK"/>
        </w:rPr>
        <w:t>.</w:t>
      </w:r>
    </w:p>
    <w:p w14:paraId="139D666B" w14:textId="77777777" w:rsidR="00FB21F9" w:rsidRPr="009D3DED" w:rsidRDefault="00FB21F9">
      <w:pPr>
        <w:rPr>
          <w:szCs w:val="22"/>
          <w:lang w:val="sk-SK"/>
        </w:rPr>
      </w:pPr>
    </w:p>
    <w:p w14:paraId="6F9A2FE1" w14:textId="146C80B3" w:rsidR="00FB21F9" w:rsidRPr="007C1B2D" w:rsidRDefault="00E21506">
      <w:pPr>
        <w:rPr>
          <w:szCs w:val="22"/>
          <w:lang w:val="sk-SK"/>
        </w:rPr>
      </w:pPr>
      <w:r w:rsidRPr="007C1B2D">
        <w:rPr>
          <w:szCs w:val="22"/>
          <w:lang w:val="sk-SK"/>
        </w:rPr>
        <w:t>Balen</w:t>
      </w:r>
      <w:r w:rsidR="00EA5B26" w:rsidRPr="007C1B2D">
        <w:rPr>
          <w:szCs w:val="22"/>
          <w:lang w:val="sk-SK"/>
        </w:rPr>
        <w:t>ie</w:t>
      </w:r>
      <w:r w:rsidR="00E41178">
        <w:rPr>
          <w:szCs w:val="22"/>
          <w:lang w:val="sk-SK"/>
        </w:rPr>
        <w:t xml:space="preserve"> </w:t>
      </w:r>
      <w:r w:rsidR="00E6603A">
        <w:rPr>
          <w:szCs w:val="22"/>
          <w:lang w:val="sk-SK"/>
        </w:rPr>
        <w:t>po</w:t>
      </w:r>
      <w:r w:rsidR="00EA5B26" w:rsidRPr="007C1B2D">
        <w:rPr>
          <w:szCs w:val="22"/>
          <w:lang w:val="sk-SK"/>
        </w:rPr>
        <w:t xml:space="preserve"> </w:t>
      </w:r>
      <w:r w:rsidR="00FB21F9" w:rsidRPr="007C1B2D">
        <w:rPr>
          <w:szCs w:val="22"/>
          <w:lang w:val="sk-SK"/>
        </w:rPr>
        <w:t>6,</w:t>
      </w:r>
      <w:r w:rsidR="009119A0" w:rsidRPr="007C1B2D">
        <w:rPr>
          <w:szCs w:val="22"/>
          <w:lang w:val="sk-SK"/>
        </w:rPr>
        <w:t xml:space="preserve"> 10,</w:t>
      </w:r>
      <w:r w:rsidR="00FB21F9" w:rsidRPr="007C1B2D">
        <w:rPr>
          <w:szCs w:val="22"/>
          <w:lang w:val="sk-SK"/>
        </w:rPr>
        <w:t xml:space="preserve"> 12, 15, 18, 20 </w:t>
      </w:r>
      <w:r w:rsidRPr="007C1B2D">
        <w:rPr>
          <w:szCs w:val="22"/>
          <w:lang w:val="sk-SK"/>
        </w:rPr>
        <w:t>a</w:t>
      </w:r>
      <w:r w:rsidR="00E41178">
        <w:rPr>
          <w:szCs w:val="22"/>
          <w:lang w:val="sk-SK"/>
        </w:rPr>
        <w:t xml:space="preserve"> </w:t>
      </w:r>
      <w:r w:rsidR="00FB21F9" w:rsidRPr="007C1B2D">
        <w:rPr>
          <w:szCs w:val="22"/>
          <w:lang w:val="sk-SK"/>
        </w:rPr>
        <w:t xml:space="preserve">24 </w:t>
      </w:r>
      <w:r w:rsidR="00542E76" w:rsidRPr="007C1B2D">
        <w:rPr>
          <w:szCs w:val="22"/>
          <w:lang w:val="sk-SK"/>
        </w:rPr>
        <w:t>filmom obalen</w:t>
      </w:r>
      <w:r w:rsidRPr="007C1B2D">
        <w:rPr>
          <w:szCs w:val="22"/>
          <w:lang w:val="sk-SK"/>
        </w:rPr>
        <w:t>ých tabl</w:t>
      </w:r>
      <w:r w:rsidR="00433448" w:rsidRPr="007C1B2D">
        <w:rPr>
          <w:szCs w:val="22"/>
          <w:lang w:val="sk-SK"/>
        </w:rPr>
        <w:t>iet</w:t>
      </w:r>
      <w:r w:rsidR="00FB21F9" w:rsidRPr="007C1B2D">
        <w:rPr>
          <w:szCs w:val="22"/>
          <w:lang w:val="sk-SK"/>
        </w:rPr>
        <w:t>.</w:t>
      </w:r>
    </w:p>
    <w:p w14:paraId="08FBDA8B" w14:textId="77777777" w:rsidR="00A7173D" w:rsidRPr="009D3DED" w:rsidRDefault="00A7173D">
      <w:pPr>
        <w:rPr>
          <w:szCs w:val="22"/>
          <w:lang w:val="sk-SK"/>
        </w:rPr>
      </w:pPr>
    </w:p>
    <w:p w14:paraId="40FBCA15" w14:textId="77777777" w:rsidR="001D29E6" w:rsidRPr="009D3DED" w:rsidRDefault="002314F7">
      <w:pPr>
        <w:rPr>
          <w:szCs w:val="22"/>
          <w:lang w:val="sk-SK"/>
        </w:rPr>
      </w:pPr>
      <w:r w:rsidRPr="009D3DED">
        <w:rPr>
          <w:szCs w:val="22"/>
          <w:lang w:val="sk-SK"/>
        </w:rPr>
        <w:t>Na trh nemusia byť uvedené všetky veľkosti balenia</w:t>
      </w:r>
      <w:r w:rsidR="003B731B" w:rsidRPr="009D3DED">
        <w:rPr>
          <w:szCs w:val="22"/>
          <w:lang w:val="sk-SK"/>
        </w:rPr>
        <w:t>.</w:t>
      </w:r>
    </w:p>
    <w:p w14:paraId="16845B54" w14:textId="77777777" w:rsidR="00A7173D" w:rsidRPr="009D3DED" w:rsidRDefault="00A7173D">
      <w:pPr>
        <w:rPr>
          <w:szCs w:val="22"/>
          <w:lang w:val="sk-SK"/>
        </w:rPr>
      </w:pPr>
    </w:p>
    <w:p w14:paraId="6EB054DE" w14:textId="77777777" w:rsidR="001D29E6" w:rsidRPr="009D3DED" w:rsidRDefault="001D29E6">
      <w:pPr>
        <w:ind w:left="567" w:hanging="567"/>
        <w:outlineLvl w:val="0"/>
        <w:rPr>
          <w:szCs w:val="22"/>
          <w:lang w:val="sk-SK"/>
        </w:rPr>
      </w:pPr>
      <w:r w:rsidRPr="009D3DED">
        <w:rPr>
          <w:b/>
          <w:szCs w:val="22"/>
          <w:lang w:val="sk-SK"/>
        </w:rPr>
        <w:t>6.6</w:t>
      </w:r>
      <w:r w:rsidRPr="009D3DED">
        <w:rPr>
          <w:b/>
          <w:szCs w:val="22"/>
          <w:lang w:val="sk-SK"/>
        </w:rPr>
        <w:tab/>
      </w:r>
      <w:r w:rsidR="007977D8" w:rsidRPr="009D3DED">
        <w:rPr>
          <w:b/>
          <w:bCs/>
          <w:lang w:val="sk-SK"/>
        </w:rPr>
        <w:t>Špeciálne opatrenia na likvidáciu</w:t>
      </w:r>
      <w:r w:rsidR="00962DA5" w:rsidRPr="009D3DED">
        <w:rPr>
          <w:b/>
          <w:bCs/>
          <w:lang w:val="sk-SK"/>
        </w:rPr>
        <w:t xml:space="preserve"> </w:t>
      </w:r>
      <w:r w:rsidR="007977D8" w:rsidRPr="009D3DED">
        <w:rPr>
          <w:b/>
          <w:bCs/>
          <w:lang w:val="sk-SK"/>
        </w:rPr>
        <w:t>liek</w:t>
      </w:r>
      <w:r w:rsidR="00962DA5" w:rsidRPr="009D3DED">
        <w:rPr>
          <w:b/>
          <w:bCs/>
          <w:lang w:val="sk-SK"/>
        </w:rPr>
        <w:t>u</w:t>
      </w:r>
    </w:p>
    <w:p w14:paraId="7DB4C10E" w14:textId="77777777" w:rsidR="008E4C0E" w:rsidRPr="009D3DED" w:rsidRDefault="008E4C0E">
      <w:pPr>
        <w:rPr>
          <w:szCs w:val="22"/>
          <w:lang w:val="sk-SK"/>
        </w:rPr>
      </w:pPr>
    </w:p>
    <w:p w14:paraId="1A5F3265" w14:textId="77777777" w:rsidR="007A4541" w:rsidRPr="009D3DED" w:rsidRDefault="001617F3">
      <w:pPr>
        <w:rPr>
          <w:iCs/>
          <w:color w:val="000000"/>
          <w:lang w:val="sk-SK"/>
        </w:rPr>
      </w:pPr>
      <w:r w:rsidRPr="009D3DED">
        <w:rPr>
          <w:iCs/>
          <w:color w:val="000000"/>
          <w:lang w:val="sk-SK"/>
        </w:rPr>
        <w:t xml:space="preserve">Tento liek </w:t>
      </w:r>
      <w:r w:rsidR="006E0469" w:rsidRPr="009D3DED">
        <w:rPr>
          <w:iCs/>
          <w:color w:val="000000"/>
          <w:lang w:val="sk-SK"/>
        </w:rPr>
        <w:t xml:space="preserve">môže </w:t>
      </w:r>
      <w:r w:rsidRPr="009D3DED">
        <w:rPr>
          <w:iCs/>
          <w:color w:val="000000"/>
          <w:lang w:val="sk-SK"/>
        </w:rPr>
        <w:t>predstav</w:t>
      </w:r>
      <w:r w:rsidR="006E0469" w:rsidRPr="009D3DED">
        <w:rPr>
          <w:iCs/>
          <w:color w:val="000000"/>
          <w:lang w:val="sk-SK"/>
        </w:rPr>
        <w:t xml:space="preserve">ovať </w:t>
      </w:r>
      <w:r w:rsidRPr="009D3DED">
        <w:rPr>
          <w:iCs/>
          <w:color w:val="000000"/>
          <w:lang w:val="sk-SK"/>
        </w:rPr>
        <w:t xml:space="preserve">riziko pre životné prostredie </w:t>
      </w:r>
      <w:r w:rsidR="00541080" w:rsidRPr="009D3DED">
        <w:rPr>
          <w:iCs/>
          <w:color w:val="000000"/>
          <w:lang w:val="sk-SK"/>
        </w:rPr>
        <w:t>(</w:t>
      </w:r>
      <w:r w:rsidR="00542E76" w:rsidRPr="009D3DED">
        <w:rPr>
          <w:iCs/>
          <w:color w:val="000000"/>
          <w:lang w:val="sk-SK"/>
        </w:rPr>
        <w:t>pozri časť</w:t>
      </w:r>
      <w:r w:rsidR="00541080" w:rsidRPr="009D3DED">
        <w:rPr>
          <w:iCs/>
          <w:color w:val="000000"/>
          <w:lang w:val="sk-SK"/>
        </w:rPr>
        <w:t xml:space="preserve"> 5.3).</w:t>
      </w:r>
    </w:p>
    <w:p w14:paraId="511D0D5B" w14:textId="77777777" w:rsidR="007A4541" w:rsidRPr="009D3DED" w:rsidRDefault="007A4541">
      <w:pPr>
        <w:rPr>
          <w:szCs w:val="22"/>
          <w:lang w:val="sk-SK"/>
        </w:rPr>
      </w:pPr>
      <w:bookmarkStart w:id="1" w:name="_GoBack"/>
    </w:p>
    <w:p w14:paraId="36373A65" w14:textId="29F38F31" w:rsidR="001955E3" w:rsidRDefault="00AA5B78">
      <w:pPr>
        <w:rPr>
          <w:szCs w:val="22"/>
        </w:rPr>
      </w:pPr>
      <w:r w:rsidRPr="00C03EA6">
        <w:rPr>
          <w:szCs w:val="22"/>
        </w:rPr>
        <w:t>Všetok nepoužitý liek alebo odpad</w:t>
      </w:r>
      <w:r>
        <w:rPr>
          <w:szCs w:val="22"/>
        </w:rPr>
        <w:t xml:space="preserve"> </w:t>
      </w:r>
      <w:r w:rsidRPr="00C03EA6">
        <w:rPr>
          <w:szCs w:val="22"/>
        </w:rPr>
        <w:t>vzniknutý z lieku sa má zlikvidovať v súlade s národnými požiadavkami</w:t>
      </w:r>
      <w:r w:rsidR="00470FE1">
        <w:rPr>
          <w:szCs w:val="22"/>
        </w:rPr>
        <w:t>.</w:t>
      </w:r>
      <w:bookmarkEnd w:id="1"/>
    </w:p>
    <w:p w14:paraId="0B07166A" w14:textId="77777777" w:rsidR="00470FE1" w:rsidRPr="009D3DED" w:rsidRDefault="00470FE1">
      <w:pPr>
        <w:rPr>
          <w:szCs w:val="22"/>
          <w:lang w:val="sk-SK"/>
        </w:rPr>
      </w:pPr>
    </w:p>
    <w:p w14:paraId="7FC7F820" w14:textId="77777777" w:rsidR="0006409D" w:rsidRPr="009D3DED" w:rsidRDefault="0006409D">
      <w:pPr>
        <w:rPr>
          <w:szCs w:val="22"/>
          <w:lang w:val="sk-SK"/>
        </w:rPr>
      </w:pPr>
    </w:p>
    <w:p w14:paraId="3586CFBF" w14:textId="77777777" w:rsidR="001D29E6" w:rsidRPr="009D3DED" w:rsidRDefault="001D29E6">
      <w:pPr>
        <w:ind w:left="567" w:hanging="567"/>
        <w:rPr>
          <w:szCs w:val="22"/>
          <w:lang w:val="sk-SK"/>
        </w:rPr>
      </w:pPr>
      <w:r w:rsidRPr="009D3DED">
        <w:rPr>
          <w:b/>
          <w:szCs w:val="22"/>
          <w:lang w:val="sk-SK"/>
        </w:rPr>
        <w:t>7.</w:t>
      </w:r>
      <w:r w:rsidRPr="009D3DED">
        <w:rPr>
          <w:b/>
          <w:szCs w:val="22"/>
          <w:lang w:val="sk-SK"/>
        </w:rPr>
        <w:tab/>
      </w:r>
      <w:r w:rsidR="007977D8" w:rsidRPr="009D3DED">
        <w:rPr>
          <w:b/>
          <w:szCs w:val="22"/>
          <w:lang w:val="sk-SK"/>
        </w:rPr>
        <w:t>DRŽITEĽ ROZHODNUTIA O REGISTRÁCII</w:t>
      </w:r>
    </w:p>
    <w:p w14:paraId="0FDCB06D" w14:textId="77777777" w:rsidR="001D29E6" w:rsidRPr="009D3DED" w:rsidRDefault="001D29E6">
      <w:pPr>
        <w:rPr>
          <w:szCs w:val="22"/>
          <w:lang w:val="sk-SK"/>
        </w:rPr>
      </w:pPr>
    </w:p>
    <w:p w14:paraId="2068F781" w14:textId="77777777" w:rsidR="001D29E6" w:rsidRPr="009D3DED" w:rsidRDefault="006E0469">
      <w:pPr>
        <w:rPr>
          <w:szCs w:val="22"/>
          <w:lang w:val="sk-SK"/>
        </w:rPr>
      </w:pPr>
      <w:r w:rsidRPr="009D3DED">
        <w:rPr>
          <w:szCs w:val="22"/>
          <w:lang w:val="sk-SK"/>
        </w:rPr>
        <w:t>sanofi-aventis Slovakia s.r.o.</w:t>
      </w:r>
    </w:p>
    <w:p w14:paraId="75EBC249" w14:textId="77777777" w:rsidR="006E0469" w:rsidRPr="009D3DED" w:rsidRDefault="006E0469">
      <w:pPr>
        <w:rPr>
          <w:szCs w:val="22"/>
          <w:lang w:val="sk-SK"/>
        </w:rPr>
      </w:pPr>
      <w:r w:rsidRPr="009D3DED">
        <w:rPr>
          <w:szCs w:val="22"/>
          <w:lang w:val="sk-SK"/>
        </w:rPr>
        <w:t>Einsteinova 24</w:t>
      </w:r>
    </w:p>
    <w:p w14:paraId="70897416" w14:textId="77777777" w:rsidR="006E0469" w:rsidRPr="009D3DED" w:rsidRDefault="006E0469">
      <w:pPr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85101 Bratislava </w:t>
      </w:r>
    </w:p>
    <w:p w14:paraId="64375CB6" w14:textId="6D899EB6" w:rsidR="006E0469" w:rsidRPr="009D3DED" w:rsidRDefault="006E0469">
      <w:pPr>
        <w:rPr>
          <w:szCs w:val="22"/>
          <w:lang w:val="sk-SK"/>
        </w:rPr>
      </w:pPr>
      <w:r w:rsidRPr="009D3DED">
        <w:rPr>
          <w:szCs w:val="22"/>
          <w:lang w:val="sk-SK"/>
        </w:rPr>
        <w:t>Sloven</w:t>
      </w:r>
      <w:r w:rsidR="00FF1C13">
        <w:rPr>
          <w:szCs w:val="22"/>
          <w:lang w:val="sk-SK"/>
        </w:rPr>
        <w:t>s</w:t>
      </w:r>
      <w:r w:rsidRPr="009D3DED">
        <w:rPr>
          <w:szCs w:val="22"/>
          <w:lang w:val="sk-SK"/>
        </w:rPr>
        <w:t>ká republika</w:t>
      </w:r>
    </w:p>
    <w:p w14:paraId="3AECA189" w14:textId="77777777" w:rsidR="0006409D" w:rsidRDefault="0006409D">
      <w:pPr>
        <w:rPr>
          <w:szCs w:val="22"/>
          <w:lang w:val="sk-SK"/>
        </w:rPr>
      </w:pPr>
    </w:p>
    <w:p w14:paraId="2FD645BC" w14:textId="77777777" w:rsidR="00132E9B" w:rsidRPr="009D3DED" w:rsidRDefault="00132E9B">
      <w:pPr>
        <w:rPr>
          <w:szCs w:val="22"/>
          <w:lang w:val="sk-SK"/>
        </w:rPr>
      </w:pPr>
    </w:p>
    <w:p w14:paraId="00E471C1" w14:textId="416594C1" w:rsidR="001D29E6" w:rsidRPr="009D3DED" w:rsidRDefault="001D29E6">
      <w:pPr>
        <w:ind w:left="567" w:hanging="567"/>
        <w:rPr>
          <w:i/>
          <w:szCs w:val="22"/>
          <w:lang w:val="sk-SK"/>
        </w:rPr>
      </w:pPr>
      <w:r w:rsidRPr="009D3DED">
        <w:rPr>
          <w:b/>
          <w:szCs w:val="22"/>
          <w:lang w:val="sk-SK"/>
        </w:rPr>
        <w:t>8.</w:t>
      </w:r>
      <w:r w:rsidRPr="009D3DED">
        <w:rPr>
          <w:b/>
          <w:szCs w:val="22"/>
          <w:lang w:val="sk-SK"/>
        </w:rPr>
        <w:tab/>
      </w:r>
      <w:r w:rsidR="007977D8" w:rsidRPr="009D3DED">
        <w:rPr>
          <w:b/>
          <w:szCs w:val="22"/>
          <w:lang w:val="sk-SK"/>
        </w:rPr>
        <w:t xml:space="preserve">REGISTRAČNÉ </w:t>
      </w:r>
      <w:r w:rsidR="003126F6">
        <w:rPr>
          <w:b/>
          <w:szCs w:val="22"/>
          <w:lang w:val="sk-SK"/>
        </w:rPr>
        <w:t xml:space="preserve"> </w:t>
      </w:r>
      <w:r w:rsidR="007977D8" w:rsidRPr="009D3DED">
        <w:rPr>
          <w:b/>
          <w:szCs w:val="22"/>
          <w:lang w:val="sk-SK"/>
        </w:rPr>
        <w:t>ČÍSLO</w:t>
      </w:r>
    </w:p>
    <w:p w14:paraId="56EC99C8" w14:textId="5900C52E" w:rsidR="001D29E6" w:rsidRPr="009D3DED" w:rsidRDefault="001D29E6">
      <w:pPr>
        <w:rPr>
          <w:i/>
          <w:iCs/>
          <w:szCs w:val="22"/>
          <w:lang w:val="sk-SK"/>
        </w:rPr>
      </w:pPr>
    </w:p>
    <w:p w14:paraId="4DD46EFD" w14:textId="2CC87E47" w:rsidR="001D29E6" w:rsidRDefault="00646DBB">
      <w:pPr>
        <w:rPr>
          <w:szCs w:val="22"/>
          <w:lang w:val="sk-SK"/>
        </w:rPr>
      </w:pPr>
      <w:r w:rsidRPr="00646DBB">
        <w:rPr>
          <w:szCs w:val="22"/>
          <w:lang w:val="sk-SK"/>
        </w:rPr>
        <w:t>07/0162/20-S</w:t>
      </w:r>
    </w:p>
    <w:p w14:paraId="22A143DC" w14:textId="77777777" w:rsidR="00646DBB" w:rsidRPr="009D3DED" w:rsidRDefault="00646DBB">
      <w:pPr>
        <w:rPr>
          <w:szCs w:val="22"/>
          <w:lang w:val="sk-SK"/>
        </w:rPr>
      </w:pPr>
    </w:p>
    <w:p w14:paraId="69B2C356" w14:textId="77777777" w:rsidR="001D29E6" w:rsidRPr="009D3DED" w:rsidRDefault="001D29E6">
      <w:pPr>
        <w:rPr>
          <w:szCs w:val="22"/>
          <w:lang w:val="sk-SK"/>
        </w:rPr>
      </w:pPr>
    </w:p>
    <w:p w14:paraId="09FCBBDF" w14:textId="77777777" w:rsidR="001D29E6" w:rsidRPr="009D3DED" w:rsidRDefault="001D29E6">
      <w:pPr>
        <w:ind w:left="567" w:hanging="567"/>
        <w:rPr>
          <w:szCs w:val="22"/>
          <w:lang w:val="sk-SK"/>
        </w:rPr>
      </w:pPr>
      <w:r w:rsidRPr="009D3DED">
        <w:rPr>
          <w:b/>
          <w:szCs w:val="22"/>
          <w:lang w:val="sk-SK"/>
        </w:rPr>
        <w:t>9.</w:t>
      </w:r>
      <w:r w:rsidRPr="009D3DED">
        <w:rPr>
          <w:b/>
          <w:szCs w:val="22"/>
          <w:lang w:val="sk-SK"/>
        </w:rPr>
        <w:tab/>
      </w:r>
      <w:r w:rsidR="007977D8" w:rsidRPr="009D3DED">
        <w:rPr>
          <w:b/>
          <w:szCs w:val="22"/>
          <w:lang w:val="sk-SK"/>
        </w:rPr>
        <w:t>DÁTUM PRVEJ REGISTRÁCIE/PREDĹŽENIA REGISTRÁCIE</w:t>
      </w:r>
    </w:p>
    <w:p w14:paraId="3FC016A1" w14:textId="77777777" w:rsidR="003B731B" w:rsidRPr="009D3DED" w:rsidRDefault="003B731B">
      <w:pPr>
        <w:rPr>
          <w:iCs/>
          <w:szCs w:val="22"/>
          <w:lang w:val="sk-SK"/>
        </w:rPr>
      </w:pPr>
    </w:p>
    <w:p w14:paraId="4730F64E" w14:textId="77777777" w:rsidR="001D29E6" w:rsidRPr="009D3DED" w:rsidRDefault="001D29E6">
      <w:pPr>
        <w:rPr>
          <w:szCs w:val="22"/>
          <w:lang w:val="sk-SK"/>
        </w:rPr>
      </w:pPr>
    </w:p>
    <w:p w14:paraId="3C65E3AE" w14:textId="77777777" w:rsidR="001D29E6" w:rsidRPr="009D3DED" w:rsidRDefault="001D29E6">
      <w:pPr>
        <w:rPr>
          <w:szCs w:val="22"/>
          <w:lang w:val="sk-SK"/>
        </w:rPr>
      </w:pPr>
    </w:p>
    <w:p w14:paraId="2BDC5FC8" w14:textId="77777777" w:rsidR="001D29E6" w:rsidRPr="009D3DED" w:rsidRDefault="001D29E6">
      <w:pPr>
        <w:ind w:left="567" w:hanging="567"/>
        <w:rPr>
          <w:b/>
          <w:szCs w:val="22"/>
          <w:lang w:val="sk-SK"/>
        </w:rPr>
      </w:pPr>
      <w:r w:rsidRPr="009D3DED">
        <w:rPr>
          <w:b/>
          <w:szCs w:val="22"/>
          <w:lang w:val="sk-SK"/>
        </w:rPr>
        <w:t>10.</w:t>
      </w:r>
      <w:r w:rsidRPr="009D3DED">
        <w:rPr>
          <w:b/>
          <w:szCs w:val="22"/>
          <w:lang w:val="sk-SK"/>
        </w:rPr>
        <w:tab/>
      </w:r>
      <w:r w:rsidR="007977D8" w:rsidRPr="009D3DED">
        <w:rPr>
          <w:b/>
          <w:szCs w:val="22"/>
          <w:lang w:val="sk-SK"/>
        </w:rPr>
        <w:t>DÁTUM REVÍZIE TEXTU</w:t>
      </w:r>
    </w:p>
    <w:p w14:paraId="40533FC4" w14:textId="77777777" w:rsidR="006E0469" w:rsidRPr="009D3DED" w:rsidRDefault="006E0469">
      <w:pPr>
        <w:ind w:left="567" w:hanging="567"/>
        <w:rPr>
          <w:b/>
          <w:szCs w:val="22"/>
          <w:lang w:val="sk-SK"/>
        </w:rPr>
      </w:pPr>
    </w:p>
    <w:p w14:paraId="57FDF00D" w14:textId="5AE94289" w:rsidR="006E0469" w:rsidRPr="009D3DED" w:rsidRDefault="00B84FCB" w:rsidP="005B40BA">
      <w:pPr>
        <w:rPr>
          <w:b/>
          <w:szCs w:val="22"/>
          <w:lang w:val="sk-SK"/>
        </w:rPr>
      </w:pPr>
      <w:r>
        <w:rPr>
          <w:szCs w:val="22"/>
          <w:lang w:val="sk-SK"/>
        </w:rPr>
        <w:t>07</w:t>
      </w:r>
      <w:r w:rsidR="00132E9B" w:rsidRPr="00AA5B78">
        <w:rPr>
          <w:szCs w:val="22"/>
          <w:lang w:val="sk-SK"/>
        </w:rPr>
        <w:t>/2020</w:t>
      </w:r>
    </w:p>
    <w:p w14:paraId="43EF0FBE" w14:textId="77777777" w:rsidR="006E0469" w:rsidRPr="009D3DED" w:rsidRDefault="006E0469">
      <w:pPr>
        <w:ind w:left="567" w:hanging="567"/>
        <w:rPr>
          <w:b/>
          <w:szCs w:val="22"/>
          <w:lang w:val="sk-SK"/>
        </w:rPr>
      </w:pPr>
    </w:p>
    <w:p w14:paraId="453BD0E0" w14:textId="77777777" w:rsidR="006E0469" w:rsidRPr="009D3DED" w:rsidRDefault="006E0469">
      <w:pPr>
        <w:ind w:left="567" w:hanging="567"/>
        <w:rPr>
          <w:b/>
          <w:szCs w:val="22"/>
          <w:lang w:val="sk-SK"/>
        </w:rPr>
      </w:pPr>
    </w:p>
    <w:p w14:paraId="22C90DF3" w14:textId="77777777" w:rsidR="006E0469" w:rsidRPr="009D3DED" w:rsidRDefault="006E0469">
      <w:pPr>
        <w:ind w:left="567" w:hanging="567"/>
        <w:rPr>
          <w:b/>
          <w:szCs w:val="22"/>
          <w:lang w:val="sk-SK"/>
        </w:rPr>
      </w:pPr>
    </w:p>
    <w:p w14:paraId="38E5CEB9" w14:textId="77777777" w:rsidR="001D29E6" w:rsidRPr="009D3DED" w:rsidRDefault="001D29E6">
      <w:pPr>
        <w:numPr>
          <w:ilvl w:val="12"/>
          <w:numId w:val="0"/>
        </w:numPr>
        <w:ind w:right="-2"/>
        <w:rPr>
          <w:iCs/>
          <w:szCs w:val="22"/>
          <w:lang w:val="sk-SK"/>
        </w:rPr>
      </w:pPr>
    </w:p>
    <w:p w14:paraId="63386E5D" w14:textId="77777777" w:rsidR="0044538F" w:rsidRPr="009D3DED" w:rsidRDefault="0044538F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0191F35" w14:textId="77777777" w:rsidR="001D29E6" w:rsidRPr="009D3DED" w:rsidRDefault="001D29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sectPr w:rsidR="001D29E6" w:rsidRPr="009D3DED" w:rsidSect="00B47764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34" w:right="1134" w:bottom="1134" w:left="1134" w:header="737" w:footer="737" w:gutter="0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85DA677" w16cid:durableId="228B1DB8"/>
  <w16cid:commentId w16cid:paraId="4190D180" w16cid:durableId="2295B09D"/>
  <w16cid:commentId w16cid:paraId="5FC6A9FC" w16cid:durableId="22B2DA4D"/>
  <w16cid:commentId w16cid:paraId="2AA25BCF" w16cid:durableId="22B2DA5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420605" w14:textId="77777777" w:rsidR="00072477" w:rsidRDefault="00072477">
      <w:r>
        <w:separator/>
      </w:r>
    </w:p>
  </w:endnote>
  <w:endnote w:type="continuationSeparator" w:id="0">
    <w:p w14:paraId="2DC60A89" w14:textId="77777777" w:rsidR="00072477" w:rsidRDefault="0007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71866" w14:textId="77777777" w:rsidR="004407FA" w:rsidRPr="000C1913" w:rsidRDefault="004407FA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0C1913">
      <w:rPr>
        <w:rStyle w:val="slostrany"/>
        <w:rFonts w:ascii="Arial" w:hAnsi="Arial" w:cs="Arial"/>
      </w:rPr>
      <w:fldChar w:fldCharType="begin"/>
    </w:r>
    <w:r w:rsidRPr="000C1913">
      <w:rPr>
        <w:rStyle w:val="slostrany"/>
        <w:rFonts w:ascii="Arial" w:hAnsi="Arial" w:cs="Arial"/>
      </w:rPr>
      <w:instrText xml:space="preserve">PAGE  </w:instrText>
    </w:r>
    <w:r w:rsidRPr="000C1913">
      <w:rPr>
        <w:rStyle w:val="slostrany"/>
        <w:rFonts w:ascii="Arial" w:hAnsi="Arial" w:cs="Arial"/>
      </w:rPr>
      <w:fldChar w:fldCharType="separate"/>
    </w:r>
    <w:r w:rsidR="008500A8">
      <w:rPr>
        <w:rStyle w:val="slostrany"/>
        <w:rFonts w:ascii="Arial" w:hAnsi="Arial" w:cs="Arial"/>
        <w:noProof/>
      </w:rPr>
      <w:t>15</w:t>
    </w:r>
    <w:r w:rsidRPr="000C1913">
      <w:rPr>
        <w:rStyle w:val="slostran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AF15F" w14:textId="77777777" w:rsidR="004407FA" w:rsidRPr="000C1913" w:rsidRDefault="004407FA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7710EC">
      <w:rPr>
        <w:rStyle w:val="slostrany"/>
        <w:rFonts w:ascii="Arial" w:hAnsi="Arial" w:cs="Arial"/>
      </w:rPr>
      <w:fldChar w:fldCharType="begin"/>
    </w:r>
    <w:r w:rsidRPr="000C1913">
      <w:rPr>
        <w:rStyle w:val="slostrany"/>
        <w:rFonts w:ascii="Arial" w:hAnsi="Arial" w:cs="Arial"/>
      </w:rPr>
      <w:instrText xml:space="preserve">PAGE  </w:instrText>
    </w:r>
    <w:r w:rsidRPr="007710EC">
      <w:rPr>
        <w:rStyle w:val="slostrany"/>
        <w:rFonts w:ascii="Arial" w:hAnsi="Arial" w:cs="Arial"/>
      </w:rPr>
      <w:fldChar w:fldCharType="separate"/>
    </w:r>
    <w:r w:rsidR="001124DA">
      <w:rPr>
        <w:rStyle w:val="slostrany"/>
        <w:rFonts w:ascii="Arial" w:hAnsi="Arial" w:cs="Arial"/>
        <w:noProof/>
      </w:rPr>
      <w:t>1</w:t>
    </w:r>
    <w:r w:rsidRPr="007710EC"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4ECB40" w14:textId="77777777" w:rsidR="00072477" w:rsidRDefault="00072477">
      <w:r>
        <w:separator/>
      </w:r>
    </w:p>
  </w:footnote>
  <w:footnote w:type="continuationSeparator" w:id="0">
    <w:p w14:paraId="1F2D3163" w14:textId="77777777" w:rsidR="00072477" w:rsidRDefault="000724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43D5F" w14:textId="5B6E5D69" w:rsidR="004407FA" w:rsidRPr="00AA5B78" w:rsidRDefault="004407FA" w:rsidP="000252FC">
    <w:pPr>
      <w:tabs>
        <w:tab w:val="right" w:pos="9639"/>
      </w:tabs>
      <w:rPr>
        <w:sz w:val="18"/>
        <w:szCs w:val="18"/>
        <w:lang w:val="sk-SK"/>
      </w:rPr>
    </w:pPr>
    <w:r w:rsidRPr="00AA5B78">
      <w:rPr>
        <w:sz w:val="18"/>
        <w:szCs w:val="18"/>
        <w:lang w:val="sk-SK"/>
      </w:rPr>
      <w:t>Schválený text k rozhodnutiu o registrácii, ev.</w:t>
    </w:r>
    <w:r>
      <w:rPr>
        <w:sz w:val="18"/>
        <w:szCs w:val="18"/>
        <w:lang w:val="sk-SK"/>
      </w:rPr>
      <w:t xml:space="preserve"> </w:t>
    </w:r>
    <w:r w:rsidRPr="00AA5B78">
      <w:rPr>
        <w:sz w:val="18"/>
        <w:szCs w:val="18"/>
        <w:lang w:val="sk-SK"/>
      </w:rPr>
      <w:t>č.:</w:t>
    </w:r>
    <w:r w:rsidRPr="00AA5B78">
      <w:rPr>
        <w:sz w:val="18"/>
        <w:szCs w:val="18"/>
      </w:rPr>
      <w:t xml:space="preserve"> 2018/01980-REG</w:t>
    </w:r>
    <w:r w:rsidRPr="00AA5B78">
      <w:rPr>
        <w:sz w:val="18"/>
        <w:szCs w:val="18"/>
      </w:rPr>
      <w:tab/>
    </w:r>
  </w:p>
  <w:p w14:paraId="0903347D" w14:textId="1B9E81A4" w:rsidR="004407FA" w:rsidRDefault="004407FA" w:rsidP="000252FC">
    <w:pPr>
      <w:tabs>
        <w:tab w:val="clear" w:pos="567"/>
        <w:tab w:val="left" w:pos="8670"/>
      </w:tabs>
      <w:rPr>
        <w:szCs w:val="22"/>
        <w:lang w:val="sk-SK"/>
      </w:rPr>
    </w:pPr>
    <w:r>
      <w:rPr>
        <w:szCs w:val="22"/>
        <w:lang w:val="sk-SK"/>
      </w:rPr>
      <w:tab/>
    </w:r>
  </w:p>
  <w:p w14:paraId="5885C5D0" w14:textId="77777777" w:rsidR="004407FA" w:rsidRDefault="004407F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349A0" w14:textId="381DE62E" w:rsidR="004407FA" w:rsidRPr="005B40BA" w:rsidRDefault="004407FA">
    <w:pPr>
      <w:pStyle w:val="Hlavika"/>
      <w:rPr>
        <w:rFonts w:ascii="Times New Roman" w:hAnsi="Times New Roman"/>
      </w:rPr>
    </w:pPr>
    <w:r w:rsidRPr="005B40BA">
      <w:rPr>
        <w:rFonts w:ascii="Times New Roman" w:hAnsi="Times New Roman"/>
        <w:sz w:val="18"/>
        <w:szCs w:val="18"/>
        <w:lang w:val="sk-SK"/>
      </w:rPr>
      <w:t xml:space="preserve">Schválený text k rozhodnutiu o registrácii, ev. </w:t>
    </w:r>
    <w:r w:rsidRPr="005B40BA">
      <w:rPr>
        <w:rFonts w:ascii="Times New Roman" w:hAnsi="Times New Roman" w:hint="eastAsia"/>
        <w:sz w:val="18"/>
        <w:szCs w:val="18"/>
        <w:lang w:val="sk-SK"/>
      </w:rPr>
      <w:t>č</w:t>
    </w:r>
    <w:r w:rsidRPr="005B40BA">
      <w:rPr>
        <w:rFonts w:ascii="Times New Roman" w:hAnsi="Times New Roman"/>
        <w:sz w:val="18"/>
        <w:szCs w:val="18"/>
        <w:lang w:val="sk-SK"/>
      </w:rPr>
      <w:t>.:</w:t>
    </w:r>
    <w:r w:rsidRPr="005B40BA">
      <w:rPr>
        <w:rFonts w:ascii="Times New Roman" w:hAnsi="Times New Roman"/>
        <w:sz w:val="18"/>
        <w:szCs w:val="18"/>
      </w:rPr>
      <w:t xml:space="preserve"> 2018/01980-REG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01800"/>
    <w:multiLevelType w:val="hybridMultilevel"/>
    <w:tmpl w:val="F62814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B33C7"/>
    <w:multiLevelType w:val="hybridMultilevel"/>
    <w:tmpl w:val="6C72C4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C074B"/>
    <w:multiLevelType w:val="hybridMultilevel"/>
    <w:tmpl w:val="D21628D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70C98"/>
    <w:multiLevelType w:val="hybridMultilevel"/>
    <w:tmpl w:val="40265852"/>
    <w:lvl w:ilvl="0" w:tplc="A72E3720">
      <w:start w:val="1"/>
      <w:numFmt w:val="decimal"/>
      <w:pStyle w:val="PHZMngelpunkt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B13559"/>
    <w:multiLevelType w:val="hybridMultilevel"/>
    <w:tmpl w:val="97926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7" w15:restartNumberingAfterBreak="0">
    <w:nsid w:val="2065776B"/>
    <w:multiLevelType w:val="hybridMultilevel"/>
    <w:tmpl w:val="11F423F6"/>
    <w:lvl w:ilvl="0" w:tplc="0F70BA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522DF"/>
    <w:multiLevelType w:val="hybridMultilevel"/>
    <w:tmpl w:val="E8BE59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61C1E8A"/>
    <w:multiLevelType w:val="hybridMultilevel"/>
    <w:tmpl w:val="813C4E8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41CB549B"/>
    <w:multiLevelType w:val="hybridMultilevel"/>
    <w:tmpl w:val="E81ABC9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5238BE"/>
    <w:multiLevelType w:val="hybridMultilevel"/>
    <w:tmpl w:val="412A651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553AA"/>
    <w:multiLevelType w:val="hybridMultilevel"/>
    <w:tmpl w:val="E658404E"/>
    <w:lvl w:ilvl="0" w:tplc="0F70BA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C0F5D"/>
    <w:multiLevelType w:val="hybridMultilevel"/>
    <w:tmpl w:val="57BC20E0"/>
    <w:lvl w:ilvl="0" w:tplc="9F4817B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F1392"/>
    <w:multiLevelType w:val="hybridMultilevel"/>
    <w:tmpl w:val="D66A576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B1575"/>
    <w:multiLevelType w:val="hybridMultilevel"/>
    <w:tmpl w:val="D09A2374"/>
    <w:lvl w:ilvl="0" w:tplc="1654F9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9071B"/>
    <w:multiLevelType w:val="hybridMultilevel"/>
    <w:tmpl w:val="B4964B5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05E4A0C"/>
    <w:multiLevelType w:val="hybridMultilevel"/>
    <w:tmpl w:val="D11CCD8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6FE33812"/>
    <w:multiLevelType w:val="hybridMultilevel"/>
    <w:tmpl w:val="5C9055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1"/>
  </w:num>
  <w:num w:numId="3">
    <w:abstractNumId w:val="22"/>
  </w:num>
  <w:num w:numId="4">
    <w:abstractNumId w:val="11"/>
  </w:num>
  <w:num w:numId="5">
    <w:abstractNumId w:val="19"/>
  </w:num>
  <w:num w:numId="6">
    <w:abstractNumId w:val="9"/>
  </w:num>
  <w:num w:numId="7">
    <w:abstractNumId w:val="6"/>
  </w:num>
  <w:num w:numId="8">
    <w:abstractNumId w:val="17"/>
  </w:num>
  <w:num w:numId="9">
    <w:abstractNumId w:val="7"/>
  </w:num>
  <w:num w:numId="10">
    <w:abstractNumId w:val="14"/>
  </w:num>
  <w:num w:numId="11">
    <w:abstractNumId w:val="13"/>
  </w:num>
  <w:num w:numId="12">
    <w:abstractNumId w:val="10"/>
  </w:num>
  <w:num w:numId="13">
    <w:abstractNumId w:val="1"/>
  </w:num>
  <w:num w:numId="14">
    <w:abstractNumId w:val="15"/>
  </w:num>
  <w:num w:numId="15">
    <w:abstractNumId w:val="2"/>
  </w:num>
  <w:num w:numId="16">
    <w:abstractNumId w:val="20"/>
  </w:num>
  <w:num w:numId="17">
    <w:abstractNumId w:val="23"/>
  </w:num>
  <w:num w:numId="18">
    <w:abstractNumId w:val="12"/>
  </w:num>
  <w:num w:numId="19">
    <w:abstractNumId w:val="4"/>
  </w:num>
  <w:num w:numId="20">
    <w:abstractNumId w:val="5"/>
  </w:num>
  <w:num w:numId="21">
    <w:abstractNumId w:val="16"/>
  </w:num>
  <w:num w:numId="22">
    <w:abstractNumId w:val="3"/>
  </w:num>
  <w:num w:numId="23">
    <w:abstractNumId w:val="8"/>
  </w:num>
  <w:num w:numId="24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cs-CZ" w:vendorID="7" w:dllVersion="514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ault_nd_012ce0bd-cb18-46c8-92f5-620d1827e212" w:val=" "/>
    <w:docVar w:name="VAULT_ND_066b203f-213f-4e64-8ec7-42667edcec1f" w:val=" "/>
    <w:docVar w:name="vault_nd_0ba99a0a-f7dc-4187-8628-0acd4c569eb4" w:val=" "/>
    <w:docVar w:name="vault_nd_2214084c-760f-4777-872b-b7099dca4a9b" w:val=" "/>
    <w:docVar w:name="VAULT_ND_258d9d30-85b1-4f5d-83d4-927f7085a279" w:val=" "/>
    <w:docVar w:name="VAULT_ND_3799bc4d-9edc-4e82-9b09-6f09e9a9e08c" w:val=" "/>
    <w:docVar w:name="vault_nd_3929adc4-ba60-411e-b6c2-8e6d40ab4b81" w:val=" "/>
    <w:docVar w:name="vault_nd_3cce13af-c370-4feb-96b2-3c54c61448db" w:val=" "/>
    <w:docVar w:name="VAULT_ND_405464da-a4a9-4fdd-88ba-1253a7079496" w:val=" "/>
    <w:docVar w:name="vault_nd_486116b5-6d38-49e7-a4ac-b73d6b590652" w:val=" "/>
    <w:docVar w:name="vault_nd_4e1517b2-8143-4034-a454-f3d92cf09629" w:val=" "/>
    <w:docVar w:name="vault_nd_4fefca1e-7c66-4618-ace8-11dd1fa89fd4" w:val=" "/>
    <w:docVar w:name="VAULT_ND_5101008c-88af-4839-94e5-2f94921b8457" w:val=" "/>
    <w:docVar w:name="VAULT_ND_55e2ae45-c2cb-4a83-88f0-1a071eb6ba9f" w:val=" "/>
    <w:docVar w:name="vault_nd_65f44e2f-326c-4f3d-9896-7b7936512154" w:val=" "/>
    <w:docVar w:name="vault_nd_73bfb5f3-f0cc-49b3-9f64-f08df57443a9" w:val=" "/>
    <w:docVar w:name="vault_nd_7b3563b0-623c-4172-8925-900fbfa6887a" w:val=" "/>
    <w:docVar w:name="vault_nd_7eefe0f5-bfd2-4e88-9a2b-1014988072dc" w:val=" "/>
    <w:docVar w:name="VAULT_ND_83235f71-5a06-456d-95b9-0f1589cc7680" w:val=" "/>
    <w:docVar w:name="VAULT_ND_853c2d40-ac15-4520-ad1c-70f0e0a612d6" w:val=" "/>
    <w:docVar w:name="VAULT_ND_8bf0f199-16d5-4b75-ac00-b25e50a8a1f9" w:val=" "/>
    <w:docVar w:name="vault_nd_92cf1f03-02f4-44b0-b060-98d5be07828f" w:val=" "/>
    <w:docVar w:name="vault_nd_992368d4-fa03-4810-bb62-90348c04a8ce" w:val=" "/>
    <w:docVar w:name="VAULT_ND_9e655ea8-18df-42b6-98c2-30d8b022bf19" w:val=" "/>
    <w:docVar w:name="vault_nd_b033b35c-85dc-43fc-b44b-960e9b25e0ff" w:val=" "/>
    <w:docVar w:name="vault_nd_b10dc036-4627-445e-8ee7-6a2df05a988e" w:val=" "/>
    <w:docVar w:name="vault_nd_b50109db-b116-40b9-8cc5-29e2b7f1bdf5" w:val=" "/>
    <w:docVar w:name="vault_nd_b58f758a-c9b9-45ef-acea-bd6e0c8f7dfd" w:val=" "/>
    <w:docVar w:name="vault_nd_bd6edd22-09ee-44db-943c-0b5656d46020" w:val=" "/>
    <w:docVar w:name="VAULT_ND_c5599759-b0e9-4f78-a506-355aad3aaf4c" w:val=" "/>
    <w:docVar w:name="VAULT_ND_c62abe3d-b952-415f-b8b0-0353230b538f" w:val=" "/>
    <w:docVar w:name="vault_nd_c6548f3c-781e-4f48-8d17-9711c08c8c71" w:val=" "/>
    <w:docVar w:name="vault_nd_ccb24b38-3bc2-4186-bd3c-b4cb2de718a9" w:val=" "/>
    <w:docVar w:name="VAULT_ND_d069bbf9-e625-4d61-b25b-eb5010f95b4a" w:val=" "/>
    <w:docVar w:name="vault_nd_d4872d6e-a3d4-4b4d-a091-9874a9d85507" w:val=" "/>
    <w:docVar w:name="VAULT_ND_df07a727-1bc7-4f41-8a32-399004096073" w:val=" "/>
    <w:docVar w:name="VAULT_ND_e8e3278b-532e-40e4-9d5e-9d491d3d14ee" w:val=" "/>
    <w:docVar w:name="VAULT_ND_ec890af9-1d61-49eb-aed4-5b3eee6f8f0d" w:val=" "/>
    <w:docVar w:name="vault_nd_f73471f2-61b5-4224-bca0-5268fb45284f" w:val=" "/>
    <w:docVar w:name="VAULT_ND_f7b741c9-1809-476c-96f6-53ef0bc5630c" w:val=" "/>
    <w:docVar w:name="Version" w:val="0"/>
  </w:docVars>
  <w:rsids>
    <w:rsidRoot w:val="00C53ACC"/>
    <w:rsid w:val="0000152C"/>
    <w:rsid w:val="00001D3D"/>
    <w:rsid w:val="00001EA9"/>
    <w:rsid w:val="00003DAC"/>
    <w:rsid w:val="000059BB"/>
    <w:rsid w:val="00005BBC"/>
    <w:rsid w:val="000064E6"/>
    <w:rsid w:val="00006C36"/>
    <w:rsid w:val="00007B42"/>
    <w:rsid w:val="00007C1F"/>
    <w:rsid w:val="00010ABD"/>
    <w:rsid w:val="00011B47"/>
    <w:rsid w:val="000131C2"/>
    <w:rsid w:val="00020FA0"/>
    <w:rsid w:val="000227E7"/>
    <w:rsid w:val="0002303C"/>
    <w:rsid w:val="00023ACE"/>
    <w:rsid w:val="000252FC"/>
    <w:rsid w:val="00025AFC"/>
    <w:rsid w:val="00030344"/>
    <w:rsid w:val="00032F7B"/>
    <w:rsid w:val="00033E5B"/>
    <w:rsid w:val="000425D4"/>
    <w:rsid w:val="00043B8F"/>
    <w:rsid w:val="000445A6"/>
    <w:rsid w:val="00044DDF"/>
    <w:rsid w:val="00044F94"/>
    <w:rsid w:val="000538EE"/>
    <w:rsid w:val="00057E2F"/>
    <w:rsid w:val="00061E2F"/>
    <w:rsid w:val="0006409D"/>
    <w:rsid w:val="00067D17"/>
    <w:rsid w:val="00067FBE"/>
    <w:rsid w:val="00071B66"/>
    <w:rsid w:val="00072411"/>
    <w:rsid w:val="00072477"/>
    <w:rsid w:val="00076785"/>
    <w:rsid w:val="0007685D"/>
    <w:rsid w:val="000833FA"/>
    <w:rsid w:val="00083518"/>
    <w:rsid w:val="0008397B"/>
    <w:rsid w:val="00086702"/>
    <w:rsid w:val="00087DB2"/>
    <w:rsid w:val="00090702"/>
    <w:rsid w:val="00091F97"/>
    <w:rsid w:val="000941FB"/>
    <w:rsid w:val="0009432B"/>
    <w:rsid w:val="000A0D3A"/>
    <w:rsid w:val="000A1408"/>
    <w:rsid w:val="000A4B95"/>
    <w:rsid w:val="000A533A"/>
    <w:rsid w:val="000A71E3"/>
    <w:rsid w:val="000B1EB5"/>
    <w:rsid w:val="000B2F9C"/>
    <w:rsid w:val="000B362C"/>
    <w:rsid w:val="000B66D6"/>
    <w:rsid w:val="000B77EC"/>
    <w:rsid w:val="000B7C9B"/>
    <w:rsid w:val="000C0958"/>
    <w:rsid w:val="000C0B14"/>
    <w:rsid w:val="000C1913"/>
    <w:rsid w:val="000C2EB5"/>
    <w:rsid w:val="000C3ED5"/>
    <w:rsid w:val="000C43B0"/>
    <w:rsid w:val="000C741D"/>
    <w:rsid w:val="000D0C3A"/>
    <w:rsid w:val="000D47A6"/>
    <w:rsid w:val="000D6295"/>
    <w:rsid w:val="000D7AA6"/>
    <w:rsid w:val="000E1734"/>
    <w:rsid w:val="000E1DA4"/>
    <w:rsid w:val="000E1F8B"/>
    <w:rsid w:val="000E4B32"/>
    <w:rsid w:val="000E7034"/>
    <w:rsid w:val="000E7BED"/>
    <w:rsid w:val="000F3F08"/>
    <w:rsid w:val="000F44F8"/>
    <w:rsid w:val="000F7D6D"/>
    <w:rsid w:val="0010038B"/>
    <w:rsid w:val="00105BD3"/>
    <w:rsid w:val="00111408"/>
    <w:rsid w:val="001124DA"/>
    <w:rsid w:val="00114293"/>
    <w:rsid w:val="00115206"/>
    <w:rsid w:val="00117F69"/>
    <w:rsid w:val="001208B2"/>
    <w:rsid w:val="001217D2"/>
    <w:rsid w:val="00123326"/>
    <w:rsid w:val="00123A50"/>
    <w:rsid w:val="001259CD"/>
    <w:rsid w:val="001276C0"/>
    <w:rsid w:val="00132E9B"/>
    <w:rsid w:val="001416E9"/>
    <w:rsid w:val="0014282A"/>
    <w:rsid w:val="00144FDB"/>
    <w:rsid w:val="001503E0"/>
    <w:rsid w:val="00152CC5"/>
    <w:rsid w:val="00152E50"/>
    <w:rsid w:val="00155CA6"/>
    <w:rsid w:val="001617F3"/>
    <w:rsid w:val="00162BE3"/>
    <w:rsid w:val="001647ED"/>
    <w:rsid w:val="0016615B"/>
    <w:rsid w:val="001671A1"/>
    <w:rsid w:val="00167629"/>
    <w:rsid w:val="00171D08"/>
    <w:rsid w:val="001738F0"/>
    <w:rsid w:val="0017652E"/>
    <w:rsid w:val="001809D4"/>
    <w:rsid w:val="00180EEF"/>
    <w:rsid w:val="0018392E"/>
    <w:rsid w:val="00185256"/>
    <w:rsid w:val="00187772"/>
    <w:rsid w:val="001955E3"/>
    <w:rsid w:val="00196A4B"/>
    <w:rsid w:val="0019774E"/>
    <w:rsid w:val="00197C2A"/>
    <w:rsid w:val="00197D0B"/>
    <w:rsid w:val="001A0B45"/>
    <w:rsid w:val="001A0B60"/>
    <w:rsid w:val="001A12D6"/>
    <w:rsid w:val="001A130C"/>
    <w:rsid w:val="001A3825"/>
    <w:rsid w:val="001A664F"/>
    <w:rsid w:val="001B0AEE"/>
    <w:rsid w:val="001C0267"/>
    <w:rsid w:val="001C442A"/>
    <w:rsid w:val="001C5E22"/>
    <w:rsid w:val="001D0BA0"/>
    <w:rsid w:val="001D29E6"/>
    <w:rsid w:val="001D3100"/>
    <w:rsid w:val="001D51D9"/>
    <w:rsid w:val="001D57C1"/>
    <w:rsid w:val="001E0D71"/>
    <w:rsid w:val="001E2402"/>
    <w:rsid w:val="001E3121"/>
    <w:rsid w:val="001E3123"/>
    <w:rsid w:val="001E7AB4"/>
    <w:rsid w:val="001F18E9"/>
    <w:rsid w:val="001F3539"/>
    <w:rsid w:val="001F3CF8"/>
    <w:rsid w:val="001F6E1A"/>
    <w:rsid w:val="00200125"/>
    <w:rsid w:val="00205AB5"/>
    <w:rsid w:val="002062CA"/>
    <w:rsid w:val="00210C28"/>
    <w:rsid w:val="00210D12"/>
    <w:rsid w:val="00211F4D"/>
    <w:rsid w:val="00214E8A"/>
    <w:rsid w:val="00217C14"/>
    <w:rsid w:val="002212BE"/>
    <w:rsid w:val="00223C54"/>
    <w:rsid w:val="002262F0"/>
    <w:rsid w:val="00230C21"/>
    <w:rsid w:val="002314F7"/>
    <w:rsid w:val="00232029"/>
    <w:rsid w:val="002356B6"/>
    <w:rsid w:val="0024060C"/>
    <w:rsid w:val="002410D5"/>
    <w:rsid w:val="00241259"/>
    <w:rsid w:val="002429D0"/>
    <w:rsid w:val="00246C7F"/>
    <w:rsid w:val="00251790"/>
    <w:rsid w:val="002541E4"/>
    <w:rsid w:val="002558D7"/>
    <w:rsid w:val="00255F14"/>
    <w:rsid w:val="00261CEA"/>
    <w:rsid w:val="002638E9"/>
    <w:rsid w:val="00263CFD"/>
    <w:rsid w:val="00264572"/>
    <w:rsid w:val="00264E02"/>
    <w:rsid w:val="002710EF"/>
    <w:rsid w:val="00273BA6"/>
    <w:rsid w:val="0027614A"/>
    <w:rsid w:val="0027663C"/>
    <w:rsid w:val="00281B53"/>
    <w:rsid w:val="0028253C"/>
    <w:rsid w:val="002826DD"/>
    <w:rsid w:val="00282D7E"/>
    <w:rsid w:val="00283151"/>
    <w:rsid w:val="00283762"/>
    <w:rsid w:val="002839CF"/>
    <w:rsid w:val="00291E0B"/>
    <w:rsid w:val="002928BE"/>
    <w:rsid w:val="0029721A"/>
    <w:rsid w:val="0029785B"/>
    <w:rsid w:val="002A1288"/>
    <w:rsid w:val="002A1D5C"/>
    <w:rsid w:val="002A4B83"/>
    <w:rsid w:val="002A50D9"/>
    <w:rsid w:val="002B171D"/>
    <w:rsid w:val="002B359A"/>
    <w:rsid w:val="002B3A3B"/>
    <w:rsid w:val="002B57B9"/>
    <w:rsid w:val="002B61B8"/>
    <w:rsid w:val="002B6F43"/>
    <w:rsid w:val="002B70BE"/>
    <w:rsid w:val="002B782A"/>
    <w:rsid w:val="002D118C"/>
    <w:rsid w:val="002E06BD"/>
    <w:rsid w:val="002E5A54"/>
    <w:rsid w:val="002E6FDA"/>
    <w:rsid w:val="002F20FB"/>
    <w:rsid w:val="002F2BB2"/>
    <w:rsid w:val="002F2D46"/>
    <w:rsid w:val="002F545C"/>
    <w:rsid w:val="002F7375"/>
    <w:rsid w:val="003007FD"/>
    <w:rsid w:val="00301AB2"/>
    <w:rsid w:val="00303190"/>
    <w:rsid w:val="00303D1C"/>
    <w:rsid w:val="00304C6F"/>
    <w:rsid w:val="00306761"/>
    <w:rsid w:val="00306ABD"/>
    <w:rsid w:val="0031220F"/>
    <w:rsid w:val="003126F6"/>
    <w:rsid w:val="00316613"/>
    <w:rsid w:val="00320093"/>
    <w:rsid w:val="003221B5"/>
    <w:rsid w:val="00322234"/>
    <w:rsid w:val="00324A74"/>
    <w:rsid w:val="003300BD"/>
    <w:rsid w:val="00334319"/>
    <w:rsid w:val="00335FED"/>
    <w:rsid w:val="0034005B"/>
    <w:rsid w:val="00340366"/>
    <w:rsid w:val="0034253C"/>
    <w:rsid w:val="00342EC3"/>
    <w:rsid w:val="00343B17"/>
    <w:rsid w:val="003478BC"/>
    <w:rsid w:val="00347A3F"/>
    <w:rsid w:val="0035012C"/>
    <w:rsid w:val="003519A1"/>
    <w:rsid w:val="00352D59"/>
    <w:rsid w:val="00353B0B"/>
    <w:rsid w:val="00356170"/>
    <w:rsid w:val="003624FF"/>
    <w:rsid w:val="00365DB1"/>
    <w:rsid w:val="003711EB"/>
    <w:rsid w:val="0037124A"/>
    <w:rsid w:val="00373779"/>
    <w:rsid w:val="00375EC6"/>
    <w:rsid w:val="00377B60"/>
    <w:rsid w:val="003810A3"/>
    <w:rsid w:val="00381534"/>
    <w:rsid w:val="003852DF"/>
    <w:rsid w:val="0038744F"/>
    <w:rsid w:val="003879F1"/>
    <w:rsid w:val="00390A2A"/>
    <w:rsid w:val="00390EA2"/>
    <w:rsid w:val="00393F6B"/>
    <w:rsid w:val="00394E55"/>
    <w:rsid w:val="0039520D"/>
    <w:rsid w:val="003A52E3"/>
    <w:rsid w:val="003A5EC2"/>
    <w:rsid w:val="003B1AC9"/>
    <w:rsid w:val="003B31F0"/>
    <w:rsid w:val="003B3D77"/>
    <w:rsid w:val="003B5070"/>
    <w:rsid w:val="003B5AE3"/>
    <w:rsid w:val="003B731B"/>
    <w:rsid w:val="003C046D"/>
    <w:rsid w:val="003C1237"/>
    <w:rsid w:val="003C2958"/>
    <w:rsid w:val="003C304B"/>
    <w:rsid w:val="003C5C94"/>
    <w:rsid w:val="003C5D4B"/>
    <w:rsid w:val="003C6AE2"/>
    <w:rsid w:val="003D212C"/>
    <w:rsid w:val="003D2F33"/>
    <w:rsid w:val="003D4280"/>
    <w:rsid w:val="003D4BF8"/>
    <w:rsid w:val="003E355A"/>
    <w:rsid w:val="003F28DB"/>
    <w:rsid w:val="003F6BB7"/>
    <w:rsid w:val="00404BE0"/>
    <w:rsid w:val="0041170B"/>
    <w:rsid w:val="00414AFA"/>
    <w:rsid w:val="00415992"/>
    <w:rsid w:val="00416D7F"/>
    <w:rsid w:val="00424767"/>
    <w:rsid w:val="004256B9"/>
    <w:rsid w:val="0042772E"/>
    <w:rsid w:val="00433448"/>
    <w:rsid w:val="0043345F"/>
    <w:rsid w:val="00433AE4"/>
    <w:rsid w:val="00433D78"/>
    <w:rsid w:val="00436878"/>
    <w:rsid w:val="004403C3"/>
    <w:rsid w:val="004407FA"/>
    <w:rsid w:val="004412BD"/>
    <w:rsid w:val="00442098"/>
    <w:rsid w:val="00443B52"/>
    <w:rsid w:val="00444E45"/>
    <w:rsid w:val="0044538F"/>
    <w:rsid w:val="004454CC"/>
    <w:rsid w:val="00445E1A"/>
    <w:rsid w:val="00445EFD"/>
    <w:rsid w:val="00450044"/>
    <w:rsid w:val="00451FA8"/>
    <w:rsid w:val="0045402D"/>
    <w:rsid w:val="004566ED"/>
    <w:rsid w:val="0046650D"/>
    <w:rsid w:val="00470FE1"/>
    <w:rsid w:val="00472699"/>
    <w:rsid w:val="004730A5"/>
    <w:rsid w:val="00474165"/>
    <w:rsid w:val="0048068F"/>
    <w:rsid w:val="004908A2"/>
    <w:rsid w:val="004A2B4C"/>
    <w:rsid w:val="004A3929"/>
    <w:rsid w:val="004A5069"/>
    <w:rsid w:val="004A7196"/>
    <w:rsid w:val="004A7E2D"/>
    <w:rsid w:val="004B1B6B"/>
    <w:rsid w:val="004B5C05"/>
    <w:rsid w:val="004B77EB"/>
    <w:rsid w:val="004C582F"/>
    <w:rsid w:val="004C6D32"/>
    <w:rsid w:val="004C7F4D"/>
    <w:rsid w:val="004D115A"/>
    <w:rsid w:val="004D26B7"/>
    <w:rsid w:val="004D332A"/>
    <w:rsid w:val="004D3604"/>
    <w:rsid w:val="004D7461"/>
    <w:rsid w:val="004E0FE0"/>
    <w:rsid w:val="004E2BD5"/>
    <w:rsid w:val="004E3B94"/>
    <w:rsid w:val="004E6520"/>
    <w:rsid w:val="004E675C"/>
    <w:rsid w:val="004F1300"/>
    <w:rsid w:val="004F6418"/>
    <w:rsid w:val="004F7447"/>
    <w:rsid w:val="005022DB"/>
    <w:rsid w:val="00503A68"/>
    <w:rsid w:val="00504DBA"/>
    <w:rsid w:val="00505C51"/>
    <w:rsid w:val="005107A1"/>
    <w:rsid w:val="00511F49"/>
    <w:rsid w:val="00512592"/>
    <w:rsid w:val="005136D7"/>
    <w:rsid w:val="0051423F"/>
    <w:rsid w:val="0052012A"/>
    <w:rsid w:val="00520144"/>
    <w:rsid w:val="00521F11"/>
    <w:rsid w:val="005232F5"/>
    <w:rsid w:val="00523840"/>
    <w:rsid w:val="00524D62"/>
    <w:rsid w:val="005304C1"/>
    <w:rsid w:val="00532112"/>
    <w:rsid w:val="0053381F"/>
    <w:rsid w:val="0053521C"/>
    <w:rsid w:val="00535785"/>
    <w:rsid w:val="00536571"/>
    <w:rsid w:val="00537E75"/>
    <w:rsid w:val="00541080"/>
    <w:rsid w:val="00542E08"/>
    <w:rsid w:val="00542E76"/>
    <w:rsid w:val="00543015"/>
    <w:rsid w:val="005451AD"/>
    <w:rsid w:val="005455FD"/>
    <w:rsid w:val="00546EE8"/>
    <w:rsid w:val="00547182"/>
    <w:rsid w:val="00547410"/>
    <w:rsid w:val="00547992"/>
    <w:rsid w:val="00550F93"/>
    <w:rsid w:val="0055152C"/>
    <w:rsid w:val="00551DFF"/>
    <w:rsid w:val="00556A3A"/>
    <w:rsid w:val="00556DF8"/>
    <w:rsid w:val="00557672"/>
    <w:rsid w:val="00560B12"/>
    <w:rsid w:val="00561970"/>
    <w:rsid w:val="00564454"/>
    <w:rsid w:val="00565581"/>
    <w:rsid w:val="00566B52"/>
    <w:rsid w:val="00566C10"/>
    <w:rsid w:val="00567056"/>
    <w:rsid w:val="0056769B"/>
    <w:rsid w:val="0056792F"/>
    <w:rsid w:val="00567D1B"/>
    <w:rsid w:val="005745B7"/>
    <w:rsid w:val="00581F72"/>
    <w:rsid w:val="0058702D"/>
    <w:rsid w:val="00591FF2"/>
    <w:rsid w:val="0059608B"/>
    <w:rsid w:val="00597CF7"/>
    <w:rsid w:val="005A099B"/>
    <w:rsid w:val="005A15DF"/>
    <w:rsid w:val="005A2776"/>
    <w:rsid w:val="005B3C1C"/>
    <w:rsid w:val="005B40BA"/>
    <w:rsid w:val="005B5FB5"/>
    <w:rsid w:val="005B72F9"/>
    <w:rsid w:val="005B7C71"/>
    <w:rsid w:val="005C0975"/>
    <w:rsid w:val="005C298D"/>
    <w:rsid w:val="005C439A"/>
    <w:rsid w:val="005C53F7"/>
    <w:rsid w:val="005D087F"/>
    <w:rsid w:val="005D2C05"/>
    <w:rsid w:val="005D2C85"/>
    <w:rsid w:val="005E0608"/>
    <w:rsid w:val="005E0D72"/>
    <w:rsid w:val="005E17B0"/>
    <w:rsid w:val="005E2751"/>
    <w:rsid w:val="005E2E7C"/>
    <w:rsid w:val="005E795C"/>
    <w:rsid w:val="005E7BCE"/>
    <w:rsid w:val="005F1DA2"/>
    <w:rsid w:val="005F2016"/>
    <w:rsid w:val="005F650F"/>
    <w:rsid w:val="005F7B5B"/>
    <w:rsid w:val="00602BFF"/>
    <w:rsid w:val="006053A6"/>
    <w:rsid w:val="00606DA7"/>
    <w:rsid w:val="00607091"/>
    <w:rsid w:val="00610868"/>
    <w:rsid w:val="00610B88"/>
    <w:rsid w:val="0061142C"/>
    <w:rsid w:val="00616BCA"/>
    <w:rsid w:val="00620A4A"/>
    <w:rsid w:val="00625109"/>
    <w:rsid w:val="00626405"/>
    <w:rsid w:val="006346D8"/>
    <w:rsid w:val="00635A34"/>
    <w:rsid w:val="00635E40"/>
    <w:rsid w:val="00640E95"/>
    <w:rsid w:val="00641267"/>
    <w:rsid w:val="00642E0C"/>
    <w:rsid w:val="00646DBB"/>
    <w:rsid w:val="00647589"/>
    <w:rsid w:val="006518D0"/>
    <w:rsid w:val="00662482"/>
    <w:rsid w:val="00664276"/>
    <w:rsid w:val="006658AA"/>
    <w:rsid w:val="0066599B"/>
    <w:rsid w:val="00670A07"/>
    <w:rsid w:val="00671063"/>
    <w:rsid w:val="00673EF3"/>
    <w:rsid w:val="00681E57"/>
    <w:rsid w:val="00685ED1"/>
    <w:rsid w:val="00686AD6"/>
    <w:rsid w:val="006914B0"/>
    <w:rsid w:val="0069201C"/>
    <w:rsid w:val="0069697C"/>
    <w:rsid w:val="00696BC5"/>
    <w:rsid w:val="006976FA"/>
    <w:rsid w:val="00697ADF"/>
    <w:rsid w:val="006A1077"/>
    <w:rsid w:val="006A2105"/>
    <w:rsid w:val="006A374E"/>
    <w:rsid w:val="006A5903"/>
    <w:rsid w:val="006A6086"/>
    <w:rsid w:val="006A79E2"/>
    <w:rsid w:val="006A7F3F"/>
    <w:rsid w:val="006B3358"/>
    <w:rsid w:val="006B40E6"/>
    <w:rsid w:val="006B5BFA"/>
    <w:rsid w:val="006C1878"/>
    <w:rsid w:val="006C5957"/>
    <w:rsid w:val="006C7D11"/>
    <w:rsid w:val="006D09C1"/>
    <w:rsid w:val="006D3A4C"/>
    <w:rsid w:val="006D4B6A"/>
    <w:rsid w:val="006D74EC"/>
    <w:rsid w:val="006D7D5E"/>
    <w:rsid w:val="006E0109"/>
    <w:rsid w:val="006E0469"/>
    <w:rsid w:val="006E0CA8"/>
    <w:rsid w:val="006E2E44"/>
    <w:rsid w:val="006E3ABE"/>
    <w:rsid w:val="006F1BB3"/>
    <w:rsid w:val="006F227B"/>
    <w:rsid w:val="006F2F0E"/>
    <w:rsid w:val="006F7C3C"/>
    <w:rsid w:val="00702A33"/>
    <w:rsid w:val="007049B1"/>
    <w:rsid w:val="00707A98"/>
    <w:rsid w:val="00713828"/>
    <w:rsid w:val="007142BB"/>
    <w:rsid w:val="007177F7"/>
    <w:rsid w:val="0072060D"/>
    <w:rsid w:val="00721540"/>
    <w:rsid w:val="0072270E"/>
    <w:rsid w:val="00725359"/>
    <w:rsid w:val="007267DE"/>
    <w:rsid w:val="007302F0"/>
    <w:rsid w:val="00735267"/>
    <w:rsid w:val="00737734"/>
    <w:rsid w:val="00741716"/>
    <w:rsid w:val="0074473E"/>
    <w:rsid w:val="0074770A"/>
    <w:rsid w:val="00750901"/>
    <w:rsid w:val="00754AE0"/>
    <w:rsid w:val="00756B56"/>
    <w:rsid w:val="007614C7"/>
    <w:rsid w:val="007637EC"/>
    <w:rsid w:val="007639FF"/>
    <w:rsid w:val="00764FE4"/>
    <w:rsid w:val="00765BA4"/>
    <w:rsid w:val="00765D29"/>
    <w:rsid w:val="00767A36"/>
    <w:rsid w:val="007710EC"/>
    <w:rsid w:val="00771183"/>
    <w:rsid w:val="007737B2"/>
    <w:rsid w:val="0077748B"/>
    <w:rsid w:val="00777769"/>
    <w:rsid w:val="00785B5F"/>
    <w:rsid w:val="00786627"/>
    <w:rsid w:val="00790158"/>
    <w:rsid w:val="00793A41"/>
    <w:rsid w:val="00795F00"/>
    <w:rsid w:val="007977D8"/>
    <w:rsid w:val="007A28BD"/>
    <w:rsid w:val="007A37E9"/>
    <w:rsid w:val="007A4541"/>
    <w:rsid w:val="007A5798"/>
    <w:rsid w:val="007A60E8"/>
    <w:rsid w:val="007B210A"/>
    <w:rsid w:val="007B2439"/>
    <w:rsid w:val="007B384F"/>
    <w:rsid w:val="007B7DE1"/>
    <w:rsid w:val="007C1B2D"/>
    <w:rsid w:val="007C2668"/>
    <w:rsid w:val="007D15F1"/>
    <w:rsid w:val="007D3315"/>
    <w:rsid w:val="007D4B1B"/>
    <w:rsid w:val="007D673E"/>
    <w:rsid w:val="007D759B"/>
    <w:rsid w:val="007E1243"/>
    <w:rsid w:val="007E1D1B"/>
    <w:rsid w:val="007E3F66"/>
    <w:rsid w:val="007E63E5"/>
    <w:rsid w:val="007F1717"/>
    <w:rsid w:val="007F229A"/>
    <w:rsid w:val="007F3211"/>
    <w:rsid w:val="00801193"/>
    <w:rsid w:val="00802127"/>
    <w:rsid w:val="0080514A"/>
    <w:rsid w:val="00805235"/>
    <w:rsid w:val="0080601B"/>
    <w:rsid w:val="00807ED6"/>
    <w:rsid w:val="00811130"/>
    <w:rsid w:val="008133BF"/>
    <w:rsid w:val="00813B5A"/>
    <w:rsid w:val="00813F95"/>
    <w:rsid w:val="00814485"/>
    <w:rsid w:val="008212E7"/>
    <w:rsid w:val="00823581"/>
    <w:rsid w:val="00823BE6"/>
    <w:rsid w:val="00824F6B"/>
    <w:rsid w:val="00825CF6"/>
    <w:rsid w:val="00835967"/>
    <w:rsid w:val="008373B2"/>
    <w:rsid w:val="0084653E"/>
    <w:rsid w:val="008500A8"/>
    <w:rsid w:val="008501F4"/>
    <w:rsid w:val="0085046D"/>
    <w:rsid w:val="00851971"/>
    <w:rsid w:val="00851CE1"/>
    <w:rsid w:val="00852686"/>
    <w:rsid w:val="008526FD"/>
    <w:rsid w:val="008527C5"/>
    <w:rsid w:val="00855D02"/>
    <w:rsid w:val="00861F38"/>
    <w:rsid w:val="00865EE1"/>
    <w:rsid w:val="00866746"/>
    <w:rsid w:val="008751EA"/>
    <w:rsid w:val="0087542F"/>
    <w:rsid w:val="00876649"/>
    <w:rsid w:val="00880C68"/>
    <w:rsid w:val="00882885"/>
    <w:rsid w:val="00882AC3"/>
    <w:rsid w:val="00883E34"/>
    <w:rsid w:val="00886F4A"/>
    <w:rsid w:val="00887CC8"/>
    <w:rsid w:val="00890DE0"/>
    <w:rsid w:val="00892147"/>
    <w:rsid w:val="00892E6B"/>
    <w:rsid w:val="008935C7"/>
    <w:rsid w:val="00894FB9"/>
    <w:rsid w:val="008950B3"/>
    <w:rsid w:val="00895DF5"/>
    <w:rsid w:val="008A2176"/>
    <w:rsid w:val="008A24B4"/>
    <w:rsid w:val="008A37B1"/>
    <w:rsid w:val="008A3855"/>
    <w:rsid w:val="008A3D6B"/>
    <w:rsid w:val="008B23F0"/>
    <w:rsid w:val="008B3A5B"/>
    <w:rsid w:val="008B665A"/>
    <w:rsid w:val="008C1EC1"/>
    <w:rsid w:val="008C24B6"/>
    <w:rsid w:val="008C3DC6"/>
    <w:rsid w:val="008C5146"/>
    <w:rsid w:val="008C573C"/>
    <w:rsid w:val="008C6A38"/>
    <w:rsid w:val="008E0453"/>
    <w:rsid w:val="008E42FE"/>
    <w:rsid w:val="008E43A6"/>
    <w:rsid w:val="008E4C0E"/>
    <w:rsid w:val="008E6669"/>
    <w:rsid w:val="008E7ACD"/>
    <w:rsid w:val="008E7B1E"/>
    <w:rsid w:val="008F3F54"/>
    <w:rsid w:val="008F56D8"/>
    <w:rsid w:val="009004CC"/>
    <w:rsid w:val="0090075F"/>
    <w:rsid w:val="00905925"/>
    <w:rsid w:val="009119A0"/>
    <w:rsid w:val="00912DFB"/>
    <w:rsid w:val="009167EB"/>
    <w:rsid w:val="00917E26"/>
    <w:rsid w:val="009215E1"/>
    <w:rsid w:val="009218D0"/>
    <w:rsid w:val="00922B95"/>
    <w:rsid w:val="00923447"/>
    <w:rsid w:val="00925FC4"/>
    <w:rsid w:val="009305CB"/>
    <w:rsid w:val="00932F40"/>
    <w:rsid w:val="00936C34"/>
    <w:rsid w:val="0094374B"/>
    <w:rsid w:val="00943E72"/>
    <w:rsid w:val="00946561"/>
    <w:rsid w:val="00946931"/>
    <w:rsid w:val="00946BE1"/>
    <w:rsid w:val="00951171"/>
    <w:rsid w:val="00951F25"/>
    <w:rsid w:val="009521BC"/>
    <w:rsid w:val="0096212E"/>
    <w:rsid w:val="00962267"/>
    <w:rsid w:val="009623D3"/>
    <w:rsid w:val="00962C53"/>
    <w:rsid w:val="00962DA5"/>
    <w:rsid w:val="00970362"/>
    <w:rsid w:val="00975568"/>
    <w:rsid w:val="00976FA5"/>
    <w:rsid w:val="009776DA"/>
    <w:rsid w:val="00977E56"/>
    <w:rsid w:val="00980C92"/>
    <w:rsid w:val="00982D24"/>
    <w:rsid w:val="00984755"/>
    <w:rsid w:val="00984DE0"/>
    <w:rsid w:val="00985BF6"/>
    <w:rsid w:val="00985E7D"/>
    <w:rsid w:val="00992373"/>
    <w:rsid w:val="0099323E"/>
    <w:rsid w:val="0099378F"/>
    <w:rsid w:val="0099472E"/>
    <w:rsid w:val="00995FCC"/>
    <w:rsid w:val="0099601A"/>
    <w:rsid w:val="009A1F2A"/>
    <w:rsid w:val="009A591F"/>
    <w:rsid w:val="009A6B94"/>
    <w:rsid w:val="009A6F58"/>
    <w:rsid w:val="009A7EDC"/>
    <w:rsid w:val="009A7EE0"/>
    <w:rsid w:val="009B07B8"/>
    <w:rsid w:val="009B4178"/>
    <w:rsid w:val="009B5CD7"/>
    <w:rsid w:val="009B633A"/>
    <w:rsid w:val="009B6EF4"/>
    <w:rsid w:val="009B78DB"/>
    <w:rsid w:val="009C00AC"/>
    <w:rsid w:val="009C5290"/>
    <w:rsid w:val="009C783B"/>
    <w:rsid w:val="009D1F33"/>
    <w:rsid w:val="009D3851"/>
    <w:rsid w:val="009D3DED"/>
    <w:rsid w:val="009D4729"/>
    <w:rsid w:val="009D4D51"/>
    <w:rsid w:val="009D68CD"/>
    <w:rsid w:val="009E077D"/>
    <w:rsid w:val="009E15BE"/>
    <w:rsid w:val="009E37F6"/>
    <w:rsid w:val="009E4076"/>
    <w:rsid w:val="009F03D1"/>
    <w:rsid w:val="009F20FF"/>
    <w:rsid w:val="009F33EF"/>
    <w:rsid w:val="009F388A"/>
    <w:rsid w:val="009F7AF3"/>
    <w:rsid w:val="00A01C84"/>
    <w:rsid w:val="00A02129"/>
    <w:rsid w:val="00A042F9"/>
    <w:rsid w:val="00A11BCD"/>
    <w:rsid w:val="00A12684"/>
    <w:rsid w:val="00A1303C"/>
    <w:rsid w:val="00A13FEF"/>
    <w:rsid w:val="00A14281"/>
    <w:rsid w:val="00A16BF4"/>
    <w:rsid w:val="00A20993"/>
    <w:rsid w:val="00A20DE4"/>
    <w:rsid w:val="00A24B9D"/>
    <w:rsid w:val="00A27728"/>
    <w:rsid w:val="00A31D38"/>
    <w:rsid w:val="00A3434D"/>
    <w:rsid w:val="00A34D13"/>
    <w:rsid w:val="00A3712E"/>
    <w:rsid w:val="00A402F4"/>
    <w:rsid w:val="00A403E8"/>
    <w:rsid w:val="00A40F09"/>
    <w:rsid w:val="00A44BE2"/>
    <w:rsid w:val="00A45514"/>
    <w:rsid w:val="00A46A72"/>
    <w:rsid w:val="00A472F7"/>
    <w:rsid w:val="00A478F6"/>
    <w:rsid w:val="00A47C9C"/>
    <w:rsid w:val="00A50657"/>
    <w:rsid w:val="00A5253F"/>
    <w:rsid w:val="00A54618"/>
    <w:rsid w:val="00A557EB"/>
    <w:rsid w:val="00A57054"/>
    <w:rsid w:val="00A57A51"/>
    <w:rsid w:val="00A60812"/>
    <w:rsid w:val="00A61D57"/>
    <w:rsid w:val="00A62132"/>
    <w:rsid w:val="00A64196"/>
    <w:rsid w:val="00A70801"/>
    <w:rsid w:val="00A7173D"/>
    <w:rsid w:val="00A72BDB"/>
    <w:rsid w:val="00A72E01"/>
    <w:rsid w:val="00A73420"/>
    <w:rsid w:val="00A77176"/>
    <w:rsid w:val="00A804BD"/>
    <w:rsid w:val="00A81944"/>
    <w:rsid w:val="00A85F4A"/>
    <w:rsid w:val="00A860EF"/>
    <w:rsid w:val="00A86650"/>
    <w:rsid w:val="00A915BA"/>
    <w:rsid w:val="00A9269B"/>
    <w:rsid w:val="00A92F6C"/>
    <w:rsid w:val="00A94330"/>
    <w:rsid w:val="00A952F3"/>
    <w:rsid w:val="00AA0621"/>
    <w:rsid w:val="00AA1F5C"/>
    <w:rsid w:val="00AA55D2"/>
    <w:rsid w:val="00AA5B78"/>
    <w:rsid w:val="00AB7A08"/>
    <w:rsid w:val="00AC11CF"/>
    <w:rsid w:val="00AC3E02"/>
    <w:rsid w:val="00AC4074"/>
    <w:rsid w:val="00AC5FB3"/>
    <w:rsid w:val="00AC6990"/>
    <w:rsid w:val="00AC73D9"/>
    <w:rsid w:val="00AC74A4"/>
    <w:rsid w:val="00AC794F"/>
    <w:rsid w:val="00AC7F26"/>
    <w:rsid w:val="00AD0297"/>
    <w:rsid w:val="00AD1EFF"/>
    <w:rsid w:val="00AD3990"/>
    <w:rsid w:val="00AD4852"/>
    <w:rsid w:val="00AD5920"/>
    <w:rsid w:val="00AD5E59"/>
    <w:rsid w:val="00AD6787"/>
    <w:rsid w:val="00AE130E"/>
    <w:rsid w:val="00AE16C7"/>
    <w:rsid w:val="00AE19BE"/>
    <w:rsid w:val="00AE31E2"/>
    <w:rsid w:val="00AE3564"/>
    <w:rsid w:val="00AE3C84"/>
    <w:rsid w:val="00AE4BC4"/>
    <w:rsid w:val="00AE7E0F"/>
    <w:rsid w:val="00AF0A54"/>
    <w:rsid w:val="00AF1432"/>
    <w:rsid w:val="00AF1C06"/>
    <w:rsid w:val="00AF48FD"/>
    <w:rsid w:val="00AF5EFF"/>
    <w:rsid w:val="00B023A8"/>
    <w:rsid w:val="00B02872"/>
    <w:rsid w:val="00B02B79"/>
    <w:rsid w:val="00B02C0B"/>
    <w:rsid w:val="00B0302D"/>
    <w:rsid w:val="00B0650E"/>
    <w:rsid w:val="00B13A11"/>
    <w:rsid w:val="00B15561"/>
    <w:rsid w:val="00B15F90"/>
    <w:rsid w:val="00B16931"/>
    <w:rsid w:val="00B20328"/>
    <w:rsid w:val="00B20AA3"/>
    <w:rsid w:val="00B21B6D"/>
    <w:rsid w:val="00B24A3F"/>
    <w:rsid w:val="00B3426D"/>
    <w:rsid w:val="00B3719C"/>
    <w:rsid w:val="00B371CA"/>
    <w:rsid w:val="00B4196C"/>
    <w:rsid w:val="00B44E10"/>
    <w:rsid w:val="00B46D2F"/>
    <w:rsid w:val="00B47764"/>
    <w:rsid w:val="00B47776"/>
    <w:rsid w:val="00B47A74"/>
    <w:rsid w:val="00B53C50"/>
    <w:rsid w:val="00B546C1"/>
    <w:rsid w:val="00B5482D"/>
    <w:rsid w:val="00B54AFE"/>
    <w:rsid w:val="00B55762"/>
    <w:rsid w:val="00B61550"/>
    <w:rsid w:val="00B617DB"/>
    <w:rsid w:val="00B619DC"/>
    <w:rsid w:val="00B61CF0"/>
    <w:rsid w:val="00B64483"/>
    <w:rsid w:val="00B65125"/>
    <w:rsid w:val="00B6548A"/>
    <w:rsid w:val="00B675ED"/>
    <w:rsid w:val="00B74F9B"/>
    <w:rsid w:val="00B75881"/>
    <w:rsid w:val="00B77318"/>
    <w:rsid w:val="00B80966"/>
    <w:rsid w:val="00B81A89"/>
    <w:rsid w:val="00B84FCB"/>
    <w:rsid w:val="00B859EA"/>
    <w:rsid w:val="00B85CB7"/>
    <w:rsid w:val="00B9007B"/>
    <w:rsid w:val="00B92304"/>
    <w:rsid w:val="00B93404"/>
    <w:rsid w:val="00B934DF"/>
    <w:rsid w:val="00B937C5"/>
    <w:rsid w:val="00B95CBD"/>
    <w:rsid w:val="00BA00B9"/>
    <w:rsid w:val="00BA06FC"/>
    <w:rsid w:val="00BA4385"/>
    <w:rsid w:val="00BB40DC"/>
    <w:rsid w:val="00BB4839"/>
    <w:rsid w:val="00BB5941"/>
    <w:rsid w:val="00BB6DDB"/>
    <w:rsid w:val="00BC0DE9"/>
    <w:rsid w:val="00BD2F74"/>
    <w:rsid w:val="00BD731C"/>
    <w:rsid w:val="00BD768B"/>
    <w:rsid w:val="00BE3EB0"/>
    <w:rsid w:val="00BE573E"/>
    <w:rsid w:val="00BF1A21"/>
    <w:rsid w:val="00BF1A7C"/>
    <w:rsid w:val="00BF2755"/>
    <w:rsid w:val="00BF361E"/>
    <w:rsid w:val="00BF4D00"/>
    <w:rsid w:val="00BF6970"/>
    <w:rsid w:val="00C03BB1"/>
    <w:rsid w:val="00C04B7D"/>
    <w:rsid w:val="00C06680"/>
    <w:rsid w:val="00C07BD7"/>
    <w:rsid w:val="00C10474"/>
    <w:rsid w:val="00C105C6"/>
    <w:rsid w:val="00C14777"/>
    <w:rsid w:val="00C14E51"/>
    <w:rsid w:val="00C16A1C"/>
    <w:rsid w:val="00C238B2"/>
    <w:rsid w:val="00C24D4F"/>
    <w:rsid w:val="00C26BC1"/>
    <w:rsid w:val="00C27F10"/>
    <w:rsid w:val="00C30552"/>
    <w:rsid w:val="00C33D5F"/>
    <w:rsid w:val="00C40DB6"/>
    <w:rsid w:val="00C42348"/>
    <w:rsid w:val="00C444A8"/>
    <w:rsid w:val="00C45C2C"/>
    <w:rsid w:val="00C45CC3"/>
    <w:rsid w:val="00C45D69"/>
    <w:rsid w:val="00C52350"/>
    <w:rsid w:val="00C5250E"/>
    <w:rsid w:val="00C52C34"/>
    <w:rsid w:val="00C53ACC"/>
    <w:rsid w:val="00C557FE"/>
    <w:rsid w:val="00C56AB5"/>
    <w:rsid w:val="00C657B3"/>
    <w:rsid w:val="00C670BF"/>
    <w:rsid w:val="00C70366"/>
    <w:rsid w:val="00C77D06"/>
    <w:rsid w:val="00C815C0"/>
    <w:rsid w:val="00C83F2B"/>
    <w:rsid w:val="00C8611C"/>
    <w:rsid w:val="00C86B12"/>
    <w:rsid w:val="00C877CE"/>
    <w:rsid w:val="00C907BA"/>
    <w:rsid w:val="00C9396A"/>
    <w:rsid w:val="00CA2721"/>
    <w:rsid w:val="00CA352D"/>
    <w:rsid w:val="00CA35F3"/>
    <w:rsid w:val="00CA4723"/>
    <w:rsid w:val="00CA6238"/>
    <w:rsid w:val="00CB4BDD"/>
    <w:rsid w:val="00CB52EC"/>
    <w:rsid w:val="00CC03E4"/>
    <w:rsid w:val="00CC11D5"/>
    <w:rsid w:val="00CC1233"/>
    <w:rsid w:val="00CC269D"/>
    <w:rsid w:val="00CC2E54"/>
    <w:rsid w:val="00CC6687"/>
    <w:rsid w:val="00CC7733"/>
    <w:rsid w:val="00CD03E1"/>
    <w:rsid w:val="00CD24D4"/>
    <w:rsid w:val="00CD2BDA"/>
    <w:rsid w:val="00CD494C"/>
    <w:rsid w:val="00CD517D"/>
    <w:rsid w:val="00CD6125"/>
    <w:rsid w:val="00CD6CB9"/>
    <w:rsid w:val="00CD739B"/>
    <w:rsid w:val="00CD758F"/>
    <w:rsid w:val="00CE2153"/>
    <w:rsid w:val="00CE3BE1"/>
    <w:rsid w:val="00CF1299"/>
    <w:rsid w:val="00CF388C"/>
    <w:rsid w:val="00CF3ED1"/>
    <w:rsid w:val="00CF4449"/>
    <w:rsid w:val="00CF49DD"/>
    <w:rsid w:val="00CF5934"/>
    <w:rsid w:val="00CF78FF"/>
    <w:rsid w:val="00D00611"/>
    <w:rsid w:val="00D02094"/>
    <w:rsid w:val="00D02665"/>
    <w:rsid w:val="00D04F99"/>
    <w:rsid w:val="00D05018"/>
    <w:rsid w:val="00D0737F"/>
    <w:rsid w:val="00D1136B"/>
    <w:rsid w:val="00D1338E"/>
    <w:rsid w:val="00D137EC"/>
    <w:rsid w:val="00D1784A"/>
    <w:rsid w:val="00D2227E"/>
    <w:rsid w:val="00D22594"/>
    <w:rsid w:val="00D230E0"/>
    <w:rsid w:val="00D253A3"/>
    <w:rsid w:val="00D25F35"/>
    <w:rsid w:val="00D30800"/>
    <w:rsid w:val="00D31A68"/>
    <w:rsid w:val="00D31B60"/>
    <w:rsid w:val="00D37B85"/>
    <w:rsid w:val="00D403C1"/>
    <w:rsid w:val="00D41909"/>
    <w:rsid w:val="00D43772"/>
    <w:rsid w:val="00D43C8D"/>
    <w:rsid w:val="00D44B1A"/>
    <w:rsid w:val="00D451BA"/>
    <w:rsid w:val="00D452CE"/>
    <w:rsid w:val="00D519AB"/>
    <w:rsid w:val="00D51AFE"/>
    <w:rsid w:val="00D521FA"/>
    <w:rsid w:val="00D53AA9"/>
    <w:rsid w:val="00D54265"/>
    <w:rsid w:val="00D570BC"/>
    <w:rsid w:val="00D608F3"/>
    <w:rsid w:val="00D624A0"/>
    <w:rsid w:val="00D64E6C"/>
    <w:rsid w:val="00D66EED"/>
    <w:rsid w:val="00D71BCD"/>
    <w:rsid w:val="00D72F55"/>
    <w:rsid w:val="00D7485D"/>
    <w:rsid w:val="00D76684"/>
    <w:rsid w:val="00D76CEB"/>
    <w:rsid w:val="00D77C72"/>
    <w:rsid w:val="00D77D82"/>
    <w:rsid w:val="00DA0B5D"/>
    <w:rsid w:val="00DA3A96"/>
    <w:rsid w:val="00DA4502"/>
    <w:rsid w:val="00DA4DBB"/>
    <w:rsid w:val="00DA4E86"/>
    <w:rsid w:val="00DB05E9"/>
    <w:rsid w:val="00DB4DC4"/>
    <w:rsid w:val="00DB5FCA"/>
    <w:rsid w:val="00DB7574"/>
    <w:rsid w:val="00DB78C5"/>
    <w:rsid w:val="00DC0958"/>
    <w:rsid w:val="00DC2D03"/>
    <w:rsid w:val="00DC4947"/>
    <w:rsid w:val="00DD4F32"/>
    <w:rsid w:val="00DD650F"/>
    <w:rsid w:val="00DE0A51"/>
    <w:rsid w:val="00DE0D5F"/>
    <w:rsid w:val="00DE254E"/>
    <w:rsid w:val="00DF4080"/>
    <w:rsid w:val="00DF6CB0"/>
    <w:rsid w:val="00E001E2"/>
    <w:rsid w:val="00E0328F"/>
    <w:rsid w:val="00E036D4"/>
    <w:rsid w:val="00E044A8"/>
    <w:rsid w:val="00E06D87"/>
    <w:rsid w:val="00E11130"/>
    <w:rsid w:val="00E117A5"/>
    <w:rsid w:val="00E11BCE"/>
    <w:rsid w:val="00E12201"/>
    <w:rsid w:val="00E12968"/>
    <w:rsid w:val="00E13B54"/>
    <w:rsid w:val="00E14774"/>
    <w:rsid w:val="00E1545E"/>
    <w:rsid w:val="00E15ABA"/>
    <w:rsid w:val="00E176FC"/>
    <w:rsid w:val="00E21506"/>
    <w:rsid w:val="00E2569B"/>
    <w:rsid w:val="00E25EBD"/>
    <w:rsid w:val="00E26504"/>
    <w:rsid w:val="00E26E06"/>
    <w:rsid w:val="00E27048"/>
    <w:rsid w:val="00E27F7C"/>
    <w:rsid w:val="00E301D2"/>
    <w:rsid w:val="00E31B03"/>
    <w:rsid w:val="00E31C15"/>
    <w:rsid w:val="00E351F9"/>
    <w:rsid w:val="00E35ABD"/>
    <w:rsid w:val="00E41178"/>
    <w:rsid w:val="00E41380"/>
    <w:rsid w:val="00E43E06"/>
    <w:rsid w:val="00E4530D"/>
    <w:rsid w:val="00E457AB"/>
    <w:rsid w:val="00E52D3D"/>
    <w:rsid w:val="00E53ED4"/>
    <w:rsid w:val="00E560BD"/>
    <w:rsid w:val="00E57BE1"/>
    <w:rsid w:val="00E64E3C"/>
    <w:rsid w:val="00E65348"/>
    <w:rsid w:val="00E6603A"/>
    <w:rsid w:val="00E66EB6"/>
    <w:rsid w:val="00E71B73"/>
    <w:rsid w:val="00E73AE0"/>
    <w:rsid w:val="00E74316"/>
    <w:rsid w:val="00E74487"/>
    <w:rsid w:val="00E74980"/>
    <w:rsid w:val="00E75D9B"/>
    <w:rsid w:val="00E8274D"/>
    <w:rsid w:val="00E82760"/>
    <w:rsid w:val="00E843DD"/>
    <w:rsid w:val="00E84C75"/>
    <w:rsid w:val="00E93604"/>
    <w:rsid w:val="00E94E62"/>
    <w:rsid w:val="00E95896"/>
    <w:rsid w:val="00E95A18"/>
    <w:rsid w:val="00EA23D1"/>
    <w:rsid w:val="00EA3C3C"/>
    <w:rsid w:val="00EA40A0"/>
    <w:rsid w:val="00EA5283"/>
    <w:rsid w:val="00EA5B26"/>
    <w:rsid w:val="00EA76EB"/>
    <w:rsid w:val="00EB0E26"/>
    <w:rsid w:val="00EB4B15"/>
    <w:rsid w:val="00EB560E"/>
    <w:rsid w:val="00EC126D"/>
    <w:rsid w:val="00EC16B6"/>
    <w:rsid w:val="00EC2152"/>
    <w:rsid w:val="00EC494C"/>
    <w:rsid w:val="00EC4AB0"/>
    <w:rsid w:val="00EC656C"/>
    <w:rsid w:val="00ED0EAE"/>
    <w:rsid w:val="00ED5126"/>
    <w:rsid w:val="00EE0261"/>
    <w:rsid w:val="00EE0C42"/>
    <w:rsid w:val="00EE2B86"/>
    <w:rsid w:val="00EE33C0"/>
    <w:rsid w:val="00EE6154"/>
    <w:rsid w:val="00EF0C0D"/>
    <w:rsid w:val="00EF2589"/>
    <w:rsid w:val="00EF2884"/>
    <w:rsid w:val="00EF7D02"/>
    <w:rsid w:val="00F007C4"/>
    <w:rsid w:val="00F00876"/>
    <w:rsid w:val="00F01A97"/>
    <w:rsid w:val="00F023EB"/>
    <w:rsid w:val="00F029B6"/>
    <w:rsid w:val="00F02BC2"/>
    <w:rsid w:val="00F057AC"/>
    <w:rsid w:val="00F1211E"/>
    <w:rsid w:val="00F155BE"/>
    <w:rsid w:val="00F15A72"/>
    <w:rsid w:val="00F16D7B"/>
    <w:rsid w:val="00F20ED2"/>
    <w:rsid w:val="00F3089D"/>
    <w:rsid w:val="00F30F1B"/>
    <w:rsid w:val="00F34866"/>
    <w:rsid w:val="00F34B98"/>
    <w:rsid w:val="00F35BBC"/>
    <w:rsid w:val="00F408D6"/>
    <w:rsid w:val="00F42CEA"/>
    <w:rsid w:val="00F44DFD"/>
    <w:rsid w:val="00F45A2F"/>
    <w:rsid w:val="00F46BE9"/>
    <w:rsid w:val="00F51216"/>
    <w:rsid w:val="00F551C8"/>
    <w:rsid w:val="00F55383"/>
    <w:rsid w:val="00F610DD"/>
    <w:rsid w:val="00F63DF7"/>
    <w:rsid w:val="00F65D32"/>
    <w:rsid w:val="00F715F4"/>
    <w:rsid w:val="00F71EC4"/>
    <w:rsid w:val="00F7234A"/>
    <w:rsid w:val="00F80F72"/>
    <w:rsid w:val="00F82A93"/>
    <w:rsid w:val="00F83021"/>
    <w:rsid w:val="00F837E8"/>
    <w:rsid w:val="00F83F7C"/>
    <w:rsid w:val="00F870EE"/>
    <w:rsid w:val="00F872BC"/>
    <w:rsid w:val="00F9152C"/>
    <w:rsid w:val="00F93CBC"/>
    <w:rsid w:val="00F96B2D"/>
    <w:rsid w:val="00F97356"/>
    <w:rsid w:val="00FA5244"/>
    <w:rsid w:val="00FB129B"/>
    <w:rsid w:val="00FB21F9"/>
    <w:rsid w:val="00FB7397"/>
    <w:rsid w:val="00FC4E2F"/>
    <w:rsid w:val="00FC7995"/>
    <w:rsid w:val="00FD1C0F"/>
    <w:rsid w:val="00FD21DA"/>
    <w:rsid w:val="00FD796F"/>
    <w:rsid w:val="00FE7E47"/>
    <w:rsid w:val="00FF134F"/>
    <w:rsid w:val="00FF1C13"/>
    <w:rsid w:val="00FF1CA9"/>
    <w:rsid w:val="00FF309C"/>
    <w:rsid w:val="00FF3A59"/>
    <w:rsid w:val="00FF7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DD5A51"/>
  <w15:docId w15:val="{4EE91B0B-87E3-4C8F-9BC5-A7DB199D8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zh-CN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D5126"/>
    <w:pPr>
      <w:tabs>
        <w:tab w:val="left" w:pos="567"/>
      </w:tabs>
      <w:spacing w:line="260" w:lineRule="exact"/>
    </w:pPr>
    <w:rPr>
      <w:sz w:val="22"/>
      <w:lang w:eastAsia="en-US" w:bidi="ar-SA"/>
    </w:rPr>
  </w:style>
  <w:style w:type="paragraph" w:styleId="Nadpis1">
    <w:name w:val="heading 1"/>
    <w:basedOn w:val="Normlny"/>
    <w:next w:val="Normlny"/>
    <w:qFormat/>
    <w:rsid w:val="00ED5126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rsid w:val="00ED5126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ED5126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rsid w:val="00ED5126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ED5126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ED5126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ED5126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ED5126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ED5126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ED5126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rsid w:val="00ED5126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ED5126"/>
  </w:style>
  <w:style w:type="paragraph" w:styleId="Zarkazkladnhotextu">
    <w:name w:val="Body Text Indent"/>
    <w:basedOn w:val="Normlny"/>
    <w:rsid w:val="00ED5126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rsid w:val="00ED5126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rsid w:val="00ED5126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ED5126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ED5126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sid w:val="00ED512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ED5126"/>
    <w:rPr>
      <w:sz w:val="20"/>
    </w:rPr>
  </w:style>
  <w:style w:type="paragraph" w:customStyle="1" w:styleId="EMEAEnBodyText">
    <w:name w:val="EMEA En Body Text"/>
    <w:basedOn w:val="Normlny"/>
    <w:rsid w:val="00ED5126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link w:val="truktradokumentuChar"/>
    <w:rsid w:val="00ED5126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ED5126"/>
    <w:rPr>
      <w:color w:val="0000FF"/>
      <w:u w:val="single"/>
    </w:rPr>
  </w:style>
  <w:style w:type="paragraph" w:customStyle="1" w:styleId="AHeader1">
    <w:name w:val="AHeader 1"/>
    <w:basedOn w:val="Normlny"/>
    <w:rsid w:val="00ED5126"/>
    <w:pPr>
      <w:numPr>
        <w:numId w:val="7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ED5126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ED5126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ED5126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ED5126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ED5126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ED5126"/>
    <w:rPr>
      <w:color w:val="800080"/>
      <w:u w:val="single"/>
    </w:rPr>
  </w:style>
  <w:style w:type="paragraph" w:customStyle="1" w:styleId="Default">
    <w:name w:val="Default"/>
    <w:rsid w:val="00ED5126"/>
    <w:pPr>
      <w:autoSpaceDE w:val="0"/>
      <w:autoSpaceDN w:val="0"/>
      <w:adjustRightInd w:val="0"/>
    </w:pPr>
    <w:rPr>
      <w:lang w:val="en-US" w:eastAsia="en-US" w:bidi="ar-SA"/>
    </w:rPr>
  </w:style>
  <w:style w:type="paragraph" w:styleId="Textbubliny">
    <w:name w:val="Balloon Text"/>
    <w:basedOn w:val="Normlny"/>
    <w:semiHidden/>
    <w:rsid w:val="00ED5126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qFormat/>
    <w:rsid w:val="00F00876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F00876"/>
    <w:rPr>
      <w:rFonts w:ascii="Verdana" w:eastAsia="Verdana" w:hAnsi="Verdana" w:cs="Verdana"/>
      <w:sz w:val="18"/>
      <w:szCs w:val="18"/>
    </w:rPr>
  </w:style>
  <w:style w:type="character" w:customStyle="1" w:styleId="TextkomentraChar">
    <w:name w:val="Text komentára Char"/>
    <w:link w:val="Textkomentra"/>
    <w:uiPriority w:val="99"/>
    <w:rsid w:val="003879F1"/>
    <w:rPr>
      <w:lang w:eastAsia="en-US" w:bidi="ar-SA"/>
    </w:rPr>
  </w:style>
  <w:style w:type="paragraph" w:customStyle="1" w:styleId="4thlevel">
    <w:name w:val="4th level"/>
    <w:basedOn w:val="Normlny"/>
    <w:next w:val="Normlny"/>
    <w:rsid w:val="00547992"/>
    <w:pPr>
      <w:keepNext/>
      <w:keepLines/>
      <w:tabs>
        <w:tab w:val="clear" w:pos="567"/>
        <w:tab w:val="left" w:pos="1134"/>
      </w:tabs>
      <w:spacing w:before="240" w:after="240" w:line="276" w:lineRule="auto"/>
      <w:ind w:left="1134" w:hanging="1134"/>
      <w:outlineLvl w:val="3"/>
    </w:pPr>
    <w:rPr>
      <w:color w:val="000000"/>
      <w:sz w:val="24"/>
      <w:szCs w:val="22"/>
      <w:lang w:val="en-US" w:eastAsia="de-DE"/>
    </w:rPr>
  </w:style>
  <w:style w:type="paragraph" w:styleId="Odsekzoznamu">
    <w:name w:val="List Paragraph"/>
    <w:aliases w:val="Bullets"/>
    <w:basedOn w:val="Normlny"/>
    <w:uiPriority w:val="34"/>
    <w:qFormat/>
    <w:rsid w:val="00EC126D"/>
    <w:pPr>
      <w:tabs>
        <w:tab w:val="clear" w:pos="567"/>
      </w:tabs>
      <w:spacing w:after="200" w:line="276" w:lineRule="auto"/>
      <w:ind w:left="720"/>
      <w:contextualSpacing/>
    </w:pPr>
    <w:rPr>
      <w:rFonts w:ascii="Calibri" w:eastAsia="Calibri" w:hAnsi="Calibri"/>
      <w:color w:val="000000"/>
      <w:szCs w:val="22"/>
      <w:lang w:val="en-US"/>
    </w:rPr>
  </w:style>
  <w:style w:type="character" w:customStyle="1" w:styleId="systranseg">
    <w:name w:val="systran_seg"/>
    <w:rsid w:val="007B7DE1"/>
  </w:style>
  <w:style w:type="character" w:customStyle="1" w:styleId="systrantokenword">
    <w:name w:val="systran_token_word"/>
    <w:rsid w:val="007B7DE1"/>
  </w:style>
  <w:style w:type="character" w:customStyle="1" w:styleId="systrantokenpunctuation">
    <w:name w:val="systran_token_punctuation"/>
    <w:rsid w:val="007B7DE1"/>
  </w:style>
  <w:style w:type="character" w:customStyle="1" w:styleId="systrantokensymbol">
    <w:name w:val="systran_token_symbol"/>
    <w:rsid w:val="007B7DE1"/>
  </w:style>
  <w:style w:type="character" w:customStyle="1" w:styleId="apple-converted-space">
    <w:name w:val="apple-converted-space"/>
    <w:rsid w:val="007B7DE1"/>
  </w:style>
  <w:style w:type="character" w:customStyle="1" w:styleId="systrantokennumeric">
    <w:name w:val="systran_token_numeric"/>
    <w:rsid w:val="007B7DE1"/>
  </w:style>
  <w:style w:type="paragraph" w:customStyle="1" w:styleId="Fliesstext">
    <w:name w:val="Fliesstext"/>
    <w:basedOn w:val="Normlny"/>
    <w:uiPriority w:val="99"/>
    <w:rsid w:val="00D44B1A"/>
    <w:pPr>
      <w:tabs>
        <w:tab w:val="clear" w:pos="567"/>
      </w:tabs>
      <w:spacing w:line="240" w:lineRule="auto"/>
    </w:pPr>
    <w:rPr>
      <w:rFonts w:eastAsia="Arial Unicode MS"/>
      <w:szCs w:val="22"/>
      <w:lang w:val="de-DE" w:eastAsia="de-DE" w:bidi="th-TH"/>
    </w:rPr>
  </w:style>
  <w:style w:type="paragraph" w:customStyle="1" w:styleId="CSTextinTable10pt">
    <w:name w:val="CS Text_in_Table:10pt"/>
    <w:basedOn w:val="Normlny"/>
    <w:uiPriority w:val="99"/>
    <w:rsid w:val="007E1D1B"/>
    <w:pPr>
      <w:keepNext/>
      <w:keepLines/>
      <w:tabs>
        <w:tab w:val="clear" w:pos="567"/>
        <w:tab w:val="left" w:pos="144"/>
      </w:tabs>
      <w:spacing w:before="60" w:after="60" w:line="240" w:lineRule="auto"/>
    </w:pPr>
    <w:rPr>
      <w:sz w:val="20"/>
      <w:lang w:val="en-US" w:eastAsia="de-DE"/>
    </w:rPr>
  </w:style>
  <w:style w:type="table" w:styleId="Mriekatabuky">
    <w:name w:val="Table Grid"/>
    <w:basedOn w:val="Normlnatabuka"/>
    <w:rsid w:val="00BA0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ReferenceFootnote">
    <w:name w:val="CS Reference Footnote"/>
    <w:basedOn w:val="Normlny"/>
    <w:link w:val="CSReferenceFootnoteChar"/>
    <w:rsid w:val="00DB05E9"/>
    <w:pPr>
      <w:tabs>
        <w:tab w:val="clear" w:pos="567"/>
        <w:tab w:val="left" w:pos="454"/>
      </w:tabs>
      <w:spacing w:before="40" w:line="240" w:lineRule="auto"/>
      <w:ind w:left="454" w:hanging="454"/>
    </w:pPr>
    <w:rPr>
      <w:sz w:val="18"/>
      <w:szCs w:val="18"/>
      <w:lang w:val="en-US" w:eastAsia="de-DE"/>
    </w:rPr>
  </w:style>
  <w:style w:type="character" w:customStyle="1" w:styleId="CSReferenceFootnoteChar">
    <w:name w:val="CS Reference Footnote Char"/>
    <w:link w:val="CSReferenceFootnote"/>
    <w:rsid w:val="00DB05E9"/>
    <w:rPr>
      <w:sz w:val="18"/>
      <w:szCs w:val="18"/>
      <w:lang w:val="en-US" w:eastAsia="de-DE" w:bidi="ar-SA"/>
    </w:rPr>
  </w:style>
  <w:style w:type="paragraph" w:customStyle="1" w:styleId="TextinTable10pt">
    <w:name w:val="Text_in_Table:10pt"/>
    <w:basedOn w:val="Normlny"/>
    <w:rsid w:val="00CD6125"/>
    <w:pPr>
      <w:keepNext/>
      <w:keepLines/>
      <w:tabs>
        <w:tab w:val="clear" w:pos="567"/>
        <w:tab w:val="left" w:pos="144"/>
      </w:tabs>
      <w:spacing w:before="60" w:after="60" w:line="240" w:lineRule="auto"/>
    </w:pPr>
    <w:rPr>
      <w:sz w:val="20"/>
      <w:lang w:val="en-US"/>
    </w:rPr>
  </w:style>
  <w:style w:type="paragraph" w:styleId="Revzia">
    <w:name w:val="Revision"/>
    <w:hidden/>
    <w:uiPriority w:val="99"/>
    <w:semiHidden/>
    <w:rsid w:val="00072411"/>
    <w:rPr>
      <w:sz w:val="22"/>
      <w:lang w:eastAsia="en-US" w:bidi="ar-SA"/>
    </w:rPr>
  </w:style>
  <w:style w:type="paragraph" w:styleId="Normlnysozarkami">
    <w:name w:val="Normal Indent"/>
    <w:basedOn w:val="Normlny"/>
    <w:rsid w:val="0044538F"/>
    <w:pPr>
      <w:tabs>
        <w:tab w:val="clear" w:pos="567"/>
      </w:tabs>
      <w:spacing w:after="120" w:line="240" w:lineRule="auto"/>
      <w:ind w:left="720"/>
    </w:pPr>
    <w:rPr>
      <w:szCs w:val="22"/>
      <w:lang w:eastAsia="en-GB"/>
    </w:rPr>
  </w:style>
  <w:style w:type="paragraph" w:customStyle="1" w:styleId="knZulassung02">
    <w:name w:val="knZulassung02"/>
    <w:basedOn w:val="Normlny"/>
    <w:rsid w:val="0044538F"/>
    <w:pPr>
      <w:tabs>
        <w:tab w:val="clear" w:pos="567"/>
      </w:tabs>
      <w:autoSpaceDE w:val="0"/>
      <w:autoSpaceDN w:val="0"/>
      <w:spacing w:line="240" w:lineRule="auto"/>
      <w:ind w:left="1843" w:right="284"/>
    </w:pPr>
    <w:rPr>
      <w:rFonts w:ascii="Courier" w:hAnsi="Courier" w:cs="Courier"/>
      <w:sz w:val="24"/>
      <w:szCs w:val="24"/>
      <w:lang w:val="de-DE" w:eastAsia="de-DE"/>
    </w:rPr>
  </w:style>
  <w:style w:type="paragraph" w:customStyle="1" w:styleId="SPCText">
    <w:name w:val="SPC Text"/>
    <w:basedOn w:val="Normlny"/>
    <w:rsid w:val="0044538F"/>
    <w:pPr>
      <w:tabs>
        <w:tab w:val="clear" w:pos="567"/>
      </w:tabs>
      <w:spacing w:before="120" w:after="120" w:line="240" w:lineRule="atLeast"/>
      <w:ind w:left="567"/>
      <w:jc w:val="both"/>
    </w:pPr>
    <w:rPr>
      <w:rFonts w:ascii="Arial" w:hAnsi="Arial" w:cs="Arial"/>
      <w:sz w:val="20"/>
      <w:lang w:eastAsia="de-DE"/>
    </w:rPr>
  </w:style>
  <w:style w:type="character" w:customStyle="1" w:styleId="truktradokumentuChar">
    <w:name w:val="Štruktúra dokumentu Char"/>
    <w:basedOn w:val="Predvolenpsmoodseku"/>
    <w:link w:val="truktradokumentu"/>
    <w:rsid w:val="0044538F"/>
    <w:rPr>
      <w:rFonts w:ascii="Tahoma" w:hAnsi="Tahoma" w:cs="Tahoma"/>
      <w:sz w:val="22"/>
      <w:shd w:val="clear" w:color="auto" w:fill="000080"/>
      <w:lang w:eastAsia="en-US" w:bidi="ar-SA"/>
    </w:rPr>
  </w:style>
  <w:style w:type="paragraph" w:customStyle="1" w:styleId="PHZMngelpunkt">
    <w:name w:val="PHZ Mängelpunkt"/>
    <w:basedOn w:val="Normlny"/>
    <w:rsid w:val="0044538F"/>
    <w:pPr>
      <w:numPr>
        <w:numId w:val="19"/>
      </w:numPr>
      <w:tabs>
        <w:tab w:val="clear" w:pos="567"/>
      </w:tabs>
      <w:spacing w:before="120" w:line="240" w:lineRule="auto"/>
    </w:pPr>
    <w:rPr>
      <w:rFonts w:ascii="Arial" w:hAnsi="Arial"/>
      <w:szCs w:val="24"/>
      <w:lang w:val="de-DE" w:eastAsia="de-DE"/>
    </w:rPr>
  </w:style>
  <w:style w:type="paragraph" w:styleId="Bezriadkovania">
    <w:name w:val="No Spacing"/>
    <w:uiPriority w:val="1"/>
    <w:qFormat/>
    <w:rsid w:val="008A2176"/>
    <w:rPr>
      <w:sz w:val="24"/>
      <w:szCs w:val="24"/>
      <w:lang w:eastAsia="en-GB" w:bidi="ar-SA"/>
    </w:rPr>
  </w:style>
  <w:style w:type="paragraph" w:styleId="Nzov">
    <w:name w:val="Title"/>
    <w:basedOn w:val="Normlny"/>
    <w:next w:val="Normlny"/>
    <w:link w:val="NzovChar"/>
    <w:qFormat/>
    <w:rsid w:val="00D1136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D1136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styleId="Zvraznenie">
    <w:name w:val="Emphasis"/>
    <w:basedOn w:val="Predvolenpsmoodseku"/>
    <w:uiPriority w:val="20"/>
    <w:qFormat/>
    <w:rsid w:val="00263CFD"/>
    <w:rPr>
      <w:i/>
      <w:iCs/>
    </w:rPr>
  </w:style>
  <w:style w:type="character" w:styleId="Siln">
    <w:name w:val="Strong"/>
    <w:basedOn w:val="Predvolenpsmoodseku"/>
    <w:uiPriority w:val="22"/>
    <w:qFormat/>
    <w:rsid w:val="003B50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3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1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 2003 (.doc)" ma:contentTypeID="0x0101002DA5341909F3834F84454F7778E62B7E00F5E0D98CCF7E6D48BEA9BFC413B84036" ma:contentTypeVersion="2" ma:contentTypeDescription="Content type for Word 2003 documents" ma:contentTypeScope="" ma:versionID="08d3049c28c90edca71ba858f4a0edd7">
  <xsd:schema xmlns:xsd="http://www.w3.org/2001/XMLSchema" xmlns:xs="http://www.w3.org/2001/XMLSchema" xmlns:p="http://schemas.microsoft.com/office/2006/metadata/properties" xmlns:ns2="e9646258-a80b-48e3-b2ac-b18b26b72859" targetNamespace="http://schemas.microsoft.com/office/2006/metadata/properties" ma:root="true" ma:fieldsID="4ee305b19ed775b6166969fafeb3a9c6" ns2:_="">
    <xsd:import namespace="e9646258-a80b-48e3-b2ac-b18b26b7285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46258-a80b-48e3-b2ac-b18b26b728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526D4-BA78-42A5-A8BF-7C4C4FB56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646258-a80b-48e3-b2ac-b18b26b72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1592C3-0698-490E-9993-9DF4FC0793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AD4137-6B9F-4CFA-A0BB-A9D206D7ED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59D115-39AD-43CB-8D61-67ED90674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15</Pages>
  <Words>6042</Words>
  <Characters>34446</Characters>
  <Application>Microsoft Office Word</Application>
  <DocSecurity>0</DocSecurity>
  <Lines>287</Lines>
  <Paragraphs>80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5" baseType="lpstr">
      <vt:lpstr>Hreferralspccleanen</vt:lpstr>
      <vt:lpstr>Hreferralspccleanen</vt:lpstr>
      <vt:lpstr>Hreferralspccleanen</vt:lpstr>
      <vt:lpstr>Hreferralspccleanen</vt:lpstr>
      <vt:lpstr>Hreferralspccleanen</vt:lpstr>
    </vt:vector>
  </TitlesOfParts>
  <Company>EMEA</Company>
  <LinksUpToDate>false</LinksUpToDate>
  <CharactersWithSpaces>40408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Hreferralspccleanen</dc:title>
  <dc:subject>General-EMA/53548/2010, P-167</dc:subject>
  <dc:creator>Lesinska-Sawczuk,Dr.,Urszula (GlDep DMRA) BIP-DE-I</dc:creator>
  <cp:lastModifiedBy>PM</cp:lastModifiedBy>
  <cp:revision>17</cp:revision>
  <cp:lastPrinted>2019-09-16T09:24:00Z</cp:lastPrinted>
  <dcterms:created xsi:type="dcterms:W3CDTF">2020-06-10T06:54:00Z</dcterms:created>
  <dcterms:modified xsi:type="dcterms:W3CDTF">2020-07-20T06:12:00Z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Version">
    <vt:lpwstr>CURRENT,1.2</vt:lpwstr>
  </property>
  <property fmtid="{D5CDD505-2E9C-101B-9397-08002B2CF9AE}" pid="30" name="DM_Subject">
    <vt:lpwstr>General-EMA/53548/2010</vt:lpwstr>
  </property>
  <property fmtid="{D5CDD505-2E9C-101B-9397-08002B2CF9AE}" pid="31" name="DM_Name">
    <vt:lpwstr>Hreferralspccleanen</vt:lpwstr>
  </property>
  <property fmtid="{D5CDD505-2E9C-101B-9397-08002B2CF9AE}" pid="32" name="DM_Creation_Date">
    <vt:lpwstr>04/04/2013 15:13:06</vt:lpwstr>
  </property>
  <property fmtid="{D5CDD505-2E9C-101B-9397-08002B2CF9AE}" pid="33" name="DM_Modify_Date">
    <vt:lpwstr>04/04/2013 15:13:06</vt:lpwstr>
  </property>
  <property fmtid="{D5CDD505-2E9C-101B-9397-08002B2CF9AE}" pid="34" name="DM_Creator_Name">
    <vt:lpwstr>Horemans Karina</vt:lpwstr>
  </property>
  <property fmtid="{D5CDD505-2E9C-101B-9397-08002B2CF9AE}" pid="35" name="DM_Modifier_Name">
    <vt:lpwstr>Horemans Karina</vt:lpwstr>
  </property>
  <property fmtid="{D5CDD505-2E9C-101B-9397-08002B2CF9AE}" pid="36" name="DM_Type">
    <vt:lpwstr>emea_document</vt:lpwstr>
  </property>
  <property fmtid="{D5CDD505-2E9C-101B-9397-08002B2CF9AE}" pid="37" name="DM_DocRefId">
    <vt:lpwstr>EMA/199345/2013</vt:lpwstr>
  </property>
  <property fmtid="{D5CDD505-2E9C-101B-9397-08002B2CF9AE}" pid="38" name="DM_Category">
    <vt:lpwstr>General</vt:lpwstr>
  </property>
  <property fmtid="{D5CDD505-2E9C-101B-9397-08002B2CF9AE}" pid="39" name="DM_Path">
    <vt:lpwstr>/Old EDMS Structure/Meetings/Scientific Meetings/Q R D - P I Q/14 QRD Templates &amp; Ref. doc on web/00 QRD Ext. website &amp; File new/03 QRD H-Referral templates/03 H Referral template v 2.0/v.2 clean</vt:lpwstr>
  </property>
  <property fmtid="{D5CDD505-2E9C-101B-9397-08002B2CF9AE}" pid="40" name="DM_emea_doc_ref_id">
    <vt:lpwstr>EMA/199345/2013</vt:lpwstr>
  </property>
  <property fmtid="{D5CDD505-2E9C-101B-9397-08002B2CF9AE}" pid="41" name="DM_Modifer_Name">
    <vt:lpwstr>Horemans Karina</vt:lpwstr>
  </property>
  <property fmtid="{D5CDD505-2E9C-101B-9397-08002B2CF9AE}" pid="42" name="DM_Modified_Date">
    <vt:lpwstr>04/04/2013 15:13:06</vt:lpwstr>
  </property>
  <property fmtid="{D5CDD505-2E9C-101B-9397-08002B2CF9AE}" pid="43" name="ContentTypeId">
    <vt:lpwstr>0x0101002DA5341909F3834F84454F7778E62B7E00F5E0D98CCF7E6D48BEA9BFC413B84036</vt:lpwstr>
  </property>
  <property fmtid="{D5CDD505-2E9C-101B-9397-08002B2CF9AE}" pid="44" name="_NewReviewCycle">
    <vt:lpwstr/>
  </property>
</Properties>
</file>