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E9" w:rsidRDefault="008100E9" w:rsidP="00FD5065">
      <w:pPr>
        <w:pStyle w:val="Nadpis5"/>
        <w:ind w:left="709" w:hanging="709"/>
        <w:rPr>
          <w:caps/>
          <w:sz w:val="22"/>
          <w:szCs w:val="22"/>
        </w:rPr>
      </w:pPr>
    </w:p>
    <w:p w:rsidR="008100E9" w:rsidRDefault="008100E9" w:rsidP="00FD5065">
      <w:pPr>
        <w:pStyle w:val="Nadpis5"/>
        <w:ind w:left="709" w:hanging="709"/>
        <w:rPr>
          <w:caps/>
          <w:sz w:val="22"/>
          <w:szCs w:val="22"/>
        </w:rPr>
      </w:pPr>
    </w:p>
    <w:p w:rsidR="00BD0B6F" w:rsidRPr="0094644C" w:rsidRDefault="00BD0B6F" w:rsidP="00FD5065">
      <w:pPr>
        <w:pStyle w:val="Nadpis5"/>
        <w:ind w:left="709" w:hanging="709"/>
        <w:rPr>
          <w:caps/>
          <w:sz w:val="22"/>
          <w:szCs w:val="22"/>
        </w:rPr>
      </w:pPr>
      <w:r w:rsidRPr="0094644C">
        <w:rPr>
          <w:caps/>
          <w:sz w:val="22"/>
          <w:szCs w:val="22"/>
        </w:rPr>
        <w:t>Súhrn charakteristických vlastností lieku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D0777A" w:rsidRPr="0094644C" w:rsidRDefault="00D0777A">
      <w:pPr>
        <w:jc w:val="both"/>
        <w:rPr>
          <w:b/>
          <w:bCs/>
          <w:sz w:val="22"/>
          <w:szCs w:val="22"/>
        </w:rPr>
      </w:pPr>
    </w:p>
    <w:p w:rsidR="00BD0B6F" w:rsidRPr="0094644C" w:rsidRDefault="00BD0B6F" w:rsidP="00D0777A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NÁZOV LIEKU</w:t>
      </w:r>
    </w:p>
    <w:p w:rsidR="00D0777A" w:rsidRPr="0094644C" w:rsidRDefault="00D0777A">
      <w:pPr>
        <w:outlineLvl w:val="0"/>
        <w:rPr>
          <w:bCs/>
          <w:sz w:val="22"/>
          <w:szCs w:val="22"/>
        </w:rPr>
      </w:pPr>
    </w:p>
    <w:p w:rsidR="00B2649B" w:rsidRPr="009930C7" w:rsidRDefault="00D93693">
      <w:pPr>
        <w:outlineLvl w:val="0"/>
        <w:rPr>
          <w:bCs/>
          <w:sz w:val="22"/>
          <w:szCs w:val="22"/>
        </w:rPr>
      </w:pPr>
      <w:r w:rsidRPr="00944C00">
        <w:rPr>
          <w:bCs/>
          <w:sz w:val="22"/>
          <w:szCs w:val="22"/>
        </w:rPr>
        <w:t>Robicold</w:t>
      </w:r>
      <w:r w:rsidR="00B47FA8" w:rsidRPr="009930C7">
        <w:rPr>
          <w:bCs/>
          <w:sz w:val="22"/>
          <w:szCs w:val="22"/>
        </w:rPr>
        <w:t xml:space="preserve"> </w:t>
      </w:r>
    </w:p>
    <w:p w:rsidR="0092331E" w:rsidRPr="0094644C" w:rsidRDefault="0092331E">
      <w:pPr>
        <w:outlineLvl w:val="0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200 mg/30 mg obalené tablety</w:t>
      </w:r>
    </w:p>
    <w:p w:rsidR="00BD0B6F" w:rsidRPr="0094644C" w:rsidRDefault="00BD0B6F" w:rsidP="00D0777A">
      <w:pPr>
        <w:jc w:val="both"/>
        <w:rPr>
          <w:b/>
          <w:bCs/>
          <w:sz w:val="22"/>
          <w:szCs w:val="22"/>
        </w:rPr>
      </w:pP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2.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KVALITATÍVNE A KVANTITATÍVNE ZLOŽENIE</w:t>
      </w:r>
    </w:p>
    <w:p w:rsidR="00D0777A" w:rsidRPr="0094644C" w:rsidRDefault="00D0777A">
      <w:pPr>
        <w:outlineLvl w:val="0"/>
        <w:rPr>
          <w:sz w:val="22"/>
          <w:szCs w:val="22"/>
        </w:rPr>
      </w:pPr>
    </w:p>
    <w:p w:rsidR="0092331E" w:rsidRPr="00311E26" w:rsidRDefault="0092331E">
      <w:pPr>
        <w:outlineLvl w:val="0"/>
        <w:rPr>
          <w:b/>
          <w:sz w:val="22"/>
          <w:szCs w:val="22"/>
        </w:rPr>
      </w:pPr>
      <w:r w:rsidRPr="00311E26">
        <w:rPr>
          <w:b/>
          <w:sz w:val="22"/>
          <w:szCs w:val="22"/>
        </w:rPr>
        <w:t>Liečivá</w:t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="006718A6" w:rsidRPr="00311E26">
        <w:rPr>
          <w:b/>
          <w:sz w:val="22"/>
          <w:szCs w:val="22"/>
        </w:rPr>
        <w:t xml:space="preserve">v </w:t>
      </w:r>
      <w:r w:rsidRPr="00311E26">
        <w:rPr>
          <w:b/>
          <w:sz w:val="22"/>
          <w:szCs w:val="22"/>
        </w:rPr>
        <w:t>tablet</w:t>
      </w:r>
      <w:r w:rsidR="006718A6" w:rsidRPr="00311E26">
        <w:rPr>
          <w:b/>
          <w:sz w:val="22"/>
          <w:szCs w:val="22"/>
        </w:rPr>
        <w:t>e</w:t>
      </w:r>
    </w:p>
    <w:p w:rsidR="00BD0B6F" w:rsidRPr="00B61ED1" w:rsidRDefault="00E46823">
      <w:pPr>
        <w:outlineLvl w:val="0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61ED1" w:rsidRPr="00B61ED1">
        <w:rPr>
          <w:sz w:val="22"/>
          <w:szCs w:val="22"/>
        </w:rPr>
        <w:t xml:space="preserve"> </w:t>
      </w:r>
      <w:r w:rsidR="00311E26">
        <w:rPr>
          <w:sz w:val="22"/>
          <w:szCs w:val="22"/>
        </w:rPr>
        <w:tab/>
      </w:r>
      <w:r w:rsidR="00B61ED1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 xml:space="preserve">                        </w:t>
      </w:r>
      <w:r w:rsidR="00BD0B6F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200 mg</w:t>
      </w:r>
    </w:p>
    <w:p w:rsidR="00BD0B6F" w:rsidRPr="00B61ED1" w:rsidRDefault="00244D1A">
      <w:pPr>
        <w:outlineLvl w:val="0"/>
        <w:rPr>
          <w:sz w:val="22"/>
          <w:szCs w:val="22"/>
        </w:rPr>
      </w:pPr>
      <w:r w:rsidRPr="00B61ED1">
        <w:rPr>
          <w:sz w:val="22"/>
          <w:szCs w:val="22"/>
        </w:rPr>
        <w:t>Pseudoefedrín</w:t>
      </w:r>
      <w:r w:rsidR="00CC2390" w:rsidRPr="00B61ED1">
        <w:rPr>
          <w:sz w:val="22"/>
          <w:szCs w:val="22"/>
        </w:rPr>
        <w:t>ium</w:t>
      </w:r>
      <w:r w:rsidRPr="00B61ED1">
        <w:rPr>
          <w:sz w:val="22"/>
          <w:szCs w:val="22"/>
        </w:rPr>
        <w:t>chlorid</w:t>
      </w:r>
      <w:r w:rsidR="0092331E" w:rsidRPr="00B61ED1">
        <w:rPr>
          <w:sz w:val="22"/>
          <w:szCs w:val="22"/>
        </w:rPr>
        <w:tab/>
      </w:r>
      <w:r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30 mg</w:t>
      </w:r>
    </w:p>
    <w:p w:rsidR="00BD0B6F" w:rsidRPr="00B61ED1" w:rsidRDefault="00BD0B6F">
      <w:pPr>
        <w:outlineLvl w:val="0"/>
        <w:rPr>
          <w:sz w:val="22"/>
          <w:szCs w:val="22"/>
        </w:rPr>
      </w:pPr>
    </w:p>
    <w:p w:rsidR="00B31073" w:rsidRPr="0094644C" w:rsidRDefault="00B31073" w:rsidP="00D0777A">
      <w:pPr>
        <w:rPr>
          <w:bCs/>
          <w:sz w:val="22"/>
          <w:szCs w:val="22"/>
        </w:rPr>
      </w:pPr>
      <w:r w:rsidRPr="00B61ED1">
        <w:rPr>
          <w:bCs/>
          <w:sz w:val="22"/>
          <w:szCs w:val="22"/>
          <w:u w:val="single"/>
        </w:rPr>
        <w:t>Pomocné látky</w:t>
      </w:r>
      <w:r w:rsidR="006718A6" w:rsidRPr="00B61ED1">
        <w:rPr>
          <w:bCs/>
          <w:sz w:val="22"/>
          <w:szCs w:val="22"/>
          <w:u w:val="single"/>
        </w:rPr>
        <w:t xml:space="preserve"> so známym účinkom</w:t>
      </w:r>
      <w:r w:rsidRPr="00B61ED1">
        <w:rPr>
          <w:bCs/>
          <w:sz w:val="22"/>
          <w:szCs w:val="22"/>
          <w:u w:val="single"/>
        </w:rPr>
        <w:t>:</w:t>
      </w:r>
      <w:r w:rsidRPr="0094644C">
        <w:rPr>
          <w:bCs/>
          <w:sz w:val="22"/>
          <w:szCs w:val="22"/>
        </w:rPr>
        <w:t xml:space="preserve"> Každá tableta obsahuje 174,6 mg sacharózy, 0,003 mg </w:t>
      </w:r>
      <w:r w:rsidR="00846311" w:rsidRPr="0094644C">
        <w:rPr>
          <w:sz w:val="22"/>
          <w:szCs w:val="22"/>
        </w:rPr>
        <w:t>metylparahydroxybenzoátu</w:t>
      </w:r>
      <w:r w:rsidR="00846311" w:rsidRPr="0094644C">
        <w:rPr>
          <w:bCs/>
          <w:sz w:val="22"/>
          <w:szCs w:val="22"/>
        </w:rPr>
        <w:t xml:space="preserve"> (E218)</w:t>
      </w:r>
      <w:r w:rsidRPr="0094644C">
        <w:rPr>
          <w:bCs/>
          <w:sz w:val="22"/>
          <w:szCs w:val="22"/>
        </w:rPr>
        <w:t xml:space="preserve"> a 0,002 mg </w:t>
      </w:r>
      <w:r w:rsidR="00846311" w:rsidRPr="0094644C">
        <w:rPr>
          <w:sz w:val="22"/>
          <w:szCs w:val="22"/>
        </w:rPr>
        <w:t xml:space="preserve">propylparahydroxybenzoátu </w:t>
      </w:r>
      <w:r w:rsidRPr="0094644C">
        <w:rPr>
          <w:bCs/>
          <w:sz w:val="22"/>
          <w:szCs w:val="22"/>
        </w:rPr>
        <w:t>(E216).</w:t>
      </w:r>
    </w:p>
    <w:p w:rsidR="00B31073" w:rsidRPr="0094644C" w:rsidRDefault="00B31073" w:rsidP="00D0777A">
      <w:pPr>
        <w:rPr>
          <w:bCs/>
          <w:sz w:val="22"/>
          <w:szCs w:val="22"/>
        </w:rPr>
      </w:pPr>
    </w:p>
    <w:p w:rsidR="00D0777A" w:rsidRPr="0094644C" w:rsidRDefault="00D0777A" w:rsidP="00D0777A">
      <w:p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Úplný zoznam pomocných látok, pozri časť 6.1.</w:t>
      </w:r>
    </w:p>
    <w:p w:rsidR="00D0777A" w:rsidRPr="0094644C" w:rsidRDefault="00D0777A" w:rsidP="00D0777A">
      <w:pPr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3.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LIEKOVÁ FORMA</w:t>
      </w:r>
    </w:p>
    <w:p w:rsidR="00CF6429" w:rsidRPr="0094644C" w:rsidRDefault="00CF6429">
      <w:pPr>
        <w:rPr>
          <w:sz w:val="22"/>
          <w:szCs w:val="22"/>
        </w:rPr>
      </w:pPr>
    </w:p>
    <w:p w:rsidR="00BD0B6F" w:rsidRPr="0094644C" w:rsidRDefault="00B31073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tablety.</w:t>
      </w:r>
    </w:p>
    <w:p w:rsidR="00B31073" w:rsidRPr="0094644C" w:rsidRDefault="005F503E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 oválneho tvaru s maslovým zafarbením a čiernym atramentom vyrazeným „200/30“ na jednej strane.</w:t>
      </w:r>
    </w:p>
    <w:p w:rsidR="00BD0B6F" w:rsidRPr="0094644C" w:rsidRDefault="00BD0B6F" w:rsidP="00D0777A">
      <w:pPr>
        <w:jc w:val="both"/>
        <w:rPr>
          <w:sz w:val="22"/>
          <w:szCs w:val="22"/>
        </w:rPr>
      </w:pPr>
    </w:p>
    <w:p w:rsidR="00D0777A" w:rsidRPr="0094644C" w:rsidRDefault="00D0777A" w:rsidP="00D0777A">
      <w:pPr>
        <w:jc w:val="both"/>
        <w:rPr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KLINICKÉ ÚDAJE</w:t>
      </w: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Terapeutické indikácie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ED6574" w:rsidRPr="0094644C" w:rsidRDefault="005F503E" w:rsidP="00ED6574">
      <w:pPr>
        <w:rPr>
          <w:sz w:val="22"/>
          <w:szCs w:val="22"/>
        </w:rPr>
      </w:pPr>
      <w:r w:rsidRPr="0094644C">
        <w:rPr>
          <w:sz w:val="22"/>
          <w:szCs w:val="22"/>
        </w:rPr>
        <w:t>Symptomatick</w:t>
      </w:r>
      <w:r w:rsidR="004F4D44" w:rsidRPr="0094644C">
        <w:rPr>
          <w:sz w:val="22"/>
          <w:szCs w:val="22"/>
        </w:rPr>
        <w:t>é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>zmiernenie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 xml:space="preserve">upchatia nosa a prinosových dutín spojené s bolesťou hlavy, horúčkou a bolesťou súvisiacou s prechladnutím a chrípkou. </w:t>
      </w:r>
      <w:r w:rsidR="006718A6">
        <w:rPr>
          <w:sz w:val="22"/>
          <w:szCs w:val="22"/>
        </w:rPr>
        <w:t xml:space="preserve">Robicold je </w:t>
      </w:r>
      <w:r w:rsidR="006718A6" w:rsidRPr="0094644C">
        <w:rPr>
          <w:sz w:val="22"/>
          <w:szCs w:val="22"/>
        </w:rPr>
        <w:t>u</w:t>
      </w:r>
      <w:r w:rsidR="00ED6574" w:rsidRPr="0094644C">
        <w:rPr>
          <w:sz w:val="22"/>
          <w:szCs w:val="22"/>
        </w:rPr>
        <w:t>rčený pre dospelých a dospievajúcich vo veku od 12 rokov.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4.2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Dávkovanie a spôsob podávania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44657A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>N</w:t>
      </w:r>
      <w:r w:rsidR="00CC2390" w:rsidRPr="0094644C">
        <w:rPr>
          <w:sz w:val="22"/>
          <w:szCs w:val="22"/>
        </w:rPr>
        <w:t xml:space="preserve">a perorálne podanie a krátkodobé použitie.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Tento kombinovaný liek sa má používať vtedy, keď sa vyžaduje dekongesčné pôsobenie pseudoefedríniumchloridu a analgetické a/alebo protizápalové pôsobenie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644C">
        <w:rPr>
          <w:rFonts w:ascii="Times New Roman" w:hAnsi="Times New Roman" w:cs="Times New Roman"/>
          <w:sz w:val="22"/>
          <w:szCs w:val="22"/>
        </w:rPr>
        <w:t>u. Pokiaľ prevažuje jeden symptóm (buď upchatie nosa alebo bolesť hlavy a/alebo horúčka), uprednostňuje sa jednozložková liečba.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 w:rsidP="00CC2390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Dospelí, starší ľudia a </w:t>
      </w:r>
      <w:r w:rsidR="009930C7">
        <w:rPr>
          <w:sz w:val="22"/>
          <w:szCs w:val="22"/>
          <w:u w:val="single"/>
        </w:rPr>
        <w:t>dospievajúci</w:t>
      </w:r>
      <w:r w:rsidR="000430BF" w:rsidRPr="0094644C">
        <w:rPr>
          <w:sz w:val="22"/>
          <w:szCs w:val="22"/>
          <w:u w:val="single"/>
        </w:rPr>
        <w:t xml:space="preserve"> nad </w:t>
      </w:r>
      <w:r w:rsidRPr="0094644C">
        <w:rPr>
          <w:sz w:val="22"/>
          <w:szCs w:val="22"/>
          <w:u w:val="single"/>
        </w:rPr>
        <w:t>12 rokov:</w:t>
      </w:r>
    </w:p>
    <w:p w:rsidR="00145467" w:rsidRPr="00B84F96" w:rsidRDefault="00145467" w:rsidP="00145467">
      <w:pPr>
        <w:rPr>
          <w:sz w:val="22"/>
          <w:szCs w:val="22"/>
        </w:rPr>
      </w:pPr>
      <w:r w:rsidRPr="00B84F96">
        <w:rPr>
          <w:sz w:val="22"/>
          <w:szCs w:val="22"/>
        </w:rPr>
        <w:t>Nežiaduce účinky možno minimalizovať podávaním najnižšej účinnej dávky počas najkratš</w:t>
      </w:r>
      <w:r w:rsidR="009930C7">
        <w:rPr>
          <w:sz w:val="22"/>
          <w:szCs w:val="22"/>
        </w:rPr>
        <w:t xml:space="preserve">ej </w:t>
      </w:r>
      <w:r w:rsidRPr="00B84F96">
        <w:rPr>
          <w:sz w:val="22"/>
          <w:szCs w:val="22"/>
        </w:rPr>
        <w:t>potrebn</w:t>
      </w:r>
      <w:r w:rsidR="009930C7">
        <w:rPr>
          <w:sz w:val="22"/>
          <w:szCs w:val="22"/>
        </w:rPr>
        <w:t>ej doby</w:t>
      </w:r>
      <w:r w:rsidRPr="00B84F96">
        <w:rPr>
          <w:sz w:val="22"/>
          <w:szCs w:val="22"/>
        </w:rPr>
        <w:t xml:space="preserve"> na kontrolu príznakov (pozri časť 4.4). </w:t>
      </w:r>
    </w:p>
    <w:p w:rsidR="00CC2390" w:rsidRDefault="00CC2390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Pacient sa má poradiť s lekárom, ak príznaky pretrvávajú alebo sa zhoršujú alebo ak je liek potrebné podávať dlhšie ako 3 dni. </w:t>
      </w:r>
    </w:p>
    <w:p w:rsidR="009930C7" w:rsidRPr="0094644C" w:rsidRDefault="009930C7" w:rsidP="00CC2390">
      <w:pPr>
        <w:rPr>
          <w:sz w:val="22"/>
          <w:szCs w:val="22"/>
        </w:rPr>
      </w:pPr>
    </w:p>
    <w:p w:rsidR="009930C7" w:rsidRPr="0094644C" w:rsidRDefault="009930C7" w:rsidP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F61023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1023">
        <w:rPr>
          <w:rFonts w:ascii="Times New Roman" w:hAnsi="Times New Roman" w:cs="Times New Roman"/>
          <w:sz w:val="22"/>
          <w:szCs w:val="22"/>
        </w:rPr>
        <w:t>Dospelí</w:t>
      </w:r>
      <w:r w:rsidR="00435F9A">
        <w:rPr>
          <w:rFonts w:ascii="Times New Roman" w:hAnsi="Times New Roman" w:cs="Times New Roman"/>
          <w:sz w:val="22"/>
          <w:szCs w:val="22"/>
        </w:rPr>
        <w:t xml:space="preserve"> a</w:t>
      </w:r>
      <w:r w:rsidRPr="00F61023">
        <w:rPr>
          <w:rFonts w:ascii="Times New Roman" w:hAnsi="Times New Roman" w:cs="Times New Roman"/>
          <w:sz w:val="22"/>
          <w:szCs w:val="22"/>
        </w:rPr>
        <w:t xml:space="preserve"> starší ľudia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Užívajte 1 alebo 2 tablety každé 4</w:t>
      </w:r>
      <w:r w:rsidR="009930C7"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4C00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4C00">
        <w:rPr>
          <w:rFonts w:ascii="Times New Roman" w:hAnsi="Times New Roman" w:cs="Times New Roman"/>
          <w:sz w:val="22"/>
          <w:szCs w:val="22"/>
          <w:u w:val="single"/>
        </w:rPr>
        <w:lastRenderedPageBreak/>
        <w:t>Pediatrická populácia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o</w:t>
      </w:r>
      <w:r w:rsidR="00B73986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12 rokov:</w:t>
      </w:r>
    </w:p>
    <w:p w:rsidR="00435F9A" w:rsidRPr="0094644C" w:rsidRDefault="00435F9A" w:rsidP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Užívajte 1 alebo 2 tablety každé 4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do 12 rokov:</w:t>
      </w:r>
    </w:p>
    <w:p w:rsidR="00CC2390" w:rsidRPr="0094644C" w:rsidRDefault="006718A6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Robicold je kontraindikovaný u detí </w:t>
      </w:r>
      <w:r w:rsidR="00CC2390" w:rsidRPr="0094644C">
        <w:rPr>
          <w:rFonts w:ascii="Times New Roman" w:hAnsi="Times New Roman" w:cs="Times New Roman"/>
          <w:sz w:val="22"/>
          <w:szCs w:val="22"/>
        </w:rPr>
        <w:t>do 12 rokov</w:t>
      </w:r>
      <w:r>
        <w:rPr>
          <w:rFonts w:ascii="Times New Roman" w:hAnsi="Times New Roman" w:cs="Times New Roman"/>
          <w:sz w:val="22"/>
          <w:szCs w:val="22"/>
        </w:rPr>
        <w:t xml:space="preserve"> (pozri časť 4.3)</w:t>
      </w:r>
      <w:r w:rsidR="00CC2390" w:rsidRPr="0094644C">
        <w:rPr>
          <w:rFonts w:ascii="Times New Roman" w:hAnsi="Times New Roman" w:cs="Times New Roman"/>
          <w:sz w:val="22"/>
          <w:szCs w:val="22"/>
        </w:rPr>
        <w:t>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Renálna a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94644C">
        <w:rPr>
          <w:rFonts w:ascii="Times New Roman" w:hAnsi="Times New Roman" w:cs="Times New Roman"/>
          <w:sz w:val="22"/>
          <w:szCs w:val="22"/>
          <w:u w:val="single"/>
        </w:rPr>
        <w:t>hepatická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 xml:space="preserve"> insuficiencia</w:t>
      </w: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 pacientov s miern</w:t>
      </w:r>
      <w:r w:rsidR="00435F9A">
        <w:rPr>
          <w:rFonts w:ascii="Times New Roman" w:hAnsi="Times New Roman" w:cs="Times New Roman"/>
          <w:sz w:val="22"/>
          <w:szCs w:val="22"/>
        </w:rPr>
        <w:t>ou</w:t>
      </w:r>
      <w:r w:rsidRPr="0094644C">
        <w:rPr>
          <w:rFonts w:ascii="Times New Roman" w:hAnsi="Times New Roman" w:cs="Times New Roman"/>
          <w:sz w:val="22"/>
          <w:szCs w:val="22"/>
        </w:rPr>
        <w:t xml:space="preserve"> až stredne </w:t>
      </w:r>
      <w:r w:rsidR="00435F9A">
        <w:rPr>
          <w:rFonts w:ascii="Times New Roman" w:hAnsi="Times New Roman" w:cs="Times New Roman"/>
          <w:sz w:val="22"/>
          <w:szCs w:val="22"/>
        </w:rPr>
        <w:t>závažnou poruchou funkcie</w:t>
      </w:r>
      <w:r w:rsidRPr="0094644C">
        <w:rPr>
          <w:rFonts w:ascii="Times New Roman" w:hAnsi="Times New Roman" w:cs="Times New Roman"/>
          <w:sz w:val="22"/>
          <w:szCs w:val="22"/>
        </w:rPr>
        <w:t xml:space="preserve"> obličiek alebo pečene sa nevyžaduje zníženie dávky (pozri časť 4.4). Má sa použiť najnižšia účinná dávka.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Pr="0094644C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Robicold je kontraindikovaný u pacientov so závažnou poruchou funkcie obličiek a pečene.</w:t>
      </w:r>
    </w:p>
    <w:p w:rsidR="00375D73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:rsidR="009930C7" w:rsidRPr="0094644C" w:rsidRDefault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</w:p>
    <w:p w:rsidR="00CC2390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Len na perorálne podávanie. Tablety sa majú zapiť pohárom vody.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4.3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Kontraindikácie</w:t>
      </w:r>
    </w:p>
    <w:p w:rsidR="00D0777A" w:rsidRPr="0094644C" w:rsidRDefault="00D0777A">
      <w:pPr>
        <w:jc w:val="both"/>
        <w:rPr>
          <w:sz w:val="22"/>
          <w:szCs w:val="22"/>
        </w:rPr>
      </w:pP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Použitie u detí do 12 rokov.</w:t>
      </w: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Precitlivenosť na liečivá alebo na ktorúkoľvek z pomocných látok uvedených v časti 6.1.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 alergiou na kyselinu acetylsalicylovú alebo na iné nesteroidové antiflogistiká (NSAID) alebo s reakciami precitlivenosti v anamnéze (napr. astma, bronchospazmus, rinitída, angioedém alebo urtikária) pri odpovedi na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, kyselinu acetylsalicylovú alebo NSAID.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Gastrointestinálne krvácanie alebo perforácia v anamnéze </w:t>
      </w:r>
      <w:r w:rsidR="00661470" w:rsidRPr="0094644C">
        <w:rPr>
          <w:sz w:val="22"/>
          <w:szCs w:val="22"/>
        </w:rPr>
        <w:t>súvisiaca s</w:t>
      </w:r>
      <w:r w:rsidRPr="0094644C">
        <w:rPr>
          <w:sz w:val="22"/>
          <w:szCs w:val="22"/>
        </w:rPr>
        <w:t> predchádzajúc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liečb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NSAID.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Aktívny alebo rekurentný peptický vred/krvácanie v anamnéze (dva alebo viac prípadov potvrdených vredov alebo krvácaní).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feochromocytómom, glaukóm s úzkym uhlom, diabetom mellitus alebo ochorením štítnej žľazy.</w:t>
      </w:r>
    </w:p>
    <w:p w:rsidR="00375D73" w:rsidRPr="0094644C" w:rsidRDefault="003A28FB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hemoragickou mŕtvicou v anamnéze.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srdcovými chorobami, cirkulačnými problémami, hypertrofiou prostaty, hypertenziou, ochorením koronárnych tepien, anginou pectoris, tachykardiou alebo hemoragickou diatézou</w:t>
      </w:r>
      <w:r w:rsidR="00145467">
        <w:rPr>
          <w:sz w:val="22"/>
          <w:szCs w:val="22"/>
        </w:rPr>
        <w:t>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ostatné NSAID vrátane selektívnych inhibítorov cyklooxygenázy-2, lieky proti bolesti alebo dekongestanty.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tricyklické antidepresíva.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Pacienti, ktorí práve užívajú inhibítory monoamino</w:t>
      </w:r>
      <w:r w:rsidR="008219BD" w:rsidRPr="0094644C">
        <w:rPr>
          <w:sz w:val="22"/>
          <w:szCs w:val="22"/>
        </w:rPr>
        <w:t>o</w:t>
      </w:r>
      <w:r w:rsidRPr="0094644C">
        <w:rPr>
          <w:sz w:val="22"/>
          <w:szCs w:val="22"/>
        </w:rPr>
        <w:t>xidázy alebo ich užívali počas uplynulých dvoch týždňov.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so závažným </w:t>
      </w:r>
      <w:r w:rsidR="00145467">
        <w:rPr>
          <w:sz w:val="22"/>
          <w:szCs w:val="22"/>
        </w:rPr>
        <w:t xml:space="preserve">srdcovým </w:t>
      </w:r>
      <w:r w:rsidRPr="0094644C">
        <w:rPr>
          <w:sz w:val="22"/>
          <w:szCs w:val="22"/>
        </w:rPr>
        <w:t xml:space="preserve">zlyhaním </w:t>
      </w:r>
      <w:r w:rsidR="00145467" w:rsidRPr="00B84F96">
        <w:rPr>
          <w:sz w:val="22"/>
          <w:szCs w:val="22"/>
        </w:rPr>
        <w:t>(trieda IV NYHA)</w:t>
      </w:r>
      <w:r w:rsidRPr="0094644C">
        <w:rPr>
          <w:sz w:val="22"/>
          <w:szCs w:val="22"/>
        </w:rPr>
        <w:t>, zlyhaním obličiek alebo zlyhaním pečene (pozri časť 4.4).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Počas gravidity a laktácie (pozri časť 4.6).</w:t>
      </w:r>
    </w:p>
    <w:p w:rsidR="00AF1266" w:rsidRPr="0094644C" w:rsidRDefault="00AF1266" w:rsidP="00797DAA">
      <w:pPr>
        <w:rPr>
          <w:sz w:val="22"/>
          <w:szCs w:val="22"/>
        </w:rPr>
      </w:pPr>
    </w:p>
    <w:p w:rsidR="00BD0B6F" w:rsidRPr="0094644C" w:rsidRDefault="00AF1266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4.4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Osobitné</w:t>
      </w:r>
      <w:r w:rsidR="00BD0B6F" w:rsidRPr="0094644C">
        <w:rPr>
          <w:b/>
          <w:bCs/>
          <w:sz w:val="22"/>
          <w:szCs w:val="22"/>
        </w:rPr>
        <w:t xml:space="preserve"> upozornenia</w:t>
      </w:r>
      <w:r w:rsidRPr="0094644C">
        <w:rPr>
          <w:b/>
          <w:bCs/>
          <w:sz w:val="22"/>
          <w:szCs w:val="22"/>
        </w:rPr>
        <w:t xml:space="preserve"> a opatrenia pri používaní</w:t>
      </w:r>
    </w:p>
    <w:p w:rsidR="00F46995" w:rsidRPr="0094644C" w:rsidRDefault="00F46995" w:rsidP="00797DAA">
      <w:pPr>
        <w:jc w:val="both"/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 xml:space="preserve">Má sa vyhnúť súbežnému používaniu </w:t>
      </w:r>
      <w:r w:rsidR="00D93693">
        <w:rPr>
          <w:bCs/>
          <w:sz w:val="22"/>
          <w:szCs w:val="22"/>
        </w:rPr>
        <w:t>Robicold</w:t>
      </w:r>
      <w:r w:rsidR="00BE773F" w:rsidRPr="0094644C">
        <w:rPr>
          <w:bCs/>
          <w:sz w:val="22"/>
          <w:szCs w:val="22"/>
        </w:rPr>
        <w:t>u</w:t>
      </w:r>
      <w:r w:rsidRPr="0094644C">
        <w:rPr>
          <w:bCs/>
          <w:sz w:val="22"/>
          <w:szCs w:val="22"/>
        </w:rPr>
        <w:t xml:space="preserve"> s NSAID</w:t>
      </w:r>
      <w:r w:rsidRPr="0094644C">
        <w:rPr>
          <w:sz w:val="22"/>
          <w:szCs w:val="22"/>
        </w:rPr>
        <w:t xml:space="preserve"> vrátane selektívnych inhibítorov cyklooxygenázy-2 (pozri časť 4.3 a 4.5).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Nežiaduce účinky môžu byť minimalizované používaním najnižšej účinnej dávky počas čo najkratšieho času potrebného na kontrolu príznakov (pozri nižšie gastrointestinálne a kardiovaskulárne riziká).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Ak sa príznaky zhoršujú alebo pretrvávajú dlhšie ako 3 dni alebo pacient zaznamená iné príznaky nesúvisiace s pôvodným stavom, liečba má byť prerušená, pokiaľ lekár alebo zdravotnícky personál nerozhodnú ináč.</w:t>
      </w:r>
    </w:p>
    <w:p w:rsidR="00F063BA" w:rsidRPr="00B73986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 xml:space="preserve">Starší ľudia: </w:t>
      </w:r>
      <w:r w:rsidR="00B61ED1">
        <w:rPr>
          <w:sz w:val="22"/>
          <w:szCs w:val="22"/>
        </w:rPr>
        <w:t>s</w:t>
      </w:r>
      <w:r w:rsidRPr="0094644C">
        <w:rPr>
          <w:sz w:val="22"/>
          <w:szCs w:val="22"/>
        </w:rPr>
        <w:t>tarší ľudia majú zvýšenú frekvenciu nežiaducich reakcií na NSAID, osobitne gastrointestinálne krvácanie a perforáciu, ktoré môžu byť fatálne (pozri časť 4.2).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Pacienti s astmou, hypertenziou, srdcovým ochorením, diabetom, cirhózou pečene, po</w:t>
      </w:r>
      <w:r w:rsidR="00B73986">
        <w:rPr>
          <w:sz w:val="22"/>
          <w:szCs w:val="22"/>
        </w:rPr>
        <w:t>ruchou funkcie</w:t>
      </w:r>
      <w:r w:rsidRPr="0094644C">
        <w:rPr>
          <w:sz w:val="22"/>
          <w:szCs w:val="22"/>
        </w:rPr>
        <w:t xml:space="preserve"> obličiek a pečene, ochorením štítnej žľazy alebo hypertrofiou prostaty sa majú poradiť so svojím lekárom predtým, ako užijú tento liek (pozri časť 4.3 a 4.8)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U dehydratovaných dospievajúcich alebo u mladších osôb vo veku od 12 do 17 rokov existuje riziko po</w:t>
      </w:r>
      <w:r w:rsidR="00950D0A">
        <w:rPr>
          <w:sz w:val="22"/>
          <w:szCs w:val="22"/>
        </w:rPr>
        <w:t>ruchy funkcie</w:t>
      </w:r>
      <w:r w:rsidRPr="0094644C">
        <w:rPr>
          <w:sz w:val="22"/>
          <w:szCs w:val="22"/>
        </w:rPr>
        <w:t xml:space="preserve"> obličiek.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U pacientov </w:t>
      </w:r>
      <w:r w:rsidR="00950D0A">
        <w:rPr>
          <w:sz w:val="22"/>
          <w:szCs w:val="22"/>
        </w:rPr>
        <w:t xml:space="preserve">s </w:t>
      </w:r>
      <w:r w:rsidRPr="0094644C">
        <w:rPr>
          <w:sz w:val="22"/>
          <w:szCs w:val="22"/>
        </w:rPr>
        <w:t>bronchiálnou astmou, alergickým ochorením alebo s</w:t>
      </w:r>
      <w:r w:rsidR="001A04B3">
        <w:rPr>
          <w:sz w:val="22"/>
          <w:szCs w:val="22"/>
        </w:rPr>
        <w:t> predchádzajúcou anamnézou</w:t>
      </w:r>
      <w:r w:rsidR="001A04B3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>tý</w:t>
      </w:r>
      <w:r w:rsidR="001A04B3">
        <w:rPr>
          <w:sz w:val="22"/>
          <w:szCs w:val="22"/>
        </w:rPr>
        <w:t>cht</w:t>
      </w:r>
      <w:r w:rsidR="00777A0B">
        <w:rPr>
          <w:sz w:val="22"/>
          <w:szCs w:val="22"/>
        </w:rPr>
        <w:t xml:space="preserve">o </w:t>
      </w:r>
      <w:r w:rsidRPr="0094644C">
        <w:rPr>
          <w:sz w:val="22"/>
          <w:szCs w:val="22"/>
        </w:rPr>
        <w:t>ochoren</w:t>
      </w:r>
      <w:r w:rsidR="00777A0B">
        <w:rPr>
          <w:sz w:val="22"/>
          <w:szCs w:val="22"/>
        </w:rPr>
        <w:t>í</w:t>
      </w:r>
      <w:r w:rsidRPr="0094644C">
        <w:rPr>
          <w:sz w:val="22"/>
          <w:szCs w:val="22"/>
        </w:rPr>
        <w:t xml:space="preserve">, môže dôjsť k vyvolaniu bronchospazmu. 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Používanie NSAID môže poškodiť ženskú plodnosť (pozri časť 4.6). Existujú obmedzené dôkazy o tom, že lieky, ktoré inhibujú cyklooxygenázu/syntézu prostaglandínov ovplyvňujú ovuláciu, a tým môžu spôsobiť poruchu ženskej plodnosti. Poškodenie je reverzibilné a odznie po ukončení liečby.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zriedkavými dedičnými problémami intolerancie fruktózy, glukózo-galaktózovej malabsorpcie alebo deficitu sacharázy a izomaltázy nesmú užívať tento liek.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Počas liečby sa má vyhnúť požívaniu alkoholických nápojov.</w:t>
      </w:r>
    </w:p>
    <w:p w:rsidR="00435F9A" w:rsidRPr="00591428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Pseudoefedríniumchlorid môže spôsobiť pozitívne výsledky testov vykonaných pri </w:t>
      </w:r>
      <w:r w:rsidRPr="00591428">
        <w:rPr>
          <w:sz w:val="22"/>
          <w:szCs w:val="22"/>
        </w:rPr>
        <w:t>antidopingových kontrolách.</w:t>
      </w:r>
    </w:p>
    <w:p w:rsidR="008100E9" w:rsidRPr="00DB37DB" w:rsidRDefault="008100E9" w:rsidP="00DB37DB">
      <w:pPr>
        <w:pStyle w:val="Odsekzoznamu"/>
        <w:numPr>
          <w:ilvl w:val="0"/>
          <w:numId w:val="21"/>
        </w:numPr>
        <w:rPr>
          <w:sz w:val="22"/>
          <w:szCs w:val="22"/>
          <w:u w:val="single"/>
        </w:rPr>
      </w:pPr>
      <w:r w:rsidRPr="00DB37DB">
        <w:rPr>
          <w:sz w:val="22"/>
          <w:szCs w:val="22"/>
          <w:u w:val="single"/>
        </w:rPr>
        <w:t xml:space="preserve">Ischemická očná </w:t>
      </w:r>
      <w:proofErr w:type="spellStart"/>
      <w:r w:rsidRPr="00DB37DB">
        <w:rPr>
          <w:sz w:val="22"/>
          <w:szCs w:val="22"/>
          <w:u w:val="single"/>
        </w:rPr>
        <w:t>neuropatia</w:t>
      </w:r>
      <w:proofErr w:type="spellEnd"/>
    </w:p>
    <w:p w:rsidR="008100E9" w:rsidRPr="00591428" w:rsidRDefault="008100E9" w:rsidP="00DB37DB">
      <w:pPr>
        <w:ind w:left="720"/>
        <w:rPr>
          <w:sz w:val="22"/>
          <w:szCs w:val="22"/>
        </w:rPr>
      </w:pPr>
      <w:r w:rsidRPr="00DB37DB">
        <w:rPr>
          <w:sz w:val="22"/>
          <w:szCs w:val="22"/>
        </w:rPr>
        <w:t xml:space="preserve">Pri </w:t>
      </w:r>
      <w:proofErr w:type="spellStart"/>
      <w:r w:rsidRPr="00DB37DB">
        <w:rPr>
          <w:sz w:val="22"/>
          <w:szCs w:val="22"/>
        </w:rPr>
        <w:t>pseudoefedríne</w:t>
      </w:r>
      <w:proofErr w:type="spellEnd"/>
      <w:r w:rsidRPr="00DB37DB">
        <w:rPr>
          <w:sz w:val="22"/>
          <w:szCs w:val="22"/>
        </w:rPr>
        <w:t xml:space="preserve"> bola hlásená ischemická očná </w:t>
      </w:r>
      <w:proofErr w:type="spellStart"/>
      <w:r w:rsidRPr="00DB37DB">
        <w:rPr>
          <w:sz w:val="22"/>
          <w:szCs w:val="22"/>
        </w:rPr>
        <w:t>neuropatia</w:t>
      </w:r>
      <w:proofErr w:type="spellEnd"/>
      <w:r w:rsidRPr="00DB37DB">
        <w:rPr>
          <w:sz w:val="22"/>
          <w:szCs w:val="22"/>
        </w:rPr>
        <w:t xml:space="preserve">. V prípade náhlej straty zraku alebo zníženej zrakovej ostrosti, ako napríklad </w:t>
      </w:r>
      <w:proofErr w:type="spellStart"/>
      <w:r w:rsidRPr="00DB37DB">
        <w:rPr>
          <w:sz w:val="22"/>
          <w:szCs w:val="22"/>
        </w:rPr>
        <w:t>skotóm</w:t>
      </w:r>
      <w:proofErr w:type="spellEnd"/>
      <w:r w:rsidRPr="00DB37DB">
        <w:rPr>
          <w:sz w:val="22"/>
          <w:szCs w:val="22"/>
        </w:rPr>
        <w:t xml:space="preserve">, sa má </w:t>
      </w:r>
      <w:proofErr w:type="spellStart"/>
      <w:r w:rsidRPr="00DB37DB">
        <w:rPr>
          <w:sz w:val="22"/>
          <w:szCs w:val="22"/>
        </w:rPr>
        <w:t>pseudoefedrín</w:t>
      </w:r>
      <w:proofErr w:type="spellEnd"/>
      <w:r w:rsidRPr="00DB37DB">
        <w:rPr>
          <w:sz w:val="22"/>
          <w:szCs w:val="22"/>
        </w:rPr>
        <w:t xml:space="preserve"> vysadiť.</w:t>
      </w:r>
    </w:p>
    <w:p w:rsidR="00435F9A" w:rsidRDefault="00435F9A" w:rsidP="000B61B9">
      <w:pPr>
        <w:ind w:left="284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Gastrointestinálne účinky</w:t>
      </w:r>
    </w:p>
    <w:p w:rsidR="00435F9A" w:rsidRPr="0094644C" w:rsidRDefault="00435F9A" w:rsidP="000B61B9">
      <w:pPr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Gastrointestinálne krvácanie, ulcerácia a perforácia: Gastrointestinálne krvácanie, ulcerácia a perforácia, ktoré môžu byť smrteľné, sú hlásené u všetkých NSAID kedykoľvek počas liečby, a to s varovnými príznakmi alebo bez nich alebo predchádzajúcej anamnézy závažných gastrointestinálnych príhod.</w:t>
      </w:r>
    </w:p>
    <w:p w:rsidR="00DB5E83" w:rsidRPr="0094644C" w:rsidRDefault="00DB5E83" w:rsidP="00B42F1D">
      <w:pPr>
        <w:pStyle w:val="Zkladntext3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Riziko gastrointestinálneho krvácania, ulcerácie či perforácie sa zvyšuje so zvyšujúcou sa dávkou NSAID, u pacientov s anamnézou vredovej choroby, najmä ak bola skomplikovaná krvácaním alebo perforáciou (pozri časť 4.3) a u starších ľudí. U takýchto pacientov sa má začať s najnižšou dostupnou dávkou. U týchto pacientov a tiež u pacientov vyžadujúcich súčasnú liečbu nízkymi dávkami kyseliny acetylsalicylovej alebo iných látok zvyšujúcich gastrointestinálne riziko by sa malo zvážiť súčasné podávanie protektívnej liečby (napr. mizoprostol alebo inhibítory protónovej pumpy)</w:t>
      </w:r>
      <w:r w:rsidR="006718A6">
        <w:rPr>
          <w:rFonts w:ascii="Times New Roman" w:hAnsi="Times New Roman" w:cs="Times New Roman"/>
          <w:sz w:val="22"/>
          <w:szCs w:val="22"/>
        </w:rPr>
        <w:t xml:space="preserve"> (pozri nižšie a časť 4.5)</w:t>
      </w:r>
      <w:r w:rsidRPr="0094644C">
        <w:rPr>
          <w:rFonts w:ascii="Times New Roman" w:hAnsi="Times New Roman" w:cs="Times New Roman"/>
          <w:sz w:val="22"/>
          <w:szCs w:val="22"/>
        </w:rPr>
        <w:t>.</w:t>
      </w:r>
    </w:p>
    <w:p w:rsidR="00DB5E83" w:rsidRPr="0094644C" w:rsidRDefault="00DB5E83" w:rsidP="00B42F1D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Pacienti s </w:t>
      </w:r>
      <w:r w:rsidRPr="0094644C">
        <w:rPr>
          <w:bCs/>
          <w:sz w:val="22"/>
          <w:szCs w:val="22"/>
        </w:rPr>
        <w:t>anamnézou gastrointestinálnej toxicity, najmä starší pacienti, majú informovať o akýchkoľvek nezvyčajných abdominálnych príznakoch (najmä gastrointestinálne krvácanie) obzvlášť na začiatku liečby.</w:t>
      </w:r>
    </w:p>
    <w:p w:rsidR="00DB5E83" w:rsidRPr="0094644C" w:rsidRDefault="00DB5E83" w:rsidP="00DB70FF">
      <w:pPr>
        <w:pStyle w:val="Zkladntext3"/>
        <w:numPr>
          <w:ilvl w:val="0"/>
          <w:numId w:val="21"/>
        </w:numPr>
        <w:ind w:left="714" w:hanging="357"/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Opatrnosť je potrebná u pacientov liečených súbežne liekmi, ktoré môžu zvyšovať riziko ulcerácie alebo krvácania, ako sú perorálne kortikosteroidy, antikoagulanciá ako je warfarín, selektívne inhibítory spätného vychytávania </w:t>
      </w:r>
      <w:r w:rsidR="006F3E55" w:rsidRPr="0094644C">
        <w:rPr>
          <w:rFonts w:ascii="Times New Roman" w:hAnsi="Times New Roman" w:cs="Times New Roman"/>
          <w:sz w:val="22"/>
          <w:szCs w:val="22"/>
        </w:rPr>
        <w:t>s</w:t>
      </w:r>
      <w:r w:rsidR="00B61ED1">
        <w:rPr>
          <w:rFonts w:ascii="Times New Roman" w:hAnsi="Times New Roman" w:cs="Times New Roman"/>
          <w:sz w:val="22"/>
          <w:szCs w:val="22"/>
        </w:rPr>
        <w:t>é</w:t>
      </w:r>
      <w:r w:rsidR="006F3E55" w:rsidRPr="0094644C">
        <w:rPr>
          <w:rFonts w:ascii="Times New Roman" w:hAnsi="Times New Roman" w:cs="Times New Roman"/>
          <w:sz w:val="22"/>
          <w:szCs w:val="22"/>
        </w:rPr>
        <w:t>rotonínu</w:t>
      </w:r>
      <w:r w:rsidRPr="0094644C">
        <w:rPr>
          <w:rFonts w:ascii="Times New Roman" w:hAnsi="Times New Roman" w:cs="Times New Roman"/>
          <w:sz w:val="22"/>
          <w:szCs w:val="22"/>
        </w:rPr>
        <w:t xml:space="preserve"> (SSRI) alebo antiagregačné látky ako je kyselina acetylsalicylová (pozri časť 4.5). </w:t>
      </w:r>
    </w:p>
    <w:p w:rsidR="00DB5E83" w:rsidRPr="0094644C" w:rsidRDefault="00DB5E83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 xml:space="preserve">Ak sa u pacienta užívajúceho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objaví gastrointestinálne krvácanie alebo ulcerácia, liečba sa musí vysadiť.</w:t>
      </w:r>
    </w:p>
    <w:p w:rsidR="00DB70FF" w:rsidRDefault="00DB70FF" w:rsidP="00145467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NSAID sa majú podávať s opatrnosťou pacientom s anamnézou gastrointestinálneho ochorenia (napr. ulcerózna kolitída, Crohnova choroba), pretože by mohlo dôjsť k exacerbácii ich stavu (pozri časť 4.8 – nežiaduce účinky)</w:t>
      </w:r>
    </w:p>
    <w:p w:rsidR="009D7A58" w:rsidRPr="00221156" w:rsidRDefault="009D7A58" w:rsidP="009D7A58">
      <w:pPr>
        <w:numPr>
          <w:ilvl w:val="0"/>
          <w:numId w:val="21"/>
        </w:numPr>
        <w:rPr>
          <w:sz w:val="22"/>
          <w:szCs w:val="22"/>
        </w:rPr>
      </w:pPr>
      <w:r w:rsidRPr="00221156">
        <w:rPr>
          <w:sz w:val="22"/>
          <w:szCs w:val="22"/>
        </w:rPr>
        <w:t xml:space="preserve">Ischemická kolitída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V súvislosti s užívaním pseudoefedrínu bolo hlásených niekoľko prípadov ischemickej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kolitídy. Ak sa vyskytnú náhle abdominálne bolesti, rektálne krvácanie alebo iné príznaky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ischemickej kolitídy, užívanie pseudoefedrínu sa má prerušiť a je potrebné vyhľadať lekársku </w:t>
      </w:r>
    </w:p>
    <w:p w:rsidR="009D7A58" w:rsidRPr="00221156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pomoc. </w:t>
      </w:r>
    </w:p>
    <w:p w:rsidR="00435F9A" w:rsidRDefault="00435F9A" w:rsidP="000B61B9">
      <w:pPr>
        <w:ind w:left="720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Kardiovaskulárne a cerebrovaskulárne účinky:</w:t>
      </w:r>
    </w:p>
    <w:p w:rsidR="00DB70FF" w:rsidRPr="0094644C" w:rsidRDefault="00DB70FF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>U pacientov s kardiálnou alebo renálnou dysfunkciou sa vyžaduje opatrnosť, keďže použitie NSAID môže mať za následok zhoršenie renálnej funkcie.</w:t>
      </w: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u, najmä vo vysokých dávkach (2 400 mg denne) môže byť spojené s malým zvýšeným rizikom arteriálnych trombotických udalostí </w:t>
      </w:r>
      <w:r w:rsidRPr="00944C00">
        <w:rPr>
          <w:rFonts w:ascii="Times New Roman" w:hAnsi="Times New Roman" w:cs="Times New Roman"/>
          <w:sz w:val="22"/>
          <w:szCs w:val="22"/>
        </w:rPr>
        <w:lastRenderedPageBreak/>
        <w:t xml:space="preserve">(napríklad infarkt myokardu alebo mozgová príhoda). Epidemiologické štúdie celkovo nenaznačujú, že by nízke dávky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(napr. 1 200 mg denne) boli spojené so zvýšeným rizikom arteriálnych trombotických udalostí. </w:t>
      </w:r>
    </w:p>
    <w:p w:rsidR="00145467" w:rsidRDefault="00145467" w:rsidP="00145467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>Pacienti s nekontrolovanou hypertenziou, kongestívnym zlyhaním srdca (triedy II – III NYHA), diagnostikovaným ischemickým ochorením srdca, ochorením periférnych artérií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cerebrovaskulárnym ochorením majú byť liečení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om len po dôkladnom zvážení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nemajú sa používať vysoké dávky (2 400 mg denne). </w:t>
      </w:r>
    </w:p>
    <w:p w:rsidR="0081092D" w:rsidRDefault="00145467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4C00">
        <w:rPr>
          <w:sz w:val="22"/>
          <w:szCs w:val="22"/>
        </w:rPr>
        <w:t>Pred začatím dlhodobej liečby pacientov s rizikovými faktormi pre vznik kardiovaskulárnych udalostí (napr. hypertenzia, hyperlipidémia, diabetes mellitus</w:t>
      </w:r>
      <w:r w:rsidR="00F61023">
        <w:rPr>
          <w:sz w:val="22"/>
          <w:szCs w:val="22"/>
        </w:rPr>
        <w:t xml:space="preserve"> a</w:t>
      </w:r>
      <w:r w:rsidRPr="00944C00">
        <w:rPr>
          <w:sz w:val="22"/>
          <w:szCs w:val="22"/>
        </w:rPr>
        <w:t xml:space="preserve"> fajčenie) je potrebné dôsledné zváženie, najmä v prípade, že sú potrebné vysoké dávky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(2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400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mg/denne).</w:t>
      </w:r>
      <w:r w:rsidR="00F61023">
        <w:rPr>
          <w:sz w:val="22"/>
          <w:szCs w:val="22"/>
        </w:rPr>
        <w:t xml:space="preserve"> </w:t>
      </w:r>
    </w:p>
    <w:p w:rsidR="0081092D" w:rsidRPr="0094644C" w:rsidRDefault="0081092D" w:rsidP="0081092D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Keďže NSAID môžu interferovať s funkciou krvných doštičiek, majú sa používať s opatrnosťou u pacientov s intrakraniálnou hemorágiou a hemoragickou diatézou.</w:t>
      </w:r>
    </w:p>
    <w:p w:rsidR="0081092D" w:rsidRDefault="0081092D" w:rsidP="000B61B9">
      <w:pPr>
        <w:ind w:left="709"/>
        <w:rPr>
          <w:sz w:val="22"/>
          <w:szCs w:val="22"/>
        </w:rPr>
      </w:pPr>
    </w:p>
    <w:p w:rsidR="0081092D" w:rsidRPr="000B61B9" w:rsidRDefault="0081092D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Dermatologické účinky:</w:t>
      </w:r>
    </w:p>
    <w:p w:rsidR="00DB70FF" w:rsidRPr="0094644C" w:rsidRDefault="00DB70FF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V súvislosti s liečbou NSAID boli veľmi zriedkavo hlásené závažné kožné reakcie, a to exfoliatívna dermatitída, Stevensov-Johnsonov syndróm a toxická epidermálna nekrolýza, niektoré z nich fatálne</w:t>
      </w:r>
      <w:r w:rsidR="0053161A" w:rsidRPr="0094644C">
        <w:rPr>
          <w:sz w:val="22"/>
          <w:szCs w:val="22"/>
        </w:rPr>
        <w:t xml:space="preserve"> (pozri časť 4.8)</w:t>
      </w:r>
      <w:r w:rsidRPr="0094644C">
        <w:rPr>
          <w:sz w:val="22"/>
          <w:szCs w:val="22"/>
        </w:rPr>
        <w:t xml:space="preserve">. Zdá sa, že najvyššie riziko </w:t>
      </w:r>
      <w:r w:rsidR="0053161A" w:rsidRPr="0094644C">
        <w:rPr>
          <w:sz w:val="22"/>
          <w:szCs w:val="22"/>
        </w:rPr>
        <w:t xml:space="preserve">pre pacientov </w:t>
      </w:r>
      <w:r w:rsidRPr="0094644C">
        <w:rPr>
          <w:sz w:val="22"/>
          <w:szCs w:val="22"/>
        </w:rPr>
        <w:t xml:space="preserve">je na začiatku liečby; </w:t>
      </w:r>
      <w:r w:rsidR="0053161A" w:rsidRPr="0094644C">
        <w:rPr>
          <w:sz w:val="22"/>
          <w:szCs w:val="22"/>
        </w:rPr>
        <w:t xml:space="preserve">nástup reakcie sa </w:t>
      </w:r>
      <w:r w:rsidRPr="0094644C">
        <w:rPr>
          <w:sz w:val="22"/>
          <w:szCs w:val="22"/>
        </w:rPr>
        <w:t>väčšin</w:t>
      </w:r>
      <w:r w:rsidR="0053161A" w:rsidRPr="0094644C">
        <w:rPr>
          <w:sz w:val="22"/>
          <w:szCs w:val="22"/>
        </w:rPr>
        <w:t xml:space="preserve">ou </w:t>
      </w:r>
      <w:r w:rsidRPr="0094644C">
        <w:rPr>
          <w:sz w:val="22"/>
          <w:szCs w:val="22"/>
        </w:rPr>
        <w:t xml:space="preserve">objavil v prvom mesiaci liečby.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</w:t>
      </w:r>
      <w:r w:rsidR="0053161A" w:rsidRPr="0094644C">
        <w:rPr>
          <w:sz w:val="22"/>
          <w:szCs w:val="22"/>
        </w:rPr>
        <w:t>sa musí vysadiť</w:t>
      </w:r>
      <w:r w:rsidRPr="0094644C">
        <w:rPr>
          <w:sz w:val="22"/>
          <w:szCs w:val="22"/>
        </w:rPr>
        <w:t xml:space="preserve"> pri prvom výskyte kožných vyrážok, mukóznych lézií alebo iných prejavov </w:t>
      </w:r>
      <w:r w:rsidR="0053161A" w:rsidRPr="0094644C">
        <w:rPr>
          <w:sz w:val="22"/>
          <w:szCs w:val="22"/>
        </w:rPr>
        <w:t>precitlivenosti</w:t>
      </w:r>
      <w:r w:rsidRPr="0094644C">
        <w:rPr>
          <w:sz w:val="22"/>
          <w:szCs w:val="22"/>
        </w:rPr>
        <w:t>.</w:t>
      </w:r>
    </w:p>
    <w:p w:rsidR="00BD0B6F" w:rsidRPr="009D7A58" w:rsidRDefault="0053161A" w:rsidP="009D7A58">
      <w:pPr>
        <w:numPr>
          <w:ilvl w:val="0"/>
          <w:numId w:val="22"/>
        </w:numPr>
        <w:ind w:left="709" w:hanging="283"/>
        <w:jc w:val="both"/>
        <w:rPr>
          <w:b/>
          <w:bCs/>
          <w:sz w:val="22"/>
          <w:szCs w:val="22"/>
        </w:rPr>
      </w:pPr>
      <w:r w:rsidRPr="009D7A58">
        <w:rPr>
          <w:sz w:val="22"/>
          <w:szCs w:val="22"/>
        </w:rPr>
        <w:t>Systémový lupus erythematosus a zmiešané ochorenie spojivového tkaniva – zvýšené riziko vzniku aseptickej meningitídy (pozri časť 4.8).</w:t>
      </w:r>
    </w:p>
    <w:p w:rsidR="00DE0615" w:rsidRPr="009D7A58" w:rsidRDefault="00DE0615" w:rsidP="000B61B9">
      <w:pPr>
        <w:pStyle w:val="Zarkazkladnhotextu"/>
        <w:numPr>
          <w:ilvl w:val="0"/>
          <w:numId w:val="24"/>
        </w:numPr>
        <w:rPr>
          <w:sz w:val="22"/>
          <w:szCs w:val="22"/>
        </w:rPr>
      </w:pPr>
      <w:r w:rsidRPr="005F5503">
        <w:rPr>
          <w:bCs/>
          <w:sz w:val="22"/>
          <w:szCs w:val="22"/>
        </w:rPr>
        <w:t xml:space="preserve">Pri užívaní liekov s obsahom </w:t>
      </w:r>
      <w:r w:rsidR="00522B12">
        <w:rPr>
          <w:bCs/>
          <w:sz w:val="22"/>
          <w:szCs w:val="22"/>
        </w:rPr>
        <w:t xml:space="preserve">ibuprofénu a </w:t>
      </w:r>
      <w:r w:rsidRPr="005F5503">
        <w:rPr>
          <w:bCs/>
          <w:sz w:val="22"/>
          <w:szCs w:val="22"/>
        </w:rPr>
        <w:t>pseudoefedrínu sa môžu vyskytnúť závažné kožné reakcie , ako je akútna generalizovaná exantematózna pustulóza (AGEP). Táto akútna pustulózna erupcia sa môže vyskytnúť počas prvých 2 d</w:t>
      </w:r>
      <w:r w:rsidR="00FE2D3F">
        <w:rPr>
          <w:bCs/>
          <w:sz w:val="22"/>
          <w:szCs w:val="22"/>
        </w:rPr>
        <w:t>ní</w:t>
      </w:r>
      <w:r w:rsidRPr="005F5503">
        <w:rPr>
          <w:bCs/>
          <w:sz w:val="22"/>
          <w:szCs w:val="22"/>
        </w:rPr>
        <w:t xml:space="preserve"> terapie s horúčkou a veľkým počtom malých , predovšetkým nefolikulárnych pustúl objavujúcich sa na rozšírenom edematóznom erytéme a predovšetkým lokalizovaných na kožných záhyboch, trupe a horných končatinách. Pacient musí byť dôkladne monitorovaný. Ak sa objavia prejavy a príznaky ako sú zvýšená telesná </w:t>
      </w:r>
      <w:r w:rsidRPr="009D7A58">
        <w:rPr>
          <w:bCs/>
          <w:sz w:val="22"/>
          <w:szCs w:val="22"/>
        </w:rPr>
        <w:t>teplota, erytém alebo veľké množstvo malých pustúl, podávanie Robicoldu</w:t>
      </w:r>
      <w:r w:rsidR="00FE2D3F" w:rsidRPr="009D7A58">
        <w:rPr>
          <w:bCs/>
          <w:sz w:val="22"/>
          <w:szCs w:val="22"/>
        </w:rPr>
        <w:t xml:space="preserve"> </w:t>
      </w:r>
      <w:r w:rsidRPr="009D7A58">
        <w:rPr>
          <w:bCs/>
          <w:sz w:val="22"/>
          <w:szCs w:val="22"/>
        </w:rPr>
        <w:t>sa musí ukončiť a musia byť prijaté náležité opatrenia.</w:t>
      </w:r>
    </w:p>
    <w:p w:rsidR="0081092D" w:rsidRPr="009D7A58" w:rsidRDefault="0081092D" w:rsidP="000B61B9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 w:rsidRPr="009D7A58">
        <w:rPr>
          <w:color w:val="000000"/>
          <w:sz w:val="22"/>
          <w:szCs w:val="22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9D7A58" w:rsidDel="00C8084C">
        <w:rPr>
          <w:color w:val="000000"/>
          <w:sz w:val="22"/>
          <w:szCs w:val="22"/>
        </w:rPr>
        <w:t xml:space="preserve"> </w:t>
      </w:r>
      <w:r w:rsidRPr="009D7A58">
        <w:rPr>
          <w:color w:val="000000"/>
          <w:sz w:val="22"/>
          <w:szCs w:val="22"/>
        </w:rPr>
        <w:t xml:space="preserve">v prípade varicelly odporúča vyhnúť liečbe </w:t>
      </w:r>
      <w:r w:rsidR="004C4F4B" w:rsidRPr="009D7A58">
        <w:rPr>
          <w:color w:val="000000"/>
          <w:sz w:val="22"/>
          <w:szCs w:val="22"/>
        </w:rPr>
        <w:t>Robicoldom.</w:t>
      </w:r>
    </w:p>
    <w:p w:rsidR="00DE0615" w:rsidRPr="0094644C" w:rsidRDefault="00DE0615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4.5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Liekové a iné interakcie</w:t>
      </w:r>
    </w:p>
    <w:p w:rsidR="00F46995" w:rsidRPr="0094644C" w:rsidRDefault="00F46995">
      <w:pPr>
        <w:rPr>
          <w:sz w:val="22"/>
          <w:szCs w:val="22"/>
        </w:rPr>
      </w:pPr>
    </w:p>
    <w:p w:rsidR="00D669D1" w:rsidRPr="0094644C" w:rsidRDefault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 xml:space="preserve">Považuje sa za nebezpečné užívať </w:t>
      </w:r>
      <w:r w:rsidR="00E46823">
        <w:rPr>
          <w:b/>
          <w:sz w:val="22"/>
          <w:szCs w:val="22"/>
        </w:rPr>
        <w:t>ibuprofén</w:t>
      </w:r>
      <w:r w:rsidRPr="0094644C">
        <w:rPr>
          <w:b/>
          <w:sz w:val="22"/>
          <w:szCs w:val="22"/>
        </w:rPr>
        <w:t xml:space="preserve"> v kombinácii s warfarínom alebo heparínom mimo priameho lekárskeho dohľadu.</w:t>
      </w:r>
    </w:p>
    <w:p w:rsidR="00D669D1" w:rsidRPr="0094644C" w:rsidRDefault="00D669D1">
      <w:pPr>
        <w:rPr>
          <w:b/>
          <w:sz w:val="22"/>
          <w:szCs w:val="22"/>
        </w:rPr>
      </w:pPr>
    </w:p>
    <w:p w:rsidR="00D669D1" w:rsidRDefault="00D669D1" w:rsidP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Neodporúčané kombinácie:</w:t>
      </w:r>
    </w:p>
    <w:p w:rsidR="009E5966" w:rsidRDefault="009E5966" w:rsidP="00D669D1">
      <w:pPr>
        <w:rPr>
          <w:b/>
          <w:sz w:val="22"/>
          <w:szCs w:val="22"/>
        </w:rPr>
      </w:pPr>
    </w:p>
    <w:p w:rsidR="009E5966" w:rsidRPr="00F61023" w:rsidRDefault="009E5966" w:rsidP="00D669D1">
      <w:pPr>
        <w:rPr>
          <w:i/>
          <w:sz w:val="22"/>
          <w:szCs w:val="22"/>
          <w:u w:val="single"/>
        </w:rPr>
      </w:pPr>
      <w:r w:rsidRPr="00F61023">
        <w:rPr>
          <w:i/>
          <w:sz w:val="22"/>
          <w:szCs w:val="22"/>
          <w:u w:val="single"/>
        </w:rPr>
        <w:t>Kyselina acetylsalicylová</w:t>
      </w:r>
    </w:p>
    <w:p w:rsidR="009E5966" w:rsidRPr="00944C00" w:rsidRDefault="009E5966" w:rsidP="009E596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Súčasné podávanie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a kyseliny acetylsalicylovej sa neodporúča z dôvodu možných zvýšených nežiaducich udalostí. </w:t>
      </w:r>
    </w:p>
    <w:p w:rsidR="009E5966" w:rsidRPr="00944C00" w:rsidRDefault="009E5966" w:rsidP="00944C0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 môže pri súčasnom dávkovaní kompetitívne inhibovať účinok nízkej dávky kyseliny acetylsalicylovej na agregáciu trombocytov. Hoci existujú nejasnosti s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ohľadom na extrapoláciu týchto údajov na klinickú situáciu, nedá sa vylúčiť možnosť, že pravidelné, dlhodobé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 sa žiaden klinicky relevantný účinok nepovažuje za pravdepodobný (pozri časť 5.1).</w:t>
      </w:r>
    </w:p>
    <w:p w:rsidR="009E5966" w:rsidRPr="0094644C" w:rsidRDefault="009E5966" w:rsidP="00D669D1">
      <w:pPr>
        <w:rPr>
          <w:b/>
          <w:sz w:val="22"/>
          <w:szCs w:val="22"/>
        </w:rPr>
      </w:pPr>
    </w:p>
    <w:p w:rsidR="00D669D1" w:rsidRPr="0094644C" w:rsidRDefault="00D669D1" w:rsidP="00D669D1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Iné NSAID vrátane selektívnych inhibítorov cyklooxygenázy-2: Je potrebné sa vyhnúť súbežnému užívaniu dvoch alebo viacerých NSAID, pretože to môže zvýšiť riziko nežiaducich účinkov (pozri časť 4.4). </w:t>
      </w:r>
    </w:p>
    <w:p w:rsidR="00145467" w:rsidRPr="0094644C" w:rsidRDefault="00145467" w:rsidP="00145467">
      <w:pPr>
        <w:rPr>
          <w:b/>
          <w:sz w:val="22"/>
          <w:szCs w:val="22"/>
        </w:rPr>
      </w:pPr>
    </w:p>
    <w:p w:rsidR="00733C71" w:rsidRPr="0094644C" w:rsidRDefault="00733C7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Kombinácie vyžadujúce si opatrnosť:</w:t>
      </w:r>
    </w:p>
    <w:p w:rsidR="00733C71" w:rsidRPr="0094644C" w:rsidRDefault="00733C71">
      <w:pPr>
        <w:rPr>
          <w:b/>
          <w:sz w:val="22"/>
          <w:szCs w:val="22"/>
        </w:rPr>
      </w:pPr>
    </w:p>
    <w:p w:rsidR="00733C71" w:rsidRPr="0094644C" w:rsidRDefault="00733C71">
      <w:p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Opatrnosť je potrebná u pacientov liečených ktorýmkoľvek z </w:t>
      </w:r>
      <w:r w:rsidR="004C0DC2" w:rsidRPr="0094644C">
        <w:rPr>
          <w:sz w:val="22"/>
          <w:szCs w:val="22"/>
        </w:rPr>
        <w:t>nasledovných</w:t>
      </w:r>
      <w:r w:rsidRPr="0094644C">
        <w:rPr>
          <w:sz w:val="22"/>
          <w:szCs w:val="22"/>
        </w:rPr>
        <w:t xml:space="preserve"> liekov, pretože sa hlásili interakcie:</w:t>
      </w:r>
    </w:p>
    <w:p w:rsidR="00733C71" w:rsidRPr="0094644C" w:rsidRDefault="00733C7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8219BD" w:rsidRPr="0094644C">
        <w:tc>
          <w:tcPr>
            <w:tcW w:w="4253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Kombinácia pseudoefedrínu s: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53" w:type="dxa"/>
            <w:shd w:val="clear" w:color="auto" w:fill="auto"/>
          </w:tcPr>
          <w:p w:rsidR="008219BD" w:rsidRPr="0094644C" w:rsidRDefault="008219BD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Neselektívne IMAO (iproniazid):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4C0DC2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Tento liek nemajú užívať pacienti, ktorí práve užívajú alebo v priebehu predchádzajúcich dvoch týždňov užívali inhibítory monoaminooxidázy (IMAO) z dôvodu rizika hypertenznej epizódy, keďže paroxyzmálna hypertenzia</w:t>
            </w:r>
            <w:r w:rsidR="004C0DC2" w:rsidRPr="0094644C">
              <w:rPr>
                <w:sz w:val="22"/>
                <w:szCs w:val="22"/>
              </w:rPr>
              <w:t xml:space="preserve"> a</w:t>
            </w:r>
            <w:r w:rsidRPr="0094644C">
              <w:rPr>
                <w:sz w:val="22"/>
                <w:szCs w:val="22"/>
              </w:rPr>
              <w:t xml:space="preserve"> hypertermia môžu </w:t>
            </w:r>
            <w:r w:rsidR="004C0DC2" w:rsidRPr="0094644C">
              <w:rPr>
                <w:sz w:val="22"/>
                <w:szCs w:val="22"/>
              </w:rPr>
              <w:t>byť fatálne</w:t>
            </w:r>
            <w:r w:rsidRPr="0094644C">
              <w:rPr>
                <w:sz w:val="22"/>
                <w:szCs w:val="22"/>
              </w:rPr>
              <w:t xml:space="preserve"> (pozri časť 4.3).</w:t>
            </w:r>
          </w:p>
        </w:tc>
      </w:tr>
    </w:tbl>
    <w:p w:rsidR="003A17EC" w:rsidRPr="0094644C" w:rsidRDefault="003A17EC" w:rsidP="003A17EC">
      <w:pPr>
        <w:rPr>
          <w:vanish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nepriamo pôsobiace perorálne alebo nazálne podávané sympatomimetiká alebo vazokonstričné liečivá,</w:t>
            </w:r>
            <w:r w:rsidR="00B61ED1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α-sympatomimetiká, fenylpropanolamín, fenylefrín, efedrín, metylfenidát: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Reverzibilné inhibítory monoaminooxidázy A (RIMA), linezolid, dopam</w:t>
            </w:r>
            <w:r w:rsidR="00E208D2" w:rsidRPr="0094644C">
              <w:rPr>
                <w:sz w:val="22"/>
                <w:szCs w:val="22"/>
              </w:rPr>
              <w:t>í</w:t>
            </w:r>
            <w:r w:rsidRPr="0094644C">
              <w:rPr>
                <w:sz w:val="22"/>
                <w:szCs w:val="22"/>
              </w:rPr>
              <w:t>nergné ergotamínové alkaloidy, vazokonstrikčné ergotamínové alkaloidy: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Prchavé halogénované anestetiká: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Perioperatívna akútna hypertenzia. Niekoľko dní pred plánovaným chirurgickým výkonom vysadiť liečbu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om</w:t>
            </w:r>
            <w:r w:rsidRPr="0094644C">
              <w:rPr>
                <w:sz w:val="22"/>
                <w:szCs w:val="22"/>
              </w:rPr>
              <w:t>.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Gvanetidín, rezerpín a metyldopa: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účinok pseudoefedrínu.</w:t>
            </w:r>
            <w:r w:rsidRPr="0094644C">
              <w:rPr>
                <w:sz w:val="22"/>
                <w:szCs w:val="22"/>
              </w:rPr>
              <w:br/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alebo zvýšiť účinok pseudoefedrínu.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Digitalis, chinidín alebo 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Zvýšená frekvencia arytmie.</w:t>
            </w:r>
          </w:p>
        </w:tc>
      </w:tr>
    </w:tbl>
    <w:p w:rsidR="004C0DC2" w:rsidRPr="0094644C" w:rsidRDefault="004C0DC2" w:rsidP="004C0DC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112416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Kombinácia</w:t>
            </w:r>
            <w:r w:rsidR="004C0DC2" w:rsidRPr="0094644C">
              <w:rPr>
                <w:b/>
                <w:bCs/>
                <w:sz w:val="22"/>
                <w:szCs w:val="22"/>
              </w:rPr>
              <w:t xml:space="preserve"> </w:t>
            </w:r>
            <w:r w:rsidR="00E46823">
              <w:rPr>
                <w:b/>
                <w:bCs/>
                <w:sz w:val="22"/>
                <w:szCs w:val="22"/>
              </w:rPr>
              <w:t>ibuprofén</w:t>
            </w:r>
            <w:r w:rsidR="004C0DC2" w:rsidRPr="0094644C">
              <w:rPr>
                <w:b/>
                <w:bCs/>
                <w:sz w:val="22"/>
                <w:szCs w:val="22"/>
              </w:rPr>
              <w:t>u 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NSAID: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 podávanie viacerých NSAID môže zvýšiť riziko gastrointestinálnych vredov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krvácania z dôvodu synergického účinku. Súbežnému užívaniu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 xml:space="preserve">u s inými NSAID sa má preto </w:t>
            </w:r>
            <w:r w:rsidR="00112416" w:rsidRPr="0094644C">
              <w:rPr>
                <w:sz w:val="22"/>
                <w:szCs w:val="22"/>
              </w:rPr>
              <w:t>vyhnúť</w:t>
            </w:r>
            <w:r w:rsidRPr="0094644C">
              <w:rPr>
                <w:sz w:val="22"/>
                <w:szCs w:val="22"/>
              </w:rPr>
              <w:t xml:space="preserve"> (pozri časť </w:t>
            </w:r>
            <w:r w:rsidR="00F61023">
              <w:rPr>
                <w:sz w:val="22"/>
                <w:szCs w:val="22"/>
              </w:rPr>
              <w:t xml:space="preserve">4.3 a </w:t>
            </w:r>
            <w:r w:rsidRPr="0094644C">
              <w:rPr>
                <w:sz w:val="22"/>
                <w:szCs w:val="22"/>
              </w:rPr>
              <w:t>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Digoxín: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digoxín môže zvýšiť sérové hladiny týchto liekov. Kontrola digoxínu v sére sa pri správnom 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Kortikosteroidy: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Kortikosteroidy, </w:t>
            </w:r>
            <w:r w:rsidR="00112416" w:rsidRPr="0094644C">
              <w:rPr>
                <w:sz w:val="22"/>
                <w:szCs w:val="22"/>
              </w:rPr>
              <w:t>keď</w:t>
            </w:r>
            <w:r w:rsidRPr="0094644C">
              <w:rPr>
                <w:sz w:val="22"/>
                <w:szCs w:val="22"/>
              </w:rPr>
              <w:t>že môžu zvýšiť riziko nežiaducich reakcií, najmä gastrointestinálneho traktu (gastrointestinálne ulcerácie alebo krvácanie) (pozri časť 4.3).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Antiagregačné látky: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930C7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E5966">
              <w:rPr>
                <w:sz w:val="22"/>
                <w:szCs w:val="22"/>
              </w:rPr>
              <w:t>Kyselina acetylsalicylová</w:t>
            </w:r>
            <w:r w:rsidRPr="009930C7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66" w:rsidRPr="002E19F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 xml:space="preserve">Súčasné podávanie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>u a kyseliny acetylsalicylovej sa neodporúča z dôvodu možn</w:t>
            </w:r>
            <w:r w:rsidRPr="002E19F0">
              <w:rPr>
                <w:rFonts w:ascii="Times New Roman" w:hAnsi="Times New Roman" w:cs="Times New Roman"/>
                <w:sz w:val="22"/>
                <w:szCs w:val="22"/>
              </w:rPr>
              <w:t xml:space="preserve">ých zvýšených nežiaducich udalostí. </w:t>
            </w:r>
          </w:p>
          <w:p w:rsidR="004C0DC2" w:rsidRPr="00944C0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Experimentálne údaje naznačujú, že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môže pri súčasnom dávkovaní kompetitívne inhibovať účinok nízkej dávky kyseliny acetylsalicylovej na agregáciu trombocytov. </w:t>
            </w:r>
            <w:r w:rsidRPr="003071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Hoci existujú nejasnosti 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s ohľadom na extrapoláciu týchto údajov na klinickú situáciu, nedá sa vylúčiť možnosť, že pravidelné, dlhodobé používanie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u môže znížiť kardioprotektívny účinok nízkej dávky kyseliny acetylsalicylovej. V prípade príležitostného používania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u sa žiaden klinicky relevantný účinok nepovažuje za pravdepodobný (pozri časť 5.1).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Antikoagulanciá: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br/>
              <w:t>(napr.: warfarín, tiklopidín, klopidogrel, tirofiban, eptifibatid, abciximab, iloprost)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NSAID, ako je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, môžu zosilniť účinok antikoagulancií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Fenytoín: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</w:t>
            </w:r>
            <w:r w:rsidR="00112416" w:rsidRPr="0094644C">
              <w:rPr>
                <w:sz w:val="22"/>
                <w:szCs w:val="22"/>
              </w:rPr>
              <w:t xml:space="preserve"> 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 xml:space="preserve">u </w:t>
            </w:r>
            <w:r w:rsidRPr="0094644C">
              <w:rPr>
                <w:sz w:val="22"/>
                <w:szCs w:val="22"/>
              </w:rPr>
              <w:t>s liekmi obsahujúcimi fenytoín môže zvýšiť sérové hladiny týchto liekov. Kontrola sérového fenytoínu sa pri správnom používaní zvyčajne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Selektívne inhibítory spätného vychytávania </w:t>
            </w:r>
            <w:r w:rsidR="006F3E55" w:rsidRPr="0094644C">
              <w:rPr>
                <w:sz w:val="22"/>
                <w:szCs w:val="22"/>
              </w:rPr>
              <w:t>s</w:t>
            </w:r>
            <w:r w:rsidR="00B61ED1">
              <w:rPr>
                <w:sz w:val="22"/>
                <w:szCs w:val="22"/>
              </w:rPr>
              <w:t>é</w:t>
            </w:r>
            <w:r w:rsidR="006F3E55" w:rsidRPr="0094644C">
              <w:rPr>
                <w:sz w:val="22"/>
                <w:szCs w:val="22"/>
              </w:rPr>
              <w:t>rotonínu</w:t>
            </w:r>
            <w:r w:rsidRPr="0094644C">
              <w:rPr>
                <w:sz w:val="22"/>
                <w:szCs w:val="22"/>
              </w:rPr>
              <w:t xml:space="preserve"> (SSRI):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Lítium: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>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lítium môže zvýšiť sérové hladiny týchto liekov. Kontrola sérového lítia sa pri správnom používaní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Probenecid a sulfinpyrazón: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Lieky, ktoré obsahujú probenecid alebo sulfinpyrazón, môžu oneskoriť vylučovanie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Diuretiká, inhibítory ACE, betablokátory a antagonisty angiotenzínu II: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NSAID môžu znížiť účinok diuretík a iných antihypertenzných liekov. U niektorých pacientov so zhoršenou funkciou obličiek (napr. dehydratovaní pacienti alebo starší pacienti so zhoršenou funkciou obličiek) môže mať súbežné podávanie inhibítorov ACE, betablokátorov alebo antagonistov angiotenzínu II a látok, ktoré inhibujú cyklooxygenázu, za následok ďalšie zhoršenie funkcie obličiek vrátane možného akútneho zlyhania obličiek, ktoré je zvyčajne reverzibilné. Preto sa má táto kombinácia podávať opatrne, predovšetkým u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starších pacientov. Pacienti majú byť adekvátne hydratovaní a je potrebné zvážiť sledovanie funkcie obličiek po začatí súbežnej liečby a potom pravidelne.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Draslík šetriace diuretiká: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 xml:space="preserve">používanie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a draslík šetriacich diuretík môže viesť k hyperkaliémii (odporúča sa kontrola sérového draslíka).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Metotrexát: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Podávanie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v priebehu 24 hodín pred alebo po podaní metotrexátu môže viesť ku zvýšeným koncentráciám metotrexátu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zvýšeniu jeho toxického účinku.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Cyklosporín: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poškodenia obličiek súvisiace s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cyklosporínom sa zvyšuje súbežným podávaním niektorých nesteroidových antiflogistík. Tento účinok nemožno vylúčiť ani pri kombinácii cyklosporínu s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Takrolimus: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Ak sa tieto dva lieky podávajú súbežne, je zvýšené riziko nefrotoxicity.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Zidovudín: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U HIV pozitívnych hemofilikov užívajúcich súčasne liečbu zidovudínom 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existuje zvýšené riziko hemartróz a hematómu.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Deriváty sulfonylmočoviny: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Klinické zistenia preukázali interakcie medzi nesteroidovými antiflogistikami a antidiabetikami (derivátmi sulfonylmočoviny). Hoci interakcie medzi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a derivátmi sulfonylmočoviny neboli doteraz zaznamenané, preventívne sa pri súbežnom užívaní odporúča kontrola hodnôt glukózy v krvi.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Chinolónové antibiotiká: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Údaje získané na zvieratách naznačujú, že NSAID môžu zvyšovať riziko kŕčov v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súvislosti s chinolónovými antibiotikami. Pacienti užívajúci NSAID a chinolóny môžu mať zvýšené riziko rozvoja kŕčov.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Heparíny;</w:t>
            </w:r>
            <w:r w:rsidRPr="0094644C">
              <w:rPr>
                <w:rStyle w:val="apple-converted-space"/>
                <w:i/>
                <w:iCs/>
                <w:sz w:val="22"/>
                <w:szCs w:val="22"/>
              </w:rPr>
              <w:t> </w:t>
            </w:r>
            <w:r w:rsidRPr="0094644C">
              <w:rPr>
                <w:i/>
                <w:iCs/>
                <w:sz w:val="22"/>
                <w:szCs w:val="22"/>
              </w:rPr>
              <w:t>Ginko biloba</w:t>
            </w:r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krvácania.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Antacidá: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Niektoré antacidá môžu zvýšiť gastrointestinálnu absorpciu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  <w:r w:rsidR="004F4D44" w:rsidRPr="0094644C">
              <w:rPr>
                <w:sz w:val="22"/>
                <w:szCs w:val="22"/>
              </w:rPr>
              <w:t xml:space="preserve"> Toto sa považuje za klinicky r</w:t>
            </w:r>
            <w:r w:rsidRPr="0094644C">
              <w:rPr>
                <w:sz w:val="22"/>
                <w:szCs w:val="22"/>
              </w:rPr>
              <w:t xml:space="preserve">elevantné, najmä počas dlhodobého používania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Aminoglykozidy: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A4723C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Zníženie renálnej funkcie i citlivých jedincov </w:t>
            </w:r>
            <w:r w:rsidR="00A37C36" w:rsidRPr="0094644C">
              <w:rPr>
                <w:sz w:val="22"/>
                <w:szCs w:val="22"/>
              </w:rPr>
              <w:t>zmenšuje elimináciu aminoglykozidov a zvyšuje plazmatické koncentrácie.</w:t>
            </w:r>
          </w:p>
        </w:tc>
      </w:tr>
    </w:tbl>
    <w:p w:rsidR="00BD0B6F" w:rsidRPr="0094644C" w:rsidRDefault="004C0DC2" w:rsidP="00A37C36">
      <w:pPr>
        <w:rPr>
          <w:b/>
          <w:bCs/>
          <w:sz w:val="22"/>
          <w:szCs w:val="22"/>
        </w:rPr>
      </w:pPr>
      <w:r w:rsidRPr="0094644C">
        <w:rPr>
          <w:rFonts w:ascii="Arial" w:hAnsi="Arial" w:cs="Arial"/>
          <w:color w:val="333333"/>
          <w:sz w:val="20"/>
          <w:szCs w:val="20"/>
        </w:rPr>
        <w:br/>
      </w:r>
      <w:r w:rsidR="00AF1266" w:rsidRPr="0094644C">
        <w:rPr>
          <w:b/>
          <w:bCs/>
          <w:sz w:val="22"/>
          <w:szCs w:val="22"/>
        </w:rPr>
        <w:t>4.6</w:t>
      </w:r>
      <w:r w:rsidR="00504AD6" w:rsidRPr="0094644C">
        <w:rPr>
          <w:b/>
          <w:bCs/>
          <w:sz w:val="22"/>
          <w:szCs w:val="22"/>
        </w:rPr>
        <w:tab/>
      </w:r>
      <w:r w:rsidR="00A37C36" w:rsidRPr="0094644C">
        <w:rPr>
          <w:b/>
          <w:bCs/>
          <w:sz w:val="22"/>
          <w:szCs w:val="22"/>
        </w:rPr>
        <w:t>Fertilita, g</w:t>
      </w:r>
      <w:r w:rsidR="00AF1266" w:rsidRPr="0094644C">
        <w:rPr>
          <w:b/>
          <w:bCs/>
          <w:sz w:val="22"/>
          <w:szCs w:val="22"/>
        </w:rPr>
        <w:t>ravidita a laktácia</w:t>
      </w:r>
    </w:p>
    <w:p w:rsidR="00504AD6" w:rsidRPr="0094644C" w:rsidRDefault="00504AD6">
      <w:pPr>
        <w:pStyle w:val="Zarkazkladnhotextu"/>
        <w:ind w:left="0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Robicold </w:t>
      </w:r>
      <w:r w:rsidR="00BD0B6F" w:rsidRPr="0094644C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kontraindikovaný </w:t>
      </w:r>
      <w:r w:rsidR="00BD0B6F" w:rsidRPr="0094644C">
        <w:rPr>
          <w:sz w:val="22"/>
          <w:szCs w:val="22"/>
        </w:rPr>
        <w:t>v gravidite a počas laktácie</w:t>
      </w:r>
      <w:r>
        <w:rPr>
          <w:sz w:val="22"/>
          <w:szCs w:val="22"/>
        </w:rPr>
        <w:t xml:space="preserve"> (pozri časť 4.3)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pStyle w:val="Zarkazkladnhotextu"/>
        <w:ind w:left="0"/>
        <w:rPr>
          <w:sz w:val="22"/>
          <w:szCs w:val="22"/>
        </w:rPr>
      </w:pPr>
    </w:p>
    <w:p w:rsidR="00BD0B6F" w:rsidRPr="0094644C" w:rsidRDefault="00BD0B6F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Gravidita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644C">
        <w:rPr>
          <w:sz w:val="22"/>
          <w:szCs w:val="22"/>
          <w:u w:val="single"/>
        </w:rPr>
        <w:t>:</w:t>
      </w: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Hoci sa v experimentoch so zvieratami nepreukázal teratogénny účinok, použitiu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v gravidite sa má vyhnúť.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Počas tretieho trimestra je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</w:t>
      </w:r>
      <w:r w:rsidR="006F3E55" w:rsidRPr="0094644C">
        <w:rPr>
          <w:sz w:val="22"/>
          <w:szCs w:val="22"/>
        </w:rPr>
        <w:t>kontraindikovaný</w:t>
      </w:r>
      <w:r w:rsidRPr="0094644C">
        <w:rPr>
          <w:sz w:val="22"/>
          <w:szCs w:val="22"/>
        </w:rPr>
        <w:t>, pretože existuje riziko predčasného uzáveru ductus arteriosus a pulmonálnej hypertenzie.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Fertilita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Existujú isté dôkazy, že lieky, ktoré i</w:t>
      </w:r>
      <w:r w:rsidR="00BD0B6F" w:rsidRPr="0094644C">
        <w:rPr>
          <w:sz w:val="22"/>
          <w:szCs w:val="22"/>
        </w:rPr>
        <w:t>nhib</w:t>
      </w:r>
      <w:r w:rsidRPr="0094644C">
        <w:rPr>
          <w:sz w:val="22"/>
          <w:szCs w:val="22"/>
        </w:rPr>
        <w:t>ujú</w:t>
      </w:r>
      <w:r w:rsidR="00BD0B6F" w:rsidRPr="0094644C">
        <w:rPr>
          <w:sz w:val="22"/>
          <w:szCs w:val="22"/>
        </w:rPr>
        <w:t xml:space="preserve"> syntéz</w:t>
      </w:r>
      <w:r w:rsidRPr="0094644C">
        <w:rPr>
          <w:sz w:val="22"/>
          <w:szCs w:val="22"/>
        </w:rPr>
        <w:t>u cyklooxygenázy/prostaglandínov môžu spôsobovať poškodenie ženskej fertility účinkom na ovuláciu. Toto je reverzibilné po vysadení liečby.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Použitie NSAID môže poškodzovať ženskú fertilitu a ženám sa neodporúča otehotnieť. U žien, ktoré majú problémy s otehotnením a ktoré sú vyšetrované na neplodnosť, sa má zvážiť vysadenie lieku.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2E19F0" w:rsidRPr="0094644C" w:rsidRDefault="002F046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4C00">
        <w:rPr>
          <w:sz w:val="22"/>
          <w:szCs w:val="22"/>
        </w:rPr>
        <w:t>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Podľa obmedzených štúdií sa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vysk</w:t>
      </w:r>
      <w:r w:rsidR="004F4D44" w:rsidRPr="0094644C">
        <w:rPr>
          <w:sz w:val="22"/>
          <w:szCs w:val="22"/>
        </w:rPr>
        <w:t>y</w:t>
      </w:r>
      <w:r w:rsidRPr="0094644C">
        <w:rPr>
          <w:sz w:val="22"/>
          <w:szCs w:val="22"/>
        </w:rPr>
        <w:t>tuje v materskom lieku ľudí vo veľmi nízkych koncentráciách a nie je pravdepodobné, že by nežiaduco ovplyvňoval doj</w:t>
      </w:r>
      <w:r w:rsidR="004F4D44" w:rsidRPr="0094644C">
        <w:rPr>
          <w:sz w:val="22"/>
          <w:szCs w:val="22"/>
        </w:rPr>
        <w:t>č</w:t>
      </w:r>
      <w:r w:rsidRPr="0094644C">
        <w:rPr>
          <w:sz w:val="22"/>
          <w:szCs w:val="22"/>
        </w:rPr>
        <w:t>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 sa vylučuje do materského mlieka ľudí v malých množstvách, no jeho vplyv na dojčatá nie je známy. Odhaduje sa, že 0,4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až 0,7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jednorazovej dávky pseudoefedrínu požitej matkou sa počas 24 hodín vylúči do materského mlieka.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Celkovo je použitie tohto lieku kontraindikované v gravidite a počas laktácie.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4.7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Ovplyvnenie schopnosti viesť vozidlá a obsluhovať stroje</w:t>
      </w:r>
    </w:p>
    <w:p w:rsidR="0002783B" w:rsidRPr="0094644C" w:rsidRDefault="0002783B">
      <w:pPr>
        <w:pStyle w:val="Zkladntext2"/>
        <w:spacing w:after="0" w:line="240" w:lineRule="auto"/>
        <w:rPr>
          <w:sz w:val="22"/>
          <w:szCs w:val="22"/>
        </w:rPr>
      </w:pPr>
    </w:p>
    <w:p w:rsidR="00DD2CEE" w:rsidRPr="0094644C" w:rsidRDefault="00D93693" w:rsidP="00DD2CEE">
      <w:pPr>
        <w:rPr>
          <w:sz w:val="22"/>
          <w:szCs w:val="22"/>
        </w:rPr>
      </w:pPr>
      <w:r>
        <w:rPr>
          <w:sz w:val="22"/>
          <w:szCs w:val="22"/>
        </w:rPr>
        <w:t>Robicold</w:t>
      </w:r>
      <w:r w:rsidR="00DD2CEE" w:rsidRPr="0094644C">
        <w:rPr>
          <w:sz w:val="22"/>
          <w:szCs w:val="22"/>
        </w:rPr>
        <w:t xml:space="preserve"> pri odporúčaných dávkach a dĺžke liečby nemá žiadny alebo má zanedbateľný vplyv na schopnosť viesť vozidlá a obsluhovať stroje. </w:t>
      </w:r>
    </w:p>
    <w:p w:rsidR="00DD2CEE" w:rsidRPr="0094644C" w:rsidRDefault="00DD2CEE" w:rsidP="00DD2CEE">
      <w:pPr>
        <w:rPr>
          <w:sz w:val="22"/>
          <w:szCs w:val="22"/>
        </w:rPr>
      </w:pPr>
      <w:r w:rsidRPr="0094644C">
        <w:rPr>
          <w:sz w:val="22"/>
          <w:szCs w:val="22"/>
        </w:rPr>
        <w:t>Pacienti, ktorí pocítia závrat, halucinácie, nezvyčajnú bolesť hlavy a poruchy zraku a sluchu nemajú viesť vozidlá a obsluhovať stroje. Jednorazové podanie alebo krátkodobé užívanie tohto lieku si zvyčajne nevyžaduje prijatie akýchkoľvek špeciálnych opatrení.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4.8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Nežiaduce účinky</w:t>
      </w:r>
    </w:p>
    <w:p w:rsidR="00797DAA" w:rsidRPr="0094644C" w:rsidRDefault="00797D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562236" w:rsidRPr="0094644C" w:rsidRDefault="00562236" w:rsidP="00562236">
      <w:pPr>
        <w:rPr>
          <w:sz w:val="22"/>
          <w:szCs w:val="22"/>
        </w:rPr>
      </w:pPr>
      <w:r w:rsidRPr="0094644C">
        <w:rPr>
          <w:sz w:val="22"/>
          <w:szCs w:val="22"/>
        </w:rPr>
        <w:t>Najčastejšie pozorované nežiaduce účinky sú gastrointestinálne. Vyskytnúť sa môže žalúdočný vred, perforácia alebo gastrointestinálne krvácanie, niekedy fatálne u starších ľudí (pozri časť 4.4). Po podaní hlásili nevoľnosť, vracanie, hnačku, plynatosť, zápchu, dyspepsiu, bolesť brucha, distenziu brucha, vredy v ústach, melénu, hemateméz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>, ulcerózn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stomatitíd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a exacerbáci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Crohnovej choroby (pozri časť 4.4). Menej často sa pozorovala gastritída.</w:t>
      </w:r>
    </w:p>
    <w:p w:rsidR="00562236" w:rsidRPr="0094644C" w:rsidRDefault="00562236" w:rsidP="00562236">
      <w:pPr>
        <w:rPr>
          <w:sz w:val="22"/>
          <w:szCs w:val="22"/>
          <w:shd w:val="clear" w:color="auto" w:fill="F6F6F6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 liečbe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om boli hlásené reakcie precitlivenosti. Môžu pozostávať z: </w:t>
      </w:r>
    </w:p>
    <w:p w:rsidR="00033E2E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a) nešpecifickej alergickej reakcie a anafylaxie,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b) Dýchanie: reaktivity dýchacieho traktu zahŕňajúcej astmu, zhoršenie astmy, bronchospazmus alebo dyspnoe,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Koža: zmiešaných kožných porúch zahŕňajúcich vyrážky rôzneho druhu, svrbenie, žihľavku, purpuru, angioedém a menej často exfoliatívne a bulózne dermatózy (zahŕňajúce epidermálnu nekrolýzu a multiformný erytém).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c) Veľmi zriedkavo bulózne reakcie vrátane Stevensovho-Johnsonovho syndrómu a toxickej epidermálnej nekrolýzy.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2F0468" w:rsidP="004E5586">
      <w:pPr>
        <w:rPr>
          <w:sz w:val="22"/>
          <w:szCs w:val="22"/>
        </w:rPr>
      </w:pPr>
      <w:r w:rsidRPr="00944C00">
        <w:rPr>
          <w:sz w:val="22"/>
          <w:szCs w:val="22"/>
        </w:rPr>
        <w:t xml:space="preserve">Klinické štúdie naznačili, že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u, najmä vo vysokých dávkach (2 400 mg denne) môže byť spojené s malým zvýšeným rizikom arteriálnych trombotických udalostí (napríklad infarkt myokardu alebo mozgová príhoda) (pozri časť 4.4).</w:t>
      </w:r>
      <w:r>
        <w:rPr>
          <w:sz w:val="18"/>
          <w:szCs w:val="18"/>
        </w:rPr>
        <w:t xml:space="preserve"> </w:t>
      </w:r>
      <w:r w:rsidR="004E5586" w:rsidRPr="0094644C">
        <w:rPr>
          <w:sz w:val="22"/>
          <w:szCs w:val="22"/>
        </w:rPr>
        <w:t>V súvislosti s liečbou NSAID sa hlásil edém, hypertenzia, ang</w:t>
      </w:r>
      <w:r w:rsidR="002E19F0">
        <w:rPr>
          <w:sz w:val="22"/>
          <w:szCs w:val="22"/>
        </w:rPr>
        <w:t>ína</w:t>
      </w:r>
      <w:r w:rsidR="004E5586" w:rsidRPr="0094644C">
        <w:rPr>
          <w:sz w:val="22"/>
          <w:szCs w:val="22"/>
        </w:rPr>
        <w:t xml:space="preserve"> pe</w:t>
      </w:r>
      <w:r w:rsidR="002E19F0">
        <w:rPr>
          <w:sz w:val="22"/>
          <w:szCs w:val="22"/>
        </w:rPr>
        <w:t>k</w:t>
      </w:r>
      <w:r w:rsidR="004E5586" w:rsidRPr="0094644C">
        <w:rPr>
          <w:sz w:val="22"/>
          <w:szCs w:val="22"/>
        </w:rPr>
        <w:t>toris a srdcové zlyhanie.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Nasledovný zoznam nežiaducich účinkov súvisí so zaznamenanými účinkami pri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e a</w:t>
      </w:r>
      <w:r w:rsidR="002E19F0">
        <w:rPr>
          <w:sz w:val="22"/>
          <w:szCs w:val="22"/>
        </w:rPr>
        <w:t> </w:t>
      </w:r>
      <w:r w:rsidRPr="0094644C">
        <w:rPr>
          <w:sz w:val="22"/>
          <w:szCs w:val="22"/>
        </w:rPr>
        <w:t xml:space="preserve">pseudoefedríniumchloride pri OTC dávkach na krátkodobé použitie. Pri liečbe chronických stavov, pri dlhodobej liečbe, sa môžu vyskytnúť ďalšie nežiaduce účinky. Pacienti majú byť informovaní, že užívanie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>u musia okamžite ukončiť a vyhľadať lekára, ak sa u nich vyskytnú závažné nežiaduce reakcie na liek.</w:t>
      </w:r>
    </w:p>
    <w:p w:rsidR="00562236" w:rsidRPr="0094644C" w:rsidRDefault="00562236" w:rsidP="004A2D53">
      <w:pPr>
        <w:ind w:left="284"/>
        <w:rPr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1/100 až &lt; 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Menej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 až &lt; 1/100)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Zriedkavé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1/10 000 až &lt; 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zriedkavé (&lt; 1/10 000)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Neznáme (z dostupných údajov)</w:t>
            </w:r>
          </w:p>
        </w:tc>
      </w:tr>
    </w:tbl>
    <w:p w:rsidR="00562236" w:rsidRPr="0094644C" w:rsidRDefault="00562236" w:rsidP="00797DAA">
      <w:pPr>
        <w:rPr>
          <w:bCs/>
          <w:sz w:val="22"/>
          <w:szCs w:val="22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92"/>
        <w:gridCol w:w="1590"/>
        <w:gridCol w:w="3938"/>
      </w:tblGrid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Infekcie a nákazy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infekčných zápalov (napr. nekrotizujúcej fasciitídy), aseptická meningitída (stuhnutosť šije, bolesť hlavy, nauzea, vracanie, horúčka alebo dezorientácia u pacientov s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prítomnými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autoimunitnými ochoreniami (SLE, zmiešaným ochorením spojivového tkaniva)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krvi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 xml:space="preserve">lymfatického </w:t>
            </w:r>
            <w:r w:rsidRPr="0094644C">
              <w:rPr>
                <w:b/>
                <w:bCs/>
                <w:sz w:val="22"/>
                <w:szCs w:val="22"/>
              </w:rPr>
              <w:lastRenderedPageBreak/>
              <w:t>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Poruchy krvotvorby (anémia, leukopénia, trombocytopénia, pancytopénia, </w:t>
            </w:r>
            <w:r w:rsidRPr="0094644C">
              <w:rPr>
                <w:sz w:val="22"/>
                <w:szCs w:val="22"/>
              </w:rPr>
              <w:lastRenderedPageBreak/>
              <w:t>agranulocytóza)</w:t>
            </w:r>
          </w:p>
        </w:tc>
      </w:tr>
      <w:tr w:rsidR="00591428" w:rsidRPr="0094644C" w:rsidTr="00F170B8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lastRenderedPageBreak/>
              <w:t>Poruchy imunitného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Reakcie precitlivenosti so žihľavkou, svrbením a astmatické záchvaty (s</w:t>
            </w:r>
            <w:r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poklesom krvného tlaku)</w:t>
            </w:r>
          </w:p>
        </w:tc>
      </w:tr>
      <w:tr w:rsidR="00591428" w:rsidRPr="0094644C" w:rsidTr="00F170B8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803202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 xml:space="preserve"> a 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Závažné generalizované reakcie precitlivenosti, príznakmi môžu byť opuch tváre, angioedém, dyspnoe, tachykardia, pokles krvného tlaku, anafylaktický šok</w:t>
            </w:r>
          </w:p>
        </w:tc>
      </w:tr>
      <w:tr w:rsidR="00591428" w:rsidRPr="0094644C" w:rsidTr="00D017B9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Psychotické reakcie, depresia</w:t>
            </w:r>
          </w:p>
        </w:tc>
      </w:tr>
      <w:tr w:rsidR="00591428" w:rsidRPr="0094644C" w:rsidTr="00D017B9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Agitácia, halucinácie, úzkosť, abnormálne správanie, insomnia</w:t>
            </w:r>
            <w:r w:rsidRPr="0094644C">
              <w:rPr>
                <w:rStyle w:val="apple-converted-space"/>
                <w:sz w:val="22"/>
                <w:szCs w:val="22"/>
              </w:rPr>
              <w:t>, excitácia, podráždenosť, nervozita, nepokoj</w:t>
            </w:r>
          </w:p>
        </w:tc>
      </w:tr>
      <w:tr w:rsidR="00591428" w:rsidRPr="0094644C" w:rsidTr="0021115D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centrálneho nervového systému, ako je bolesť hlavy, závrat, nespavosť, agitácia, podráždenosť alebo únava</w:t>
            </w:r>
          </w:p>
        </w:tc>
      </w:tr>
      <w:tr w:rsidR="00591428" w:rsidRPr="0094644C" w:rsidTr="0021115D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Hemoragická mozgová príhoda, ischemická mozgová príhoda, kŕče, bolesť hlavy</w:t>
            </w:r>
            <w:r w:rsidRPr="0094644C">
              <w:rPr>
                <w:rStyle w:val="apple-converted-space"/>
                <w:sz w:val="22"/>
                <w:szCs w:val="22"/>
              </w:rPr>
              <w:t>, insomnia, nervozita, anxiozita, agitácia, tras, halucinácie</w:t>
            </w:r>
          </w:p>
        </w:tc>
      </w:tr>
      <w:tr w:rsidR="00591428" w:rsidRPr="0094644C" w:rsidTr="0053005D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oka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videnia</w:t>
            </w:r>
          </w:p>
        </w:tc>
      </w:tr>
      <w:tr w:rsidR="00591428" w:rsidRPr="0094644C" w:rsidTr="0053005D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Default="00A7743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Ischemická očná neuropatia</w:t>
            </w:r>
          </w:p>
        </w:tc>
      </w:tr>
      <w:tr w:rsidR="00591428" w:rsidRPr="0094644C" w:rsidTr="001538BE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ucha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labyrintu</w:t>
            </w:r>
            <w:r w:rsidRPr="0094644C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Tinitus</w:t>
            </w:r>
          </w:p>
        </w:tc>
      </w:tr>
      <w:tr w:rsidR="00591428" w:rsidRPr="0094644C" w:rsidTr="001538BE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Vertigo</w:t>
            </w:r>
          </w:p>
        </w:tc>
      </w:tr>
      <w:tr w:rsidR="00591428" w:rsidRPr="0094644C" w:rsidTr="00F61424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srdca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srdcovej činnosti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srdcové zlyhanie, infarkt myokardu, edém, hypertenzia</w:t>
            </w:r>
          </w:p>
        </w:tc>
      </w:tr>
      <w:tr w:rsidR="00591428" w:rsidRPr="0094644C" w:rsidTr="00F61424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tachykardia, bolesť na hrudi, arytmia</w:t>
            </w:r>
          </w:p>
        </w:tc>
      </w:tr>
      <w:tr w:rsidR="00591428" w:rsidRPr="0094644C" w:rsidTr="00ED2D0D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ciev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Arteriálna hypertenzia</w:t>
            </w:r>
          </w:p>
        </w:tc>
      </w:tr>
      <w:tr w:rsidR="00591428" w:rsidRPr="0094644C" w:rsidTr="00ED2D0D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Hypertenzia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2E19F0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Poruchy dýchacej sústavy, hrudníka a</w:t>
            </w:r>
            <w:r w:rsidR="002E19F0">
              <w:rPr>
                <w:b/>
                <w:sz w:val="22"/>
                <w:szCs w:val="22"/>
              </w:rPr>
              <w:t> </w:t>
            </w:r>
            <w:r w:rsidRPr="0094644C">
              <w:rPr>
                <w:b/>
                <w:sz w:val="22"/>
                <w:szCs w:val="22"/>
              </w:rPr>
              <w:t>mediastína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astmy alebo reakcia precitlivenosti s bronchospazmom</w:t>
            </w:r>
          </w:p>
        </w:tc>
      </w:tr>
      <w:tr w:rsidR="00591428" w:rsidRPr="0094644C" w:rsidTr="00F05A17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94644C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94644C">
              <w:rPr>
                <w:b/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Dyspepsia, abdominálna bolesť, nauzea, vracanie, flatulencia, hnačka, zápcha, slabé krvácanie do gastrointestinálneho traktu, ktoré môže v zriedkavých prípadoch spôsobiť anémiu</w:t>
            </w:r>
          </w:p>
        </w:tc>
      </w:tr>
      <w:tr w:rsidR="00591428" w:rsidRPr="0094644C" w:rsidTr="00F05A17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Gastrointestinálne vredy s krvácaním a/alebo perforáciou, gastritída, ulcerózna stomatitída, exacerbácia kolitídy a</w:t>
            </w:r>
            <w:r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Crohnovej choroby (pozri časť 4.4)</w:t>
            </w:r>
          </w:p>
        </w:tc>
      </w:tr>
      <w:tr w:rsidR="00591428" w:rsidRPr="0094644C" w:rsidTr="00F05A17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Ezofagitída, pankreatitída, tvorba membra</w:t>
            </w:r>
            <w:r w:rsidRPr="0094644C">
              <w:rPr>
                <w:sz w:val="22"/>
                <w:szCs w:val="22"/>
              </w:rPr>
              <w:softHyphen/>
              <w:t>nóznych striktúr</w:t>
            </w:r>
          </w:p>
        </w:tc>
      </w:tr>
      <w:tr w:rsidR="00591428" w:rsidRPr="0094644C" w:rsidTr="00F05A17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Sucho v ústach, smäd, nauzea, vracanie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221156">
              <w:rPr>
                <w:sz w:val="22"/>
                <w:szCs w:val="22"/>
              </w:rPr>
              <w:t>ischemická kolitída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pečene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žlčových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Dysfunkcia pečene, poškodenie pečene, predovšetkým pri dlhodobej liečbe, zlyhanie pečene, akútna hepatitída</w:t>
            </w:r>
          </w:p>
        </w:tc>
      </w:tr>
      <w:tr w:rsidR="00591428" w:rsidRPr="0094644C" w:rsidTr="007569D5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kože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podkožného tkaniva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Rôzne kožné vyrážky</w:t>
            </w:r>
          </w:p>
        </w:tc>
      </w:tr>
      <w:tr w:rsidR="00591428" w:rsidRPr="0094644C" w:rsidTr="007569D5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Bulózny exantém, ako je Stevensov-Johnsonov syndróm a t</w:t>
            </w:r>
            <w:r>
              <w:rPr>
                <w:sz w:val="22"/>
                <w:szCs w:val="22"/>
              </w:rPr>
              <w:t>oxická epidermálna nekrolýza (L</w:t>
            </w:r>
            <w:r w:rsidRPr="0094644C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 w:rsidRPr="0094644C">
              <w:rPr>
                <w:sz w:val="22"/>
                <w:szCs w:val="22"/>
              </w:rPr>
              <w:t xml:space="preserve">llov syndróm), alopécia, závažné kožné infekcie, počas infekcie ovčích kiahní komplikácie v mäkkých </w:t>
            </w:r>
            <w:r w:rsidRPr="0094644C">
              <w:rPr>
                <w:sz w:val="22"/>
                <w:szCs w:val="22"/>
              </w:rPr>
              <w:lastRenderedPageBreak/>
              <w:t>tkanivách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591428" w:rsidRPr="0094644C" w:rsidTr="007569D5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5F5503">
              <w:rPr>
                <w:bCs/>
                <w:sz w:val="22"/>
                <w:szCs w:val="22"/>
              </w:rPr>
              <w:t>ieková reakcia s eozinofíliou a systémovými príznakmi (syndróm DRESS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591428" w:rsidRPr="0094644C" w:rsidTr="007569D5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Vyrážka, žihľavka, svrbenie, hyperhidróza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591428" w:rsidRPr="0094644C" w:rsidTr="007569D5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 a p</w:t>
            </w:r>
            <w:r w:rsidRPr="0094644C">
              <w:rPr>
                <w:sz w:val="22"/>
                <w:szCs w:val="22"/>
              </w:rPr>
              <w:t>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2D5969" w:rsidRDefault="00591428" w:rsidP="000F7F06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Pr="009648B9">
              <w:rPr>
                <w:bCs/>
                <w:sz w:val="22"/>
                <w:szCs w:val="22"/>
              </w:rPr>
              <w:t>ávažné kožné reakcie, vrátane akútnej generalizovanej exantematóznej pustulózy (AGEP)</w:t>
            </w:r>
          </w:p>
        </w:tc>
      </w:tr>
      <w:tr w:rsidR="00591428" w:rsidRPr="0094644C" w:rsidTr="00F40BEB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obličiek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močových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Poškodenie tkaniva obličiek (papilárna nekróza) a zvýšené koncentrácie kyseliny močovej v krvi</w:t>
            </w:r>
          </w:p>
        </w:tc>
      </w:tr>
      <w:tr w:rsidR="00591428" w:rsidRPr="0094644C" w:rsidTr="00F40BEB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Edém (predovšetkým u pacientov s</w:t>
            </w:r>
            <w:r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arteriálnou hypertenziou alebo renálnou insuficienciou), nefrotický syndróm, intersticiálna nefritída, akútna renálna insuficiencia</w:t>
            </w:r>
          </w:p>
        </w:tc>
      </w:tr>
      <w:tr w:rsidR="00591428" w:rsidRPr="0094644C" w:rsidTr="00F40BEB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Ťažkosti s močením</w:t>
            </w:r>
            <w:r w:rsidRPr="0094644C">
              <w:rPr>
                <w:rStyle w:val="apple-converted-space"/>
                <w:sz w:val="22"/>
                <w:szCs w:val="22"/>
              </w:rPr>
              <w:t> (retencia moču u mužov s uretroprostatickou poruchou)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Laboratórne a funkčné vyšetrenia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Znížený hematokrit a znížený hemoglobín</w:t>
            </w:r>
          </w:p>
        </w:tc>
      </w:tr>
    </w:tbl>
    <w:p w:rsidR="00705F5A" w:rsidRPr="00F65E79" w:rsidRDefault="00705F5A" w:rsidP="00797DAA">
      <w:pPr>
        <w:rPr>
          <w:sz w:val="22"/>
          <w:szCs w:val="22"/>
        </w:rPr>
      </w:pPr>
    </w:p>
    <w:p w:rsidR="001B2B10" w:rsidRDefault="001B2B10" w:rsidP="001B2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0D172F" w:rsidRDefault="000D172F" w:rsidP="000D17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033E2E" w:rsidRPr="0094644C" w:rsidRDefault="00033E2E" w:rsidP="00033E2E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BD0B6F" w:rsidRPr="0094644C" w:rsidRDefault="00BD0B6F" w:rsidP="00033E2E">
      <w:pPr>
        <w:suppressLineNumber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4.9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Predávkovanie</w:t>
      </w:r>
    </w:p>
    <w:p w:rsidR="001E2CDA" w:rsidRPr="0094644C" w:rsidRDefault="001E2CDA" w:rsidP="001E2CDA">
      <w:pPr>
        <w:rPr>
          <w:sz w:val="22"/>
          <w:szCs w:val="22"/>
        </w:rPr>
      </w:pPr>
    </w:p>
    <w:p w:rsidR="001E2CDA" w:rsidRPr="0094644C" w:rsidRDefault="001E2CDA" w:rsidP="001E2CD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Užitie viac ako 400 mg/kg môže u detí spôsobiť symptómy. U dospelých je reakcia na dávku menej jednoznačná. Polčas pri predávkovaní je 1,5 – 3 hodiny. </w:t>
      </w:r>
    </w:p>
    <w:p w:rsidR="0002783B" w:rsidRPr="0094644C" w:rsidRDefault="0002783B">
      <w:pPr>
        <w:jc w:val="both"/>
        <w:rPr>
          <w:b/>
          <w:bCs/>
          <w:sz w:val="22"/>
          <w:szCs w:val="22"/>
        </w:rPr>
      </w:pPr>
    </w:p>
    <w:p w:rsidR="008E6AF9" w:rsidRPr="0094644C" w:rsidRDefault="00033E2E" w:rsidP="008E6AF9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Príznaky</w:t>
      </w:r>
    </w:p>
    <w:p w:rsidR="00A66A32" w:rsidRPr="0094644C" w:rsidRDefault="008E6AF9" w:rsidP="00A66A32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Predávkovanie môže mať za následok nervozitu, agitáciu, anxiozitu, podráždenosť, nepokoj, závrat, tras, vertigo, insomniu, nauzeu, bolesť brucha, vracanie, epigastrickú bolesť, hnačku, bradykardiu, palpitácie, </w:t>
      </w:r>
      <w:r w:rsidR="00A66A32" w:rsidRPr="0094644C">
        <w:rPr>
          <w:sz w:val="22"/>
          <w:szCs w:val="22"/>
        </w:rPr>
        <w:t>tachykardi</w:t>
      </w:r>
      <w:r w:rsidR="004F4D44" w:rsidRPr="0094644C">
        <w:rPr>
          <w:sz w:val="22"/>
          <w:szCs w:val="22"/>
        </w:rPr>
        <w:t>u</w:t>
      </w:r>
      <w:r w:rsidR="00A66A32" w:rsidRPr="0094644C">
        <w:rPr>
          <w:sz w:val="22"/>
          <w:szCs w:val="22"/>
        </w:rPr>
        <w:t xml:space="preserve">, tinnitus, bolesť hlavy a gastrointestinálne krvácanie. Možné prejavy predávkovania sú tiež hyperkaliémia, metabolická acidóza, hypertenzia alebo hypotenzia. Toxicita sa môže prejavovať ako ospalosť, excitácia, </w:t>
      </w:r>
      <w:r w:rsidR="004F4D44" w:rsidRPr="0094644C">
        <w:rPr>
          <w:sz w:val="22"/>
          <w:szCs w:val="22"/>
        </w:rPr>
        <w:t>dezorientácia</w:t>
      </w:r>
      <w:r w:rsidR="00A66A32" w:rsidRPr="0094644C">
        <w:rPr>
          <w:sz w:val="22"/>
          <w:szCs w:val="22"/>
        </w:rPr>
        <w:t xml:space="preserve"> alebo kóma. U pacienta sa môžu vyvinúť k</w:t>
      </w:r>
      <w:r w:rsidR="0052453E" w:rsidRPr="0094644C">
        <w:rPr>
          <w:sz w:val="22"/>
          <w:szCs w:val="22"/>
        </w:rPr>
        <w:t>ŕčovité záchvaty</w:t>
      </w:r>
      <w:r w:rsidR="00A66A32" w:rsidRPr="0094644C">
        <w:rPr>
          <w:sz w:val="22"/>
          <w:szCs w:val="22"/>
        </w:rPr>
        <w:t xml:space="preserve">. Hepatálna funkcia môže byť abnormálna. </w:t>
      </w:r>
      <w:r w:rsidR="00DE0615" w:rsidRPr="005F5503">
        <w:rPr>
          <w:bCs/>
          <w:sz w:val="22"/>
          <w:szCs w:val="22"/>
        </w:rPr>
        <w:t xml:space="preserve">Pri vážnej otrave sa môže vyskytnúť metabolická acidóza </w:t>
      </w:r>
      <w:r w:rsidR="00A66A32" w:rsidRPr="0094644C">
        <w:rPr>
          <w:sz w:val="22"/>
          <w:szCs w:val="22"/>
        </w:rPr>
        <w:t>a</w:t>
      </w:r>
      <w:r w:rsidR="002E19F0">
        <w:rPr>
          <w:sz w:val="22"/>
          <w:szCs w:val="22"/>
        </w:rPr>
        <w:t> </w:t>
      </w:r>
      <w:r w:rsidR="00A66A32" w:rsidRPr="0094644C">
        <w:rPr>
          <w:sz w:val="22"/>
          <w:szCs w:val="22"/>
        </w:rPr>
        <w:t>predĺženie protrombínového času/zvýšeniu hodnoty INR. Môže dôjsť k akútnemu zlyhaniu obličiek a poškodeniu pečene. U pacientov s astmou môže dôjsť k exacerbácii astmy.</w:t>
      </w:r>
    </w:p>
    <w:p w:rsidR="008E6AF9" w:rsidRPr="0094644C" w:rsidRDefault="008E6AF9" w:rsidP="000B0B17">
      <w:pPr>
        <w:rPr>
          <w:sz w:val="22"/>
          <w:szCs w:val="22"/>
          <w:u w:val="single"/>
        </w:rPr>
      </w:pPr>
    </w:p>
    <w:p w:rsidR="00BD0B6F" w:rsidRPr="0094644C" w:rsidRDefault="00A66A32" w:rsidP="000B0B17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Liečba predávkovania</w:t>
      </w: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Vzhľadom na rýchlu absorpciu oboch liečiv z gastrointestinálneho traktu sa kvôli účinnosti musia podať emetiká a začať výplach žalúdka do štyroch hodín od predávkovania. Aktívne uhlie je účinné iba pri podaní do jednej hodiny. Má sa sledovať kardiálny stav a merať elektrolyty v sére.</w:t>
      </w:r>
    </w:p>
    <w:p w:rsidR="00A66A32" w:rsidRPr="0094644C" w:rsidRDefault="00A66A32">
      <w:pPr>
        <w:rPr>
          <w:sz w:val="22"/>
          <w:szCs w:val="22"/>
        </w:rPr>
      </w:pP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Ak sú prítomné prejavy kardiálnej toxicity, možno intravenózne podať propan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l.</w:t>
      </w:r>
      <w:r w:rsidR="00BE773F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 xml:space="preserve">V prípade poklesu hladiny draslíka v sére </w:t>
      </w:r>
      <w:r w:rsidR="0052453E" w:rsidRPr="0094644C">
        <w:rPr>
          <w:sz w:val="22"/>
          <w:szCs w:val="22"/>
        </w:rPr>
        <w:t>možno podať pomalou infúziou zriedený roztok chloridu draselného. Napriek hyperkaliémii, nie je pravdepodobné, že by pacient bol ochudobnený o draslík, preto sa má vyhnúť preťaženiu. Niekoľko hodín po podaní soli sa odporúča nepretržité sledovanie draslíka v sére. Pri delíriu alebo kŕčovitých záchvatoch je indikované intravenózne podanie diazepamu.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FARMAKOLOGICKÉ VLASTNOSTI</w:t>
      </w:r>
    </w:p>
    <w:p w:rsidR="0002783B" w:rsidRPr="0094644C" w:rsidRDefault="0002783B" w:rsidP="0002783B">
      <w:pPr>
        <w:jc w:val="both"/>
        <w:rPr>
          <w:b/>
          <w:bCs/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Farmakodynamické vlastnosti</w:t>
      </w:r>
    </w:p>
    <w:p w:rsidR="0002783B" w:rsidRPr="0094644C" w:rsidRDefault="0002783B">
      <w:pPr>
        <w:jc w:val="both"/>
        <w:rPr>
          <w:sz w:val="22"/>
          <w:szCs w:val="22"/>
        </w:rPr>
      </w:pPr>
    </w:p>
    <w:p w:rsidR="0052453E" w:rsidRPr="007447FA" w:rsidRDefault="00E4682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Ibuprofén</w:t>
      </w: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Farmakoterapeutická skupina: </w:t>
      </w:r>
      <w:r w:rsidR="0052453E" w:rsidRPr="0094644C">
        <w:rPr>
          <w:sz w:val="22"/>
          <w:szCs w:val="22"/>
        </w:rPr>
        <w:t>Deriváty kyseliny propiónovej</w:t>
      </w:r>
      <w:r w:rsidR="00BD3C60">
        <w:rPr>
          <w:sz w:val="22"/>
          <w:szCs w:val="22"/>
        </w:rPr>
        <w:t xml:space="preserve">, </w:t>
      </w: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 xml:space="preserve">: </w:t>
      </w:r>
      <w:r w:rsidR="0052453E" w:rsidRPr="0094644C">
        <w:rPr>
          <w:sz w:val="22"/>
          <w:szCs w:val="22"/>
        </w:rPr>
        <w:t>M01AE51</w:t>
      </w:r>
    </w:p>
    <w:p w:rsidR="0052453E" w:rsidRPr="0094644C" w:rsidRDefault="0052453E">
      <w:pPr>
        <w:jc w:val="both"/>
        <w:rPr>
          <w:sz w:val="22"/>
          <w:szCs w:val="22"/>
        </w:rPr>
      </w:pPr>
    </w:p>
    <w:p w:rsidR="006F3E55" w:rsidRPr="007447FA" w:rsidRDefault="006F3E55" w:rsidP="0052453E">
      <w:pPr>
        <w:jc w:val="both"/>
        <w:rPr>
          <w:sz w:val="22"/>
          <w:szCs w:val="22"/>
          <w:u w:val="single"/>
        </w:rPr>
      </w:pPr>
      <w:r w:rsidRPr="007447FA">
        <w:rPr>
          <w:sz w:val="22"/>
          <w:szCs w:val="22"/>
          <w:u w:val="single"/>
        </w:rPr>
        <w:t>Pseudoefedríniumchlorid</w:t>
      </w:r>
      <w:r w:rsidRPr="007447FA" w:rsidDel="006F3E55">
        <w:rPr>
          <w:sz w:val="22"/>
          <w:szCs w:val="22"/>
          <w:u w:val="single"/>
        </w:rPr>
        <w:t xml:space="preserve"> </w:t>
      </w:r>
    </w:p>
    <w:p w:rsidR="00BD3C60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Farmakoterapeutická skupina: </w:t>
      </w:r>
      <w:r w:rsidR="00B25112">
        <w:rPr>
          <w:sz w:val="22"/>
          <w:szCs w:val="22"/>
        </w:rPr>
        <w:t>N</w:t>
      </w:r>
      <w:r w:rsidR="00BD3C60">
        <w:rPr>
          <w:sz w:val="22"/>
          <w:szCs w:val="22"/>
        </w:rPr>
        <w:t>osové</w:t>
      </w:r>
      <w:r w:rsidRPr="0094644C">
        <w:rPr>
          <w:sz w:val="22"/>
          <w:szCs w:val="22"/>
        </w:rPr>
        <w:t xml:space="preserve"> dekonges</w:t>
      </w:r>
      <w:r w:rsidR="00BD3C60">
        <w:rPr>
          <w:sz w:val="22"/>
          <w:szCs w:val="22"/>
        </w:rPr>
        <w:t>tíva</w:t>
      </w:r>
      <w:r w:rsidRPr="0094644C">
        <w:rPr>
          <w:sz w:val="22"/>
          <w:szCs w:val="22"/>
        </w:rPr>
        <w:t xml:space="preserve"> na systémové použitie</w:t>
      </w:r>
      <w:r w:rsidR="00BD3C60">
        <w:rPr>
          <w:sz w:val="22"/>
          <w:szCs w:val="22"/>
        </w:rPr>
        <w:t>, sympatomimetiká,</w:t>
      </w:r>
    </w:p>
    <w:p w:rsidR="0052453E" w:rsidRPr="0094644C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>: R01BA52</w:t>
      </w:r>
    </w:p>
    <w:p w:rsidR="00173D89" w:rsidRPr="0094644C" w:rsidRDefault="00173D89">
      <w:pPr>
        <w:jc w:val="both"/>
        <w:rPr>
          <w:sz w:val="22"/>
          <w:szCs w:val="22"/>
        </w:rPr>
      </w:pPr>
    </w:p>
    <w:p w:rsidR="00A24D7F" w:rsidRPr="0094644C" w:rsidRDefault="00E46823" w:rsidP="00A24D7F">
      <w:pPr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A15FE7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>je nesteroidové protizápalové liečivo patriace do triedy liekov kyseliny propiónovej. Má analgetické, antipyretické a protizápalové vlastnosti.</w:t>
      </w:r>
    </w:p>
    <w:p w:rsidR="00A24D7F" w:rsidRPr="0094644C" w:rsidRDefault="00A24D7F" w:rsidP="00A24D7F">
      <w:pPr>
        <w:rPr>
          <w:sz w:val="22"/>
          <w:szCs w:val="22"/>
        </w:rPr>
      </w:pPr>
      <w:r w:rsidRPr="0094644C">
        <w:rPr>
          <w:sz w:val="22"/>
          <w:szCs w:val="22"/>
        </w:rPr>
        <w:t>Pseudoefedríniumchlorid je sympatomimetikum, ktoré spôsobuje vazokonstrikciu nosovej sliznice, čím znižuje rinoreu a nazálnu kongesciu.</w:t>
      </w:r>
    </w:p>
    <w:p w:rsidR="00A24D7F" w:rsidRPr="0094644C" w:rsidRDefault="00A24D7F" w:rsidP="00A24D7F">
      <w:pPr>
        <w:rPr>
          <w:sz w:val="22"/>
          <w:szCs w:val="22"/>
        </w:rPr>
      </w:pPr>
    </w:p>
    <w:p w:rsidR="002E19F0" w:rsidRPr="0094644C" w:rsidRDefault="002F0468" w:rsidP="002E19F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944C00">
        <w:rPr>
          <w:sz w:val="22"/>
          <w:szCs w:val="22"/>
        </w:rPr>
        <w:t xml:space="preserve">Experimentálne údaje naznačujú, že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400 mg užitého v priebehu 8</w:t>
      </w:r>
      <w:r w:rsidR="002E19F0">
        <w:rPr>
          <w:sz w:val="22"/>
          <w:szCs w:val="22"/>
        </w:rPr>
        <w:t> </w:t>
      </w:r>
      <w:r w:rsidRPr="00944C00">
        <w:rPr>
          <w:sz w:val="22"/>
          <w:szCs w:val="22"/>
        </w:rPr>
        <w:t xml:space="preserve"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sa žiaden klinicky relevantný účinok nepovažuje za pravdepodobný (pozri časť 4.5).</w:t>
      </w:r>
    </w:p>
    <w:p w:rsidR="00AF1266" w:rsidRPr="0094644C" w:rsidRDefault="00AF1266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Farmakokinetické vlastnosti</w:t>
      </w:r>
    </w:p>
    <w:p w:rsidR="000B0B17" w:rsidRPr="0094644C" w:rsidRDefault="000B0B17">
      <w:pPr>
        <w:pStyle w:val="Zkladntext2"/>
        <w:spacing w:after="0" w:line="240" w:lineRule="auto"/>
        <w:rPr>
          <w:sz w:val="22"/>
          <w:szCs w:val="22"/>
        </w:rPr>
      </w:pPr>
    </w:p>
    <w:p w:rsidR="00A24D7F" w:rsidRPr="0094644C" w:rsidRDefault="00E46823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D0B6F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 xml:space="preserve">u dospelých </w:t>
      </w:r>
      <w:r w:rsidR="00BD0B6F" w:rsidRPr="0094644C">
        <w:rPr>
          <w:sz w:val="22"/>
          <w:szCs w:val="22"/>
        </w:rPr>
        <w:t xml:space="preserve">sa po perorálnom podaní </w:t>
      </w:r>
      <w:r w:rsidR="00A24D7F" w:rsidRPr="0094644C">
        <w:rPr>
          <w:sz w:val="22"/>
          <w:szCs w:val="22"/>
        </w:rPr>
        <w:t>pevnej liekovej formy absorbuje z gastrointestinálneho traktu a vrch</w:t>
      </w:r>
      <w:smartTag w:uri="urn:schemas-microsoft-com:office:smarttags" w:element="PersonName">
        <w:r w:rsidR="00A24D7F" w:rsidRPr="0094644C">
          <w:rPr>
            <w:sz w:val="22"/>
            <w:szCs w:val="22"/>
          </w:rPr>
          <w:t>olo</w:t>
        </w:r>
      </w:smartTag>
      <w:r w:rsidR="00A24D7F" w:rsidRPr="0094644C">
        <w:rPr>
          <w:sz w:val="22"/>
          <w:szCs w:val="22"/>
        </w:rPr>
        <w:t>vé plazmatické</w:t>
      </w:r>
      <w:r w:rsidR="00BD0B6F" w:rsidRPr="0094644C">
        <w:rPr>
          <w:sz w:val="22"/>
          <w:szCs w:val="22"/>
        </w:rPr>
        <w:t xml:space="preserve"> koncentráci</w:t>
      </w:r>
      <w:r w:rsidR="00A24D7F" w:rsidRPr="0094644C">
        <w:rPr>
          <w:sz w:val="22"/>
          <w:szCs w:val="22"/>
        </w:rPr>
        <w:t>e sa objavujú asi po 1 až 2 hodinách po užití.</w:t>
      </w:r>
      <w:r w:rsidR="00AA726A" w:rsidRPr="0094644C">
        <w:rPr>
          <w:sz w:val="22"/>
          <w:szCs w:val="22"/>
        </w:rPr>
        <w:t xml:space="preserve">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primárne metabolizuje v pečeni na 2-hydroxy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2-karboxy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.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z 90 až 99</w:t>
      </w:r>
      <w:r w:rsidR="002E19F0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>% viaže na plazmatické bielkoviny a má plazmatický polčas asi 2 hodiny. Rýchl</w:t>
      </w:r>
      <w:r w:rsidR="004F4D44" w:rsidRPr="0094644C">
        <w:rPr>
          <w:sz w:val="22"/>
          <w:szCs w:val="22"/>
        </w:rPr>
        <w:t>o</w:t>
      </w:r>
      <w:r w:rsidR="00AA726A" w:rsidRPr="0094644C">
        <w:rPr>
          <w:sz w:val="22"/>
          <w:szCs w:val="22"/>
        </w:rPr>
        <w:t xml:space="preserve"> sa vylučuje do moču predovšetkým ako metabolity a ich konjugáty. Asi 1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sa vylúči do moču ako nezmenený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asi 14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ako konjugovaný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>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 xml:space="preserve">V limitovaných štúdiách sa javilo, že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sa vyskytuje v ľudskom materskom mlieku vo veľmi nízkych koncentráciách.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6F3E55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>Pseudoefedríniumchlorid</w:t>
      </w:r>
      <w:r w:rsidRPr="0094644C" w:rsidDel="006F3E55">
        <w:rPr>
          <w:sz w:val="22"/>
          <w:szCs w:val="22"/>
        </w:rPr>
        <w:t xml:space="preserve"> </w:t>
      </w:r>
      <w:r w:rsidR="00AA726A" w:rsidRPr="0094644C">
        <w:rPr>
          <w:sz w:val="22"/>
          <w:szCs w:val="22"/>
        </w:rPr>
        <w:t>sa rýchlo absorbuje z gastrointestinálneho traktu s vrch</w:t>
      </w:r>
      <w:smartTag w:uri="urn:schemas-microsoft-com:office:smarttags" w:element="PersonName">
        <w:r w:rsidR="00AA726A" w:rsidRPr="0094644C">
          <w:rPr>
            <w:sz w:val="22"/>
            <w:szCs w:val="22"/>
          </w:rPr>
          <w:t>olo</w:t>
        </w:r>
      </w:smartTag>
      <w:r w:rsidR="00AA726A" w:rsidRPr="0094644C">
        <w:rPr>
          <w:sz w:val="22"/>
          <w:szCs w:val="22"/>
        </w:rPr>
        <w:t>vými plazmatickými hladinami 1</w:t>
      </w:r>
      <w:r w:rsidR="002E19F0">
        <w:rPr>
          <w:sz w:val="22"/>
          <w:szCs w:val="22"/>
        </w:rPr>
        <w:t xml:space="preserve"> – </w:t>
      </w:r>
      <w:r w:rsidR="00AA726A" w:rsidRPr="0094644C">
        <w:rPr>
          <w:sz w:val="22"/>
          <w:szCs w:val="22"/>
        </w:rPr>
        <w:t>3 hodiny. Sčasti sa metabolizuje v pečeni ako väčšina sympatomimetík, avšak zväčša sa vylučuje v nezmenenej forme do moču.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5.3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Predklinické údaje o bezpečnosti</w:t>
      </w:r>
    </w:p>
    <w:p w:rsidR="000B0B17" w:rsidRPr="0094644C" w:rsidRDefault="000B0B17">
      <w:pPr>
        <w:rPr>
          <w:sz w:val="22"/>
          <w:szCs w:val="22"/>
        </w:rPr>
      </w:pPr>
    </w:p>
    <w:p w:rsidR="00AA726A" w:rsidRPr="0094644C" w:rsidRDefault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S kombináciou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sa nevykonali štúdie toxicity po opakovanom podávaní. Kombinácia nie je mutagénna.</w:t>
      </w:r>
    </w:p>
    <w:p w:rsidR="00AA726A" w:rsidRPr="0094644C" w:rsidRDefault="00AA726A">
      <w:pPr>
        <w:rPr>
          <w:sz w:val="22"/>
          <w:szCs w:val="22"/>
        </w:rPr>
      </w:pPr>
    </w:p>
    <w:p w:rsidR="009108D5" w:rsidRPr="0094644C" w:rsidRDefault="00AA726A" w:rsidP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vykonali </w:t>
      </w:r>
      <w:r w:rsidR="009108D5" w:rsidRPr="0094644C">
        <w:rPr>
          <w:sz w:val="22"/>
          <w:szCs w:val="22"/>
        </w:rPr>
        <w:t xml:space="preserve">na potkanoch </w:t>
      </w:r>
      <w:r w:rsidRPr="0094644C">
        <w:rPr>
          <w:sz w:val="22"/>
          <w:szCs w:val="22"/>
        </w:rPr>
        <w:t>s 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om samotným </w:t>
      </w:r>
      <w:r w:rsidR="009108D5" w:rsidRPr="0094644C">
        <w:rPr>
          <w:sz w:val="22"/>
          <w:szCs w:val="22"/>
        </w:rPr>
        <w:t xml:space="preserve">so 6-mesačnou NOAEL (No Observed Adverse Effect Level – dávka pri ktorej sa ešte nepozoroval nežiaduci účinok) 60 mg/kg. Toxicita sa prejavila vo forme lézií a ulcerácií v gastrointestinálnom trakte. </w:t>
      </w:r>
      <w:r w:rsidR="00E46823">
        <w:rPr>
          <w:sz w:val="22"/>
          <w:szCs w:val="22"/>
        </w:rPr>
        <w:t>Ibuprofén</w:t>
      </w:r>
      <w:r w:rsidR="009108D5" w:rsidRPr="0094644C">
        <w:rPr>
          <w:sz w:val="22"/>
          <w:szCs w:val="22"/>
        </w:rPr>
        <w:t xml:space="preserve"> nie je mutagénny a </w:t>
      </w:r>
      <w:r w:rsidR="00AB7864" w:rsidRPr="0094644C">
        <w:rPr>
          <w:sz w:val="22"/>
          <w:szCs w:val="22"/>
        </w:rPr>
        <w:t>v dlhodobých bi</w:t>
      </w:r>
      <w:smartTag w:uri="urn:schemas-microsoft-com:office:smarttags" w:element="PersonName">
        <w:r w:rsidR="00AB7864" w:rsidRPr="0094644C">
          <w:rPr>
            <w:sz w:val="22"/>
            <w:szCs w:val="22"/>
          </w:rPr>
          <w:t>olo</w:t>
        </w:r>
      </w:smartTag>
      <w:r w:rsidR="00AB7864" w:rsidRPr="0094644C">
        <w:rPr>
          <w:sz w:val="22"/>
          <w:szCs w:val="22"/>
        </w:rPr>
        <w:t>gických štúdiách na hlodavcoch nebol ani karcinogénny.</w:t>
      </w:r>
    </w:p>
    <w:p w:rsidR="009108D5" w:rsidRPr="0094644C" w:rsidRDefault="009108D5" w:rsidP="00AA726A">
      <w:pPr>
        <w:rPr>
          <w:sz w:val="22"/>
          <w:szCs w:val="22"/>
        </w:rPr>
      </w:pPr>
    </w:p>
    <w:p w:rsidR="00AA726A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nevykonali s pseudoefedrínom samotným. Kombinácia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nebola mutagénna. Skríningová štúdia u ľudí s viac ako 3 000 užívateľmi pseudoefedrínu počas 7,5 roka nepreukázala nárast rakoviny.</w:t>
      </w:r>
    </w:p>
    <w:p w:rsidR="00AB7864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>Reprodukčné štúdie na zvieratách s individuálnymi zložkami naznačujú, že neboli teratogénne, avšak, ak je to možné, má sa vyhnúť použitie lieku v gravidite.</w:t>
      </w:r>
    </w:p>
    <w:p w:rsidR="00AA726A" w:rsidRPr="0094644C" w:rsidRDefault="00AA726A">
      <w:pPr>
        <w:rPr>
          <w:sz w:val="22"/>
          <w:szCs w:val="22"/>
        </w:rPr>
      </w:pPr>
    </w:p>
    <w:p w:rsidR="006D261A" w:rsidRPr="0094644C" w:rsidRDefault="006D261A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FARMACEUTICKÉ INFORMÁCIE</w:t>
      </w:r>
    </w:p>
    <w:p w:rsidR="000B0B17" w:rsidRPr="0094644C" w:rsidRDefault="000B0B17" w:rsidP="000B0B17">
      <w:pPr>
        <w:jc w:val="both"/>
        <w:rPr>
          <w:b/>
          <w:bCs/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Zoznam pomocných látok</w:t>
      </w:r>
    </w:p>
    <w:p w:rsidR="00641A1A" w:rsidRPr="0094644C" w:rsidRDefault="00641A1A">
      <w:pPr>
        <w:jc w:val="both"/>
        <w:rPr>
          <w:sz w:val="22"/>
          <w:szCs w:val="22"/>
        </w:rPr>
      </w:pPr>
    </w:p>
    <w:p w:rsidR="00BD0B6F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Jadro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B7864" w:rsidRPr="0094644C">
        <w:rPr>
          <w:sz w:val="22"/>
          <w:szCs w:val="22"/>
        </w:rPr>
        <w:t>ukuričný škrob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škrob</w:t>
      </w:r>
      <w:r w:rsidR="00193FEF">
        <w:rPr>
          <w:sz w:val="22"/>
          <w:szCs w:val="22"/>
        </w:rPr>
        <w:t>,</w:t>
      </w:r>
      <w:r w:rsidRPr="0094644C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predželatínov</w:t>
      </w:r>
      <w:r w:rsidR="00DB4B4B">
        <w:rPr>
          <w:sz w:val="22"/>
          <w:szCs w:val="22"/>
        </w:rPr>
        <w:t>an</w:t>
      </w:r>
      <w:r w:rsidR="00193FEF" w:rsidRPr="0094644C">
        <w:rPr>
          <w:sz w:val="22"/>
          <w:szCs w:val="22"/>
        </w:rPr>
        <w:t xml:space="preserve">ý </w:t>
      </w:r>
      <w:r w:rsidRPr="0094644C">
        <w:rPr>
          <w:sz w:val="22"/>
          <w:szCs w:val="22"/>
        </w:rPr>
        <w:t>(kukuričný)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kroskarmelóz</w:t>
      </w:r>
      <w:r w:rsidR="00193FEF">
        <w:rPr>
          <w:sz w:val="22"/>
          <w:szCs w:val="22"/>
        </w:rPr>
        <w:t>a,</w:t>
      </w:r>
      <w:r w:rsidR="00193FEF" w:rsidRPr="00193FEF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sodná soľ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oxid kremičitý, </w:t>
      </w:r>
      <w:r w:rsidR="00193FEF" w:rsidRPr="0094644C">
        <w:rPr>
          <w:sz w:val="22"/>
          <w:szCs w:val="22"/>
        </w:rPr>
        <w:t>k</w:t>
      </w:r>
      <w:smartTag w:uri="urn:schemas-microsoft-com:office:smarttags" w:element="PersonName">
        <w:r w:rsidR="00193FEF" w:rsidRPr="0094644C">
          <w:rPr>
            <w:sz w:val="22"/>
            <w:szCs w:val="22"/>
          </w:rPr>
          <w:t>olo</w:t>
        </w:r>
      </w:smartTag>
      <w:r w:rsidR="00193FEF" w:rsidRPr="0094644C">
        <w:rPr>
          <w:sz w:val="22"/>
          <w:szCs w:val="22"/>
        </w:rPr>
        <w:t xml:space="preserve">idný </w:t>
      </w:r>
      <w:r w:rsidRPr="0094644C">
        <w:rPr>
          <w:sz w:val="22"/>
          <w:szCs w:val="22"/>
        </w:rPr>
        <w:t>bezvodý</w:t>
      </w:r>
    </w:p>
    <w:p w:rsidR="002D5969" w:rsidRDefault="00193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laurylsíran sodný 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kyselina ste</w:t>
      </w:r>
      <w:r w:rsidR="00193FEF">
        <w:rPr>
          <w:sz w:val="22"/>
          <w:szCs w:val="22"/>
        </w:rPr>
        <w:t>a</w:t>
      </w:r>
      <w:r w:rsidRPr="0094644C">
        <w:rPr>
          <w:sz w:val="22"/>
          <w:szCs w:val="22"/>
        </w:rPr>
        <w:t>rová</w:t>
      </w:r>
    </w:p>
    <w:p w:rsidR="00AB7864" w:rsidRPr="0094644C" w:rsidRDefault="00AB7864">
      <w:pPr>
        <w:jc w:val="both"/>
        <w:rPr>
          <w:sz w:val="22"/>
          <w:szCs w:val="22"/>
        </w:rPr>
      </w:pPr>
    </w:p>
    <w:p w:rsidR="00AB7864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Obal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7864" w:rsidRPr="0094644C">
        <w:rPr>
          <w:sz w:val="22"/>
          <w:szCs w:val="22"/>
        </w:rPr>
        <w:t>acharóza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mikrokryštalická celulóza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vosk </w:t>
      </w:r>
      <w:r w:rsidR="00193FEF" w:rsidRPr="0094644C">
        <w:rPr>
          <w:sz w:val="22"/>
          <w:szCs w:val="22"/>
        </w:rPr>
        <w:t>kar</w:t>
      </w:r>
      <w:r w:rsidR="00E04F70">
        <w:rPr>
          <w:sz w:val="22"/>
          <w:szCs w:val="22"/>
        </w:rPr>
        <w:t>n</w:t>
      </w:r>
      <w:r w:rsidR="00193FEF" w:rsidRPr="0094644C">
        <w:rPr>
          <w:sz w:val="22"/>
          <w:szCs w:val="22"/>
        </w:rPr>
        <w:t xml:space="preserve">aubský </w:t>
      </w:r>
      <w:r w:rsidRPr="0094644C">
        <w:rPr>
          <w:sz w:val="22"/>
          <w:szCs w:val="22"/>
        </w:rPr>
        <w:t>(žltý)</w:t>
      </w:r>
    </w:p>
    <w:p w:rsidR="00AB7864" w:rsidRPr="0094644C" w:rsidRDefault="00AB7864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 xml:space="preserve">Obaľovacia sústava </w:t>
      </w:r>
      <w:r w:rsidR="00033E2E" w:rsidRPr="0094644C">
        <w:rPr>
          <w:i/>
          <w:iCs/>
          <w:sz w:val="22"/>
          <w:szCs w:val="22"/>
        </w:rPr>
        <w:t xml:space="preserve">Opalux </w:t>
      </w:r>
      <w:r w:rsidRPr="0094644C">
        <w:rPr>
          <w:i/>
          <w:sz w:val="22"/>
          <w:szCs w:val="22"/>
        </w:rPr>
        <w:t xml:space="preserve">AS-3739 </w:t>
      </w:r>
      <w:r w:rsidR="009A7465" w:rsidRPr="0094644C">
        <w:rPr>
          <w:i/>
          <w:sz w:val="22"/>
          <w:szCs w:val="22"/>
        </w:rPr>
        <w:t>maslová:</w:t>
      </w:r>
    </w:p>
    <w:p w:rsidR="00AB7864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s</w:t>
      </w:r>
      <w:r w:rsidRPr="0094644C">
        <w:rPr>
          <w:sz w:val="22"/>
          <w:szCs w:val="22"/>
        </w:rPr>
        <w:t>acharóza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oxid titaničitý (E171)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žltý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červený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povidón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metylparahydroxybenzoát</w:t>
      </w:r>
      <w:r w:rsidR="009A7465" w:rsidRPr="0094644C">
        <w:rPr>
          <w:sz w:val="22"/>
          <w:szCs w:val="22"/>
        </w:rPr>
        <w:t xml:space="preserve"> (E218)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propylparahydroxybenzoát</w:t>
      </w:r>
      <w:r w:rsidR="009A7465" w:rsidRPr="0094644C">
        <w:rPr>
          <w:sz w:val="22"/>
          <w:szCs w:val="22"/>
        </w:rPr>
        <w:t xml:space="preserve"> (E216)</w:t>
      </w:r>
      <w:r w:rsidR="0023556E">
        <w:rPr>
          <w:sz w:val="22"/>
          <w:szCs w:val="22"/>
        </w:rPr>
        <w:t>.</w:t>
      </w:r>
    </w:p>
    <w:p w:rsidR="009A7465" w:rsidRPr="0094644C" w:rsidRDefault="009A7465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Obaľovacia sústava Opaglos GS-2-0310: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e</w:t>
      </w:r>
      <w:r w:rsidRPr="0094644C">
        <w:rPr>
          <w:sz w:val="22"/>
          <w:szCs w:val="22"/>
        </w:rPr>
        <w:t>tanol denaturovaný metan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m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033E2E" w:rsidRPr="0094644C">
        <w:rPr>
          <w:sz w:val="22"/>
          <w:szCs w:val="22"/>
        </w:rPr>
        <w:t xml:space="preserve">farmaceutický </w:t>
      </w:r>
      <w:r w:rsidRPr="0094644C">
        <w:rPr>
          <w:sz w:val="22"/>
          <w:szCs w:val="22"/>
        </w:rPr>
        <w:t>šelak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povidón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acetomonoacylglycerol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iCs/>
          <w:sz w:val="22"/>
          <w:szCs w:val="22"/>
        </w:rPr>
        <w:t xml:space="preserve">Opacode S-1-27794 </w:t>
      </w:r>
      <w:r w:rsidRPr="0094644C">
        <w:rPr>
          <w:i/>
          <w:sz w:val="22"/>
          <w:szCs w:val="22"/>
        </w:rPr>
        <w:t>č</w:t>
      </w:r>
      <w:r w:rsidR="009A7465" w:rsidRPr="0094644C">
        <w:rPr>
          <w:i/>
          <w:sz w:val="22"/>
          <w:szCs w:val="22"/>
        </w:rPr>
        <w:t>ierny atramen</w:t>
      </w:r>
      <w:r w:rsidR="0023556E">
        <w:rPr>
          <w:i/>
          <w:sz w:val="22"/>
          <w:szCs w:val="22"/>
        </w:rPr>
        <w:t>t:</w:t>
      </w:r>
    </w:p>
    <w:p w:rsidR="009A7465" w:rsidRPr="0094644C" w:rsidRDefault="002E19F0" w:rsidP="009A7465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propylénglykol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alebo</w:t>
      </w: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Opacode S-1-17823 č</w:t>
      </w:r>
      <w:r w:rsidR="009A7465" w:rsidRPr="0094644C">
        <w:rPr>
          <w:i/>
          <w:sz w:val="22"/>
          <w:szCs w:val="22"/>
        </w:rPr>
        <w:t>ierny atrament: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propylénglykol</w:t>
      </w:r>
    </w:p>
    <w:p w:rsidR="00033E2E" w:rsidRPr="0094644C" w:rsidRDefault="00033E2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hydroxid amónny</w:t>
      </w:r>
    </w:p>
    <w:p w:rsidR="00AB7864" w:rsidRPr="0094644C" w:rsidRDefault="00AB7864">
      <w:pPr>
        <w:jc w:val="both"/>
        <w:rPr>
          <w:sz w:val="22"/>
          <w:szCs w:val="22"/>
          <w:u w:val="single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Inkompatibility</w:t>
      </w:r>
    </w:p>
    <w:p w:rsidR="000B0B17" w:rsidRPr="0094644C" w:rsidRDefault="000B0B17">
      <w:pPr>
        <w:pStyle w:val="Zarkazkladnhotextu"/>
        <w:ind w:left="0"/>
        <w:jc w:val="both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 w:rsidP="003C0BDC">
      <w:pPr>
        <w:jc w:val="both"/>
        <w:rPr>
          <w:sz w:val="22"/>
          <w:szCs w:val="22"/>
        </w:rPr>
      </w:pPr>
    </w:p>
    <w:p w:rsidR="00BD0B6F" w:rsidRPr="0094644C" w:rsidRDefault="00BD0B6F">
      <w:pPr>
        <w:pStyle w:val="Nadpis7"/>
        <w:ind w:left="0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6.3</w:t>
      </w:r>
      <w:r w:rsidR="000B0B17" w:rsidRPr="0094644C">
        <w:rPr>
          <w:sz w:val="22"/>
          <w:szCs w:val="22"/>
        </w:rPr>
        <w:tab/>
      </w:r>
      <w:r w:rsidRPr="0094644C">
        <w:rPr>
          <w:sz w:val="22"/>
          <w:szCs w:val="22"/>
        </w:rPr>
        <w:t>Čas použiteľnosti</w:t>
      </w:r>
    </w:p>
    <w:p w:rsidR="000B0B17" w:rsidRPr="0094644C" w:rsidRDefault="000B0B17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3 roky</w:t>
      </w:r>
    </w:p>
    <w:p w:rsidR="00BD0B6F" w:rsidRPr="0094644C" w:rsidRDefault="00BD0B6F" w:rsidP="003C0BDC">
      <w:pPr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6.4</w:t>
      </w:r>
      <w:r w:rsidR="000B0B17" w:rsidRPr="0094644C">
        <w:rPr>
          <w:b/>
          <w:bCs/>
          <w:sz w:val="22"/>
          <w:szCs w:val="22"/>
        </w:rPr>
        <w:tab/>
        <w:t>Špeciálne upozornenia na uchovávanie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Uchovávajte</w:t>
      </w:r>
      <w:r w:rsidR="00BD0B6F" w:rsidRPr="0094644C">
        <w:rPr>
          <w:sz w:val="22"/>
          <w:szCs w:val="22"/>
        </w:rPr>
        <w:t xml:space="preserve"> pri teplote </w:t>
      </w:r>
      <w:r w:rsidRPr="0094644C">
        <w:rPr>
          <w:sz w:val="22"/>
          <w:szCs w:val="22"/>
        </w:rPr>
        <w:t>neprevyšujúcej</w:t>
      </w:r>
      <w:r w:rsidR="00BD0B6F" w:rsidRPr="0094644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BD0B6F" w:rsidRPr="0094644C">
          <w:rPr>
            <w:sz w:val="22"/>
            <w:szCs w:val="22"/>
          </w:rPr>
          <w:t>25 °C</w:t>
        </w:r>
      </w:smartTag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ind w:left="360"/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6.5</w:t>
      </w:r>
      <w:r w:rsidR="000B0B17" w:rsidRPr="0094644C">
        <w:rPr>
          <w:b/>
          <w:bCs/>
          <w:sz w:val="22"/>
          <w:szCs w:val="22"/>
        </w:rPr>
        <w:tab/>
      </w:r>
      <w:r w:rsidR="009A7465" w:rsidRPr="0094644C">
        <w:rPr>
          <w:b/>
          <w:bCs/>
          <w:sz w:val="22"/>
          <w:szCs w:val="22"/>
        </w:rPr>
        <w:t>Druh obalu a obsah balenia</w:t>
      </w:r>
    </w:p>
    <w:p w:rsidR="000B0B17" w:rsidRPr="0094644C" w:rsidRDefault="000B0B17">
      <w:pPr>
        <w:rPr>
          <w:sz w:val="22"/>
          <w:szCs w:val="22"/>
        </w:rPr>
      </w:pPr>
    </w:p>
    <w:p w:rsidR="00BD0B6F" w:rsidRPr="0094644C" w:rsidRDefault="00033E2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uPVC </w:t>
      </w:r>
      <w:r w:rsidR="004D6D4B" w:rsidRPr="0094644C">
        <w:rPr>
          <w:sz w:val="22"/>
          <w:szCs w:val="22"/>
        </w:rPr>
        <w:t>hliníkové blistrové balenia v papierových škatuľkách obsahujúce 2, 4, 10, 12, 20 a 24 tabliet.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Na trh nemusia byť uvedené všetky veľkosti balenia.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D327AC" w:rsidRPr="0094644C" w:rsidRDefault="00BD0B6F" w:rsidP="00D327AC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6.6</w:t>
      </w:r>
      <w:r w:rsidR="000B0B17" w:rsidRPr="0094644C">
        <w:rPr>
          <w:b/>
          <w:bCs/>
          <w:sz w:val="22"/>
          <w:szCs w:val="22"/>
        </w:rPr>
        <w:tab/>
      </w:r>
      <w:r w:rsidR="00D327AC" w:rsidRPr="0094644C">
        <w:rPr>
          <w:b/>
          <w:bCs/>
          <w:sz w:val="22"/>
          <w:szCs w:val="22"/>
        </w:rPr>
        <w:t xml:space="preserve">Špeciálne opatrenia na likvidáciu </w:t>
      </w:r>
    </w:p>
    <w:p w:rsidR="00D327AC" w:rsidRPr="0094644C" w:rsidRDefault="00D327AC" w:rsidP="00D327AC">
      <w:pPr>
        <w:jc w:val="both"/>
        <w:rPr>
          <w:b/>
          <w:bCs/>
          <w:sz w:val="22"/>
          <w:szCs w:val="22"/>
        </w:rPr>
      </w:pPr>
    </w:p>
    <w:p w:rsidR="00BD0B6F" w:rsidRPr="0094644C" w:rsidRDefault="006D261A" w:rsidP="00D327AC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Žiadne</w:t>
      </w:r>
      <w:r w:rsidR="00BD0B6F" w:rsidRPr="0094644C">
        <w:rPr>
          <w:sz w:val="22"/>
          <w:szCs w:val="22"/>
        </w:rPr>
        <w:t xml:space="preserve"> zvláš</w:t>
      </w:r>
      <w:r w:rsidRPr="0094644C">
        <w:rPr>
          <w:sz w:val="22"/>
          <w:szCs w:val="22"/>
        </w:rPr>
        <w:t>tne</w:t>
      </w:r>
      <w:r w:rsidR="00BD0B6F" w:rsidRPr="0094644C">
        <w:rPr>
          <w:sz w:val="22"/>
          <w:szCs w:val="22"/>
        </w:rPr>
        <w:t xml:space="preserve"> pož</w:t>
      </w:r>
      <w:r w:rsidRPr="0094644C">
        <w:rPr>
          <w:sz w:val="22"/>
          <w:szCs w:val="22"/>
        </w:rPr>
        <w:t>i</w:t>
      </w:r>
      <w:r w:rsidR="00BD0B6F" w:rsidRPr="0094644C">
        <w:rPr>
          <w:sz w:val="22"/>
          <w:szCs w:val="22"/>
        </w:rPr>
        <w:t>adavky</w:t>
      </w:r>
      <w:r w:rsidR="004D71C5">
        <w:rPr>
          <w:sz w:val="22"/>
          <w:szCs w:val="22"/>
        </w:rPr>
        <w:t>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507B67" w:rsidRPr="0094644C" w:rsidRDefault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7.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Držiteľ rozhodnutia o registrácii</w:t>
      </w: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GlaxoSmithKline Consumer Healthcare Czech Republic s.r.o.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Hvězdova 1734/2c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140 00 Praha 4 – Nusle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Česká republika</w:t>
      </w:r>
    </w:p>
    <w:p w:rsidR="00BD0B6F" w:rsidRPr="0094644C" w:rsidRDefault="00BD0B6F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8.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Registračné číslo</w:t>
      </w: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3C165C" w:rsidP="00507B67">
      <w:pPr>
        <w:jc w:val="both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07/0264/14-S</w:t>
      </w:r>
    </w:p>
    <w:p w:rsidR="00097266" w:rsidRPr="0094644C" w:rsidRDefault="00097266" w:rsidP="00507B67">
      <w:pPr>
        <w:jc w:val="both"/>
        <w:rPr>
          <w:bCs/>
          <w:sz w:val="22"/>
          <w:szCs w:val="22"/>
        </w:rPr>
      </w:pP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07B67" w:rsidRPr="0094644C" w:rsidRDefault="00507B67" w:rsidP="00507B6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9.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prvej registrácie/Predĺženie registrácie </w:t>
      </w:r>
    </w:p>
    <w:p w:rsidR="00507B67" w:rsidRPr="0094644C" w:rsidRDefault="00507B67" w:rsidP="00507B67">
      <w:pPr>
        <w:rPr>
          <w:b/>
          <w:bCs/>
          <w:sz w:val="22"/>
          <w:szCs w:val="22"/>
        </w:rPr>
      </w:pPr>
    </w:p>
    <w:p w:rsidR="00BD0B6F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Dátum prvej registrácie:</w:t>
      </w:r>
      <w:r w:rsidR="00D93693">
        <w:rPr>
          <w:sz w:val="22"/>
          <w:szCs w:val="22"/>
        </w:rPr>
        <w:t xml:space="preserve"> 14. augusta 2014</w:t>
      </w:r>
    </w:p>
    <w:p w:rsidR="00BC08F0" w:rsidRPr="0094644C" w:rsidRDefault="00BC08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BF61E7">
        <w:rPr>
          <w:sz w:val="22"/>
          <w:szCs w:val="22"/>
        </w:rPr>
        <w:t>23. júla 2019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caps/>
          <w:sz w:val="22"/>
          <w:szCs w:val="22"/>
        </w:rPr>
      </w:pPr>
      <w:r w:rsidRPr="0094644C">
        <w:rPr>
          <w:b/>
          <w:bCs/>
          <w:caps/>
          <w:sz w:val="22"/>
          <w:szCs w:val="22"/>
        </w:rPr>
        <w:t>10.</w:t>
      </w:r>
      <w:r w:rsidR="00507B67" w:rsidRPr="0094644C">
        <w:rPr>
          <w:b/>
          <w:bCs/>
          <w:cap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</w:t>
      </w:r>
      <w:r w:rsidR="004D6D4B" w:rsidRPr="0094644C">
        <w:rPr>
          <w:b/>
          <w:bCs/>
          <w:caps/>
          <w:sz w:val="22"/>
          <w:szCs w:val="22"/>
        </w:rPr>
        <w:t>revízie textu</w:t>
      </w:r>
    </w:p>
    <w:p w:rsidR="00BD0B6F" w:rsidRDefault="00BD0B6F">
      <w:pPr>
        <w:jc w:val="both"/>
        <w:rPr>
          <w:sz w:val="22"/>
          <w:szCs w:val="22"/>
        </w:rPr>
      </w:pPr>
    </w:p>
    <w:p w:rsidR="00D93693" w:rsidRPr="0094644C" w:rsidRDefault="00591428">
      <w:pPr>
        <w:jc w:val="both"/>
        <w:rPr>
          <w:sz w:val="22"/>
          <w:szCs w:val="22"/>
        </w:rPr>
      </w:pPr>
      <w:r>
        <w:rPr>
          <w:sz w:val="22"/>
          <w:szCs w:val="22"/>
        </w:rPr>
        <w:t>07/2020</w:t>
      </w:r>
    </w:p>
    <w:sectPr w:rsidR="00D93693" w:rsidRPr="0094644C" w:rsidSect="00E468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E9" w:rsidRDefault="008100E9">
      <w:r>
        <w:separator/>
      </w:r>
    </w:p>
  </w:endnote>
  <w:endnote w:type="continuationSeparator" w:id="0">
    <w:p w:rsidR="008100E9" w:rsidRDefault="0081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E9" w:rsidRPr="00A24D7F" w:rsidRDefault="008100E9" w:rsidP="00FD5065">
    <w:pPr>
      <w:pStyle w:val="Pta"/>
      <w:jc w:val="center"/>
      <w:rPr>
        <w:sz w:val="18"/>
        <w:szCs w:val="18"/>
      </w:rPr>
    </w:pPr>
    <w:r w:rsidRPr="00097266">
      <w:rPr>
        <w:sz w:val="18"/>
        <w:szCs w:val="18"/>
      </w:rPr>
      <w:fldChar w:fldCharType="begin"/>
    </w:r>
    <w:r w:rsidRPr="00097266">
      <w:rPr>
        <w:sz w:val="18"/>
        <w:szCs w:val="18"/>
      </w:rPr>
      <w:instrText>PAGE   \* MERGEFORMAT</w:instrText>
    </w:r>
    <w:r w:rsidRPr="00097266">
      <w:rPr>
        <w:sz w:val="18"/>
        <w:szCs w:val="18"/>
      </w:rPr>
      <w:fldChar w:fldCharType="separate"/>
    </w:r>
    <w:r w:rsidR="00DB37DB">
      <w:rPr>
        <w:noProof/>
        <w:sz w:val="18"/>
        <w:szCs w:val="18"/>
      </w:rPr>
      <w:t>9</w:t>
    </w:r>
    <w:r w:rsidRPr="0009726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E9" w:rsidRPr="009E5966" w:rsidRDefault="008100E9">
    <w:pPr>
      <w:pStyle w:val="Pta"/>
      <w:jc w:val="center"/>
      <w:rPr>
        <w:sz w:val="18"/>
        <w:szCs w:val="18"/>
      </w:rPr>
    </w:pPr>
    <w:r w:rsidRPr="009E5966">
      <w:rPr>
        <w:sz w:val="18"/>
        <w:szCs w:val="18"/>
      </w:rPr>
      <w:fldChar w:fldCharType="begin"/>
    </w:r>
    <w:r w:rsidRPr="009E5966">
      <w:rPr>
        <w:sz w:val="18"/>
        <w:szCs w:val="18"/>
      </w:rPr>
      <w:instrText>PAGE   \* MERGEFORMAT</w:instrText>
    </w:r>
    <w:r w:rsidRPr="009E5966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E5966">
      <w:rPr>
        <w:sz w:val="18"/>
        <w:szCs w:val="18"/>
      </w:rPr>
      <w:fldChar w:fldCharType="end"/>
    </w:r>
  </w:p>
  <w:p w:rsidR="008100E9" w:rsidRDefault="008100E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E9" w:rsidRDefault="008100E9">
      <w:r>
        <w:separator/>
      </w:r>
    </w:p>
  </w:footnote>
  <w:footnote w:type="continuationSeparator" w:id="0">
    <w:p w:rsidR="008100E9" w:rsidRDefault="00810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E9" w:rsidRPr="000B61B9" w:rsidRDefault="008100E9">
    <w:pPr>
      <w:pStyle w:val="Hlavika"/>
      <w:rPr>
        <w:sz w:val="18"/>
        <w:szCs w:val="18"/>
      </w:rPr>
    </w:pPr>
    <w:r w:rsidRPr="008100E9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8100E9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2020/</w:t>
    </w:r>
    <w:r w:rsidR="00591428">
      <w:rPr>
        <w:sz w:val="18"/>
        <w:szCs w:val="18"/>
      </w:rPr>
      <w:t>03091-Z1B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E9" w:rsidRPr="00145467" w:rsidRDefault="008100E9">
    <w:pPr>
      <w:pStyle w:val="Hlavika"/>
      <w:rPr>
        <w:sz w:val="18"/>
        <w:szCs w:val="18"/>
      </w:rPr>
    </w:pPr>
    <w:r w:rsidRPr="00145467">
      <w:rPr>
        <w:sz w:val="18"/>
        <w:szCs w:val="18"/>
      </w:rPr>
      <w:t>Príloha č. 1 k notifikácii o zmene, ev. č.: 2015/0</w:t>
    </w:r>
    <w:r>
      <w:rPr>
        <w:sz w:val="18"/>
        <w:szCs w:val="18"/>
      </w:rPr>
      <w:t>5435-Z1B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A8"/>
    <w:multiLevelType w:val="hybridMultilevel"/>
    <w:tmpl w:val="5EC2A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10E7A"/>
    <w:multiLevelType w:val="hybridMultilevel"/>
    <w:tmpl w:val="D0F4B648"/>
    <w:lvl w:ilvl="0" w:tplc="5A98E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4BC5A">
      <w:numFmt w:val="none"/>
      <w:lvlText w:val=""/>
      <w:lvlJc w:val="left"/>
      <w:pPr>
        <w:tabs>
          <w:tab w:val="num" w:pos="360"/>
        </w:tabs>
      </w:pPr>
    </w:lvl>
    <w:lvl w:ilvl="2" w:tplc="7BD869C0">
      <w:numFmt w:val="none"/>
      <w:lvlText w:val=""/>
      <w:lvlJc w:val="left"/>
      <w:pPr>
        <w:tabs>
          <w:tab w:val="num" w:pos="360"/>
        </w:tabs>
      </w:pPr>
    </w:lvl>
    <w:lvl w:ilvl="3" w:tplc="7514DEF2">
      <w:numFmt w:val="none"/>
      <w:lvlText w:val=""/>
      <w:lvlJc w:val="left"/>
      <w:pPr>
        <w:tabs>
          <w:tab w:val="num" w:pos="360"/>
        </w:tabs>
      </w:pPr>
    </w:lvl>
    <w:lvl w:ilvl="4" w:tplc="75E44A5C">
      <w:numFmt w:val="none"/>
      <w:lvlText w:val=""/>
      <w:lvlJc w:val="left"/>
      <w:pPr>
        <w:tabs>
          <w:tab w:val="num" w:pos="360"/>
        </w:tabs>
      </w:pPr>
    </w:lvl>
    <w:lvl w:ilvl="5" w:tplc="415022E8">
      <w:numFmt w:val="none"/>
      <w:lvlText w:val=""/>
      <w:lvlJc w:val="left"/>
      <w:pPr>
        <w:tabs>
          <w:tab w:val="num" w:pos="360"/>
        </w:tabs>
      </w:pPr>
    </w:lvl>
    <w:lvl w:ilvl="6" w:tplc="9D1A5B0E">
      <w:numFmt w:val="none"/>
      <w:lvlText w:val=""/>
      <w:lvlJc w:val="left"/>
      <w:pPr>
        <w:tabs>
          <w:tab w:val="num" w:pos="360"/>
        </w:tabs>
      </w:pPr>
    </w:lvl>
    <w:lvl w:ilvl="7" w:tplc="BA0836A6">
      <w:numFmt w:val="none"/>
      <w:lvlText w:val=""/>
      <w:lvlJc w:val="left"/>
      <w:pPr>
        <w:tabs>
          <w:tab w:val="num" w:pos="360"/>
        </w:tabs>
      </w:pPr>
    </w:lvl>
    <w:lvl w:ilvl="8" w:tplc="E2102F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75DB"/>
    <w:multiLevelType w:val="hybridMultilevel"/>
    <w:tmpl w:val="0A42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53FD9"/>
    <w:multiLevelType w:val="hybridMultilevel"/>
    <w:tmpl w:val="C49894F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E13CA"/>
    <w:multiLevelType w:val="hybridMultilevel"/>
    <w:tmpl w:val="C024AD24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351E1"/>
    <w:multiLevelType w:val="hybridMultilevel"/>
    <w:tmpl w:val="B6045FAA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466FF"/>
    <w:multiLevelType w:val="hybridMultilevel"/>
    <w:tmpl w:val="269ED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F050F1"/>
    <w:multiLevelType w:val="hybridMultilevel"/>
    <w:tmpl w:val="4162BA80"/>
    <w:lvl w:ilvl="0" w:tplc="9B10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F5656C"/>
    <w:multiLevelType w:val="hybridMultilevel"/>
    <w:tmpl w:val="6DB675D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678AC"/>
    <w:multiLevelType w:val="hybridMultilevel"/>
    <w:tmpl w:val="09B22C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32128"/>
    <w:multiLevelType w:val="hybridMultilevel"/>
    <w:tmpl w:val="79E81946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D385D"/>
    <w:multiLevelType w:val="hybridMultilevel"/>
    <w:tmpl w:val="252C6B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7"/>
  </w:num>
  <w:num w:numId="14">
    <w:abstractNumId w:val="14"/>
  </w:num>
  <w:num w:numId="15">
    <w:abstractNumId w:val="9"/>
  </w:num>
  <w:num w:numId="16">
    <w:abstractNumId w:val="22"/>
  </w:num>
  <w:num w:numId="17">
    <w:abstractNumId w:val="19"/>
  </w:num>
  <w:num w:numId="18">
    <w:abstractNumId w:val="0"/>
  </w:num>
  <w:num w:numId="19">
    <w:abstractNumId w:val="3"/>
  </w:num>
  <w:num w:numId="20">
    <w:abstractNumId w:val="20"/>
  </w:num>
  <w:num w:numId="21">
    <w:abstractNumId w:val="21"/>
  </w:num>
  <w:num w:numId="22">
    <w:abstractNumId w:val="23"/>
  </w:num>
  <w:num w:numId="23">
    <w:abstractNumId w:val="6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1A"/>
    <w:rsid w:val="0002783B"/>
    <w:rsid w:val="00030659"/>
    <w:rsid w:val="00033E2E"/>
    <w:rsid w:val="000430BF"/>
    <w:rsid w:val="00047DBB"/>
    <w:rsid w:val="000845A8"/>
    <w:rsid w:val="00085A81"/>
    <w:rsid w:val="00086D80"/>
    <w:rsid w:val="000944FB"/>
    <w:rsid w:val="00097266"/>
    <w:rsid w:val="000B043A"/>
    <w:rsid w:val="000B0B17"/>
    <w:rsid w:val="000B61B9"/>
    <w:rsid w:val="000C1BC7"/>
    <w:rsid w:val="000D172F"/>
    <w:rsid w:val="000F7F06"/>
    <w:rsid w:val="001072B4"/>
    <w:rsid w:val="0010766A"/>
    <w:rsid w:val="00112416"/>
    <w:rsid w:val="001256BA"/>
    <w:rsid w:val="00142142"/>
    <w:rsid w:val="00145467"/>
    <w:rsid w:val="00147B8C"/>
    <w:rsid w:val="00173D89"/>
    <w:rsid w:val="0018628F"/>
    <w:rsid w:val="001937D1"/>
    <w:rsid w:val="00193FEF"/>
    <w:rsid w:val="001A04B3"/>
    <w:rsid w:val="001A31B3"/>
    <w:rsid w:val="001B2B10"/>
    <w:rsid w:val="001C70A3"/>
    <w:rsid w:val="001C7694"/>
    <w:rsid w:val="001E2CDA"/>
    <w:rsid w:val="00205CAD"/>
    <w:rsid w:val="00217540"/>
    <w:rsid w:val="00220929"/>
    <w:rsid w:val="0023556E"/>
    <w:rsid w:val="00244D1A"/>
    <w:rsid w:val="00257F8C"/>
    <w:rsid w:val="00276FA2"/>
    <w:rsid w:val="00287C5D"/>
    <w:rsid w:val="002C6D10"/>
    <w:rsid w:val="002D5969"/>
    <w:rsid w:val="002E19F0"/>
    <w:rsid w:val="002E286C"/>
    <w:rsid w:val="002F0468"/>
    <w:rsid w:val="003017A4"/>
    <w:rsid w:val="003041F6"/>
    <w:rsid w:val="0030719A"/>
    <w:rsid w:val="00311E26"/>
    <w:rsid w:val="0031430B"/>
    <w:rsid w:val="00356769"/>
    <w:rsid w:val="00375D73"/>
    <w:rsid w:val="00384064"/>
    <w:rsid w:val="003A17EC"/>
    <w:rsid w:val="003A28FB"/>
    <w:rsid w:val="003C0BDC"/>
    <w:rsid w:val="003C165C"/>
    <w:rsid w:val="003D607E"/>
    <w:rsid w:val="003F0BE8"/>
    <w:rsid w:val="003F469A"/>
    <w:rsid w:val="00417CDB"/>
    <w:rsid w:val="0042736F"/>
    <w:rsid w:val="00435F9A"/>
    <w:rsid w:val="0044657A"/>
    <w:rsid w:val="004504D9"/>
    <w:rsid w:val="00454F5E"/>
    <w:rsid w:val="00463C94"/>
    <w:rsid w:val="004A2D53"/>
    <w:rsid w:val="004B2E1E"/>
    <w:rsid w:val="004C0DC2"/>
    <w:rsid w:val="004C4F4B"/>
    <w:rsid w:val="004C7413"/>
    <w:rsid w:val="004D6D4B"/>
    <w:rsid w:val="004D71C5"/>
    <w:rsid w:val="004E2DB3"/>
    <w:rsid w:val="004E5586"/>
    <w:rsid w:val="004E561D"/>
    <w:rsid w:val="004F4D44"/>
    <w:rsid w:val="004F5E79"/>
    <w:rsid w:val="0050376F"/>
    <w:rsid w:val="00504AD6"/>
    <w:rsid w:val="00507B67"/>
    <w:rsid w:val="00511E9D"/>
    <w:rsid w:val="0051728F"/>
    <w:rsid w:val="00522B12"/>
    <w:rsid w:val="0052453E"/>
    <w:rsid w:val="0053161A"/>
    <w:rsid w:val="005477EE"/>
    <w:rsid w:val="005510F2"/>
    <w:rsid w:val="00562236"/>
    <w:rsid w:val="00567227"/>
    <w:rsid w:val="00591428"/>
    <w:rsid w:val="005A55EC"/>
    <w:rsid w:val="005C5F6D"/>
    <w:rsid w:val="005D2867"/>
    <w:rsid w:val="005E7E4B"/>
    <w:rsid w:val="005F503E"/>
    <w:rsid w:val="00610647"/>
    <w:rsid w:val="00617951"/>
    <w:rsid w:val="00622184"/>
    <w:rsid w:val="0063658E"/>
    <w:rsid w:val="00641A1A"/>
    <w:rsid w:val="00661470"/>
    <w:rsid w:val="006718A6"/>
    <w:rsid w:val="0068393D"/>
    <w:rsid w:val="006D261A"/>
    <w:rsid w:val="006F3E55"/>
    <w:rsid w:val="006F59AA"/>
    <w:rsid w:val="006F5BA1"/>
    <w:rsid w:val="00705F5A"/>
    <w:rsid w:val="00706582"/>
    <w:rsid w:val="00730C6F"/>
    <w:rsid w:val="00733C71"/>
    <w:rsid w:val="00734D95"/>
    <w:rsid w:val="007447FA"/>
    <w:rsid w:val="00747E3B"/>
    <w:rsid w:val="00755CDA"/>
    <w:rsid w:val="00772F19"/>
    <w:rsid w:val="00777A0B"/>
    <w:rsid w:val="00797DAA"/>
    <w:rsid w:val="007A5DEC"/>
    <w:rsid w:val="007C462D"/>
    <w:rsid w:val="007D352F"/>
    <w:rsid w:val="007E1132"/>
    <w:rsid w:val="007F2A38"/>
    <w:rsid w:val="00803202"/>
    <w:rsid w:val="008100E9"/>
    <w:rsid w:val="0081092D"/>
    <w:rsid w:val="00820A94"/>
    <w:rsid w:val="008219BD"/>
    <w:rsid w:val="00840C4D"/>
    <w:rsid w:val="00846311"/>
    <w:rsid w:val="00871DF0"/>
    <w:rsid w:val="00876A7D"/>
    <w:rsid w:val="008B7CF7"/>
    <w:rsid w:val="008C104B"/>
    <w:rsid w:val="008E6AF9"/>
    <w:rsid w:val="00907F4A"/>
    <w:rsid w:val="009108D5"/>
    <w:rsid w:val="009124A6"/>
    <w:rsid w:val="00913305"/>
    <w:rsid w:val="0092331E"/>
    <w:rsid w:val="00940DC4"/>
    <w:rsid w:val="00944C00"/>
    <w:rsid w:val="0094644C"/>
    <w:rsid w:val="00950D0A"/>
    <w:rsid w:val="00952B35"/>
    <w:rsid w:val="009648B9"/>
    <w:rsid w:val="009743B2"/>
    <w:rsid w:val="009930C7"/>
    <w:rsid w:val="00994C4F"/>
    <w:rsid w:val="009A26B9"/>
    <w:rsid w:val="009A7465"/>
    <w:rsid w:val="009B2B2E"/>
    <w:rsid w:val="009B57A8"/>
    <w:rsid w:val="009C2D6F"/>
    <w:rsid w:val="009D02F8"/>
    <w:rsid w:val="009D6310"/>
    <w:rsid w:val="009D7A58"/>
    <w:rsid w:val="009E5966"/>
    <w:rsid w:val="009F2406"/>
    <w:rsid w:val="00A00C78"/>
    <w:rsid w:val="00A05D4F"/>
    <w:rsid w:val="00A15FE7"/>
    <w:rsid w:val="00A24D7F"/>
    <w:rsid w:val="00A2717E"/>
    <w:rsid w:val="00A3128A"/>
    <w:rsid w:val="00A37C36"/>
    <w:rsid w:val="00A42B70"/>
    <w:rsid w:val="00A4723C"/>
    <w:rsid w:val="00A6440C"/>
    <w:rsid w:val="00A66A32"/>
    <w:rsid w:val="00A77432"/>
    <w:rsid w:val="00AA726A"/>
    <w:rsid w:val="00AB7864"/>
    <w:rsid w:val="00AD7D26"/>
    <w:rsid w:val="00AF1266"/>
    <w:rsid w:val="00B25112"/>
    <w:rsid w:val="00B2649B"/>
    <w:rsid w:val="00B31073"/>
    <w:rsid w:val="00B42F1D"/>
    <w:rsid w:val="00B47FA8"/>
    <w:rsid w:val="00B61ED1"/>
    <w:rsid w:val="00B73986"/>
    <w:rsid w:val="00B82F60"/>
    <w:rsid w:val="00B93035"/>
    <w:rsid w:val="00BA63B4"/>
    <w:rsid w:val="00BC08F0"/>
    <w:rsid w:val="00BC4DE9"/>
    <w:rsid w:val="00BC59B7"/>
    <w:rsid w:val="00BD0B6F"/>
    <w:rsid w:val="00BD3C60"/>
    <w:rsid w:val="00BD5998"/>
    <w:rsid w:val="00BE3177"/>
    <w:rsid w:val="00BE773F"/>
    <w:rsid w:val="00BF61E7"/>
    <w:rsid w:val="00C10980"/>
    <w:rsid w:val="00C376C3"/>
    <w:rsid w:val="00C41BB7"/>
    <w:rsid w:val="00C4227E"/>
    <w:rsid w:val="00C92B31"/>
    <w:rsid w:val="00CC2390"/>
    <w:rsid w:val="00CE1F41"/>
    <w:rsid w:val="00CF01A5"/>
    <w:rsid w:val="00CF3ED6"/>
    <w:rsid w:val="00CF6429"/>
    <w:rsid w:val="00D02566"/>
    <w:rsid w:val="00D03391"/>
    <w:rsid w:val="00D0777A"/>
    <w:rsid w:val="00D327AC"/>
    <w:rsid w:val="00D349A5"/>
    <w:rsid w:val="00D357CA"/>
    <w:rsid w:val="00D46046"/>
    <w:rsid w:val="00D5179A"/>
    <w:rsid w:val="00D6471A"/>
    <w:rsid w:val="00D669D1"/>
    <w:rsid w:val="00D93693"/>
    <w:rsid w:val="00DA41D2"/>
    <w:rsid w:val="00DB2A20"/>
    <w:rsid w:val="00DB37DB"/>
    <w:rsid w:val="00DB4B4B"/>
    <w:rsid w:val="00DB5E83"/>
    <w:rsid w:val="00DB70FF"/>
    <w:rsid w:val="00DD2465"/>
    <w:rsid w:val="00DD2CEE"/>
    <w:rsid w:val="00DD5112"/>
    <w:rsid w:val="00DE0615"/>
    <w:rsid w:val="00DE7A93"/>
    <w:rsid w:val="00DE7CC8"/>
    <w:rsid w:val="00E04F70"/>
    <w:rsid w:val="00E1637F"/>
    <w:rsid w:val="00E208D2"/>
    <w:rsid w:val="00E21F8F"/>
    <w:rsid w:val="00E324A9"/>
    <w:rsid w:val="00E3756C"/>
    <w:rsid w:val="00E46823"/>
    <w:rsid w:val="00E67713"/>
    <w:rsid w:val="00E70A5A"/>
    <w:rsid w:val="00E756F4"/>
    <w:rsid w:val="00E86680"/>
    <w:rsid w:val="00EA1CF1"/>
    <w:rsid w:val="00EA3306"/>
    <w:rsid w:val="00EB5E4E"/>
    <w:rsid w:val="00EC54BB"/>
    <w:rsid w:val="00ED5A99"/>
    <w:rsid w:val="00ED6574"/>
    <w:rsid w:val="00EF7948"/>
    <w:rsid w:val="00F02B6A"/>
    <w:rsid w:val="00F063BA"/>
    <w:rsid w:val="00F1156C"/>
    <w:rsid w:val="00F16E7C"/>
    <w:rsid w:val="00F171D3"/>
    <w:rsid w:val="00F22AA2"/>
    <w:rsid w:val="00F45122"/>
    <w:rsid w:val="00F46995"/>
    <w:rsid w:val="00F61023"/>
    <w:rsid w:val="00F65E79"/>
    <w:rsid w:val="00F70633"/>
    <w:rsid w:val="00F8493F"/>
    <w:rsid w:val="00F97AC7"/>
    <w:rsid w:val="00FD5065"/>
    <w:rsid w:val="00FD63F8"/>
    <w:rsid w:val="00FD7678"/>
    <w:rsid w:val="00FE2D3F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  <w:style w:type="paragraph" w:customStyle="1" w:styleId="yiv7953334852msonormal">
    <w:name w:val="yiv7953334852msonormal"/>
    <w:basedOn w:val="Normlny"/>
    <w:rsid w:val="005477EE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81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  <w:style w:type="paragraph" w:customStyle="1" w:styleId="yiv7953334852msonormal">
    <w:name w:val="yiv7953334852msonormal"/>
    <w:basedOn w:val="Normlny"/>
    <w:rsid w:val="005477EE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81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87CD-A73F-4E3E-B96E-C3D4D9AD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4858</Words>
  <Characters>27694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SmPC</vt:lpstr>
      <vt:lpstr>SmPC</vt:lpstr>
    </vt:vector>
  </TitlesOfParts>
  <Company>escho</Company>
  <LinksUpToDate>false</LinksUpToDate>
  <CharactersWithSpaces>32488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SmPC</dc:title>
  <dc:creator>BOOTS</dc:creator>
  <cp:lastModifiedBy>Uhnáková Milota</cp:lastModifiedBy>
  <cp:revision>2</cp:revision>
  <cp:lastPrinted>2009-03-24T13:35:00Z</cp:lastPrinted>
  <dcterms:created xsi:type="dcterms:W3CDTF">2020-07-17T08:29:00Z</dcterms:created>
  <dcterms:modified xsi:type="dcterms:W3CDTF">2020-07-17T08:29:00Z</dcterms:modified>
</cp:coreProperties>
</file>