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EE" w:rsidRPr="00AF16B4" w:rsidRDefault="00B740EE" w:rsidP="00B740EE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 w:val="0"/>
        </w:rPr>
      </w:pPr>
      <w:bookmarkStart w:id="0" w:name="_GoBack"/>
      <w:bookmarkEnd w:id="0"/>
    </w:p>
    <w:p w:rsidR="00B740EE" w:rsidRPr="00AF16B4" w:rsidRDefault="00B740EE" w:rsidP="00B740EE">
      <w:pPr>
        <w:tabs>
          <w:tab w:val="left" w:pos="-1440"/>
          <w:tab w:val="left" w:pos="-720"/>
        </w:tabs>
        <w:spacing w:line="240" w:lineRule="auto"/>
        <w:jc w:val="center"/>
        <w:rPr>
          <w:noProof w:val="0"/>
        </w:rPr>
      </w:pPr>
      <w:r w:rsidRPr="00AF16B4">
        <w:rPr>
          <w:b/>
          <w:noProof w:val="0"/>
          <w:szCs w:val="22"/>
        </w:rPr>
        <w:t>SÚHRN CHARAKTERISTICKÝCH VLASTNOSTÍ LIEKU</w:t>
      </w:r>
    </w:p>
    <w:p w:rsidR="0003377D" w:rsidRDefault="0003377D" w:rsidP="00B740EE">
      <w:pPr>
        <w:tabs>
          <w:tab w:val="clear" w:pos="567"/>
        </w:tabs>
        <w:spacing w:line="240" w:lineRule="auto"/>
        <w:rPr>
          <w:b/>
          <w:noProof w:val="0"/>
        </w:rPr>
      </w:pPr>
    </w:p>
    <w:p w:rsidR="0003377D" w:rsidRDefault="0003377D" w:rsidP="00B740EE">
      <w:pPr>
        <w:tabs>
          <w:tab w:val="clear" w:pos="567"/>
        </w:tabs>
        <w:spacing w:line="240" w:lineRule="auto"/>
        <w:rPr>
          <w:b/>
          <w:noProof w:val="0"/>
        </w:rPr>
      </w:pP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1E1D62">
        <w:rPr>
          <w:b/>
          <w:noProof w:val="0"/>
          <w:szCs w:val="22"/>
        </w:rPr>
        <w:t>1.</w:t>
      </w:r>
      <w:r w:rsidRPr="001E1D62">
        <w:rPr>
          <w:b/>
          <w:noProof w:val="0"/>
          <w:szCs w:val="22"/>
        </w:rPr>
        <w:tab/>
        <w:t>NÁZOV LIEKU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iCs/>
          <w:noProof w:val="0"/>
          <w:szCs w:val="22"/>
        </w:rPr>
      </w:pPr>
    </w:p>
    <w:p w:rsidR="00B740EE" w:rsidRPr="001E1D62" w:rsidRDefault="00556BF5" w:rsidP="001E1D62">
      <w:pPr>
        <w:widowControl w:val="0"/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Alacare</w:t>
      </w:r>
      <w:r w:rsidR="00B740EE" w:rsidRPr="001E1D62">
        <w:rPr>
          <w:noProof w:val="0"/>
          <w:szCs w:val="22"/>
        </w:rPr>
        <w:t xml:space="preserve"> 8 mg liečivá náplasť</w:t>
      </w:r>
    </w:p>
    <w:p w:rsidR="006902A5" w:rsidRDefault="006902A5">
      <w:pPr>
        <w:autoSpaceDE w:val="0"/>
        <w:autoSpaceDN w:val="0"/>
        <w:adjustRightInd w:val="0"/>
        <w:rPr>
          <w:noProof w:val="0"/>
          <w:szCs w:val="22"/>
        </w:rPr>
      </w:pPr>
    </w:p>
    <w:p w:rsidR="00B740EE" w:rsidRPr="001E1D62" w:rsidRDefault="00B740EE" w:rsidP="001E1D62">
      <w:pPr>
        <w:widowControl w:val="0"/>
        <w:tabs>
          <w:tab w:val="clear" w:pos="567"/>
        </w:tabs>
        <w:spacing w:line="240" w:lineRule="auto"/>
        <w:rPr>
          <w:bCs/>
          <w:noProof w:val="0"/>
          <w:szCs w:val="22"/>
        </w:rPr>
      </w:pPr>
    </w:p>
    <w:p w:rsidR="00B740EE" w:rsidRPr="001E1D62" w:rsidRDefault="00B740EE" w:rsidP="001E1D62">
      <w:pPr>
        <w:widowControl w:val="0"/>
        <w:tabs>
          <w:tab w:val="clear" w:pos="567"/>
        </w:tabs>
        <w:spacing w:line="240" w:lineRule="auto"/>
        <w:rPr>
          <w:noProof w:val="0"/>
          <w:szCs w:val="22"/>
        </w:rPr>
      </w:pPr>
      <w:r w:rsidRPr="001E1D62">
        <w:rPr>
          <w:b/>
          <w:noProof w:val="0"/>
          <w:szCs w:val="22"/>
        </w:rPr>
        <w:t>2.</w:t>
      </w:r>
      <w:r w:rsidRPr="001E1D62">
        <w:rPr>
          <w:b/>
          <w:noProof w:val="0"/>
          <w:szCs w:val="22"/>
        </w:rPr>
        <w:tab/>
        <w:t>KVALITATÍVNE A KVANTITATÍVNE ZLOŽENIE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i/>
          <w:noProof w:val="0"/>
          <w:szCs w:val="22"/>
        </w:rPr>
      </w:pPr>
    </w:p>
    <w:p w:rsidR="00B740EE" w:rsidRPr="001E1D62" w:rsidRDefault="00B740EE" w:rsidP="001E1D62">
      <w:pPr>
        <w:spacing w:line="240" w:lineRule="auto"/>
        <w:outlineLvl w:val="0"/>
        <w:rPr>
          <w:noProof w:val="0"/>
          <w:szCs w:val="22"/>
        </w:rPr>
      </w:pPr>
      <w:r w:rsidRPr="001E1D62">
        <w:rPr>
          <w:noProof w:val="0"/>
          <w:szCs w:val="22"/>
        </w:rPr>
        <w:t>Každá liečivá náplasť s veľkosťou plochy 4 cm</w:t>
      </w:r>
      <w:r w:rsidRPr="001E1D62">
        <w:rPr>
          <w:noProof w:val="0"/>
          <w:szCs w:val="22"/>
          <w:vertAlign w:val="superscript"/>
        </w:rPr>
        <w:t>2</w:t>
      </w:r>
      <w:r w:rsidRPr="001E1D62">
        <w:rPr>
          <w:noProof w:val="0"/>
          <w:szCs w:val="22"/>
        </w:rPr>
        <w:t xml:space="preserve"> obsahuje 8 mg kyseliny 5-aminolevulovej (vo forme hydrochloridu), t. j. 2 mg/cm</w:t>
      </w:r>
      <w:r w:rsidRPr="001E1D62">
        <w:rPr>
          <w:noProof w:val="0"/>
          <w:szCs w:val="22"/>
          <w:vertAlign w:val="superscript"/>
        </w:rPr>
        <w:t>2</w:t>
      </w:r>
      <w:r w:rsidRPr="001E1D62">
        <w:rPr>
          <w:noProof w:val="0"/>
          <w:szCs w:val="22"/>
        </w:rPr>
        <w:t>. Úplný zoznam pomocných látok, pozri časť 6.1.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outlineLvl w:val="0"/>
        <w:rPr>
          <w:noProof w:val="0"/>
          <w:szCs w:val="22"/>
        </w:rPr>
      </w:pP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F42750">
      <w:pPr>
        <w:spacing w:line="240" w:lineRule="auto"/>
        <w:ind w:left="567" w:hanging="567"/>
        <w:rPr>
          <w:caps/>
          <w:noProof w:val="0"/>
          <w:szCs w:val="22"/>
        </w:rPr>
      </w:pPr>
      <w:r w:rsidRPr="00F42750">
        <w:rPr>
          <w:b/>
          <w:noProof w:val="0"/>
          <w:szCs w:val="22"/>
        </w:rPr>
        <w:t>3.</w:t>
      </w:r>
      <w:r w:rsidRPr="00F42750">
        <w:rPr>
          <w:b/>
          <w:noProof w:val="0"/>
          <w:szCs w:val="22"/>
        </w:rPr>
        <w:tab/>
        <w:t>LIEKOVÁ FORMA</w:t>
      </w:r>
    </w:p>
    <w:p w:rsidR="006902A5" w:rsidRDefault="006902A5">
      <w:pPr>
        <w:autoSpaceDE w:val="0"/>
        <w:autoSpaceDN w:val="0"/>
        <w:adjustRightInd w:val="0"/>
        <w:rPr>
          <w:noProof w:val="0"/>
          <w:szCs w:val="22"/>
        </w:rPr>
      </w:pPr>
    </w:p>
    <w:p w:rsidR="00B740EE" w:rsidRPr="001E1D62" w:rsidRDefault="009C43BF" w:rsidP="001E1D62">
      <w:pPr>
        <w:rPr>
          <w:noProof w:val="0"/>
          <w:szCs w:val="22"/>
        </w:rPr>
      </w:pPr>
      <w:r w:rsidRPr="009C43BF">
        <w:rPr>
          <w:noProof w:val="0"/>
          <w:szCs w:val="22"/>
        </w:rPr>
        <w:t>Liečivá náplasť.</w:t>
      </w:r>
    </w:p>
    <w:p w:rsidR="00B740EE" w:rsidRPr="001E1D62" w:rsidRDefault="00F42750" w:rsidP="001E1D62">
      <w:pPr>
        <w:rPr>
          <w:noProof w:val="0"/>
          <w:szCs w:val="22"/>
        </w:rPr>
      </w:pPr>
      <w:r w:rsidRPr="00F42750">
        <w:rPr>
          <w:noProof w:val="0"/>
          <w:szCs w:val="22"/>
        </w:rPr>
        <w:t>Každá náplasť má veľkosť 4 cm</w:t>
      </w:r>
      <w:r w:rsidRPr="00F42750">
        <w:rPr>
          <w:noProof w:val="0"/>
          <w:szCs w:val="22"/>
          <w:vertAlign w:val="superscript"/>
        </w:rPr>
        <w:t>2</w:t>
      </w:r>
      <w:r w:rsidRPr="00F42750">
        <w:rPr>
          <w:noProof w:val="0"/>
          <w:szCs w:val="22"/>
        </w:rPr>
        <w:t xml:space="preserve"> v tvare štvorca so zaoblenými rohmi, skladá sa z vonkajšej krycej fólie pleťovej farby a samolepiacej matrice s ochranným filmom, ktorý sa pred použitím odstráni. 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B740EE" w:rsidRPr="001E1D62" w:rsidRDefault="008A6E17" w:rsidP="001E1D62">
      <w:pPr>
        <w:tabs>
          <w:tab w:val="clear" w:pos="567"/>
        </w:tabs>
        <w:spacing w:line="240" w:lineRule="auto"/>
        <w:ind w:left="567" w:hanging="567"/>
        <w:rPr>
          <w:caps/>
          <w:noProof w:val="0"/>
          <w:szCs w:val="22"/>
        </w:rPr>
      </w:pPr>
      <w:r w:rsidRPr="008A6E17">
        <w:rPr>
          <w:b/>
          <w:caps/>
          <w:noProof w:val="0"/>
          <w:szCs w:val="22"/>
        </w:rPr>
        <w:t>4.</w:t>
      </w:r>
      <w:r w:rsidRPr="008A6E17">
        <w:rPr>
          <w:b/>
          <w:caps/>
          <w:noProof w:val="0"/>
          <w:szCs w:val="22"/>
        </w:rPr>
        <w:tab/>
      </w:r>
      <w:r w:rsidRPr="008A6E17">
        <w:rPr>
          <w:b/>
          <w:noProof w:val="0"/>
          <w:szCs w:val="22"/>
        </w:rPr>
        <w:t>KLINICKÉ ÚDAJE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8A6E17">
      <w:pPr>
        <w:spacing w:line="240" w:lineRule="auto"/>
        <w:ind w:left="567" w:hanging="567"/>
        <w:outlineLvl w:val="0"/>
        <w:rPr>
          <w:noProof w:val="0"/>
          <w:szCs w:val="22"/>
        </w:rPr>
      </w:pPr>
      <w:r w:rsidRPr="008A6E17">
        <w:rPr>
          <w:b/>
          <w:noProof w:val="0"/>
          <w:szCs w:val="22"/>
        </w:rPr>
        <w:t>4.1</w:t>
      </w:r>
      <w:r w:rsidRPr="008A6E17">
        <w:rPr>
          <w:b/>
          <w:noProof w:val="0"/>
          <w:szCs w:val="22"/>
        </w:rPr>
        <w:tab/>
        <w:t>Terapeutické indikácie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8A6E17">
      <w:pPr>
        <w:rPr>
          <w:i/>
          <w:noProof w:val="0"/>
          <w:szCs w:val="22"/>
        </w:rPr>
      </w:pPr>
      <w:r w:rsidRPr="008A6E17">
        <w:rPr>
          <w:noProof w:val="0"/>
          <w:szCs w:val="22"/>
        </w:rPr>
        <w:t>Liečba miernych až stredne ťažkých lézií aktinickej keratózy (AK) na tvári a pokožke hlavy (na plochách, ktoré nie sú pokryté vlasmi).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9C43BF">
      <w:pPr>
        <w:numPr>
          <w:ilvl w:val="1"/>
          <w:numId w:val="3"/>
        </w:numPr>
        <w:spacing w:line="240" w:lineRule="auto"/>
        <w:outlineLvl w:val="0"/>
        <w:rPr>
          <w:b/>
          <w:noProof w:val="0"/>
          <w:szCs w:val="22"/>
        </w:rPr>
      </w:pPr>
      <w:r>
        <w:rPr>
          <w:b/>
          <w:noProof w:val="0"/>
          <w:szCs w:val="22"/>
        </w:rPr>
        <w:t>Dávkovanie a spôsob podávania</w:t>
      </w:r>
    </w:p>
    <w:p w:rsidR="00F42750" w:rsidRDefault="00F42750">
      <w:pPr>
        <w:tabs>
          <w:tab w:val="clear" w:pos="567"/>
        </w:tabs>
        <w:spacing w:line="240" w:lineRule="auto"/>
        <w:rPr>
          <w:b/>
          <w:i/>
          <w:noProof w:val="0"/>
          <w:szCs w:val="22"/>
        </w:rPr>
      </w:pPr>
    </w:p>
    <w:p w:rsidR="00F42750" w:rsidRDefault="00556BF5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 xml:space="preserve">Alacare </w:t>
      </w:r>
      <w:r w:rsidR="009C43BF">
        <w:rPr>
          <w:noProof w:val="0"/>
          <w:szCs w:val="22"/>
        </w:rPr>
        <w:t xml:space="preserve">je možné podávať len pod dohľadom lekára, zdravotnej sestry alebo iných zdravotníckych pracovníkov, ktorí majú skúsenosti s fotodynamickou terapiou. 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6902A5" w:rsidRDefault="009C43BF">
      <w:pPr>
        <w:autoSpaceDE w:val="0"/>
        <w:autoSpaceDN w:val="0"/>
        <w:adjustRightInd w:val="0"/>
        <w:rPr>
          <w:noProof w:val="0"/>
          <w:szCs w:val="22"/>
          <w:u w:val="single"/>
        </w:rPr>
      </w:pPr>
      <w:r>
        <w:rPr>
          <w:noProof w:val="0"/>
          <w:szCs w:val="22"/>
          <w:u w:val="single"/>
        </w:rPr>
        <w:t>Dospelí (vrátane starších pacientov)</w:t>
      </w:r>
    </w:p>
    <w:p w:rsidR="006902A5" w:rsidRDefault="00395736">
      <w:pPr>
        <w:autoSpaceDE w:val="0"/>
        <w:autoSpaceDN w:val="0"/>
        <w:adjustRightInd w:val="0"/>
        <w:rPr>
          <w:noProof w:val="0"/>
          <w:szCs w:val="22"/>
        </w:rPr>
      </w:pPr>
      <w:r>
        <w:rPr>
          <w:noProof w:val="0"/>
          <w:szCs w:val="22"/>
        </w:rPr>
        <w:t xml:space="preserve">Na </w:t>
      </w:r>
      <w:r w:rsidR="00B740EE" w:rsidRPr="001E1D62">
        <w:rPr>
          <w:noProof w:val="0"/>
          <w:szCs w:val="22"/>
        </w:rPr>
        <w:t xml:space="preserve">liečbu AK s jedným ošetrením fotodynamickou terapiou (PDT) aplikujte maximálne osem náplastí </w:t>
      </w:r>
      <w:r w:rsidR="00556BF5">
        <w:rPr>
          <w:noProof w:val="0"/>
          <w:szCs w:val="22"/>
        </w:rPr>
        <w:t xml:space="preserve">Alacare </w:t>
      </w:r>
      <w:r w:rsidR="00B740EE" w:rsidRPr="001E1D62">
        <w:rPr>
          <w:noProof w:val="0"/>
          <w:szCs w:val="22"/>
        </w:rPr>
        <w:t xml:space="preserve">použitých na ôsmich rozličných léziách pacientov pri jednom terapeutickom ošetrení. Ak náplasť </w:t>
      </w:r>
      <w:r w:rsidR="00556BF5">
        <w:rPr>
          <w:noProof w:val="0"/>
          <w:szCs w:val="22"/>
        </w:rPr>
        <w:t>Alacare</w:t>
      </w:r>
      <w:r w:rsidR="00B740EE" w:rsidRPr="001E1D62">
        <w:rPr>
          <w:noProof w:val="0"/>
          <w:szCs w:val="22"/>
        </w:rPr>
        <w:t xml:space="preserve"> správne nepriľne k léziám, môže sa pripevniť adhezívnou páskou. Náplasť </w:t>
      </w:r>
      <w:r w:rsidR="001E1D62" w:rsidRPr="001E1D62">
        <w:rPr>
          <w:noProof w:val="0"/>
          <w:szCs w:val="22"/>
        </w:rPr>
        <w:t>má</w:t>
      </w:r>
      <w:r w:rsidR="00B740EE" w:rsidRPr="001E1D62">
        <w:rPr>
          <w:noProof w:val="0"/>
          <w:szCs w:val="22"/>
        </w:rPr>
        <w:t xml:space="preserve"> úplne prekrývať léziu.</w:t>
      </w:r>
    </w:p>
    <w:p w:rsidR="006902A5" w:rsidRDefault="009C43BF">
      <w:pPr>
        <w:autoSpaceDE w:val="0"/>
        <w:autoSpaceDN w:val="0"/>
        <w:adjustRightInd w:val="0"/>
        <w:rPr>
          <w:noProof w:val="0"/>
          <w:szCs w:val="22"/>
        </w:rPr>
      </w:pPr>
      <w:r>
        <w:rPr>
          <w:noProof w:val="0"/>
          <w:szCs w:val="22"/>
        </w:rPr>
        <w:t xml:space="preserve">Náplasť (náplasti) </w:t>
      </w:r>
      <w:r w:rsidR="00556BF5">
        <w:rPr>
          <w:noProof w:val="0"/>
          <w:szCs w:val="22"/>
        </w:rPr>
        <w:t>Alacare</w:t>
      </w:r>
      <w:r>
        <w:rPr>
          <w:noProof w:val="0"/>
          <w:szCs w:val="22"/>
        </w:rPr>
        <w:t xml:space="preserve"> po štyroch hodinách odstráňte a léziu (lézie) vystavte svetlu v červenej oblasti spektra v pásme 630 ± 3 nm s celkovou dávkou 37 J/cm</w:t>
      </w:r>
      <w:r>
        <w:rPr>
          <w:noProof w:val="0"/>
          <w:szCs w:val="22"/>
          <w:vertAlign w:val="superscript"/>
        </w:rPr>
        <w:t xml:space="preserve">2 </w:t>
      </w:r>
      <w:r>
        <w:rPr>
          <w:noProof w:val="0"/>
          <w:szCs w:val="22"/>
        </w:rPr>
        <w:t>pri povrchu lézie. Používať sa môžu len lampy s označením CE, vybavené nevyhnutnými filtrami a/alebo reflexnými zrkadlami na minimalizáciu vystavenia teplu, modrému svetlu a UV žiareniu. Dôležité je zabezpečiť, aby sa podala správna dávka svetla. Svetelná dávka je určená faktormi, akými sú veľkosť svetelného poľa, vzdialenosť medzi lampou a povrchom kože, ako i iluminačným časom. Tieto faktory sa môžu meniť podľa typu lampy, pričom lampu je potrebné používať v súlade s </w:t>
      </w:r>
      <w:r w:rsidR="00395736" w:rsidRPr="001E1D62">
        <w:rPr>
          <w:noProof w:val="0"/>
          <w:szCs w:val="22"/>
        </w:rPr>
        <w:t xml:space="preserve">príručkou </w:t>
      </w:r>
      <w:r w:rsidR="00395736">
        <w:rPr>
          <w:noProof w:val="0"/>
          <w:szCs w:val="22"/>
        </w:rPr>
        <w:t>pre používateľa</w:t>
      </w:r>
      <w:r w:rsidR="00B740EE" w:rsidRPr="001E1D62">
        <w:rPr>
          <w:noProof w:val="0"/>
          <w:szCs w:val="22"/>
        </w:rPr>
        <w:t xml:space="preserve">. Pacient a operátor musia dodržiavať bezpečnostné predpisy, ktoré sa dodávajú spolu so svetelným zdrojom. Pacient a operátor musia počas iluminácie používať ochranné okuliare, ktoré zodpovedajú svetelnému spektru lampy. </w:t>
      </w:r>
    </w:p>
    <w:p w:rsidR="006902A5" w:rsidRDefault="00B740EE">
      <w:pPr>
        <w:autoSpaceDE w:val="0"/>
        <w:autoSpaceDN w:val="0"/>
        <w:adjustRightInd w:val="0"/>
        <w:rPr>
          <w:noProof w:val="0"/>
          <w:szCs w:val="22"/>
        </w:rPr>
      </w:pPr>
      <w:r w:rsidRPr="001E1D62">
        <w:rPr>
          <w:noProof w:val="0"/>
          <w:szCs w:val="22"/>
        </w:rPr>
        <w:t>Zdravú neliečenú kožu v okolí lézie nie je potrebné chrániť počas iluminácie.</w:t>
      </w:r>
    </w:p>
    <w:p w:rsidR="006902A5" w:rsidRDefault="006B6698">
      <w:pPr>
        <w:autoSpaceDE w:val="0"/>
        <w:autoSpaceDN w:val="0"/>
        <w:adjustRightInd w:val="0"/>
        <w:rPr>
          <w:noProof w:val="0"/>
          <w:szCs w:val="22"/>
        </w:rPr>
      </w:pPr>
      <w:r>
        <w:rPr>
          <w:noProof w:val="0"/>
          <w:szCs w:val="22"/>
        </w:rPr>
        <w:t>Odpoveď na liečbu</w:t>
      </w:r>
      <w:r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>lézie je potrebné zhodnotiť po troch mesiacoch.</w:t>
      </w:r>
    </w:p>
    <w:p w:rsidR="006902A5" w:rsidRDefault="006902A5">
      <w:pPr>
        <w:autoSpaceDE w:val="0"/>
        <w:autoSpaceDN w:val="0"/>
        <w:adjustRightInd w:val="0"/>
        <w:rPr>
          <w:noProof w:val="0"/>
          <w:szCs w:val="22"/>
        </w:rPr>
      </w:pPr>
    </w:p>
    <w:p w:rsidR="006902A5" w:rsidRDefault="00B740EE" w:rsidP="00FA3663">
      <w:pPr>
        <w:keepNext/>
        <w:keepLines/>
        <w:autoSpaceDE w:val="0"/>
        <w:autoSpaceDN w:val="0"/>
        <w:adjustRightInd w:val="0"/>
        <w:rPr>
          <w:noProof w:val="0"/>
          <w:szCs w:val="22"/>
          <w:u w:val="single"/>
        </w:rPr>
      </w:pPr>
      <w:r w:rsidRPr="001E1D62">
        <w:rPr>
          <w:noProof w:val="0"/>
          <w:szCs w:val="22"/>
          <w:u w:val="single"/>
        </w:rPr>
        <w:lastRenderedPageBreak/>
        <w:t xml:space="preserve">Deti a dospievajúci </w:t>
      </w:r>
    </w:p>
    <w:p w:rsidR="006902A5" w:rsidRDefault="00B740EE" w:rsidP="00FA3663">
      <w:pPr>
        <w:keepNext/>
        <w:keepLines/>
        <w:autoSpaceDE w:val="0"/>
        <w:autoSpaceDN w:val="0"/>
        <w:adjustRightInd w:val="0"/>
        <w:rPr>
          <w:noProof w:val="0"/>
          <w:szCs w:val="22"/>
        </w:rPr>
      </w:pPr>
      <w:r w:rsidRPr="001E1D62">
        <w:rPr>
          <w:noProof w:val="0"/>
          <w:szCs w:val="22"/>
        </w:rPr>
        <w:t xml:space="preserve">S liečbou pacientov mladších než 18 rokov nie sú žiadne skúsenosti. </w:t>
      </w:r>
    </w:p>
    <w:p w:rsidR="00B740EE" w:rsidRPr="00FA3663" w:rsidRDefault="00B740EE" w:rsidP="001E1D62">
      <w:pPr>
        <w:tabs>
          <w:tab w:val="clear" w:pos="567"/>
        </w:tabs>
        <w:spacing w:line="240" w:lineRule="auto"/>
        <w:rPr>
          <w:i/>
          <w:noProof w:val="0"/>
          <w:szCs w:val="22"/>
        </w:rPr>
      </w:pPr>
    </w:p>
    <w:p w:rsidR="00B740EE" w:rsidRPr="001E1D62" w:rsidRDefault="00F42750" w:rsidP="001E1D62">
      <w:pPr>
        <w:tabs>
          <w:tab w:val="clear" w:pos="567"/>
        </w:tabs>
        <w:spacing w:line="240" w:lineRule="auto"/>
        <w:ind w:left="567" w:hanging="567"/>
        <w:rPr>
          <w:noProof w:val="0"/>
          <w:szCs w:val="22"/>
        </w:rPr>
      </w:pPr>
      <w:r w:rsidRPr="00F42750">
        <w:rPr>
          <w:b/>
          <w:noProof w:val="0"/>
          <w:szCs w:val="22"/>
        </w:rPr>
        <w:t>4.3</w:t>
      </w:r>
      <w:r w:rsidRPr="00F42750">
        <w:rPr>
          <w:b/>
          <w:noProof w:val="0"/>
          <w:szCs w:val="22"/>
        </w:rPr>
        <w:tab/>
        <w:t>Kontraindikácie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B740EE" w:rsidRPr="001E1D62" w:rsidRDefault="008A6E17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8A6E17">
        <w:rPr>
          <w:noProof w:val="0"/>
          <w:szCs w:val="22"/>
        </w:rPr>
        <w:t xml:space="preserve">Precitlivenosť na </w:t>
      </w:r>
      <w:r w:rsidR="006B6698">
        <w:rPr>
          <w:noProof w:val="0"/>
          <w:szCs w:val="22"/>
        </w:rPr>
        <w:t>liečivo</w:t>
      </w:r>
      <w:r w:rsidR="00B740EE" w:rsidRPr="001E1D62">
        <w:rPr>
          <w:noProof w:val="0"/>
          <w:szCs w:val="22"/>
        </w:rPr>
        <w:t xml:space="preserve"> alebo materiál náplasti. 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</w:rPr>
        <w:t xml:space="preserve">Žiadna </w:t>
      </w:r>
      <w:r w:rsidR="00785234" w:rsidRPr="001E1D62">
        <w:rPr>
          <w:noProof w:val="0"/>
          <w:szCs w:val="22"/>
        </w:rPr>
        <w:t>odp</w:t>
      </w:r>
      <w:r w:rsidR="00785234">
        <w:rPr>
          <w:noProof w:val="0"/>
          <w:szCs w:val="22"/>
        </w:rPr>
        <w:t>oveď</w:t>
      </w:r>
      <w:r w:rsidR="006B6698" w:rsidRPr="001E1D62">
        <w:rPr>
          <w:noProof w:val="0"/>
          <w:szCs w:val="22"/>
        </w:rPr>
        <w:t xml:space="preserve"> </w:t>
      </w:r>
      <w:r w:rsidRPr="001E1D62">
        <w:rPr>
          <w:noProof w:val="0"/>
          <w:szCs w:val="22"/>
        </w:rPr>
        <w:t xml:space="preserve">na predošlú PDT s </w:t>
      </w:r>
      <w:r w:rsidR="006B6698">
        <w:rPr>
          <w:noProof w:val="0"/>
          <w:szCs w:val="22"/>
        </w:rPr>
        <w:t>liekmi</w:t>
      </w:r>
      <w:r w:rsidR="006B6698" w:rsidRPr="001E1D62">
        <w:rPr>
          <w:noProof w:val="0"/>
          <w:szCs w:val="22"/>
        </w:rPr>
        <w:t xml:space="preserve"> </w:t>
      </w:r>
      <w:r w:rsidRPr="001E1D62">
        <w:rPr>
          <w:noProof w:val="0"/>
          <w:szCs w:val="22"/>
        </w:rPr>
        <w:t>obsahujúcimi kyselinu 5-aminolevulovú.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</w:rPr>
        <w:t>Porfýria.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</w:rPr>
        <w:t xml:space="preserve">Známe fotodermatózy rozličného patologického pôvodu a výskytu, napr. metabolické ochorenia, medzi ktoré patrí aminoacidúria, idiopatické alebo imunologické </w:t>
      </w:r>
      <w:r w:rsidR="006B6698">
        <w:rPr>
          <w:noProof w:val="0"/>
          <w:szCs w:val="22"/>
        </w:rPr>
        <w:t>poruchy</w:t>
      </w:r>
      <w:r w:rsidRPr="001E1D62">
        <w:rPr>
          <w:noProof w:val="0"/>
          <w:szCs w:val="22"/>
        </w:rPr>
        <w:t>, medzi ktoré patrí polymorfná rekcia na svetlo, genetické poruchy, medzi ktoré patrí pigmentózna xerodermia a ochorenia, ktorých priebeh je vyvolaný alebo sa zhoršuje v dôsledku pôsobenia slnečného svetla, medzi ktoré patrí lupus erythematosus alebo pemphigus erythematosus.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F42750">
      <w:pPr>
        <w:spacing w:line="240" w:lineRule="auto"/>
        <w:ind w:left="567" w:hanging="567"/>
        <w:rPr>
          <w:b/>
          <w:noProof w:val="0"/>
          <w:szCs w:val="22"/>
        </w:rPr>
      </w:pPr>
      <w:r w:rsidRPr="00F42750">
        <w:rPr>
          <w:b/>
          <w:noProof w:val="0"/>
          <w:szCs w:val="22"/>
        </w:rPr>
        <w:t>4.4</w:t>
      </w:r>
      <w:r w:rsidRPr="00F42750">
        <w:rPr>
          <w:b/>
          <w:noProof w:val="0"/>
          <w:szCs w:val="22"/>
        </w:rPr>
        <w:tab/>
        <w:t>Osobitné upozornenia a opatrenia pri používaní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556BF5">
      <w:pPr>
        <w:outlineLvl w:val="0"/>
        <w:rPr>
          <w:noProof w:val="0"/>
          <w:szCs w:val="22"/>
        </w:rPr>
      </w:pPr>
      <w:r>
        <w:rPr>
          <w:noProof w:val="0"/>
          <w:szCs w:val="22"/>
        </w:rPr>
        <w:t>Alacare</w:t>
      </w:r>
      <w:r w:rsidR="009C43BF">
        <w:rPr>
          <w:noProof w:val="0"/>
          <w:szCs w:val="22"/>
        </w:rPr>
        <w:t xml:space="preserve"> sa neodporúča podávať v rámci liečby u </w:t>
      </w:r>
      <w:r w:rsidR="006B6698">
        <w:rPr>
          <w:noProof w:val="0"/>
          <w:szCs w:val="22"/>
        </w:rPr>
        <w:t>gravidných</w:t>
      </w:r>
      <w:r w:rsidR="006B6698"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>žien, pokiaľ to nie je preukázateľne nevyhnutné (pozri časť 4.6).</w:t>
      </w:r>
    </w:p>
    <w:p w:rsidR="00F42750" w:rsidRDefault="00B740EE">
      <w:pPr>
        <w:outlineLvl w:val="0"/>
        <w:rPr>
          <w:noProof w:val="0"/>
          <w:szCs w:val="22"/>
        </w:rPr>
      </w:pPr>
      <w:r w:rsidRPr="001E1D62">
        <w:rPr>
          <w:noProof w:val="0"/>
          <w:szCs w:val="22"/>
        </w:rPr>
        <w:t xml:space="preserve">S liečbou ťažkých foriem aktinickej keratózy (veľmi hrubé, červené, šupinovité indurované lézie AK) </w:t>
      </w:r>
      <w:r w:rsidR="00556BF5">
        <w:rPr>
          <w:noProof w:val="0"/>
          <w:szCs w:val="22"/>
        </w:rPr>
        <w:t>Alacare</w:t>
      </w:r>
      <w:r w:rsidRPr="001E1D62">
        <w:rPr>
          <w:noProof w:val="0"/>
          <w:szCs w:val="22"/>
        </w:rPr>
        <w:t xml:space="preserve"> nie sú k dispozícii žiadne skúsenosti.</w:t>
      </w:r>
    </w:p>
    <w:p w:rsidR="00F42750" w:rsidRDefault="009C43BF">
      <w:pPr>
        <w:outlineLvl w:val="0"/>
        <w:rPr>
          <w:noProof w:val="0"/>
          <w:szCs w:val="22"/>
        </w:rPr>
      </w:pPr>
      <w:r>
        <w:rPr>
          <w:noProof w:val="0"/>
          <w:szCs w:val="22"/>
        </w:rPr>
        <w:t>S liečbou lézií AK u pacientov s tmavohnedou alebo čiernou farbou pleti (kožný fototyp V alebo VI podľa Fitzpatricka) nie sú k dispozícii žiadne skúsenosti.</w:t>
      </w:r>
    </w:p>
    <w:p w:rsidR="00F42750" w:rsidRDefault="009C43BF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Akákoľvek UV terapia sa musí ukončiť pred začiatkom liečby. V rámci všeobecnej prevencie sa ošetrované miesta lézií a okolitá koža približne 48 hodín po ošetrení </w:t>
      </w:r>
      <w:r w:rsidR="00B740EE" w:rsidRPr="001E1D62">
        <w:rPr>
          <w:sz w:val="22"/>
          <w:szCs w:val="22"/>
          <w:lang w:val="sk-SK"/>
        </w:rPr>
        <w:t xml:space="preserve">nemajú vystavovať slnečnému svetlu. </w:t>
      </w:r>
    </w:p>
    <w:p w:rsidR="00112598" w:rsidRDefault="00112598">
      <w:pPr>
        <w:pStyle w:val="Default"/>
        <w:rPr>
          <w:sz w:val="22"/>
          <w:szCs w:val="22"/>
          <w:lang w:val="sk-SK"/>
        </w:rPr>
      </w:pPr>
      <w:r w:rsidRPr="00D23384">
        <w:rPr>
          <w:sz w:val="22"/>
          <w:szCs w:val="22"/>
          <w:lang w:val="sk-SK"/>
        </w:rPr>
        <w:t xml:space="preserve">Úspešnosť a hodnotenie liečby môže byť sťažené, ak je ošetrovaná oblasť postihnutá kožnými </w:t>
      </w:r>
      <w:r w:rsidRPr="00D23384">
        <w:rPr>
          <w:sz w:val="22"/>
          <w:szCs w:val="22"/>
          <w:lang w:val="sk-SK"/>
        </w:rPr>
        <w:br/>
        <w:t xml:space="preserve">chorobami (zápal kože, lokalizovaná infekcia, psoriáza, ekzém a benígne alebo malígne kožné </w:t>
      </w:r>
      <w:r w:rsidRPr="00D23384">
        <w:rPr>
          <w:sz w:val="22"/>
          <w:szCs w:val="22"/>
          <w:lang w:val="sk-SK"/>
        </w:rPr>
        <w:br/>
        <w:t>karcinómy) alebo tetovaním. V prípade týchto situácií nie sú k dispozícii nijaké skúsenosti.</w:t>
      </w:r>
    </w:p>
    <w:p w:rsidR="00F42750" w:rsidRDefault="00B740EE">
      <w:pPr>
        <w:pStyle w:val="Default"/>
        <w:rPr>
          <w:sz w:val="22"/>
          <w:szCs w:val="22"/>
          <w:lang w:val="sk-SK"/>
        </w:rPr>
      </w:pPr>
      <w:r w:rsidRPr="001E1D62">
        <w:rPr>
          <w:sz w:val="22"/>
          <w:szCs w:val="22"/>
          <w:lang w:val="sk-SK"/>
        </w:rPr>
        <w:t xml:space="preserve">Súčasné používanie liekov so známym fototoxickým alebo fotoalergickým potenciálom, medzi ktoré patrí ľubovník bodkovaný, grizeofulvín, tiazidové diuretiká, deriváty sulfonylurey, fenotiazíny, sulfónamidy, chinolóny a tetracyklíny môže zosilniť fototoxickú reakciu na fotodynamickú liečbu. Súčasnému používaniu </w:t>
      </w:r>
      <w:r w:rsidR="006B6698">
        <w:rPr>
          <w:sz w:val="22"/>
          <w:szCs w:val="22"/>
          <w:lang w:val="sk-SK"/>
        </w:rPr>
        <w:t>lieku</w:t>
      </w:r>
      <w:r w:rsidR="006B6698" w:rsidRPr="001E1D62">
        <w:rPr>
          <w:sz w:val="22"/>
          <w:szCs w:val="22"/>
          <w:lang w:val="sk-SK"/>
        </w:rPr>
        <w:t xml:space="preserve"> </w:t>
      </w:r>
      <w:r w:rsidRPr="001E1D62">
        <w:rPr>
          <w:sz w:val="22"/>
          <w:szCs w:val="22"/>
          <w:lang w:val="sk-SK"/>
        </w:rPr>
        <w:t>s inými lokálnymi liekmi je potrebné zabrániť.</w:t>
      </w:r>
    </w:p>
    <w:p w:rsidR="00F42750" w:rsidRDefault="00556BF5">
      <w:pPr>
        <w:pStyle w:val="Default"/>
        <w:rPr>
          <w:sz w:val="22"/>
          <w:szCs w:val="22"/>
          <w:lang w:val="sk-SK"/>
        </w:rPr>
      </w:pPr>
      <w:r w:rsidRPr="00C04401">
        <w:rPr>
          <w:szCs w:val="22"/>
          <w:lang w:val="pt-PT"/>
        </w:rPr>
        <w:t>Alacare</w:t>
      </w:r>
      <w:r w:rsidR="00B740EE" w:rsidRPr="001E1D62">
        <w:rPr>
          <w:sz w:val="22"/>
          <w:szCs w:val="22"/>
          <w:lang w:val="sk-SK"/>
        </w:rPr>
        <w:t xml:space="preserve"> nesmie prísť do priameho kontaktu s okom.</w:t>
      </w:r>
    </w:p>
    <w:p w:rsidR="00F42750" w:rsidRDefault="00F42750">
      <w:pPr>
        <w:outlineLvl w:val="0"/>
        <w:rPr>
          <w:noProof w:val="0"/>
          <w:szCs w:val="22"/>
        </w:rPr>
      </w:pPr>
    </w:p>
    <w:p w:rsidR="00F42750" w:rsidRPr="00F42750" w:rsidRDefault="00F42750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r w:rsidRPr="00F42750">
        <w:rPr>
          <w:b/>
          <w:noProof w:val="0"/>
          <w:szCs w:val="22"/>
        </w:rPr>
        <w:t>4.5</w:t>
      </w:r>
      <w:r w:rsidRPr="00F42750">
        <w:rPr>
          <w:b/>
          <w:noProof w:val="0"/>
          <w:szCs w:val="22"/>
        </w:rPr>
        <w:tab/>
        <w:t>Liekové a iné interakcie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9C43BF">
      <w:pPr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Neuskutočnili sa žiadne interakčné štúdie.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580C0F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r w:rsidRPr="00580C0F">
        <w:rPr>
          <w:b/>
          <w:noProof w:val="0"/>
          <w:szCs w:val="22"/>
        </w:rPr>
        <w:t>4.6</w:t>
      </w:r>
      <w:r w:rsidRPr="00580C0F">
        <w:rPr>
          <w:b/>
          <w:noProof w:val="0"/>
          <w:szCs w:val="22"/>
        </w:rPr>
        <w:tab/>
        <w:t>Fertilita, gravidita a laktácia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i/>
          <w:noProof w:val="0"/>
          <w:color w:val="008000"/>
          <w:szCs w:val="22"/>
        </w:rPr>
      </w:pPr>
    </w:p>
    <w:p w:rsidR="00F42750" w:rsidRDefault="009C43BF">
      <w:pPr>
        <w:spacing w:line="240" w:lineRule="auto"/>
        <w:rPr>
          <w:noProof w:val="0"/>
          <w:szCs w:val="22"/>
        </w:rPr>
      </w:pPr>
      <w:r>
        <w:rPr>
          <w:noProof w:val="0"/>
          <w:szCs w:val="22"/>
          <w:u w:val="single"/>
        </w:rPr>
        <w:t>Gravidita</w:t>
      </w:r>
    </w:p>
    <w:p w:rsidR="00F42750" w:rsidRDefault="00AA4AB2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t>Nie sú k dispozícii príslušné údaje o použití</w:t>
      </w:r>
      <w:r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 xml:space="preserve">kyseliny 5-aminolevulovej u </w:t>
      </w:r>
      <w:r>
        <w:rPr>
          <w:noProof w:val="0"/>
          <w:szCs w:val="22"/>
        </w:rPr>
        <w:t>gravidných</w:t>
      </w:r>
      <w:r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 xml:space="preserve">žien. Štúdie na zvieratách </w:t>
      </w:r>
      <w:r>
        <w:t xml:space="preserve">sú nedostatočné z hľadiska reprodukčnej toxicity </w:t>
      </w:r>
      <w:r w:rsidR="00B740EE" w:rsidRPr="001E1D62">
        <w:rPr>
          <w:noProof w:val="0"/>
          <w:szCs w:val="22"/>
        </w:rPr>
        <w:t xml:space="preserve">nie sú dostatočné z hľadiska účinku na </w:t>
      </w:r>
      <w:r>
        <w:rPr>
          <w:noProof w:val="0"/>
          <w:szCs w:val="22"/>
        </w:rPr>
        <w:t>graviditu</w:t>
      </w:r>
      <w:r w:rsidR="00B740EE" w:rsidRPr="001E1D62">
        <w:rPr>
          <w:noProof w:val="0"/>
          <w:szCs w:val="22"/>
        </w:rPr>
        <w:t>, vývoj embrya a plodu, pôrodu a postnatálneho vývoja (pozri časť 5.3). Potenciálne riziko u ľudí nie je známe.</w:t>
      </w:r>
    </w:p>
    <w:p w:rsidR="00F42750" w:rsidRDefault="00556BF5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Alacare</w:t>
      </w:r>
      <w:r w:rsidR="00B740EE" w:rsidRPr="001E1D62">
        <w:rPr>
          <w:noProof w:val="0"/>
          <w:szCs w:val="22"/>
        </w:rPr>
        <w:t xml:space="preserve"> sa neodporúča používať počas </w:t>
      </w:r>
      <w:r w:rsidR="006B6698">
        <w:rPr>
          <w:noProof w:val="0"/>
          <w:szCs w:val="22"/>
        </w:rPr>
        <w:t>gravidity</w:t>
      </w:r>
      <w:r w:rsidR="00B740EE" w:rsidRPr="001E1D62">
        <w:rPr>
          <w:noProof w:val="0"/>
          <w:szCs w:val="22"/>
        </w:rPr>
        <w:t>,  pokiaľ to nie je preukázateľne nevyhnutné.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B740EE">
      <w:pPr>
        <w:spacing w:line="240" w:lineRule="auto"/>
        <w:rPr>
          <w:noProof w:val="0"/>
          <w:szCs w:val="22"/>
          <w:u w:val="single"/>
        </w:rPr>
      </w:pPr>
      <w:r w:rsidRPr="001E1D62">
        <w:rPr>
          <w:noProof w:val="0"/>
          <w:szCs w:val="22"/>
          <w:u w:val="single"/>
        </w:rPr>
        <w:t>Laktácia</w:t>
      </w:r>
    </w:p>
    <w:p w:rsidR="00F42750" w:rsidRDefault="00B740EE">
      <w:pPr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</w:rPr>
        <w:t>Nie je známe, či sa kyselina 5-aminolevulová vylučuje materského mlieka</w:t>
      </w:r>
      <w:r w:rsidR="00AA4AB2">
        <w:rPr>
          <w:noProof w:val="0"/>
          <w:szCs w:val="22"/>
        </w:rPr>
        <w:t xml:space="preserve"> u ľudí</w:t>
      </w:r>
      <w:r w:rsidRPr="001E1D62">
        <w:rPr>
          <w:noProof w:val="0"/>
          <w:szCs w:val="22"/>
        </w:rPr>
        <w:t xml:space="preserve">. Vylučovanie kyseliny 5-aminolevulovej sa u zvierat nesledovalo. Dojčenie je potrebné prerušiť na 48 hodín po aplikácii </w:t>
      </w:r>
      <w:r w:rsidR="00556BF5">
        <w:rPr>
          <w:noProof w:val="0"/>
          <w:szCs w:val="22"/>
        </w:rPr>
        <w:t>Alacare</w:t>
      </w:r>
      <w:r w:rsidRPr="001E1D62">
        <w:rPr>
          <w:noProof w:val="0"/>
          <w:szCs w:val="22"/>
        </w:rPr>
        <w:t xml:space="preserve">. 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B740EE">
      <w:pPr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  <w:u w:val="single"/>
        </w:rPr>
        <w:t>Fertilita</w:t>
      </w:r>
    </w:p>
    <w:p w:rsidR="00F42750" w:rsidRDefault="009C43BF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9C43BF">
        <w:rPr>
          <w:noProof w:val="0"/>
          <w:szCs w:val="22"/>
        </w:rPr>
        <w:t>Nie sú dostupné údaje o vplyve kyseliny 5-aminolevulovej na fertilitu.</w:t>
      </w:r>
    </w:p>
    <w:p w:rsidR="00F42750" w:rsidRDefault="00F42750">
      <w:pPr>
        <w:tabs>
          <w:tab w:val="clear" w:pos="567"/>
        </w:tabs>
        <w:spacing w:line="240" w:lineRule="auto"/>
        <w:rPr>
          <w:i/>
          <w:noProof w:val="0"/>
          <w:szCs w:val="22"/>
        </w:rPr>
      </w:pPr>
    </w:p>
    <w:p w:rsidR="00F42750" w:rsidRPr="00F42750" w:rsidRDefault="009C43BF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r w:rsidRPr="009C43BF">
        <w:rPr>
          <w:b/>
          <w:noProof w:val="0"/>
          <w:szCs w:val="22"/>
        </w:rPr>
        <w:lastRenderedPageBreak/>
        <w:t>4.7</w:t>
      </w:r>
      <w:r w:rsidRPr="009C43BF">
        <w:rPr>
          <w:b/>
          <w:noProof w:val="0"/>
          <w:szCs w:val="22"/>
        </w:rPr>
        <w:tab/>
        <w:t>Ovplyvnenie schopnosti viesť vozidlá a obsluhovať stroje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9C43BF">
      <w:pPr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Netýka sa.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9C43BF">
      <w:pPr>
        <w:numPr>
          <w:ilvl w:val="1"/>
          <w:numId w:val="1"/>
        </w:numPr>
        <w:spacing w:line="240" w:lineRule="auto"/>
        <w:outlineLvl w:val="0"/>
        <w:rPr>
          <w:b/>
          <w:noProof w:val="0"/>
          <w:szCs w:val="22"/>
        </w:rPr>
      </w:pPr>
      <w:r>
        <w:rPr>
          <w:b/>
          <w:noProof w:val="0"/>
          <w:szCs w:val="22"/>
        </w:rPr>
        <w:t>Nežiaduce účinky</w:t>
      </w:r>
    </w:p>
    <w:p w:rsidR="00F42750" w:rsidRPr="00F42750" w:rsidRDefault="00F42750">
      <w:pPr>
        <w:tabs>
          <w:tab w:val="clear" w:pos="567"/>
        </w:tabs>
        <w:spacing w:line="240" w:lineRule="auto"/>
        <w:outlineLvl w:val="0"/>
        <w:rPr>
          <w:b/>
          <w:noProof w:val="0"/>
          <w:szCs w:val="22"/>
        </w:rPr>
      </w:pPr>
    </w:p>
    <w:p w:rsidR="006902A5" w:rsidRDefault="00F42750">
      <w:pPr>
        <w:numPr>
          <w:ilvl w:val="0"/>
          <w:numId w:val="4"/>
        </w:numPr>
        <w:tabs>
          <w:tab w:val="clear" w:pos="567"/>
          <w:tab w:val="left" w:pos="284"/>
        </w:tabs>
        <w:autoSpaceDE w:val="0"/>
        <w:autoSpaceDN w:val="0"/>
        <w:adjustRightInd w:val="0"/>
        <w:ind w:left="284" w:hanging="284"/>
        <w:rPr>
          <w:b/>
          <w:noProof w:val="0"/>
          <w:szCs w:val="22"/>
          <w:u w:val="single"/>
        </w:rPr>
      </w:pPr>
      <w:r w:rsidRPr="00F42750">
        <w:rPr>
          <w:noProof w:val="0"/>
          <w:szCs w:val="22"/>
        </w:rPr>
        <w:t xml:space="preserve">Takmer u všetkých pacientov (99 %) došlo k nežiaducim </w:t>
      </w:r>
      <w:r w:rsidR="008C36DB">
        <w:rPr>
          <w:noProof w:val="0"/>
          <w:szCs w:val="22"/>
        </w:rPr>
        <w:t>reakciám</w:t>
      </w:r>
      <w:r w:rsidR="00B740EE" w:rsidRPr="001E1D62">
        <w:rPr>
          <w:noProof w:val="0"/>
          <w:szCs w:val="22"/>
        </w:rPr>
        <w:t xml:space="preserve">, ktoré sa lokalizovali na liečenom mieste (lokálne reakcie) a ktoré možno pripísať toxickým účinkom fotodynamickej terapie (fototoxicite). Počas aplikácie </w:t>
      </w:r>
      <w:r w:rsidR="00556BF5">
        <w:rPr>
          <w:noProof w:val="0"/>
          <w:szCs w:val="22"/>
        </w:rPr>
        <w:t>Alacare</w:t>
      </w:r>
      <w:r w:rsidR="00B740EE" w:rsidRPr="001E1D62">
        <w:rPr>
          <w:noProof w:val="0"/>
          <w:szCs w:val="22"/>
        </w:rPr>
        <w:t xml:space="preserve"> a pred ilumináciou liečeného miesta sa u 33 % pacientov vyskytujú lokálne reakcie, najčastejšie pruritus, pálenie a erytém. Erytém, pálenie a bolesť počas iluminácie predstavujú najčastejšie hlásené lokálne reakcie. Tieto symptómy sú zvyčajne mierneho alebo stredne ťažkého charakteru, pričom u 1 % pacientov vyžadujú predčasné ukončenie iluminácie. Chladenie liečeného miesta môže tieto symptómy zmierniť. Pruritus, erytém, chrastavenie a olupovanie kože po terapii sú najčastejšími lokálnymi reakciami, ktoré sú taktiež mierneho alebo stredne ťažkého charakteru a pretrvávajú 1 až 2 týždne, niekedy i dlhšie. </w:t>
      </w:r>
    </w:p>
    <w:p w:rsidR="006902A5" w:rsidRDefault="009C43BF">
      <w:pPr>
        <w:tabs>
          <w:tab w:val="clear" w:pos="567"/>
          <w:tab w:val="left" w:pos="284"/>
        </w:tabs>
        <w:autoSpaceDE w:val="0"/>
        <w:autoSpaceDN w:val="0"/>
        <w:adjustRightInd w:val="0"/>
        <w:ind w:left="284"/>
        <w:rPr>
          <w:b/>
          <w:noProof w:val="0"/>
          <w:szCs w:val="22"/>
          <w:u w:val="single"/>
        </w:rPr>
      </w:pPr>
      <w:r>
        <w:rPr>
          <w:noProof w:val="0"/>
          <w:szCs w:val="22"/>
        </w:rPr>
        <w:t>Čast</w:t>
      </w:r>
      <w:r w:rsidR="008C36DB">
        <w:rPr>
          <w:noProof w:val="0"/>
          <w:szCs w:val="22"/>
        </w:rPr>
        <w:t>ou</w:t>
      </w:r>
      <w:r w:rsidR="008C36DB"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 xml:space="preserve">(&lt; 10 %) </w:t>
      </w:r>
      <w:r w:rsidR="008C36DB" w:rsidRPr="001E1D62">
        <w:rPr>
          <w:noProof w:val="0"/>
          <w:szCs w:val="22"/>
        </w:rPr>
        <w:t>nežiaduc</w:t>
      </w:r>
      <w:r w:rsidR="008C36DB">
        <w:rPr>
          <w:noProof w:val="0"/>
          <w:szCs w:val="22"/>
        </w:rPr>
        <w:t>ou reakciou</w:t>
      </w:r>
      <w:r w:rsidR="00B740EE" w:rsidRPr="001E1D62">
        <w:rPr>
          <w:noProof w:val="0"/>
          <w:szCs w:val="22"/>
        </w:rPr>
        <w:t xml:space="preserve">, </w:t>
      </w:r>
      <w:r w:rsidR="008C36DB" w:rsidRPr="001E1D62">
        <w:rPr>
          <w:noProof w:val="0"/>
          <w:szCs w:val="22"/>
        </w:rPr>
        <w:t>ktor</w:t>
      </w:r>
      <w:r w:rsidR="008C36DB">
        <w:rPr>
          <w:noProof w:val="0"/>
          <w:szCs w:val="22"/>
        </w:rPr>
        <w:t>á</w:t>
      </w:r>
      <w:r w:rsidR="008C36DB"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>sa netýka liečeného miesta, je bolesť hlavy.</w:t>
      </w:r>
    </w:p>
    <w:p w:rsidR="006902A5" w:rsidRDefault="009C43BF">
      <w:pPr>
        <w:numPr>
          <w:ilvl w:val="0"/>
          <w:numId w:val="4"/>
        </w:numPr>
        <w:tabs>
          <w:tab w:val="clear" w:pos="567"/>
          <w:tab w:val="left" w:pos="284"/>
        </w:tabs>
        <w:autoSpaceDE w:val="0"/>
        <w:autoSpaceDN w:val="0"/>
        <w:adjustRightInd w:val="0"/>
        <w:ind w:left="284" w:hanging="284"/>
        <w:rPr>
          <w:noProof w:val="0"/>
          <w:szCs w:val="22"/>
        </w:rPr>
      </w:pPr>
      <w:r w:rsidRPr="009C43BF">
        <w:rPr>
          <w:noProof w:val="0"/>
          <w:szCs w:val="22"/>
        </w:rPr>
        <w:t xml:space="preserve">Výskyt nežiaducich </w:t>
      </w:r>
      <w:r w:rsidR="008C36DB">
        <w:rPr>
          <w:noProof w:val="0"/>
          <w:szCs w:val="22"/>
        </w:rPr>
        <w:t>reakcií</w:t>
      </w:r>
      <w:r w:rsidR="008C36DB"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 xml:space="preserve">u pacientov, ktorým sa podáva </w:t>
      </w:r>
      <w:r w:rsidR="00556BF5">
        <w:rPr>
          <w:noProof w:val="0"/>
          <w:szCs w:val="22"/>
        </w:rPr>
        <w:t>Alacare</w:t>
      </w:r>
      <w:r w:rsidR="00CC10CC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>popisuje dole</w:t>
      </w:r>
      <w:r w:rsidR="00CC10CC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 xml:space="preserve">uvedená tabuľka. Nežiaduce </w:t>
      </w:r>
      <w:r w:rsidR="008C36DB">
        <w:rPr>
          <w:noProof w:val="0"/>
          <w:szCs w:val="22"/>
        </w:rPr>
        <w:t>reakcie</w:t>
      </w:r>
      <w:r w:rsidR="008C36DB"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 xml:space="preserve">sa uvádzajú podľa </w:t>
      </w:r>
      <w:r w:rsidR="008C36DB">
        <w:rPr>
          <w:noProof w:val="0"/>
          <w:szCs w:val="22"/>
        </w:rPr>
        <w:t xml:space="preserve">tried orgánových systémov podľa databázy </w:t>
      </w:r>
      <w:r w:rsidR="00B740EE" w:rsidRPr="001E1D62">
        <w:rPr>
          <w:noProof w:val="0"/>
          <w:szCs w:val="22"/>
        </w:rPr>
        <w:t xml:space="preserve">MedDRA a frekvencie výskytu. Frekvencia </w:t>
      </w:r>
      <w:r w:rsidR="008C36DB">
        <w:rPr>
          <w:noProof w:val="0"/>
          <w:szCs w:val="22"/>
        </w:rPr>
        <w:t xml:space="preserve">nežiaducich </w:t>
      </w:r>
      <w:r w:rsidR="00B740EE" w:rsidRPr="001E1D62">
        <w:rPr>
          <w:noProof w:val="0"/>
          <w:szCs w:val="22"/>
        </w:rPr>
        <w:t>reakcií je definovaná nasledovne: Veľmi časté (≥</w:t>
      </w:r>
      <w:r w:rsidR="00FA3663">
        <w:rPr>
          <w:noProof w:val="0"/>
          <w:szCs w:val="22"/>
        </w:rPr>
        <w:t> </w:t>
      </w:r>
      <w:r w:rsidR="00B740EE" w:rsidRPr="001E1D62">
        <w:rPr>
          <w:noProof w:val="0"/>
          <w:szCs w:val="22"/>
        </w:rPr>
        <w:t>1/10); časté (≥ 1/100 až &lt; 1/10); menej časté (≥ 1/1 000 až &lt; 1/100); zriedkavé (≥ 1/10 000 až &lt;</w:t>
      </w:r>
      <w:r w:rsidR="00FA3663">
        <w:rPr>
          <w:noProof w:val="0"/>
          <w:szCs w:val="22"/>
        </w:rPr>
        <w:t> </w:t>
      </w:r>
      <w:r w:rsidR="00B740EE" w:rsidRPr="001E1D62">
        <w:rPr>
          <w:noProof w:val="0"/>
          <w:szCs w:val="22"/>
        </w:rPr>
        <w:t>1/1 000); veľmi zriedkavé (&lt; 1/10 000); neznáme (nedajú sa odhadnúť z dostupných údajov).</w:t>
      </w:r>
    </w:p>
    <w:p w:rsidR="006902A5" w:rsidRDefault="006902A5">
      <w:pPr>
        <w:tabs>
          <w:tab w:val="clear" w:pos="567"/>
          <w:tab w:val="left" w:pos="284"/>
        </w:tabs>
        <w:autoSpaceDE w:val="0"/>
        <w:autoSpaceDN w:val="0"/>
        <w:adjustRightInd w:val="0"/>
        <w:rPr>
          <w:noProof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01"/>
        <w:gridCol w:w="2121"/>
        <w:gridCol w:w="3232"/>
      </w:tblGrid>
      <w:tr w:rsidR="00B740EE" w:rsidRPr="001E1D62" w:rsidTr="005505AB">
        <w:tc>
          <w:tcPr>
            <w:tcW w:w="3969" w:type="dxa"/>
          </w:tcPr>
          <w:p w:rsidR="006902A5" w:rsidRDefault="00B740EE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1E1D62">
              <w:rPr>
                <w:noProof w:val="0"/>
                <w:szCs w:val="22"/>
              </w:rPr>
              <w:t>Orgánové triedy MedDRA</w:t>
            </w:r>
          </w:p>
        </w:tc>
        <w:tc>
          <w:tcPr>
            <w:tcW w:w="2268" w:type="dxa"/>
          </w:tcPr>
          <w:p w:rsidR="006902A5" w:rsidRDefault="009C43B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>Frekvencia</w:t>
            </w:r>
          </w:p>
        </w:tc>
        <w:tc>
          <w:tcPr>
            <w:tcW w:w="3434" w:type="dxa"/>
          </w:tcPr>
          <w:p w:rsidR="006902A5" w:rsidRDefault="00580C0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580C0F">
              <w:rPr>
                <w:noProof w:val="0"/>
                <w:szCs w:val="22"/>
              </w:rPr>
              <w:t>Nežiaduci účinok</w:t>
            </w:r>
          </w:p>
        </w:tc>
      </w:tr>
      <w:tr w:rsidR="00B740EE" w:rsidRPr="001E1D62" w:rsidTr="005505AB">
        <w:tc>
          <w:tcPr>
            <w:tcW w:w="3969" w:type="dxa"/>
            <w:vMerge w:val="restart"/>
          </w:tcPr>
          <w:p w:rsidR="006902A5" w:rsidRDefault="009C43B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 xml:space="preserve">Celkové ochorenia a reakcie v mieste </w:t>
            </w:r>
            <w:r w:rsidR="00742169">
              <w:rPr>
                <w:noProof w:val="0"/>
                <w:szCs w:val="22"/>
              </w:rPr>
              <w:t>podania</w:t>
            </w:r>
          </w:p>
        </w:tc>
        <w:tc>
          <w:tcPr>
            <w:tcW w:w="2268" w:type="dxa"/>
          </w:tcPr>
          <w:p w:rsidR="006902A5" w:rsidRDefault="00B740EE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1E1D62">
              <w:rPr>
                <w:noProof w:val="0"/>
                <w:szCs w:val="22"/>
              </w:rPr>
              <w:t>Veľmi 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B740EE" w:rsidRPr="001E1D62" w:rsidRDefault="009C43BF" w:rsidP="001E1D62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 xml:space="preserve">Erytém, exfoliácia*, podráždenie, bolesť, pruritus, chrasta </w:t>
            </w:r>
          </w:p>
        </w:tc>
      </w:tr>
      <w:tr w:rsidR="00B740EE" w:rsidRPr="001E1D62" w:rsidTr="005505AB">
        <w:tc>
          <w:tcPr>
            <w:tcW w:w="3969" w:type="dxa"/>
            <w:vMerge/>
          </w:tcPr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2268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B740EE" w:rsidRPr="001E1D62" w:rsidRDefault="008A6E17" w:rsidP="001E1D62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Krvácanie*, deskvamácia*, mokvanie*, diskomfort, erózia*,   hyper-/hypopigmentácia*, edém*, reakcia*, opuch*, pľuzgieriky*</w:t>
            </w:r>
          </w:p>
        </w:tc>
      </w:tr>
      <w:tr w:rsidR="00B740EE" w:rsidRPr="001E1D62" w:rsidTr="005505AB">
        <w:tc>
          <w:tcPr>
            <w:tcW w:w="3969" w:type="dxa"/>
            <w:vMerge/>
          </w:tcPr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2268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Menej 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Pocit pálenia*, zmena sfarbenia*, exkoriácia*, zápal*, vred*</w:t>
            </w:r>
          </w:p>
        </w:tc>
      </w:tr>
      <w:tr w:rsidR="00B740EE" w:rsidRPr="001E1D62" w:rsidTr="005505AB">
        <w:tc>
          <w:tcPr>
            <w:tcW w:w="3969" w:type="dxa"/>
          </w:tcPr>
          <w:p w:rsidR="006902A5" w:rsidRDefault="009C43B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>Poruchy nervového systému</w:t>
            </w:r>
          </w:p>
        </w:tc>
        <w:tc>
          <w:tcPr>
            <w:tcW w:w="2268" w:type="dxa"/>
          </w:tcPr>
          <w:p w:rsidR="006902A5" w:rsidRDefault="00580C0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580C0F">
              <w:rPr>
                <w:noProof w:val="0"/>
                <w:szCs w:val="22"/>
              </w:rPr>
              <w:t>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Bolesť hlavy</w:t>
            </w:r>
          </w:p>
        </w:tc>
      </w:tr>
      <w:tr w:rsidR="00B740EE" w:rsidRPr="001E1D62" w:rsidTr="005505AB">
        <w:tc>
          <w:tcPr>
            <w:tcW w:w="3969" w:type="dxa"/>
            <w:vMerge w:val="restart"/>
          </w:tcPr>
          <w:p w:rsidR="006902A5" w:rsidRDefault="009C43B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>Infekcie a nákazy</w:t>
            </w:r>
          </w:p>
        </w:tc>
        <w:tc>
          <w:tcPr>
            <w:tcW w:w="2268" w:type="dxa"/>
          </w:tcPr>
          <w:p w:rsidR="006902A5" w:rsidRDefault="00580C0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580C0F">
              <w:rPr>
                <w:noProof w:val="0"/>
                <w:szCs w:val="22"/>
              </w:rPr>
              <w:t>Časté</w:t>
            </w:r>
          </w:p>
        </w:tc>
        <w:tc>
          <w:tcPr>
            <w:tcW w:w="3434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 xml:space="preserve">Pustulárna vyrážka </w:t>
            </w:r>
            <w:r w:rsidR="00742169">
              <w:rPr>
                <w:noProof w:val="0"/>
                <w:szCs w:val="22"/>
              </w:rPr>
              <w:t>v</w:t>
            </w:r>
            <w:r w:rsidR="00742169" w:rsidRPr="001E1D62">
              <w:rPr>
                <w:noProof w:val="0"/>
                <w:szCs w:val="22"/>
              </w:rPr>
              <w:t xml:space="preserve"> </w:t>
            </w:r>
            <w:r w:rsidR="00B740EE" w:rsidRPr="001E1D62">
              <w:rPr>
                <w:noProof w:val="0"/>
                <w:szCs w:val="22"/>
              </w:rPr>
              <w:t>mieste aplikácie *</w:t>
            </w:r>
          </w:p>
        </w:tc>
      </w:tr>
      <w:tr w:rsidR="00B740EE" w:rsidRPr="001E1D62" w:rsidTr="005505AB">
        <w:tc>
          <w:tcPr>
            <w:tcW w:w="3969" w:type="dxa"/>
            <w:vMerge/>
          </w:tcPr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2268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Menej 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 xml:space="preserve">Pyodermia, infekcia </w:t>
            </w:r>
            <w:r w:rsidR="00742169">
              <w:rPr>
                <w:noProof w:val="0"/>
                <w:szCs w:val="22"/>
              </w:rPr>
              <w:t>v</w:t>
            </w:r>
            <w:r w:rsidR="00742169" w:rsidRPr="001E1D62">
              <w:rPr>
                <w:noProof w:val="0"/>
                <w:szCs w:val="22"/>
              </w:rPr>
              <w:t xml:space="preserve"> </w:t>
            </w:r>
            <w:r w:rsidR="00B740EE" w:rsidRPr="001E1D62">
              <w:rPr>
                <w:noProof w:val="0"/>
                <w:szCs w:val="22"/>
              </w:rPr>
              <w:t>mieste aplikácie *</w:t>
            </w:r>
          </w:p>
        </w:tc>
      </w:tr>
      <w:tr w:rsidR="00B740EE" w:rsidRPr="001E1D62" w:rsidTr="005505AB">
        <w:tc>
          <w:tcPr>
            <w:tcW w:w="3969" w:type="dxa"/>
          </w:tcPr>
          <w:p w:rsidR="006902A5" w:rsidRDefault="009C43B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>Psychické poruchy</w:t>
            </w:r>
          </w:p>
        </w:tc>
        <w:tc>
          <w:tcPr>
            <w:tcW w:w="2268" w:type="dxa"/>
          </w:tcPr>
          <w:p w:rsidR="006902A5" w:rsidRDefault="00580C0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580C0F">
              <w:rPr>
                <w:noProof w:val="0"/>
                <w:szCs w:val="22"/>
              </w:rPr>
              <w:t>Menej 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Citová rozrušenosť</w:t>
            </w:r>
          </w:p>
        </w:tc>
      </w:tr>
      <w:tr w:rsidR="00B740EE" w:rsidRPr="001E1D62" w:rsidTr="005505AB">
        <w:tc>
          <w:tcPr>
            <w:tcW w:w="3969" w:type="dxa"/>
          </w:tcPr>
          <w:p w:rsidR="006902A5" w:rsidRDefault="00742169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color w:val="000000"/>
                <w:sz w:val="24"/>
                <w:szCs w:val="22"/>
                <w:lang w:eastAsia="de-DE"/>
              </w:rPr>
            </w:pPr>
            <w:r>
              <w:rPr>
                <w:noProof w:val="0"/>
                <w:szCs w:val="22"/>
              </w:rPr>
              <w:t>Poruchy</w:t>
            </w:r>
            <w:r w:rsidRPr="001E1D62">
              <w:rPr>
                <w:noProof w:val="0"/>
                <w:szCs w:val="22"/>
              </w:rPr>
              <w:t xml:space="preserve"> </w:t>
            </w:r>
            <w:r w:rsidR="00B740EE" w:rsidRPr="001E1D62">
              <w:rPr>
                <w:noProof w:val="0"/>
                <w:szCs w:val="22"/>
              </w:rPr>
              <w:t>dýchacej sústavy, hrudníka a mediastína</w:t>
            </w:r>
          </w:p>
        </w:tc>
        <w:tc>
          <w:tcPr>
            <w:tcW w:w="2268" w:type="dxa"/>
          </w:tcPr>
          <w:p w:rsidR="006902A5" w:rsidRDefault="009C43B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>Menej 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Krvácanie z nosa</w:t>
            </w:r>
          </w:p>
        </w:tc>
      </w:tr>
      <w:tr w:rsidR="00B740EE" w:rsidRPr="001E1D62" w:rsidTr="005505AB">
        <w:tc>
          <w:tcPr>
            <w:tcW w:w="3969" w:type="dxa"/>
          </w:tcPr>
          <w:p w:rsidR="006902A5" w:rsidRDefault="009C43BF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>
              <w:rPr>
                <w:noProof w:val="0"/>
                <w:szCs w:val="22"/>
              </w:rPr>
              <w:t>Poruchy kože a podkožného tkaniva</w:t>
            </w:r>
          </w:p>
        </w:tc>
        <w:tc>
          <w:tcPr>
            <w:tcW w:w="2268" w:type="dxa"/>
          </w:tcPr>
          <w:p w:rsidR="006902A5" w:rsidRDefault="00F42750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F42750">
              <w:rPr>
                <w:noProof w:val="0"/>
                <w:szCs w:val="22"/>
              </w:rPr>
              <w:t>Menej časté</w:t>
            </w:r>
          </w:p>
          <w:p w:rsidR="006902A5" w:rsidRDefault="006902A5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noProof w:val="0"/>
                <w:szCs w:val="22"/>
              </w:rPr>
              <w:t>Zmena sfarbenia kože</w:t>
            </w:r>
          </w:p>
        </w:tc>
      </w:tr>
      <w:tr w:rsidR="00B740EE" w:rsidRPr="001E1D62" w:rsidTr="005505AB">
        <w:tc>
          <w:tcPr>
            <w:tcW w:w="3969" w:type="dxa"/>
          </w:tcPr>
          <w:p w:rsidR="006902A5" w:rsidRDefault="008A6E17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8A6E17">
              <w:rPr>
                <w:bCs/>
                <w:lang w:val="it-IT"/>
              </w:rPr>
              <w:t>Laboratórne a funkčné vyšetrenia</w:t>
            </w:r>
          </w:p>
        </w:tc>
        <w:tc>
          <w:tcPr>
            <w:tcW w:w="2268" w:type="dxa"/>
          </w:tcPr>
          <w:p w:rsidR="006902A5" w:rsidRDefault="00B740EE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1E1D62">
              <w:rPr>
                <w:noProof w:val="0"/>
                <w:szCs w:val="22"/>
              </w:rPr>
              <w:t>Menej časté</w:t>
            </w:r>
          </w:p>
          <w:p w:rsidR="00B740EE" w:rsidRPr="001E1D62" w:rsidRDefault="00B740EE" w:rsidP="001E1D62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</w:p>
        </w:tc>
        <w:tc>
          <w:tcPr>
            <w:tcW w:w="3434" w:type="dxa"/>
          </w:tcPr>
          <w:p w:rsidR="00B740EE" w:rsidRPr="001E1D62" w:rsidRDefault="009C43BF" w:rsidP="001E1D62">
            <w:pPr>
              <w:tabs>
                <w:tab w:val="clear" w:pos="567"/>
                <w:tab w:val="left" w:pos="284"/>
              </w:tabs>
              <w:autoSpaceDE w:val="0"/>
              <w:autoSpaceDN w:val="0"/>
              <w:adjustRightInd w:val="0"/>
              <w:rPr>
                <w:noProof w:val="0"/>
                <w:szCs w:val="22"/>
              </w:rPr>
            </w:pPr>
            <w:r w:rsidRPr="009C43BF">
              <w:rPr>
                <w:noProof w:val="0"/>
                <w:szCs w:val="22"/>
              </w:rPr>
              <w:t xml:space="preserve">Zvýšené hodnoty alanín aminotransferázy </w:t>
            </w:r>
          </w:p>
        </w:tc>
      </w:tr>
    </w:tbl>
    <w:p w:rsidR="00B740EE" w:rsidRPr="001E1D62" w:rsidRDefault="009C43BF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9C43BF">
        <w:rPr>
          <w:noProof w:val="0"/>
          <w:szCs w:val="22"/>
        </w:rPr>
        <w:t>*Reakcie v mieste aplikácie, ktoré sa vyskytli len počas a/alebo po ošetrení, ktorého súčasťou bola iluminácia.</w:t>
      </w:r>
    </w:p>
    <w:p w:rsidR="00B740EE" w:rsidRPr="001E1D62" w:rsidRDefault="00B740EE" w:rsidP="001E1D62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B740EE" w:rsidRPr="001E1D62" w:rsidRDefault="009C43BF" w:rsidP="001E1D62">
      <w:pPr>
        <w:autoSpaceDE w:val="0"/>
        <w:autoSpaceDN w:val="0"/>
        <w:adjustRightInd w:val="0"/>
        <w:spacing w:line="240" w:lineRule="auto"/>
        <w:rPr>
          <w:noProof w:val="0"/>
          <w:szCs w:val="22"/>
          <w:u w:val="single"/>
        </w:rPr>
      </w:pPr>
      <w:r>
        <w:rPr>
          <w:noProof w:val="0"/>
          <w:szCs w:val="22"/>
          <w:u w:val="single"/>
        </w:rPr>
        <w:t>Hlásenie podozrení na nežiaduce reakcie</w:t>
      </w:r>
    </w:p>
    <w:p w:rsidR="00AA43D8" w:rsidRDefault="009C43BF" w:rsidP="002E4B58">
      <w:pPr>
        <w:rPr>
          <w:rFonts w:eastAsia="Calibri"/>
          <w:szCs w:val="22"/>
          <w:lang w:eastAsia="zh-CN"/>
        </w:rPr>
      </w:pPr>
      <w:r>
        <w:rPr>
          <w:noProof w:val="0"/>
          <w:szCs w:val="22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</w:t>
      </w:r>
      <w:r w:rsidR="0065602C" w:rsidRPr="0065602C">
        <w:rPr>
          <w:szCs w:val="22"/>
        </w:rPr>
        <w:t xml:space="preserve"> </w:t>
      </w:r>
      <w:r w:rsidR="0065602C">
        <w:rPr>
          <w:szCs w:val="22"/>
        </w:rPr>
        <w:t xml:space="preserve">na </w:t>
      </w:r>
      <w:r w:rsidR="0065602C">
        <w:rPr>
          <w:szCs w:val="22"/>
          <w:highlight w:val="lightGray"/>
        </w:rPr>
        <w:t>národné centrum hlásenia uvedené v </w:t>
      </w:r>
      <w:hyperlink r:id="rId7" w:history="1">
        <w:r w:rsidR="0065602C">
          <w:rPr>
            <w:rStyle w:val="Hypertextovprepojenie"/>
            <w:szCs w:val="22"/>
            <w:highlight w:val="lightGray"/>
          </w:rPr>
          <w:t>Prílohe V</w:t>
        </w:r>
      </w:hyperlink>
      <w:r w:rsidR="0065602C">
        <w:rPr>
          <w:szCs w:val="22"/>
        </w:rPr>
        <w:t>.</w:t>
      </w:r>
      <w:r w:rsidR="00AA43D8">
        <w:rPr>
          <w:rFonts w:eastAsia="Calibri"/>
          <w:szCs w:val="22"/>
          <w:lang w:eastAsia="zh-CN"/>
        </w:rPr>
        <w:t xml:space="preserve"> </w:t>
      </w:r>
    </w:p>
    <w:p w:rsidR="00B740EE" w:rsidRPr="001E1D62" w:rsidRDefault="00B740EE" w:rsidP="009300AF">
      <w:pPr>
        <w:autoSpaceDE w:val="0"/>
        <w:autoSpaceDN w:val="0"/>
        <w:adjustRightInd w:val="0"/>
        <w:spacing w:line="240" w:lineRule="auto"/>
        <w:rPr>
          <w:noProof w:val="0"/>
          <w:szCs w:val="22"/>
        </w:rPr>
      </w:pPr>
    </w:p>
    <w:p w:rsidR="00B740EE" w:rsidRPr="001E1D62" w:rsidRDefault="00B740EE" w:rsidP="001E1D62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r w:rsidRPr="001E1D62">
        <w:rPr>
          <w:b/>
          <w:noProof w:val="0"/>
          <w:szCs w:val="22"/>
        </w:rPr>
        <w:lastRenderedPageBreak/>
        <w:t>4.9</w:t>
      </w:r>
      <w:r w:rsidRPr="001E1D62">
        <w:rPr>
          <w:b/>
          <w:noProof w:val="0"/>
          <w:szCs w:val="22"/>
        </w:rPr>
        <w:tab/>
        <w:t>Predávkovanie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9C43BF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iCs/>
          <w:noProof w:val="0"/>
          <w:szCs w:val="22"/>
        </w:rPr>
        <w:t xml:space="preserve">Neboli hlásené žiadne prípady predávkovania. Reakcie na mieste liečby však môžu byť zvýraznené, ak sa náplasti </w:t>
      </w:r>
      <w:r w:rsidR="00556BF5">
        <w:rPr>
          <w:noProof w:val="0"/>
          <w:szCs w:val="22"/>
        </w:rPr>
        <w:t xml:space="preserve"> Alacare</w:t>
      </w:r>
      <w:r>
        <w:rPr>
          <w:noProof w:val="0"/>
          <w:szCs w:val="22"/>
        </w:rPr>
        <w:t xml:space="preserve"> aplikujú oveľa dlhšie než 4 hodiny a ak sa zvolí oveľa vyššia </w:t>
      </w:r>
      <w:r>
        <w:rPr>
          <w:iCs/>
          <w:noProof w:val="0"/>
          <w:szCs w:val="22"/>
        </w:rPr>
        <w:t xml:space="preserve"> dávka svetla, než je odporúčaných 37 J/cm</w:t>
      </w:r>
      <w:r>
        <w:rPr>
          <w:iCs/>
          <w:noProof w:val="0"/>
          <w:szCs w:val="22"/>
          <w:vertAlign w:val="superscript"/>
        </w:rPr>
        <w:t>2</w:t>
      </w:r>
      <w:r>
        <w:rPr>
          <w:iCs/>
          <w:noProof w:val="0"/>
          <w:szCs w:val="22"/>
        </w:rPr>
        <w:t xml:space="preserve">. 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D4108A" w:rsidRPr="00F42750" w:rsidRDefault="00D4108A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580C0F">
      <w:pPr>
        <w:tabs>
          <w:tab w:val="clear" w:pos="567"/>
        </w:tabs>
        <w:spacing w:line="240" w:lineRule="auto"/>
        <w:ind w:left="567" w:hanging="567"/>
        <w:rPr>
          <w:b/>
          <w:noProof w:val="0"/>
          <w:szCs w:val="22"/>
        </w:rPr>
      </w:pPr>
      <w:r w:rsidRPr="00580C0F">
        <w:rPr>
          <w:b/>
          <w:noProof w:val="0"/>
          <w:szCs w:val="22"/>
        </w:rPr>
        <w:t>5.</w:t>
      </w:r>
      <w:r w:rsidRPr="00580C0F">
        <w:rPr>
          <w:b/>
          <w:noProof w:val="0"/>
          <w:szCs w:val="22"/>
        </w:rPr>
        <w:tab/>
        <w:t>FARMAKOLOGICKÉ VLASTNOSTI</w:t>
      </w:r>
    </w:p>
    <w:p w:rsidR="00F42750" w:rsidRDefault="00F42750">
      <w:pPr>
        <w:tabs>
          <w:tab w:val="clear" w:pos="567"/>
        </w:tabs>
        <w:spacing w:line="240" w:lineRule="auto"/>
        <w:ind w:left="567" w:hanging="567"/>
        <w:rPr>
          <w:noProof w:val="0"/>
          <w:szCs w:val="22"/>
        </w:rPr>
      </w:pPr>
    </w:p>
    <w:p w:rsidR="00F42750" w:rsidRPr="00F42750" w:rsidRDefault="00F42750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r w:rsidRPr="00F42750">
        <w:rPr>
          <w:b/>
          <w:noProof w:val="0"/>
          <w:szCs w:val="22"/>
        </w:rPr>
        <w:t xml:space="preserve">5.1 </w:t>
      </w:r>
      <w:r w:rsidRPr="00F42750">
        <w:rPr>
          <w:b/>
          <w:noProof w:val="0"/>
          <w:szCs w:val="22"/>
        </w:rPr>
        <w:tab/>
        <w:t>Farmakodynamické vlastnosti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8A6E17">
      <w:pPr>
        <w:tabs>
          <w:tab w:val="clear" w:pos="567"/>
        </w:tabs>
        <w:spacing w:line="240" w:lineRule="auto"/>
        <w:outlineLvl w:val="0"/>
        <w:rPr>
          <w:noProof w:val="0"/>
          <w:szCs w:val="22"/>
          <w:u w:val="single"/>
        </w:rPr>
      </w:pPr>
      <w:r w:rsidRPr="008A6E17">
        <w:rPr>
          <w:noProof w:val="0"/>
          <w:szCs w:val="22"/>
          <w:u w:val="single"/>
        </w:rPr>
        <w:t>Farmakoterapeutická skupina:</w:t>
      </w:r>
    </w:p>
    <w:p w:rsidR="00F42750" w:rsidRDefault="00792C61">
      <w:pPr>
        <w:tabs>
          <w:tab w:val="clear" w:pos="567"/>
        </w:tabs>
        <w:spacing w:line="240" w:lineRule="auto"/>
        <w:outlineLvl w:val="0"/>
        <w:rPr>
          <w:noProof w:val="0"/>
          <w:szCs w:val="22"/>
        </w:rPr>
      </w:pPr>
      <w:r>
        <w:rPr>
          <w:noProof w:val="0"/>
          <w:szCs w:val="22"/>
        </w:rPr>
        <w:t>Liečivá</w:t>
      </w:r>
      <w:r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 xml:space="preserve">používané pri fotodynamickej/radiačnej </w:t>
      </w:r>
      <w:r>
        <w:rPr>
          <w:noProof w:val="0"/>
          <w:szCs w:val="22"/>
        </w:rPr>
        <w:t>terapii</w:t>
      </w:r>
      <w:r w:rsidR="00B740EE" w:rsidRPr="001E1D62">
        <w:rPr>
          <w:noProof w:val="0"/>
          <w:szCs w:val="22"/>
        </w:rPr>
        <w:t>, ATC kód: L01XD04</w:t>
      </w:r>
    </w:p>
    <w:p w:rsidR="00F42750" w:rsidRDefault="00F42750">
      <w:pPr>
        <w:tabs>
          <w:tab w:val="clear" w:pos="567"/>
        </w:tabs>
        <w:spacing w:line="240" w:lineRule="auto"/>
        <w:rPr>
          <w:i/>
          <w:noProof w:val="0"/>
          <w:szCs w:val="22"/>
        </w:rPr>
      </w:pPr>
    </w:p>
    <w:p w:rsidR="006902A5" w:rsidRDefault="00B740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 w:val="0"/>
          <w:szCs w:val="22"/>
          <w:u w:val="single"/>
        </w:rPr>
      </w:pPr>
      <w:r w:rsidRPr="001E1D62">
        <w:rPr>
          <w:noProof w:val="0"/>
          <w:szCs w:val="22"/>
          <w:u w:val="single"/>
        </w:rPr>
        <w:t>Mechanizmus účinku:</w:t>
      </w:r>
    </w:p>
    <w:p w:rsidR="006902A5" w:rsidRDefault="009C43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 xml:space="preserve">Po lokálnej aplikácii kyseliny 5-aminolevulovej sa jej metabolit protoporfyrín IX (PPIX) akumuluje intracelulárne v mieste lézie AK. Intracelulárny PPIX je fotoaktívna fluoreskujúca </w:t>
      </w:r>
      <w:r w:rsidR="00E6056C">
        <w:rPr>
          <w:noProof w:val="0"/>
          <w:szCs w:val="22"/>
        </w:rPr>
        <w:t>zlúčenina</w:t>
      </w:r>
      <w:r w:rsidR="00B740EE" w:rsidRPr="001E1D62">
        <w:rPr>
          <w:noProof w:val="0"/>
          <w:szCs w:val="22"/>
        </w:rPr>
        <w:t xml:space="preserve">, ktorá po aktivácii svetlom v prítomnosti kyslíka vyvoláva tvorbu singletového kyslíka. Singletový kyslík spôsobuje poškodenie bunkových kompartmentov v cieľových bunkách, ktoré sú vystavené pôsobeniu svetla, najmä mitochondrií. </w:t>
      </w:r>
    </w:p>
    <w:p w:rsidR="006902A5" w:rsidRDefault="00B740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</w:rPr>
        <w:t xml:space="preserve">V klinickej štúdii sledujúcej 12 pacientov s AK s miernymi až stredne ťažkými léziami AK v oblasti hlavy a/alebo tváre bola špecifická fluorescencia PPIX vyvolaná </w:t>
      </w:r>
      <w:r w:rsidR="00556BF5">
        <w:rPr>
          <w:noProof w:val="0"/>
          <w:szCs w:val="22"/>
        </w:rPr>
        <w:t>Alacare</w:t>
      </w:r>
      <w:r w:rsidRPr="001E1D62">
        <w:rPr>
          <w:noProof w:val="0"/>
          <w:szCs w:val="22"/>
        </w:rPr>
        <w:t xml:space="preserve"> v ložiskách AK vyššia než </w:t>
      </w:r>
      <w:r w:rsidR="009C43BF">
        <w:rPr>
          <w:noProof w:val="0"/>
          <w:szCs w:val="22"/>
        </w:rPr>
        <w:t xml:space="preserve">v normálnej koži a zvyšovala sa s dĺžkou pôsobenia </w:t>
      </w:r>
      <w:r w:rsidR="00556BF5">
        <w:rPr>
          <w:noProof w:val="0"/>
          <w:szCs w:val="22"/>
        </w:rPr>
        <w:t>Alacare</w:t>
      </w:r>
      <w:r w:rsidR="009C43BF">
        <w:rPr>
          <w:noProof w:val="0"/>
          <w:szCs w:val="22"/>
        </w:rPr>
        <w:t xml:space="preserve">. Avšak predĺženie intervalu pôsobenia nad 4 hodiny neviedlo k vyššej fluorescencii PPIX bezprostredne po odstránení náplasti. Fluorescencia dosiahla svoje maximum 6 hodín po odstránení náplasti, pričom na východiskovú hodnotu sa vrátila až 48 hodín po odstránení náplasti. </w:t>
      </w:r>
    </w:p>
    <w:p w:rsidR="006902A5" w:rsidRDefault="006902A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 w:val="0"/>
          <w:szCs w:val="22"/>
          <w:u w:val="single"/>
        </w:rPr>
      </w:pPr>
    </w:p>
    <w:p w:rsidR="00B740EE" w:rsidRPr="001E1D62" w:rsidRDefault="009C43BF" w:rsidP="001E1D62">
      <w:pPr>
        <w:autoSpaceDE w:val="0"/>
        <w:autoSpaceDN w:val="0"/>
        <w:adjustRightInd w:val="0"/>
        <w:spacing w:line="240" w:lineRule="auto"/>
        <w:rPr>
          <w:noProof w:val="0"/>
          <w:szCs w:val="22"/>
        </w:rPr>
      </w:pPr>
      <w:r>
        <w:rPr>
          <w:noProof w:val="0"/>
          <w:szCs w:val="22"/>
          <w:u w:val="single"/>
        </w:rPr>
        <w:t>Klinická účinnosť a bezpečnosť:</w:t>
      </w:r>
    </w:p>
    <w:p w:rsidR="006902A5" w:rsidRDefault="009C43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 xml:space="preserve">Účinnosť </w:t>
      </w:r>
      <w:r w:rsidR="00556BF5">
        <w:rPr>
          <w:noProof w:val="0"/>
          <w:szCs w:val="22"/>
        </w:rPr>
        <w:t>Alacare</w:t>
      </w:r>
      <w:r>
        <w:rPr>
          <w:noProof w:val="0"/>
          <w:szCs w:val="22"/>
        </w:rPr>
        <w:t xml:space="preserve"> sa sledovala v dvoch randomizovaných, placebom kontrolovaných klinických štúdiách. Štúdia č. 1, ktorá bola zaslepená pre pozorovateľov, mala zaradených 107 pacientov a obdobie ďalšieho sledovania bolo 6, 9 a 12 mesiacov. Všetci pacienti mali minimálne 3 malé až stredne veľké lézie AK na pokožke hlavy a/alebo na tvári. </w:t>
      </w:r>
      <w:r w:rsidR="00556BF5">
        <w:rPr>
          <w:noProof w:val="0"/>
          <w:szCs w:val="22"/>
        </w:rPr>
        <w:t>Alacare</w:t>
      </w:r>
      <w:r>
        <w:rPr>
          <w:noProof w:val="0"/>
          <w:szCs w:val="22"/>
        </w:rPr>
        <w:t xml:space="preserve"> sa aplikovala na lézie AK v trvaní 4 hodín bez predchádzajúcej prípravy lézie, následne sa lézie ožiarili červeným svetlom s vlnovou dĺžkou λ 630 ± 3 nm (37 J/cm</w:t>
      </w:r>
      <w:r>
        <w:rPr>
          <w:noProof w:val="0"/>
          <w:szCs w:val="22"/>
          <w:vertAlign w:val="superscript"/>
        </w:rPr>
        <w:t>2</w:t>
      </w:r>
      <w:r>
        <w:rPr>
          <w:noProof w:val="0"/>
          <w:szCs w:val="22"/>
        </w:rPr>
        <w:t xml:space="preserve">). </w:t>
      </w:r>
    </w:p>
    <w:p w:rsidR="006902A5" w:rsidRDefault="009C43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 xml:space="preserve">Do štúdie č. 2 bolo zaradených 349 pacientov, v rámci PDT sa aplikovala </w:t>
      </w:r>
      <w:r w:rsidR="00556BF5">
        <w:rPr>
          <w:noProof w:val="0"/>
          <w:szCs w:val="22"/>
        </w:rPr>
        <w:t>Alacare</w:t>
      </w:r>
      <w:r>
        <w:rPr>
          <w:noProof w:val="0"/>
          <w:szCs w:val="22"/>
        </w:rPr>
        <w:t xml:space="preserve"> v rovnakom režime, ako je popísané vyššie, pričom táto terapia sa porovnávala s kryochirurgiou a placebovou PDT. Liečba </w:t>
      </w:r>
      <w:r w:rsidR="00556BF5">
        <w:rPr>
          <w:noProof w:val="0"/>
          <w:szCs w:val="22"/>
        </w:rPr>
        <w:t>Alacare</w:t>
      </w:r>
      <w:r>
        <w:rPr>
          <w:noProof w:val="0"/>
          <w:szCs w:val="22"/>
        </w:rPr>
        <w:t>a placebom boli pre pozorovateľa zaslepené, pri kryochirurgii sa zaslepenie neuplatňovalo.</w:t>
      </w:r>
    </w:p>
    <w:p w:rsidR="006902A5" w:rsidRDefault="006902A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 w:val="0"/>
          <w:szCs w:val="22"/>
        </w:rPr>
      </w:pPr>
    </w:p>
    <w:p w:rsidR="006902A5" w:rsidRDefault="009C43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 w:val="0"/>
          <w:szCs w:val="22"/>
        </w:rPr>
      </w:pPr>
      <w:r>
        <w:rPr>
          <w:b/>
          <w:i/>
          <w:noProof w:val="0"/>
          <w:szCs w:val="22"/>
        </w:rPr>
        <w:t>Tabuľka 2.</w:t>
      </w:r>
      <w:r>
        <w:rPr>
          <w:i/>
          <w:noProof w:val="0"/>
          <w:szCs w:val="22"/>
        </w:rPr>
        <w:t xml:space="preserve"> Výsledky hlavných klinických štúdií 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588"/>
        <w:gridCol w:w="1281"/>
        <w:gridCol w:w="1281"/>
        <w:gridCol w:w="1281"/>
        <w:gridCol w:w="1282"/>
        <w:gridCol w:w="1349"/>
      </w:tblGrid>
      <w:tr w:rsidR="00B740EE" w:rsidRPr="001E1D62" w:rsidTr="005505AB">
        <w:tc>
          <w:tcPr>
            <w:tcW w:w="143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noProof w:val="0"/>
                <w:sz w:val="22"/>
                <w:szCs w:val="22"/>
              </w:rPr>
            </w:pPr>
            <w:proofErr w:type="spellStart"/>
            <w:r>
              <w:rPr>
                <w:b/>
                <w:noProof w:val="0"/>
                <w:szCs w:val="22"/>
              </w:rPr>
              <w:t>Štúdia</w:t>
            </w:r>
            <w:proofErr w:type="spellEnd"/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noProof w:val="0"/>
                <w:sz w:val="22"/>
                <w:szCs w:val="22"/>
              </w:rPr>
            </w:pPr>
            <w:r>
              <w:rPr>
                <w:b/>
                <w:noProof w:val="0"/>
                <w:szCs w:val="22"/>
              </w:rPr>
              <w:t>1</w:t>
            </w:r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noProof w:val="0"/>
                <w:sz w:val="22"/>
                <w:szCs w:val="22"/>
              </w:rPr>
            </w:pP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noProof w:val="0"/>
                <w:sz w:val="22"/>
                <w:szCs w:val="22"/>
              </w:rPr>
            </w:pPr>
            <w:r>
              <w:rPr>
                <w:b/>
                <w:noProof w:val="0"/>
                <w:szCs w:val="22"/>
              </w:rPr>
              <w:t>2</w:t>
            </w:r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</w:tc>
      </w:tr>
      <w:tr w:rsidR="00B740EE" w:rsidRPr="001E1D62" w:rsidTr="005505AB">
        <w:tc>
          <w:tcPr>
            <w:tcW w:w="143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proofErr w:type="spellStart"/>
            <w:r>
              <w:rPr>
                <w:noProof w:val="0"/>
                <w:szCs w:val="22"/>
              </w:rPr>
              <w:t>Liečba</w:t>
            </w:r>
            <w:proofErr w:type="spellEnd"/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Placebo</w:t>
            </w:r>
          </w:p>
        </w:tc>
        <w:tc>
          <w:tcPr>
            <w:tcW w:w="713" w:type="pct"/>
            <w:shd w:val="clear" w:color="auto" w:fill="auto"/>
          </w:tcPr>
          <w:p w:rsidR="006902A5" w:rsidRDefault="00556BF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proofErr w:type="spellStart"/>
            <w:r>
              <w:rPr>
                <w:noProof w:val="0"/>
                <w:szCs w:val="22"/>
              </w:rPr>
              <w:t>Alacare</w:t>
            </w:r>
            <w:proofErr w:type="spellEnd"/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Placebo</w:t>
            </w:r>
          </w:p>
        </w:tc>
        <w:tc>
          <w:tcPr>
            <w:tcW w:w="713" w:type="pct"/>
            <w:shd w:val="clear" w:color="auto" w:fill="auto"/>
          </w:tcPr>
          <w:p w:rsidR="006902A5" w:rsidRDefault="00556BF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proofErr w:type="spellStart"/>
            <w:r>
              <w:rPr>
                <w:noProof w:val="0"/>
                <w:szCs w:val="22"/>
              </w:rPr>
              <w:t>Alacare</w:t>
            </w:r>
            <w:proofErr w:type="spellEnd"/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proofErr w:type="spellStart"/>
            <w:r>
              <w:rPr>
                <w:noProof w:val="0"/>
                <w:szCs w:val="22"/>
              </w:rPr>
              <w:t>Kryochirurgia</w:t>
            </w:r>
            <w:proofErr w:type="spellEnd"/>
          </w:p>
        </w:tc>
      </w:tr>
      <w:tr w:rsidR="00B740EE" w:rsidRPr="001E1D62" w:rsidTr="005505AB">
        <w:tc>
          <w:tcPr>
            <w:tcW w:w="143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N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33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66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48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144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139</w:t>
            </w:r>
          </w:p>
        </w:tc>
      </w:tr>
      <w:tr w:rsidR="00B740EE" w:rsidRPr="001E1D62" w:rsidTr="005505AB">
        <w:tc>
          <w:tcPr>
            <w:tcW w:w="143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proofErr w:type="spellStart"/>
            <w:r>
              <w:rPr>
                <w:noProof w:val="0"/>
                <w:szCs w:val="22"/>
              </w:rPr>
              <w:t>Pacienti</w:t>
            </w:r>
            <w:proofErr w:type="spellEnd"/>
            <w:r>
              <w:rPr>
                <w:noProof w:val="0"/>
                <w:szCs w:val="22"/>
              </w:rPr>
              <w:t xml:space="preserve"> </w:t>
            </w:r>
            <w:proofErr w:type="spellStart"/>
            <w:r>
              <w:rPr>
                <w:noProof w:val="0"/>
                <w:szCs w:val="22"/>
              </w:rPr>
              <w:t>reagujúci</w:t>
            </w:r>
            <w:proofErr w:type="spellEnd"/>
            <w:r>
              <w:rPr>
                <w:noProof w:val="0"/>
                <w:szCs w:val="22"/>
              </w:rPr>
              <w:t xml:space="preserve"> v 12. </w:t>
            </w:r>
            <w:proofErr w:type="spellStart"/>
            <w:r>
              <w:rPr>
                <w:noProof w:val="0"/>
                <w:szCs w:val="22"/>
              </w:rPr>
              <w:t>týždni</w:t>
            </w:r>
            <w:proofErr w:type="spellEnd"/>
            <w:r>
              <w:rPr>
                <w:noProof w:val="0"/>
                <w:szCs w:val="22"/>
              </w:rPr>
              <w:t xml:space="preserve"> *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6 %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62 %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15 %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64 %</w:t>
            </w:r>
          </w:p>
        </w:tc>
        <w:tc>
          <w:tcPr>
            <w:tcW w:w="713" w:type="pct"/>
            <w:shd w:val="clear" w:color="auto" w:fill="auto"/>
          </w:tcPr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53 %</w:t>
            </w:r>
          </w:p>
        </w:tc>
      </w:tr>
      <w:tr w:rsidR="00B740EE" w:rsidRPr="001E1D62" w:rsidTr="005505AB">
        <w:tc>
          <w:tcPr>
            <w:tcW w:w="1433" w:type="pct"/>
            <w:shd w:val="clear" w:color="auto" w:fill="auto"/>
          </w:tcPr>
          <w:p w:rsidR="006902A5" w:rsidRPr="00C04401" w:rsidRDefault="008A6E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  <w:lang w:val="pt-PT"/>
              </w:rPr>
            </w:pPr>
            <w:r w:rsidRPr="00C04401">
              <w:rPr>
                <w:noProof w:val="0"/>
                <w:szCs w:val="22"/>
                <w:lang w:val="pt-PT"/>
              </w:rPr>
              <w:t xml:space="preserve">Bez rekurencie u pacienta počas  </w:t>
            </w:r>
          </w:p>
          <w:p w:rsidR="006902A5" w:rsidRPr="00C04401" w:rsidRDefault="008A6E17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  <w:lang w:val="pt-PT"/>
              </w:rPr>
            </w:pPr>
            <w:r w:rsidRPr="00C04401">
              <w:rPr>
                <w:noProof w:val="0"/>
                <w:szCs w:val="22"/>
                <w:lang w:val="pt-PT"/>
              </w:rPr>
              <w:t xml:space="preserve">6 mesiacov </w:t>
            </w:r>
          </w:p>
          <w:p w:rsidR="00B740EE" w:rsidRPr="001E1D62" w:rsidRDefault="00580C0F" w:rsidP="001E1D62">
            <w:pPr>
              <w:autoSpaceDE w:val="0"/>
              <w:autoSpaceDN w:val="0"/>
              <w:adjustRightInd w:val="0"/>
              <w:rPr>
                <w:noProof w:val="0"/>
                <w:sz w:val="22"/>
                <w:szCs w:val="22"/>
              </w:rPr>
            </w:pPr>
            <w:r w:rsidRPr="00580C0F">
              <w:rPr>
                <w:noProof w:val="0"/>
                <w:szCs w:val="22"/>
              </w:rPr>
              <w:t xml:space="preserve">9 </w:t>
            </w:r>
            <w:proofErr w:type="spellStart"/>
            <w:r w:rsidRPr="00580C0F">
              <w:rPr>
                <w:noProof w:val="0"/>
                <w:szCs w:val="22"/>
              </w:rPr>
              <w:t>mesiacov</w:t>
            </w:r>
            <w:proofErr w:type="spellEnd"/>
          </w:p>
          <w:p w:rsidR="00B740EE" w:rsidRPr="001E1D62" w:rsidRDefault="009C43BF" w:rsidP="001E1D62">
            <w:pPr>
              <w:autoSpaceDE w:val="0"/>
              <w:autoSpaceDN w:val="0"/>
              <w:adjustRightInd w:val="0"/>
              <w:rPr>
                <w:noProof w:val="0"/>
                <w:sz w:val="22"/>
                <w:szCs w:val="22"/>
              </w:rPr>
            </w:pPr>
            <w:r w:rsidRPr="009C43BF">
              <w:rPr>
                <w:noProof w:val="0"/>
                <w:szCs w:val="22"/>
              </w:rPr>
              <w:t xml:space="preserve">12 </w:t>
            </w:r>
            <w:proofErr w:type="spellStart"/>
            <w:r w:rsidRPr="009C43BF">
              <w:rPr>
                <w:noProof w:val="0"/>
                <w:szCs w:val="22"/>
              </w:rPr>
              <w:t>mesiacov</w:t>
            </w:r>
            <w:proofErr w:type="spellEnd"/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0 %</w:t>
            </w:r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75 %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60 %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52 %</w:t>
            </w:r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86 %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86 %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86 %</w:t>
            </w:r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87 %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78 %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73 %</w:t>
            </w:r>
          </w:p>
        </w:tc>
        <w:tc>
          <w:tcPr>
            <w:tcW w:w="713" w:type="pct"/>
            <w:shd w:val="clear" w:color="auto" w:fill="auto"/>
          </w:tcPr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6902A5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84 %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75 %</w:t>
            </w:r>
          </w:p>
          <w:p w:rsidR="006902A5" w:rsidRDefault="009C43BF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Cs w:val="22"/>
              </w:rPr>
              <w:t>71 %</w:t>
            </w:r>
          </w:p>
        </w:tc>
      </w:tr>
    </w:tbl>
    <w:p w:rsidR="006902A5" w:rsidRDefault="009C43B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 w:val="0"/>
          <w:szCs w:val="22"/>
        </w:rPr>
      </w:pPr>
      <w:r>
        <w:rPr>
          <w:i/>
          <w:noProof w:val="0"/>
          <w:szCs w:val="22"/>
        </w:rPr>
        <w:t xml:space="preserve">*Definovaný ako pacient s úplným vymiznutím všetkých lézií </w:t>
      </w:r>
    </w:p>
    <w:p w:rsidR="00B740EE" w:rsidRPr="001E1D62" w:rsidRDefault="00B740EE" w:rsidP="001E1D62">
      <w:pPr>
        <w:numPr>
          <w:ilvl w:val="12"/>
          <w:numId w:val="0"/>
        </w:numPr>
        <w:ind w:right="-2"/>
        <w:rPr>
          <w:iCs/>
          <w:noProof w:val="0"/>
          <w:szCs w:val="22"/>
        </w:rPr>
      </w:pPr>
    </w:p>
    <w:p w:rsidR="00B740EE" w:rsidRPr="001E1D62" w:rsidRDefault="00F42750" w:rsidP="00FA3663">
      <w:pPr>
        <w:keepNext/>
        <w:keepLines/>
        <w:tabs>
          <w:tab w:val="clear" w:pos="567"/>
        </w:tabs>
        <w:spacing w:after="120" w:line="240" w:lineRule="auto"/>
        <w:ind w:left="567" w:hanging="567"/>
        <w:outlineLvl w:val="0"/>
        <w:rPr>
          <w:b/>
          <w:noProof w:val="0"/>
          <w:szCs w:val="22"/>
        </w:rPr>
      </w:pPr>
      <w:r w:rsidRPr="00F42750">
        <w:rPr>
          <w:b/>
          <w:noProof w:val="0"/>
          <w:szCs w:val="22"/>
        </w:rPr>
        <w:lastRenderedPageBreak/>
        <w:t>5.2</w:t>
      </w:r>
      <w:r w:rsidRPr="00F42750">
        <w:rPr>
          <w:b/>
          <w:noProof w:val="0"/>
          <w:szCs w:val="22"/>
        </w:rPr>
        <w:tab/>
        <w:t>Farmakokinetické vlastnosti</w:t>
      </w:r>
    </w:p>
    <w:p w:rsidR="00B740EE" w:rsidRPr="001E1D62" w:rsidRDefault="009C43BF" w:rsidP="00FA3663">
      <w:pPr>
        <w:keepNext/>
        <w:keepLines/>
        <w:numPr>
          <w:ilvl w:val="12"/>
          <w:numId w:val="0"/>
        </w:numPr>
        <w:ind w:right="-2"/>
        <w:rPr>
          <w:noProof w:val="0"/>
          <w:szCs w:val="22"/>
        </w:rPr>
      </w:pPr>
      <w:r>
        <w:rPr>
          <w:iCs/>
          <w:noProof w:val="0"/>
          <w:szCs w:val="22"/>
        </w:rPr>
        <w:t xml:space="preserve">Farmakokinetické údaje z klinickej štúdie u pacientov s miernou a stredne ťažkou formou aktinickej keratózy v oblasti hlavy a/alebo tváre, u ktorých sa aplikovalo 8 náplastí </w:t>
      </w:r>
      <w:r w:rsidR="00556BF5">
        <w:rPr>
          <w:noProof w:val="0"/>
          <w:szCs w:val="22"/>
        </w:rPr>
        <w:t>Alacare</w:t>
      </w:r>
      <w:r>
        <w:rPr>
          <w:noProof w:val="0"/>
          <w:szCs w:val="22"/>
        </w:rPr>
        <w:t xml:space="preserve"> v trvaní 4 hodín, ukazovali hodnoty C</w:t>
      </w:r>
      <w:r>
        <w:rPr>
          <w:noProof w:val="0"/>
          <w:szCs w:val="22"/>
          <w:vertAlign w:val="subscript"/>
        </w:rPr>
        <w:t>max</w:t>
      </w:r>
      <w:r>
        <w:rPr>
          <w:noProof w:val="0"/>
          <w:szCs w:val="22"/>
        </w:rPr>
        <w:t xml:space="preserve"> 19,707 </w:t>
      </w:r>
      <w:r>
        <w:rPr>
          <w:iCs/>
          <w:noProof w:val="0"/>
          <w:szCs w:val="22"/>
        </w:rPr>
        <w:t>µg/l a AUC</w:t>
      </w:r>
      <w:r>
        <w:rPr>
          <w:iCs/>
          <w:noProof w:val="0"/>
          <w:szCs w:val="22"/>
          <w:vertAlign w:val="subscript"/>
        </w:rPr>
        <w:t xml:space="preserve">0-24 </w:t>
      </w:r>
      <w:r>
        <w:rPr>
          <w:iCs/>
          <w:noProof w:val="0"/>
          <w:szCs w:val="22"/>
        </w:rPr>
        <w:t xml:space="preserve"> 137,627 µg*h/l </w:t>
      </w:r>
      <w:r>
        <w:rPr>
          <w:noProof w:val="0"/>
          <w:szCs w:val="22"/>
        </w:rPr>
        <w:t>korigované na východiskovú hodnotu pri aplikácii exogénnej kyseliny 5-aminolevulovej. Hodnota T</w:t>
      </w:r>
      <w:r>
        <w:rPr>
          <w:noProof w:val="0"/>
          <w:szCs w:val="22"/>
          <w:vertAlign w:val="subscript"/>
        </w:rPr>
        <w:t>max</w:t>
      </w:r>
      <w:r>
        <w:rPr>
          <w:noProof w:val="0"/>
          <w:szCs w:val="22"/>
        </w:rPr>
        <w:t xml:space="preserve"> bola 4 hodiny. Vylučovanie 5-ALA močom počas prvých 12 hodín po aplikácii bolo nízke. Maximálna miera exkrécie dosahovala hodnoty 2,06 % celkovej dávky, pričom medián bol 1,39 %.</w:t>
      </w:r>
    </w:p>
    <w:p w:rsidR="00B740EE" w:rsidRPr="001E1D62" w:rsidRDefault="009C43BF" w:rsidP="001E1D62">
      <w:pPr>
        <w:numPr>
          <w:ilvl w:val="12"/>
          <w:numId w:val="0"/>
        </w:numPr>
        <w:ind w:right="-2"/>
        <w:rPr>
          <w:iCs/>
          <w:noProof w:val="0"/>
          <w:szCs w:val="22"/>
        </w:rPr>
      </w:pPr>
      <w:r>
        <w:rPr>
          <w:noProof w:val="0"/>
          <w:szCs w:val="22"/>
        </w:rPr>
        <w:t>PPIX sa nezistil v žiadnej zo vzoriek plazmy.</w:t>
      </w:r>
    </w:p>
    <w:p w:rsidR="00B740EE" w:rsidRPr="001E1D62" w:rsidRDefault="00B740EE" w:rsidP="001E1D62">
      <w:pPr>
        <w:rPr>
          <w:noProof w:val="0"/>
          <w:szCs w:val="22"/>
        </w:rPr>
      </w:pPr>
    </w:p>
    <w:p w:rsidR="006902A5" w:rsidRDefault="00F42750">
      <w:pPr>
        <w:pStyle w:val="Nadpis4"/>
        <w:jc w:val="left"/>
        <w:rPr>
          <w:noProof w:val="0"/>
          <w:szCs w:val="22"/>
        </w:rPr>
      </w:pPr>
      <w:r w:rsidRPr="00F42750">
        <w:rPr>
          <w:noProof w:val="0"/>
          <w:szCs w:val="22"/>
        </w:rPr>
        <w:t>5.3</w:t>
      </w:r>
      <w:r w:rsidRPr="00F42750">
        <w:rPr>
          <w:noProof w:val="0"/>
          <w:szCs w:val="22"/>
        </w:rPr>
        <w:tab/>
        <w:t>Predklinické údaje o bezpečnosti</w:t>
      </w:r>
    </w:p>
    <w:p w:rsidR="00B740EE" w:rsidRPr="001E1D62" w:rsidRDefault="008A6E17" w:rsidP="001E1D62">
      <w:pPr>
        <w:tabs>
          <w:tab w:val="clear" w:pos="567"/>
        </w:tabs>
        <w:spacing w:before="240" w:line="240" w:lineRule="auto"/>
        <w:rPr>
          <w:noProof w:val="0"/>
          <w:szCs w:val="22"/>
        </w:rPr>
      </w:pPr>
      <w:r w:rsidRPr="008A6E17">
        <w:rPr>
          <w:noProof w:val="0"/>
          <w:szCs w:val="22"/>
        </w:rPr>
        <w:t xml:space="preserve">Predklinické štúdie všeobecnej toxicity a štúdie genotoxicity za prítomnosti fotoaktivácie alebo pri jej absencii neodhalili potenciálne riziko pre človeka. S kyselinou 5-aminolevulovou neboli vykonané žiadne konvenčné štúdie karcinogenity. Štúdie uvádzané v literatúre neodhaľujú žiadny karcinogénny potenciál. Štúdie týkajúce sa vývoja embrya a plodu nepreukazujú žiaden škodlivý účinok. Ostatné štúdie týkajúce sa reprodukčnej funkcie sa nevykonali. </w:t>
      </w:r>
    </w:p>
    <w:p w:rsidR="00B740EE" w:rsidRPr="001E1D62" w:rsidRDefault="00B740EE" w:rsidP="001E1D62">
      <w:pPr>
        <w:tabs>
          <w:tab w:val="clear" w:pos="567"/>
        </w:tabs>
        <w:rPr>
          <w:noProof w:val="0"/>
          <w:szCs w:val="22"/>
        </w:rPr>
      </w:pPr>
    </w:p>
    <w:p w:rsidR="00B740EE" w:rsidRPr="001E1D62" w:rsidRDefault="00B740EE" w:rsidP="001E1D62">
      <w:pPr>
        <w:tabs>
          <w:tab w:val="clear" w:pos="567"/>
        </w:tabs>
        <w:rPr>
          <w:noProof w:val="0"/>
          <w:szCs w:val="22"/>
        </w:rPr>
      </w:pPr>
    </w:p>
    <w:p w:rsidR="00B740EE" w:rsidRPr="001E1D62" w:rsidRDefault="008A6E17" w:rsidP="001E1D62">
      <w:pPr>
        <w:tabs>
          <w:tab w:val="clear" w:pos="567"/>
        </w:tabs>
        <w:spacing w:line="240" w:lineRule="auto"/>
        <w:ind w:left="567" w:hanging="567"/>
        <w:rPr>
          <w:b/>
          <w:noProof w:val="0"/>
          <w:szCs w:val="22"/>
        </w:rPr>
      </w:pPr>
      <w:r w:rsidRPr="008A6E17">
        <w:rPr>
          <w:b/>
          <w:noProof w:val="0"/>
          <w:szCs w:val="22"/>
        </w:rPr>
        <w:t>6.</w:t>
      </w:r>
      <w:r w:rsidRPr="008A6E17">
        <w:rPr>
          <w:b/>
          <w:noProof w:val="0"/>
          <w:szCs w:val="22"/>
        </w:rPr>
        <w:tab/>
        <w:t>FARMACEUTICKÉ INFORMÁCIE</w:t>
      </w:r>
    </w:p>
    <w:p w:rsidR="00B740EE" w:rsidRPr="001E1D62" w:rsidRDefault="00B740EE" w:rsidP="001E1D62">
      <w:pPr>
        <w:tabs>
          <w:tab w:val="clear" w:pos="567"/>
        </w:tabs>
        <w:rPr>
          <w:noProof w:val="0"/>
          <w:szCs w:val="22"/>
        </w:rPr>
      </w:pPr>
    </w:p>
    <w:p w:rsidR="00F42750" w:rsidRPr="00F42750" w:rsidRDefault="008A6E17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r w:rsidRPr="008A6E17">
        <w:rPr>
          <w:b/>
          <w:noProof w:val="0"/>
          <w:szCs w:val="22"/>
        </w:rPr>
        <w:t>6.1</w:t>
      </w:r>
      <w:r w:rsidRPr="008A6E17">
        <w:rPr>
          <w:b/>
          <w:noProof w:val="0"/>
          <w:szCs w:val="22"/>
        </w:rPr>
        <w:tab/>
        <w:t>Zoznam pomocných látok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i/>
          <w:noProof w:val="0"/>
          <w:szCs w:val="22"/>
        </w:rPr>
      </w:pPr>
    </w:p>
    <w:p w:rsidR="00F42750" w:rsidRPr="00F42750" w:rsidRDefault="008A6E17">
      <w:pPr>
        <w:suppressLineNumbers/>
        <w:rPr>
          <w:noProof w:val="0"/>
          <w:szCs w:val="22"/>
        </w:rPr>
      </w:pPr>
      <w:r w:rsidRPr="008A6E17">
        <w:rPr>
          <w:noProof w:val="0"/>
          <w:szCs w:val="22"/>
        </w:rPr>
        <w:t>Náplasti:</w:t>
      </w:r>
      <w:r w:rsidRPr="008A6E17">
        <w:rPr>
          <w:noProof w:val="0"/>
          <w:szCs w:val="22"/>
        </w:rPr>
        <w:tab/>
        <w:t>Akrylátové adhezívum citlivé na tlak</w:t>
      </w:r>
    </w:p>
    <w:p w:rsidR="00F42750" w:rsidRDefault="008A6E17">
      <w:pPr>
        <w:suppressLineNumbers/>
        <w:rPr>
          <w:noProof w:val="0"/>
          <w:szCs w:val="22"/>
        </w:rPr>
      </w:pPr>
      <w:r w:rsidRPr="008A6E17">
        <w:rPr>
          <w:noProof w:val="0"/>
          <w:szCs w:val="22"/>
        </w:rPr>
        <w:t>Krycia vrstva:</w:t>
      </w:r>
      <w:r w:rsidRPr="008A6E17">
        <w:rPr>
          <w:noProof w:val="0"/>
          <w:szCs w:val="22"/>
        </w:rPr>
        <w:tab/>
      </w:r>
      <w:r w:rsidR="001E1D62">
        <w:rPr>
          <w:noProof w:val="0"/>
          <w:szCs w:val="22"/>
        </w:rPr>
        <w:t>Pigmentovaný</w:t>
      </w:r>
      <w:r w:rsidR="001E1D62" w:rsidRPr="001E1D62">
        <w:rPr>
          <w:noProof w:val="0"/>
          <w:szCs w:val="22"/>
        </w:rPr>
        <w:t xml:space="preserve"> </w:t>
      </w:r>
      <w:r w:rsidR="00B740EE" w:rsidRPr="001E1D62">
        <w:rPr>
          <w:noProof w:val="0"/>
          <w:szCs w:val="22"/>
        </w:rPr>
        <w:t>polyetylén a hliníkom obalený polyester</w:t>
      </w:r>
    </w:p>
    <w:p w:rsidR="00F42750" w:rsidRDefault="00B740EE">
      <w:pPr>
        <w:suppressLineNumbers/>
        <w:rPr>
          <w:noProof w:val="0"/>
          <w:szCs w:val="22"/>
        </w:rPr>
      </w:pPr>
      <w:r w:rsidRPr="001E1D62">
        <w:rPr>
          <w:noProof w:val="0"/>
          <w:szCs w:val="22"/>
        </w:rPr>
        <w:t xml:space="preserve">Ochranný film: (polyetyléntereftalátový film), ktorý sa pred použitím odstráni 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F42750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r w:rsidRPr="00F42750">
        <w:rPr>
          <w:b/>
          <w:noProof w:val="0"/>
          <w:szCs w:val="22"/>
        </w:rPr>
        <w:t>6.2</w:t>
      </w:r>
      <w:r w:rsidRPr="00F42750">
        <w:rPr>
          <w:b/>
          <w:noProof w:val="0"/>
          <w:szCs w:val="22"/>
        </w:rPr>
        <w:tab/>
        <w:t>Inkompatibility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9C43BF">
      <w:pPr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Neaplikovateľné.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580C0F">
      <w:pPr>
        <w:spacing w:line="240" w:lineRule="auto"/>
        <w:ind w:left="567" w:hanging="567"/>
        <w:outlineLvl w:val="0"/>
        <w:rPr>
          <w:noProof w:val="0"/>
          <w:szCs w:val="22"/>
        </w:rPr>
      </w:pPr>
      <w:r w:rsidRPr="00580C0F">
        <w:rPr>
          <w:b/>
          <w:noProof w:val="0"/>
          <w:szCs w:val="22"/>
        </w:rPr>
        <w:t>6.3</w:t>
      </w:r>
      <w:r w:rsidRPr="00580C0F">
        <w:rPr>
          <w:b/>
          <w:noProof w:val="0"/>
          <w:szCs w:val="22"/>
        </w:rPr>
        <w:tab/>
        <w:t>Čas použiteľnosti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B740EE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</w:rPr>
        <w:t>3 roky.</w:t>
      </w:r>
    </w:p>
    <w:p w:rsidR="00F42750" w:rsidRDefault="00B740EE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1E1D62">
        <w:rPr>
          <w:noProof w:val="0"/>
          <w:szCs w:val="22"/>
        </w:rPr>
        <w:t>Po prvom otvorení je čas použiteľnosti 3 mesiace.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B740EE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 w:val="0"/>
          <w:szCs w:val="22"/>
        </w:rPr>
      </w:pPr>
      <w:r w:rsidRPr="001E1D62">
        <w:rPr>
          <w:b/>
          <w:noProof w:val="0"/>
          <w:szCs w:val="22"/>
        </w:rPr>
        <w:t>6.4</w:t>
      </w:r>
      <w:r w:rsidRPr="001E1D62">
        <w:rPr>
          <w:b/>
          <w:noProof w:val="0"/>
          <w:szCs w:val="22"/>
        </w:rPr>
        <w:tab/>
        <w:t>Špeciálne upozornenia na uchovávanie</w:t>
      </w:r>
    </w:p>
    <w:p w:rsidR="00F42750" w:rsidRDefault="00F42750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</w:p>
    <w:p w:rsidR="00F42750" w:rsidRPr="00F42750" w:rsidRDefault="00F42750">
      <w:pPr>
        <w:tabs>
          <w:tab w:val="clear" w:pos="567"/>
        </w:tabs>
        <w:spacing w:line="240" w:lineRule="auto"/>
        <w:rPr>
          <w:i/>
          <w:noProof w:val="0"/>
          <w:color w:val="008000"/>
          <w:szCs w:val="22"/>
        </w:rPr>
      </w:pPr>
      <w:r w:rsidRPr="00F42750">
        <w:rPr>
          <w:noProof w:val="0"/>
          <w:szCs w:val="22"/>
        </w:rPr>
        <w:t>Po otvorení uchovávajte náplasť vo vrecúšku.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9C43BF">
      <w:pPr>
        <w:numPr>
          <w:ilvl w:val="1"/>
          <w:numId w:val="2"/>
        </w:numPr>
        <w:tabs>
          <w:tab w:val="clear" w:pos="570"/>
        </w:tabs>
        <w:spacing w:line="240" w:lineRule="auto"/>
        <w:ind w:left="573" w:hanging="573"/>
        <w:outlineLvl w:val="0"/>
        <w:rPr>
          <w:b/>
          <w:noProof w:val="0"/>
          <w:szCs w:val="22"/>
        </w:rPr>
      </w:pPr>
      <w:r>
        <w:rPr>
          <w:b/>
          <w:noProof w:val="0"/>
          <w:szCs w:val="22"/>
        </w:rPr>
        <w:t>Druh obalu a obsah balenia</w:t>
      </w:r>
    </w:p>
    <w:p w:rsidR="00F42750" w:rsidRPr="00F42750" w:rsidRDefault="00F42750">
      <w:pPr>
        <w:tabs>
          <w:tab w:val="clear" w:pos="567"/>
        </w:tabs>
        <w:spacing w:line="240" w:lineRule="auto"/>
        <w:ind w:left="573"/>
        <w:outlineLvl w:val="0"/>
        <w:rPr>
          <w:b/>
          <w:noProof w:val="0"/>
          <w:szCs w:val="22"/>
        </w:rPr>
      </w:pPr>
    </w:p>
    <w:p w:rsidR="00F42750" w:rsidRPr="00F42750" w:rsidRDefault="00580C0F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580C0F">
        <w:rPr>
          <w:noProof w:val="0"/>
          <w:szCs w:val="22"/>
        </w:rPr>
        <w:t>4 liečivé náplasti uzavreté v ochranných vrecúškach, ktoré sa skladajú zo 4 vrstiev: papier (vonkajšia vrstva), LDPE polyetylén, hliník, etylénový kopolymér (vnútorná vrstva).</w:t>
      </w:r>
    </w:p>
    <w:p w:rsidR="00F42750" w:rsidRPr="00F42750" w:rsidRDefault="008A6E17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8A6E17">
        <w:rPr>
          <w:noProof w:val="0"/>
          <w:szCs w:val="22"/>
        </w:rPr>
        <w:t>Balenie obsahuje 4 alebo 8 liečivých náplastí (v 1 alebo 2 ochranných vrecúškach) v kartónovej škatuľke.</w:t>
      </w:r>
    </w:p>
    <w:p w:rsidR="00F42750" w:rsidRPr="00F42750" w:rsidRDefault="008A6E17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8A6E17">
        <w:rPr>
          <w:noProof w:val="0"/>
          <w:szCs w:val="22"/>
        </w:rPr>
        <w:t>Na trhu nemusia byť dostupné všetky veľkosti balenia.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8A6E17">
      <w:pPr>
        <w:tabs>
          <w:tab w:val="clear" w:pos="567"/>
        </w:tabs>
        <w:spacing w:line="240" w:lineRule="auto"/>
        <w:ind w:left="567" w:hanging="567"/>
        <w:outlineLvl w:val="0"/>
        <w:rPr>
          <w:noProof w:val="0"/>
          <w:szCs w:val="22"/>
        </w:rPr>
      </w:pPr>
      <w:bookmarkStart w:id="1" w:name="OLE_LINK1"/>
      <w:r w:rsidRPr="008A6E17">
        <w:rPr>
          <w:b/>
          <w:noProof w:val="0"/>
          <w:szCs w:val="22"/>
        </w:rPr>
        <w:t>6.6</w:t>
      </w:r>
      <w:r w:rsidRPr="008A6E17">
        <w:rPr>
          <w:b/>
          <w:noProof w:val="0"/>
          <w:szCs w:val="22"/>
        </w:rPr>
        <w:tab/>
        <w:t>Špeciálne opatrenia na likvidáciu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8A6E17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8A6E17">
        <w:rPr>
          <w:iCs/>
          <w:noProof w:val="0"/>
          <w:szCs w:val="22"/>
        </w:rPr>
        <w:t>Použitá náplas</w:t>
      </w:r>
      <w:r w:rsidRPr="008A6E17">
        <w:rPr>
          <w:rFonts w:hint="eastAsia"/>
          <w:iCs/>
          <w:noProof w:val="0"/>
          <w:szCs w:val="22"/>
        </w:rPr>
        <w:t>ť</w:t>
      </w:r>
      <w:r w:rsidRPr="008A6E17">
        <w:rPr>
          <w:iCs/>
          <w:noProof w:val="0"/>
          <w:szCs w:val="22"/>
        </w:rPr>
        <w:t xml:space="preserve"> sa po odstránení musí zloži</w:t>
      </w:r>
      <w:r w:rsidRPr="008A6E17">
        <w:rPr>
          <w:rFonts w:hint="eastAsia"/>
          <w:iCs/>
          <w:noProof w:val="0"/>
          <w:szCs w:val="22"/>
        </w:rPr>
        <w:t>ť</w:t>
      </w:r>
      <w:r w:rsidRPr="008A6E17">
        <w:rPr>
          <w:iCs/>
          <w:noProof w:val="0"/>
          <w:szCs w:val="22"/>
        </w:rPr>
        <w:t xml:space="preserve"> na polovicu adhezívnou stranou dovnútra tak,  aby adhezívum neostalo odhalené a následne sa bezpe</w:t>
      </w:r>
      <w:r w:rsidRPr="008A6E17">
        <w:rPr>
          <w:rFonts w:hint="eastAsia"/>
          <w:iCs/>
          <w:noProof w:val="0"/>
          <w:szCs w:val="22"/>
        </w:rPr>
        <w:t>č</w:t>
      </w:r>
      <w:r w:rsidRPr="008A6E17">
        <w:rPr>
          <w:iCs/>
          <w:noProof w:val="0"/>
          <w:szCs w:val="22"/>
        </w:rPr>
        <w:t xml:space="preserve">ne zlikviduje. </w:t>
      </w:r>
      <w:bookmarkEnd w:id="1"/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B740EE" w:rsidP="00FA3663">
      <w:pPr>
        <w:keepNext/>
        <w:keepLines/>
        <w:tabs>
          <w:tab w:val="clear" w:pos="567"/>
        </w:tabs>
        <w:spacing w:line="240" w:lineRule="auto"/>
        <w:ind w:left="567" w:hanging="567"/>
        <w:rPr>
          <w:noProof w:val="0"/>
          <w:szCs w:val="22"/>
        </w:rPr>
      </w:pPr>
      <w:r w:rsidRPr="001E1D62">
        <w:rPr>
          <w:b/>
          <w:noProof w:val="0"/>
          <w:szCs w:val="22"/>
        </w:rPr>
        <w:lastRenderedPageBreak/>
        <w:t>7.</w:t>
      </w:r>
      <w:r w:rsidRPr="001E1D62">
        <w:rPr>
          <w:b/>
          <w:noProof w:val="0"/>
          <w:szCs w:val="22"/>
        </w:rPr>
        <w:tab/>
        <w:t>DRŽITEĽ ROZHODNUTIA O REGISTRÁCII</w:t>
      </w:r>
    </w:p>
    <w:p w:rsidR="00F42750" w:rsidRDefault="00F42750" w:rsidP="00FA3663">
      <w:pPr>
        <w:keepNext/>
        <w:keepLines/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556BF5" w:rsidP="00FA3663">
      <w:pPr>
        <w:keepNext/>
        <w:keepLines/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photonamic GmbH &amp; Co. KG</w:t>
      </w:r>
    </w:p>
    <w:p w:rsidR="00E845BF" w:rsidRPr="00E845BF" w:rsidRDefault="00E845BF" w:rsidP="00FA3663">
      <w:pPr>
        <w:keepNext/>
        <w:keepLines/>
        <w:tabs>
          <w:tab w:val="clear" w:pos="567"/>
        </w:tabs>
        <w:spacing w:line="240" w:lineRule="auto"/>
        <w:rPr>
          <w:noProof w:val="0"/>
          <w:szCs w:val="22"/>
        </w:rPr>
      </w:pPr>
      <w:r w:rsidRPr="00E845BF">
        <w:rPr>
          <w:noProof w:val="0"/>
          <w:szCs w:val="22"/>
        </w:rPr>
        <w:t>Eggerstedter Weg 12</w:t>
      </w:r>
    </w:p>
    <w:p w:rsidR="00E845BF" w:rsidRDefault="00E845BF" w:rsidP="00FA3663">
      <w:pPr>
        <w:keepNext/>
        <w:keepLines/>
        <w:tabs>
          <w:tab w:val="clear" w:pos="567"/>
        </w:tabs>
        <w:spacing w:line="240" w:lineRule="auto"/>
        <w:rPr>
          <w:noProof w:val="0"/>
          <w:szCs w:val="22"/>
        </w:rPr>
      </w:pPr>
      <w:r w:rsidRPr="00E845BF">
        <w:rPr>
          <w:noProof w:val="0"/>
          <w:szCs w:val="22"/>
        </w:rPr>
        <w:t>25421 Pinneberg</w:t>
      </w:r>
    </w:p>
    <w:p w:rsidR="00556BF5" w:rsidRPr="00F42750" w:rsidRDefault="00556BF5" w:rsidP="00FA3663">
      <w:pPr>
        <w:keepNext/>
        <w:keepLines/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Nemecko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B740EE">
      <w:pPr>
        <w:tabs>
          <w:tab w:val="clear" w:pos="567"/>
        </w:tabs>
        <w:spacing w:line="240" w:lineRule="auto"/>
        <w:ind w:left="567" w:hanging="567"/>
        <w:rPr>
          <w:b/>
          <w:noProof w:val="0"/>
          <w:szCs w:val="22"/>
        </w:rPr>
      </w:pPr>
      <w:r w:rsidRPr="001E1D62">
        <w:rPr>
          <w:b/>
          <w:noProof w:val="0"/>
          <w:szCs w:val="22"/>
        </w:rPr>
        <w:t>8.</w:t>
      </w:r>
      <w:r w:rsidRPr="001E1D62">
        <w:rPr>
          <w:b/>
          <w:noProof w:val="0"/>
          <w:szCs w:val="22"/>
        </w:rPr>
        <w:tab/>
        <w:t>REGISTRAČNÉ ČÍSLO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6D5326">
      <w:pPr>
        <w:tabs>
          <w:tab w:val="clear" w:pos="567"/>
        </w:tabs>
        <w:spacing w:line="240" w:lineRule="auto"/>
        <w:rPr>
          <w:noProof w:val="0"/>
          <w:szCs w:val="22"/>
        </w:rPr>
      </w:pPr>
      <w:r w:rsidRPr="006D5326">
        <w:rPr>
          <w:noProof w:val="0"/>
          <w:szCs w:val="22"/>
        </w:rPr>
        <w:t>44/0255/14-S</w:t>
      </w:r>
    </w:p>
    <w:p w:rsidR="006D5326" w:rsidRDefault="006D5326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Pr="00F42750" w:rsidRDefault="009C43BF">
      <w:pPr>
        <w:tabs>
          <w:tab w:val="clear" w:pos="567"/>
        </w:tabs>
        <w:spacing w:line="240" w:lineRule="auto"/>
        <w:ind w:left="567" w:hanging="567"/>
        <w:rPr>
          <w:noProof w:val="0"/>
          <w:szCs w:val="22"/>
        </w:rPr>
      </w:pPr>
      <w:r w:rsidRPr="009C43BF">
        <w:rPr>
          <w:b/>
          <w:noProof w:val="0"/>
          <w:szCs w:val="22"/>
        </w:rPr>
        <w:t>9.</w:t>
      </w:r>
      <w:r w:rsidRPr="009C43BF">
        <w:rPr>
          <w:b/>
          <w:noProof w:val="0"/>
          <w:szCs w:val="22"/>
        </w:rPr>
        <w:tab/>
        <w:t>DÁTUM PRVEJ REGISTRÁCIE/PREDĹŽENIA REGISTRÁCIE</w:t>
      </w:r>
    </w:p>
    <w:p w:rsidR="00F42750" w:rsidRPr="00F42750" w:rsidRDefault="00F42750">
      <w:pPr>
        <w:tabs>
          <w:tab w:val="clear" w:pos="567"/>
        </w:tabs>
        <w:spacing w:line="240" w:lineRule="auto"/>
        <w:rPr>
          <w:i/>
          <w:noProof w:val="0"/>
          <w:szCs w:val="22"/>
        </w:rPr>
      </w:pPr>
    </w:p>
    <w:p w:rsidR="00F42750" w:rsidRDefault="009C43BF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 xml:space="preserve">Dátum prvej registrácie: </w:t>
      </w:r>
      <w:r w:rsidR="00556BF5">
        <w:rPr>
          <w:noProof w:val="0"/>
          <w:szCs w:val="22"/>
        </w:rPr>
        <w:t>18.08.2014</w:t>
      </w:r>
    </w:p>
    <w:p w:rsidR="00195679" w:rsidRPr="0080308D" w:rsidRDefault="00195679">
      <w:pPr>
        <w:tabs>
          <w:tab w:val="clear" w:pos="567"/>
        </w:tabs>
        <w:spacing w:line="240" w:lineRule="auto"/>
        <w:rPr>
          <w:iCs/>
          <w:noProof w:val="0"/>
          <w:szCs w:val="22"/>
        </w:rPr>
      </w:pPr>
      <w:r w:rsidRPr="00B13F68">
        <w:t>Dátum posledného predĺženia registr</w:t>
      </w:r>
      <w:r w:rsidRPr="003021DE">
        <w:t>ácie</w:t>
      </w:r>
      <w:r w:rsidRPr="00B13F68">
        <w:t>:</w:t>
      </w: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2750" w:rsidRDefault="00F42750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F47A96" w:rsidRDefault="0003377D">
      <w:pPr>
        <w:tabs>
          <w:tab w:val="clear" w:pos="567"/>
        </w:tabs>
        <w:spacing w:line="240" w:lineRule="auto"/>
        <w:rPr>
          <w:b/>
          <w:noProof w:val="0"/>
          <w:szCs w:val="22"/>
        </w:rPr>
      </w:pPr>
      <w:r w:rsidRPr="001E1D62">
        <w:rPr>
          <w:b/>
          <w:noProof w:val="0"/>
          <w:szCs w:val="22"/>
        </w:rPr>
        <w:t>10.</w:t>
      </w:r>
      <w:r w:rsidRPr="001E1D62">
        <w:rPr>
          <w:b/>
          <w:noProof w:val="0"/>
          <w:szCs w:val="22"/>
        </w:rPr>
        <w:tab/>
        <w:t>DÁTUM REVÍZIE TEXTU</w:t>
      </w:r>
    </w:p>
    <w:p w:rsidR="008E5055" w:rsidRDefault="008E5055">
      <w:pPr>
        <w:tabs>
          <w:tab w:val="clear" w:pos="567"/>
        </w:tabs>
        <w:spacing w:line="240" w:lineRule="auto"/>
        <w:rPr>
          <w:noProof w:val="0"/>
          <w:szCs w:val="22"/>
        </w:rPr>
      </w:pPr>
    </w:p>
    <w:p w:rsidR="00556BF5" w:rsidRPr="005B6B52" w:rsidRDefault="00195679">
      <w:pPr>
        <w:tabs>
          <w:tab w:val="clear" w:pos="567"/>
        </w:tabs>
        <w:spacing w:line="240" w:lineRule="auto"/>
        <w:rPr>
          <w:noProof w:val="0"/>
          <w:szCs w:val="22"/>
        </w:rPr>
      </w:pPr>
      <w:r>
        <w:rPr>
          <w:noProof w:val="0"/>
          <w:szCs w:val="22"/>
        </w:rPr>
        <w:t>07</w:t>
      </w:r>
      <w:r w:rsidR="00E845BF">
        <w:rPr>
          <w:noProof w:val="0"/>
          <w:szCs w:val="22"/>
        </w:rPr>
        <w:t>/20</w:t>
      </w:r>
      <w:r w:rsidR="00FA3663">
        <w:rPr>
          <w:noProof w:val="0"/>
          <w:szCs w:val="22"/>
        </w:rPr>
        <w:t>20</w:t>
      </w:r>
    </w:p>
    <w:sectPr w:rsidR="00556BF5" w:rsidRPr="005B6B52" w:rsidSect="002552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AA5" w:rsidRDefault="00542AA5" w:rsidP="009C1CC4">
      <w:pPr>
        <w:spacing w:line="240" w:lineRule="auto"/>
      </w:pPr>
      <w:r>
        <w:separator/>
      </w:r>
    </w:p>
  </w:endnote>
  <w:endnote w:type="continuationSeparator" w:id="0">
    <w:p w:rsidR="00542AA5" w:rsidRDefault="00542AA5" w:rsidP="009C1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kele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1E8" w:rsidRDefault="00AA71E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1E8" w:rsidRDefault="00AA71E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A96" w:rsidRPr="00445BA5" w:rsidRDefault="00F47A96" w:rsidP="00F47A96">
    <w:pPr>
      <w:pStyle w:val="Pta"/>
      <w:rPr>
        <w:rFonts w:ascii="Berkeley" w:hAnsi="Berkeley"/>
        <w:sz w:val="18"/>
        <w:szCs w:val="18"/>
      </w:rPr>
    </w:pPr>
  </w:p>
  <w:p w:rsidR="00F47A96" w:rsidRDefault="00F47A96">
    <w:pPr>
      <w:pStyle w:val="Pta"/>
    </w:pPr>
  </w:p>
  <w:p w:rsidR="001502EB" w:rsidRPr="00B42744" w:rsidRDefault="001502EB" w:rsidP="001502EB">
    <w:pPr>
      <w:pStyle w:val="Pta"/>
      <w:rPr>
        <w:sz w:val="18"/>
        <w:szCs w:val="18"/>
      </w:rPr>
    </w:pPr>
  </w:p>
  <w:p w:rsidR="008F7952" w:rsidRDefault="008F795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AA5" w:rsidRDefault="00542AA5" w:rsidP="009C1CC4">
      <w:pPr>
        <w:spacing w:line="240" w:lineRule="auto"/>
      </w:pPr>
      <w:r>
        <w:separator/>
      </w:r>
    </w:p>
  </w:footnote>
  <w:footnote w:type="continuationSeparator" w:id="0">
    <w:p w:rsidR="00542AA5" w:rsidRDefault="00542AA5" w:rsidP="009C1C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1E8" w:rsidRDefault="00AA71E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65F" w:rsidRDefault="0067265F" w:rsidP="0067265F">
    <w:pPr>
      <w:pStyle w:val="Hlavika"/>
      <w:rPr>
        <w:noProof w:val="0"/>
        <w:sz w:val="18"/>
        <w:szCs w:val="18"/>
      </w:rPr>
    </w:pPr>
    <w:r>
      <w:rPr>
        <w:sz w:val="18"/>
        <w:szCs w:val="18"/>
      </w:rPr>
      <w:t>Schválený text k rozhodnutiu o predĺžení, ev. č. 2018/03536-PRE</w:t>
    </w:r>
  </w:p>
  <w:p w:rsidR="00AA71E8" w:rsidRPr="004F7BE5" w:rsidRDefault="00AA71E8" w:rsidP="00AA71E8">
    <w:pPr>
      <w:pStyle w:val="Hlavika"/>
      <w:rPr>
        <w:noProof w:val="0"/>
        <w:sz w:val="18"/>
        <w:szCs w:val="18"/>
      </w:rPr>
    </w:pPr>
    <w:r w:rsidRPr="004F7BE5">
      <w:rPr>
        <w:sz w:val="18"/>
        <w:szCs w:val="18"/>
      </w:rPr>
      <w:t>Príloha č.</w:t>
    </w:r>
    <w:r>
      <w:rPr>
        <w:sz w:val="18"/>
        <w:szCs w:val="18"/>
      </w:rPr>
      <w:t>2</w:t>
    </w:r>
    <w:r w:rsidRPr="004F7BE5">
      <w:rPr>
        <w:sz w:val="18"/>
        <w:szCs w:val="18"/>
      </w:rPr>
      <w:t xml:space="preserve"> k notifikácii o zmene, ev.č.: 2018/06178-ZIA</w:t>
    </w:r>
  </w:p>
  <w:p w:rsidR="00FA3663" w:rsidRDefault="00FA3663" w:rsidP="0067265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65F" w:rsidRPr="004F7BCF" w:rsidRDefault="0067265F" w:rsidP="0067265F">
    <w:pPr>
      <w:pStyle w:val="Hlavika"/>
      <w:rPr>
        <w:sz w:val="18"/>
        <w:szCs w:val="18"/>
      </w:rPr>
    </w:pPr>
    <w:r w:rsidRPr="004F7BCF">
      <w:rPr>
        <w:sz w:val="18"/>
        <w:szCs w:val="18"/>
      </w:rPr>
      <w:t>Schválený text k rozhodnutiu o predĺžení, ev. č. 2018/03536-PRE</w:t>
    </w:r>
  </w:p>
  <w:p w:rsidR="004F7BCF" w:rsidRPr="0080308D" w:rsidRDefault="004F7BCF" w:rsidP="004F7BCF">
    <w:pPr>
      <w:pStyle w:val="Hlavika"/>
      <w:rPr>
        <w:noProof w:val="0"/>
        <w:sz w:val="18"/>
        <w:szCs w:val="18"/>
      </w:rPr>
    </w:pPr>
    <w:r w:rsidRPr="0080308D">
      <w:rPr>
        <w:sz w:val="18"/>
        <w:szCs w:val="18"/>
      </w:rPr>
      <w:t>Príloha č.</w:t>
    </w:r>
    <w:r w:rsidR="00AA71E8">
      <w:rPr>
        <w:sz w:val="18"/>
        <w:szCs w:val="18"/>
      </w:rPr>
      <w:t>2</w:t>
    </w:r>
    <w:r w:rsidRPr="0080308D">
      <w:rPr>
        <w:sz w:val="18"/>
        <w:szCs w:val="18"/>
      </w:rPr>
      <w:t xml:space="preserve"> k notifikácii o zmene, ev.č.: 2018/06178-ZIA</w:t>
    </w:r>
  </w:p>
  <w:p w:rsidR="00FA3663" w:rsidRDefault="00FA3663" w:rsidP="0067265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6E5343DC"/>
    <w:multiLevelType w:val="hybridMultilevel"/>
    <w:tmpl w:val="218E862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EE"/>
    <w:rsid w:val="0003377D"/>
    <w:rsid w:val="00036D9B"/>
    <w:rsid w:val="00060B9F"/>
    <w:rsid w:val="000A7D4C"/>
    <w:rsid w:val="00112598"/>
    <w:rsid w:val="001502EB"/>
    <w:rsid w:val="00163E0B"/>
    <w:rsid w:val="00193329"/>
    <w:rsid w:val="00195679"/>
    <w:rsid w:val="001A0185"/>
    <w:rsid w:val="001D3BD9"/>
    <w:rsid w:val="001E1D62"/>
    <w:rsid w:val="001F2729"/>
    <w:rsid w:val="00224932"/>
    <w:rsid w:val="00230356"/>
    <w:rsid w:val="002552D9"/>
    <w:rsid w:val="002E4B58"/>
    <w:rsid w:val="00311E99"/>
    <w:rsid w:val="003212A0"/>
    <w:rsid w:val="00321762"/>
    <w:rsid w:val="0032791C"/>
    <w:rsid w:val="00335895"/>
    <w:rsid w:val="00364E1C"/>
    <w:rsid w:val="00374414"/>
    <w:rsid w:val="00381EC5"/>
    <w:rsid w:val="00392271"/>
    <w:rsid w:val="00395736"/>
    <w:rsid w:val="003A6FD3"/>
    <w:rsid w:val="003C6263"/>
    <w:rsid w:val="003D5F4F"/>
    <w:rsid w:val="003E3B62"/>
    <w:rsid w:val="00422445"/>
    <w:rsid w:val="00424334"/>
    <w:rsid w:val="00493302"/>
    <w:rsid w:val="004A208E"/>
    <w:rsid w:val="004B0F1F"/>
    <w:rsid w:val="004B584D"/>
    <w:rsid w:val="004E51C4"/>
    <w:rsid w:val="004E7C37"/>
    <w:rsid w:val="004F7BCF"/>
    <w:rsid w:val="005356EA"/>
    <w:rsid w:val="00542AA5"/>
    <w:rsid w:val="00556BF5"/>
    <w:rsid w:val="00556F7A"/>
    <w:rsid w:val="00580C0F"/>
    <w:rsid w:val="005815DE"/>
    <w:rsid w:val="00597FF7"/>
    <w:rsid w:val="005B6B52"/>
    <w:rsid w:val="005C044E"/>
    <w:rsid w:val="00606C69"/>
    <w:rsid w:val="0063379E"/>
    <w:rsid w:val="0065602C"/>
    <w:rsid w:val="00667908"/>
    <w:rsid w:val="006712AC"/>
    <w:rsid w:val="0067265F"/>
    <w:rsid w:val="00677293"/>
    <w:rsid w:val="006902A5"/>
    <w:rsid w:val="006B6698"/>
    <w:rsid w:val="006D44A9"/>
    <w:rsid w:val="006D5326"/>
    <w:rsid w:val="006F5006"/>
    <w:rsid w:val="00700383"/>
    <w:rsid w:val="007320D5"/>
    <w:rsid w:val="00742169"/>
    <w:rsid w:val="00754F6E"/>
    <w:rsid w:val="0076153E"/>
    <w:rsid w:val="007712A6"/>
    <w:rsid w:val="00785234"/>
    <w:rsid w:val="00792C61"/>
    <w:rsid w:val="007931E9"/>
    <w:rsid w:val="007D4FF6"/>
    <w:rsid w:val="007E750C"/>
    <w:rsid w:val="007F1808"/>
    <w:rsid w:val="0080308D"/>
    <w:rsid w:val="008A6E17"/>
    <w:rsid w:val="008C36DB"/>
    <w:rsid w:val="008E5055"/>
    <w:rsid w:val="008F7952"/>
    <w:rsid w:val="009300AF"/>
    <w:rsid w:val="00940BAD"/>
    <w:rsid w:val="00960630"/>
    <w:rsid w:val="009802F8"/>
    <w:rsid w:val="009C1CC4"/>
    <w:rsid w:val="009C43BF"/>
    <w:rsid w:val="009C4F95"/>
    <w:rsid w:val="00A35065"/>
    <w:rsid w:val="00A63BA5"/>
    <w:rsid w:val="00A86F4C"/>
    <w:rsid w:val="00A94436"/>
    <w:rsid w:val="00AA43D8"/>
    <w:rsid w:val="00AA4AB2"/>
    <w:rsid w:val="00AA71E8"/>
    <w:rsid w:val="00AE0C70"/>
    <w:rsid w:val="00B42744"/>
    <w:rsid w:val="00B42939"/>
    <w:rsid w:val="00B740EE"/>
    <w:rsid w:val="00B76F4E"/>
    <w:rsid w:val="00B858B0"/>
    <w:rsid w:val="00BA7D21"/>
    <w:rsid w:val="00BD63F3"/>
    <w:rsid w:val="00C04401"/>
    <w:rsid w:val="00C26ACA"/>
    <w:rsid w:val="00C36200"/>
    <w:rsid w:val="00C40CAE"/>
    <w:rsid w:val="00C415DB"/>
    <w:rsid w:val="00C80330"/>
    <w:rsid w:val="00C81227"/>
    <w:rsid w:val="00C94788"/>
    <w:rsid w:val="00CC10CC"/>
    <w:rsid w:val="00CF4A9C"/>
    <w:rsid w:val="00D0416B"/>
    <w:rsid w:val="00D23384"/>
    <w:rsid w:val="00D4108A"/>
    <w:rsid w:val="00E12CF0"/>
    <w:rsid w:val="00E1538A"/>
    <w:rsid w:val="00E6056C"/>
    <w:rsid w:val="00E60719"/>
    <w:rsid w:val="00E845BF"/>
    <w:rsid w:val="00E93182"/>
    <w:rsid w:val="00E9778F"/>
    <w:rsid w:val="00EB2AE3"/>
    <w:rsid w:val="00EC0BD6"/>
    <w:rsid w:val="00EC1C85"/>
    <w:rsid w:val="00EC4769"/>
    <w:rsid w:val="00ED1F0A"/>
    <w:rsid w:val="00EE6437"/>
    <w:rsid w:val="00EE7655"/>
    <w:rsid w:val="00F15562"/>
    <w:rsid w:val="00F26F19"/>
    <w:rsid w:val="00F27378"/>
    <w:rsid w:val="00F42750"/>
    <w:rsid w:val="00F43273"/>
    <w:rsid w:val="00F47A96"/>
    <w:rsid w:val="00F54B19"/>
    <w:rsid w:val="00F65C11"/>
    <w:rsid w:val="00F74B09"/>
    <w:rsid w:val="00FA3663"/>
    <w:rsid w:val="00FB5C1D"/>
    <w:rsid w:val="00FE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F4249A-AADA-404B-9D54-B0034FA9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0EE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noProof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F47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740EE"/>
    <w:pPr>
      <w:keepNext/>
      <w:jc w:val="both"/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9"/>
    <w:rsid w:val="00B740EE"/>
    <w:rPr>
      <w:rFonts w:ascii="Times New Roman" w:eastAsia="Times New Roman" w:hAnsi="Times New Roman" w:cs="Times New Roman"/>
      <w:b/>
      <w:noProof/>
      <w:szCs w:val="20"/>
    </w:rPr>
  </w:style>
  <w:style w:type="character" w:styleId="Hypertextovprepojenie">
    <w:name w:val="Hyperlink"/>
    <w:basedOn w:val="Predvolenpsmoodseku"/>
    <w:uiPriority w:val="99"/>
    <w:rsid w:val="00B740EE"/>
    <w:rPr>
      <w:rFonts w:cs="Times New Roman"/>
      <w:color w:val="0000FF"/>
      <w:u w:val="single"/>
    </w:rPr>
  </w:style>
  <w:style w:type="table" w:styleId="Mriekatabuky">
    <w:name w:val="Table Grid"/>
    <w:basedOn w:val="Normlnatabuka"/>
    <w:uiPriority w:val="59"/>
    <w:rsid w:val="00B74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40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de-DE"/>
    </w:rPr>
  </w:style>
  <w:style w:type="paragraph" w:styleId="Hlavika">
    <w:name w:val="header"/>
    <w:basedOn w:val="Normlny"/>
    <w:link w:val="HlavikaChar"/>
    <w:uiPriority w:val="99"/>
    <w:unhideWhenUsed/>
    <w:rsid w:val="009C1CC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1CC4"/>
    <w:rPr>
      <w:rFonts w:ascii="Times New Roman" w:eastAsia="Times New Roman" w:hAnsi="Times New Roman" w:cs="Times New Roman"/>
      <w:noProof/>
      <w:szCs w:val="20"/>
    </w:rPr>
  </w:style>
  <w:style w:type="paragraph" w:styleId="Pta">
    <w:name w:val="footer"/>
    <w:basedOn w:val="Normlny"/>
    <w:link w:val="PtaChar"/>
    <w:uiPriority w:val="99"/>
    <w:unhideWhenUsed/>
    <w:rsid w:val="009C1CC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1CC4"/>
    <w:rPr>
      <w:rFonts w:ascii="Times New Roman" w:eastAsia="Times New Roman" w:hAnsi="Times New Roman" w:cs="Times New Roman"/>
      <w:noProof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1C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1CC4"/>
    <w:rPr>
      <w:rFonts w:ascii="Tahoma" w:eastAsia="Times New Roman" w:hAnsi="Tahoma" w:cs="Tahoma"/>
      <w:noProof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47A96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2E4B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E4B58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E4B58"/>
    <w:rPr>
      <w:rFonts w:ascii="Times New Roman" w:eastAsia="Times New Roman" w:hAnsi="Times New Roman" w:cs="Times New Roman"/>
      <w:noProof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4B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4B58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zia">
    <w:name w:val="Revision"/>
    <w:hidden/>
    <w:uiPriority w:val="99"/>
    <w:semiHidden/>
    <w:rsid w:val="002E4B58"/>
    <w:pPr>
      <w:spacing w:after="0" w:line="240" w:lineRule="auto"/>
    </w:pPr>
    <w:rPr>
      <w:rFonts w:ascii="Times New Roman" w:eastAsia="Times New Roman" w:hAnsi="Times New Roman" w:cs="Times New Roman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1959</Words>
  <Characters>11169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PANAX</Company>
  <LinksUpToDate>false</LinksUpToDate>
  <CharactersWithSpaces>13102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Bolebruchová Monika</dc:creator>
  <dc:description>Alacare SPC sk V4.a tracked 200703</dc:description>
  <cp:lastModifiedBy>Bolebruchová Monika</cp:lastModifiedBy>
  <cp:revision>2</cp:revision>
  <cp:lastPrinted>2020-07-21T05:47:00Z</cp:lastPrinted>
  <dcterms:created xsi:type="dcterms:W3CDTF">2020-07-21T05:47:00Z</dcterms:created>
  <dcterms:modified xsi:type="dcterms:W3CDTF">2020-07-21T05:47:00Z</dcterms:modified>
</cp:coreProperties>
</file>