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02253" w14:textId="77777777" w:rsidR="008F0F38" w:rsidRDefault="008F0F38" w:rsidP="0011060D">
      <w:pPr>
        <w:widowControl w:val="0"/>
        <w:jc w:val="center"/>
        <w:rPr>
          <w:b/>
          <w:bCs/>
          <w:iCs/>
          <w:noProof/>
          <w:color w:val="000000"/>
          <w:szCs w:val="20"/>
        </w:rPr>
      </w:pPr>
    </w:p>
    <w:p w14:paraId="6FFB83C0" w14:textId="77777777" w:rsidR="0011060D" w:rsidRPr="00C132F1" w:rsidRDefault="0011060D" w:rsidP="0011060D">
      <w:pPr>
        <w:widowControl w:val="0"/>
        <w:jc w:val="center"/>
        <w:rPr>
          <w:b/>
          <w:bCs/>
          <w:iCs/>
          <w:noProof/>
          <w:color w:val="000000"/>
          <w:szCs w:val="20"/>
        </w:rPr>
      </w:pPr>
      <w:r>
        <w:rPr>
          <w:b/>
          <w:bCs/>
          <w:iCs/>
          <w:noProof/>
          <w:color w:val="000000"/>
          <w:szCs w:val="20"/>
        </w:rPr>
        <w:t>SÚHRN CHARAKTERISTICKÝCH VLASTNOSTÍ LIEKU</w:t>
      </w:r>
    </w:p>
    <w:p w14:paraId="1EFA4461" w14:textId="77777777" w:rsidR="006C27DB" w:rsidRPr="00C132F1" w:rsidRDefault="006C27DB" w:rsidP="00651AE8">
      <w:pPr>
        <w:widowControl w:val="0"/>
        <w:spacing w:line="360" w:lineRule="auto"/>
        <w:rPr>
          <w:noProof/>
        </w:rPr>
      </w:pPr>
    </w:p>
    <w:p w14:paraId="021DF8CF" w14:textId="7FEB7C53" w:rsidR="00281402" w:rsidRPr="00B30B14" w:rsidRDefault="00281402" w:rsidP="00827BC4">
      <w:pPr>
        <w:autoSpaceDE w:val="0"/>
        <w:autoSpaceDN w:val="0"/>
        <w:adjustRightInd w:val="0"/>
        <w:spacing w:line="240" w:lineRule="auto"/>
      </w:pPr>
      <w:r>
        <w:rPr>
          <w:b/>
          <w:bCs/>
        </w:rPr>
        <w:t xml:space="preserve">1. </w:t>
      </w:r>
      <w:r w:rsidR="00827BC4">
        <w:rPr>
          <w:b/>
          <w:bCs/>
        </w:rPr>
        <w:tab/>
      </w:r>
      <w:r>
        <w:rPr>
          <w:b/>
          <w:bCs/>
        </w:rPr>
        <w:t>NÁZOV LIEKU</w:t>
      </w:r>
    </w:p>
    <w:p w14:paraId="0803A70B" w14:textId="77777777" w:rsidR="00827BC4" w:rsidRDefault="00827BC4" w:rsidP="00827BC4">
      <w:pPr>
        <w:autoSpaceDE w:val="0"/>
        <w:autoSpaceDN w:val="0"/>
        <w:adjustRightInd w:val="0"/>
        <w:spacing w:line="240" w:lineRule="auto"/>
        <w:rPr>
          <w:noProof/>
        </w:rPr>
      </w:pPr>
    </w:p>
    <w:p w14:paraId="17957340" w14:textId="77777777" w:rsidR="00555A48" w:rsidRDefault="00827BC4" w:rsidP="00827BC4">
      <w:pPr>
        <w:autoSpaceDE w:val="0"/>
        <w:autoSpaceDN w:val="0"/>
        <w:adjustRightInd w:val="0"/>
        <w:spacing w:line="240" w:lineRule="auto"/>
        <w:rPr>
          <w:noProof/>
        </w:rPr>
      </w:pPr>
      <w:r>
        <w:rPr>
          <w:noProof/>
        </w:rPr>
        <w:t>Ampres</w:t>
      </w:r>
      <w:r w:rsidR="00A72C63">
        <w:rPr>
          <w:noProof/>
        </w:rPr>
        <w:t xml:space="preserve"> 20 mg/ml </w:t>
      </w:r>
    </w:p>
    <w:p w14:paraId="52DEE02F" w14:textId="5B731D0A" w:rsidR="00281402" w:rsidRPr="00C132F1" w:rsidRDefault="00A72C63" w:rsidP="00827BC4">
      <w:pPr>
        <w:autoSpaceDE w:val="0"/>
        <w:autoSpaceDN w:val="0"/>
        <w:adjustRightInd w:val="0"/>
        <w:spacing w:line="240" w:lineRule="auto"/>
        <w:rPr>
          <w:noProof/>
        </w:rPr>
      </w:pPr>
      <w:r>
        <w:rPr>
          <w:noProof/>
        </w:rPr>
        <w:t>injekčný roztok</w:t>
      </w:r>
    </w:p>
    <w:p w14:paraId="2567627A" w14:textId="77777777" w:rsidR="00C132F1" w:rsidRDefault="00C132F1" w:rsidP="00827BC4">
      <w:pPr>
        <w:autoSpaceDE w:val="0"/>
        <w:autoSpaceDN w:val="0"/>
        <w:adjustRightInd w:val="0"/>
        <w:spacing w:line="240" w:lineRule="auto"/>
        <w:rPr>
          <w:lang w:val="en-US"/>
        </w:rPr>
      </w:pPr>
    </w:p>
    <w:p w14:paraId="0F2BFE08" w14:textId="77777777" w:rsidR="00827BC4" w:rsidRPr="00C132F1" w:rsidRDefault="00827BC4" w:rsidP="00827BC4">
      <w:pPr>
        <w:autoSpaceDE w:val="0"/>
        <w:autoSpaceDN w:val="0"/>
        <w:adjustRightInd w:val="0"/>
        <w:spacing w:line="240" w:lineRule="auto"/>
        <w:rPr>
          <w:lang w:val="en-US"/>
        </w:rPr>
      </w:pPr>
    </w:p>
    <w:p w14:paraId="23D8D414" w14:textId="4746E2E5" w:rsidR="00281402" w:rsidRPr="00B30B14" w:rsidRDefault="00281402" w:rsidP="00827BC4">
      <w:pPr>
        <w:autoSpaceDE w:val="0"/>
        <w:autoSpaceDN w:val="0"/>
        <w:adjustRightInd w:val="0"/>
        <w:spacing w:line="240" w:lineRule="auto"/>
      </w:pPr>
      <w:r>
        <w:rPr>
          <w:b/>
          <w:bCs/>
        </w:rPr>
        <w:t xml:space="preserve">2. </w:t>
      </w:r>
      <w:r w:rsidR="00827BC4">
        <w:rPr>
          <w:b/>
          <w:bCs/>
        </w:rPr>
        <w:tab/>
      </w:r>
      <w:r>
        <w:rPr>
          <w:b/>
          <w:bCs/>
        </w:rPr>
        <w:t>KVALITATÍVNE A KVANTITATÍVNE ZLOŽENIE</w:t>
      </w:r>
    </w:p>
    <w:p w14:paraId="25BD32C1" w14:textId="77777777" w:rsidR="00827BC4" w:rsidRDefault="00827BC4" w:rsidP="00827BC4">
      <w:pPr>
        <w:tabs>
          <w:tab w:val="left" w:pos="9639"/>
        </w:tabs>
        <w:spacing w:line="240" w:lineRule="auto"/>
      </w:pPr>
    </w:p>
    <w:p w14:paraId="504CC93F" w14:textId="2A60AAE0" w:rsidR="00281402" w:rsidRPr="00C132F1" w:rsidRDefault="00281402" w:rsidP="00827BC4">
      <w:pPr>
        <w:tabs>
          <w:tab w:val="left" w:pos="9639"/>
        </w:tabs>
        <w:spacing w:line="240" w:lineRule="auto"/>
      </w:pPr>
      <w:r>
        <w:t>1 ml injekčného roztoku obsahuje 20 mg chlórprokaín</w:t>
      </w:r>
      <w:r w:rsidR="00827BC4">
        <w:t>ium-</w:t>
      </w:r>
      <w:r>
        <w:t>chloridu</w:t>
      </w:r>
      <w:r w:rsidR="00827BC4">
        <w:t>.</w:t>
      </w:r>
    </w:p>
    <w:p w14:paraId="2CD168C1" w14:textId="22B900D6" w:rsidR="00281402" w:rsidRPr="00C132F1" w:rsidRDefault="00281402" w:rsidP="00827BC4">
      <w:pPr>
        <w:tabs>
          <w:tab w:val="left" w:pos="9639"/>
        </w:tabs>
        <w:spacing w:line="240" w:lineRule="auto"/>
      </w:pPr>
      <w:r>
        <w:t>1 injekčná liekovka s 20 ml roztoku obsahuje 400 mg chlórprokaín</w:t>
      </w:r>
      <w:r w:rsidR="00827BC4">
        <w:t>ium-</w:t>
      </w:r>
      <w:r>
        <w:t>chloridu</w:t>
      </w:r>
      <w:r w:rsidR="00827BC4">
        <w:t>.</w:t>
      </w:r>
    </w:p>
    <w:p w14:paraId="64B55B25" w14:textId="77777777" w:rsidR="006A4270" w:rsidRPr="00C132F1" w:rsidRDefault="006A4270" w:rsidP="00827BC4">
      <w:pPr>
        <w:tabs>
          <w:tab w:val="left" w:pos="9639"/>
        </w:tabs>
        <w:spacing w:line="240" w:lineRule="auto"/>
      </w:pPr>
    </w:p>
    <w:p w14:paraId="78AC790B" w14:textId="5A831694" w:rsidR="00281402" w:rsidRPr="00C132F1" w:rsidRDefault="00827BC4" w:rsidP="00827BC4">
      <w:pPr>
        <w:tabs>
          <w:tab w:val="left" w:pos="9639"/>
        </w:tabs>
        <w:spacing w:line="240" w:lineRule="auto"/>
      </w:pPr>
      <w:r>
        <w:t>Pomocná</w:t>
      </w:r>
      <w:r w:rsidR="00281402">
        <w:t xml:space="preserve"> látk</w:t>
      </w:r>
      <w:r>
        <w:t>a</w:t>
      </w:r>
      <w:r w:rsidR="00281402">
        <w:t xml:space="preserve"> so známym účinkom:</w:t>
      </w:r>
    </w:p>
    <w:p w14:paraId="0BAC9F66" w14:textId="61879219" w:rsidR="00281402" w:rsidRPr="00C132F1" w:rsidRDefault="00860556" w:rsidP="00827BC4">
      <w:pPr>
        <w:tabs>
          <w:tab w:val="left" w:pos="9639"/>
        </w:tabs>
        <w:spacing w:line="240" w:lineRule="auto"/>
      </w:pPr>
      <w:r>
        <w:t>1 ml roztoku obsahuje 1,85 mg sodíka.</w:t>
      </w:r>
    </w:p>
    <w:p w14:paraId="28FCB0EF" w14:textId="77777777" w:rsidR="00181D03" w:rsidRPr="00C132F1" w:rsidRDefault="00181D03" w:rsidP="00827BC4">
      <w:pPr>
        <w:tabs>
          <w:tab w:val="left" w:pos="9639"/>
        </w:tabs>
        <w:spacing w:line="240" w:lineRule="auto"/>
      </w:pPr>
    </w:p>
    <w:p w14:paraId="786BBE07" w14:textId="77777777" w:rsidR="00281402" w:rsidRPr="00C132F1" w:rsidRDefault="00C54C0C" w:rsidP="00827BC4">
      <w:pPr>
        <w:autoSpaceDE w:val="0"/>
        <w:autoSpaceDN w:val="0"/>
        <w:adjustRightInd w:val="0"/>
        <w:spacing w:line="240" w:lineRule="auto"/>
        <w:rPr>
          <w:noProof/>
        </w:rPr>
      </w:pPr>
      <w:r>
        <w:rPr>
          <w:noProof/>
        </w:rPr>
        <w:t>Úplný zoznam pomocných látok, pozri časť 6.1.</w:t>
      </w:r>
    </w:p>
    <w:p w14:paraId="586618AA" w14:textId="77777777" w:rsidR="00FB3E14" w:rsidRPr="00434F5F" w:rsidRDefault="00FB3E14" w:rsidP="00827BC4">
      <w:pPr>
        <w:autoSpaceDE w:val="0"/>
        <w:autoSpaceDN w:val="0"/>
        <w:adjustRightInd w:val="0"/>
        <w:spacing w:line="240" w:lineRule="auto"/>
      </w:pPr>
    </w:p>
    <w:p w14:paraId="4BB622F1" w14:textId="77777777" w:rsidR="00C132F1" w:rsidRPr="00434F5F" w:rsidRDefault="00C132F1" w:rsidP="00827BC4">
      <w:pPr>
        <w:autoSpaceDE w:val="0"/>
        <w:autoSpaceDN w:val="0"/>
        <w:adjustRightInd w:val="0"/>
        <w:spacing w:line="240" w:lineRule="auto"/>
      </w:pPr>
    </w:p>
    <w:p w14:paraId="5FCD10FD" w14:textId="720616C3" w:rsidR="00281402" w:rsidRPr="00434F5F" w:rsidRDefault="00281402" w:rsidP="00827BC4">
      <w:pPr>
        <w:autoSpaceDE w:val="0"/>
        <w:autoSpaceDN w:val="0"/>
        <w:adjustRightInd w:val="0"/>
        <w:spacing w:line="240" w:lineRule="auto"/>
      </w:pPr>
      <w:r>
        <w:rPr>
          <w:b/>
          <w:bCs/>
        </w:rPr>
        <w:t xml:space="preserve">3. </w:t>
      </w:r>
      <w:r w:rsidR="00827BC4">
        <w:rPr>
          <w:b/>
          <w:bCs/>
        </w:rPr>
        <w:tab/>
      </w:r>
      <w:r>
        <w:rPr>
          <w:b/>
          <w:bCs/>
        </w:rPr>
        <w:t>LIEKOVÁ FORMA</w:t>
      </w:r>
    </w:p>
    <w:p w14:paraId="6EA41F5D" w14:textId="77777777" w:rsidR="00827BC4" w:rsidRDefault="00827BC4" w:rsidP="00827BC4">
      <w:pPr>
        <w:autoSpaceDE w:val="0"/>
        <w:autoSpaceDN w:val="0"/>
        <w:adjustRightInd w:val="0"/>
        <w:spacing w:line="240" w:lineRule="auto"/>
        <w:rPr>
          <w:noProof/>
        </w:rPr>
      </w:pPr>
    </w:p>
    <w:p w14:paraId="5911B4F1" w14:textId="221407BB" w:rsidR="0049626B" w:rsidRPr="00C132F1" w:rsidRDefault="00281402" w:rsidP="00827BC4">
      <w:pPr>
        <w:autoSpaceDE w:val="0"/>
        <w:autoSpaceDN w:val="0"/>
        <w:adjustRightInd w:val="0"/>
        <w:spacing w:line="240" w:lineRule="auto"/>
        <w:rPr>
          <w:noProof/>
        </w:rPr>
      </w:pPr>
      <w:r>
        <w:rPr>
          <w:noProof/>
        </w:rPr>
        <w:t>Injekčný roztok.</w:t>
      </w:r>
    </w:p>
    <w:p w14:paraId="17576522" w14:textId="77777777" w:rsidR="00281402" w:rsidRPr="00C132F1" w:rsidRDefault="00281402" w:rsidP="00827BC4">
      <w:pPr>
        <w:autoSpaceDE w:val="0"/>
        <w:autoSpaceDN w:val="0"/>
        <w:adjustRightInd w:val="0"/>
        <w:spacing w:line="240" w:lineRule="auto"/>
        <w:rPr>
          <w:noProof/>
        </w:rPr>
      </w:pPr>
      <w:r>
        <w:rPr>
          <w:noProof/>
        </w:rPr>
        <w:t>Číry, bezfarebný roztok.</w:t>
      </w:r>
    </w:p>
    <w:p w14:paraId="0ECF8C31" w14:textId="77777777" w:rsidR="00FB3E14" w:rsidRPr="00C132F1" w:rsidRDefault="00FB3E14" w:rsidP="00827BC4">
      <w:pPr>
        <w:autoSpaceDE w:val="0"/>
        <w:autoSpaceDN w:val="0"/>
        <w:adjustRightInd w:val="0"/>
        <w:spacing w:line="240" w:lineRule="auto"/>
        <w:rPr>
          <w:noProof/>
        </w:rPr>
      </w:pPr>
    </w:p>
    <w:p w14:paraId="4B41E82D" w14:textId="7595D1C9" w:rsidR="008242E7" w:rsidRPr="00C132F1" w:rsidRDefault="008242E7" w:rsidP="00827BC4">
      <w:pPr>
        <w:autoSpaceDE w:val="0"/>
        <w:autoSpaceDN w:val="0"/>
        <w:adjustRightInd w:val="0"/>
        <w:spacing w:line="240" w:lineRule="auto"/>
        <w:rPr>
          <w:noProof/>
        </w:rPr>
      </w:pPr>
      <w:r>
        <w:rPr>
          <w:noProof/>
        </w:rPr>
        <w:t>pH roztoku je medzi 2,7 a 4,0.</w:t>
      </w:r>
    </w:p>
    <w:p w14:paraId="3A74DEEA" w14:textId="6DC70C94" w:rsidR="008242E7" w:rsidRPr="00C132F1" w:rsidRDefault="00B30B14" w:rsidP="00827BC4">
      <w:pPr>
        <w:autoSpaceDE w:val="0"/>
        <w:autoSpaceDN w:val="0"/>
        <w:adjustRightInd w:val="0"/>
        <w:spacing w:line="240" w:lineRule="auto"/>
        <w:rPr>
          <w:noProof/>
        </w:rPr>
      </w:pPr>
      <w:r>
        <w:rPr>
          <w:noProof/>
        </w:rPr>
        <w:t>O</w:t>
      </w:r>
      <w:r w:rsidR="00750357">
        <w:rPr>
          <w:noProof/>
        </w:rPr>
        <w:t>smolalit</w:t>
      </w:r>
      <w:r>
        <w:rPr>
          <w:noProof/>
        </w:rPr>
        <w:t>a</w:t>
      </w:r>
      <w:r w:rsidR="00750357">
        <w:rPr>
          <w:noProof/>
        </w:rPr>
        <w:t xml:space="preserve"> roztoku je </w:t>
      </w:r>
      <w:r>
        <w:rPr>
          <w:noProof/>
        </w:rPr>
        <w:t>v roz</w:t>
      </w:r>
      <w:r w:rsidR="00750357">
        <w:rPr>
          <w:noProof/>
        </w:rPr>
        <w:t>medz</w:t>
      </w:r>
      <w:r>
        <w:rPr>
          <w:noProof/>
        </w:rPr>
        <w:t>í</w:t>
      </w:r>
      <w:r w:rsidR="00750357">
        <w:rPr>
          <w:noProof/>
        </w:rPr>
        <w:t xml:space="preserve"> 250 – 300 mOsm/kg.</w:t>
      </w:r>
    </w:p>
    <w:p w14:paraId="3098854F" w14:textId="77777777" w:rsidR="008242E7" w:rsidRDefault="008242E7" w:rsidP="00827BC4">
      <w:pPr>
        <w:autoSpaceDE w:val="0"/>
        <w:autoSpaceDN w:val="0"/>
        <w:adjustRightInd w:val="0"/>
        <w:spacing w:line="240" w:lineRule="auto"/>
        <w:rPr>
          <w:noProof/>
        </w:rPr>
      </w:pPr>
    </w:p>
    <w:p w14:paraId="2E2E927A" w14:textId="77777777" w:rsidR="00C132F1" w:rsidRPr="00C132F1" w:rsidRDefault="00C132F1" w:rsidP="00827BC4">
      <w:pPr>
        <w:autoSpaceDE w:val="0"/>
        <w:autoSpaceDN w:val="0"/>
        <w:adjustRightInd w:val="0"/>
        <w:spacing w:line="240" w:lineRule="auto"/>
        <w:rPr>
          <w:noProof/>
        </w:rPr>
      </w:pPr>
    </w:p>
    <w:p w14:paraId="663EFA6B" w14:textId="29541B9D" w:rsidR="00281402" w:rsidRPr="00434F5F" w:rsidRDefault="00281402" w:rsidP="00827BC4">
      <w:pPr>
        <w:autoSpaceDE w:val="0"/>
        <w:autoSpaceDN w:val="0"/>
        <w:adjustRightInd w:val="0"/>
        <w:spacing w:line="240" w:lineRule="auto"/>
      </w:pPr>
      <w:r>
        <w:rPr>
          <w:b/>
          <w:bCs/>
        </w:rPr>
        <w:t xml:space="preserve">4. </w:t>
      </w:r>
      <w:r w:rsidR="00827BC4">
        <w:rPr>
          <w:b/>
          <w:bCs/>
        </w:rPr>
        <w:tab/>
      </w:r>
      <w:r>
        <w:rPr>
          <w:b/>
          <w:bCs/>
        </w:rPr>
        <w:t>KLINICKÉ ÚDAJE</w:t>
      </w:r>
    </w:p>
    <w:p w14:paraId="43FB8F53" w14:textId="77777777" w:rsidR="00827BC4" w:rsidRDefault="00827BC4" w:rsidP="00827BC4">
      <w:pPr>
        <w:autoSpaceDE w:val="0"/>
        <w:autoSpaceDN w:val="0"/>
        <w:adjustRightInd w:val="0"/>
        <w:spacing w:line="240" w:lineRule="auto"/>
        <w:rPr>
          <w:b/>
          <w:bCs/>
        </w:rPr>
      </w:pPr>
    </w:p>
    <w:p w14:paraId="1919C918" w14:textId="088A3081" w:rsidR="00281402" w:rsidRPr="00434F5F" w:rsidRDefault="00281402" w:rsidP="00827BC4">
      <w:pPr>
        <w:autoSpaceDE w:val="0"/>
        <w:autoSpaceDN w:val="0"/>
        <w:adjustRightInd w:val="0"/>
        <w:spacing w:line="240" w:lineRule="auto"/>
      </w:pPr>
      <w:r>
        <w:rPr>
          <w:b/>
          <w:bCs/>
        </w:rPr>
        <w:t>4.1</w:t>
      </w:r>
      <w:r w:rsidR="00827BC4">
        <w:rPr>
          <w:b/>
          <w:bCs/>
        </w:rPr>
        <w:tab/>
      </w:r>
      <w:r>
        <w:rPr>
          <w:b/>
          <w:bCs/>
        </w:rPr>
        <w:t>Terapeutické indikácie</w:t>
      </w:r>
    </w:p>
    <w:p w14:paraId="38738D2B" w14:textId="77777777" w:rsidR="00827BC4" w:rsidRDefault="00827BC4" w:rsidP="00827BC4">
      <w:pPr>
        <w:spacing w:line="240" w:lineRule="auto"/>
      </w:pPr>
    </w:p>
    <w:p w14:paraId="0D44589E" w14:textId="446C7DD1" w:rsidR="00F84C88" w:rsidRPr="00C132F1" w:rsidRDefault="004D5823" w:rsidP="00827BC4">
      <w:pPr>
        <w:spacing w:line="240" w:lineRule="auto"/>
      </w:pPr>
      <w:r>
        <w:t>Perineurálna anestézia (blokáda periférneho nervu) u dospelých pri krátko trvajúcich operáciách (do 60 minút).</w:t>
      </w:r>
    </w:p>
    <w:p w14:paraId="12085009" w14:textId="77777777" w:rsidR="00A16DB0" w:rsidRPr="00434F5F" w:rsidRDefault="00A16DB0" w:rsidP="00827BC4">
      <w:pPr>
        <w:spacing w:line="240" w:lineRule="auto"/>
      </w:pPr>
    </w:p>
    <w:p w14:paraId="63F32A4E" w14:textId="24B641CA" w:rsidR="00281402" w:rsidRPr="00434F5F" w:rsidRDefault="00281402" w:rsidP="00827BC4">
      <w:pPr>
        <w:autoSpaceDE w:val="0"/>
        <w:autoSpaceDN w:val="0"/>
        <w:adjustRightInd w:val="0"/>
        <w:spacing w:line="240" w:lineRule="auto"/>
      </w:pPr>
      <w:r>
        <w:rPr>
          <w:b/>
          <w:bCs/>
        </w:rPr>
        <w:t xml:space="preserve">4.2 </w:t>
      </w:r>
      <w:r w:rsidR="00827BC4">
        <w:rPr>
          <w:b/>
          <w:bCs/>
        </w:rPr>
        <w:tab/>
      </w:r>
      <w:r>
        <w:rPr>
          <w:b/>
          <w:bCs/>
        </w:rPr>
        <w:t>Dávkovanie a spôsob podávania</w:t>
      </w:r>
    </w:p>
    <w:p w14:paraId="7F06A5AA" w14:textId="77777777" w:rsidR="00827BC4" w:rsidRDefault="00827BC4" w:rsidP="00827BC4">
      <w:pPr>
        <w:pStyle w:val="Normlnywebov"/>
        <w:spacing w:before="0" w:beforeAutospacing="0" w:after="0" w:afterAutospacing="0"/>
        <w:rPr>
          <w:sz w:val="22"/>
          <w:szCs w:val="22"/>
        </w:rPr>
      </w:pPr>
      <w:bookmarkStart w:id="0" w:name="_Hlk7782538"/>
    </w:p>
    <w:p w14:paraId="6384CFE5" w14:textId="4A1E662E" w:rsidR="00215EA2" w:rsidRPr="00434F5F" w:rsidRDefault="00215EA2" w:rsidP="00827BC4">
      <w:pPr>
        <w:pStyle w:val="Normlnywebov"/>
        <w:spacing w:before="0" w:beforeAutospacing="0" w:after="0" w:afterAutospacing="0"/>
        <w:rPr>
          <w:sz w:val="22"/>
          <w:szCs w:val="22"/>
        </w:rPr>
      </w:pPr>
      <w:r>
        <w:rPr>
          <w:sz w:val="22"/>
          <w:szCs w:val="22"/>
        </w:rPr>
        <w:t>Vybavenie, lieky a personál schopný zvládnuť núdzové situácie, napr. udržanie priechodnosti dýchacích ciest a podávanie kyslíka, musia byť okamžite k dispozícii, pretože v zriedkavých prípadoch boli po použití lokálnych anestetík hlásené závažné reakcie, niekedy s fatálnym dôsledkom, a to aj v prípade, že v anamnéze pacienta nebola uvedená individuálna precitlivenosť. Ošetrujúci lekár je zodpovedný za prijatie potrebných opatrení, aby sa zabránilo intravaskulárnej injekcii, pričom m</w:t>
      </w:r>
      <w:r w:rsidR="00B30B14">
        <w:rPr>
          <w:sz w:val="22"/>
          <w:szCs w:val="22"/>
        </w:rPr>
        <w:t>á</w:t>
      </w:r>
      <w:r>
        <w:rPr>
          <w:sz w:val="22"/>
          <w:szCs w:val="22"/>
        </w:rPr>
        <w:t xml:space="preserve"> byť riadne vyškolený </w:t>
      </w:r>
      <w:r w:rsidRPr="00312729">
        <w:rPr>
          <w:sz w:val="22"/>
          <w:szCs w:val="22"/>
        </w:rPr>
        <w:t xml:space="preserve">v </w:t>
      </w:r>
      <w:r w:rsidR="00312729">
        <w:rPr>
          <w:sz w:val="22"/>
          <w:szCs w:val="22"/>
        </w:rPr>
        <w:t>urgentnej</w:t>
      </w:r>
      <w:r>
        <w:rPr>
          <w:sz w:val="22"/>
          <w:szCs w:val="22"/>
        </w:rPr>
        <w:t xml:space="preserve"> medicíne a resuscitácii, aby bol pripravený zabrániť a liečiť nežiaduce účinky a komplikácie zákroku.</w:t>
      </w:r>
    </w:p>
    <w:bookmarkEnd w:id="0"/>
    <w:p w14:paraId="0CA461AA" w14:textId="77777777" w:rsidR="00215EA2" w:rsidRPr="00C132F1" w:rsidRDefault="00215EA2" w:rsidP="00827BC4">
      <w:pPr>
        <w:autoSpaceDE w:val="0"/>
        <w:autoSpaceDN w:val="0"/>
        <w:adjustRightInd w:val="0"/>
        <w:spacing w:line="240" w:lineRule="auto"/>
        <w:rPr>
          <w:u w:val="single"/>
        </w:rPr>
      </w:pPr>
    </w:p>
    <w:p w14:paraId="02AAE5A8" w14:textId="358DAE51" w:rsidR="00281402" w:rsidRPr="00434F5F" w:rsidRDefault="00281402" w:rsidP="00827BC4">
      <w:pPr>
        <w:keepNext/>
        <w:autoSpaceDE w:val="0"/>
        <w:autoSpaceDN w:val="0"/>
        <w:adjustRightInd w:val="0"/>
        <w:spacing w:line="240" w:lineRule="auto"/>
      </w:pPr>
      <w:r>
        <w:rPr>
          <w:u w:val="single"/>
        </w:rPr>
        <w:t>Dávkovanie</w:t>
      </w:r>
    </w:p>
    <w:p w14:paraId="45D9C85C" w14:textId="77777777" w:rsidR="00B30B14" w:rsidRDefault="00B30B14" w:rsidP="00827BC4">
      <w:pPr>
        <w:keepNext/>
        <w:spacing w:line="240" w:lineRule="auto"/>
        <w:rPr>
          <w:u w:val="single"/>
        </w:rPr>
      </w:pPr>
    </w:p>
    <w:p w14:paraId="7139000C" w14:textId="52A44B18" w:rsidR="00281402" w:rsidRPr="00C132F1" w:rsidRDefault="00973A68" w:rsidP="00827BC4">
      <w:pPr>
        <w:keepNext/>
        <w:spacing w:line="240" w:lineRule="auto"/>
      </w:pPr>
      <w:r w:rsidRPr="00973A68">
        <w:rPr>
          <w:u w:val="single"/>
        </w:rPr>
        <w:t>Dĺžka trvania účinku chlóprokaínu je závislá od dávky, má sa použiť najnižšia dávka potrebná na vytvorenie účinnej blokády.</w:t>
      </w:r>
      <w:r w:rsidRPr="00973A68">
        <w:t xml:space="preserve"> </w:t>
      </w:r>
      <w:r w:rsidR="00281402">
        <w:t xml:space="preserve">Dávkovanie musí byť stanovené individuálne </w:t>
      </w:r>
      <w:r w:rsidR="00CC12CC">
        <w:t xml:space="preserve">a podaná dávka sa líši </w:t>
      </w:r>
      <w:r w:rsidR="00280E40">
        <w:t>v závislosti od anestetického výkonu, vaskularizácie tkanív, hĺbky anestézie a stupňa požadovanej svalovej relaxácie, požadovanej doby trvania anestézie a fyzického stavu pacienta</w:t>
      </w:r>
      <w:r w:rsidR="00281402">
        <w:t>. Pri stanovení dávky je potrebné vziať do úvahy súčasné podávanie iných liekov.</w:t>
      </w:r>
    </w:p>
    <w:p w14:paraId="543B9F9C" w14:textId="0F5CDC77" w:rsidR="00215EA2" w:rsidRPr="00C132F1" w:rsidRDefault="00215EA2" w:rsidP="00827BC4">
      <w:pPr>
        <w:spacing w:line="240" w:lineRule="auto"/>
      </w:pPr>
      <w:r>
        <w:t xml:space="preserve">V nasledujúcej tabuľke je uvedený návod na dávkovanie pri najpoužívanejších blokádach. </w:t>
      </w:r>
    </w:p>
    <w:p w14:paraId="600F02C5" w14:textId="77777777" w:rsidR="00431765" w:rsidRPr="00434F5F" w:rsidRDefault="00431765" w:rsidP="00827BC4">
      <w:pPr>
        <w:spacing w:line="240" w:lineRule="auto"/>
        <w:rPr>
          <w:i/>
          <w:noProof/>
        </w:rPr>
      </w:pPr>
    </w:p>
    <w:p w14:paraId="0FD9EB68" w14:textId="77777777" w:rsidR="00281402" w:rsidRPr="00C132F1" w:rsidRDefault="00281402" w:rsidP="00827BC4">
      <w:pPr>
        <w:spacing w:line="240" w:lineRule="auto"/>
        <w:rPr>
          <w:i/>
          <w:noProof/>
          <w:lang w:val="en-US"/>
        </w:rPr>
      </w:pPr>
      <w:r>
        <w:rPr>
          <w:i/>
          <w:noProof/>
        </w:rPr>
        <w:t>Dávkovanie pre dospelých</w:t>
      </w:r>
    </w:p>
    <w:p w14:paraId="3628C03C" w14:textId="77777777" w:rsidR="00030650" w:rsidRPr="00C132F1" w:rsidRDefault="00030650" w:rsidP="00827BC4">
      <w:pPr>
        <w:spacing w:line="240" w:lineRule="auto"/>
      </w:pPr>
    </w:p>
    <w:tbl>
      <w:tblPr>
        <w:tblW w:w="8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0"/>
        <w:gridCol w:w="1984"/>
        <w:gridCol w:w="2135"/>
      </w:tblGrid>
      <w:tr w:rsidR="0098030B" w:rsidRPr="00BD4928" w14:paraId="46BC802C" w14:textId="77777777" w:rsidTr="00280E40">
        <w:trPr>
          <w:trHeight w:val="305"/>
          <w:jc w:val="center"/>
        </w:trPr>
        <w:tc>
          <w:tcPr>
            <w:tcW w:w="41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6309BD" w14:textId="77777777" w:rsidR="001B1826" w:rsidRPr="00BD4928" w:rsidRDefault="001B1826" w:rsidP="00280E40">
            <w:pPr>
              <w:keepNext/>
              <w:keepLines/>
              <w:tabs>
                <w:tab w:val="clear" w:pos="567"/>
              </w:tabs>
              <w:spacing w:after="160" w:line="240" w:lineRule="auto"/>
              <w:jc w:val="center"/>
              <w:rPr>
                <w:rFonts w:eastAsia="Calibri"/>
                <w:iCs/>
                <w:color w:val="000000" w:themeColor="text1"/>
                <w:lang w:eastAsia="it-CH"/>
              </w:rPr>
            </w:pPr>
            <w:r w:rsidRPr="00BD4928">
              <w:rPr>
                <w:rFonts w:eastAsia="Calibri"/>
                <w:b/>
                <w:color w:val="000000" w:themeColor="text1"/>
              </w:rPr>
              <w:lastRenderedPageBreak/>
              <w:t>Anestetický postup</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47981E9" w14:textId="77777777" w:rsidR="001B1826" w:rsidRPr="00BD4928" w:rsidRDefault="001B1826" w:rsidP="00280E40">
            <w:pPr>
              <w:widowControl w:val="0"/>
              <w:tabs>
                <w:tab w:val="clear" w:pos="567"/>
              </w:tabs>
              <w:spacing w:after="160" w:line="240" w:lineRule="auto"/>
              <w:jc w:val="center"/>
              <w:rPr>
                <w:rFonts w:eastAsia="Calibri"/>
                <w:color w:val="000000" w:themeColor="text1"/>
                <w:lang w:eastAsia="it-CH"/>
              </w:rPr>
            </w:pPr>
            <w:r w:rsidRPr="00BD4928">
              <w:rPr>
                <w:rFonts w:eastAsia="Calibri"/>
                <w:b/>
                <w:color w:val="000000" w:themeColor="text1"/>
              </w:rPr>
              <w:t>Objem (ml)</w:t>
            </w:r>
          </w:p>
        </w:tc>
        <w:tc>
          <w:tcPr>
            <w:tcW w:w="21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799101" w14:textId="77777777" w:rsidR="001B1826" w:rsidRPr="00BD4928" w:rsidRDefault="001B1826" w:rsidP="00280E40">
            <w:pPr>
              <w:keepNext/>
              <w:keepLines/>
              <w:tabs>
                <w:tab w:val="clear" w:pos="567"/>
              </w:tabs>
              <w:spacing w:after="160" w:line="240" w:lineRule="auto"/>
              <w:jc w:val="center"/>
              <w:rPr>
                <w:rFonts w:eastAsia="Calibri"/>
                <w:color w:val="000000" w:themeColor="text1"/>
                <w:lang w:eastAsia="it-CH"/>
              </w:rPr>
            </w:pPr>
            <w:r w:rsidRPr="00BD4928">
              <w:rPr>
                <w:rFonts w:eastAsia="Calibri"/>
                <w:b/>
                <w:color w:val="000000" w:themeColor="text1"/>
              </w:rPr>
              <w:t>Celková dávka (mg)</w:t>
            </w:r>
          </w:p>
        </w:tc>
      </w:tr>
      <w:tr w:rsidR="0098030B" w:rsidRPr="00BD4928" w14:paraId="5E7F6B5F" w14:textId="77777777" w:rsidTr="00280E40">
        <w:trPr>
          <w:trHeight w:val="971"/>
          <w:jc w:val="center"/>
        </w:trPr>
        <w:tc>
          <w:tcPr>
            <w:tcW w:w="4120" w:type="dxa"/>
            <w:tcBorders>
              <w:top w:val="single" w:sz="4" w:space="0" w:color="auto"/>
              <w:left w:val="single" w:sz="4" w:space="0" w:color="auto"/>
              <w:bottom w:val="single" w:sz="4" w:space="0" w:color="auto"/>
              <w:right w:val="single" w:sz="4" w:space="0" w:color="auto"/>
            </w:tcBorders>
            <w:hideMark/>
          </w:tcPr>
          <w:p w14:paraId="488DE34A" w14:textId="645375C3" w:rsidR="001B1826" w:rsidRPr="009304AB" w:rsidRDefault="001B1826" w:rsidP="00827BC4">
            <w:pPr>
              <w:keepNext/>
              <w:keepLines/>
              <w:tabs>
                <w:tab w:val="clear" w:pos="567"/>
              </w:tabs>
              <w:spacing w:before="20" w:after="20" w:line="240" w:lineRule="auto"/>
              <w:rPr>
                <w:rFonts w:eastAsia="Calibri"/>
                <w:iCs/>
                <w:color w:val="000000" w:themeColor="text1"/>
                <w:lang w:eastAsia="it-CH"/>
              </w:rPr>
            </w:pPr>
            <w:r w:rsidRPr="009304AB">
              <w:rPr>
                <w:rFonts w:eastAsia="Calibri"/>
                <w:iCs/>
                <w:color w:val="000000" w:themeColor="text1"/>
              </w:rPr>
              <w:t>Blokády veľkých nervov*</w:t>
            </w:r>
          </w:p>
          <w:p w14:paraId="2EBCBCAA" w14:textId="34C0511F" w:rsidR="001B1826" w:rsidRPr="009304AB" w:rsidRDefault="001B1826" w:rsidP="00827BC4">
            <w:pPr>
              <w:keepNext/>
              <w:keepLines/>
              <w:tabs>
                <w:tab w:val="clear" w:pos="567"/>
              </w:tabs>
              <w:spacing w:before="20" w:after="20" w:line="240" w:lineRule="auto"/>
              <w:rPr>
                <w:rFonts w:eastAsia="Calibri"/>
                <w:color w:val="000000" w:themeColor="text1"/>
              </w:rPr>
            </w:pPr>
          </w:p>
          <w:p w14:paraId="6A8D902B" w14:textId="73752FF2" w:rsidR="00AF6E8A" w:rsidRPr="009304AB" w:rsidRDefault="00695CD1" w:rsidP="00827BC4">
            <w:pPr>
              <w:keepNext/>
              <w:keepLines/>
              <w:tabs>
                <w:tab w:val="clear" w:pos="567"/>
              </w:tabs>
              <w:spacing w:before="20" w:after="20" w:line="240" w:lineRule="auto"/>
              <w:rPr>
                <w:rFonts w:eastAsia="Calibri"/>
                <w:color w:val="000000" w:themeColor="text1"/>
              </w:rPr>
            </w:pPr>
            <w:r w:rsidRPr="009304AB">
              <w:rPr>
                <w:rFonts w:eastAsia="Calibri"/>
                <w:color w:val="000000" w:themeColor="text1"/>
              </w:rPr>
              <w:t>Axilárn</w:t>
            </w:r>
            <w:r w:rsidR="00A23C84" w:rsidRPr="009304AB">
              <w:rPr>
                <w:rFonts w:eastAsia="Calibri"/>
                <w:color w:val="000000" w:themeColor="text1"/>
              </w:rPr>
              <w:t>y</w:t>
            </w:r>
            <w:r w:rsidRPr="009304AB">
              <w:rPr>
                <w:rFonts w:eastAsia="Calibri"/>
                <w:color w:val="000000" w:themeColor="text1"/>
              </w:rPr>
              <w:t xml:space="preserve"> blok</w:t>
            </w:r>
          </w:p>
          <w:p w14:paraId="71BD395E" w14:textId="34A4DDE7" w:rsidR="00E440E2" w:rsidRPr="009304AB" w:rsidRDefault="00E440E2" w:rsidP="00827BC4">
            <w:pPr>
              <w:keepNext/>
              <w:keepLines/>
              <w:tabs>
                <w:tab w:val="clear" w:pos="567"/>
              </w:tabs>
              <w:spacing w:before="20" w:after="20" w:line="240" w:lineRule="auto"/>
              <w:rPr>
                <w:rFonts w:eastAsia="Calibri"/>
                <w:color w:val="000000" w:themeColor="text1"/>
              </w:rPr>
            </w:pPr>
            <w:r w:rsidRPr="009304AB">
              <w:rPr>
                <w:rFonts w:eastAsia="Calibri"/>
                <w:color w:val="000000" w:themeColor="text1"/>
              </w:rPr>
              <w:t>Blok brachiálneho plexu</w:t>
            </w:r>
          </w:p>
          <w:p w14:paraId="12D845B8" w14:textId="7EE0C13E" w:rsidR="00695CD1" w:rsidRPr="009304AB" w:rsidRDefault="00695CD1" w:rsidP="00827BC4">
            <w:pPr>
              <w:keepNext/>
              <w:keepLines/>
              <w:tabs>
                <w:tab w:val="clear" w:pos="567"/>
              </w:tabs>
              <w:spacing w:before="20" w:after="20" w:line="240" w:lineRule="auto"/>
              <w:rPr>
                <w:rFonts w:eastAsia="Calibri"/>
                <w:color w:val="000000" w:themeColor="text1"/>
              </w:rPr>
            </w:pPr>
            <w:r w:rsidRPr="009304AB">
              <w:rPr>
                <w:rFonts w:eastAsia="Calibri"/>
                <w:color w:val="000000" w:themeColor="text1"/>
              </w:rPr>
              <w:t>Femoráln</w:t>
            </w:r>
            <w:r w:rsidR="00A23C84" w:rsidRPr="009304AB">
              <w:rPr>
                <w:rFonts w:eastAsia="Calibri"/>
                <w:color w:val="000000" w:themeColor="text1"/>
              </w:rPr>
              <w:t>y</w:t>
            </w:r>
            <w:r w:rsidRPr="009304AB">
              <w:rPr>
                <w:rFonts w:eastAsia="Calibri"/>
                <w:color w:val="000000" w:themeColor="text1"/>
              </w:rPr>
              <w:t xml:space="preserve"> blok</w:t>
            </w:r>
          </w:p>
          <w:p w14:paraId="0655566B" w14:textId="1EBB95D1" w:rsidR="00695CD1" w:rsidRPr="009304AB" w:rsidRDefault="00695CD1" w:rsidP="00827BC4">
            <w:pPr>
              <w:keepNext/>
              <w:keepLines/>
              <w:tabs>
                <w:tab w:val="clear" w:pos="567"/>
              </w:tabs>
              <w:spacing w:before="20" w:after="20" w:line="240" w:lineRule="auto"/>
              <w:rPr>
                <w:rFonts w:eastAsia="Calibri"/>
                <w:iCs/>
                <w:color w:val="000000" w:themeColor="text1"/>
                <w:lang w:eastAsia="it-CH"/>
              </w:rPr>
            </w:pPr>
            <w:r w:rsidRPr="009304AB">
              <w:rPr>
                <w:rFonts w:eastAsia="Calibri"/>
                <w:color w:val="000000" w:themeColor="text1"/>
              </w:rPr>
              <w:t>Blok ischiatického nervu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AE3911" w14:textId="5CBC8E04" w:rsidR="001B1826" w:rsidRPr="00BD4928" w:rsidRDefault="001B1826" w:rsidP="00280E40">
            <w:pPr>
              <w:widowControl w:val="0"/>
              <w:tabs>
                <w:tab w:val="clear" w:pos="567"/>
              </w:tabs>
              <w:spacing w:before="40" w:after="40" w:line="240" w:lineRule="auto"/>
              <w:jc w:val="center"/>
              <w:rPr>
                <w:rFonts w:eastAsia="Calibri"/>
                <w:color w:val="000000" w:themeColor="text1"/>
              </w:rPr>
            </w:pPr>
            <w:r w:rsidRPr="00BD4928">
              <w:rPr>
                <w:rFonts w:eastAsia="Calibri"/>
                <w:color w:val="000000" w:themeColor="text1"/>
              </w:rPr>
              <w:t>1</w:t>
            </w:r>
            <w:r w:rsidR="00C8616D" w:rsidRPr="00BD4928">
              <w:rPr>
                <w:rFonts w:eastAsia="Calibri"/>
                <w:color w:val="000000" w:themeColor="text1"/>
              </w:rPr>
              <w:t>5</w:t>
            </w:r>
            <w:r w:rsidR="00695CD1" w:rsidRPr="00BD4928">
              <w:rPr>
                <w:rFonts w:eastAsia="Calibri"/>
                <w:color w:val="000000" w:themeColor="text1"/>
              </w:rPr>
              <w:t>-</w:t>
            </w:r>
            <w:r w:rsidRPr="00BD4928">
              <w:rPr>
                <w:rFonts w:eastAsia="Calibri"/>
                <w:color w:val="000000" w:themeColor="text1"/>
              </w:rPr>
              <w:t>40</w:t>
            </w:r>
          </w:p>
          <w:p w14:paraId="1D674A85" w14:textId="77777777" w:rsidR="00695CD1" w:rsidRPr="00BD4928" w:rsidRDefault="00695CD1" w:rsidP="00280E40">
            <w:pPr>
              <w:widowControl w:val="0"/>
              <w:tabs>
                <w:tab w:val="clear" w:pos="567"/>
              </w:tabs>
              <w:spacing w:before="40" w:after="40" w:line="240" w:lineRule="auto"/>
              <w:jc w:val="center"/>
              <w:rPr>
                <w:rFonts w:eastAsia="Calibri"/>
                <w:color w:val="000000" w:themeColor="text1"/>
              </w:rPr>
            </w:pPr>
          </w:p>
          <w:p w14:paraId="5BEDC196" w14:textId="3E7158C5" w:rsidR="00695CD1" w:rsidRPr="00BD4928" w:rsidRDefault="00695CD1" w:rsidP="00280E40">
            <w:pPr>
              <w:widowControl w:val="0"/>
              <w:tabs>
                <w:tab w:val="clear" w:pos="567"/>
              </w:tabs>
              <w:spacing w:before="40" w:after="40" w:line="240" w:lineRule="auto"/>
              <w:jc w:val="center"/>
              <w:rPr>
                <w:rFonts w:eastAsia="Calibri"/>
                <w:color w:val="000000" w:themeColor="text1"/>
              </w:rPr>
            </w:pPr>
            <w:r w:rsidRPr="00BD4928">
              <w:rPr>
                <w:rFonts w:eastAsia="Calibri"/>
                <w:color w:val="000000" w:themeColor="text1"/>
              </w:rPr>
              <w:t>20</w:t>
            </w:r>
          </w:p>
          <w:p w14:paraId="765C27C4" w14:textId="734DC711" w:rsidR="00E440E2" w:rsidRPr="00BD4928" w:rsidRDefault="00E440E2" w:rsidP="00280E40">
            <w:pPr>
              <w:widowControl w:val="0"/>
              <w:tabs>
                <w:tab w:val="clear" w:pos="567"/>
              </w:tabs>
              <w:spacing w:before="40" w:after="40" w:line="240" w:lineRule="auto"/>
              <w:jc w:val="center"/>
              <w:rPr>
                <w:rFonts w:eastAsia="Calibri"/>
                <w:color w:val="000000" w:themeColor="text1"/>
              </w:rPr>
            </w:pPr>
            <w:r w:rsidRPr="00BD4928">
              <w:rPr>
                <w:rFonts w:eastAsia="Calibri"/>
                <w:color w:val="000000" w:themeColor="text1"/>
              </w:rPr>
              <w:t>30-40</w:t>
            </w:r>
          </w:p>
          <w:p w14:paraId="59ACF436" w14:textId="33E1BEA9" w:rsidR="00695CD1" w:rsidRPr="00BD4928" w:rsidRDefault="00695CD1" w:rsidP="00280E40">
            <w:pPr>
              <w:widowControl w:val="0"/>
              <w:tabs>
                <w:tab w:val="clear" w:pos="567"/>
              </w:tabs>
              <w:spacing w:before="40" w:after="40" w:line="240" w:lineRule="auto"/>
              <w:jc w:val="center"/>
              <w:rPr>
                <w:rFonts w:eastAsia="Calibri"/>
                <w:color w:val="000000" w:themeColor="text1"/>
              </w:rPr>
            </w:pPr>
            <w:r w:rsidRPr="00BD4928">
              <w:rPr>
                <w:rFonts w:eastAsia="Calibri"/>
                <w:color w:val="000000" w:themeColor="text1"/>
              </w:rPr>
              <w:t>15-30</w:t>
            </w:r>
          </w:p>
          <w:p w14:paraId="12E0F3C2" w14:textId="48A11608" w:rsidR="00695CD1" w:rsidRPr="00BD4928" w:rsidRDefault="00695CD1" w:rsidP="00280E40">
            <w:pPr>
              <w:widowControl w:val="0"/>
              <w:tabs>
                <w:tab w:val="clear" w:pos="567"/>
              </w:tabs>
              <w:spacing w:before="40" w:after="40" w:line="240" w:lineRule="auto"/>
              <w:jc w:val="center"/>
              <w:rPr>
                <w:rFonts w:eastAsia="Calibri"/>
                <w:color w:val="000000" w:themeColor="text1"/>
                <w:lang w:eastAsia="it-CH"/>
              </w:rPr>
            </w:pPr>
            <w:r w:rsidRPr="00BD4928">
              <w:rPr>
                <w:rFonts w:eastAsia="Calibri"/>
                <w:color w:val="000000" w:themeColor="text1"/>
              </w:rPr>
              <w:t>20-30</w:t>
            </w:r>
          </w:p>
        </w:tc>
        <w:tc>
          <w:tcPr>
            <w:tcW w:w="2135" w:type="dxa"/>
            <w:tcBorders>
              <w:top w:val="single" w:sz="4" w:space="0" w:color="auto"/>
              <w:left w:val="single" w:sz="4" w:space="0" w:color="auto"/>
              <w:bottom w:val="single" w:sz="4" w:space="0" w:color="auto"/>
              <w:right w:val="single" w:sz="4" w:space="0" w:color="auto"/>
            </w:tcBorders>
            <w:vAlign w:val="center"/>
            <w:hideMark/>
          </w:tcPr>
          <w:p w14:paraId="3B6B7547" w14:textId="60D8892C" w:rsidR="001B1826" w:rsidRPr="00BD4928" w:rsidRDefault="00D7273A" w:rsidP="00280E40">
            <w:pPr>
              <w:keepNext/>
              <w:keepLines/>
              <w:tabs>
                <w:tab w:val="clear" w:pos="567"/>
              </w:tabs>
              <w:spacing w:before="20" w:after="20" w:line="240" w:lineRule="auto"/>
              <w:jc w:val="center"/>
              <w:rPr>
                <w:rFonts w:eastAsia="Calibri"/>
                <w:color w:val="000000" w:themeColor="text1"/>
              </w:rPr>
            </w:pPr>
            <w:r w:rsidRPr="00BD4928">
              <w:rPr>
                <w:rFonts w:eastAsia="Calibri"/>
                <w:color w:val="000000" w:themeColor="text1"/>
              </w:rPr>
              <w:t>3</w:t>
            </w:r>
            <w:r w:rsidR="001B1826" w:rsidRPr="00BD4928">
              <w:rPr>
                <w:rFonts w:eastAsia="Calibri"/>
                <w:color w:val="000000" w:themeColor="text1"/>
              </w:rPr>
              <w:t>00</w:t>
            </w:r>
            <w:r w:rsidR="00695CD1" w:rsidRPr="00BD4928">
              <w:rPr>
                <w:rFonts w:eastAsia="Calibri"/>
                <w:color w:val="000000" w:themeColor="text1"/>
              </w:rPr>
              <w:t>-</w:t>
            </w:r>
            <w:r w:rsidR="001B1826" w:rsidRPr="00BD4928">
              <w:rPr>
                <w:rFonts w:eastAsia="Calibri"/>
                <w:color w:val="000000" w:themeColor="text1"/>
              </w:rPr>
              <w:t>800</w:t>
            </w:r>
          </w:p>
          <w:p w14:paraId="5EC8D056" w14:textId="77777777" w:rsidR="00695CD1" w:rsidRPr="00BD4928" w:rsidRDefault="00695CD1" w:rsidP="00280E40">
            <w:pPr>
              <w:keepNext/>
              <w:keepLines/>
              <w:tabs>
                <w:tab w:val="clear" w:pos="567"/>
              </w:tabs>
              <w:spacing w:before="20" w:after="20" w:line="240" w:lineRule="auto"/>
              <w:jc w:val="center"/>
              <w:rPr>
                <w:rFonts w:eastAsia="Calibri"/>
                <w:color w:val="000000" w:themeColor="text1"/>
              </w:rPr>
            </w:pPr>
          </w:p>
          <w:p w14:paraId="197CF942" w14:textId="1EA298B3" w:rsidR="00695CD1" w:rsidRPr="00BD4928" w:rsidRDefault="00695CD1" w:rsidP="00280E40">
            <w:pPr>
              <w:keepNext/>
              <w:keepLines/>
              <w:tabs>
                <w:tab w:val="clear" w:pos="567"/>
              </w:tabs>
              <w:spacing w:before="20" w:after="20" w:line="240" w:lineRule="auto"/>
              <w:jc w:val="center"/>
              <w:rPr>
                <w:rFonts w:eastAsia="Calibri"/>
                <w:color w:val="000000" w:themeColor="text1"/>
              </w:rPr>
            </w:pPr>
            <w:r w:rsidRPr="00BD4928">
              <w:rPr>
                <w:rFonts w:eastAsia="Calibri"/>
                <w:color w:val="000000" w:themeColor="text1"/>
              </w:rPr>
              <w:t>400</w:t>
            </w:r>
          </w:p>
          <w:p w14:paraId="295D8ED1" w14:textId="59CBADEE" w:rsidR="00E440E2" w:rsidRPr="00BD4928" w:rsidRDefault="00E440E2" w:rsidP="00280E40">
            <w:pPr>
              <w:keepNext/>
              <w:keepLines/>
              <w:tabs>
                <w:tab w:val="clear" w:pos="567"/>
              </w:tabs>
              <w:spacing w:before="20" w:after="20" w:line="240" w:lineRule="auto"/>
              <w:jc w:val="center"/>
              <w:rPr>
                <w:rFonts w:eastAsia="Calibri"/>
                <w:color w:val="000000" w:themeColor="text1"/>
              </w:rPr>
            </w:pPr>
            <w:r w:rsidRPr="00BD4928">
              <w:rPr>
                <w:rFonts w:eastAsia="Calibri"/>
                <w:color w:val="000000" w:themeColor="text1"/>
              </w:rPr>
              <w:t>600-800</w:t>
            </w:r>
          </w:p>
          <w:p w14:paraId="592B693B" w14:textId="09DAC8FF" w:rsidR="00695CD1" w:rsidRPr="00BD4928" w:rsidRDefault="00695CD1" w:rsidP="00280E40">
            <w:pPr>
              <w:keepNext/>
              <w:keepLines/>
              <w:tabs>
                <w:tab w:val="clear" w:pos="567"/>
              </w:tabs>
              <w:spacing w:before="20" w:after="20" w:line="240" w:lineRule="auto"/>
              <w:jc w:val="center"/>
              <w:rPr>
                <w:rFonts w:eastAsia="Calibri"/>
                <w:color w:val="000000" w:themeColor="text1"/>
              </w:rPr>
            </w:pPr>
            <w:r w:rsidRPr="00BD4928">
              <w:rPr>
                <w:rFonts w:eastAsia="Calibri"/>
                <w:color w:val="000000" w:themeColor="text1"/>
              </w:rPr>
              <w:t>300-600</w:t>
            </w:r>
          </w:p>
          <w:p w14:paraId="5AF40562" w14:textId="6E134488" w:rsidR="00695CD1" w:rsidRPr="00BD4928" w:rsidRDefault="00695CD1" w:rsidP="00280E40">
            <w:pPr>
              <w:keepNext/>
              <w:keepLines/>
              <w:tabs>
                <w:tab w:val="clear" w:pos="567"/>
              </w:tabs>
              <w:spacing w:before="20" w:after="20" w:line="240" w:lineRule="auto"/>
              <w:jc w:val="center"/>
              <w:rPr>
                <w:rFonts w:eastAsia="Calibri"/>
                <w:color w:val="000000" w:themeColor="text1"/>
                <w:lang w:eastAsia="it-CH"/>
              </w:rPr>
            </w:pPr>
            <w:r w:rsidRPr="00BD4928">
              <w:rPr>
                <w:rFonts w:eastAsia="Calibri"/>
                <w:color w:val="000000" w:themeColor="text1"/>
              </w:rPr>
              <w:t>400-600</w:t>
            </w:r>
          </w:p>
        </w:tc>
      </w:tr>
      <w:tr w:rsidR="0098030B" w:rsidRPr="00BD4928" w14:paraId="7C4EBD57" w14:textId="77777777" w:rsidTr="00280E40">
        <w:trPr>
          <w:jc w:val="center"/>
        </w:trPr>
        <w:tc>
          <w:tcPr>
            <w:tcW w:w="4120" w:type="dxa"/>
            <w:tcBorders>
              <w:top w:val="single" w:sz="4" w:space="0" w:color="auto"/>
              <w:left w:val="single" w:sz="4" w:space="0" w:color="auto"/>
              <w:bottom w:val="single" w:sz="4" w:space="0" w:color="auto"/>
              <w:right w:val="single" w:sz="4" w:space="0" w:color="auto"/>
            </w:tcBorders>
          </w:tcPr>
          <w:p w14:paraId="233DD01D" w14:textId="3D0E6F4E" w:rsidR="00770FD1" w:rsidRPr="009304AB" w:rsidRDefault="00A23C84" w:rsidP="00827BC4">
            <w:pPr>
              <w:keepNext/>
              <w:keepLines/>
              <w:tabs>
                <w:tab w:val="clear" w:pos="567"/>
              </w:tabs>
              <w:spacing w:before="20" w:after="20" w:line="240" w:lineRule="auto"/>
              <w:rPr>
                <w:rFonts w:eastAsia="Calibri"/>
                <w:iCs/>
                <w:color w:val="000000" w:themeColor="text1"/>
              </w:rPr>
            </w:pPr>
            <w:r w:rsidRPr="009304AB">
              <w:rPr>
                <w:rFonts w:eastAsia="Calibri"/>
                <w:iCs/>
                <w:color w:val="000000" w:themeColor="text1"/>
              </w:rPr>
              <w:t xml:space="preserve">Blokády </w:t>
            </w:r>
            <w:r w:rsidR="001B1826" w:rsidRPr="009304AB">
              <w:rPr>
                <w:rFonts w:eastAsia="Calibri"/>
                <w:iCs/>
                <w:color w:val="000000" w:themeColor="text1"/>
              </w:rPr>
              <w:t>menších nervov</w:t>
            </w:r>
          </w:p>
          <w:p w14:paraId="1A92F212" w14:textId="7036343F" w:rsidR="001B1826" w:rsidRPr="009304AB" w:rsidRDefault="001B1826" w:rsidP="00827BC4">
            <w:pPr>
              <w:keepNext/>
              <w:keepLines/>
              <w:tabs>
                <w:tab w:val="clear" w:pos="567"/>
              </w:tabs>
              <w:spacing w:before="20" w:after="20" w:line="240" w:lineRule="auto"/>
              <w:rPr>
                <w:rFonts w:eastAsia="Calibri"/>
                <w:iCs/>
                <w:color w:val="000000" w:themeColor="text1"/>
              </w:rPr>
            </w:pPr>
          </w:p>
          <w:p w14:paraId="47968C4B" w14:textId="77777777" w:rsidR="00A23C84" w:rsidRPr="009304AB" w:rsidRDefault="00A23C84" w:rsidP="00827BC4">
            <w:pPr>
              <w:keepNext/>
              <w:keepLines/>
              <w:tabs>
                <w:tab w:val="clear" w:pos="567"/>
              </w:tabs>
              <w:spacing w:before="20" w:after="20" w:line="240" w:lineRule="auto"/>
              <w:rPr>
                <w:rFonts w:eastAsia="Calibri"/>
                <w:iCs/>
                <w:color w:val="000000" w:themeColor="text1"/>
              </w:rPr>
            </w:pPr>
            <w:r w:rsidRPr="009304AB">
              <w:rPr>
                <w:rFonts w:eastAsia="Calibri"/>
                <w:iCs/>
                <w:color w:val="000000" w:themeColor="text1"/>
              </w:rPr>
              <w:t>Peribulbárny blok</w:t>
            </w:r>
          </w:p>
          <w:p w14:paraId="5947157E" w14:textId="5856D28E" w:rsidR="00A23C84" w:rsidRPr="009304AB" w:rsidRDefault="00A23C84" w:rsidP="00827BC4">
            <w:pPr>
              <w:keepNext/>
              <w:keepLines/>
              <w:tabs>
                <w:tab w:val="clear" w:pos="567"/>
              </w:tabs>
              <w:spacing w:before="20" w:after="20" w:line="240" w:lineRule="auto"/>
              <w:rPr>
                <w:rFonts w:eastAsia="Calibri"/>
                <w:iCs/>
                <w:color w:val="000000" w:themeColor="text1"/>
                <w:lang w:eastAsia="it-CH"/>
              </w:rPr>
            </w:pPr>
            <w:r w:rsidRPr="009304AB">
              <w:rPr>
                <w:rFonts w:eastAsia="Calibri"/>
                <w:iCs/>
                <w:color w:val="000000" w:themeColor="text1"/>
              </w:rPr>
              <w:t>Infraorbitálny blok</w:t>
            </w:r>
          </w:p>
        </w:tc>
        <w:tc>
          <w:tcPr>
            <w:tcW w:w="1984" w:type="dxa"/>
            <w:tcBorders>
              <w:top w:val="single" w:sz="4" w:space="0" w:color="auto"/>
              <w:left w:val="single" w:sz="4" w:space="0" w:color="auto"/>
              <w:bottom w:val="single" w:sz="4" w:space="0" w:color="auto"/>
              <w:right w:val="single" w:sz="4" w:space="0" w:color="auto"/>
            </w:tcBorders>
            <w:vAlign w:val="center"/>
          </w:tcPr>
          <w:p w14:paraId="004EC361" w14:textId="6A7F3850" w:rsidR="00770FD1" w:rsidRPr="00BD4928" w:rsidRDefault="001B1826" w:rsidP="00280E40">
            <w:pPr>
              <w:widowControl w:val="0"/>
              <w:tabs>
                <w:tab w:val="clear" w:pos="567"/>
              </w:tabs>
              <w:spacing w:before="40" w:after="40" w:line="240" w:lineRule="auto"/>
              <w:jc w:val="center"/>
              <w:rPr>
                <w:rFonts w:eastAsia="Calibri"/>
                <w:color w:val="000000" w:themeColor="text1"/>
              </w:rPr>
            </w:pPr>
            <w:r w:rsidRPr="00BD4928">
              <w:rPr>
                <w:rFonts w:eastAsia="Calibri"/>
                <w:color w:val="000000" w:themeColor="text1"/>
              </w:rPr>
              <w:t>0,5</w:t>
            </w:r>
            <w:r w:rsidR="00A23C84" w:rsidRPr="00BD4928">
              <w:rPr>
                <w:rFonts w:eastAsia="Calibri"/>
                <w:color w:val="000000" w:themeColor="text1"/>
              </w:rPr>
              <w:t>-5</w:t>
            </w:r>
          </w:p>
          <w:p w14:paraId="2E3BAFC7" w14:textId="2DA056C4" w:rsidR="001B1826" w:rsidRPr="00BD4928" w:rsidRDefault="001B1826" w:rsidP="00280E40">
            <w:pPr>
              <w:widowControl w:val="0"/>
              <w:tabs>
                <w:tab w:val="clear" w:pos="567"/>
              </w:tabs>
              <w:spacing w:before="40" w:after="40" w:line="240" w:lineRule="auto"/>
              <w:jc w:val="center"/>
              <w:rPr>
                <w:rFonts w:eastAsia="Calibri"/>
                <w:color w:val="000000" w:themeColor="text1"/>
              </w:rPr>
            </w:pPr>
          </w:p>
          <w:p w14:paraId="683E87BC" w14:textId="4E777CAB" w:rsidR="00A23C84" w:rsidRPr="00BD4928" w:rsidRDefault="00A23C84" w:rsidP="00280E40">
            <w:pPr>
              <w:widowControl w:val="0"/>
              <w:tabs>
                <w:tab w:val="clear" w:pos="567"/>
              </w:tabs>
              <w:spacing w:before="40" w:after="40" w:line="240" w:lineRule="auto"/>
              <w:jc w:val="center"/>
              <w:rPr>
                <w:rFonts w:eastAsia="Calibri"/>
                <w:color w:val="000000" w:themeColor="text1"/>
              </w:rPr>
            </w:pPr>
            <w:r w:rsidRPr="00BD4928">
              <w:rPr>
                <w:rFonts w:eastAsia="Calibri"/>
                <w:color w:val="000000" w:themeColor="text1"/>
              </w:rPr>
              <w:t>5</w:t>
            </w:r>
          </w:p>
          <w:p w14:paraId="171077E4" w14:textId="7B2D60C9" w:rsidR="00A23C84" w:rsidRPr="00BD4928" w:rsidRDefault="00A23C84" w:rsidP="00280E40">
            <w:pPr>
              <w:widowControl w:val="0"/>
              <w:tabs>
                <w:tab w:val="clear" w:pos="567"/>
              </w:tabs>
              <w:spacing w:before="40" w:after="40" w:line="240" w:lineRule="auto"/>
              <w:jc w:val="center"/>
              <w:rPr>
                <w:rFonts w:eastAsia="Calibri"/>
                <w:color w:val="000000" w:themeColor="text1"/>
                <w:lang w:eastAsia="it-CH"/>
              </w:rPr>
            </w:pPr>
            <w:r w:rsidRPr="00BD4928">
              <w:rPr>
                <w:rFonts w:eastAsia="Calibri"/>
                <w:color w:val="000000" w:themeColor="text1"/>
              </w:rPr>
              <w:t>0,5-1</w:t>
            </w:r>
          </w:p>
        </w:tc>
        <w:tc>
          <w:tcPr>
            <w:tcW w:w="2135" w:type="dxa"/>
            <w:tcBorders>
              <w:top w:val="single" w:sz="4" w:space="0" w:color="auto"/>
              <w:left w:val="single" w:sz="4" w:space="0" w:color="auto"/>
              <w:bottom w:val="single" w:sz="4" w:space="0" w:color="auto"/>
              <w:right w:val="single" w:sz="4" w:space="0" w:color="auto"/>
            </w:tcBorders>
            <w:vAlign w:val="center"/>
          </w:tcPr>
          <w:p w14:paraId="37C60222" w14:textId="35EE4A0F" w:rsidR="001B1826" w:rsidRPr="00BD4928" w:rsidRDefault="001B1826" w:rsidP="00280E40">
            <w:pPr>
              <w:keepNext/>
              <w:keepLines/>
              <w:tabs>
                <w:tab w:val="clear" w:pos="567"/>
              </w:tabs>
              <w:spacing w:before="20" w:after="20" w:line="240" w:lineRule="auto"/>
              <w:jc w:val="center"/>
              <w:rPr>
                <w:rFonts w:eastAsia="Calibri"/>
                <w:color w:val="000000" w:themeColor="text1"/>
              </w:rPr>
            </w:pPr>
            <w:r w:rsidRPr="00BD4928">
              <w:rPr>
                <w:rFonts w:eastAsia="Calibri"/>
                <w:color w:val="000000" w:themeColor="text1"/>
              </w:rPr>
              <w:t>10</w:t>
            </w:r>
            <w:r w:rsidR="00A23C84" w:rsidRPr="00BD4928">
              <w:rPr>
                <w:rFonts w:eastAsia="Calibri"/>
                <w:color w:val="000000" w:themeColor="text1"/>
              </w:rPr>
              <w:t>-</w:t>
            </w:r>
            <w:r w:rsidR="00770FD1" w:rsidRPr="00BD4928">
              <w:rPr>
                <w:rFonts w:eastAsia="Calibri"/>
                <w:color w:val="000000" w:themeColor="text1"/>
              </w:rPr>
              <w:t>1</w:t>
            </w:r>
            <w:r w:rsidRPr="00BD4928">
              <w:rPr>
                <w:rFonts w:eastAsia="Calibri"/>
                <w:color w:val="000000" w:themeColor="text1"/>
              </w:rPr>
              <w:t>00</w:t>
            </w:r>
          </w:p>
          <w:p w14:paraId="7707C649" w14:textId="77777777" w:rsidR="00770FD1" w:rsidRPr="00BD4928" w:rsidRDefault="00770FD1" w:rsidP="00280E40">
            <w:pPr>
              <w:keepNext/>
              <w:keepLines/>
              <w:tabs>
                <w:tab w:val="clear" w:pos="567"/>
              </w:tabs>
              <w:spacing w:before="20" w:after="20" w:line="240" w:lineRule="auto"/>
              <w:jc w:val="center"/>
              <w:rPr>
                <w:rFonts w:eastAsia="Calibri"/>
                <w:color w:val="000000" w:themeColor="text1"/>
              </w:rPr>
            </w:pPr>
          </w:p>
          <w:p w14:paraId="1F9B20BA" w14:textId="77777777" w:rsidR="00A23C84" w:rsidRPr="00BD4928" w:rsidRDefault="00A23C84" w:rsidP="00280E40">
            <w:pPr>
              <w:keepNext/>
              <w:keepLines/>
              <w:tabs>
                <w:tab w:val="clear" w:pos="567"/>
              </w:tabs>
              <w:spacing w:before="20" w:after="20" w:line="240" w:lineRule="auto"/>
              <w:jc w:val="center"/>
              <w:rPr>
                <w:rFonts w:eastAsia="Calibri"/>
                <w:color w:val="000000" w:themeColor="text1"/>
              </w:rPr>
            </w:pPr>
            <w:r w:rsidRPr="00BD4928">
              <w:rPr>
                <w:rFonts w:eastAsia="Calibri"/>
                <w:color w:val="000000" w:themeColor="text1"/>
              </w:rPr>
              <w:t>100</w:t>
            </w:r>
          </w:p>
          <w:p w14:paraId="6DD415A1" w14:textId="119BFA78" w:rsidR="00A23C84" w:rsidRPr="00BD4928" w:rsidRDefault="00A23C84" w:rsidP="00280E40">
            <w:pPr>
              <w:keepNext/>
              <w:keepLines/>
              <w:tabs>
                <w:tab w:val="clear" w:pos="567"/>
              </w:tabs>
              <w:spacing w:before="20" w:after="20" w:line="240" w:lineRule="auto"/>
              <w:jc w:val="center"/>
              <w:rPr>
                <w:rFonts w:eastAsia="Calibri"/>
                <w:color w:val="000000" w:themeColor="text1"/>
                <w:lang w:eastAsia="it-CH"/>
              </w:rPr>
            </w:pPr>
            <w:r w:rsidRPr="00BD4928">
              <w:rPr>
                <w:rFonts w:eastAsia="Calibri"/>
                <w:color w:val="000000" w:themeColor="text1"/>
              </w:rPr>
              <w:t>10-20</w:t>
            </w:r>
          </w:p>
        </w:tc>
      </w:tr>
    </w:tbl>
    <w:p w14:paraId="37F34EBF" w14:textId="77777777" w:rsidR="002F7CC7" w:rsidRDefault="002F7CC7" w:rsidP="00827BC4">
      <w:pPr>
        <w:tabs>
          <w:tab w:val="clear" w:pos="567"/>
          <w:tab w:val="left" w:pos="0"/>
        </w:tabs>
        <w:spacing w:after="160" w:line="240" w:lineRule="auto"/>
        <w:rPr>
          <w:color w:val="000000" w:themeColor="text1"/>
        </w:rPr>
      </w:pPr>
    </w:p>
    <w:p w14:paraId="0623E58B" w14:textId="1FE594D6" w:rsidR="000A1D43" w:rsidRPr="00BD4928" w:rsidRDefault="000A1D43" w:rsidP="00827BC4">
      <w:pPr>
        <w:tabs>
          <w:tab w:val="clear" w:pos="567"/>
          <w:tab w:val="left" w:pos="0"/>
        </w:tabs>
        <w:spacing w:after="160" w:line="240" w:lineRule="auto"/>
        <w:rPr>
          <w:rFonts w:eastAsia="ヒラギノ角ゴ Pro W3"/>
          <w:color w:val="000000" w:themeColor="text1"/>
        </w:rPr>
      </w:pPr>
      <w:r w:rsidRPr="00BD4928">
        <w:rPr>
          <w:color w:val="000000" w:themeColor="text1"/>
        </w:rPr>
        <w:t xml:space="preserve">* </w:t>
      </w:r>
      <w:r w:rsidRPr="00BD4928">
        <w:rPr>
          <w:rFonts w:eastAsia="ヒラギノ角ゴ Pro W3"/>
          <w:color w:val="000000" w:themeColor="text1"/>
        </w:rPr>
        <w:t>S ohľadom na blokádu veľkých nervov platí odporúčané dávkovanie iba pre axiálnu blokádu. V</w:t>
      </w:r>
      <w:r w:rsidR="0040127E">
        <w:rPr>
          <w:rFonts w:eastAsia="ヒラギノ角ゴ Pro W3"/>
          <w:color w:val="000000" w:themeColor="text1"/>
        </w:rPr>
        <w:t> </w:t>
      </w:r>
      <w:r w:rsidRPr="00BD4928">
        <w:rPr>
          <w:rFonts w:eastAsia="ヒラギノ角ゴ Pro W3"/>
          <w:color w:val="000000" w:themeColor="text1"/>
        </w:rPr>
        <w:t>súčasn</w:t>
      </w:r>
      <w:r w:rsidR="0040127E">
        <w:rPr>
          <w:rFonts w:eastAsia="ヒラギノ角ゴ Pro W3"/>
          <w:color w:val="000000" w:themeColor="text1"/>
        </w:rPr>
        <w:t xml:space="preserve">osti </w:t>
      </w:r>
      <w:r w:rsidRPr="00BD4928">
        <w:rPr>
          <w:rFonts w:eastAsia="ヒラギノ角ゴ Pro W3"/>
          <w:color w:val="000000" w:themeColor="text1"/>
        </w:rPr>
        <w:t>nie sú k dispozícii žiadne skúsenosti s osobitným odporúčaním pre dávkovanie u iných blokád, kedy sa musí dávkovanie stanoviť individuálne.</w:t>
      </w:r>
    </w:p>
    <w:p w14:paraId="65A3A398" w14:textId="0E6A5877" w:rsidR="00215EA2" w:rsidRPr="00C132F1" w:rsidRDefault="00030650" w:rsidP="00827BC4">
      <w:pPr>
        <w:spacing w:line="240" w:lineRule="auto"/>
      </w:pPr>
      <w:r>
        <w:t>Maximálna odporúčaná dávka u dospelých je 11 mg/kg a nesmie sa prekročiť celková maximálna dávka 800</w:t>
      </w:r>
      <w:r w:rsidR="008B05E9">
        <w:t> </w:t>
      </w:r>
      <w:r>
        <w:t>mg (= 40</w:t>
      </w:r>
      <w:r w:rsidR="008B05E9">
        <w:t> </w:t>
      </w:r>
      <w:r>
        <w:t>ml) chlórprokaín</w:t>
      </w:r>
      <w:r w:rsidR="000F7F1B">
        <w:t>ium-</w:t>
      </w:r>
      <w:r>
        <w:t>chloridu.</w:t>
      </w:r>
    </w:p>
    <w:p w14:paraId="52D99F12" w14:textId="77777777" w:rsidR="00030650" w:rsidRPr="00C132F1" w:rsidRDefault="00030650" w:rsidP="00827BC4">
      <w:pPr>
        <w:spacing w:line="240" w:lineRule="auto"/>
      </w:pPr>
    </w:p>
    <w:p w14:paraId="01B84E8F" w14:textId="5AFB518C" w:rsidR="00030650" w:rsidRPr="00434F5F" w:rsidRDefault="000F7F1B" w:rsidP="00827BC4">
      <w:pPr>
        <w:spacing w:line="240" w:lineRule="auto"/>
        <w:rPr>
          <w:i/>
          <w:noProof/>
        </w:rPr>
      </w:pPr>
      <w:r>
        <w:rPr>
          <w:i/>
          <w:noProof/>
        </w:rPr>
        <w:t>Osobitn</w:t>
      </w:r>
      <w:r w:rsidR="00B30B14">
        <w:rPr>
          <w:i/>
          <w:noProof/>
        </w:rPr>
        <w:t>é populácie</w:t>
      </w:r>
    </w:p>
    <w:p w14:paraId="16AA6F56" w14:textId="43639D6B" w:rsidR="00030650" w:rsidRPr="00C132F1" w:rsidRDefault="008B05E9" w:rsidP="00827BC4">
      <w:pPr>
        <w:spacing w:line="240" w:lineRule="auto"/>
      </w:pPr>
      <w:r>
        <w:t xml:space="preserve">Pri </w:t>
      </w:r>
      <w:r w:rsidR="00545694">
        <w:t>stanovení dávkovania</w:t>
      </w:r>
      <w:r>
        <w:t xml:space="preserve"> je dôležitá klinická skúsenosť lekára a</w:t>
      </w:r>
      <w:r w:rsidR="00545694">
        <w:t> oboznámenie sa s celkovým zdravotným stavom pacienta</w:t>
      </w:r>
      <w:r>
        <w:t xml:space="preserve">. </w:t>
      </w:r>
      <w:r w:rsidR="00030650">
        <w:t xml:space="preserve">U pacientov so zhoršeným celkovým zdravotným stavom sa odporúča znížiť dávku. </w:t>
      </w:r>
    </w:p>
    <w:p w14:paraId="237DF03E" w14:textId="79297557" w:rsidR="00030650" w:rsidRPr="00C132F1" w:rsidRDefault="00030650" w:rsidP="00827BC4">
      <w:pPr>
        <w:spacing w:line="240" w:lineRule="auto"/>
      </w:pPr>
      <w:r>
        <w:t xml:space="preserve">Okrem toho </w:t>
      </w:r>
      <w:r w:rsidR="00545694">
        <w:t xml:space="preserve">je </w:t>
      </w:r>
      <w:r w:rsidR="008B05E9">
        <w:t>u starších pacientov a</w:t>
      </w:r>
      <w:r>
        <w:t xml:space="preserve"> u pacientov s </w:t>
      </w:r>
      <w:r w:rsidR="00545694">
        <w:t>diagnostikovanými</w:t>
      </w:r>
      <w:r>
        <w:t xml:space="preserve"> sprievodnými poruchami (napr. vaskulárna oklúzia, artérioskleróza, diabetická polyneuropatia)</w:t>
      </w:r>
      <w:r w:rsidR="008B05E9">
        <w:t xml:space="preserve"> indikovaná znížená dávka</w:t>
      </w:r>
      <w:r>
        <w:t>.</w:t>
      </w:r>
    </w:p>
    <w:p w14:paraId="31763545" w14:textId="77777777" w:rsidR="00524993" w:rsidRPr="00C132F1" w:rsidRDefault="00524993" w:rsidP="00827BC4">
      <w:pPr>
        <w:spacing w:line="240" w:lineRule="auto"/>
      </w:pPr>
    </w:p>
    <w:p w14:paraId="1EE65B21" w14:textId="1C768751" w:rsidR="00281402" w:rsidRPr="00C132F1" w:rsidRDefault="00281402" w:rsidP="00827BC4">
      <w:pPr>
        <w:keepNext/>
        <w:spacing w:line="240" w:lineRule="auto"/>
        <w:rPr>
          <w:noProof/>
        </w:rPr>
      </w:pPr>
      <w:r>
        <w:rPr>
          <w:i/>
          <w:iCs/>
        </w:rPr>
        <w:t>Pediatrická populácia</w:t>
      </w:r>
    </w:p>
    <w:p w14:paraId="0642CA46" w14:textId="6BCE17FD" w:rsidR="00281402" w:rsidRPr="00C132F1" w:rsidRDefault="00411111" w:rsidP="00827BC4">
      <w:pPr>
        <w:keepNext/>
        <w:spacing w:line="240" w:lineRule="auto"/>
        <w:rPr>
          <w:noProof/>
        </w:rPr>
      </w:pPr>
      <w:r>
        <w:rPr>
          <w:noProof/>
        </w:rPr>
        <w:t xml:space="preserve">Bezpečnosť a účinnosť </w:t>
      </w:r>
      <w:r w:rsidR="000F7F1B">
        <w:rPr>
          <w:noProof/>
        </w:rPr>
        <w:t xml:space="preserve">Ampresu 20 mg/ml </w:t>
      </w:r>
      <w:r>
        <w:rPr>
          <w:noProof/>
        </w:rPr>
        <w:t>u detí a dospievajúcich neboli stanovené. K dispozícii nie sú žiadne údaje (pozri časť 5.1).</w:t>
      </w:r>
    </w:p>
    <w:p w14:paraId="4B568545" w14:textId="77777777" w:rsidR="00281402" w:rsidRPr="00434F5F" w:rsidRDefault="00281402" w:rsidP="00827BC4">
      <w:pPr>
        <w:autoSpaceDE w:val="0"/>
        <w:autoSpaceDN w:val="0"/>
        <w:adjustRightInd w:val="0"/>
        <w:spacing w:line="240" w:lineRule="auto"/>
        <w:rPr>
          <w:u w:val="single"/>
        </w:rPr>
      </w:pPr>
    </w:p>
    <w:p w14:paraId="5143777D" w14:textId="77777777" w:rsidR="00281402" w:rsidRPr="00434F5F" w:rsidRDefault="00281402" w:rsidP="00827BC4">
      <w:pPr>
        <w:autoSpaceDE w:val="0"/>
        <w:autoSpaceDN w:val="0"/>
        <w:adjustRightInd w:val="0"/>
        <w:spacing w:line="240" w:lineRule="auto"/>
      </w:pPr>
      <w:r>
        <w:rPr>
          <w:u w:val="single"/>
        </w:rPr>
        <w:t>Spôsob podávania</w:t>
      </w:r>
    </w:p>
    <w:p w14:paraId="244BE4EE" w14:textId="2138775E" w:rsidR="00321C0F" w:rsidRPr="00434F5F" w:rsidRDefault="00321C0F" w:rsidP="00827BC4">
      <w:pPr>
        <w:pStyle w:val="Normlnywebov"/>
        <w:spacing w:before="0" w:beforeAutospacing="0" w:after="0" w:afterAutospacing="0"/>
        <w:rPr>
          <w:i/>
          <w:iCs/>
          <w:sz w:val="22"/>
          <w:szCs w:val="22"/>
        </w:rPr>
      </w:pPr>
      <w:r w:rsidRPr="00EC13E4">
        <w:rPr>
          <w:i/>
          <w:iCs/>
          <w:sz w:val="22"/>
          <w:szCs w:val="22"/>
        </w:rPr>
        <w:t>Na perineurálne použitie (blokáda periférneho nervu).</w:t>
      </w:r>
    </w:p>
    <w:p w14:paraId="4E85BC72" w14:textId="6236CD24" w:rsidR="00F07F71" w:rsidRPr="00434F5F" w:rsidRDefault="00F07F71" w:rsidP="00827BC4">
      <w:pPr>
        <w:pStyle w:val="Normlnywebov"/>
        <w:spacing w:before="0" w:beforeAutospacing="0" w:after="0" w:afterAutospacing="0"/>
        <w:rPr>
          <w:sz w:val="22"/>
          <w:szCs w:val="22"/>
        </w:rPr>
      </w:pPr>
    </w:p>
    <w:p w14:paraId="2EC90DD6" w14:textId="0120997E" w:rsidR="001F0A43" w:rsidRPr="00C132F1" w:rsidRDefault="00942425" w:rsidP="00827BC4">
      <w:pPr>
        <w:spacing w:line="240" w:lineRule="auto"/>
      </w:pPr>
      <w:r>
        <w:t xml:space="preserve">Chlórprokaín sa môže podať ako </w:t>
      </w:r>
      <w:r w:rsidR="009C0342">
        <w:t>jednor</w:t>
      </w:r>
      <w:r>
        <w:t>azov</w:t>
      </w:r>
      <w:r w:rsidR="000F7F1B">
        <w:t>á dávka</w:t>
      </w:r>
      <w:r>
        <w:t>.</w:t>
      </w:r>
    </w:p>
    <w:p w14:paraId="01550A9E" w14:textId="5777E94B" w:rsidR="001579F1" w:rsidRPr="00C132F1" w:rsidRDefault="001579F1" w:rsidP="00827BC4">
      <w:pPr>
        <w:spacing w:line="240" w:lineRule="auto"/>
      </w:pPr>
      <w:r>
        <w:t xml:space="preserve">Pred použitím sa má liek vizuálne skontrolovať. Majú sa používať iba roztoky číre, </w:t>
      </w:r>
      <w:r w:rsidR="00545694">
        <w:t>prakticky</w:t>
      </w:r>
      <w:r w:rsidR="00DA66CA" w:rsidRPr="00DA66CA" w:rsidDel="00DA66CA">
        <w:t xml:space="preserve"> </w:t>
      </w:r>
      <w:r>
        <w:t>bez častíc. Neporušený obal sa nesmie opakovane sterilizovať v autokláve.</w:t>
      </w:r>
    </w:p>
    <w:p w14:paraId="36850114" w14:textId="77777777" w:rsidR="004F2521" w:rsidRPr="00C132F1" w:rsidRDefault="004F2521" w:rsidP="00827BC4">
      <w:pPr>
        <w:spacing w:line="240" w:lineRule="auto"/>
      </w:pPr>
    </w:p>
    <w:p w14:paraId="27872027" w14:textId="2958180F" w:rsidR="00281402" w:rsidRDefault="00281402" w:rsidP="00827BC4">
      <w:pPr>
        <w:autoSpaceDE w:val="0"/>
        <w:autoSpaceDN w:val="0"/>
        <w:adjustRightInd w:val="0"/>
        <w:spacing w:line="240" w:lineRule="auto"/>
        <w:rPr>
          <w:b/>
          <w:bCs/>
        </w:rPr>
      </w:pPr>
      <w:r>
        <w:rPr>
          <w:b/>
          <w:bCs/>
        </w:rPr>
        <w:t>4.3</w:t>
      </w:r>
      <w:r w:rsidR="00827BC4">
        <w:rPr>
          <w:b/>
          <w:bCs/>
        </w:rPr>
        <w:tab/>
      </w:r>
      <w:r>
        <w:rPr>
          <w:b/>
          <w:bCs/>
        </w:rPr>
        <w:t>Kontraindikácie</w:t>
      </w:r>
    </w:p>
    <w:p w14:paraId="5AAD2C59" w14:textId="77777777" w:rsidR="000F7F1B" w:rsidRPr="00545694" w:rsidRDefault="000F7F1B" w:rsidP="00827BC4">
      <w:pPr>
        <w:autoSpaceDE w:val="0"/>
        <w:autoSpaceDN w:val="0"/>
        <w:adjustRightInd w:val="0"/>
        <w:spacing w:line="240" w:lineRule="auto"/>
        <w:rPr>
          <w:b/>
          <w:bCs/>
        </w:rPr>
      </w:pPr>
    </w:p>
    <w:p w14:paraId="05E94CD7" w14:textId="23CA489B" w:rsidR="00053999" w:rsidRPr="00545694" w:rsidRDefault="00545694" w:rsidP="00827BC4">
      <w:pPr>
        <w:numPr>
          <w:ilvl w:val="0"/>
          <w:numId w:val="42"/>
        </w:numPr>
        <w:tabs>
          <w:tab w:val="clear" w:pos="983"/>
        </w:tabs>
        <w:spacing w:line="240" w:lineRule="auto"/>
        <w:ind w:left="567" w:hanging="567"/>
      </w:pPr>
      <w:r>
        <w:t>p</w:t>
      </w:r>
      <w:r w:rsidR="00053999">
        <w:t>recitlivenosť na liečivo, lieky zo skupiny esterov PABA (kyselina para-aminobenzoová), iné lokálne anestetiká na báze esterov, alebo na ktorúkoľvek z pomocn</w:t>
      </w:r>
      <w:r>
        <w:t>ých látok uvedených v časti 6.1,</w:t>
      </w:r>
    </w:p>
    <w:p w14:paraId="4D14E26F" w14:textId="60B4CA77" w:rsidR="00923064" w:rsidRPr="00545694" w:rsidRDefault="00545694" w:rsidP="00827BC4">
      <w:pPr>
        <w:numPr>
          <w:ilvl w:val="0"/>
          <w:numId w:val="42"/>
        </w:numPr>
        <w:tabs>
          <w:tab w:val="clear" w:pos="983"/>
        </w:tabs>
        <w:spacing w:line="240" w:lineRule="auto"/>
        <w:ind w:left="567" w:hanging="567"/>
      </w:pPr>
      <w:r>
        <w:t>j</w:t>
      </w:r>
      <w:r w:rsidR="00923064">
        <w:t>e potrebné vziať do úvahy všeobecné a špecifické kontraindikácie na perineurálnu anestéziu (PNB), bez ohľadu</w:t>
      </w:r>
      <w:r>
        <w:t xml:space="preserve"> na použité lokálne anestetikum,</w:t>
      </w:r>
    </w:p>
    <w:p w14:paraId="3C14DFFD" w14:textId="0B42D326" w:rsidR="00053999" w:rsidRPr="00545694" w:rsidRDefault="00545694" w:rsidP="00827BC4">
      <w:pPr>
        <w:numPr>
          <w:ilvl w:val="0"/>
          <w:numId w:val="42"/>
        </w:numPr>
        <w:tabs>
          <w:tab w:val="clear" w:pos="983"/>
        </w:tabs>
        <w:spacing w:line="240" w:lineRule="auto"/>
        <w:ind w:left="567" w:hanging="567"/>
      </w:pPr>
      <w:r>
        <w:t>i</w:t>
      </w:r>
      <w:r w:rsidR="00053999">
        <w:t>ntravenózna regionálna anestézia (anestetikum sa aplikuje do končatiny a nechá pôsobiť, zatiaľ čo škrtidlo udržuje ane</w:t>
      </w:r>
      <w:r>
        <w:t>stetikum v požadovanej oblasti),</w:t>
      </w:r>
    </w:p>
    <w:p w14:paraId="74F71A40" w14:textId="2D6178F1" w:rsidR="006F0C0A" w:rsidRPr="00C132F1" w:rsidRDefault="00545694" w:rsidP="00827BC4">
      <w:pPr>
        <w:numPr>
          <w:ilvl w:val="0"/>
          <w:numId w:val="42"/>
        </w:numPr>
        <w:tabs>
          <w:tab w:val="clear" w:pos="983"/>
        </w:tabs>
        <w:spacing w:line="240" w:lineRule="auto"/>
        <w:ind w:left="567" w:hanging="567"/>
        <w:rPr>
          <w:lang w:val="en-US"/>
        </w:rPr>
      </w:pPr>
      <w:r>
        <w:t>hypovolémia,</w:t>
      </w:r>
    </w:p>
    <w:p w14:paraId="07E1C7A7" w14:textId="77D2935F" w:rsidR="00053999" w:rsidRPr="00C132F1" w:rsidRDefault="00545694" w:rsidP="00827BC4">
      <w:pPr>
        <w:numPr>
          <w:ilvl w:val="0"/>
          <w:numId w:val="42"/>
        </w:numPr>
        <w:tabs>
          <w:tab w:val="clear" w:pos="983"/>
        </w:tabs>
        <w:spacing w:line="240" w:lineRule="auto"/>
        <w:ind w:left="567" w:hanging="567"/>
        <w:rPr>
          <w:lang w:val="en-US"/>
        </w:rPr>
      </w:pPr>
      <w:r>
        <w:t>z</w:t>
      </w:r>
      <w:r w:rsidR="00053999">
        <w:t>ávažné problémy so srdcovým vedením.</w:t>
      </w:r>
    </w:p>
    <w:p w14:paraId="58AFDFDB" w14:textId="77777777" w:rsidR="00053999" w:rsidRPr="00C132F1" w:rsidRDefault="00053999" w:rsidP="00827BC4">
      <w:pPr>
        <w:autoSpaceDE w:val="0"/>
        <w:autoSpaceDN w:val="0"/>
        <w:adjustRightInd w:val="0"/>
        <w:spacing w:line="240" w:lineRule="auto"/>
      </w:pPr>
    </w:p>
    <w:p w14:paraId="6E2BC9BE" w14:textId="736A96BA" w:rsidR="00281402" w:rsidRPr="00434F5F" w:rsidRDefault="00281402" w:rsidP="00827BC4">
      <w:pPr>
        <w:autoSpaceDE w:val="0"/>
        <w:autoSpaceDN w:val="0"/>
        <w:adjustRightInd w:val="0"/>
        <w:spacing w:line="240" w:lineRule="auto"/>
        <w:rPr>
          <w:lang w:val="fr-FR"/>
        </w:rPr>
      </w:pPr>
      <w:r>
        <w:rPr>
          <w:b/>
          <w:bCs/>
        </w:rPr>
        <w:t xml:space="preserve">4.4 </w:t>
      </w:r>
      <w:r w:rsidR="00827BC4">
        <w:rPr>
          <w:b/>
          <w:bCs/>
        </w:rPr>
        <w:tab/>
      </w:r>
      <w:r>
        <w:rPr>
          <w:b/>
          <w:bCs/>
        </w:rPr>
        <w:t>Osobitné upozornenia a opatrenia pri používaní</w:t>
      </w:r>
    </w:p>
    <w:p w14:paraId="6C60C320" w14:textId="36276B2F" w:rsidR="00281402" w:rsidRPr="00C132F1" w:rsidRDefault="00281402" w:rsidP="00827BC4">
      <w:pPr>
        <w:spacing w:line="240" w:lineRule="auto"/>
      </w:pPr>
    </w:p>
    <w:p w14:paraId="572A8D79" w14:textId="77777777" w:rsidR="00281402" w:rsidRPr="00C132F1" w:rsidRDefault="00281402" w:rsidP="00827BC4">
      <w:pPr>
        <w:spacing w:line="240" w:lineRule="auto"/>
      </w:pPr>
      <w:r>
        <w:t>Niektorí pacienti vyžadujú zvláštnu pozornosť za účelom zníženia rizika závažných nežiaducich účinkov aj vtedy, keď je lokoregionálna anestézia optimálnou voľbou pre daný chirurgický zákrok:</w:t>
      </w:r>
    </w:p>
    <w:p w14:paraId="5E04EA60" w14:textId="34BD4F51" w:rsidR="00B63E74" w:rsidRDefault="00B63E74" w:rsidP="00827BC4">
      <w:pPr>
        <w:numPr>
          <w:ilvl w:val="0"/>
          <w:numId w:val="42"/>
        </w:numPr>
        <w:tabs>
          <w:tab w:val="clear" w:pos="983"/>
        </w:tabs>
        <w:spacing w:line="240" w:lineRule="auto"/>
        <w:ind w:left="567" w:hanging="567"/>
      </w:pPr>
      <w:r>
        <w:lastRenderedPageBreak/>
        <w:t>Pacienti s kompletným alebo čiastočným srdcov</w:t>
      </w:r>
      <w:r w:rsidR="00545694">
        <w:t>ým</w:t>
      </w:r>
      <w:r w:rsidR="000F7F1B">
        <w:t xml:space="preserve"> </w:t>
      </w:r>
      <w:r>
        <w:t>blok</w:t>
      </w:r>
      <w:r w:rsidR="00545694">
        <w:t>om</w:t>
      </w:r>
      <w:r w:rsidR="000F7F1B">
        <w:t>,</w:t>
      </w:r>
      <w:r>
        <w:t xml:space="preserve"> pretože lokálne anestetiká môžu potláčať vedenie podnetu srdcovým svalom.</w:t>
      </w:r>
    </w:p>
    <w:p w14:paraId="1C52C63B" w14:textId="6FD2164C" w:rsidR="00281402" w:rsidRPr="00C132F1" w:rsidRDefault="00281402" w:rsidP="00827BC4">
      <w:pPr>
        <w:numPr>
          <w:ilvl w:val="0"/>
          <w:numId w:val="42"/>
        </w:numPr>
        <w:tabs>
          <w:tab w:val="clear" w:pos="983"/>
        </w:tabs>
        <w:spacing w:line="240" w:lineRule="auto"/>
        <w:ind w:left="567" w:hanging="567"/>
      </w:pPr>
      <w:r>
        <w:t>Pacienti s kardiálnou dekompenzáciou vysokého stupňa.</w:t>
      </w:r>
    </w:p>
    <w:p w14:paraId="2E8B93BC" w14:textId="77777777" w:rsidR="00281402" w:rsidRPr="00C132F1" w:rsidRDefault="00281402" w:rsidP="00827BC4">
      <w:pPr>
        <w:numPr>
          <w:ilvl w:val="0"/>
          <w:numId w:val="42"/>
        </w:numPr>
        <w:tabs>
          <w:tab w:val="clear" w:pos="983"/>
        </w:tabs>
        <w:spacing w:line="240" w:lineRule="auto"/>
        <w:ind w:left="567" w:hanging="567"/>
      </w:pPr>
      <w:r>
        <w:t>Pacienti so závažným poškodením pečene alebo obličiek.</w:t>
      </w:r>
    </w:p>
    <w:p w14:paraId="3BAF6605" w14:textId="77777777" w:rsidR="00281402" w:rsidRPr="00C132F1" w:rsidRDefault="00281402" w:rsidP="00827BC4">
      <w:pPr>
        <w:numPr>
          <w:ilvl w:val="0"/>
          <w:numId w:val="42"/>
        </w:numPr>
        <w:tabs>
          <w:tab w:val="clear" w:pos="983"/>
        </w:tabs>
        <w:spacing w:line="240" w:lineRule="auto"/>
        <w:ind w:left="567" w:hanging="567"/>
      </w:pPr>
      <w:r>
        <w:t>Starší pacienti a pacienti v zlom celkovom stave.</w:t>
      </w:r>
    </w:p>
    <w:p w14:paraId="52E995AC" w14:textId="2147C111" w:rsidR="00281402" w:rsidRPr="00C132F1" w:rsidRDefault="00281402" w:rsidP="00827BC4">
      <w:pPr>
        <w:numPr>
          <w:ilvl w:val="0"/>
          <w:numId w:val="42"/>
        </w:numPr>
        <w:tabs>
          <w:tab w:val="clear" w:pos="983"/>
        </w:tabs>
        <w:spacing w:line="240" w:lineRule="auto"/>
        <w:ind w:left="567" w:hanging="567"/>
      </w:pPr>
      <w:r>
        <w:t>Pacienti liečení antiarytmikami triedy III (napr. amiodarón). Títo pacienti majú byť pod starostlivým dohľadom a monitoringom EKG, keďže účinky na srdce môžu byť aditívne (pozri časť 4.5).</w:t>
      </w:r>
    </w:p>
    <w:p w14:paraId="6C64F205" w14:textId="6D9A600A" w:rsidR="00281402" w:rsidRPr="00C132F1" w:rsidRDefault="00281402" w:rsidP="00827BC4">
      <w:pPr>
        <w:numPr>
          <w:ilvl w:val="0"/>
          <w:numId w:val="42"/>
        </w:numPr>
        <w:tabs>
          <w:tab w:val="clear" w:pos="983"/>
        </w:tabs>
        <w:spacing w:line="240" w:lineRule="auto"/>
        <w:ind w:left="567" w:hanging="567"/>
      </w:pPr>
      <w:r>
        <w:t xml:space="preserve">Vzhľadom na skutočnosť, že sa lokálne anestetiká na báze esterov hydrolyzujú plazmatickou cholinesterázou produkovanou v pečeni, u pacientov s pokročilým ochorením pečene sa má chlórprokaín používať </w:t>
      </w:r>
      <w:r w:rsidR="00244920">
        <w:t>opatrne</w:t>
      </w:r>
      <w:r>
        <w:t>.</w:t>
      </w:r>
    </w:p>
    <w:p w14:paraId="77A59137" w14:textId="0B315550" w:rsidR="00281402" w:rsidRPr="00C132F1" w:rsidRDefault="00281402" w:rsidP="00827BC4">
      <w:pPr>
        <w:numPr>
          <w:ilvl w:val="0"/>
          <w:numId w:val="42"/>
        </w:numPr>
        <w:tabs>
          <w:tab w:val="clear" w:pos="983"/>
        </w:tabs>
        <w:spacing w:line="240" w:lineRule="auto"/>
        <w:ind w:left="567" w:hanging="567"/>
      </w:pPr>
      <w:r>
        <w:t>Pacienti s</w:t>
      </w:r>
      <w:r w:rsidR="0040127E">
        <w:t> </w:t>
      </w:r>
      <w:r>
        <w:t>genetick</w:t>
      </w:r>
      <w:r w:rsidR="0040127E">
        <w:t>ým deficitom</w:t>
      </w:r>
      <w:r>
        <w:t xml:space="preserve"> plazmatickej cholinesterázy.</w:t>
      </w:r>
    </w:p>
    <w:p w14:paraId="25C0DE4C" w14:textId="750D5053" w:rsidR="00281402" w:rsidRPr="00C132F1" w:rsidRDefault="00281402" w:rsidP="00827BC4">
      <w:pPr>
        <w:spacing w:line="240" w:lineRule="auto"/>
        <w:rPr>
          <w:iCs/>
        </w:rPr>
      </w:pPr>
    </w:p>
    <w:p w14:paraId="731CD210" w14:textId="77777777" w:rsidR="00281402" w:rsidRPr="00C132F1" w:rsidRDefault="00281402" w:rsidP="00827BC4">
      <w:pPr>
        <w:spacing w:line="240" w:lineRule="auto"/>
      </w:pPr>
      <w:r>
        <w:t>Je nevyhnutné zabezpečiť spoľahlivý venózny prístup.</w:t>
      </w:r>
    </w:p>
    <w:p w14:paraId="71F70FDA" w14:textId="799F0438" w:rsidR="00DE0237" w:rsidRDefault="00DE0237" w:rsidP="00827BC4">
      <w:pPr>
        <w:spacing w:line="240" w:lineRule="auto"/>
      </w:pPr>
      <w:r>
        <w:t>Je potrebná opatrnosť s cieľom zabrániť podávaniu injekcií do zapálených oblastí.</w:t>
      </w:r>
    </w:p>
    <w:p w14:paraId="5635148C" w14:textId="1571292B" w:rsidR="00A961F9" w:rsidRPr="00C132F1" w:rsidRDefault="00A961F9" w:rsidP="00827BC4">
      <w:pPr>
        <w:spacing w:line="240" w:lineRule="auto"/>
      </w:pPr>
      <w:r>
        <w:t xml:space="preserve">V prípade neúmyselnej intravaskulárnej injekcie sa môže okamžite objaviť závažná systémová toxicita (pozri časti 4.8 a 4.9).  </w:t>
      </w:r>
    </w:p>
    <w:p w14:paraId="33B3A274" w14:textId="3680DB3B" w:rsidR="00281402" w:rsidRPr="00C132F1" w:rsidRDefault="00281402" w:rsidP="00827BC4">
      <w:pPr>
        <w:spacing w:line="240" w:lineRule="auto"/>
      </w:pPr>
    </w:p>
    <w:p w14:paraId="0D6C12B0" w14:textId="3DEA6048" w:rsidR="00281402" w:rsidRPr="00C132F1" w:rsidRDefault="00000B58" w:rsidP="00827BC4">
      <w:pPr>
        <w:spacing w:line="240" w:lineRule="auto"/>
      </w:pPr>
      <w:r>
        <w:t>U vysoko rizikových pacientov sa odporúča zlepšiť ich celkový zdravotný stav pred zákrokom</w:t>
      </w:r>
      <w:r w:rsidR="00281402">
        <w:t>.</w:t>
      </w:r>
    </w:p>
    <w:p w14:paraId="3D2973A4" w14:textId="1FA4D98A" w:rsidR="00A05D41" w:rsidRPr="00C132F1" w:rsidRDefault="00DD712F" w:rsidP="00827BC4">
      <w:pPr>
        <w:spacing w:line="240" w:lineRule="auto"/>
      </w:pPr>
      <w:r>
        <w:t>Zriedkavým, ale závažným nežiaducim účinkom lokoregionálnej anestézie (PNB) je poranenie periférneho nervu, spôsobené neúmyselným poškodením anatomických štruktúr ihlou. Väčšina zranení je prechodného a často subklinického charakteru, alebo sa prezentujú ako mierne mononeuropatie. Zriedkavo môžu mať zranenia za následok trvalé poškodenie nervov.</w:t>
      </w:r>
    </w:p>
    <w:p w14:paraId="3D33D2D1" w14:textId="77777777" w:rsidR="007E731F" w:rsidRPr="00C132F1" w:rsidRDefault="007E731F" w:rsidP="00827BC4">
      <w:pPr>
        <w:spacing w:line="240" w:lineRule="auto"/>
      </w:pPr>
      <w:r>
        <w:t>Intraartikulárne infúzie lokálnych anestetík po artroskopických a iných operačných zákrokoch nie sú schválené na použitie a po uvedení na trh boli hlásené prípady chondrolýzy u pacientov, ktorým boli také infúzie podávané.</w:t>
      </w:r>
    </w:p>
    <w:p w14:paraId="151316F7" w14:textId="73C59AE6" w:rsidR="0049626B" w:rsidRPr="00C132F1" w:rsidRDefault="007848F3" w:rsidP="00827BC4">
      <w:pPr>
        <w:spacing w:line="240" w:lineRule="auto"/>
      </w:pPr>
      <w:r>
        <w:t>Použitie pri očných chirurgických zákrokoch: ak sa na retrobulbárnu blokádu používajú injekcie s lokálnym anestetikom, nemalo by sa spoliehať na nedostatočnú citlivosť rohovky pri rozhodovaní, či je alebo nie je pacient pripravený na operáciu. Je tomu tak preto, že pred úplnou stratou citlivosti rohovky sa zvyčajne vyskytuje klinicky akceptovateľná externá očná svalová akinézia.</w:t>
      </w:r>
    </w:p>
    <w:p w14:paraId="5A93B44E" w14:textId="7C7B4AB3" w:rsidR="00A9604B" w:rsidRPr="00C132F1" w:rsidRDefault="00365149" w:rsidP="00827BC4">
      <w:pPr>
        <w:spacing w:line="240" w:lineRule="auto"/>
      </w:pPr>
      <w:r>
        <w:t>Je známe, že sa chlórprokaín a jeho metabolity v značnej miere vylučujú obličkami a u pacientov s poruchou funkcie obličiek môže byť riziko toxických reakcií vyššie. Keďže u starších pacientov je vyššia pravdepodobnosť zníženia funkcie obličiek, pri výbere dávky je potrebné postupovať opatrne a môže byť užitočné monitorovať funkciu obličiek.</w:t>
      </w:r>
    </w:p>
    <w:p w14:paraId="1864B762" w14:textId="7C4F188E" w:rsidR="00281402" w:rsidRPr="00C132F1" w:rsidRDefault="00281402" w:rsidP="00827BC4">
      <w:pPr>
        <w:spacing w:line="240" w:lineRule="auto"/>
        <w:rPr>
          <w:highlight w:val="yellow"/>
        </w:rPr>
      </w:pPr>
    </w:p>
    <w:p w14:paraId="1A11BBBA" w14:textId="329D05A4" w:rsidR="00DE2D06" w:rsidRPr="00C132F1" w:rsidRDefault="00DE2D06" w:rsidP="00827BC4">
      <w:pPr>
        <w:spacing w:line="240" w:lineRule="auto"/>
      </w:pPr>
      <w:r>
        <w:t>Tento liek obsahuje 37 mg sodíka v 20 ml i</w:t>
      </w:r>
      <w:r w:rsidR="00A961F9">
        <w:t>njekčnej liekovke, čo zodpovedá</w:t>
      </w:r>
      <w:r w:rsidR="007753EC">
        <w:t xml:space="preserve"> </w:t>
      </w:r>
      <w:r>
        <w:t xml:space="preserve">1,85 % WHO </w:t>
      </w:r>
      <w:r w:rsidR="007753EC" w:rsidRPr="007753EC">
        <w:t xml:space="preserve">odporúčaného maximálneho </w:t>
      </w:r>
      <w:r>
        <w:t xml:space="preserve">denného príjmu 2 g sodíka pre </w:t>
      </w:r>
      <w:r w:rsidR="007753EC">
        <w:t>d</w:t>
      </w:r>
      <w:r w:rsidR="007753EC" w:rsidRPr="007753EC">
        <w:t>ospelú osobu</w:t>
      </w:r>
      <w:r>
        <w:t>.</w:t>
      </w:r>
    </w:p>
    <w:p w14:paraId="6ADBE02C" w14:textId="77777777" w:rsidR="00281402" w:rsidRPr="00C132F1" w:rsidRDefault="00281402" w:rsidP="00827BC4">
      <w:pPr>
        <w:spacing w:line="240" w:lineRule="auto"/>
      </w:pPr>
    </w:p>
    <w:p w14:paraId="1033F352" w14:textId="42D2732E" w:rsidR="00281402" w:rsidRPr="00434F5F" w:rsidRDefault="00281402" w:rsidP="00827BC4">
      <w:pPr>
        <w:autoSpaceDE w:val="0"/>
        <w:autoSpaceDN w:val="0"/>
        <w:adjustRightInd w:val="0"/>
        <w:spacing w:line="240" w:lineRule="auto"/>
      </w:pPr>
      <w:r>
        <w:rPr>
          <w:b/>
          <w:bCs/>
        </w:rPr>
        <w:t xml:space="preserve">4.5 </w:t>
      </w:r>
      <w:r w:rsidR="00827BC4">
        <w:rPr>
          <w:b/>
          <w:bCs/>
        </w:rPr>
        <w:tab/>
      </w:r>
      <w:r>
        <w:rPr>
          <w:b/>
          <w:bCs/>
        </w:rPr>
        <w:t>Liekové a iné interakcie</w:t>
      </w:r>
    </w:p>
    <w:p w14:paraId="1E999271" w14:textId="77777777" w:rsidR="00827BC4" w:rsidRDefault="00827BC4" w:rsidP="00827BC4">
      <w:pPr>
        <w:spacing w:line="240" w:lineRule="auto"/>
      </w:pPr>
    </w:p>
    <w:p w14:paraId="289010ED" w14:textId="603027D1" w:rsidR="007753EC" w:rsidRDefault="004D69FF" w:rsidP="00827BC4">
      <w:pPr>
        <w:spacing w:line="240" w:lineRule="auto"/>
      </w:pPr>
      <w:r>
        <w:t>S</w:t>
      </w:r>
      <w:r w:rsidR="007753EC">
        <w:t>účasné podávanie vazopresorov (napríklad na liečbu hypotenzie súvisiacej s blokádami pri pôrode) a oxytocických liekov ergotového typu môže spôsobiť závažnú, perzistentnú hypertenziu alebo cerebrovaskulárne príhody.</w:t>
      </w:r>
    </w:p>
    <w:p w14:paraId="08D2B76A" w14:textId="44B2A6F6" w:rsidR="00281402" w:rsidRPr="00C132F1" w:rsidRDefault="00281402" w:rsidP="00827BC4">
      <w:pPr>
        <w:spacing w:line="240" w:lineRule="auto"/>
      </w:pPr>
      <w:r w:rsidRPr="00AF21A3">
        <w:t xml:space="preserve">Metabolit </w:t>
      </w:r>
      <w:r w:rsidRPr="003A2345">
        <w:t>chlórprokaínu kyselin</w:t>
      </w:r>
      <w:r w:rsidR="009C5C78" w:rsidRPr="003A2345">
        <w:t>a</w:t>
      </w:r>
      <w:r w:rsidRPr="003A2345">
        <w:t xml:space="preserve"> para-aminobenzoov</w:t>
      </w:r>
      <w:r w:rsidR="009C5C78" w:rsidRPr="003A2345">
        <w:t>á</w:t>
      </w:r>
      <w:r>
        <w:t xml:space="preserve"> inhibuje účinok sulfónamidov. Chlórprokaín sa preto nem</w:t>
      </w:r>
      <w:r w:rsidR="004D69FF">
        <w:t>á</w:t>
      </w:r>
      <w:r>
        <w:t xml:space="preserve"> používať pri akomkoľvek stave, </w:t>
      </w:r>
      <w:r w:rsidR="004D69FF">
        <w:t xml:space="preserve">pri ktorom </w:t>
      </w:r>
      <w:r>
        <w:t>sa používa liek s obsahom sulfónamidu.</w:t>
      </w:r>
    </w:p>
    <w:p w14:paraId="16D30B24" w14:textId="77777777" w:rsidR="00281402" w:rsidRPr="00C132F1" w:rsidRDefault="00281402" w:rsidP="00827BC4">
      <w:pPr>
        <w:spacing w:line="240" w:lineRule="auto"/>
      </w:pPr>
    </w:p>
    <w:p w14:paraId="395F2F4F" w14:textId="77777777" w:rsidR="00281402" w:rsidRPr="00C132F1" w:rsidRDefault="00281402" w:rsidP="00827BC4">
      <w:pPr>
        <w:spacing w:line="240" w:lineRule="auto"/>
      </w:pPr>
      <w:r>
        <w:t>Neuskutočnili sa žiadne interakčné štúdie zamerané na interakcie medzi chlórprokaínom a antiarytmikami triedy III (napr. amiodarón), ale v tomto prípade sa tiež musí postupovať opatrne (pozri tiež časť 4.4).</w:t>
      </w:r>
    </w:p>
    <w:p w14:paraId="13A6AB44" w14:textId="154DDDD7" w:rsidR="00281402" w:rsidRPr="00C132F1" w:rsidRDefault="00281402" w:rsidP="00827BC4">
      <w:pPr>
        <w:spacing w:line="240" w:lineRule="auto"/>
      </w:pPr>
      <w:r>
        <w:t>Kombinácia rôznych lokálnych anestetík vyvoláva ďalšie účinky, ktoré ovplyvňujú kardiovaskulárny systém a CNS.</w:t>
      </w:r>
    </w:p>
    <w:p w14:paraId="67444643" w14:textId="289E410F" w:rsidR="0090054A" w:rsidRPr="00C132F1" w:rsidRDefault="0090054A" w:rsidP="00827BC4">
      <w:pPr>
        <w:spacing w:line="240" w:lineRule="auto"/>
        <w:rPr>
          <w:noProof/>
        </w:rPr>
      </w:pPr>
      <w:r>
        <w:t>Súčasné používanie inhibítorov cholinesterázy, napr</w:t>
      </w:r>
      <w:r w:rsidRPr="002058FB">
        <w:t>. antimyasteník, cyklofosfamidu, echotiofátu, môže</w:t>
      </w:r>
      <w:r>
        <w:t xml:space="preserve"> inhibovať metabolizmus chlórprokaínu a zvýšiť riziko toxicity.</w:t>
      </w:r>
    </w:p>
    <w:p w14:paraId="7C0500B4" w14:textId="77777777" w:rsidR="00281402" w:rsidRPr="00C132F1" w:rsidRDefault="00281402" w:rsidP="00827BC4">
      <w:pPr>
        <w:spacing w:line="240" w:lineRule="auto"/>
        <w:rPr>
          <w:noProof/>
        </w:rPr>
      </w:pPr>
    </w:p>
    <w:p w14:paraId="66F8F1A6" w14:textId="0493ADA8" w:rsidR="00281402" w:rsidRPr="00434F5F" w:rsidRDefault="00281402" w:rsidP="00827BC4">
      <w:pPr>
        <w:keepNext/>
        <w:autoSpaceDE w:val="0"/>
        <w:autoSpaceDN w:val="0"/>
        <w:adjustRightInd w:val="0"/>
        <w:spacing w:line="240" w:lineRule="auto"/>
      </w:pPr>
      <w:r>
        <w:rPr>
          <w:b/>
          <w:bCs/>
        </w:rPr>
        <w:lastRenderedPageBreak/>
        <w:t xml:space="preserve">4.6 </w:t>
      </w:r>
      <w:r w:rsidR="00827BC4">
        <w:rPr>
          <w:b/>
          <w:bCs/>
        </w:rPr>
        <w:tab/>
      </w:r>
      <w:r>
        <w:rPr>
          <w:b/>
          <w:bCs/>
        </w:rPr>
        <w:t>Fertilita, gravidita a laktácia</w:t>
      </w:r>
    </w:p>
    <w:p w14:paraId="3079A6C7" w14:textId="77777777" w:rsidR="00827BC4" w:rsidRDefault="00827BC4" w:rsidP="00827BC4">
      <w:pPr>
        <w:keepNext/>
        <w:spacing w:line="240" w:lineRule="auto"/>
      </w:pPr>
    </w:p>
    <w:p w14:paraId="775B5BAC" w14:textId="77777777" w:rsidR="00FA054B" w:rsidRPr="00827BC4" w:rsidRDefault="00FA054B" w:rsidP="00827BC4">
      <w:pPr>
        <w:keepNext/>
        <w:spacing w:line="240" w:lineRule="auto"/>
        <w:rPr>
          <w:u w:val="single"/>
        </w:rPr>
      </w:pPr>
      <w:r w:rsidRPr="00827BC4">
        <w:rPr>
          <w:u w:val="single"/>
        </w:rPr>
        <w:t>Gravidita</w:t>
      </w:r>
    </w:p>
    <w:p w14:paraId="06D8C4AF" w14:textId="6BAD2AF2" w:rsidR="00FA054B" w:rsidRPr="00C132F1" w:rsidRDefault="00FA054B" w:rsidP="00827BC4">
      <w:pPr>
        <w:keepNext/>
        <w:spacing w:line="240" w:lineRule="auto"/>
      </w:pPr>
      <w:r>
        <w:t xml:space="preserve">Štúdie na zvieratách sú nedostatočné </w:t>
      </w:r>
      <w:r w:rsidR="004D69FF">
        <w:t xml:space="preserve">z hľadiska posúdenia účinkov </w:t>
      </w:r>
      <w:r w:rsidR="002D1D37">
        <w:t>na priebeh gravidity</w:t>
      </w:r>
      <w:r>
        <w:t xml:space="preserve"> a fetálny výv</w:t>
      </w:r>
      <w:r w:rsidR="00545694">
        <w:t>in</w:t>
      </w:r>
      <w:r>
        <w:t xml:space="preserve"> (pozri časť 5.3).</w:t>
      </w:r>
    </w:p>
    <w:p w14:paraId="44FE0FF7" w14:textId="278B4CE4" w:rsidR="00FA054B" w:rsidRPr="00C132F1" w:rsidRDefault="003518A1" w:rsidP="00827BC4">
      <w:pPr>
        <w:spacing w:line="240" w:lineRule="auto"/>
      </w:pPr>
      <w:r>
        <w:t xml:space="preserve">Preto sa </w:t>
      </w:r>
      <w:r w:rsidR="004D69FF">
        <w:t>Ampres 20 mg/ml</w:t>
      </w:r>
      <w:r>
        <w:t xml:space="preserve"> neodporúča </w:t>
      </w:r>
      <w:r w:rsidR="004D69FF">
        <w:t>po</w:t>
      </w:r>
      <w:r>
        <w:t xml:space="preserve">užívať počas gravidity a ženám vo fertilnom veku, ktoré nepoužívajú antikoncepciu. O použití </w:t>
      </w:r>
      <w:r w:rsidR="004D69FF">
        <w:t>Ampresu 20 mg/ml</w:t>
      </w:r>
      <w:r>
        <w:t xml:space="preserve"> počas gravidity sa má uvažovať iba vtedy, ak potenciálny úžitok pre matku preváži akékoľvek potenciálne riziko pre plod. To nevylučuje použitie </w:t>
      </w:r>
      <w:r w:rsidR="004D69FF">
        <w:t>Ampresu 20 mg/ml</w:t>
      </w:r>
      <w:r>
        <w:t xml:space="preserve"> </w:t>
      </w:r>
      <w:r w:rsidR="004D69FF">
        <w:t xml:space="preserve">na anestéziu </w:t>
      </w:r>
      <w:r>
        <w:t>pri pôrode v riadnom termíne.</w:t>
      </w:r>
    </w:p>
    <w:p w14:paraId="61B75EE1" w14:textId="77777777" w:rsidR="00FA054B" w:rsidRPr="00C132F1" w:rsidRDefault="00FA054B" w:rsidP="00827BC4">
      <w:pPr>
        <w:spacing w:line="240" w:lineRule="auto"/>
      </w:pPr>
    </w:p>
    <w:p w14:paraId="52BFCA02" w14:textId="778AB40D" w:rsidR="0003094D" w:rsidRPr="00827BC4" w:rsidRDefault="00267792" w:rsidP="00827BC4">
      <w:pPr>
        <w:spacing w:line="240" w:lineRule="auto"/>
        <w:rPr>
          <w:u w:val="single"/>
        </w:rPr>
      </w:pPr>
      <w:r w:rsidRPr="00827BC4">
        <w:rPr>
          <w:u w:val="single"/>
        </w:rPr>
        <w:t>Dojčenie</w:t>
      </w:r>
    </w:p>
    <w:p w14:paraId="0B24C089" w14:textId="09941149" w:rsidR="004D69FF" w:rsidRPr="00502EF9" w:rsidRDefault="00FA054B" w:rsidP="004D69FF">
      <w:pPr>
        <w:spacing w:line="240" w:lineRule="auto"/>
        <w:rPr>
          <w:lang w:eastAsia="en-GB"/>
        </w:rPr>
      </w:pPr>
      <w:r>
        <w:t>Nie je známe, či sa chlórprokaín/metabolity vylučujú do materského mlieka.</w:t>
      </w:r>
      <w:r w:rsidR="004D69FF">
        <w:t xml:space="preserve"> </w:t>
      </w:r>
      <w:r w:rsidR="00480759">
        <w:t xml:space="preserve">Musí sa rozhodnúť, či prerušiť dojčenie alebo liečbu Ampresom 20 mg/ml s ohľadom na prínos dojčenia pre dieťa a prínos liečby pre ženu. </w:t>
      </w:r>
      <w:r w:rsidR="004D69FF">
        <w:t xml:space="preserve"> </w:t>
      </w:r>
    </w:p>
    <w:p w14:paraId="2BF9B52E" w14:textId="77777777" w:rsidR="00F76038" w:rsidRPr="00434F5F" w:rsidRDefault="00F76038" w:rsidP="00827BC4">
      <w:pPr>
        <w:spacing w:line="240" w:lineRule="auto"/>
      </w:pPr>
    </w:p>
    <w:p w14:paraId="25A88360" w14:textId="77777777" w:rsidR="00F76038" w:rsidRPr="00827BC4" w:rsidRDefault="00F76038" w:rsidP="00827BC4">
      <w:pPr>
        <w:spacing w:line="240" w:lineRule="auto"/>
        <w:rPr>
          <w:u w:val="single"/>
        </w:rPr>
      </w:pPr>
      <w:r w:rsidRPr="00827BC4">
        <w:rPr>
          <w:u w:val="single"/>
        </w:rPr>
        <w:t>Fertilita</w:t>
      </w:r>
    </w:p>
    <w:p w14:paraId="4CC4AF4C" w14:textId="77777777" w:rsidR="00F76038" w:rsidRPr="00434F5F" w:rsidRDefault="00F76038" w:rsidP="00827BC4">
      <w:pPr>
        <w:spacing w:line="240" w:lineRule="auto"/>
      </w:pPr>
      <w:r>
        <w:t>Neboli vykonané žiadne štúdie fertility.</w:t>
      </w:r>
    </w:p>
    <w:p w14:paraId="3085E402" w14:textId="77777777" w:rsidR="00281402" w:rsidRPr="00434F5F" w:rsidRDefault="00281402" w:rsidP="00827BC4">
      <w:pPr>
        <w:autoSpaceDE w:val="0"/>
        <w:autoSpaceDN w:val="0"/>
        <w:adjustRightInd w:val="0"/>
        <w:spacing w:line="240" w:lineRule="auto"/>
      </w:pPr>
    </w:p>
    <w:p w14:paraId="1B88DBB3" w14:textId="45FFE23B" w:rsidR="00281402" w:rsidRPr="00434F5F" w:rsidRDefault="00281402" w:rsidP="00827BC4">
      <w:pPr>
        <w:autoSpaceDE w:val="0"/>
        <w:autoSpaceDN w:val="0"/>
        <w:adjustRightInd w:val="0"/>
        <w:spacing w:line="240" w:lineRule="auto"/>
      </w:pPr>
      <w:r>
        <w:rPr>
          <w:b/>
          <w:bCs/>
        </w:rPr>
        <w:t xml:space="preserve">4.7 </w:t>
      </w:r>
      <w:r w:rsidR="00827BC4">
        <w:rPr>
          <w:b/>
          <w:bCs/>
        </w:rPr>
        <w:tab/>
      </w:r>
      <w:r>
        <w:rPr>
          <w:b/>
          <w:bCs/>
        </w:rPr>
        <w:t>Ovplyvnenie schopnosti viesť vozidlá a obsluhovať stroje</w:t>
      </w:r>
    </w:p>
    <w:p w14:paraId="0496C548" w14:textId="77777777" w:rsidR="00827BC4" w:rsidRDefault="00827BC4" w:rsidP="00827BC4">
      <w:pPr>
        <w:autoSpaceDE w:val="0"/>
        <w:autoSpaceDN w:val="0"/>
        <w:adjustRightInd w:val="0"/>
        <w:spacing w:line="240" w:lineRule="auto"/>
      </w:pPr>
    </w:p>
    <w:p w14:paraId="6C6113A1" w14:textId="64125F9B" w:rsidR="00281402" w:rsidRPr="00434F5F" w:rsidRDefault="004D69FF" w:rsidP="00827BC4">
      <w:pPr>
        <w:autoSpaceDE w:val="0"/>
        <w:autoSpaceDN w:val="0"/>
        <w:adjustRightInd w:val="0"/>
        <w:spacing w:line="240" w:lineRule="auto"/>
      </w:pPr>
      <w:r>
        <w:t>Ampres 20 mg/ml</w:t>
      </w:r>
      <w:r w:rsidR="00FF5B8B">
        <w:t xml:space="preserve"> má veľký vplyv na schopnosť viesť vozidlá a obsluhovať stroje.</w:t>
      </w:r>
    </w:p>
    <w:p w14:paraId="633AEAC4" w14:textId="77777777" w:rsidR="00281402" w:rsidRPr="00C132F1" w:rsidRDefault="00281402" w:rsidP="00827BC4">
      <w:pPr>
        <w:spacing w:line="240" w:lineRule="auto"/>
        <w:rPr>
          <w:noProof/>
        </w:rPr>
      </w:pPr>
      <w:r>
        <w:t>Lekár je v každom individuálnom prípade zodpovedný za rozhodnutie, či pacient môže viesť vozidlá alebo obsluhovať stroje.</w:t>
      </w:r>
    </w:p>
    <w:p w14:paraId="664D54F7" w14:textId="77777777" w:rsidR="00281402" w:rsidRPr="00C132F1" w:rsidRDefault="00281402" w:rsidP="00827BC4">
      <w:pPr>
        <w:autoSpaceDE w:val="0"/>
        <w:autoSpaceDN w:val="0"/>
        <w:adjustRightInd w:val="0"/>
        <w:spacing w:line="240" w:lineRule="auto"/>
      </w:pPr>
    </w:p>
    <w:p w14:paraId="3FC179EC" w14:textId="271B1873" w:rsidR="00281402" w:rsidRPr="00434F5F" w:rsidRDefault="00281402" w:rsidP="00827BC4">
      <w:pPr>
        <w:autoSpaceDE w:val="0"/>
        <w:autoSpaceDN w:val="0"/>
        <w:adjustRightInd w:val="0"/>
        <w:spacing w:line="240" w:lineRule="auto"/>
      </w:pPr>
      <w:r>
        <w:rPr>
          <w:b/>
          <w:bCs/>
        </w:rPr>
        <w:t xml:space="preserve">4.8 </w:t>
      </w:r>
      <w:r w:rsidR="00827BC4">
        <w:rPr>
          <w:b/>
          <w:bCs/>
        </w:rPr>
        <w:tab/>
      </w:r>
      <w:r>
        <w:rPr>
          <w:b/>
          <w:bCs/>
        </w:rPr>
        <w:t>Nežiaduce účinky</w:t>
      </w:r>
    </w:p>
    <w:p w14:paraId="5585BD95" w14:textId="77777777" w:rsidR="00827BC4" w:rsidRDefault="00827BC4" w:rsidP="00827BC4">
      <w:pPr>
        <w:spacing w:line="240" w:lineRule="auto"/>
      </w:pPr>
    </w:p>
    <w:p w14:paraId="5AC5C426" w14:textId="379B2ACA" w:rsidR="004D69FF" w:rsidRPr="004D69FF" w:rsidRDefault="004D69FF" w:rsidP="00827BC4">
      <w:pPr>
        <w:spacing w:line="240" w:lineRule="auto"/>
        <w:rPr>
          <w:u w:val="single"/>
        </w:rPr>
      </w:pPr>
      <w:r w:rsidRPr="004D69FF">
        <w:rPr>
          <w:u w:val="single"/>
        </w:rPr>
        <w:t>Súhrn bezpečnostného profilu</w:t>
      </w:r>
    </w:p>
    <w:p w14:paraId="56C56A36" w14:textId="77777777" w:rsidR="004D69FF" w:rsidRDefault="004D69FF" w:rsidP="00827BC4">
      <w:pPr>
        <w:spacing w:line="240" w:lineRule="auto"/>
      </w:pPr>
    </w:p>
    <w:p w14:paraId="7C6F25AD" w14:textId="6D557568" w:rsidR="00281402" w:rsidRPr="00C132F1" w:rsidRDefault="00281402" w:rsidP="00827BC4">
      <w:pPr>
        <w:spacing w:line="240" w:lineRule="auto"/>
      </w:pPr>
      <w:r>
        <w:t xml:space="preserve">Možné nežiaduce účinky spôsobené použitím </w:t>
      </w:r>
      <w:r w:rsidR="004D69FF">
        <w:t>Ampres</w:t>
      </w:r>
      <w:r w:rsidR="00545694">
        <w:t>u</w:t>
      </w:r>
      <w:r w:rsidR="004D69FF">
        <w:t xml:space="preserve"> 20 mg/ml</w:t>
      </w:r>
      <w:r>
        <w:t xml:space="preserve"> sa zvyčajne podobajú nežiaducim účinkom iných lokálnych anestetík pre regionálnu anestéziu na báze esterov. Tieto nežiaduce účinky zvyčajne závisia od dávky a môžu vyplynúť z rýchlej absorpcie z miesta podania injekcie, zníženej tolerancie alebo neúmyselného intravaskulárneho podania roztoku lokálneho anestetika. Okrem systémovej toxicity súvisiacej s dávkou môže neúmyselné subarachnoidálne podanie lieku počas zamýšľaného vykonávania nervovej blokády v blízkosti vertebrálneho stĺpca (najmä v oblasti hlavy a krku) viesť tiež k hypoventilácii alebo apnoe („totálna spinálna blokáda“). </w:t>
      </w:r>
      <w:bookmarkStart w:id="1" w:name="_Hlk514935798"/>
      <w:r>
        <w:t>Nežiaduce účinky vyvolané liekom sa dajú ťažko rozoznať od fyziologických účinkov nervovej blokády (napr. pokles arteriálneho tlaku, bradykardia) a účinkov vyvolaných priamo (napr. poranenie nervu), či nepriamo (napr. zápal nervu) vpichom ihlou.</w:t>
      </w:r>
    </w:p>
    <w:bookmarkEnd w:id="1"/>
    <w:p w14:paraId="30B1A2FB" w14:textId="77777777" w:rsidR="000B37D1" w:rsidRPr="00C132F1" w:rsidRDefault="000B37D1" w:rsidP="00827BC4">
      <w:pPr>
        <w:spacing w:line="240" w:lineRule="auto"/>
      </w:pPr>
    </w:p>
    <w:p w14:paraId="2FDECA51" w14:textId="77777777" w:rsidR="004D69FF" w:rsidRPr="00545694" w:rsidRDefault="004D69FF" w:rsidP="00827BC4">
      <w:pPr>
        <w:spacing w:line="240" w:lineRule="auto"/>
        <w:rPr>
          <w:u w:val="single"/>
        </w:rPr>
      </w:pPr>
      <w:r w:rsidRPr="00545694">
        <w:rPr>
          <w:u w:val="single"/>
        </w:rPr>
        <w:t>Tabuľkový súhrn nežiaducich účinkov</w:t>
      </w:r>
    </w:p>
    <w:p w14:paraId="0285FB6A" w14:textId="77777777" w:rsidR="00545694" w:rsidRDefault="00545694" w:rsidP="004D69FF">
      <w:pPr>
        <w:spacing w:line="240" w:lineRule="auto"/>
      </w:pPr>
    </w:p>
    <w:p w14:paraId="524E8C18" w14:textId="77777777" w:rsidR="004D69FF" w:rsidRDefault="004D69FF" w:rsidP="004D69FF">
      <w:pPr>
        <w:spacing w:line="240" w:lineRule="auto"/>
      </w:pPr>
      <w:r>
        <w:t>Nežiaduce účinky uvedené nižšie v tabuľke 1 sú zoradené podľa triedy orgánových systémov.</w:t>
      </w:r>
    </w:p>
    <w:p w14:paraId="4F0560F9" w14:textId="09FC7744" w:rsidR="00C80E8E" w:rsidRPr="00C132F1" w:rsidRDefault="00C80E8E" w:rsidP="00827BC4">
      <w:pPr>
        <w:spacing w:line="240" w:lineRule="auto"/>
      </w:pPr>
      <w:r>
        <w:t>Frekvencia výskytu nežiaducich účinkov uvedených nižšie sa definuje pomocou nasled</w:t>
      </w:r>
      <w:r w:rsidR="004F2994">
        <w:t>ovnej</w:t>
      </w:r>
      <w:r>
        <w:t xml:space="preserve"> konvencie:</w:t>
      </w:r>
    </w:p>
    <w:p w14:paraId="10EDDF90" w14:textId="5C4579E6" w:rsidR="00C80E8E" w:rsidRPr="00C132F1" w:rsidRDefault="004F2994" w:rsidP="00827BC4">
      <w:pPr>
        <w:spacing w:line="240" w:lineRule="auto"/>
      </w:pPr>
      <w:r>
        <w:t>v</w:t>
      </w:r>
      <w:r w:rsidR="00C80E8E">
        <w:t>eľmi časté (≥1/10), časté (≥1/100 až &lt;1/10), menej časté (≥1/1 000 až &lt;1/100), zriedkavé (≥1/10 000 až &lt;1/1 000), veľmi zriedkavé (&lt;1/10 000), neznáme (z dostupných údajov).</w:t>
      </w:r>
    </w:p>
    <w:p w14:paraId="10A6458C" w14:textId="77777777" w:rsidR="00F33077" w:rsidRPr="00C132F1" w:rsidRDefault="00F33077" w:rsidP="00827BC4">
      <w:pPr>
        <w:spacing w:line="240" w:lineRule="auto"/>
        <w:rPr>
          <w:i/>
        </w:rPr>
      </w:pPr>
    </w:p>
    <w:p w14:paraId="0D2D4B39" w14:textId="0C7ECD54" w:rsidR="004D69FF" w:rsidRPr="00022433" w:rsidRDefault="004D69FF" w:rsidP="004D69FF">
      <w:pPr>
        <w:spacing w:line="360" w:lineRule="auto"/>
        <w:jc w:val="both"/>
        <w:rPr>
          <w:iCs/>
          <w:u w:val="single"/>
          <w:lang w:val="cs-CZ"/>
        </w:rPr>
      </w:pPr>
      <w:r w:rsidRPr="00022433">
        <w:rPr>
          <w:iCs/>
          <w:u w:val="single"/>
          <w:lang w:val="cs-CZ"/>
        </w:rPr>
        <w:t>Tabu</w:t>
      </w:r>
      <w:r>
        <w:rPr>
          <w:iCs/>
          <w:u w:val="single"/>
          <w:lang w:val="cs-CZ"/>
        </w:rPr>
        <w:t>ľ</w:t>
      </w:r>
      <w:r w:rsidRPr="00022433">
        <w:rPr>
          <w:iCs/>
          <w:u w:val="single"/>
          <w:lang w:val="cs-CZ"/>
        </w:rPr>
        <w:t>ka 1: Než</w:t>
      </w:r>
      <w:r>
        <w:rPr>
          <w:iCs/>
          <w:u w:val="single"/>
          <w:lang w:val="cs-CZ"/>
        </w:rPr>
        <w:t>iadúce účinky</w:t>
      </w:r>
    </w:p>
    <w:tbl>
      <w:tblPr>
        <w:tblStyle w:val="Mriekatabuky"/>
        <w:tblW w:w="9776" w:type="dxa"/>
        <w:tblLook w:val="04A0" w:firstRow="1" w:lastRow="0" w:firstColumn="1" w:lastColumn="0" w:noHBand="0" w:noVBand="1"/>
      </w:tblPr>
      <w:tblGrid>
        <w:gridCol w:w="1955"/>
        <w:gridCol w:w="1955"/>
        <w:gridCol w:w="1955"/>
        <w:gridCol w:w="1955"/>
        <w:gridCol w:w="1956"/>
      </w:tblGrid>
      <w:tr w:rsidR="002C7497" w:rsidRPr="00742776" w14:paraId="1457459A" w14:textId="77777777" w:rsidTr="004F2994">
        <w:tc>
          <w:tcPr>
            <w:tcW w:w="1955" w:type="dxa"/>
          </w:tcPr>
          <w:p w14:paraId="1DAB8820" w14:textId="15486EA1" w:rsidR="004D69FF" w:rsidRPr="004F2994" w:rsidRDefault="004D69FF" w:rsidP="004D69FF">
            <w:pPr>
              <w:spacing w:line="276" w:lineRule="auto"/>
              <w:jc w:val="center"/>
              <w:rPr>
                <w:iCs/>
                <w:u w:val="single"/>
                <w:lang w:val="cs-CZ"/>
              </w:rPr>
            </w:pPr>
            <w:r w:rsidRPr="004F2994">
              <w:rPr>
                <w:iCs/>
                <w:u w:val="single"/>
                <w:lang w:val="cs-CZ"/>
              </w:rPr>
              <w:t>Veľmi časté</w:t>
            </w:r>
          </w:p>
        </w:tc>
        <w:tc>
          <w:tcPr>
            <w:tcW w:w="1955" w:type="dxa"/>
          </w:tcPr>
          <w:p w14:paraId="5891F2DD" w14:textId="2F8B9F51" w:rsidR="004D69FF" w:rsidRPr="004F2994" w:rsidRDefault="004D69FF" w:rsidP="00613F84">
            <w:pPr>
              <w:spacing w:line="276" w:lineRule="auto"/>
              <w:jc w:val="center"/>
              <w:rPr>
                <w:iCs/>
                <w:u w:val="single"/>
                <w:lang w:val="cs-CZ"/>
              </w:rPr>
            </w:pPr>
            <w:r w:rsidRPr="004F2994">
              <w:rPr>
                <w:iCs/>
                <w:u w:val="single"/>
                <w:lang w:val="cs-CZ"/>
              </w:rPr>
              <w:t>Časté</w:t>
            </w:r>
          </w:p>
        </w:tc>
        <w:tc>
          <w:tcPr>
            <w:tcW w:w="1955" w:type="dxa"/>
          </w:tcPr>
          <w:p w14:paraId="721EEDCF" w14:textId="2744643B" w:rsidR="004D69FF" w:rsidRPr="004F2994" w:rsidRDefault="004D69FF" w:rsidP="004D69FF">
            <w:pPr>
              <w:spacing w:line="276" w:lineRule="auto"/>
              <w:jc w:val="center"/>
              <w:rPr>
                <w:iCs/>
                <w:u w:val="single"/>
                <w:lang w:val="cs-CZ"/>
              </w:rPr>
            </w:pPr>
            <w:r w:rsidRPr="004F2994">
              <w:rPr>
                <w:iCs/>
                <w:u w:val="single"/>
                <w:lang w:val="cs-CZ"/>
              </w:rPr>
              <w:t>Menej časté</w:t>
            </w:r>
          </w:p>
        </w:tc>
        <w:tc>
          <w:tcPr>
            <w:tcW w:w="1955" w:type="dxa"/>
          </w:tcPr>
          <w:p w14:paraId="27962320" w14:textId="41EE3719" w:rsidR="004D69FF" w:rsidRPr="004F2994" w:rsidRDefault="004D69FF" w:rsidP="004D69FF">
            <w:pPr>
              <w:spacing w:line="276" w:lineRule="auto"/>
              <w:jc w:val="center"/>
              <w:rPr>
                <w:iCs/>
                <w:u w:val="single"/>
                <w:lang w:val="cs-CZ"/>
              </w:rPr>
            </w:pPr>
            <w:r w:rsidRPr="004F2994">
              <w:rPr>
                <w:iCs/>
                <w:u w:val="single"/>
                <w:lang w:val="cs-CZ"/>
              </w:rPr>
              <w:t>Zriedkavé</w:t>
            </w:r>
          </w:p>
        </w:tc>
        <w:tc>
          <w:tcPr>
            <w:tcW w:w="1956" w:type="dxa"/>
          </w:tcPr>
          <w:p w14:paraId="45CE3F18" w14:textId="669175DA" w:rsidR="004D69FF" w:rsidRPr="004F2994" w:rsidRDefault="004D69FF" w:rsidP="004D69FF">
            <w:pPr>
              <w:spacing w:line="276" w:lineRule="auto"/>
              <w:jc w:val="center"/>
              <w:rPr>
                <w:iCs/>
                <w:u w:val="single"/>
                <w:lang w:val="cs-CZ"/>
              </w:rPr>
            </w:pPr>
            <w:r w:rsidRPr="004F2994">
              <w:rPr>
                <w:iCs/>
                <w:u w:val="single"/>
                <w:lang w:val="cs-CZ"/>
              </w:rPr>
              <w:t>Veľmi zriedkavé</w:t>
            </w:r>
          </w:p>
        </w:tc>
      </w:tr>
      <w:tr w:rsidR="004D69FF" w:rsidRPr="00742776" w14:paraId="28AC3271" w14:textId="77777777" w:rsidTr="00613F84">
        <w:tc>
          <w:tcPr>
            <w:tcW w:w="9776" w:type="dxa"/>
            <w:gridSpan w:val="5"/>
          </w:tcPr>
          <w:p w14:paraId="7315DC2A" w14:textId="1BD14D02" w:rsidR="004D69FF" w:rsidRPr="004F2994" w:rsidRDefault="004D69FF" w:rsidP="002C7497">
            <w:pPr>
              <w:spacing w:line="276" w:lineRule="auto"/>
              <w:jc w:val="both"/>
              <w:rPr>
                <w:i/>
                <w:lang w:val="cs-CZ"/>
              </w:rPr>
            </w:pPr>
            <w:r w:rsidRPr="004F2994">
              <w:rPr>
                <w:i/>
                <w:lang w:val="cs-CZ"/>
              </w:rPr>
              <w:t>Poruchy imun</w:t>
            </w:r>
            <w:r w:rsidR="002C7497" w:rsidRPr="004F2994">
              <w:rPr>
                <w:i/>
                <w:lang w:val="cs-CZ"/>
              </w:rPr>
              <w:t xml:space="preserve">itného </w:t>
            </w:r>
            <w:r w:rsidRPr="004F2994">
              <w:rPr>
                <w:i/>
                <w:lang w:val="cs-CZ"/>
              </w:rPr>
              <w:t>systému</w:t>
            </w:r>
          </w:p>
        </w:tc>
      </w:tr>
      <w:tr w:rsidR="002C7497" w:rsidRPr="00742776" w14:paraId="3A2CA8D4" w14:textId="77777777" w:rsidTr="004F2994">
        <w:tc>
          <w:tcPr>
            <w:tcW w:w="1955" w:type="dxa"/>
          </w:tcPr>
          <w:p w14:paraId="7117E434" w14:textId="77777777" w:rsidR="004D69FF" w:rsidRPr="004F2994" w:rsidRDefault="004D69FF" w:rsidP="00613F84">
            <w:pPr>
              <w:spacing w:line="276" w:lineRule="auto"/>
              <w:rPr>
                <w:iCs/>
                <w:u w:val="single"/>
                <w:lang w:val="cs-CZ"/>
              </w:rPr>
            </w:pPr>
          </w:p>
        </w:tc>
        <w:tc>
          <w:tcPr>
            <w:tcW w:w="1955" w:type="dxa"/>
          </w:tcPr>
          <w:p w14:paraId="3C9A7FD9" w14:textId="77777777" w:rsidR="004D69FF" w:rsidRPr="004F2994" w:rsidRDefault="004D69FF" w:rsidP="00613F84">
            <w:pPr>
              <w:spacing w:line="276" w:lineRule="auto"/>
              <w:rPr>
                <w:iCs/>
                <w:u w:val="single"/>
                <w:lang w:val="cs-CZ"/>
              </w:rPr>
            </w:pPr>
          </w:p>
        </w:tc>
        <w:tc>
          <w:tcPr>
            <w:tcW w:w="1955" w:type="dxa"/>
          </w:tcPr>
          <w:p w14:paraId="0E278379" w14:textId="77777777" w:rsidR="004D69FF" w:rsidRPr="004F2994" w:rsidRDefault="004D69FF" w:rsidP="00613F84">
            <w:pPr>
              <w:spacing w:line="276" w:lineRule="auto"/>
              <w:rPr>
                <w:iCs/>
                <w:u w:val="single"/>
                <w:lang w:val="cs-CZ"/>
              </w:rPr>
            </w:pPr>
          </w:p>
        </w:tc>
        <w:tc>
          <w:tcPr>
            <w:tcW w:w="1955" w:type="dxa"/>
          </w:tcPr>
          <w:p w14:paraId="1CEB720E" w14:textId="7BEE9F9B" w:rsidR="004D69FF" w:rsidRPr="004F2994" w:rsidRDefault="002C7497" w:rsidP="002C7497">
            <w:pPr>
              <w:spacing w:line="240" w:lineRule="auto"/>
              <w:rPr>
                <w:i/>
                <w:iCs/>
              </w:rPr>
            </w:pPr>
            <w:r w:rsidRPr="004F2994">
              <w:t xml:space="preserve">alergické reakcie v dôsledku citlivosti na lokálne anestetikum, charakterizované </w:t>
            </w:r>
            <w:r w:rsidR="000A78E7" w:rsidRPr="003A2345">
              <w:t>prejavmi</w:t>
            </w:r>
            <w:r w:rsidRPr="003A2345">
              <w:t>,</w:t>
            </w:r>
            <w:r w:rsidRPr="004F2994">
              <w:t xml:space="preserve"> ako napr. </w:t>
            </w:r>
            <w:r w:rsidRPr="004F2994">
              <w:lastRenderedPageBreak/>
              <w:t>urtikária, pruritus, erytém, angioneurotický edém s prípadnou obštrukciou dýchacích ciest (vrátane edému hrtanu), tachykardia, kýchanie, nauzea, vracanie, závraty, synkopa, nadmerné potenie, zvýšená teplota a prípadne symptomatológia anafylaktoidného typu (vrátane závažnej hypotenzie)</w:t>
            </w:r>
          </w:p>
        </w:tc>
        <w:tc>
          <w:tcPr>
            <w:tcW w:w="1956" w:type="dxa"/>
          </w:tcPr>
          <w:p w14:paraId="0F83464D" w14:textId="77777777" w:rsidR="004D69FF" w:rsidRPr="004F2994" w:rsidRDefault="004D69FF" w:rsidP="00613F84">
            <w:pPr>
              <w:spacing w:line="276" w:lineRule="auto"/>
              <w:rPr>
                <w:iCs/>
                <w:u w:val="single"/>
                <w:lang w:val="cs-CZ"/>
              </w:rPr>
            </w:pPr>
          </w:p>
        </w:tc>
      </w:tr>
      <w:tr w:rsidR="004D69FF" w:rsidRPr="00742776" w14:paraId="13A796FF" w14:textId="77777777" w:rsidTr="00613F84">
        <w:tc>
          <w:tcPr>
            <w:tcW w:w="9776" w:type="dxa"/>
            <w:gridSpan w:val="5"/>
          </w:tcPr>
          <w:p w14:paraId="5E5590F9" w14:textId="283BCB66" w:rsidR="004D69FF" w:rsidRPr="004F2994" w:rsidRDefault="002C7497" w:rsidP="002C7497">
            <w:pPr>
              <w:spacing w:line="276" w:lineRule="auto"/>
              <w:jc w:val="both"/>
              <w:rPr>
                <w:i/>
                <w:lang w:val="cs-CZ"/>
              </w:rPr>
            </w:pPr>
            <w:r w:rsidRPr="004F2994">
              <w:rPr>
                <w:i/>
                <w:lang w:val="cs-CZ"/>
              </w:rPr>
              <w:t>Úrazy</w:t>
            </w:r>
            <w:r w:rsidR="004D69FF" w:rsidRPr="004F2994">
              <w:rPr>
                <w:i/>
                <w:lang w:val="cs-CZ"/>
              </w:rPr>
              <w:t>, otravy a komplik</w:t>
            </w:r>
            <w:r w:rsidRPr="004F2994">
              <w:rPr>
                <w:i/>
                <w:lang w:val="cs-CZ"/>
              </w:rPr>
              <w:t>ácie liečebného postupu</w:t>
            </w:r>
          </w:p>
        </w:tc>
      </w:tr>
      <w:tr w:rsidR="002C7497" w:rsidRPr="00742776" w14:paraId="681334D3" w14:textId="77777777" w:rsidTr="004F2994">
        <w:tc>
          <w:tcPr>
            <w:tcW w:w="1955" w:type="dxa"/>
          </w:tcPr>
          <w:p w14:paraId="1F5875C0" w14:textId="77777777" w:rsidR="004D69FF" w:rsidRPr="004F2994" w:rsidRDefault="004D69FF" w:rsidP="00613F84">
            <w:pPr>
              <w:spacing w:line="276" w:lineRule="auto"/>
              <w:jc w:val="both"/>
              <w:rPr>
                <w:iCs/>
                <w:u w:val="single"/>
                <w:lang w:val="cs-CZ"/>
              </w:rPr>
            </w:pPr>
          </w:p>
        </w:tc>
        <w:tc>
          <w:tcPr>
            <w:tcW w:w="1955" w:type="dxa"/>
          </w:tcPr>
          <w:p w14:paraId="1FAA1AAC" w14:textId="604721A6" w:rsidR="004D69FF" w:rsidRPr="004F2994" w:rsidRDefault="002C7497" w:rsidP="002C7497">
            <w:pPr>
              <w:spacing w:line="276" w:lineRule="auto"/>
              <w:jc w:val="both"/>
              <w:rPr>
                <w:iCs/>
                <w:u w:val="single"/>
                <w:lang w:val="cs-CZ"/>
              </w:rPr>
            </w:pPr>
            <w:r w:rsidRPr="004F2994">
              <w:rPr>
                <w:lang w:val="cs-CZ"/>
              </w:rPr>
              <w:t>anestetická komplikácia</w:t>
            </w:r>
          </w:p>
        </w:tc>
        <w:tc>
          <w:tcPr>
            <w:tcW w:w="1955" w:type="dxa"/>
          </w:tcPr>
          <w:p w14:paraId="5BCDFCBE" w14:textId="77777777" w:rsidR="004D69FF" w:rsidRPr="004F2994" w:rsidRDefault="004D69FF" w:rsidP="00613F84">
            <w:pPr>
              <w:spacing w:line="276" w:lineRule="auto"/>
              <w:jc w:val="both"/>
              <w:rPr>
                <w:iCs/>
                <w:u w:val="single"/>
                <w:lang w:val="cs-CZ"/>
              </w:rPr>
            </w:pPr>
          </w:p>
        </w:tc>
        <w:tc>
          <w:tcPr>
            <w:tcW w:w="1955" w:type="dxa"/>
          </w:tcPr>
          <w:p w14:paraId="0865F113" w14:textId="77777777" w:rsidR="004D69FF" w:rsidRPr="004F2994" w:rsidRDefault="004D69FF" w:rsidP="00613F84">
            <w:pPr>
              <w:spacing w:line="276" w:lineRule="auto"/>
              <w:jc w:val="both"/>
              <w:rPr>
                <w:lang w:val="cs-CZ"/>
              </w:rPr>
            </w:pPr>
          </w:p>
        </w:tc>
        <w:tc>
          <w:tcPr>
            <w:tcW w:w="1956" w:type="dxa"/>
          </w:tcPr>
          <w:p w14:paraId="49DE1688" w14:textId="77777777" w:rsidR="004D69FF" w:rsidRPr="004F2994" w:rsidRDefault="004D69FF" w:rsidP="00613F84">
            <w:pPr>
              <w:spacing w:line="276" w:lineRule="auto"/>
              <w:jc w:val="both"/>
              <w:rPr>
                <w:iCs/>
                <w:u w:val="single"/>
                <w:lang w:val="cs-CZ"/>
              </w:rPr>
            </w:pPr>
          </w:p>
        </w:tc>
      </w:tr>
      <w:tr w:rsidR="004D69FF" w:rsidRPr="00742776" w14:paraId="44F69ACA" w14:textId="77777777" w:rsidTr="00613F84">
        <w:tc>
          <w:tcPr>
            <w:tcW w:w="9776" w:type="dxa"/>
            <w:gridSpan w:val="5"/>
          </w:tcPr>
          <w:p w14:paraId="43DE5F30" w14:textId="77777777" w:rsidR="004D69FF" w:rsidRPr="004F2994" w:rsidRDefault="004D69FF" w:rsidP="00613F84">
            <w:pPr>
              <w:spacing w:line="276" w:lineRule="auto"/>
              <w:jc w:val="both"/>
              <w:rPr>
                <w:i/>
                <w:lang w:val="cs-CZ"/>
              </w:rPr>
            </w:pPr>
            <w:r w:rsidRPr="004F2994">
              <w:rPr>
                <w:i/>
                <w:lang w:val="cs-CZ"/>
              </w:rPr>
              <w:t>Poruchy nervového systému</w:t>
            </w:r>
          </w:p>
        </w:tc>
      </w:tr>
      <w:tr w:rsidR="002C7497" w:rsidRPr="00742776" w14:paraId="733360DD" w14:textId="77777777" w:rsidTr="004F2994">
        <w:tc>
          <w:tcPr>
            <w:tcW w:w="1955" w:type="dxa"/>
          </w:tcPr>
          <w:p w14:paraId="439D15DE" w14:textId="77777777" w:rsidR="004D69FF" w:rsidRPr="004F2994" w:rsidRDefault="004D69FF" w:rsidP="00613F84">
            <w:pPr>
              <w:spacing w:line="276" w:lineRule="auto"/>
              <w:rPr>
                <w:iCs/>
                <w:u w:val="single"/>
                <w:lang w:val="cs-CZ"/>
              </w:rPr>
            </w:pPr>
          </w:p>
        </w:tc>
        <w:tc>
          <w:tcPr>
            <w:tcW w:w="1955" w:type="dxa"/>
          </w:tcPr>
          <w:p w14:paraId="7C5CC15B" w14:textId="477B7339" w:rsidR="004D69FF" w:rsidRPr="004F2994" w:rsidRDefault="002C7497" w:rsidP="00613F84">
            <w:pPr>
              <w:spacing w:line="276" w:lineRule="auto"/>
              <w:rPr>
                <w:iCs/>
                <w:u w:val="single"/>
                <w:lang w:val="cs-CZ"/>
              </w:rPr>
            </w:pPr>
            <w:r w:rsidRPr="004F2994">
              <w:t>úzkosť, nepokoj, parestézia, závraty</w:t>
            </w:r>
          </w:p>
        </w:tc>
        <w:tc>
          <w:tcPr>
            <w:tcW w:w="1955" w:type="dxa"/>
          </w:tcPr>
          <w:p w14:paraId="0D72CCDA" w14:textId="0C6DE935" w:rsidR="004D69FF" w:rsidRPr="004F2994" w:rsidRDefault="000A78E7" w:rsidP="002C7497">
            <w:pPr>
              <w:spacing w:line="276" w:lineRule="auto"/>
              <w:rPr>
                <w:iCs/>
                <w:u w:val="single"/>
                <w:lang w:val="cs-CZ"/>
              </w:rPr>
            </w:pPr>
            <w:r w:rsidRPr="003A2345">
              <w:t>prejavy</w:t>
            </w:r>
            <w:r w:rsidR="002C7497" w:rsidRPr="003A2345">
              <w:t xml:space="preserve"> a</w:t>
            </w:r>
            <w:r w:rsidR="002C7497" w:rsidRPr="007D49E8">
              <w:t xml:space="preserve"> symptómy t</w:t>
            </w:r>
            <w:r w:rsidR="002C7497" w:rsidRPr="004F2994">
              <w:t>oxicity CNS (tremor, ktorý pravdepodobne prejde do kŕčov, kŕče, cirkumorálna parestézia, pocit necitlivosti postihujúci jazyk, problémy so sluchom, problémy so zrakom, rozmazané videnie, chvenie, tinitus, problémy s rečou, strata vedomia)</w:t>
            </w:r>
          </w:p>
        </w:tc>
        <w:tc>
          <w:tcPr>
            <w:tcW w:w="1955" w:type="dxa"/>
          </w:tcPr>
          <w:p w14:paraId="0829865D" w14:textId="63889E32" w:rsidR="004D69FF" w:rsidRPr="004F2994" w:rsidRDefault="002C7497" w:rsidP="00613F84">
            <w:pPr>
              <w:spacing w:line="276" w:lineRule="auto"/>
              <w:rPr>
                <w:lang w:val="cs-CZ"/>
              </w:rPr>
            </w:pPr>
            <w:r w:rsidRPr="004F2994">
              <w:t>neuropatia, ospalosť, prechod do bezvedomia a zástava dýchania, porucha vyprázdňovania močového mechúra a čriev, strata perineálnej citlivosti a sexuálnej funkcie a trvalé neurologické poškodenie</w:t>
            </w:r>
          </w:p>
        </w:tc>
        <w:tc>
          <w:tcPr>
            <w:tcW w:w="1956" w:type="dxa"/>
          </w:tcPr>
          <w:p w14:paraId="3C1455FB" w14:textId="77777777" w:rsidR="004D69FF" w:rsidRPr="004F2994" w:rsidRDefault="004D69FF" w:rsidP="00613F84">
            <w:pPr>
              <w:spacing w:line="276" w:lineRule="auto"/>
              <w:rPr>
                <w:iCs/>
                <w:u w:val="single"/>
                <w:lang w:val="cs-CZ"/>
              </w:rPr>
            </w:pPr>
          </w:p>
        </w:tc>
      </w:tr>
      <w:tr w:rsidR="004D69FF" w:rsidRPr="00742776" w14:paraId="500FE6AF" w14:textId="77777777" w:rsidTr="00613F84">
        <w:tc>
          <w:tcPr>
            <w:tcW w:w="9776" w:type="dxa"/>
            <w:gridSpan w:val="5"/>
          </w:tcPr>
          <w:p w14:paraId="1517E098" w14:textId="77777777" w:rsidR="004D69FF" w:rsidRPr="004F2994" w:rsidRDefault="004D69FF" w:rsidP="00613F84">
            <w:pPr>
              <w:spacing w:line="276" w:lineRule="auto"/>
              <w:jc w:val="both"/>
              <w:rPr>
                <w:i/>
                <w:lang w:val="cs-CZ"/>
              </w:rPr>
            </w:pPr>
            <w:r w:rsidRPr="004F2994">
              <w:rPr>
                <w:i/>
                <w:lang w:val="cs-CZ"/>
              </w:rPr>
              <w:t>Poruchy oka</w:t>
            </w:r>
          </w:p>
        </w:tc>
      </w:tr>
      <w:tr w:rsidR="002C7497" w:rsidRPr="00742776" w14:paraId="4284FC36" w14:textId="77777777" w:rsidTr="004F2994">
        <w:tc>
          <w:tcPr>
            <w:tcW w:w="1955" w:type="dxa"/>
          </w:tcPr>
          <w:p w14:paraId="0D119BA6" w14:textId="77777777" w:rsidR="004D69FF" w:rsidRPr="004F2994" w:rsidRDefault="004D69FF" w:rsidP="00613F84">
            <w:pPr>
              <w:spacing w:line="276" w:lineRule="auto"/>
              <w:jc w:val="both"/>
              <w:rPr>
                <w:iCs/>
                <w:u w:val="single"/>
                <w:lang w:val="cs-CZ"/>
              </w:rPr>
            </w:pPr>
          </w:p>
        </w:tc>
        <w:tc>
          <w:tcPr>
            <w:tcW w:w="1955" w:type="dxa"/>
          </w:tcPr>
          <w:p w14:paraId="778CDB22" w14:textId="77777777" w:rsidR="004D69FF" w:rsidRPr="004F2994" w:rsidRDefault="004D69FF" w:rsidP="00613F84">
            <w:pPr>
              <w:spacing w:line="276" w:lineRule="auto"/>
              <w:jc w:val="both"/>
              <w:rPr>
                <w:lang w:val="cs-CZ"/>
              </w:rPr>
            </w:pPr>
          </w:p>
        </w:tc>
        <w:tc>
          <w:tcPr>
            <w:tcW w:w="1955" w:type="dxa"/>
          </w:tcPr>
          <w:p w14:paraId="71BFB184" w14:textId="77777777" w:rsidR="004D69FF" w:rsidRPr="004F2994" w:rsidRDefault="004D69FF" w:rsidP="00613F84">
            <w:pPr>
              <w:spacing w:line="276" w:lineRule="auto"/>
              <w:jc w:val="both"/>
              <w:rPr>
                <w:lang w:val="cs-CZ"/>
              </w:rPr>
            </w:pPr>
          </w:p>
        </w:tc>
        <w:tc>
          <w:tcPr>
            <w:tcW w:w="1955" w:type="dxa"/>
          </w:tcPr>
          <w:p w14:paraId="620A130E" w14:textId="0076E82F" w:rsidR="004D69FF" w:rsidRPr="004F2994" w:rsidRDefault="00D41170" w:rsidP="00613F84">
            <w:pPr>
              <w:spacing w:line="276" w:lineRule="auto"/>
              <w:jc w:val="both"/>
              <w:rPr>
                <w:lang w:val="cs-CZ"/>
              </w:rPr>
            </w:pPr>
            <w:r>
              <w:rPr>
                <w:lang w:val="cs-CZ"/>
              </w:rPr>
              <w:t>d</w:t>
            </w:r>
            <w:r w:rsidR="002C7497" w:rsidRPr="004F2994">
              <w:rPr>
                <w:lang w:val="cs-CZ"/>
              </w:rPr>
              <w:t>iplopia</w:t>
            </w:r>
          </w:p>
        </w:tc>
        <w:tc>
          <w:tcPr>
            <w:tcW w:w="1956" w:type="dxa"/>
          </w:tcPr>
          <w:p w14:paraId="3789F4E6" w14:textId="77777777" w:rsidR="004D69FF" w:rsidRPr="004F2994" w:rsidRDefault="004D69FF" w:rsidP="00613F84">
            <w:pPr>
              <w:spacing w:line="276" w:lineRule="auto"/>
              <w:jc w:val="both"/>
              <w:rPr>
                <w:iCs/>
                <w:u w:val="single"/>
                <w:lang w:val="cs-CZ"/>
              </w:rPr>
            </w:pPr>
          </w:p>
        </w:tc>
      </w:tr>
      <w:tr w:rsidR="004D69FF" w:rsidRPr="00742776" w14:paraId="7BC76E39" w14:textId="77777777" w:rsidTr="00613F84">
        <w:tc>
          <w:tcPr>
            <w:tcW w:w="9776" w:type="dxa"/>
            <w:gridSpan w:val="5"/>
          </w:tcPr>
          <w:p w14:paraId="02CC8999" w14:textId="7A93E969" w:rsidR="004D69FF" w:rsidRPr="004F2994" w:rsidRDefault="002C7497" w:rsidP="00613F84">
            <w:pPr>
              <w:spacing w:line="276" w:lineRule="auto"/>
              <w:jc w:val="both"/>
              <w:rPr>
                <w:i/>
                <w:lang w:val="cs-CZ"/>
              </w:rPr>
            </w:pPr>
            <w:r w:rsidRPr="004F2994">
              <w:rPr>
                <w:i/>
                <w:lang w:val="cs-CZ"/>
              </w:rPr>
              <w:t>P</w:t>
            </w:r>
            <w:r w:rsidR="004D69FF" w:rsidRPr="004F2994">
              <w:rPr>
                <w:i/>
                <w:lang w:val="cs-CZ"/>
              </w:rPr>
              <w:t>oruchy</w:t>
            </w:r>
            <w:r w:rsidRPr="004F2994">
              <w:rPr>
                <w:i/>
                <w:lang w:val="cs-CZ"/>
              </w:rPr>
              <w:t xml:space="preserve"> srdca a srdcovej činnosti</w:t>
            </w:r>
          </w:p>
        </w:tc>
      </w:tr>
      <w:tr w:rsidR="002C7497" w:rsidRPr="00742776" w14:paraId="19BB46D5" w14:textId="77777777" w:rsidTr="004F2994">
        <w:tc>
          <w:tcPr>
            <w:tcW w:w="1955" w:type="dxa"/>
          </w:tcPr>
          <w:p w14:paraId="2CDC7107" w14:textId="77777777" w:rsidR="004D69FF" w:rsidRPr="004F2994" w:rsidRDefault="004D69FF" w:rsidP="00613F84">
            <w:pPr>
              <w:spacing w:line="276" w:lineRule="auto"/>
              <w:rPr>
                <w:iCs/>
                <w:u w:val="single"/>
                <w:lang w:val="cs-CZ"/>
              </w:rPr>
            </w:pPr>
          </w:p>
        </w:tc>
        <w:tc>
          <w:tcPr>
            <w:tcW w:w="1955" w:type="dxa"/>
          </w:tcPr>
          <w:p w14:paraId="1FE8EEBD" w14:textId="77777777" w:rsidR="004D69FF" w:rsidRPr="004F2994" w:rsidRDefault="004D69FF" w:rsidP="00613F84">
            <w:pPr>
              <w:spacing w:line="276" w:lineRule="auto"/>
              <w:rPr>
                <w:lang w:val="cs-CZ"/>
              </w:rPr>
            </w:pPr>
          </w:p>
        </w:tc>
        <w:tc>
          <w:tcPr>
            <w:tcW w:w="1955" w:type="dxa"/>
          </w:tcPr>
          <w:p w14:paraId="461B904B" w14:textId="5DE44A8C" w:rsidR="004D69FF" w:rsidRPr="004F2994" w:rsidRDefault="002C7497" w:rsidP="00613F84">
            <w:pPr>
              <w:spacing w:line="276" w:lineRule="auto"/>
              <w:rPr>
                <w:lang w:val="cs-CZ"/>
              </w:rPr>
            </w:pPr>
            <w:r w:rsidRPr="004F2994">
              <w:rPr>
                <w:lang w:val="cs-CZ"/>
              </w:rPr>
              <w:t>bradykardia</w:t>
            </w:r>
          </w:p>
        </w:tc>
        <w:tc>
          <w:tcPr>
            <w:tcW w:w="1955" w:type="dxa"/>
          </w:tcPr>
          <w:p w14:paraId="2A7B599A" w14:textId="429511A8" w:rsidR="004D69FF" w:rsidRPr="004F2994" w:rsidRDefault="002C7497" w:rsidP="00613F84">
            <w:pPr>
              <w:spacing w:line="276" w:lineRule="auto"/>
              <w:rPr>
                <w:i/>
                <w:lang w:val="cs-CZ"/>
              </w:rPr>
            </w:pPr>
            <w:r w:rsidRPr="004F2994">
              <w:t>arytmia, depresia myokardu, zástava srdca (riziko sa zvyšuje pri vysokých dávkach alebo nezamýšľ</w:t>
            </w:r>
            <w:r w:rsidR="00D41170">
              <w:t>anej intravaskulárnej injekcii)</w:t>
            </w:r>
          </w:p>
        </w:tc>
        <w:tc>
          <w:tcPr>
            <w:tcW w:w="1956" w:type="dxa"/>
          </w:tcPr>
          <w:p w14:paraId="59291FF1" w14:textId="77777777" w:rsidR="004D69FF" w:rsidRPr="004F2994" w:rsidRDefault="004D69FF" w:rsidP="00613F84">
            <w:pPr>
              <w:spacing w:line="276" w:lineRule="auto"/>
              <w:rPr>
                <w:iCs/>
                <w:u w:val="single"/>
                <w:lang w:val="cs-CZ"/>
              </w:rPr>
            </w:pPr>
          </w:p>
        </w:tc>
      </w:tr>
      <w:tr w:rsidR="004D69FF" w:rsidRPr="00742776" w14:paraId="4A35E33D" w14:textId="77777777" w:rsidTr="00613F84">
        <w:tc>
          <w:tcPr>
            <w:tcW w:w="9776" w:type="dxa"/>
            <w:gridSpan w:val="5"/>
          </w:tcPr>
          <w:p w14:paraId="40990A88" w14:textId="797B4CA3" w:rsidR="004D69FF" w:rsidRPr="004F2994" w:rsidRDefault="002C7497" w:rsidP="00613F84">
            <w:pPr>
              <w:spacing w:line="276" w:lineRule="auto"/>
              <w:jc w:val="both"/>
              <w:rPr>
                <w:i/>
                <w:lang w:val="cs-CZ"/>
              </w:rPr>
            </w:pPr>
            <w:r w:rsidRPr="004F2994">
              <w:rPr>
                <w:i/>
                <w:lang w:val="cs-CZ"/>
              </w:rPr>
              <w:lastRenderedPageBreak/>
              <w:t>Poruchy ciev</w:t>
            </w:r>
          </w:p>
        </w:tc>
      </w:tr>
      <w:tr w:rsidR="002C7497" w:rsidRPr="00742776" w14:paraId="4B0FDFC1" w14:textId="77777777" w:rsidTr="004F2994">
        <w:tc>
          <w:tcPr>
            <w:tcW w:w="1955" w:type="dxa"/>
          </w:tcPr>
          <w:p w14:paraId="105B8137" w14:textId="4CBA03F2" w:rsidR="004D69FF" w:rsidRPr="004F2994" w:rsidRDefault="002C7497" w:rsidP="00613F84">
            <w:pPr>
              <w:spacing w:line="276" w:lineRule="auto"/>
              <w:jc w:val="both"/>
              <w:rPr>
                <w:iCs/>
                <w:u w:val="single"/>
                <w:lang w:val="cs-CZ"/>
              </w:rPr>
            </w:pPr>
            <w:r w:rsidRPr="004F2994">
              <w:rPr>
                <w:lang w:val="cs-CZ"/>
              </w:rPr>
              <w:t>hypotenzia</w:t>
            </w:r>
          </w:p>
        </w:tc>
        <w:tc>
          <w:tcPr>
            <w:tcW w:w="1955" w:type="dxa"/>
          </w:tcPr>
          <w:p w14:paraId="2178DD98" w14:textId="77777777" w:rsidR="004D69FF" w:rsidRPr="004F2994" w:rsidRDefault="004D69FF" w:rsidP="00613F84">
            <w:pPr>
              <w:spacing w:line="276" w:lineRule="auto"/>
              <w:jc w:val="both"/>
              <w:rPr>
                <w:lang w:val="cs-CZ"/>
              </w:rPr>
            </w:pPr>
          </w:p>
        </w:tc>
        <w:tc>
          <w:tcPr>
            <w:tcW w:w="1955" w:type="dxa"/>
          </w:tcPr>
          <w:p w14:paraId="34D9D60E" w14:textId="22CF6D34" w:rsidR="004D69FF" w:rsidRPr="004F2994" w:rsidRDefault="004D69FF" w:rsidP="003B11B3">
            <w:pPr>
              <w:spacing w:line="276" w:lineRule="auto"/>
              <w:rPr>
                <w:lang w:val="cs-CZ"/>
              </w:rPr>
            </w:pPr>
            <w:r w:rsidRPr="004F2994">
              <w:rPr>
                <w:lang w:val="cs-CZ"/>
              </w:rPr>
              <w:t>hypertenz</w:t>
            </w:r>
            <w:r w:rsidR="002C7497" w:rsidRPr="004F2994">
              <w:rPr>
                <w:lang w:val="cs-CZ"/>
              </w:rPr>
              <w:t>ia</w:t>
            </w:r>
            <w:r w:rsidR="003B11B3" w:rsidRPr="004F2994">
              <w:rPr>
                <w:lang w:val="cs-CZ"/>
              </w:rPr>
              <w:t>, hypotenzia z</w:t>
            </w:r>
            <w:r w:rsidRPr="004F2994">
              <w:rPr>
                <w:lang w:val="cs-CZ"/>
              </w:rPr>
              <w:t>horšená vysokými dávkami</w:t>
            </w:r>
          </w:p>
        </w:tc>
        <w:tc>
          <w:tcPr>
            <w:tcW w:w="1955" w:type="dxa"/>
          </w:tcPr>
          <w:p w14:paraId="23F595A7" w14:textId="77777777" w:rsidR="004D69FF" w:rsidRPr="004F2994" w:rsidRDefault="004D69FF" w:rsidP="00613F84">
            <w:pPr>
              <w:spacing w:line="276" w:lineRule="auto"/>
              <w:jc w:val="both"/>
              <w:rPr>
                <w:lang w:val="cs-CZ"/>
              </w:rPr>
            </w:pPr>
          </w:p>
        </w:tc>
        <w:tc>
          <w:tcPr>
            <w:tcW w:w="1956" w:type="dxa"/>
          </w:tcPr>
          <w:p w14:paraId="1F7AF4D9" w14:textId="77777777" w:rsidR="004D69FF" w:rsidRPr="004F2994" w:rsidRDefault="004D69FF" w:rsidP="00613F84">
            <w:pPr>
              <w:spacing w:line="276" w:lineRule="auto"/>
              <w:jc w:val="both"/>
              <w:rPr>
                <w:iCs/>
                <w:u w:val="single"/>
                <w:lang w:val="cs-CZ"/>
              </w:rPr>
            </w:pPr>
          </w:p>
        </w:tc>
      </w:tr>
      <w:tr w:rsidR="004D69FF" w:rsidRPr="00742776" w14:paraId="3586E0DF" w14:textId="77777777" w:rsidTr="00613F84">
        <w:tc>
          <w:tcPr>
            <w:tcW w:w="9776" w:type="dxa"/>
            <w:gridSpan w:val="5"/>
          </w:tcPr>
          <w:p w14:paraId="3B07CE6C" w14:textId="1E37601F" w:rsidR="004D69FF" w:rsidRPr="004F2994" w:rsidRDefault="003B11B3" w:rsidP="003B11B3">
            <w:pPr>
              <w:spacing w:line="276" w:lineRule="auto"/>
              <w:jc w:val="both"/>
              <w:rPr>
                <w:i/>
                <w:lang w:val="cs-CZ"/>
              </w:rPr>
            </w:pPr>
            <w:r w:rsidRPr="004F2994">
              <w:rPr>
                <w:i/>
                <w:lang w:val="cs-CZ"/>
              </w:rPr>
              <w:t xml:space="preserve">Poruchy dýchacej sústavy, hrudníka a </w:t>
            </w:r>
            <w:r w:rsidR="00D41170">
              <w:rPr>
                <w:i/>
                <w:lang w:val="cs-CZ"/>
              </w:rPr>
              <w:t>mediastina</w:t>
            </w:r>
          </w:p>
        </w:tc>
      </w:tr>
      <w:tr w:rsidR="002C7497" w:rsidRPr="00742776" w14:paraId="0E0F44D0" w14:textId="77777777" w:rsidTr="004F2994">
        <w:tc>
          <w:tcPr>
            <w:tcW w:w="1955" w:type="dxa"/>
          </w:tcPr>
          <w:p w14:paraId="126DAA79" w14:textId="77777777" w:rsidR="004D69FF" w:rsidRPr="004F2994" w:rsidRDefault="004D69FF" w:rsidP="00613F84">
            <w:pPr>
              <w:spacing w:line="276" w:lineRule="auto"/>
              <w:jc w:val="both"/>
              <w:rPr>
                <w:iCs/>
                <w:u w:val="single"/>
                <w:lang w:val="cs-CZ"/>
              </w:rPr>
            </w:pPr>
          </w:p>
        </w:tc>
        <w:tc>
          <w:tcPr>
            <w:tcW w:w="1955" w:type="dxa"/>
          </w:tcPr>
          <w:p w14:paraId="1431A72C" w14:textId="77777777" w:rsidR="004D69FF" w:rsidRPr="004F2994" w:rsidRDefault="004D69FF" w:rsidP="00613F84">
            <w:pPr>
              <w:spacing w:line="276" w:lineRule="auto"/>
              <w:jc w:val="both"/>
              <w:rPr>
                <w:lang w:val="cs-CZ"/>
              </w:rPr>
            </w:pPr>
          </w:p>
        </w:tc>
        <w:tc>
          <w:tcPr>
            <w:tcW w:w="1955" w:type="dxa"/>
          </w:tcPr>
          <w:p w14:paraId="4FE6F3D6" w14:textId="77777777" w:rsidR="004D69FF" w:rsidRPr="004F2994" w:rsidRDefault="004D69FF" w:rsidP="00613F84">
            <w:pPr>
              <w:spacing w:line="276" w:lineRule="auto"/>
              <w:jc w:val="both"/>
              <w:rPr>
                <w:lang w:val="cs-CZ"/>
              </w:rPr>
            </w:pPr>
          </w:p>
        </w:tc>
        <w:tc>
          <w:tcPr>
            <w:tcW w:w="1955" w:type="dxa"/>
          </w:tcPr>
          <w:p w14:paraId="6A254310" w14:textId="12D676FC" w:rsidR="004D69FF" w:rsidRPr="004F2994" w:rsidRDefault="003B11B3" w:rsidP="00613F84">
            <w:pPr>
              <w:spacing w:line="276" w:lineRule="auto"/>
              <w:jc w:val="both"/>
              <w:rPr>
                <w:lang w:val="cs-CZ"/>
              </w:rPr>
            </w:pPr>
            <w:r w:rsidRPr="004F2994">
              <w:rPr>
                <w:lang w:val="cs-CZ"/>
              </w:rPr>
              <w:t>dyspnoe</w:t>
            </w:r>
          </w:p>
        </w:tc>
        <w:tc>
          <w:tcPr>
            <w:tcW w:w="1956" w:type="dxa"/>
          </w:tcPr>
          <w:p w14:paraId="328AB35A" w14:textId="77777777" w:rsidR="004D69FF" w:rsidRPr="004F2994" w:rsidRDefault="004D69FF" w:rsidP="00613F84">
            <w:pPr>
              <w:spacing w:line="276" w:lineRule="auto"/>
              <w:jc w:val="both"/>
              <w:rPr>
                <w:iCs/>
                <w:u w:val="single"/>
                <w:lang w:val="cs-CZ"/>
              </w:rPr>
            </w:pPr>
          </w:p>
        </w:tc>
      </w:tr>
      <w:tr w:rsidR="004D69FF" w:rsidRPr="00742776" w14:paraId="0765A286" w14:textId="77777777" w:rsidTr="00613F84">
        <w:tc>
          <w:tcPr>
            <w:tcW w:w="9776" w:type="dxa"/>
            <w:gridSpan w:val="5"/>
          </w:tcPr>
          <w:p w14:paraId="7ACF8D1E" w14:textId="5F5DFD91" w:rsidR="004D69FF" w:rsidRPr="004F2994" w:rsidRDefault="003B11B3" w:rsidP="003B11B3">
            <w:pPr>
              <w:spacing w:line="276" w:lineRule="auto"/>
              <w:jc w:val="both"/>
              <w:rPr>
                <w:i/>
                <w:lang w:val="cs-CZ"/>
              </w:rPr>
            </w:pPr>
            <w:r w:rsidRPr="004F2994">
              <w:rPr>
                <w:i/>
                <w:lang w:val="cs-CZ"/>
              </w:rPr>
              <w:t>Poruchy g</w:t>
            </w:r>
            <w:r w:rsidR="004D69FF" w:rsidRPr="004F2994">
              <w:rPr>
                <w:i/>
                <w:lang w:val="cs-CZ"/>
              </w:rPr>
              <w:t>astrointestináln</w:t>
            </w:r>
            <w:r w:rsidRPr="004F2994">
              <w:rPr>
                <w:i/>
                <w:lang w:val="cs-CZ"/>
              </w:rPr>
              <w:t>eho traktu</w:t>
            </w:r>
          </w:p>
        </w:tc>
      </w:tr>
      <w:tr w:rsidR="002C7497" w:rsidRPr="00742776" w14:paraId="38E73935" w14:textId="77777777" w:rsidTr="004F2994">
        <w:tc>
          <w:tcPr>
            <w:tcW w:w="1955" w:type="dxa"/>
          </w:tcPr>
          <w:p w14:paraId="6118B470" w14:textId="4EA4C0AA" w:rsidR="004D69FF" w:rsidRPr="004F2994" w:rsidRDefault="003B11B3" w:rsidP="00613F84">
            <w:pPr>
              <w:spacing w:line="276" w:lineRule="auto"/>
              <w:jc w:val="both"/>
              <w:rPr>
                <w:iCs/>
                <w:u w:val="single"/>
                <w:lang w:val="cs-CZ"/>
              </w:rPr>
            </w:pPr>
            <w:r w:rsidRPr="004F2994">
              <w:rPr>
                <w:lang w:val="cs-CZ"/>
              </w:rPr>
              <w:t>n</w:t>
            </w:r>
            <w:r w:rsidR="004D69FF" w:rsidRPr="004F2994">
              <w:rPr>
                <w:lang w:val="cs-CZ"/>
              </w:rPr>
              <w:t>auzea</w:t>
            </w:r>
          </w:p>
        </w:tc>
        <w:tc>
          <w:tcPr>
            <w:tcW w:w="1955" w:type="dxa"/>
          </w:tcPr>
          <w:p w14:paraId="0BCF0AA7" w14:textId="6F985F4E" w:rsidR="004D69FF" w:rsidRPr="004F2994" w:rsidRDefault="003B11B3" w:rsidP="00613F84">
            <w:pPr>
              <w:spacing w:line="276" w:lineRule="auto"/>
              <w:jc w:val="both"/>
              <w:rPr>
                <w:lang w:val="cs-CZ"/>
              </w:rPr>
            </w:pPr>
            <w:r w:rsidRPr="004F2994">
              <w:rPr>
                <w:lang w:val="cs-CZ"/>
              </w:rPr>
              <w:t>vracanie</w:t>
            </w:r>
          </w:p>
        </w:tc>
        <w:tc>
          <w:tcPr>
            <w:tcW w:w="1955" w:type="dxa"/>
          </w:tcPr>
          <w:p w14:paraId="20D8539B" w14:textId="77777777" w:rsidR="004D69FF" w:rsidRPr="004F2994" w:rsidRDefault="004D69FF" w:rsidP="00613F84">
            <w:pPr>
              <w:spacing w:line="276" w:lineRule="auto"/>
              <w:jc w:val="both"/>
              <w:rPr>
                <w:lang w:val="cs-CZ"/>
              </w:rPr>
            </w:pPr>
          </w:p>
        </w:tc>
        <w:tc>
          <w:tcPr>
            <w:tcW w:w="1955" w:type="dxa"/>
          </w:tcPr>
          <w:p w14:paraId="260C17DC" w14:textId="77777777" w:rsidR="004D69FF" w:rsidRPr="004F2994" w:rsidRDefault="004D69FF" w:rsidP="00613F84">
            <w:pPr>
              <w:spacing w:line="276" w:lineRule="auto"/>
              <w:jc w:val="both"/>
              <w:rPr>
                <w:lang w:val="cs-CZ"/>
              </w:rPr>
            </w:pPr>
          </w:p>
        </w:tc>
        <w:tc>
          <w:tcPr>
            <w:tcW w:w="1956" w:type="dxa"/>
          </w:tcPr>
          <w:p w14:paraId="38FC0F64" w14:textId="77777777" w:rsidR="004D69FF" w:rsidRPr="004F2994" w:rsidRDefault="004D69FF" w:rsidP="00613F84">
            <w:pPr>
              <w:spacing w:line="276" w:lineRule="auto"/>
              <w:jc w:val="both"/>
              <w:rPr>
                <w:iCs/>
                <w:u w:val="single"/>
                <w:lang w:val="cs-CZ"/>
              </w:rPr>
            </w:pPr>
          </w:p>
        </w:tc>
      </w:tr>
    </w:tbl>
    <w:p w14:paraId="675A4160" w14:textId="77777777" w:rsidR="007B791D" w:rsidRPr="00C132F1" w:rsidRDefault="007B791D" w:rsidP="00827BC4">
      <w:pPr>
        <w:spacing w:line="240" w:lineRule="auto"/>
        <w:rPr>
          <w:i/>
        </w:rPr>
      </w:pPr>
    </w:p>
    <w:p w14:paraId="03828F3B" w14:textId="77777777" w:rsidR="00F8234D" w:rsidRPr="00434F5F" w:rsidRDefault="00F8234D" w:rsidP="00827BC4">
      <w:pPr>
        <w:autoSpaceDE w:val="0"/>
        <w:autoSpaceDN w:val="0"/>
        <w:adjustRightInd w:val="0"/>
        <w:spacing w:line="240" w:lineRule="auto"/>
        <w:rPr>
          <w:b/>
          <w:bCs/>
          <w:u w:val="single"/>
        </w:rPr>
      </w:pPr>
      <w:r>
        <w:rPr>
          <w:b/>
          <w:bCs/>
          <w:u w:val="single"/>
        </w:rPr>
        <w:t>Hlásenie podozrení na nežiaduce reakcie</w:t>
      </w:r>
    </w:p>
    <w:p w14:paraId="792CD57B" w14:textId="6ADEBBD1" w:rsidR="00F8234D" w:rsidRPr="00C132F1" w:rsidRDefault="00F8234D" w:rsidP="00827BC4">
      <w:pPr>
        <w:autoSpaceDE w:val="0"/>
        <w:autoSpaceDN w:val="0"/>
        <w:adjustRightInd w:val="0"/>
        <w:spacing w:line="240" w:lineRule="auto"/>
        <w:rPr>
          <w:bCs/>
        </w:rPr>
      </w:pPr>
      <w:r>
        <w:rPr>
          <w:bCs/>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3B11B3">
        <w:rPr>
          <w:bCs/>
          <w:highlight w:val="lightGray"/>
        </w:rPr>
        <w:t xml:space="preserve">národné centrum hlásenia uvedené v </w:t>
      </w:r>
      <w:hyperlink r:id="rId8" w:history="1">
        <w:r w:rsidR="003B11B3" w:rsidRPr="003B11B3">
          <w:rPr>
            <w:rStyle w:val="Hypertextovprepojenie1"/>
            <w:highlight w:val="lightGray"/>
          </w:rPr>
          <w:t>Prílohe V</w:t>
        </w:r>
      </w:hyperlink>
      <w:r w:rsidR="003B11B3" w:rsidRPr="00502EF9">
        <w:rPr>
          <w:bCs/>
        </w:rPr>
        <w:t>.</w:t>
      </w:r>
    </w:p>
    <w:p w14:paraId="45068FCE" w14:textId="77777777" w:rsidR="00F8234D" w:rsidRPr="00434F5F" w:rsidRDefault="00F8234D" w:rsidP="00827BC4">
      <w:pPr>
        <w:autoSpaceDE w:val="0"/>
        <w:autoSpaceDN w:val="0"/>
        <w:adjustRightInd w:val="0"/>
        <w:spacing w:line="240" w:lineRule="auto"/>
        <w:rPr>
          <w:b/>
          <w:bCs/>
        </w:rPr>
      </w:pPr>
    </w:p>
    <w:p w14:paraId="27C7AFCC" w14:textId="06C6D3C0" w:rsidR="00281402" w:rsidRPr="00434F5F" w:rsidRDefault="00281402" w:rsidP="00827BC4">
      <w:pPr>
        <w:autoSpaceDE w:val="0"/>
        <w:autoSpaceDN w:val="0"/>
        <w:adjustRightInd w:val="0"/>
        <w:spacing w:line="240" w:lineRule="auto"/>
      </w:pPr>
      <w:r>
        <w:rPr>
          <w:b/>
          <w:bCs/>
        </w:rPr>
        <w:t xml:space="preserve">4.9 </w:t>
      </w:r>
      <w:r w:rsidR="00827BC4">
        <w:rPr>
          <w:b/>
          <w:bCs/>
        </w:rPr>
        <w:tab/>
      </w:r>
      <w:r>
        <w:rPr>
          <w:b/>
          <w:bCs/>
        </w:rPr>
        <w:t>Predávkovanie</w:t>
      </w:r>
    </w:p>
    <w:p w14:paraId="14B61F54" w14:textId="77777777" w:rsidR="00827BC4" w:rsidRDefault="00827BC4" w:rsidP="00827BC4">
      <w:pPr>
        <w:spacing w:line="240" w:lineRule="auto"/>
      </w:pPr>
    </w:p>
    <w:p w14:paraId="32AFF668" w14:textId="1F5BE326" w:rsidR="00281402" w:rsidRPr="00C132F1" w:rsidRDefault="00281402" w:rsidP="00827BC4">
      <w:pPr>
        <w:spacing w:line="240" w:lineRule="auto"/>
      </w:pPr>
      <w:r>
        <w:t xml:space="preserve">Je nepravdepodobné, že </w:t>
      </w:r>
      <w:r w:rsidR="003B11B3">
        <w:t>Ampres 20 mg/ml</w:t>
      </w:r>
      <w:r>
        <w:t xml:space="preserve"> pri odporúčanom dávkovaní perineurálnym podaním vyvolá plazmatické hladiny, ktoré </w:t>
      </w:r>
      <w:r w:rsidR="003B11B3">
        <w:t>môžu</w:t>
      </w:r>
      <w:r>
        <w:t xml:space="preserve"> vyvolať systémovú toxicitu (pozri časť 5.2).</w:t>
      </w:r>
    </w:p>
    <w:p w14:paraId="238CD0B2" w14:textId="77777777" w:rsidR="00CE16A6" w:rsidRPr="00C132F1" w:rsidRDefault="00CE16A6" w:rsidP="00827BC4">
      <w:pPr>
        <w:spacing w:line="240" w:lineRule="auto"/>
      </w:pPr>
    </w:p>
    <w:p w14:paraId="6C2EF921" w14:textId="77777777" w:rsidR="00281402" w:rsidRPr="00C132F1" w:rsidRDefault="00281402" w:rsidP="00827BC4">
      <w:pPr>
        <w:spacing w:line="240" w:lineRule="auto"/>
        <w:rPr>
          <w:i/>
          <w:iCs/>
        </w:rPr>
      </w:pPr>
      <w:r>
        <w:rPr>
          <w:i/>
          <w:iCs/>
        </w:rPr>
        <w:t>Akútna systémová toxicita</w:t>
      </w:r>
    </w:p>
    <w:p w14:paraId="6118573B" w14:textId="77777777" w:rsidR="00281402" w:rsidRPr="00C132F1" w:rsidRDefault="00281402" w:rsidP="00827BC4">
      <w:pPr>
        <w:spacing w:line="240" w:lineRule="auto"/>
      </w:pPr>
      <w:r>
        <w:t>Systémové nežiaduce účinky sú metodologického (v dôsledku používania), farmakodynamického alebo farmakokinetického pôvodu a týkajú sa centrálneho nervového systému a kardiocirkulačného systému.</w:t>
      </w:r>
    </w:p>
    <w:p w14:paraId="7DD7502A" w14:textId="77777777" w:rsidR="00281402" w:rsidRPr="00C132F1" w:rsidRDefault="00281402" w:rsidP="00827BC4">
      <w:pPr>
        <w:spacing w:line="240" w:lineRule="auto"/>
      </w:pPr>
      <w:r>
        <w:t>Iatrogénne nežiaduce účinky sa vyskytujú:</w:t>
      </w:r>
    </w:p>
    <w:p w14:paraId="482B6460" w14:textId="77777777" w:rsidR="00281402" w:rsidRPr="00C132F1" w:rsidRDefault="00281402" w:rsidP="00F61B57">
      <w:pPr>
        <w:numPr>
          <w:ilvl w:val="0"/>
          <w:numId w:val="43"/>
        </w:numPr>
        <w:tabs>
          <w:tab w:val="clear" w:pos="567"/>
          <w:tab w:val="num" w:pos="570"/>
        </w:tabs>
        <w:spacing w:line="240" w:lineRule="auto"/>
        <w:ind w:left="511" w:hanging="511"/>
      </w:pPr>
      <w:r>
        <w:t>po injekčnom podaní nadmerného množstva roztoku,</w:t>
      </w:r>
    </w:p>
    <w:p w14:paraId="2CE31C13" w14:textId="19697460" w:rsidR="00D3382A" w:rsidRPr="00C132F1" w:rsidRDefault="00281402" w:rsidP="00F61B57">
      <w:pPr>
        <w:numPr>
          <w:ilvl w:val="0"/>
          <w:numId w:val="43"/>
        </w:numPr>
        <w:tabs>
          <w:tab w:val="clear" w:pos="567"/>
          <w:tab w:val="num" w:pos="570"/>
        </w:tabs>
        <w:spacing w:line="240" w:lineRule="auto"/>
        <w:ind w:left="511" w:hanging="511"/>
      </w:pPr>
      <w:r>
        <w:t>pri náhodnom injekčnom podaní do cievy</w:t>
      </w:r>
      <w:r w:rsidR="00E71D9F">
        <w:t>.</w:t>
      </w:r>
    </w:p>
    <w:p w14:paraId="516B4BEB" w14:textId="77777777" w:rsidR="00D41170" w:rsidRDefault="00D41170" w:rsidP="00827BC4">
      <w:pPr>
        <w:spacing w:line="240" w:lineRule="auto"/>
      </w:pPr>
    </w:p>
    <w:p w14:paraId="52A33159" w14:textId="3546A975" w:rsidR="00281402" w:rsidRPr="00C132F1" w:rsidRDefault="00373100" w:rsidP="00827BC4">
      <w:pPr>
        <w:spacing w:line="240" w:lineRule="auto"/>
      </w:pPr>
      <w:r w:rsidRPr="00373100">
        <w:t>V prípade náhodného intravenózneho podania sa toxi</w:t>
      </w:r>
      <w:r w:rsidR="00F61B57">
        <w:t>cký účinok vyskytne do 1 minúty</w:t>
      </w:r>
      <w:r w:rsidR="00281402">
        <w:t xml:space="preserve">. </w:t>
      </w:r>
      <w:r w:rsidR="00D41170">
        <w:t>Intravenózna hodnota LD</w:t>
      </w:r>
      <w:r w:rsidR="008571CA">
        <w:t xml:space="preserve">50 </w:t>
      </w:r>
      <w:r w:rsidR="00281402">
        <w:t>chlórprokaín</w:t>
      </w:r>
      <w:r w:rsidR="00F61B57">
        <w:t>ium-chlori</w:t>
      </w:r>
      <w:r w:rsidR="008571CA">
        <w:t>d</w:t>
      </w:r>
      <w:r w:rsidR="00F61B57">
        <w:t>u</w:t>
      </w:r>
      <w:r w:rsidR="00281402">
        <w:t xml:space="preserve"> </w:t>
      </w:r>
      <w:r w:rsidR="008571CA">
        <w:t xml:space="preserve">je u myší </w:t>
      </w:r>
      <w:r w:rsidR="00281402">
        <w:t>97 mg/kg</w:t>
      </w:r>
      <w:r w:rsidR="008571CA">
        <w:t>, u morčiat 65 mg/kg a</w:t>
      </w:r>
      <w:r w:rsidR="008571CA" w:rsidRPr="00315A21">
        <w:rPr>
          <w:lang w:val="cs-CZ"/>
        </w:rPr>
        <w:t xml:space="preserve"> &lt;30 mg/kg</w:t>
      </w:r>
      <w:r w:rsidR="008571CA">
        <w:t xml:space="preserve"> u psov, čo zodpovedá v danom poradí ekvivalentným dávkam u ľudí 7,9 mg/kg, 14,1 mg/kg a </w:t>
      </w:r>
      <w:r w:rsidR="008571CA" w:rsidRPr="00315A21">
        <w:rPr>
          <w:lang w:val="cs-CZ"/>
        </w:rPr>
        <w:t>&lt;</w:t>
      </w:r>
      <w:r w:rsidR="008571CA">
        <w:rPr>
          <w:lang w:val="cs-CZ"/>
        </w:rPr>
        <w:t xml:space="preserve">16,7 </w:t>
      </w:r>
      <w:r w:rsidR="008571CA" w:rsidRPr="00315A21">
        <w:rPr>
          <w:lang w:val="cs-CZ"/>
        </w:rPr>
        <w:t>mg/kg</w:t>
      </w:r>
      <w:r w:rsidR="008571CA">
        <w:rPr>
          <w:lang w:val="cs-CZ"/>
        </w:rPr>
        <w:t>.</w:t>
      </w:r>
      <w:r w:rsidR="008571CA">
        <w:t xml:space="preserve"> S</w:t>
      </w:r>
      <w:r w:rsidR="00281402">
        <w:t>ubkutánna hodnota LD50 chlórprokaín</w:t>
      </w:r>
      <w:r w:rsidR="00F61B57">
        <w:t>ium-chloridu</w:t>
      </w:r>
      <w:r w:rsidR="00281402">
        <w:t xml:space="preserve"> je </w:t>
      </w:r>
      <w:r w:rsidR="008571CA">
        <w:t xml:space="preserve">u myší </w:t>
      </w:r>
      <w:r w:rsidR="00281402">
        <w:t>950 mg/kg</w:t>
      </w:r>
      <w:r w:rsidR="008571CA">
        <w:t>, čo zodpovedá ekvivalentnej dávke u ľudí 77,2 mg/kg</w:t>
      </w:r>
      <w:r w:rsidR="00281402">
        <w:t>.</w:t>
      </w:r>
    </w:p>
    <w:p w14:paraId="59A911DA" w14:textId="77777777" w:rsidR="00281402" w:rsidRPr="00C132F1" w:rsidRDefault="00281402" w:rsidP="00827BC4">
      <w:pPr>
        <w:spacing w:line="240" w:lineRule="auto"/>
      </w:pPr>
      <w:r>
        <w:t>Príznaky predávkovania sa môžu rozdeliť do dvoch rôznych skupín symptómov, ktoré sa líšia z hľadiska kvality a intenzity:</w:t>
      </w:r>
    </w:p>
    <w:p w14:paraId="461EAEF6" w14:textId="77777777" w:rsidR="00CE16A6" w:rsidRPr="00C132F1" w:rsidRDefault="00CE16A6" w:rsidP="00827BC4">
      <w:pPr>
        <w:spacing w:line="240" w:lineRule="auto"/>
      </w:pPr>
    </w:p>
    <w:p w14:paraId="222AFA3F" w14:textId="2E06547C" w:rsidR="00281402" w:rsidRPr="00C132F1" w:rsidRDefault="00281402" w:rsidP="00827BC4">
      <w:pPr>
        <w:spacing w:line="240" w:lineRule="auto"/>
        <w:rPr>
          <w:i/>
          <w:iCs/>
        </w:rPr>
      </w:pPr>
      <w:r>
        <w:rPr>
          <w:i/>
          <w:iCs/>
        </w:rPr>
        <w:t>Symptómy ovplyvňujúce centrálny nervový systém</w:t>
      </w:r>
    </w:p>
    <w:p w14:paraId="65CF056C" w14:textId="438D375C" w:rsidR="00281402" w:rsidRPr="00C132F1" w:rsidRDefault="00281402" w:rsidP="00827BC4">
      <w:pPr>
        <w:spacing w:line="240" w:lineRule="auto"/>
      </w:pPr>
      <w:r>
        <w:t xml:space="preserve">Medzi prvé symptómy zvyčajne patrí parestézia v oblasti úst, pocit znecitlivenia jazyka, pocit omámenia, problémy so sluchom a tinitus. Problémy so zrakom a svalové kontrakcie sú závažnejšie a predchádzajú generalizovanému kŕču. Tieto </w:t>
      </w:r>
      <w:r w:rsidR="000A78E7" w:rsidRPr="003A2345">
        <w:t>prejavy</w:t>
      </w:r>
      <w:r>
        <w:t xml:space="preserve"> sa nesmú chybne zameniť za neurotické správanie. Následne sa môže vyskytnúť strata vedomia a tonicko-klonické záchvaty, ktoré trvajú zvyčajne niekoľko sekúnd až minút. Po kŕčoch sa okamžite vyskytne hypoxia a zvýšené hladiny oxidu uhličitého v krvi (hyperkapnia), čo možno pripísať zvýšenej svalovej aktivite spojenej s dýchacími problémami. V závažných prípadoch môže dôjsť k zástave dýchania. Acidóza a/alebo hypoxia potenc</w:t>
      </w:r>
      <w:r w:rsidR="004F2994">
        <w:t>i</w:t>
      </w:r>
      <w:r>
        <w:t>ujú toxické účinky lokálnych anestetík.</w:t>
      </w:r>
    </w:p>
    <w:p w14:paraId="520FE576" w14:textId="13EF5194" w:rsidR="00281402" w:rsidRPr="00C132F1" w:rsidRDefault="00281402" w:rsidP="00827BC4">
      <w:pPr>
        <w:spacing w:line="240" w:lineRule="auto"/>
      </w:pPr>
      <w:r>
        <w:t xml:space="preserve">Zmiernenie alebo zlepšenie symptómov ovplyvňujúcich centrálny nervový systém </w:t>
      </w:r>
      <w:r w:rsidR="008835D5">
        <w:t xml:space="preserve">je </w:t>
      </w:r>
      <w:r>
        <w:t>možno pripísať redistribúcii lokálneho anestetika mimo CNS, s následným metabolizovaním a vylučovaním. Pokiaľ neboli použité veľké množstvá, regresia môže byť rýchla.</w:t>
      </w:r>
    </w:p>
    <w:p w14:paraId="46E2C8EB" w14:textId="77777777" w:rsidR="00CE16A6" w:rsidRPr="00C132F1" w:rsidRDefault="00CE16A6" w:rsidP="00827BC4">
      <w:pPr>
        <w:spacing w:line="240" w:lineRule="auto"/>
      </w:pPr>
    </w:p>
    <w:p w14:paraId="0542AC2D" w14:textId="43E3F655" w:rsidR="00281402" w:rsidRPr="00C132F1" w:rsidRDefault="00281402" w:rsidP="00827BC4">
      <w:pPr>
        <w:spacing w:line="240" w:lineRule="auto"/>
        <w:rPr>
          <w:i/>
          <w:iCs/>
        </w:rPr>
      </w:pPr>
      <w:r>
        <w:rPr>
          <w:i/>
          <w:iCs/>
        </w:rPr>
        <w:t>Kardiovaskulárne symptómy</w:t>
      </w:r>
    </w:p>
    <w:p w14:paraId="69D3F4CA" w14:textId="77777777" w:rsidR="00281402" w:rsidRPr="00C132F1" w:rsidRDefault="00281402" w:rsidP="00827BC4">
      <w:pPr>
        <w:spacing w:line="240" w:lineRule="auto"/>
      </w:pPr>
      <w:r>
        <w:t>V závažných prípadoch môže dôjsť k výskytu kardiovaskulárnej toxicity. Pri vysokej systémovej koncentrácii lokálnych anestetík sa môže vyskytnúť hypotenzia, bradykardia, arytmia a tiež zástava srdca.</w:t>
      </w:r>
    </w:p>
    <w:p w14:paraId="0362DD4D" w14:textId="1B91A05D" w:rsidR="00281402" w:rsidRPr="00C132F1" w:rsidRDefault="00281402" w:rsidP="00827BC4">
      <w:pPr>
        <w:spacing w:line="240" w:lineRule="auto"/>
      </w:pPr>
      <w:r>
        <w:lastRenderedPageBreak/>
        <w:t xml:space="preserve">Prvé </w:t>
      </w:r>
      <w:r w:rsidR="000A78E7" w:rsidRPr="003A2345">
        <w:t>prejavy</w:t>
      </w:r>
      <w:bookmarkStart w:id="2" w:name="_GoBack"/>
      <w:bookmarkEnd w:id="2"/>
      <w:r>
        <w:t xml:space="preserve"> toxických symptómov ovplyvňujúcich centrálny nervový systém zvyčajne predchádzajú toxickým kardiovaskulárnym účinkom. Toto tvrdenie neplatí, ak je pacient v celkovej anestézii alebo pod silnými sedatívami, ako je napr. benzodiazepín alebo barbituráty.</w:t>
      </w:r>
    </w:p>
    <w:p w14:paraId="02D08661" w14:textId="77777777" w:rsidR="00CE16A6" w:rsidRPr="00C132F1" w:rsidRDefault="00CE16A6" w:rsidP="00827BC4">
      <w:pPr>
        <w:spacing w:line="240" w:lineRule="auto"/>
      </w:pPr>
    </w:p>
    <w:p w14:paraId="14BFDB95" w14:textId="77777777" w:rsidR="00281402" w:rsidRPr="00C132F1" w:rsidRDefault="00281402" w:rsidP="00827BC4">
      <w:pPr>
        <w:spacing w:line="240" w:lineRule="auto"/>
        <w:rPr>
          <w:i/>
          <w:iCs/>
        </w:rPr>
      </w:pPr>
      <w:r>
        <w:rPr>
          <w:i/>
          <w:iCs/>
        </w:rPr>
        <w:t>Liečba akútnej systémovej toxicity</w:t>
      </w:r>
    </w:p>
    <w:p w14:paraId="1F579A48" w14:textId="77777777" w:rsidR="00281402" w:rsidRPr="00C132F1" w:rsidRDefault="00281402" w:rsidP="00827BC4">
      <w:pPr>
        <w:spacing w:line="240" w:lineRule="auto"/>
      </w:pPr>
      <w:r>
        <w:t>Okamžite sa musia vykonať nasledujúce opatrenia:</w:t>
      </w:r>
    </w:p>
    <w:p w14:paraId="7EC67AA5" w14:textId="4A0C9F20" w:rsidR="00281402" w:rsidRPr="00C132F1" w:rsidRDefault="00FF5B8B" w:rsidP="00827BC4">
      <w:pPr>
        <w:numPr>
          <w:ilvl w:val="0"/>
          <w:numId w:val="44"/>
        </w:numPr>
        <w:tabs>
          <w:tab w:val="clear" w:pos="567"/>
          <w:tab w:val="num" w:pos="570"/>
        </w:tabs>
        <w:spacing w:line="240" w:lineRule="auto"/>
        <w:ind w:left="511"/>
      </w:pPr>
      <w:r>
        <w:t xml:space="preserve">Podávanie </w:t>
      </w:r>
      <w:r w:rsidR="00A459DA">
        <w:t>Ampresu 20 mg/ml</w:t>
      </w:r>
      <w:r>
        <w:t xml:space="preserve"> sa musí zastaviť.</w:t>
      </w:r>
    </w:p>
    <w:p w14:paraId="1F5BF884" w14:textId="0F3EC9D1" w:rsidR="00281402" w:rsidRPr="00C132F1" w:rsidRDefault="00FF5B8B" w:rsidP="00827BC4">
      <w:pPr>
        <w:numPr>
          <w:ilvl w:val="0"/>
          <w:numId w:val="44"/>
        </w:numPr>
        <w:tabs>
          <w:tab w:val="clear" w:pos="567"/>
          <w:tab w:val="num" w:pos="570"/>
        </w:tabs>
        <w:spacing w:line="240" w:lineRule="auto"/>
        <w:ind w:left="511"/>
      </w:pPr>
      <w:r>
        <w:t>Musí sa zabezpečiť adekvátny prísun kyslíka: dýchacie cesty sa ma</w:t>
      </w:r>
      <w:r w:rsidR="00C735EA">
        <w:t>jú</w:t>
      </w:r>
      <w:r>
        <w:t xml:space="preserve"> udržiavať priechodné, m</w:t>
      </w:r>
      <w:r w:rsidR="00C735EA">
        <w:t>á</w:t>
      </w:r>
      <w:r>
        <w:t xml:space="preserve"> sa podávať O</w:t>
      </w:r>
      <w:r>
        <w:rPr>
          <w:vertAlign w:val="subscript"/>
        </w:rPr>
        <w:t xml:space="preserve">2 </w:t>
      </w:r>
      <w:r>
        <w:t>a v prípade potreby zaistiť umelá pľúcna ventilácia (intubácia).</w:t>
      </w:r>
    </w:p>
    <w:p w14:paraId="26599B13" w14:textId="77777777" w:rsidR="00281402" w:rsidRPr="00C132F1" w:rsidRDefault="00281402" w:rsidP="00827BC4">
      <w:pPr>
        <w:numPr>
          <w:ilvl w:val="0"/>
          <w:numId w:val="44"/>
        </w:numPr>
        <w:tabs>
          <w:tab w:val="clear" w:pos="567"/>
          <w:tab w:val="num" w:pos="570"/>
        </w:tabs>
        <w:spacing w:line="240" w:lineRule="auto"/>
        <w:ind w:left="511"/>
      </w:pPr>
      <w:r>
        <w:t>V prípade kardiovaskulárnej depresie je potrebné stabilizovať krvný obeh.</w:t>
      </w:r>
    </w:p>
    <w:p w14:paraId="569EE771" w14:textId="4165BD4C" w:rsidR="00281402" w:rsidRPr="00C132F1" w:rsidRDefault="00281402" w:rsidP="00827BC4">
      <w:pPr>
        <w:spacing w:line="240" w:lineRule="auto"/>
      </w:pPr>
      <w:r>
        <w:t xml:space="preserve">Ak sa vyskytnú kŕče a spontánne </w:t>
      </w:r>
      <w:r w:rsidR="00582E80" w:rsidRPr="00502EF9">
        <w:t>nevymiznú</w:t>
      </w:r>
      <w:r w:rsidR="00582E80">
        <w:t xml:space="preserve"> </w:t>
      </w:r>
      <w:r>
        <w:t>po 15 – 20 sekundách, odporúča sa podať intravenózne antikonvulzívum.</w:t>
      </w:r>
    </w:p>
    <w:p w14:paraId="2921B517" w14:textId="2BEABC9F" w:rsidR="00281402" w:rsidRPr="00C132F1" w:rsidRDefault="00281402" w:rsidP="00827BC4">
      <w:pPr>
        <w:spacing w:line="240" w:lineRule="auto"/>
      </w:pPr>
      <w:r>
        <w:t xml:space="preserve">V prípade intoxikácie spôsobenej lokálnymi anestetikami sú </w:t>
      </w:r>
      <w:r w:rsidR="00A459DA">
        <w:t>a</w:t>
      </w:r>
      <w:r>
        <w:t>naleptiká s centrálnym účinkom</w:t>
      </w:r>
      <w:r w:rsidR="00A459DA">
        <w:t xml:space="preserve"> kontraindikované</w:t>
      </w:r>
      <w:r>
        <w:t>!</w:t>
      </w:r>
    </w:p>
    <w:p w14:paraId="0D2D016F" w14:textId="77777777" w:rsidR="00281402" w:rsidRPr="00C132F1" w:rsidRDefault="00281402" w:rsidP="00827BC4">
      <w:pPr>
        <w:spacing w:line="240" w:lineRule="auto"/>
      </w:pPr>
      <w:r>
        <w:t>V prípade závažných komplikácií je vhodné pri liečbe pacienta požiadať o pomoc lekára, ktorý sa špecializuje na urgentnú medicínu a resuscitáciu (napr. anestéziológ).</w:t>
      </w:r>
    </w:p>
    <w:p w14:paraId="129CBD25" w14:textId="563C5CFD" w:rsidR="000918F3" w:rsidRPr="00C132F1" w:rsidRDefault="000918F3" w:rsidP="00827BC4">
      <w:pPr>
        <w:spacing w:line="240" w:lineRule="auto"/>
      </w:pPr>
      <w:r>
        <w:t>Pacientom s</w:t>
      </w:r>
      <w:r w:rsidR="00A459DA">
        <w:t> </w:t>
      </w:r>
      <w:r>
        <w:t>genetick</w:t>
      </w:r>
      <w:r w:rsidR="00A459DA">
        <w:t>ým deficitom</w:t>
      </w:r>
      <w:r>
        <w:t xml:space="preserve"> plazmatickej cholinesterázy sa m</w:t>
      </w:r>
      <w:r w:rsidR="00C735EA">
        <w:t>ôže</w:t>
      </w:r>
      <w:r>
        <w:t xml:space="preserve"> </w:t>
      </w:r>
      <w:r w:rsidR="00A459DA">
        <w:t xml:space="preserve">intravenózne </w:t>
      </w:r>
      <w:r>
        <w:t>podať lipidový roztok.</w:t>
      </w:r>
    </w:p>
    <w:p w14:paraId="2210E24D" w14:textId="77777777" w:rsidR="00281402" w:rsidRDefault="00281402" w:rsidP="00827BC4">
      <w:pPr>
        <w:spacing w:line="240" w:lineRule="auto"/>
        <w:rPr>
          <w:noProof/>
        </w:rPr>
      </w:pPr>
    </w:p>
    <w:p w14:paraId="13CC4C92" w14:textId="77777777" w:rsidR="00C132F1" w:rsidRPr="00C132F1" w:rsidRDefault="00C132F1" w:rsidP="00827BC4">
      <w:pPr>
        <w:spacing w:line="240" w:lineRule="auto"/>
        <w:rPr>
          <w:noProof/>
        </w:rPr>
      </w:pPr>
    </w:p>
    <w:p w14:paraId="7CC65DBD" w14:textId="29DCA44C" w:rsidR="00281402" w:rsidRPr="00434F5F" w:rsidRDefault="00281402" w:rsidP="00827BC4">
      <w:pPr>
        <w:autoSpaceDE w:val="0"/>
        <w:autoSpaceDN w:val="0"/>
        <w:adjustRightInd w:val="0"/>
        <w:spacing w:line="240" w:lineRule="auto"/>
      </w:pPr>
      <w:r>
        <w:rPr>
          <w:b/>
          <w:bCs/>
        </w:rPr>
        <w:t xml:space="preserve">5. </w:t>
      </w:r>
      <w:r w:rsidR="00827BC4">
        <w:rPr>
          <w:b/>
          <w:bCs/>
        </w:rPr>
        <w:tab/>
      </w:r>
      <w:r>
        <w:rPr>
          <w:b/>
          <w:bCs/>
        </w:rPr>
        <w:t>FARMAKOLOGICKÉ VLASTNOSTI</w:t>
      </w:r>
    </w:p>
    <w:p w14:paraId="27236A4D" w14:textId="77777777" w:rsidR="00827BC4" w:rsidRDefault="00827BC4" w:rsidP="00827BC4">
      <w:pPr>
        <w:autoSpaceDE w:val="0"/>
        <w:autoSpaceDN w:val="0"/>
        <w:adjustRightInd w:val="0"/>
        <w:spacing w:line="240" w:lineRule="auto"/>
        <w:rPr>
          <w:b/>
          <w:bCs/>
        </w:rPr>
      </w:pPr>
    </w:p>
    <w:p w14:paraId="61071D96" w14:textId="1097B5BA" w:rsidR="00281402" w:rsidRPr="00434F5F" w:rsidRDefault="00281402" w:rsidP="00827BC4">
      <w:pPr>
        <w:autoSpaceDE w:val="0"/>
        <w:autoSpaceDN w:val="0"/>
        <w:adjustRightInd w:val="0"/>
        <w:spacing w:line="240" w:lineRule="auto"/>
      </w:pPr>
      <w:r>
        <w:rPr>
          <w:b/>
          <w:bCs/>
        </w:rPr>
        <w:t xml:space="preserve">5.1 </w:t>
      </w:r>
      <w:r w:rsidR="00827BC4">
        <w:rPr>
          <w:b/>
          <w:bCs/>
        </w:rPr>
        <w:tab/>
      </w:r>
      <w:r>
        <w:rPr>
          <w:b/>
          <w:bCs/>
        </w:rPr>
        <w:t>Farmakodynamické vlastnosti</w:t>
      </w:r>
    </w:p>
    <w:p w14:paraId="14B1DBA0" w14:textId="77777777" w:rsidR="00827BC4" w:rsidRDefault="00827BC4" w:rsidP="00827BC4">
      <w:pPr>
        <w:spacing w:line="240" w:lineRule="auto"/>
        <w:outlineLvl w:val="0"/>
      </w:pPr>
    </w:p>
    <w:p w14:paraId="6906DC21" w14:textId="4714CB45" w:rsidR="00321C0F" w:rsidRPr="00C132F1" w:rsidRDefault="00281402" w:rsidP="00827BC4">
      <w:pPr>
        <w:spacing w:line="240" w:lineRule="auto"/>
        <w:outlineLvl w:val="0"/>
        <w:rPr>
          <w:noProof/>
        </w:rPr>
      </w:pPr>
      <w:r>
        <w:t>Farmakoterapeutická skupina</w:t>
      </w:r>
      <w:r>
        <w:rPr>
          <w:noProof/>
        </w:rPr>
        <w:t xml:space="preserve">: </w:t>
      </w:r>
      <w:r w:rsidR="00A459DA">
        <w:rPr>
          <w:noProof/>
        </w:rPr>
        <w:t xml:space="preserve">lokálne </w:t>
      </w:r>
      <w:r>
        <w:t>anestetiká, estery kyseliny aminobenzoovej</w:t>
      </w:r>
    </w:p>
    <w:p w14:paraId="4737D99F" w14:textId="77777777" w:rsidR="00281402" w:rsidRPr="00434F5F" w:rsidRDefault="00281402" w:rsidP="00827BC4">
      <w:pPr>
        <w:pStyle w:val="CM12"/>
        <w:spacing w:after="0"/>
        <w:rPr>
          <w:rFonts w:ascii="Times New Roman" w:hAnsi="Times New Roman" w:cs="Times New Roman"/>
          <w:sz w:val="22"/>
          <w:szCs w:val="22"/>
        </w:rPr>
      </w:pPr>
      <w:r>
        <w:rPr>
          <w:rFonts w:ascii="Times New Roman" w:hAnsi="Times New Roman" w:cs="Times New Roman"/>
          <w:sz w:val="22"/>
          <w:szCs w:val="22"/>
        </w:rPr>
        <w:t>ATC kód: N01BA04</w:t>
      </w:r>
    </w:p>
    <w:p w14:paraId="06433FD4" w14:textId="77777777" w:rsidR="00827BC4" w:rsidRDefault="00827BC4" w:rsidP="00827BC4">
      <w:pPr>
        <w:pStyle w:val="CM12"/>
        <w:spacing w:after="0"/>
        <w:rPr>
          <w:rFonts w:ascii="Times New Roman" w:hAnsi="Times New Roman" w:cs="Times New Roman"/>
          <w:sz w:val="22"/>
          <w:szCs w:val="22"/>
        </w:rPr>
      </w:pPr>
    </w:p>
    <w:p w14:paraId="44A4775D" w14:textId="77777777" w:rsidR="00D27FC5" w:rsidRPr="00434F5F" w:rsidRDefault="00D27FC5" w:rsidP="00827BC4">
      <w:pPr>
        <w:pStyle w:val="CM12"/>
        <w:spacing w:after="0"/>
        <w:rPr>
          <w:rFonts w:ascii="Times New Roman" w:hAnsi="Times New Roman" w:cs="Times New Roman"/>
          <w:sz w:val="22"/>
          <w:szCs w:val="22"/>
        </w:rPr>
      </w:pPr>
      <w:r>
        <w:rPr>
          <w:rFonts w:ascii="Times New Roman" w:hAnsi="Times New Roman" w:cs="Times New Roman"/>
          <w:sz w:val="22"/>
          <w:szCs w:val="22"/>
        </w:rPr>
        <w:t>Chlórprokaín je lokálne anestetikum na báze esterov. Chlórprokaín blokuje tvorbu a vedenie nervových impulzov, pravdepodobne zvýšením prahu elektrickej excitácie v nerve, spomalením šírenia nervového impulzu a znížením rýchlosti nárastu akčného potenciálu.</w:t>
      </w:r>
    </w:p>
    <w:p w14:paraId="7483F303" w14:textId="77777777" w:rsidR="00D27FC5" w:rsidRPr="00434F5F" w:rsidRDefault="00D27FC5" w:rsidP="00827BC4">
      <w:pPr>
        <w:pStyle w:val="CM12"/>
        <w:spacing w:after="0"/>
        <w:rPr>
          <w:rFonts w:ascii="Times New Roman" w:hAnsi="Times New Roman" w:cs="Times New Roman"/>
          <w:sz w:val="22"/>
          <w:szCs w:val="22"/>
        </w:rPr>
      </w:pPr>
    </w:p>
    <w:p w14:paraId="050EBE31" w14:textId="20BFEE65" w:rsidR="00D27FC5" w:rsidRPr="00434F5F" w:rsidRDefault="00D27FC5" w:rsidP="00827BC4">
      <w:pPr>
        <w:pStyle w:val="CM12"/>
        <w:spacing w:after="0"/>
        <w:rPr>
          <w:rFonts w:ascii="Times New Roman" w:hAnsi="Times New Roman" w:cs="Times New Roman"/>
          <w:sz w:val="22"/>
          <w:szCs w:val="22"/>
        </w:rPr>
      </w:pPr>
      <w:r>
        <w:rPr>
          <w:rFonts w:ascii="Times New Roman" w:hAnsi="Times New Roman" w:cs="Times New Roman"/>
          <w:sz w:val="22"/>
          <w:szCs w:val="22"/>
        </w:rPr>
        <w:t>Pri perineurálnom podaní je nástup účinku veľmi rýchly (6 až 12 minút) a doba trvania anestézie môže byť až 100 minút.</w:t>
      </w:r>
    </w:p>
    <w:p w14:paraId="21A31A45" w14:textId="3E66239E" w:rsidR="00D27FC5" w:rsidRPr="00434F5F" w:rsidRDefault="001E3B7F" w:rsidP="00827BC4">
      <w:pPr>
        <w:pStyle w:val="CM12"/>
        <w:spacing w:after="0"/>
        <w:rPr>
          <w:rFonts w:ascii="Times New Roman" w:hAnsi="Times New Roman" w:cs="Times New Roman"/>
          <w:sz w:val="22"/>
          <w:szCs w:val="22"/>
        </w:rPr>
      </w:pPr>
      <w:r>
        <w:rPr>
          <w:rFonts w:ascii="Times New Roman" w:hAnsi="Times New Roman" w:cs="Times New Roman"/>
          <w:sz w:val="22"/>
          <w:szCs w:val="22"/>
        </w:rPr>
        <w:t>Pacienti s úspešnou blokádou bez akejkoľvek suplementácie v prvých 45 minútach s</w:t>
      </w:r>
      <w:r w:rsidR="00A459DA">
        <w:rPr>
          <w:rFonts w:ascii="Times New Roman" w:hAnsi="Times New Roman" w:cs="Times New Roman"/>
          <w:sz w:val="22"/>
          <w:szCs w:val="22"/>
        </w:rPr>
        <w:t> </w:t>
      </w:r>
      <w:r>
        <w:rPr>
          <w:rFonts w:ascii="Times New Roman" w:hAnsi="Times New Roman" w:cs="Times New Roman"/>
          <w:sz w:val="22"/>
          <w:szCs w:val="22"/>
        </w:rPr>
        <w:t>chlórprokaín</w:t>
      </w:r>
      <w:r w:rsidR="00A459DA">
        <w:rPr>
          <w:rFonts w:ascii="Times New Roman" w:hAnsi="Times New Roman" w:cs="Times New Roman"/>
          <w:sz w:val="22"/>
          <w:szCs w:val="22"/>
        </w:rPr>
        <w:t>ium-chlorid</w:t>
      </w:r>
      <w:r>
        <w:rPr>
          <w:rFonts w:ascii="Times New Roman" w:hAnsi="Times New Roman" w:cs="Times New Roman"/>
          <w:sz w:val="22"/>
          <w:szCs w:val="22"/>
        </w:rPr>
        <w:t>om sú v 90,8 % pripravení na chirurgický zákrok.</w:t>
      </w:r>
    </w:p>
    <w:p w14:paraId="3A19CA63" w14:textId="77777777" w:rsidR="001E3B7F" w:rsidRPr="00C132F1" w:rsidRDefault="001E3B7F" w:rsidP="00827BC4">
      <w:pPr>
        <w:spacing w:line="240" w:lineRule="auto"/>
        <w:rPr>
          <w:lang w:eastAsia="it-IT"/>
        </w:rPr>
      </w:pPr>
    </w:p>
    <w:p w14:paraId="093392F3" w14:textId="77777777" w:rsidR="006D6A3C" w:rsidRPr="00A459DA" w:rsidRDefault="006D6A3C" w:rsidP="00827BC4">
      <w:pPr>
        <w:spacing w:line="240" w:lineRule="auto"/>
        <w:rPr>
          <w:u w:val="single"/>
        </w:rPr>
      </w:pPr>
      <w:r w:rsidRPr="00A459DA">
        <w:rPr>
          <w:u w:val="single"/>
        </w:rPr>
        <w:t>Pediatrická populácia</w:t>
      </w:r>
    </w:p>
    <w:p w14:paraId="12A45A7C" w14:textId="2D32A981" w:rsidR="00426287" w:rsidRPr="00434F5F" w:rsidRDefault="00281402" w:rsidP="00827BC4">
      <w:pPr>
        <w:pStyle w:val="CM12"/>
        <w:spacing w:after="0"/>
        <w:rPr>
          <w:rFonts w:ascii="Times New Roman" w:hAnsi="Times New Roman" w:cs="Times New Roman"/>
          <w:sz w:val="22"/>
          <w:szCs w:val="22"/>
        </w:rPr>
      </w:pPr>
      <w:r>
        <w:rPr>
          <w:rFonts w:ascii="Times New Roman" w:hAnsi="Times New Roman" w:cs="Times New Roman"/>
          <w:sz w:val="22"/>
          <w:szCs w:val="22"/>
        </w:rPr>
        <w:t xml:space="preserve">Európska </w:t>
      </w:r>
      <w:r w:rsidR="00A459DA">
        <w:rPr>
          <w:rFonts w:ascii="Times New Roman" w:hAnsi="Times New Roman" w:cs="Times New Roman"/>
          <w:sz w:val="22"/>
          <w:szCs w:val="22"/>
        </w:rPr>
        <w:t xml:space="preserve">lieková </w:t>
      </w:r>
      <w:r>
        <w:rPr>
          <w:rFonts w:ascii="Times New Roman" w:hAnsi="Times New Roman" w:cs="Times New Roman"/>
          <w:sz w:val="22"/>
          <w:szCs w:val="22"/>
        </w:rPr>
        <w:t xml:space="preserve">agentúra </w:t>
      </w:r>
      <w:r w:rsidR="00582E80" w:rsidRPr="00582E80">
        <w:rPr>
          <w:rFonts w:ascii="Times New Roman" w:hAnsi="Times New Roman" w:cs="Times New Roman"/>
          <w:sz w:val="22"/>
          <w:szCs w:val="22"/>
        </w:rPr>
        <w:t>udelila výnimku z povinnosti predložiť</w:t>
      </w:r>
      <w:r>
        <w:rPr>
          <w:rFonts w:ascii="Times New Roman" w:hAnsi="Times New Roman" w:cs="Times New Roman"/>
          <w:sz w:val="22"/>
          <w:szCs w:val="22"/>
        </w:rPr>
        <w:t xml:space="preserve"> výsledky štúdií s</w:t>
      </w:r>
      <w:r w:rsidR="00A459DA">
        <w:rPr>
          <w:rFonts w:ascii="Times New Roman" w:hAnsi="Times New Roman" w:cs="Times New Roman"/>
          <w:sz w:val="22"/>
          <w:szCs w:val="22"/>
        </w:rPr>
        <w:t> Ampresom 20 mg/ml</w:t>
      </w:r>
      <w:r>
        <w:rPr>
          <w:rFonts w:ascii="Times New Roman" w:hAnsi="Times New Roman" w:cs="Times New Roman"/>
          <w:sz w:val="22"/>
          <w:szCs w:val="22"/>
        </w:rPr>
        <w:t xml:space="preserve"> vo všetkých podskupinách pediatrickej populácie pri perineurálnej anestézii (blokáda periférneho nervu) (informácie o použití v pediatrickej populácii, pozri časť 4.2).</w:t>
      </w:r>
    </w:p>
    <w:p w14:paraId="0126A253" w14:textId="77777777" w:rsidR="00281402" w:rsidRPr="00434F5F" w:rsidRDefault="00281402" w:rsidP="00827BC4">
      <w:pPr>
        <w:autoSpaceDE w:val="0"/>
        <w:autoSpaceDN w:val="0"/>
        <w:adjustRightInd w:val="0"/>
        <w:spacing w:line="240" w:lineRule="auto"/>
      </w:pPr>
    </w:p>
    <w:p w14:paraId="422DEEF1" w14:textId="5CF44C0E" w:rsidR="00281402" w:rsidRPr="00434F5F" w:rsidRDefault="00281402" w:rsidP="00827BC4">
      <w:pPr>
        <w:autoSpaceDE w:val="0"/>
        <w:autoSpaceDN w:val="0"/>
        <w:adjustRightInd w:val="0"/>
        <w:spacing w:line="240" w:lineRule="auto"/>
      </w:pPr>
      <w:r>
        <w:rPr>
          <w:b/>
          <w:bCs/>
        </w:rPr>
        <w:t xml:space="preserve">5.2 </w:t>
      </w:r>
      <w:r w:rsidR="00827BC4">
        <w:rPr>
          <w:b/>
          <w:bCs/>
        </w:rPr>
        <w:tab/>
      </w:r>
      <w:r>
        <w:rPr>
          <w:b/>
          <w:bCs/>
        </w:rPr>
        <w:t>Farmakokinetické vlastnosti</w:t>
      </w:r>
    </w:p>
    <w:p w14:paraId="23169D17" w14:textId="77777777" w:rsidR="00827BC4" w:rsidRDefault="00827BC4" w:rsidP="00827BC4">
      <w:pPr>
        <w:pStyle w:val="CM12"/>
        <w:spacing w:after="0"/>
        <w:rPr>
          <w:rFonts w:ascii="Times New Roman" w:hAnsi="Times New Roman" w:cs="Times New Roman"/>
          <w:sz w:val="22"/>
          <w:szCs w:val="22"/>
        </w:rPr>
      </w:pPr>
    </w:p>
    <w:p w14:paraId="77347482" w14:textId="77777777" w:rsidR="00AD1101" w:rsidRPr="00827BC4" w:rsidRDefault="00AD1101" w:rsidP="00827BC4">
      <w:pPr>
        <w:pStyle w:val="CM12"/>
        <w:spacing w:after="0"/>
        <w:rPr>
          <w:rFonts w:ascii="Times New Roman" w:hAnsi="Times New Roman" w:cs="Times New Roman"/>
          <w:sz w:val="22"/>
          <w:szCs w:val="22"/>
          <w:u w:val="single"/>
        </w:rPr>
      </w:pPr>
      <w:r w:rsidRPr="00827BC4">
        <w:rPr>
          <w:rFonts w:ascii="Times New Roman" w:hAnsi="Times New Roman" w:cs="Times New Roman"/>
          <w:sz w:val="22"/>
          <w:szCs w:val="22"/>
          <w:u w:val="single"/>
        </w:rPr>
        <w:t>Absorpcia a distribúcia</w:t>
      </w:r>
    </w:p>
    <w:p w14:paraId="3266862E" w14:textId="5FAC2745" w:rsidR="00AD1101" w:rsidRPr="00434F5F" w:rsidRDefault="00AD1101" w:rsidP="00827BC4">
      <w:pPr>
        <w:pStyle w:val="CM12"/>
        <w:spacing w:after="0"/>
        <w:rPr>
          <w:rFonts w:ascii="Times New Roman" w:hAnsi="Times New Roman" w:cs="Times New Roman"/>
          <w:sz w:val="22"/>
          <w:szCs w:val="22"/>
        </w:rPr>
      </w:pPr>
      <w:r>
        <w:rPr>
          <w:rFonts w:ascii="Times New Roman" w:hAnsi="Times New Roman" w:cs="Times New Roman"/>
          <w:sz w:val="22"/>
          <w:szCs w:val="22"/>
        </w:rPr>
        <w:t>Plazmatická koncentrácia m</w:t>
      </w:r>
      <w:r w:rsidR="00C735EA">
        <w:rPr>
          <w:rFonts w:ascii="Times New Roman" w:hAnsi="Times New Roman" w:cs="Times New Roman"/>
          <w:sz w:val="22"/>
          <w:szCs w:val="22"/>
        </w:rPr>
        <w:t>á</w:t>
      </w:r>
      <w:r>
        <w:rPr>
          <w:rFonts w:ascii="Times New Roman" w:hAnsi="Times New Roman" w:cs="Times New Roman"/>
          <w:sz w:val="22"/>
          <w:szCs w:val="22"/>
        </w:rPr>
        <w:t xml:space="preserve"> byť pre perineurálne použitie zanedbateľná.</w:t>
      </w:r>
    </w:p>
    <w:p w14:paraId="22365C5E" w14:textId="77777777" w:rsidR="00AD1101" w:rsidRPr="00434F5F" w:rsidRDefault="00AD1101" w:rsidP="00827BC4">
      <w:pPr>
        <w:pStyle w:val="CM12"/>
        <w:spacing w:after="0"/>
        <w:rPr>
          <w:rFonts w:ascii="Calibri" w:hAnsi="Calibri"/>
          <w:color w:val="1F497D"/>
          <w:sz w:val="22"/>
          <w:szCs w:val="22"/>
        </w:rPr>
      </w:pPr>
    </w:p>
    <w:p w14:paraId="1A824AD5" w14:textId="77777777" w:rsidR="00AD1101" w:rsidRPr="00827BC4" w:rsidRDefault="00AD1101" w:rsidP="00827BC4">
      <w:pPr>
        <w:pStyle w:val="CM12"/>
        <w:spacing w:after="0"/>
        <w:rPr>
          <w:rFonts w:ascii="Times New Roman" w:hAnsi="Times New Roman" w:cs="Times New Roman"/>
          <w:sz w:val="22"/>
          <w:szCs w:val="22"/>
          <w:u w:val="single"/>
        </w:rPr>
      </w:pPr>
      <w:r w:rsidRPr="00827BC4">
        <w:rPr>
          <w:rFonts w:ascii="Times New Roman" w:hAnsi="Times New Roman" w:cs="Times New Roman"/>
          <w:sz w:val="22"/>
          <w:szCs w:val="22"/>
          <w:u w:val="single"/>
        </w:rPr>
        <w:t>Biotransformácia</w:t>
      </w:r>
    </w:p>
    <w:p w14:paraId="137D8833" w14:textId="7A7819CD" w:rsidR="00AD1101" w:rsidRPr="00434F5F" w:rsidRDefault="00AD1101" w:rsidP="00827BC4">
      <w:pPr>
        <w:pStyle w:val="CM12"/>
        <w:spacing w:after="0"/>
        <w:rPr>
          <w:rFonts w:ascii="Times New Roman" w:hAnsi="Times New Roman" w:cs="Times New Roman"/>
          <w:sz w:val="22"/>
          <w:szCs w:val="22"/>
        </w:rPr>
      </w:pPr>
      <w:r>
        <w:rPr>
          <w:rFonts w:ascii="Times New Roman" w:hAnsi="Times New Roman" w:cs="Times New Roman"/>
          <w:sz w:val="22"/>
          <w:szCs w:val="22"/>
        </w:rPr>
        <w:t>Chlórprokaín sa</w:t>
      </w:r>
      <w:r w:rsidR="00A459DA">
        <w:rPr>
          <w:rFonts w:ascii="Times New Roman" w:hAnsi="Times New Roman" w:cs="Times New Roman"/>
          <w:sz w:val="22"/>
          <w:szCs w:val="22"/>
        </w:rPr>
        <w:t xml:space="preserve"> v plazme</w:t>
      </w:r>
      <w:r>
        <w:rPr>
          <w:rFonts w:ascii="Times New Roman" w:hAnsi="Times New Roman" w:cs="Times New Roman"/>
          <w:sz w:val="22"/>
          <w:szCs w:val="22"/>
        </w:rPr>
        <w:t xml:space="preserve"> rýchlo metabolizuje hydrolýzou esterovej väzby </w:t>
      </w:r>
      <w:r w:rsidR="002E5EC1" w:rsidRPr="002E5EC1">
        <w:rPr>
          <w:rFonts w:ascii="Times New Roman" w:hAnsi="Times New Roman" w:cs="Times New Roman"/>
          <w:sz w:val="22"/>
          <w:szCs w:val="22"/>
        </w:rPr>
        <w:t>pseudocholínesterázou</w:t>
      </w:r>
      <w:r>
        <w:rPr>
          <w:rFonts w:ascii="Times New Roman" w:hAnsi="Times New Roman" w:cs="Times New Roman"/>
          <w:sz w:val="22"/>
          <w:szCs w:val="22"/>
        </w:rPr>
        <w:t xml:space="preserve">. Pri deficite </w:t>
      </w:r>
      <w:r w:rsidR="002E5EC1" w:rsidRPr="002E5EC1">
        <w:rPr>
          <w:rFonts w:ascii="Times New Roman" w:hAnsi="Times New Roman" w:cs="Times New Roman"/>
          <w:sz w:val="22"/>
          <w:szCs w:val="22"/>
        </w:rPr>
        <w:t>pseudocholínesterázy</w:t>
      </w:r>
      <w:r w:rsidR="002E5EC1">
        <w:rPr>
          <w:rFonts w:ascii="Times New Roman" w:hAnsi="Times New Roman" w:cs="Times New Roman"/>
          <w:sz w:val="22"/>
          <w:szCs w:val="22"/>
        </w:rPr>
        <w:t xml:space="preserve"> </w:t>
      </w:r>
      <w:r>
        <w:rPr>
          <w:rFonts w:ascii="Times New Roman" w:hAnsi="Times New Roman" w:cs="Times New Roman"/>
          <w:sz w:val="22"/>
          <w:szCs w:val="22"/>
        </w:rPr>
        <w:t xml:space="preserve">sa </w:t>
      </w:r>
      <w:r w:rsidR="00521144">
        <w:rPr>
          <w:rFonts w:ascii="Times New Roman" w:hAnsi="Times New Roman" w:cs="Times New Roman"/>
          <w:sz w:val="22"/>
          <w:szCs w:val="22"/>
        </w:rPr>
        <w:t xml:space="preserve">môže </w:t>
      </w:r>
      <w:r>
        <w:rPr>
          <w:rFonts w:ascii="Times New Roman" w:hAnsi="Times New Roman" w:cs="Times New Roman"/>
          <w:sz w:val="22"/>
          <w:szCs w:val="22"/>
        </w:rPr>
        <w:t>tento proces spomaliť.</w:t>
      </w:r>
    </w:p>
    <w:p w14:paraId="51DED68E" w14:textId="77777777" w:rsidR="00AD1101" w:rsidRPr="00434F5F" w:rsidRDefault="00AD1101" w:rsidP="00827BC4">
      <w:pPr>
        <w:pStyle w:val="CM12"/>
        <w:spacing w:after="0"/>
        <w:rPr>
          <w:rFonts w:ascii="Times New Roman" w:hAnsi="Times New Roman" w:cs="Times New Roman"/>
          <w:sz w:val="22"/>
          <w:szCs w:val="22"/>
        </w:rPr>
      </w:pPr>
      <w:r>
        <w:rPr>
          <w:rFonts w:ascii="Times New Roman" w:hAnsi="Times New Roman" w:cs="Times New Roman"/>
          <w:sz w:val="22"/>
          <w:szCs w:val="22"/>
        </w:rPr>
        <w:t>Hydrolýza chlórprokaínu má za následok tvorbu ß-dietylaminoetanolu a kyseliny 2-chlór-4-aminobenzoovej.</w:t>
      </w:r>
    </w:p>
    <w:p w14:paraId="6CD9F11B" w14:textId="21934314" w:rsidR="00AD1101" w:rsidRPr="00A459DA" w:rsidRDefault="00AD1101" w:rsidP="00827BC4">
      <w:pPr>
        <w:pStyle w:val="CM12"/>
        <w:spacing w:after="0"/>
        <w:rPr>
          <w:rFonts w:ascii="Times New Roman" w:hAnsi="Times New Roman" w:cs="Times New Roman"/>
          <w:sz w:val="22"/>
          <w:szCs w:val="22"/>
        </w:rPr>
      </w:pPr>
      <w:r w:rsidRPr="006A538F">
        <w:rPr>
          <w:rFonts w:ascii="Times New Roman" w:hAnsi="Times New Roman" w:cs="Times New Roman"/>
          <w:i/>
          <w:sz w:val="22"/>
          <w:szCs w:val="22"/>
        </w:rPr>
        <w:t>In vitro</w:t>
      </w:r>
      <w:r w:rsidRPr="00A459DA">
        <w:rPr>
          <w:rFonts w:ascii="Times New Roman" w:hAnsi="Times New Roman" w:cs="Times New Roman"/>
          <w:sz w:val="22"/>
          <w:szCs w:val="22"/>
        </w:rPr>
        <w:t xml:space="preserve"> plazmatický polčas chlórprokaínu u dospelých mužov je 21 ± 2 sekundy a u žien 25 ± 1 sekunda. </w:t>
      </w:r>
      <w:r w:rsidRPr="006A538F">
        <w:rPr>
          <w:rFonts w:ascii="Times New Roman" w:hAnsi="Times New Roman" w:cs="Times New Roman"/>
          <w:i/>
          <w:sz w:val="22"/>
          <w:szCs w:val="22"/>
        </w:rPr>
        <w:t>In vitro</w:t>
      </w:r>
      <w:r w:rsidRPr="00A459DA">
        <w:rPr>
          <w:rFonts w:ascii="Times New Roman" w:hAnsi="Times New Roman" w:cs="Times New Roman"/>
          <w:sz w:val="22"/>
          <w:szCs w:val="22"/>
        </w:rPr>
        <w:t xml:space="preserve"> plazmatický polčas u novorodencov je 43 ± 2 sekundy. </w:t>
      </w:r>
      <w:r w:rsidR="00A459DA">
        <w:rPr>
          <w:rFonts w:ascii="Times New Roman" w:hAnsi="Times New Roman" w:cs="Times New Roman"/>
          <w:sz w:val="22"/>
          <w:szCs w:val="22"/>
        </w:rPr>
        <w:t>Od</w:t>
      </w:r>
      <w:r w:rsidRPr="00A459DA">
        <w:rPr>
          <w:rFonts w:ascii="Times New Roman" w:hAnsi="Times New Roman" w:cs="Times New Roman"/>
          <w:sz w:val="22"/>
          <w:szCs w:val="22"/>
        </w:rPr>
        <w:t xml:space="preserve">meraný plazmatický polčas </w:t>
      </w:r>
      <w:r w:rsidRPr="006A538F">
        <w:rPr>
          <w:rFonts w:ascii="Times New Roman" w:hAnsi="Times New Roman" w:cs="Times New Roman"/>
          <w:i/>
          <w:sz w:val="22"/>
          <w:szCs w:val="22"/>
        </w:rPr>
        <w:t>in vivo</w:t>
      </w:r>
      <w:r w:rsidRPr="00A459DA">
        <w:rPr>
          <w:rFonts w:ascii="Times New Roman" w:hAnsi="Times New Roman" w:cs="Times New Roman"/>
          <w:sz w:val="22"/>
          <w:szCs w:val="22"/>
        </w:rPr>
        <w:t xml:space="preserve"> u žien bol 3,1 ± 1,6 minút.</w:t>
      </w:r>
    </w:p>
    <w:p w14:paraId="00038BC1" w14:textId="77777777" w:rsidR="00AD1101" w:rsidRPr="00C132F1" w:rsidRDefault="00AD1101" w:rsidP="00827BC4">
      <w:pPr>
        <w:spacing w:line="240" w:lineRule="auto"/>
      </w:pPr>
    </w:p>
    <w:p w14:paraId="231510CE" w14:textId="77777777" w:rsidR="00AD1101" w:rsidRPr="00827BC4" w:rsidRDefault="00AD1101" w:rsidP="00827BC4">
      <w:pPr>
        <w:pStyle w:val="CM12"/>
        <w:spacing w:after="0"/>
        <w:rPr>
          <w:rFonts w:ascii="Times New Roman" w:hAnsi="Times New Roman" w:cs="Times New Roman"/>
          <w:sz w:val="22"/>
          <w:szCs w:val="22"/>
          <w:u w:val="single"/>
        </w:rPr>
      </w:pPr>
      <w:r w:rsidRPr="00827BC4">
        <w:rPr>
          <w:rFonts w:ascii="Times New Roman" w:hAnsi="Times New Roman" w:cs="Times New Roman"/>
          <w:sz w:val="22"/>
          <w:szCs w:val="22"/>
          <w:u w:val="single"/>
        </w:rPr>
        <w:t>Eliminácia</w:t>
      </w:r>
    </w:p>
    <w:p w14:paraId="7A327052" w14:textId="77777777" w:rsidR="00AD1101" w:rsidRPr="00434F5F" w:rsidRDefault="00AD1101" w:rsidP="00827BC4">
      <w:pPr>
        <w:pStyle w:val="CM12"/>
        <w:spacing w:after="0"/>
        <w:rPr>
          <w:rFonts w:ascii="Times New Roman" w:hAnsi="Times New Roman" w:cs="Times New Roman"/>
          <w:sz w:val="22"/>
          <w:szCs w:val="22"/>
        </w:rPr>
      </w:pPr>
      <w:r>
        <w:rPr>
          <w:rFonts w:ascii="Times New Roman" w:hAnsi="Times New Roman" w:cs="Times New Roman"/>
          <w:sz w:val="22"/>
          <w:szCs w:val="22"/>
        </w:rPr>
        <w:t>Metabolity, ß-dietylaminoetanol a kyselina 2-chlór-4-aminobenzoová sa vylučujú obličkami do moču.</w:t>
      </w:r>
    </w:p>
    <w:p w14:paraId="7C0BFE5F" w14:textId="77777777" w:rsidR="003736FF" w:rsidRPr="00C132F1" w:rsidRDefault="003736FF" w:rsidP="00827BC4">
      <w:pPr>
        <w:spacing w:line="240" w:lineRule="auto"/>
        <w:rPr>
          <w:lang w:eastAsia="it-IT"/>
        </w:rPr>
      </w:pPr>
    </w:p>
    <w:p w14:paraId="7A214203" w14:textId="35953354" w:rsidR="00281402" w:rsidRPr="00434F5F" w:rsidRDefault="00CC7BEA" w:rsidP="00827BC4">
      <w:pPr>
        <w:autoSpaceDE w:val="0"/>
        <w:autoSpaceDN w:val="0"/>
        <w:adjustRightInd w:val="0"/>
        <w:spacing w:line="240" w:lineRule="auto"/>
        <w:rPr>
          <w:b/>
          <w:bCs/>
        </w:rPr>
      </w:pPr>
      <w:r>
        <w:rPr>
          <w:b/>
          <w:bCs/>
        </w:rPr>
        <w:t xml:space="preserve">5.3 </w:t>
      </w:r>
      <w:r w:rsidR="00827BC4">
        <w:rPr>
          <w:b/>
          <w:bCs/>
        </w:rPr>
        <w:tab/>
      </w:r>
      <w:r>
        <w:rPr>
          <w:b/>
          <w:bCs/>
        </w:rPr>
        <w:t>Predklinické údaje o bezpečnosti</w:t>
      </w:r>
    </w:p>
    <w:p w14:paraId="37DEEB4B" w14:textId="77777777" w:rsidR="00827BC4" w:rsidRDefault="00827BC4" w:rsidP="00827BC4">
      <w:pPr>
        <w:autoSpaceDE w:val="0"/>
        <w:autoSpaceDN w:val="0"/>
        <w:adjustRightInd w:val="0"/>
        <w:spacing w:line="240" w:lineRule="auto"/>
      </w:pPr>
      <w:bookmarkStart w:id="3" w:name="_Hlk512611200"/>
    </w:p>
    <w:p w14:paraId="67BD2D2C" w14:textId="77777777" w:rsidR="00A459DA" w:rsidRDefault="00A459DA" w:rsidP="00827BC4">
      <w:pPr>
        <w:autoSpaceDE w:val="0"/>
        <w:autoSpaceDN w:val="0"/>
        <w:adjustRightInd w:val="0"/>
        <w:spacing w:line="240" w:lineRule="auto"/>
      </w:pPr>
      <w:r>
        <w:t>Pokiaľ ide o akútnu toxicitu po intravenóznom podaní 2-chlórprokaínu, pozri časť 4.9.</w:t>
      </w:r>
    </w:p>
    <w:p w14:paraId="68EE5CF5" w14:textId="3CC1BE64" w:rsidR="00281402" w:rsidRPr="00434F5F" w:rsidRDefault="00AE6EA0" w:rsidP="00827BC4">
      <w:pPr>
        <w:autoSpaceDE w:val="0"/>
        <w:autoSpaceDN w:val="0"/>
        <w:adjustRightInd w:val="0"/>
        <w:spacing w:line="240" w:lineRule="auto"/>
      </w:pPr>
      <w:r>
        <w:t xml:space="preserve">Boli vykonané predklinické štúdie v prípade spinálneho podania. </w:t>
      </w:r>
      <w:r w:rsidR="00BF1857">
        <w:t>Nežiaduce ú</w:t>
      </w:r>
      <w:r>
        <w:t xml:space="preserve">činky v predklinických štúdiách </w:t>
      </w:r>
      <w:r w:rsidR="00190B06" w:rsidRPr="00502EF9">
        <w:t>boli pozorované</w:t>
      </w:r>
      <w:r>
        <w:t xml:space="preserve"> iba pri expozíciách považovaných za dostatočne vyššie, ako je maximálna expozícia u ľudí, čo poukazuje na malý význam týchto zistení pre klinické použitie.</w:t>
      </w:r>
    </w:p>
    <w:bookmarkEnd w:id="3"/>
    <w:p w14:paraId="1B710430" w14:textId="77777777" w:rsidR="003C1820" w:rsidRPr="00434F5F" w:rsidRDefault="003C1820" w:rsidP="00827BC4">
      <w:pPr>
        <w:spacing w:line="240" w:lineRule="auto"/>
      </w:pPr>
      <w:r>
        <w:t>Neboli uskutočnené žiadne štúdie na zvieratách na vyhodnotenie karcinogénneho potenciálu a reprodukčnej toxicity a vývinu s chlórprokaínom.</w:t>
      </w:r>
    </w:p>
    <w:p w14:paraId="59BA6F77" w14:textId="33765BD9" w:rsidR="003C1820" w:rsidRPr="00434F5F" w:rsidRDefault="003C1820" w:rsidP="00827BC4">
      <w:pPr>
        <w:spacing w:line="240" w:lineRule="auto"/>
      </w:pPr>
      <w:r>
        <w:t xml:space="preserve">Štúdie genotoxicity </w:t>
      </w:r>
      <w:r>
        <w:rPr>
          <w:i/>
        </w:rPr>
        <w:t>in vitro</w:t>
      </w:r>
      <w:r>
        <w:t xml:space="preserve"> neposkytli dôkaz, že by 2-chlórprokaín a kyselina 4-amino-2-chlórbenzoová (hlavný metabolit) mali relevantný mutagénny alebo klastogénny potenciál.</w:t>
      </w:r>
    </w:p>
    <w:p w14:paraId="605313C0" w14:textId="77777777" w:rsidR="00281402" w:rsidRPr="00434F5F" w:rsidRDefault="00281402" w:rsidP="00827BC4">
      <w:pPr>
        <w:autoSpaceDE w:val="0"/>
        <w:autoSpaceDN w:val="0"/>
        <w:adjustRightInd w:val="0"/>
        <w:spacing w:line="240" w:lineRule="auto"/>
      </w:pPr>
    </w:p>
    <w:p w14:paraId="07EC6ADD" w14:textId="77777777" w:rsidR="00C132F1" w:rsidRPr="00434F5F" w:rsidRDefault="00C132F1" w:rsidP="00827BC4">
      <w:pPr>
        <w:autoSpaceDE w:val="0"/>
        <w:autoSpaceDN w:val="0"/>
        <w:adjustRightInd w:val="0"/>
        <w:spacing w:line="240" w:lineRule="auto"/>
      </w:pPr>
    </w:p>
    <w:p w14:paraId="6E299FB0" w14:textId="7DF5648C" w:rsidR="00281402" w:rsidRPr="00434F5F" w:rsidRDefault="00281402" w:rsidP="00827BC4">
      <w:pPr>
        <w:autoSpaceDE w:val="0"/>
        <w:autoSpaceDN w:val="0"/>
        <w:adjustRightInd w:val="0"/>
        <w:spacing w:line="240" w:lineRule="auto"/>
      </w:pPr>
      <w:r>
        <w:rPr>
          <w:b/>
          <w:bCs/>
        </w:rPr>
        <w:t xml:space="preserve">6. </w:t>
      </w:r>
      <w:r w:rsidR="00827BC4">
        <w:rPr>
          <w:b/>
          <w:bCs/>
        </w:rPr>
        <w:tab/>
      </w:r>
      <w:r>
        <w:rPr>
          <w:b/>
          <w:bCs/>
        </w:rPr>
        <w:t>FARMACEUTICKÉ INFORMÁCIE</w:t>
      </w:r>
    </w:p>
    <w:p w14:paraId="2FC9B7BC" w14:textId="77777777" w:rsidR="00827BC4" w:rsidRDefault="00827BC4" w:rsidP="00827BC4">
      <w:pPr>
        <w:autoSpaceDE w:val="0"/>
        <w:autoSpaceDN w:val="0"/>
        <w:adjustRightInd w:val="0"/>
        <w:spacing w:line="240" w:lineRule="auto"/>
        <w:rPr>
          <w:b/>
          <w:bCs/>
        </w:rPr>
      </w:pPr>
    </w:p>
    <w:p w14:paraId="4DE01534" w14:textId="4A1F59ED" w:rsidR="00281402" w:rsidRPr="00434F5F" w:rsidRDefault="00281402" w:rsidP="00827BC4">
      <w:pPr>
        <w:autoSpaceDE w:val="0"/>
        <w:autoSpaceDN w:val="0"/>
        <w:adjustRightInd w:val="0"/>
        <w:spacing w:line="240" w:lineRule="auto"/>
      </w:pPr>
      <w:r>
        <w:rPr>
          <w:b/>
          <w:bCs/>
        </w:rPr>
        <w:t xml:space="preserve">6.1 </w:t>
      </w:r>
      <w:r w:rsidR="00827BC4">
        <w:rPr>
          <w:b/>
          <w:bCs/>
        </w:rPr>
        <w:tab/>
      </w:r>
      <w:r>
        <w:rPr>
          <w:b/>
          <w:bCs/>
        </w:rPr>
        <w:t>Zoznam pomocných látok</w:t>
      </w:r>
    </w:p>
    <w:p w14:paraId="689A6A95" w14:textId="77777777" w:rsidR="00827BC4" w:rsidRDefault="00827BC4" w:rsidP="00827BC4">
      <w:pPr>
        <w:spacing w:line="240" w:lineRule="auto"/>
      </w:pPr>
    </w:p>
    <w:p w14:paraId="289A45E2" w14:textId="6C82D1F2" w:rsidR="00321C0F" w:rsidRPr="00C132F1" w:rsidRDefault="00281402" w:rsidP="00827BC4">
      <w:pPr>
        <w:spacing w:line="240" w:lineRule="auto"/>
      </w:pPr>
      <w:r>
        <w:t>kyselina chlorovodíková 3,7 % (na úpravu pH)</w:t>
      </w:r>
    </w:p>
    <w:p w14:paraId="4177A859" w14:textId="0096AEB8" w:rsidR="00321C0F" w:rsidRPr="00C132F1" w:rsidRDefault="00521144" w:rsidP="00827BC4">
      <w:pPr>
        <w:spacing w:line="240" w:lineRule="auto"/>
      </w:pPr>
      <w:r>
        <w:t>chlorid sodný</w:t>
      </w:r>
    </w:p>
    <w:p w14:paraId="26822F7B" w14:textId="67CD4743" w:rsidR="00281402" w:rsidRPr="00B30B14" w:rsidRDefault="00827BC4" w:rsidP="00827BC4">
      <w:pPr>
        <w:spacing w:line="240" w:lineRule="auto"/>
        <w:rPr>
          <w:b/>
          <w:bCs/>
        </w:rPr>
      </w:pPr>
      <w:r>
        <w:t>voda na injekcie</w:t>
      </w:r>
    </w:p>
    <w:p w14:paraId="6B6450A8" w14:textId="77777777" w:rsidR="00BB4D5E" w:rsidRPr="00B30B14" w:rsidRDefault="00BB4D5E" w:rsidP="00827BC4">
      <w:pPr>
        <w:spacing w:line="240" w:lineRule="auto"/>
        <w:rPr>
          <w:b/>
          <w:bCs/>
        </w:rPr>
      </w:pPr>
    </w:p>
    <w:p w14:paraId="0277281C" w14:textId="4933CC40" w:rsidR="00281402" w:rsidRPr="00B30B14" w:rsidRDefault="00281402" w:rsidP="00827BC4">
      <w:pPr>
        <w:autoSpaceDE w:val="0"/>
        <w:autoSpaceDN w:val="0"/>
        <w:adjustRightInd w:val="0"/>
        <w:spacing w:line="240" w:lineRule="auto"/>
      </w:pPr>
      <w:r>
        <w:rPr>
          <w:b/>
          <w:bCs/>
        </w:rPr>
        <w:t xml:space="preserve">6.2 </w:t>
      </w:r>
      <w:r w:rsidR="00827BC4">
        <w:rPr>
          <w:b/>
          <w:bCs/>
        </w:rPr>
        <w:tab/>
      </w:r>
      <w:r>
        <w:rPr>
          <w:b/>
          <w:bCs/>
        </w:rPr>
        <w:t>Inkompatibility</w:t>
      </w:r>
    </w:p>
    <w:p w14:paraId="632F9734" w14:textId="77777777" w:rsidR="00827BC4" w:rsidRDefault="00827BC4" w:rsidP="00827BC4">
      <w:pPr>
        <w:spacing w:line="240" w:lineRule="auto"/>
        <w:rPr>
          <w:noProof/>
        </w:rPr>
      </w:pPr>
    </w:p>
    <w:p w14:paraId="304A5D04" w14:textId="236A249D" w:rsidR="00281402" w:rsidRPr="00C132F1" w:rsidRDefault="00281402" w:rsidP="00827BC4">
      <w:pPr>
        <w:spacing w:line="240" w:lineRule="auto"/>
        <w:rPr>
          <w:noProof/>
        </w:rPr>
      </w:pPr>
      <w:r>
        <w:rPr>
          <w:noProof/>
        </w:rPr>
        <w:t>Ne</w:t>
      </w:r>
      <w:r w:rsidR="00521144">
        <w:rPr>
          <w:noProof/>
        </w:rPr>
        <w:t>vykonali sa</w:t>
      </w:r>
      <w:r>
        <w:rPr>
          <w:noProof/>
        </w:rPr>
        <w:t xml:space="preserve"> žiadne štúdie kompatibility, preto sa tento liek nesmie miešať s inými liekmi.</w:t>
      </w:r>
    </w:p>
    <w:p w14:paraId="2FDF27B1" w14:textId="77777777" w:rsidR="00BB4D5E" w:rsidRPr="00C132F1" w:rsidRDefault="00BB4D5E" w:rsidP="00827BC4">
      <w:pPr>
        <w:spacing w:line="240" w:lineRule="auto"/>
        <w:rPr>
          <w:noProof/>
        </w:rPr>
      </w:pPr>
    </w:p>
    <w:p w14:paraId="1F02757D" w14:textId="33C88B92" w:rsidR="00281402" w:rsidRPr="00434F5F" w:rsidRDefault="00281402" w:rsidP="00827BC4">
      <w:pPr>
        <w:autoSpaceDE w:val="0"/>
        <w:autoSpaceDN w:val="0"/>
        <w:adjustRightInd w:val="0"/>
        <w:spacing w:line="240" w:lineRule="auto"/>
      </w:pPr>
      <w:r>
        <w:rPr>
          <w:b/>
          <w:bCs/>
        </w:rPr>
        <w:t xml:space="preserve">6.3 </w:t>
      </w:r>
      <w:r w:rsidR="00827BC4">
        <w:rPr>
          <w:b/>
          <w:bCs/>
        </w:rPr>
        <w:tab/>
      </w:r>
      <w:r>
        <w:rPr>
          <w:b/>
          <w:bCs/>
        </w:rPr>
        <w:t>Čas použiteľnosti</w:t>
      </w:r>
    </w:p>
    <w:p w14:paraId="2F9F262C" w14:textId="77777777" w:rsidR="00827BC4" w:rsidRDefault="00827BC4" w:rsidP="00827BC4">
      <w:pPr>
        <w:spacing w:line="240" w:lineRule="auto"/>
        <w:rPr>
          <w:noProof/>
        </w:rPr>
      </w:pPr>
    </w:p>
    <w:p w14:paraId="3C61FB20" w14:textId="1BB1613A" w:rsidR="00281402" w:rsidRPr="00C132F1" w:rsidRDefault="00BD78B7" w:rsidP="00827BC4">
      <w:pPr>
        <w:spacing w:line="240" w:lineRule="auto"/>
        <w:rPr>
          <w:noProof/>
        </w:rPr>
      </w:pPr>
      <w:r>
        <w:rPr>
          <w:noProof/>
        </w:rPr>
        <w:t>2 roky.</w:t>
      </w:r>
    </w:p>
    <w:p w14:paraId="15EBD5BE" w14:textId="540AF384" w:rsidR="00281402" w:rsidRPr="00C132F1" w:rsidRDefault="00281402" w:rsidP="00827BC4">
      <w:pPr>
        <w:autoSpaceDE w:val="0"/>
        <w:autoSpaceDN w:val="0"/>
        <w:adjustRightInd w:val="0"/>
        <w:spacing w:line="240" w:lineRule="auto"/>
      </w:pPr>
      <w:r>
        <w:t>Liek sa musí použiť ihneď po prvom otvorení.</w:t>
      </w:r>
    </w:p>
    <w:p w14:paraId="137388B5" w14:textId="77777777" w:rsidR="00BB4D5E" w:rsidRPr="00434F5F" w:rsidRDefault="00BB4D5E" w:rsidP="00827BC4">
      <w:pPr>
        <w:autoSpaceDE w:val="0"/>
        <w:autoSpaceDN w:val="0"/>
        <w:adjustRightInd w:val="0"/>
        <w:spacing w:line="240" w:lineRule="auto"/>
      </w:pPr>
    </w:p>
    <w:p w14:paraId="52504173" w14:textId="0788406D" w:rsidR="00281402" w:rsidRPr="00434F5F" w:rsidRDefault="00281402" w:rsidP="00827BC4">
      <w:pPr>
        <w:autoSpaceDE w:val="0"/>
        <w:autoSpaceDN w:val="0"/>
        <w:adjustRightInd w:val="0"/>
        <w:spacing w:line="240" w:lineRule="auto"/>
      </w:pPr>
      <w:r>
        <w:rPr>
          <w:b/>
          <w:bCs/>
        </w:rPr>
        <w:t xml:space="preserve">6.4 </w:t>
      </w:r>
      <w:r w:rsidR="00827BC4">
        <w:rPr>
          <w:b/>
          <w:bCs/>
        </w:rPr>
        <w:tab/>
      </w:r>
      <w:r>
        <w:rPr>
          <w:b/>
          <w:bCs/>
        </w:rPr>
        <w:t>Špeciálne upozornenia na uchovávanie</w:t>
      </w:r>
    </w:p>
    <w:p w14:paraId="111C524B" w14:textId="77777777" w:rsidR="00827BC4" w:rsidRDefault="00827BC4" w:rsidP="00827BC4">
      <w:pPr>
        <w:spacing w:line="240" w:lineRule="auto"/>
      </w:pPr>
      <w:bookmarkStart w:id="4" w:name="_Hlk514849753"/>
    </w:p>
    <w:p w14:paraId="45CA4D15" w14:textId="10F5FF3E" w:rsidR="0009571C" w:rsidRPr="00C132F1" w:rsidRDefault="00720316" w:rsidP="00827BC4">
      <w:pPr>
        <w:spacing w:line="240" w:lineRule="auto"/>
      </w:pPr>
      <w:r>
        <w:t xml:space="preserve">Uchovávajte pri teplote </w:t>
      </w:r>
      <w:r w:rsidR="008F0F38">
        <w:t>do</w:t>
      </w:r>
      <w:r>
        <w:t xml:space="preserve"> 25 °C. Neuchovávajte v chladničke alebo mrazničke. </w:t>
      </w:r>
      <w:r w:rsidR="00521144">
        <w:t>Injekčnú liekovku u</w:t>
      </w:r>
      <w:r>
        <w:t>chovávajte</w:t>
      </w:r>
      <w:r w:rsidR="00521144">
        <w:t xml:space="preserve"> </w:t>
      </w:r>
      <w:r>
        <w:t>vo vonkajšom obale na ochranu pred svetlom.</w:t>
      </w:r>
    </w:p>
    <w:bookmarkEnd w:id="4"/>
    <w:p w14:paraId="4B66F21F" w14:textId="77777777" w:rsidR="00281402" w:rsidRPr="00C132F1" w:rsidRDefault="00281402" w:rsidP="00827BC4">
      <w:pPr>
        <w:spacing w:line="240" w:lineRule="auto"/>
      </w:pPr>
    </w:p>
    <w:p w14:paraId="47637C95" w14:textId="068DBFAC" w:rsidR="00281402" w:rsidRPr="00434F5F" w:rsidRDefault="00281402" w:rsidP="00827BC4">
      <w:pPr>
        <w:autoSpaceDE w:val="0"/>
        <w:autoSpaceDN w:val="0"/>
        <w:adjustRightInd w:val="0"/>
        <w:spacing w:line="240" w:lineRule="auto"/>
      </w:pPr>
      <w:r>
        <w:rPr>
          <w:b/>
          <w:bCs/>
        </w:rPr>
        <w:t xml:space="preserve">6.5 </w:t>
      </w:r>
      <w:r w:rsidR="00827BC4">
        <w:rPr>
          <w:b/>
          <w:bCs/>
        </w:rPr>
        <w:tab/>
      </w:r>
      <w:r>
        <w:rPr>
          <w:b/>
          <w:bCs/>
        </w:rPr>
        <w:t>Druh obalu a obsah balenia</w:t>
      </w:r>
    </w:p>
    <w:p w14:paraId="06FED459" w14:textId="77777777" w:rsidR="00827BC4" w:rsidRDefault="00827BC4" w:rsidP="00827BC4">
      <w:pPr>
        <w:spacing w:line="240" w:lineRule="auto"/>
      </w:pPr>
    </w:p>
    <w:p w14:paraId="4EAF3A7E" w14:textId="185DE405" w:rsidR="00281402" w:rsidRDefault="00281402" w:rsidP="00827BC4">
      <w:pPr>
        <w:spacing w:line="240" w:lineRule="auto"/>
      </w:pPr>
      <w:r>
        <w:t>Injekčná liekovka z bezfarebného skla typu I o objeme 20 ml.</w:t>
      </w:r>
    </w:p>
    <w:p w14:paraId="5EAE61FB" w14:textId="6786E053" w:rsidR="006A538F" w:rsidRPr="00C132F1" w:rsidRDefault="006A538F" w:rsidP="00827BC4">
      <w:pPr>
        <w:spacing w:line="240" w:lineRule="auto"/>
      </w:pPr>
      <w:r>
        <w:t>Injekčné liekovky sú uzatvorené brómbutylovou zátkou so snímateľným hliníkovým krytom.</w:t>
      </w:r>
    </w:p>
    <w:p w14:paraId="3363CFDD" w14:textId="71BF541E" w:rsidR="00281402" w:rsidRPr="00C132F1" w:rsidRDefault="00281402" w:rsidP="00827BC4">
      <w:pPr>
        <w:spacing w:line="240" w:lineRule="auto"/>
      </w:pPr>
      <w:r>
        <w:t>Škatuľa s 1 injekčnou liekovkou, ktorá obsahuje 20 ml injekčného roztoku.</w:t>
      </w:r>
    </w:p>
    <w:p w14:paraId="172A0DD4" w14:textId="77777777" w:rsidR="00281402" w:rsidRPr="00C132F1" w:rsidRDefault="00281402" w:rsidP="00827BC4">
      <w:pPr>
        <w:spacing w:line="240" w:lineRule="auto"/>
        <w:rPr>
          <w:noProof/>
        </w:rPr>
      </w:pPr>
    </w:p>
    <w:p w14:paraId="43614EDD" w14:textId="792509E9" w:rsidR="00281402" w:rsidRPr="00434F5F" w:rsidRDefault="00281402" w:rsidP="00827BC4">
      <w:pPr>
        <w:autoSpaceDE w:val="0"/>
        <w:autoSpaceDN w:val="0"/>
        <w:adjustRightInd w:val="0"/>
        <w:spacing w:line="240" w:lineRule="auto"/>
      </w:pPr>
      <w:r>
        <w:rPr>
          <w:b/>
          <w:bCs/>
        </w:rPr>
        <w:t xml:space="preserve">6.6 </w:t>
      </w:r>
      <w:r w:rsidR="00827BC4">
        <w:rPr>
          <w:b/>
          <w:bCs/>
        </w:rPr>
        <w:tab/>
      </w:r>
      <w:r>
        <w:rPr>
          <w:b/>
          <w:bCs/>
        </w:rPr>
        <w:t>Špeciálne opatrenia na likvidáciu</w:t>
      </w:r>
    </w:p>
    <w:p w14:paraId="1CFA1699" w14:textId="77777777" w:rsidR="00827BC4" w:rsidRDefault="00827BC4" w:rsidP="00827BC4">
      <w:pPr>
        <w:spacing w:line="240" w:lineRule="auto"/>
      </w:pPr>
    </w:p>
    <w:p w14:paraId="071B4DC1" w14:textId="18E0115D" w:rsidR="00281402" w:rsidRPr="00434F5F" w:rsidRDefault="00281402" w:rsidP="00827BC4">
      <w:pPr>
        <w:spacing w:line="240" w:lineRule="auto"/>
      </w:pPr>
      <w:r>
        <w:t>Všetok nepoužitý liek alebo odpad vzniknutý z lieku sa má zlikvidovať v súlade s národnými požiadavkami.</w:t>
      </w:r>
    </w:p>
    <w:p w14:paraId="3D8293F2" w14:textId="77777777" w:rsidR="00CB6D8B" w:rsidRDefault="00CB6D8B" w:rsidP="00827BC4">
      <w:pPr>
        <w:spacing w:line="240" w:lineRule="auto"/>
      </w:pPr>
    </w:p>
    <w:p w14:paraId="0FAD56ED" w14:textId="77777777" w:rsidR="00C132F1" w:rsidRPr="00C132F1" w:rsidRDefault="00C132F1" w:rsidP="00827BC4">
      <w:pPr>
        <w:spacing w:line="240" w:lineRule="auto"/>
      </w:pPr>
    </w:p>
    <w:p w14:paraId="5572728B" w14:textId="4141B53D" w:rsidR="00281402" w:rsidRPr="00434F5F" w:rsidRDefault="00281402" w:rsidP="00827BC4">
      <w:pPr>
        <w:autoSpaceDE w:val="0"/>
        <w:autoSpaceDN w:val="0"/>
        <w:adjustRightInd w:val="0"/>
        <w:spacing w:line="240" w:lineRule="auto"/>
      </w:pPr>
      <w:r>
        <w:rPr>
          <w:b/>
          <w:bCs/>
        </w:rPr>
        <w:t xml:space="preserve">7. </w:t>
      </w:r>
      <w:r w:rsidR="00827BC4">
        <w:rPr>
          <w:b/>
          <w:bCs/>
        </w:rPr>
        <w:tab/>
      </w:r>
      <w:r>
        <w:rPr>
          <w:b/>
          <w:bCs/>
        </w:rPr>
        <w:t>DRŽITEĽ ROZHODNUTIA O REGISTRÁCII</w:t>
      </w:r>
    </w:p>
    <w:p w14:paraId="10D2ADD8" w14:textId="77777777" w:rsidR="00827BC4" w:rsidRDefault="00827BC4" w:rsidP="00827BC4">
      <w:pPr>
        <w:autoSpaceDE w:val="0"/>
        <w:autoSpaceDN w:val="0"/>
        <w:adjustRightInd w:val="0"/>
        <w:spacing w:line="240" w:lineRule="auto"/>
      </w:pPr>
    </w:p>
    <w:p w14:paraId="7D63F249" w14:textId="77777777" w:rsidR="00827BC4" w:rsidRDefault="00827BC4" w:rsidP="00827BC4">
      <w:pPr>
        <w:autoSpaceDE w:val="0"/>
        <w:autoSpaceDN w:val="0"/>
        <w:adjustRightInd w:val="0"/>
        <w:spacing w:line="240" w:lineRule="auto"/>
      </w:pPr>
      <w:r>
        <w:t>B. Braun Melsungen AG</w:t>
      </w:r>
    </w:p>
    <w:p w14:paraId="493F382B" w14:textId="77777777" w:rsidR="00827BC4" w:rsidRDefault="00827BC4" w:rsidP="00827BC4">
      <w:pPr>
        <w:autoSpaceDE w:val="0"/>
        <w:autoSpaceDN w:val="0"/>
        <w:adjustRightInd w:val="0"/>
        <w:spacing w:line="240" w:lineRule="auto"/>
      </w:pPr>
      <w:r>
        <w:t>Carl-Braun-Strasse 1</w:t>
      </w:r>
    </w:p>
    <w:p w14:paraId="4343CE4D" w14:textId="77777777" w:rsidR="00827BC4" w:rsidRDefault="00827BC4" w:rsidP="00827BC4">
      <w:pPr>
        <w:autoSpaceDE w:val="0"/>
        <w:autoSpaceDN w:val="0"/>
        <w:adjustRightInd w:val="0"/>
        <w:spacing w:line="240" w:lineRule="auto"/>
      </w:pPr>
      <w:r>
        <w:t>34212 Melsungen</w:t>
      </w:r>
    </w:p>
    <w:p w14:paraId="22A13137" w14:textId="682458A8" w:rsidR="00EE31E4" w:rsidRDefault="00827BC4" w:rsidP="00827BC4">
      <w:pPr>
        <w:autoSpaceDE w:val="0"/>
        <w:autoSpaceDN w:val="0"/>
        <w:adjustRightInd w:val="0"/>
        <w:spacing w:line="240" w:lineRule="auto"/>
      </w:pPr>
      <w:r>
        <w:t>Nemecko</w:t>
      </w:r>
    </w:p>
    <w:p w14:paraId="556A1C64" w14:textId="77777777" w:rsidR="00827BC4" w:rsidRDefault="00827BC4" w:rsidP="00827BC4">
      <w:pPr>
        <w:autoSpaceDE w:val="0"/>
        <w:autoSpaceDN w:val="0"/>
        <w:adjustRightInd w:val="0"/>
        <w:spacing w:line="240" w:lineRule="auto"/>
      </w:pPr>
    </w:p>
    <w:p w14:paraId="62D00FBA" w14:textId="699DDDD8" w:rsidR="00827BC4" w:rsidRPr="00827BC4" w:rsidRDefault="00827BC4" w:rsidP="00827BC4">
      <w:pPr>
        <w:autoSpaceDE w:val="0"/>
        <w:autoSpaceDN w:val="0"/>
        <w:adjustRightInd w:val="0"/>
        <w:spacing w:line="240" w:lineRule="auto"/>
        <w:rPr>
          <w:i/>
        </w:rPr>
      </w:pPr>
      <w:r w:rsidRPr="00827BC4">
        <w:rPr>
          <w:i/>
        </w:rPr>
        <w:t>Poštová adresa:</w:t>
      </w:r>
    </w:p>
    <w:p w14:paraId="62F845E2" w14:textId="0F9DA698" w:rsidR="00827BC4" w:rsidRDefault="00827BC4" w:rsidP="00827BC4">
      <w:pPr>
        <w:autoSpaceDE w:val="0"/>
        <w:autoSpaceDN w:val="0"/>
        <w:adjustRightInd w:val="0"/>
        <w:spacing w:line="240" w:lineRule="auto"/>
      </w:pPr>
      <w:r>
        <w:t>B. Braun Melsungen AG</w:t>
      </w:r>
    </w:p>
    <w:p w14:paraId="68549323" w14:textId="3DE90A67" w:rsidR="00827BC4" w:rsidRDefault="00827BC4" w:rsidP="00827BC4">
      <w:pPr>
        <w:autoSpaceDE w:val="0"/>
        <w:autoSpaceDN w:val="0"/>
        <w:adjustRightInd w:val="0"/>
        <w:spacing w:line="240" w:lineRule="auto"/>
      </w:pPr>
      <w:r>
        <w:t>34209 Melsungen</w:t>
      </w:r>
    </w:p>
    <w:p w14:paraId="2E0CD8E1" w14:textId="3040E304" w:rsidR="00827BC4" w:rsidRPr="00434F5F" w:rsidRDefault="00827BC4" w:rsidP="00827BC4">
      <w:pPr>
        <w:autoSpaceDE w:val="0"/>
        <w:autoSpaceDN w:val="0"/>
        <w:adjustRightInd w:val="0"/>
        <w:spacing w:line="240" w:lineRule="auto"/>
      </w:pPr>
      <w:r>
        <w:lastRenderedPageBreak/>
        <w:t>Nemecko</w:t>
      </w:r>
    </w:p>
    <w:p w14:paraId="1CE9C1FB" w14:textId="77777777" w:rsidR="00670CD5" w:rsidRPr="00434F5F" w:rsidRDefault="00670CD5" w:rsidP="00827BC4">
      <w:pPr>
        <w:autoSpaceDE w:val="0"/>
        <w:autoSpaceDN w:val="0"/>
        <w:adjustRightInd w:val="0"/>
        <w:spacing w:line="240" w:lineRule="auto"/>
      </w:pPr>
    </w:p>
    <w:p w14:paraId="3C75D65C" w14:textId="77777777" w:rsidR="00C132F1" w:rsidRPr="00434F5F" w:rsidRDefault="00C132F1" w:rsidP="00827BC4">
      <w:pPr>
        <w:autoSpaceDE w:val="0"/>
        <w:autoSpaceDN w:val="0"/>
        <w:adjustRightInd w:val="0"/>
        <w:spacing w:line="240" w:lineRule="auto"/>
      </w:pPr>
    </w:p>
    <w:p w14:paraId="4EC37A19" w14:textId="14797DB9" w:rsidR="00281402" w:rsidRPr="00434F5F" w:rsidRDefault="00281402" w:rsidP="00827BC4">
      <w:pPr>
        <w:autoSpaceDE w:val="0"/>
        <w:autoSpaceDN w:val="0"/>
        <w:adjustRightInd w:val="0"/>
        <w:spacing w:line="240" w:lineRule="auto"/>
      </w:pPr>
      <w:r>
        <w:rPr>
          <w:b/>
          <w:bCs/>
        </w:rPr>
        <w:t xml:space="preserve">8. </w:t>
      </w:r>
      <w:r w:rsidR="00827BC4">
        <w:rPr>
          <w:b/>
          <w:bCs/>
        </w:rPr>
        <w:tab/>
      </w:r>
      <w:r>
        <w:rPr>
          <w:b/>
          <w:bCs/>
        </w:rPr>
        <w:t>REGISTRAČNÉ ČÍSLO (ČÍSLA)</w:t>
      </w:r>
    </w:p>
    <w:p w14:paraId="3C2FE899" w14:textId="77777777" w:rsidR="00FB3E14" w:rsidRPr="00434F5F" w:rsidRDefault="00FB3E14" w:rsidP="00827BC4">
      <w:pPr>
        <w:autoSpaceDE w:val="0"/>
        <w:autoSpaceDN w:val="0"/>
        <w:adjustRightInd w:val="0"/>
        <w:spacing w:line="240" w:lineRule="auto"/>
      </w:pPr>
    </w:p>
    <w:p w14:paraId="7F71698E" w14:textId="0D9CA4A1" w:rsidR="00C400A0" w:rsidRDefault="00555A48" w:rsidP="00827BC4">
      <w:pPr>
        <w:autoSpaceDE w:val="0"/>
        <w:autoSpaceDN w:val="0"/>
        <w:adjustRightInd w:val="0"/>
        <w:spacing w:line="240" w:lineRule="auto"/>
      </w:pPr>
      <w:r w:rsidRPr="00555A48">
        <w:t>01/0178/20-S</w:t>
      </w:r>
    </w:p>
    <w:p w14:paraId="4451E2E0" w14:textId="77777777" w:rsidR="00827BC4" w:rsidRPr="00434F5F" w:rsidRDefault="00827BC4" w:rsidP="00827BC4">
      <w:pPr>
        <w:autoSpaceDE w:val="0"/>
        <w:autoSpaceDN w:val="0"/>
        <w:adjustRightInd w:val="0"/>
        <w:spacing w:line="240" w:lineRule="auto"/>
      </w:pPr>
    </w:p>
    <w:p w14:paraId="2F9D3137" w14:textId="77777777" w:rsidR="00C132F1" w:rsidRPr="00434F5F" w:rsidRDefault="00C132F1" w:rsidP="00827BC4">
      <w:pPr>
        <w:autoSpaceDE w:val="0"/>
        <w:autoSpaceDN w:val="0"/>
        <w:adjustRightInd w:val="0"/>
        <w:spacing w:line="240" w:lineRule="auto"/>
      </w:pPr>
    </w:p>
    <w:p w14:paraId="3CEB7BED" w14:textId="13D8ED97" w:rsidR="00281402" w:rsidRPr="00434F5F" w:rsidRDefault="00281402" w:rsidP="00827BC4">
      <w:pPr>
        <w:autoSpaceDE w:val="0"/>
        <w:autoSpaceDN w:val="0"/>
        <w:adjustRightInd w:val="0"/>
        <w:spacing w:line="240" w:lineRule="auto"/>
      </w:pPr>
      <w:r>
        <w:rPr>
          <w:b/>
          <w:bCs/>
        </w:rPr>
        <w:t xml:space="preserve">9. </w:t>
      </w:r>
      <w:r w:rsidR="00827BC4">
        <w:rPr>
          <w:b/>
          <w:bCs/>
        </w:rPr>
        <w:tab/>
      </w:r>
      <w:r>
        <w:rPr>
          <w:b/>
          <w:bCs/>
        </w:rPr>
        <w:t>DÁTUM PRVEJ REGISTRÁCIE/PREDĹŽENIA REGISTRÁCIE</w:t>
      </w:r>
    </w:p>
    <w:p w14:paraId="4AECAA14" w14:textId="77777777" w:rsidR="007108AB" w:rsidRDefault="007108AB" w:rsidP="00827BC4">
      <w:pPr>
        <w:autoSpaceDE w:val="0"/>
        <w:autoSpaceDN w:val="0"/>
        <w:adjustRightInd w:val="0"/>
        <w:spacing w:line="240" w:lineRule="auto"/>
      </w:pPr>
    </w:p>
    <w:p w14:paraId="571F07E1" w14:textId="77777777" w:rsidR="00555A48" w:rsidRPr="004D1FDE" w:rsidRDefault="00555A48" w:rsidP="00555A48">
      <w:r w:rsidRPr="004D1FDE">
        <w:t xml:space="preserve">Dátum prvej registrácie: </w:t>
      </w:r>
    </w:p>
    <w:p w14:paraId="258E1742" w14:textId="77777777" w:rsidR="00555A48" w:rsidRPr="00434F5F" w:rsidRDefault="00555A48" w:rsidP="00827BC4">
      <w:pPr>
        <w:autoSpaceDE w:val="0"/>
        <w:autoSpaceDN w:val="0"/>
        <w:adjustRightInd w:val="0"/>
        <w:spacing w:line="240" w:lineRule="auto"/>
      </w:pPr>
    </w:p>
    <w:p w14:paraId="2B2E7076" w14:textId="77777777" w:rsidR="00C132F1" w:rsidRPr="00434F5F" w:rsidRDefault="00C132F1" w:rsidP="00827BC4">
      <w:pPr>
        <w:autoSpaceDE w:val="0"/>
        <w:autoSpaceDN w:val="0"/>
        <w:adjustRightInd w:val="0"/>
        <w:spacing w:line="240" w:lineRule="auto"/>
      </w:pPr>
    </w:p>
    <w:p w14:paraId="7445A298" w14:textId="041F62FF" w:rsidR="00281402" w:rsidRDefault="00281402" w:rsidP="00827BC4">
      <w:pPr>
        <w:autoSpaceDE w:val="0"/>
        <w:autoSpaceDN w:val="0"/>
        <w:adjustRightInd w:val="0"/>
        <w:spacing w:line="240" w:lineRule="auto"/>
        <w:rPr>
          <w:b/>
          <w:bCs/>
        </w:rPr>
      </w:pPr>
      <w:r>
        <w:rPr>
          <w:b/>
          <w:bCs/>
        </w:rPr>
        <w:t xml:space="preserve">10. </w:t>
      </w:r>
      <w:r w:rsidR="00827BC4">
        <w:rPr>
          <w:b/>
          <w:bCs/>
        </w:rPr>
        <w:tab/>
      </w:r>
      <w:r>
        <w:rPr>
          <w:b/>
          <w:bCs/>
        </w:rPr>
        <w:t>DÁTUM REVÍZIE TEXTU</w:t>
      </w:r>
    </w:p>
    <w:p w14:paraId="43257966" w14:textId="77777777" w:rsidR="00827BC4" w:rsidRDefault="00827BC4" w:rsidP="00827BC4">
      <w:pPr>
        <w:autoSpaceDE w:val="0"/>
        <w:autoSpaceDN w:val="0"/>
        <w:adjustRightInd w:val="0"/>
        <w:spacing w:line="240" w:lineRule="auto"/>
      </w:pPr>
    </w:p>
    <w:p w14:paraId="5C7E38D3" w14:textId="7156DAAE" w:rsidR="00555A48" w:rsidRPr="00434F5F" w:rsidRDefault="00555A48" w:rsidP="00827BC4">
      <w:pPr>
        <w:autoSpaceDE w:val="0"/>
        <w:autoSpaceDN w:val="0"/>
        <w:adjustRightInd w:val="0"/>
        <w:spacing w:line="240" w:lineRule="auto"/>
      </w:pPr>
      <w:r>
        <w:t>07/2020</w:t>
      </w:r>
    </w:p>
    <w:sectPr w:rsidR="00555A48" w:rsidRPr="00434F5F" w:rsidSect="003A2345">
      <w:headerReference w:type="default" r:id="rId9"/>
      <w:footerReference w:type="default" r:id="rId10"/>
      <w:headerReference w:type="first" r:id="rId11"/>
      <w:endnotePr>
        <w:numFmt w:val="decimal"/>
      </w:endnotePr>
      <w:pgSz w:w="11907" w:h="16840" w:code="9"/>
      <w:pgMar w:top="1134" w:right="1418" w:bottom="1134"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FE39C" w16cid:durableId="21DE8C6D"/>
  <w16cid:commentId w16cid:paraId="03FCF347" w16cid:durableId="21DE8C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D8C80" w14:textId="77777777" w:rsidR="00F869B6" w:rsidRDefault="00F869B6">
      <w:r>
        <w:separator/>
      </w:r>
    </w:p>
  </w:endnote>
  <w:endnote w:type="continuationSeparator" w:id="0">
    <w:p w14:paraId="417DFC11" w14:textId="77777777" w:rsidR="00F869B6" w:rsidRDefault="00F8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938850"/>
      <w:docPartObj>
        <w:docPartGallery w:val="Page Numbers (Bottom of Page)"/>
        <w:docPartUnique/>
      </w:docPartObj>
    </w:sdtPr>
    <w:sdtEndPr>
      <w:rPr>
        <w:rFonts w:ascii="Times New Roman" w:hAnsi="Times New Roman" w:cs="Times New Roman"/>
        <w:sz w:val="18"/>
        <w:szCs w:val="18"/>
      </w:rPr>
    </w:sdtEndPr>
    <w:sdtContent>
      <w:p w14:paraId="1C5D7103" w14:textId="78265BFE" w:rsidR="002E13FA" w:rsidRPr="002E13FA" w:rsidRDefault="002E13FA">
        <w:pPr>
          <w:pStyle w:val="Pta"/>
          <w:jc w:val="center"/>
          <w:rPr>
            <w:rFonts w:ascii="Times New Roman" w:hAnsi="Times New Roman" w:cs="Times New Roman"/>
            <w:sz w:val="18"/>
            <w:szCs w:val="18"/>
          </w:rPr>
        </w:pPr>
        <w:r w:rsidRPr="002E13FA">
          <w:rPr>
            <w:rFonts w:ascii="Times New Roman" w:hAnsi="Times New Roman" w:cs="Times New Roman"/>
            <w:sz w:val="18"/>
            <w:szCs w:val="18"/>
          </w:rPr>
          <w:fldChar w:fldCharType="begin"/>
        </w:r>
        <w:r w:rsidRPr="002E13FA">
          <w:rPr>
            <w:rFonts w:ascii="Times New Roman" w:hAnsi="Times New Roman" w:cs="Times New Roman"/>
            <w:sz w:val="18"/>
            <w:szCs w:val="18"/>
          </w:rPr>
          <w:instrText>PAGE   \* MERGEFORMAT</w:instrText>
        </w:r>
        <w:r w:rsidRPr="002E13FA">
          <w:rPr>
            <w:rFonts w:ascii="Times New Roman" w:hAnsi="Times New Roman" w:cs="Times New Roman"/>
            <w:sz w:val="18"/>
            <w:szCs w:val="18"/>
          </w:rPr>
          <w:fldChar w:fldCharType="separate"/>
        </w:r>
        <w:r w:rsidR="003A2345" w:rsidRPr="003A2345">
          <w:rPr>
            <w:rFonts w:ascii="Times New Roman" w:hAnsi="Times New Roman" w:cs="Times New Roman"/>
            <w:noProof/>
            <w:sz w:val="18"/>
            <w:szCs w:val="18"/>
            <w:lang w:val="cs-CZ"/>
          </w:rPr>
          <w:t>8</w:t>
        </w:r>
        <w:r w:rsidRPr="002E13FA">
          <w:rPr>
            <w:rFonts w:ascii="Times New Roman" w:hAnsi="Times New Roman" w:cs="Times New Roman"/>
            <w:sz w:val="18"/>
            <w:szCs w:val="18"/>
          </w:rPr>
          <w:fldChar w:fldCharType="end"/>
        </w:r>
      </w:p>
    </w:sdtContent>
  </w:sdt>
  <w:p w14:paraId="6844189F" w14:textId="77777777" w:rsidR="002E13FA" w:rsidRDefault="002E13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C6769" w14:textId="77777777" w:rsidR="00F869B6" w:rsidRDefault="00F869B6">
      <w:r>
        <w:separator/>
      </w:r>
    </w:p>
  </w:footnote>
  <w:footnote w:type="continuationSeparator" w:id="0">
    <w:p w14:paraId="523DCC1C" w14:textId="77777777" w:rsidR="00F869B6" w:rsidRDefault="00F86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01FB0" w14:textId="5B3CA628" w:rsidR="00827BC4" w:rsidRPr="00827BC4" w:rsidRDefault="00827BC4">
    <w:pPr>
      <w:pStyle w:val="Hlavika"/>
      <w:rPr>
        <w:rFonts w:ascii="Times New Roman" w:hAnsi="Times New Roman" w:cs="Times New Roman"/>
        <w:sz w:val="18"/>
        <w:szCs w:val="18"/>
      </w:rPr>
    </w:pPr>
    <w:r w:rsidRPr="00827BC4">
      <w:rPr>
        <w:rFonts w:ascii="Times New Roman" w:hAnsi="Times New Roman" w:cs="Times New Roman"/>
        <w:sz w:val="18"/>
        <w:szCs w:val="18"/>
      </w:rPr>
      <w:t>Schválený text k rozhodnutiu o registrácii, ev. č.:</w:t>
    </w:r>
    <w:r w:rsidR="0040127E">
      <w:rPr>
        <w:rFonts w:ascii="Times New Roman" w:hAnsi="Times New Roman" w:cs="Times New Roman"/>
        <w:sz w:val="18"/>
        <w:szCs w:val="18"/>
      </w:rPr>
      <w:t xml:space="preserve"> 2018/05232-REG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376C2" w14:textId="77777777" w:rsidR="008A6B37" w:rsidRPr="00A01338" w:rsidRDefault="008A6B37" w:rsidP="00064839">
    <w:pPr>
      <w:pStyle w:val="Hlavika"/>
      <w:tabs>
        <w:tab w:val="clear" w:pos="4153"/>
      </w:tabs>
      <w:rPr>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5C74EC"/>
    <w:multiLevelType w:val="hybridMultilevel"/>
    <w:tmpl w:val="4184E694"/>
    <w:lvl w:ilvl="0" w:tplc="A2A05590">
      <w:start w:val="19"/>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5B962DE"/>
    <w:multiLevelType w:val="hybridMultilevel"/>
    <w:tmpl w:val="D26CF428"/>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9DC1C7B"/>
    <w:multiLevelType w:val="hybridMultilevel"/>
    <w:tmpl w:val="B50E5B28"/>
    <w:lvl w:ilvl="0" w:tplc="2B1638B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C655831"/>
    <w:multiLevelType w:val="hybridMultilevel"/>
    <w:tmpl w:val="507E554C"/>
    <w:lvl w:ilvl="0" w:tplc="F9445ED0">
      <w:start w:val="1"/>
      <w:numFmt w:val="bullet"/>
      <w:lvlText w:val=""/>
      <w:lvlJc w:val="left"/>
      <w:pPr>
        <w:tabs>
          <w:tab w:val="num" w:pos="1008"/>
        </w:tabs>
        <w:ind w:left="1008" w:hanging="360"/>
      </w:pPr>
      <w:rPr>
        <w:rFonts w:ascii="Symbol" w:hAnsi="Symbol" w:hint="default"/>
      </w:rPr>
    </w:lvl>
    <w:lvl w:ilvl="1" w:tplc="04100003">
      <w:start w:val="1"/>
      <w:numFmt w:val="bullet"/>
      <w:lvlText w:val="o"/>
      <w:lvlJc w:val="left"/>
      <w:pPr>
        <w:tabs>
          <w:tab w:val="num" w:pos="1584"/>
        </w:tabs>
        <w:ind w:left="1584" w:hanging="360"/>
      </w:pPr>
      <w:rPr>
        <w:rFonts w:ascii="Courier New" w:hAnsi="Courier New" w:hint="default"/>
      </w:rPr>
    </w:lvl>
    <w:lvl w:ilvl="2" w:tplc="04100005">
      <w:start w:val="1"/>
      <w:numFmt w:val="bullet"/>
      <w:lvlText w:val=""/>
      <w:lvlJc w:val="left"/>
      <w:pPr>
        <w:tabs>
          <w:tab w:val="num" w:pos="2304"/>
        </w:tabs>
        <w:ind w:left="2304" w:hanging="360"/>
      </w:pPr>
      <w:rPr>
        <w:rFonts w:ascii="Wingdings" w:hAnsi="Wingdings" w:hint="default"/>
      </w:rPr>
    </w:lvl>
    <w:lvl w:ilvl="3" w:tplc="04100001">
      <w:start w:val="1"/>
      <w:numFmt w:val="bullet"/>
      <w:lvlText w:val=""/>
      <w:lvlJc w:val="left"/>
      <w:pPr>
        <w:tabs>
          <w:tab w:val="num" w:pos="3024"/>
        </w:tabs>
        <w:ind w:left="3024" w:hanging="360"/>
      </w:pPr>
      <w:rPr>
        <w:rFonts w:ascii="Symbol" w:hAnsi="Symbol" w:hint="default"/>
      </w:rPr>
    </w:lvl>
    <w:lvl w:ilvl="4" w:tplc="04100003">
      <w:start w:val="1"/>
      <w:numFmt w:val="bullet"/>
      <w:lvlText w:val="o"/>
      <w:lvlJc w:val="left"/>
      <w:pPr>
        <w:tabs>
          <w:tab w:val="num" w:pos="3744"/>
        </w:tabs>
        <w:ind w:left="3744" w:hanging="360"/>
      </w:pPr>
      <w:rPr>
        <w:rFonts w:ascii="Courier New" w:hAnsi="Courier New" w:hint="default"/>
      </w:rPr>
    </w:lvl>
    <w:lvl w:ilvl="5" w:tplc="04100005">
      <w:start w:val="1"/>
      <w:numFmt w:val="bullet"/>
      <w:lvlText w:val=""/>
      <w:lvlJc w:val="left"/>
      <w:pPr>
        <w:tabs>
          <w:tab w:val="num" w:pos="4464"/>
        </w:tabs>
        <w:ind w:left="4464" w:hanging="360"/>
      </w:pPr>
      <w:rPr>
        <w:rFonts w:ascii="Wingdings" w:hAnsi="Wingdings" w:hint="default"/>
      </w:rPr>
    </w:lvl>
    <w:lvl w:ilvl="6" w:tplc="04100001">
      <w:start w:val="1"/>
      <w:numFmt w:val="bullet"/>
      <w:lvlText w:val=""/>
      <w:lvlJc w:val="left"/>
      <w:pPr>
        <w:tabs>
          <w:tab w:val="num" w:pos="5184"/>
        </w:tabs>
        <w:ind w:left="5184" w:hanging="360"/>
      </w:pPr>
      <w:rPr>
        <w:rFonts w:ascii="Symbol" w:hAnsi="Symbol" w:hint="default"/>
      </w:rPr>
    </w:lvl>
    <w:lvl w:ilvl="7" w:tplc="04100003">
      <w:start w:val="1"/>
      <w:numFmt w:val="bullet"/>
      <w:lvlText w:val="o"/>
      <w:lvlJc w:val="left"/>
      <w:pPr>
        <w:tabs>
          <w:tab w:val="num" w:pos="5904"/>
        </w:tabs>
        <w:ind w:left="5904" w:hanging="360"/>
      </w:pPr>
      <w:rPr>
        <w:rFonts w:ascii="Courier New" w:hAnsi="Courier New" w:hint="default"/>
      </w:rPr>
    </w:lvl>
    <w:lvl w:ilvl="8" w:tplc="04100005">
      <w:start w:val="1"/>
      <w:numFmt w:val="bullet"/>
      <w:lvlText w:val=""/>
      <w:lvlJc w:val="left"/>
      <w:pPr>
        <w:tabs>
          <w:tab w:val="num" w:pos="6624"/>
        </w:tabs>
        <w:ind w:left="6624"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92019"/>
    <w:multiLevelType w:val="hybridMultilevel"/>
    <w:tmpl w:val="74182D2A"/>
    <w:lvl w:ilvl="0" w:tplc="DE40F542">
      <w:start w:val="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2" w15:restartNumberingAfterBreak="0">
    <w:nsid w:val="3A3E1714"/>
    <w:multiLevelType w:val="hybridMultilevel"/>
    <w:tmpl w:val="5DA8667A"/>
    <w:lvl w:ilvl="0" w:tplc="08100001">
      <w:start w:val="10"/>
      <w:numFmt w:val="bullet"/>
      <w:lvlText w:val=""/>
      <w:lvlJc w:val="left"/>
      <w:pPr>
        <w:ind w:left="720" w:hanging="360"/>
      </w:pPr>
      <w:rPr>
        <w:rFonts w:ascii="Symbol" w:eastAsia="Times New Roman" w:hAnsi="Symbol"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3" w15:restartNumberingAfterBreak="0">
    <w:nsid w:val="3C653A9D"/>
    <w:multiLevelType w:val="hybridMultilevel"/>
    <w:tmpl w:val="9EE678A8"/>
    <w:lvl w:ilvl="0" w:tplc="0288703E">
      <w:start w:val="4"/>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F217CAD"/>
    <w:multiLevelType w:val="hybridMultilevel"/>
    <w:tmpl w:val="1736EAD6"/>
    <w:lvl w:ilvl="0" w:tplc="08100001">
      <w:start w:val="10"/>
      <w:numFmt w:val="bullet"/>
      <w:lvlText w:val=""/>
      <w:lvlJc w:val="left"/>
      <w:pPr>
        <w:ind w:left="720" w:hanging="360"/>
      </w:pPr>
      <w:rPr>
        <w:rFonts w:ascii="Symbol" w:eastAsia="Times New Roman" w:hAnsi="Symbol"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bCs/>
      </w:rPr>
    </w:lvl>
  </w:abstractNum>
  <w:abstractNum w:abstractNumId="32"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4"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start w:val="1"/>
      <w:numFmt w:val="lowerLetter"/>
      <w:lvlText w:val="%2."/>
      <w:lvlJc w:val="left"/>
      <w:pPr>
        <w:tabs>
          <w:tab w:val="num" w:pos="2073"/>
        </w:tabs>
        <w:ind w:left="2073" w:hanging="360"/>
      </w:pPr>
      <w:rPr>
        <w:rFonts w:cs="Times New Roman"/>
      </w:rPr>
    </w:lvl>
    <w:lvl w:ilvl="2" w:tplc="0409001B">
      <w:start w:val="1"/>
      <w:numFmt w:val="lowerRoman"/>
      <w:lvlText w:val="%3."/>
      <w:lvlJc w:val="right"/>
      <w:pPr>
        <w:tabs>
          <w:tab w:val="num" w:pos="2793"/>
        </w:tabs>
        <w:ind w:left="2793" w:hanging="180"/>
      </w:pPr>
      <w:rPr>
        <w:rFonts w:cs="Times New Roman"/>
      </w:rPr>
    </w:lvl>
    <w:lvl w:ilvl="3" w:tplc="0409000F">
      <w:start w:val="1"/>
      <w:numFmt w:val="decimal"/>
      <w:lvlText w:val="%4."/>
      <w:lvlJc w:val="left"/>
      <w:pPr>
        <w:tabs>
          <w:tab w:val="num" w:pos="3513"/>
        </w:tabs>
        <w:ind w:left="3513" w:hanging="360"/>
      </w:pPr>
      <w:rPr>
        <w:rFonts w:cs="Times New Roman"/>
      </w:rPr>
    </w:lvl>
    <w:lvl w:ilvl="4" w:tplc="04090019">
      <w:start w:val="1"/>
      <w:numFmt w:val="lowerLetter"/>
      <w:lvlText w:val="%5."/>
      <w:lvlJc w:val="left"/>
      <w:pPr>
        <w:tabs>
          <w:tab w:val="num" w:pos="4233"/>
        </w:tabs>
        <w:ind w:left="4233" w:hanging="360"/>
      </w:pPr>
      <w:rPr>
        <w:rFonts w:cs="Times New Roman"/>
      </w:rPr>
    </w:lvl>
    <w:lvl w:ilvl="5" w:tplc="0409001B">
      <w:start w:val="1"/>
      <w:numFmt w:val="lowerRoman"/>
      <w:lvlText w:val="%6."/>
      <w:lvlJc w:val="right"/>
      <w:pPr>
        <w:tabs>
          <w:tab w:val="num" w:pos="4953"/>
        </w:tabs>
        <w:ind w:left="4953" w:hanging="180"/>
      </w:pPr>
      <w:rPr>
        <w:rFonts w:cs="Times New Roman"/>
      </w:rPr>
    </w:lvl>
    <w:lvl w:ilvl="6" w:tplc="0409000F">
      <w:start w:val="1"/>
      <w:numFmt w:val="decimal"/>
      <w:lvlText w:val="%7."/>
      <w:lvlJc w:val="left"/>
      <w:pPr>
        <w:tabs>
          <w:tab w:val="num" w:pos="5673"/>
        </w:tabs>
        <w:ind w:left="5673" w:hanging="360"/>
      </w:pPr>
      <w:rPr>
        <w:rFonts w:cs="Times New Roman"/>
      </w:rPr>
    </w:lvl>
    <w:lvl w:ilvl="7" w:tplc="04090019">
      <w:start w:val="1"/>
      <w:numFmt w:val="lowerLetter"/>
      <w:lvlText w:val="%8."/>
      <w:lvlJc w:val="left"/>
      <w:pPr>
        <w:tabs>
          <w:tab w:val="num" w:pos="6393"/>
        </w:tabs>
        <w:ind w:left="6393" w:hanging="360"/>
      </w:pPr>
      <w:rPr>
        <w:rFonts w:cs="Times New Roman"/>
      </w:rPr>
    </w:lvl>
    <w:lvl w:ilvl="8" w:tplc="0409001B">
      <w:start w:val="1"/>
      <w:numFmt w:val="lowerRoman"/>
      <w:lvlText w:val="%9."/>
      <w:lvlJc w:val="right"/>
      <w:pPr>
        <w:tabs>
          <w:tab w:val="num" w:pos="7113"/>
        </w:tabs>
        <w:ind w:left="7113" w:hanging="180"/>
      </w:pPr>
      <w:rPr>
        <w:rFonts w:cs="Times New Roman"/>
      </w:rPr>
    </w:lvl>
  </w:abstractNum>
  <w:abstractNum w:abstractNumId="35"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8" w15:restartNumberingAfterBreak="0">
    <w:nsid w:val="686A79DE"/>
    <w:multiLevelType w:val="hybridMultilevel"/>
    <w:tmpl w:val="11F68052"/>
    <w:lvl w:ilvl="0" w:tplc="F9445ED0">
      <w:start w:val="1"/>
      <w:numFmt w:val="bullet"/>
      <w:lvlText w:val=""/>
      <w:lvlJc w:val="left"/>
      <w:pPr>
        <w:tabs>
          <w:tab w:val="num" w:pos="1008"/>
        </w:tabs>
        <w:ind w:left="1008" w:hanging="360"/>
      </w:pPr>
      <w:rPr>
        <w:rFonts w:ascii="Symbol" w:hAnsi="Symbol" w:hint="default"/>
      </w:rPr>
    </w:lvl>
    <w:lvl w:ilvl="1" w:tplc="04100003">
      <w:start w:val="1"/>
      <w:numFmt w:val="bullet"/>
      <w:lvlText w:val="o"/>
      <w:lvlJc w:val="left"/>
      <w:pPr>
        <w:tabs>
          <w:tab w:val="num" w:pos="1584"/>
        </w:tabs>
        <w:ind w:left="1584" w:hanging="360"/>
      </w:pPr>
      <w:rPr>
        <w:rFonts w:ascii="Courier New" w:hAnsi="Courier New" w:hint="default"/>
      </w:rPr>
    </w:lvl>
    <w:lvl w:ilvl="2" w:tplc="04100005">
      <w:start w:val="1"/>
      <w:numFmt w:val="bullet"/>
      <w:lvlText w:val=""/>
      <w:lvlJc w:val="left"/>
      <w:pPr>
        <w:tabs>
          <w:tab w:val="num" w:pos="2304"/>
        </w:tabs>
        <w:ind w:left="2304" w:hanging="360"/>
      </w:pPr>
      <w:rPr>
        <w:rFonts w:ascii="Wingdings" w:hAnsi="Wingdings" w:hint="default"/>
      </w:rPr>
    </w:lvl>
    <w:lvl w:ilvl="3" w:tplc="04100001">
      <w:start w:val="1"/>
      <w:numFmt w:val="bullet"/>
      <w:lvlText w:val=""/>
      <w:lvlJc w:val="left"/>
      <w:pPr>
        <w:tabs>
          <w:tab w:val="num" w:pos="3024"/>
        </w:tabs>
        <w:ind w:left="3024" w:hanging="360"/>
      </w:pPr>
      <w:rPr>
        <w:rFonts w:ascii="Symbol" w:hAnsi="Symbol" w:hint="default"/>
      </w:rPr>
    </w:lvl>
    <w:lvl w:ilvl="4" w:tplc="04100003">
      <w:start w:val="1"/>
      <w:numFmt w:val="bullet"/>
      <w:lvlText w:val="o"/>
      <w:lvlJc w:val="left"/>
      <w:pPr>
        <w:tabs>
          <w:tab w:val="num" w:pos="3744"/>
        </w:tabs>
        <w:ind w:left="3744" w:hanging="360"/>
      </w:pPr>
      <w:rPr>
        <w:rFonts w:ascii="Courier New" w:hAnsi="Courier New" w:hint="default"/>
      </w:rPr>
    </w:lvl>
    <w:lvl w:ilvl="5" w:tplc="04100005">
      <w:start w:val="1"/>
      <w:numFmt w:val="bullet"/>
      <w:lvlText w:val=""/>
      <w:lvlJc w:val="left"/>
      <w:pPr>
        <w:tabs>
          <w:tab w:val="num" w:pos="4464"/>
        </w:tabs>
        <w:ind w:left="4464" w:hanging="360"/>
      </w:pPr>
      <w:rPr>
        <w:rFonts w:ascii="Wingdings" w:hAnsi="Wingdings" w:hint="default"/>
      </w:rPr>
    </w:lvl>
    <w:lvl w:ilvl="6" w:tplc="04100001">
      <w:start w:val="1"/>
      <w:numFmt w:val="bullet"/>
      <w:lvlText w:val=""/>
      <w:lvlJc w:val="left"/>
      <w:pPr>
        <w:tabs>
          <w:tab w:val="num" w:pos="5184"/>
        </w:tabs>
        <w:ind w:left="5184" w:hanging="360"/>
      </w:pPr>
      <w:rPr>
        <w:rFonts w:ascii="Symbol" w:hAnsi="Symbol" w:hint="default"/>
      </w:rPr>
    </w:lvl>
    <w:lvl w:ilvl="7" w:tplc="04100003">
      <w:start w:val="1"/>
      <w:numFmt w:val="bullet"/>
      <w:lvlText w:val="o"/>
      <w:lvlJc w:val="left"/>
      <w:pPr>
        <w:tabs>
          <w:tab w:val="num" w:pos="5904"/>
        </w:tabs>
        <w:ind w:left="5904" w:hanging="360"/>
      </w:pPr>
      <w:rPr>
        <w:rFonts w:ascii="Courier New" w:hAnsi="Courier New" w:hint="default"/>
      </w:rPr>
    </w:lvl>
    <w:lvl w:ilvl="8" w:tplc="04100005">
      <w:start w:val="1"/>
      <w:numFmt w:val="bullet"/>
      <w:lvlText w:val=""/>
      <w:lvlJc w:val="left"/>
      <w:pPr>
        <w:tabs>
          <w:tab w:val="num" w:pos="6624"/>
        </w:tabs>
        <w:ind w:left="6624" w:hanging="360"/>
      </w:pPr>
      <w:rPr>
        <w:rFonts w:ascii="Wingdings" w:hAnsi="Wingdings" w:hint="default"/>
      </w:rPr>
    </w:lvl>
  </w:abstractNum>
  <w:abstractNum w:abstractNumId="39" w15:restartNumberingAfterBreak="0">
    <w:nsid w:val="6ADE0BFD"/>
    <w:multiLevelType w:val="hybridMultilevel"/>
    <w:tmpl w:val="4A2CDFDC"/>
    <w:lvl w:ilvl="0" w:tplc="550E80C2">
      <w:start w:val="1"/>
      <w:numFmt w:val="bullet"/>
      <w:lvlText w:val=""/>
      <w:lvlJc w:val="left"/>
      <w:pPr>
        <w:tabs>
          <w:tab w:val="num" w:pos="983"/>
        </w:tabs>
        <w:ind w:left="983" w:hanging="360"/>
      </w:pPr>
      <w:rPr>
        <w:rFonts w:ascii="Symbol" w:hAnsi="Symbol" w:hint="default"/>
      </w:rPr>
    </w:lvl>
    <w:lvl w:ilvl="1" w:tplc="04100003">
      <w:start w:val="1"/>
      <w:numFmt w:val="bullet"/>
      <w:lvlText w:val="o"/>
      <w:lvlJc w:val="left"/>
      <w:pPr>
        <w:tabs>
          <w:tab w:val="num" w:pos="1703"/>
        </w:tabs>
        <w:ind w:left="1703" w:hanging="360"/>
      </w:pPr>
      <w:rPr>
        <w:rFonts w:ascii="Courier New" w:hAnsi="Courier New" w:hint="default"/>
      </w:rPr>
    </w:lvl>
    <w:lvl w:ilvl="2" w:tplc="04100005">
      <w:start w:val="1"/>
      <w:numFmt w:val="bullet"/>
      <w:lvlText w:val=""/>
      <w:lvlJc w:val="left"/>
      <w:pPr>
        <w:tabs>
          <w:tab w:val="num" w:pos="2423"/>
        </w:tabs>
        <w:ind w:left="2423" w:hanging="360"/>
      </w:pPr>
      <w:rPr>
        <w:rFonts w:ascii="Wingdings" w:hAnsi="Wingdings" w:hint="default"/>
      </w:rPr>
    </w:lvl>
    <w:lvl w:ilvl="3" w:tplc="04100001">
      <w:start w:val="1"/>
      <w:numFmt w:val="bullet"/>
      <w:lvlText w:val=""/>
      <w:lvlJc w:val="left"/>
      <w:pPr>
        <w:tabs>
          <w:tab w:val="num" w:pos="3143"/>
        </w:tabs>
        <w:ind w:left="3143" w:hanging="360"/>
      </w:pPr>
      <w:rPr>
        <w:rFonts w:ascii="Symbol" w:hAnsi="Symbol" w:hint="default"/>
      </w:rPr>
    </w:lvl>
    <w:lvl w:ilvl="4" w:tplc="04100003">
      <w:start w:val="1"/>
      <w:numFmt w:val="bullet"/>
      <w:lvlText w:val="o"/>
      <w:lvlJc w:val="left"/>
      <w:pPr>
        <w:tabs>
          <w:tab w:val="num" w:pos="3863"/>
        </w:tabs>
        <w:ind w:left="3863" w:hanging="360"/>
      </w:pPr>
      <w:rPr>
        <w:rFonts w:ascii="Courier New" w:hAnsi="Courier New" w:hint="default"/>
      </w:rPr>
    </w:lvl>
    <w:lvl w:ilvl="5" w:tplc="04100005">
      <w:start w:val="1"/>
      <w:numFmt w:val="bullet"/>
      <w:lvlText w:val=""/>
      <w:lvlJc w:val="left"/>
      <w:pPr>
        <w:tabs>
          <w:tab w:val="num" w:pos="4583"/>
        </w:tabs>
        <w:ind w:left="4583" w:hanging="360"/>
      </w:pPr>
      <w:rPr>
        <w:rFonts w:ascii="Wingdings" w:hAnsi="Wingdings" w:hint="default"/>
      </w:rPr>
    </w:lvl>
    <w:lvl w:ilvl="6" w:tplc="04100001">
      <w:start w:val="1"/>
      <w:numFmt w:val="bullet"/>
      <w:lvlText w:val=""/>
      <w:lvlJc w:val="left"/>
      <w:pPr>
        <w:tabs>
          <w:tab w:val="num" w:pos="5303"/>
        </w:tabs>
        <w:ind w:left="5303" w:hanging="360"/>
      </w:pPr>
      <w:rPr>
        <w:rFonts w:ascii="Symbol" w:hAnsi="Symbol" w:hint="default"/>
      </w:rPr>
    </w:lvl>
    <w:lvl w:ilvl="7" w:tplc="04100003">
      <w:start w:val="1"/>
      <w:numFmt w:val="bullet"/>
      <w:lvlText w:val="o"/>
      <w:lvlJc w:val="left"/>
      <w:pPr>
        <w:tabs>
          <w:tab w:val="num" w:pos="6023"/>
        </w:tabs>
        <w:ind w:left="6023" w:hanging="360"/>
      </w:pPr>
      <w:rPr>
        <w:rFonts w:ascii="Courier New" w:hAnsi="Courier New" w:hint="default"/>
      </w:rPr>
    </w:lvl>
    <w:lvl w:ilvl="8" w:tplc="04100005">
      <w:start w:val="1"/>
      <w:numFmt w:val="bullet"/>
      <w:lvlText w:val=""/>
      <w:lvlJc w:val="left"/>
      <w:pPr>
        <w:tabs>
          <w:tab w:val="num" w:pos="6743"/>
        </w:tabs>
        <w:ind w:left="6743"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bCs/>
      </w:rPr>
    </w:lvl>
  </w:abstractNum>
  <w:abstractNum w:abstractNumId="43"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bCs/>
      </w:rPr>
    </w:lvl>
    <w:lvl w:ilvl="1">
      <w:start w:val="4"/>
      <w:numFmt w:val="decimal"/>
      <w:lvlText w:val="%1.%2"/>
      <w:lvlJc w:val="left"/>
      <w:pPr>
        <w:tabs>
          <w:tab w:val="num" w:pos="708"/>
        </w:tabs>
        <w:ind w:left="708" w:hanging="420"/>
      </w:pPr>
      <w:rPr>
        <w:rFonts w:cs="Times New Roman" w:hint="default"/>
        <w:b/>
        <w:bCs/>
      </w:rPr>
    </w:lvl>
    <w:lvl w:ilvl="2">
      <w:start w:val="1"/>
      <w:numFmt w:val="decimal"/>
      <w:lvlText w:val="%1.%2.%3"/>
      <w:lvlJc w:val="left"/>
      <w:pPr>
        <w:tabs>
          <w:tab w:val="num" w:pos="1296"/>
        </w:tabs>
        <w:ind w:left="1296" w:hanging="720"/>
      </w:pPr>
      <w:rPr>
        <w:rFonts w:cs="Times New Roman" w:hint="default"/>
        <w:b/>
        <w:bCs/>
      </w:rPr>
    </w:lvl>
    <w:lvl w:ilvl="3">
      <w:start w:val="1"/>
      <w:numFmt w:val="decimal"/>
      <w:lvlText w:val="%1.%2.%3.%4"/>
      <w:lvlJc w:val="left"/>
      <w:pPr>
        <w:tabs>
          <w:tab w:val="num" w:pos="1584"/>
        </w:tabs>
        <w:ind w:left="1584" w:hanging="720"/>
      </w:pPr>
      <w:rPr>
        <w:rFonts w:cs="Times New Roman" w:hint="default"/>
        <w:b/>
        <w:bCs/>
      </w:rPr>
    </w:lvl>
    <w:lvl w:ilvl="4">
      <w:start w:val="1"/>
      <w:numFmt w:val="decimal"/>
      <w:lvlText w:val="%1.%2.%3.%4.%5"/>
      <w:lvlJc w:val="left"/>
      <w:pPr>
        <w:tabs>
          <w:tab w:val="num" w:pos="2232"/>
        </w:tabs>
        <w:ind w:left="2232" w:hanging="1080"/>
      </w:pPr>
      <w:rPr>
        <w:rFonts w:cs="Times New Roman" w:hint="default"/>
        <w:b/>
        <w:bCs/>
      </w:rPr>
    </w:lvl>
    <w:lvl w:ilvl="5">
      <w:start w:val="1"/>
      <w:numFmt w:val="decimal"/>
      <w:lvlText w:val="%1.%2.%3.%4.%5.%6"/>
      <w:lvlJc w:val="left"/>
      <w:pPr>
        <w:tabs>
          <w:tab w:val="num" w:pos="2520"/>
        </w:tabs>
        <w:ind w:left="2520" w:hanging="1080"/>
      </w:pPr>
      <w:rPr>
        <w:rFonts w:cs="Times New Roman" w:hint="default"/>
        <w:b/>
        <w:bCs/>
      </w:rPr>
    </w:lvl>
    <w:lvl w:ilvl="6">
      <w:start w:val="1"/>
      <w:numFmt w:val="decimal"/>
      <w:lvlText w:val="%1.%2.%3.%4.%5.%6.%7"/>
      <w:lvlJc w:val="left"/>
      <w:pPr>
        <w:tabs>
          <w:tab w:val="num" w:pos="3168"/>
        </w:tabs>
        <w:ind w:left="3168" w:hanging="1440"/>
      </w:pPr>
      <w:rPr>
        <w:rFonts w:cs="Times New Roman" w:hint="default"/>
        <w:b/>
        <w:bCs/>
      </w:rPr>
    </w:lvl>
    <w:lvl w:ilvl="7">
      <w:start w:val="1"/>
      <w:numFmt w:val="decimal"/>
      <w:lvlText w:val="%1.%2.%3.%4.%5.%6.%7.%8"/>
      <w:lvlJc w:val="left"/>
      <w:pPr>
        <w:tabs>
          <w:tab w:val="num" w:pos="3456"/>
        </w:tabs>
        <w:ind w:left="3456" w:hanging="1440"/>
      </w:pPr>
      <w:rPr>
        <w:rFonts w:cs="Times New Roman" w:hint="default"/>
        <w:b/>
        <w:bCs/>
      </w:rPr>
    </w:lvl>
    <w:lvl w:ilvl="8">
      <w:start w:val="1"/>
      <w:numFmt w:val="decimal"/>
      <w:lvlText w:val="%1.%2.%3.%4.%5.%6.%7.%8.%9"/>
      <w:lvlJc w:val="left"/>
      <w:pPr>
        <w:tabs>
          <w:tab w:val="num" w:pos="4104"/>
        </w:tabs>
        <w:ind w:left="4104" w:hanging="1800"/>
      </w:pPr>
      <w:rPr>
        <w:rFonts w:cs="Times New Roman" w:hint="default"/>
        <w:b/>
        <w:bCs/>
      </w:rPr>
    </w:lvl>
  </w:abstractNum>
  <w:abstractNum w:abstractNumId="45" w15:restartNumberingAfterBreak="0">
    <w:nsid w:val="760A3992"/>
    <w:multiLevelType w:val="hybridMultilevel"/>
    <w:tmpl w:val="B24210EE"/>
    <w:lvl w:ilvl="0" w:tplc="29922AFE">
      <w:start w:val="1"/>
      <w:numFmt w:val="decimal"/>
      <w:lvlText w:val="%1."/>
      <w:lvlJc w:val="left"/>
      <w:pPr>
        <w:tabs>
          <w:tab w:val="num" w:pos="504"/>
        </w:tabs>
        <w:ind w:left="504" w:hanging="360"/>
      </w:pPr>
      <w:rPr>
        <w:rFonts w:cs="Times New Roman" w:hint="default"/>
      </w:rPr>
    </w:lvl>
    <w:lvl w:ilvl="1" w:tplc="04100019">
      <w:start w:val="1"/>
      <w:numFmt w:val="lowerLetter"/>
      <w:lvlText w:val="%2."/>
      <w:lvlJc w:val="left"/>
      <w:pPr>
        <w:tabs>
          <w:tab w:val="num" w:pos="1224"/>
        </w:tabs>
        <w:ind w:left="1224" w:hanging="360"/>
      </w:pPr>
      <w:rPr>
        <w:rFonts w:cs="Times New Roman"/>
      </w:rPr>
    </w:lvl>
    <w:lvl w:ilvl="2" w:tplc="0410001B">
      <w:start w:val="1"/>
      <w:numFmt w:val="lowerRoman"/>
      <w:lvlText w:val="%3."/>
      <w:lvlJc w:val="right"/>
      <w:pPr>
        <w:tabs>
          <w:tab w:val="num" w:pos="1944"/>
        </w:tabs>
        <w:ind w:left="1944" w:hanging="180"/>
      </w:pPr>
      <w:rPr>
        <w:rFonts w:cs="Times New Roman"/>
      </w:rPr>
    </w:lvl>
    <w:lvl w:ilvl="3" w:tplc="0410000F">
      <w:start w:val="1"/>
      <w:numFmt w:val="decimal"/>
      <w:lvlText w:val="%4."/>
      <w:lvlJc w:val="left"/>
      <w:pPr>
        <w:tabs>
          <w:tab w:val="num" w:pos="2664"/>
        </w:tabs>
        <w:ind w:left="2664" w:hanging="360"/>
      </w:pPr>
      <w:rPr>
        <w:rFonts w:cs="Times New Roman"/>
      </w:rPr>
    </w:lvl>
    <w:lvl w:ilvl="4" w:tplc="04100019">
      <w:start w:val="1"/>
      <w:numFmt w:val="lowerLetter"/>
      <w:lvlText w:val="%5."/>
      <w:lvlJc w:val="left"/>
      <w:pPr>
        <w:tabs>
          <w:tab w:val="num" w:pos="3384"/>
        </w:tabs>
        <w:ind w:left="3384" w:hanging="360"/>
      </w:pPr>
      <w:rPr>
        <w:rFonts w:cs="Times New Roman"/>
      </w:rPr>
    </w:lvl>
    <w:lvl w:ilvl="5" w:tplc="0410001B">
      <w:start w:val="1"/>
      <w:numFmt w:val="lowerRoman"/>
      <w:lvlText w:val="%6."/>
      <w:lvlJc w:val="right"/>
      <w:pPr>
        <w:tabs>
          <w:tab w:val="num" w:pos="4104"/>
        </w:tabs>
        <w:ind w:left="4104" w:hanging="180"/>
      </w:pPr>
      <w:rPr>
        <w:rFonts w:cs="Times New Roman"/>
      </w:rPr>
    </w:lvl>
    <w:lvl w:ilvl="6" w:tplc="0410000F">
      <w:start w:val="1"/>
      <w:numFmt w:val="decimal"/>
      <w:lvlText w:val="%7."/>
      <w:lvlJc w:val="left"/>
      <w:pPr>
        <w:tabs>
          <w:tab w:val="num" w:pos="4824"/>
        </w:tabs>
        <w:ind w:left="4824" w:hanging="360"/>
      </w:pPr>
      <w:rPr>
        <w:rFonts w:cs="Times New Roman"/>
      </w:rPr>
    </w:lvl>
    <w:lvl w:ilvl="7" w:tplc="04100019">
      <w:start w:val="1"/>
      <w:numFmt w:val="lowerLetter"/>
      <w:lvlText w:val="%8."/>
      <w:lvlJc w:val="left"/>
      <w:pPr>
        <w:tabs>
          <w:tab w:val="num" w:pos="5544"/>
        </w:tabs>
        <w:ind w:left="5544" w:hanging="360"/>
      </w:pPr>
      <w:rPr>
        <w:rFonts w:cs="Times New Roman"/>
      </w:rPr>
    </w:lvl>
    <w:lvl w:ilvl="8" w:tplc="0410001B">
      <w:start w:val="1"/>
      <w:numFmt w:val="lowerRoman"/>
      <w:lvlText w:val="%9."/>
      <w:lvlJc w:val="right"/>
      <w:pPr>
        <w:tabs>
          <w:tab w:val="num" w:pos="6264"/>
        </w:tabs>
        <w:ind w:left="6264"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2"/>
  </w:num>
  <w:num w:numId="4">
    <w:abstractNumId w:val="41"/>
  </w:num>
  <w:num w:numId="5">
    <w:abstractNumId w:val="14"/>
  </w:num>
  <w:num w:numId="6">
    <w:abstractNumId w:val="28"/>
  </w:num>
  <w:num w:numId="7">
    <w:abstractNumId w:val="26"/>
  </w:num>
  <w:num w:numId="8">
    <w:abstractNumId w:val="7"/>
  </w:num>
  <w:num w:numId="9">
    <w:abstractNumId w:val="37"/>
  </w:num>
  <w:num w:numId="10">
    <w:abstractNumId w:val="40"/>
  </w:num>
  <w:num w:numId="11">
    <w:abstractNumId w:val="20"/>
  </w:num>
  <w:num w:numId="12">
    <w:abstractNumId w:val="16"/>
  </w:num>
  <w:num w:numId="13">
    <w:abstractNumId w:val="2"/>
  </w:num>
  <w:num w:numId="14">
    <w:abstractNumId w:val="36"/>
  </w:num>
  <w:num w:numId="15">
    <w:abstractNumId w:val="24"/>
  </w:num>
  <w:num w:numId="16">
    <w:abstractNumId w:val="43"/>
  </w:num>
  <w:num w:numId="17">
    <w:abstractNumId w:val="8"/>
  </w:num>
  <w:num w:numId="18">
    <w:abstractNumId w:val="1"/>
  </w:num>
  <w:num w:numId="19">
    <w:abstractNumId w:val="21"/>
  </w:num>
  <w:num w:numId="20">
    <w:abstractNumId w:val="3"/>
  </w:num>
  <w:num w:numId="21">
    <w:abstractNumId w:val="6"/>
  </w:num>
  <w:num w:numId="22">
    <w:abstractNumId w:val="31"/>
  </w:num>
  <w:num w:numId="23">
    <w:abstractNumId w:val="35"/>
  </w:num>
  <w:num w:numId="24">
    <w:abstractNumId w:val="30"/>
  </w:num>
  <w:num w:numId="25">
    <w:abstractNumId w:val="15"/>
  </w:num>
  <w:num w:numId="26">
    <w:abstractNumId w:val="10"/>
  </w:num>
  <w:num w:numId="27">
    <w:abstractNumId w:val="25"/>
  </w:num>
  <w:num w:numId="28">
    <w:abstractNumId w:val="29"/>
  </w:num>
  <w:num w:numId="29">
    <w:abstractNumId w:val="17"/>
  </w:num>
  <w:num w:numId="30">
    <w:abstractNumId w:val="9"/>
  </w:num>
  <w:num w:numId="31">
    <w:abstractNumId w:val="33"/>
  </w:num>
  <w:num w:numId="32">
    <w:abstractNumId w:val="34"/>
  </w:num>
  <w:num w:numId="33">
    <w:abstractNumId w:val="32"/>
  </w:num>
  <w:num w:numId="34">
    <w:abstractNumId w:val="18"/>
  </w:num>
  <w:num w:numId="35">
    <w:abstractNumId w:val="4"/>
  </w:num>
  <w:num w:numId="36">
    <w:abstractNumId w:val="44"/>
  </w:num>
  <w:num w:numId="37">
    <w:abstractNumId w:val="19"/>
  </w:num>
  <w:num w:numId="38">
    <w:abstractNumId w:val="11"/>
  </w:num>
  <w:num w:numId="39">
    <w:abstractNumId w:val="12"/>
  </w:num>
  <w:num w:numId="40">
    <w:abstractNumId w:val="5"/>
  </w:num>
  <w:num w:numId="41">
    <w:abstractNumId w:val="45"/>
  </w:num>
  <w:num w:numId="42">
    <w:abstractNumId w:val="39"/>
  </w:num>
  <w:num w:numId="43">
    <w:abstractNumId w:val="38"/>
  </w:num>
  <w:num w:numId="44">
    <w:abstractNumId w:val="13"/>
  </w:num>
  <w:num w:numId="45">
    <w:abstractNumId w:val="23"/>
  </w:num>
  <w:num w:numId="46">
    <w:abstractNumId w:val="27"/>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567"/>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52059"/>
    <w:rsid w:val="00000B58"/>
    <w:rsid w:val="00017913"/>
    <w:rsid w:val="00020E52"/>
    <w:rsid w:val="00030650"/>
    <w:rsid w:val="0003094D"/>
    <w:rsid w:val="00036C88"/>
    <w:rsid w:val="000479E4"/>
    <w:rsid w:val="00053999"/>
    <w:rsid w:val="00057970"/>
    <w:rsid w:val="00061F50"/>
    <w:rsid w:val="00064839"/>
    <w:rsid w:val="00066118"/>
    <w:rsid w:val="00072F66"/>
    <w:rsid w:val="0007488A"/>
    <w:rsid w:val="000918F3"/>
    <w:rsid w:val="000946EE"/>
    <w:rsid w:val="0009524D"/>
    <w:rsid w:val="0009571C"/>
    <w:rsid w:val="00097FA8"/>
    <w:rsid w:val="000A1594"/>
    <w:rsid w:val="000A1D43"/>
    <w:rsid w:val="000A5651"/>
    <w:rsid w:val="000A78E7"/>
    <w:rsid w:val="000B35D8"/>
    <w:rsid w:val="000B37D1"/>
    <w:rsid w:val="000B436C"/>
    <w:rsid w:val="000B5AF7"/>
    <w:rsid w:val="000B741B"/>
    <w:rsid w:val="000C0EED"/>
    <w:rsid w:val="000C24A8"/>
    <w:rsid w:val="000D36F6"/>
    <w:rsid w:val="000E1A6C"/>
    <w:rsid w:val="000E2CC1"/>
    <w:rsid w:val="000F25FC"/>
    <w:rsid w:val="000F7F1B"/>
    <w:rsid w:val="00101B89"/>
    <w:rsid w:val="00110418"/>
    <w:rsid w:val="0011060D"/>
    <w:rsid w:val="00113143"/>
    <w:rsid w:val="001160F3"/>
    <w:rsid w:val="001208D4"/>
    <w:rsid w:val="001228F2"/>
    <w:rsid w:val="00132EAB"/>
    <w:rsid w:val="00133AED"/>
    <w:rsid w:val="00135588"/>
    <w:rsid w:val="00137F47"/>
    <w:rsid w:val="001408F4"/>
    <w:rsid w:val="001435CD"/>
    <w:rsid w:val="00146E39"/>
    <w:rsid w:val="0015035E"/>
    <w:rsid w:val="0015144D"/>
    <w:rsid w:val="00151B98"/>
    <w:rsid w:val="0015638D"/>
    <w:rsid w:val="001579F1"/>
    <w:rsid w:val="0016111F"/>
    <w:rsid w:val="001613CD"/>
    <w:rsid w:val="00166362"/>
    <w:rsid w:val="00170818"/>
    <w:rsid w:val="001814CB"/>
    <w:rsid w:val="00181D03"/>
    <w:rsid w:val="001837A9"/>
    <w:rsid w:val="0018650C"/>
    <w:rsid w:val="001867EF"/>
    <w:rsid w:val="00190B06"/>
    <w:rsid w:val="0019299C"/>
    <w:rsid w:val="0019426B"/>
    <w:rsid w:val="001A0C1E"/>
    <w:rsid w:val="001A4D1C"/>
    <w:rsid w:val="001A6BF3"/>
    <w:rsid w:val="001B1826"/>
    <w:rsid w:val="001B2204"/>
    <w:rsid w:val="001B2FAD"/>
    <w:rsid w:val="001B51F5"/>
    <w:rsid w:val="001C3DE0"/>
    <w:rsid w:val="001C61DD"/>
    <w:rsid w:val="001D003E"/>
    <w:rsid w:val="001D2A6D"/>
    <w:rsid w:val="001D5035"/>
    <w:rsid w:val="001E3B7F"/>
    <w:rsid w:val="001E50A8"/>
    <w:rsid w:val="001F0A43"/>
    <w:rsid w:val="002058FB"/>
    <w:rsid w:val="00205929"/>
    <w:rsid w:val="002113DE"/>
    <w:rsid w:val="0021153B"/>
    <w:rsid w:val="00212D62"/>
    <w:rsid w:val="002132C3"/>
    <w:rsid w:val="00213CCF"/>
    <w:rsid w:val="002148E3"/>
    <w:rsid w:val="00214D79"/>
    <w:rsid w:val="00215008"/>
    <w:rsid w:val="00215EA2"/>
    <w:rsid w:val="0021747A"/>
    <w:rsid w:val="0023601F"/>
    <w:rsid w:val="00237185"/>
    <w:rsid w:val="0023773A"/>
    <w:rsid w:val="0024068C"/>
    <w:rsid w:val="00244061"/>
    <w:rsid w:val="00244920"/>
    <w:rsid w:val="00244BF0"/>
    <w:rsid w:val="0024653E"/>
    <w:rsid w:val="00247660"/>
    <w:rsid w:val="00252C46"/>
    <w:rsid w:val="002629BE"/>
    <w:rsid w:val="002642F2"/>
    <w:rsid w:val="00264EDB"/>
    <w:rsid w:val="00267792"/>
    <w:rsid w:val="00280E40"/>
    <w:rsid w:val="00281402"/>
    <w:rsid w:val="00285E8C"/>
    <w:rsid w:val="00287398"/>
    <w:rsid w:val="00291BB7"/>
    <w:rsid w:val="00292DC4"/>
    <w:rsid w:val="002A1384"/>
    <w:rsid w:val="002A5C46"/>
    <w:rsid w:val="002A760A"/>
    <w:rsid w:val="002A7E33"/>
    <w:rsid w:val="002B16D6"/>
    <w:rsid w:val="002B21EB"/>
    <w:rsid w:val="002B44C8"/>
    <w:rsid w:val="002B5486"/>
    <w:rsid w:val="002C1E87"/>
    <w:rsid w:val="002C7497"/>
    <w:rsid w:val="002D1D37"/>
    <w:rsid w:val="002E13FA"/>
    <w:rsid w:val="002E5EC1"/>
    <w:rsid w:val="002E6988"/>
    <w:rsid w:val="002E735E"/>
    <w:rsid w:val="002F57D2"/>
    <w:rsid w:val="002F7CC7"/>
    <w:rsid w:val="00301606"/>
    <w:rsid w:val="00312729"/>
    <w:rsid w:val="00317F0F"/>
    <w:rsid w:val="0032061A"/>
    <w:rsid w:val="00321C0F"/>
    <w:rsid w:val="003309BF"/>
    <w:rsid w:val="00333DC0"/>
    <w:rsid w:val="00336715"/>
    <w:rsid w:val="00337096"/>
    <w:rsid w:val="003477F8"/>
    <w:rsid w:val="003518A1"/>
    <w:rsid w:val="00355013"/>
    <w:rsid w:val="00364995"/>
    <w:rsid w:val="00365149"/>
    <w:rsid w:val="00373100"/>
    <w:rsid w:val="003736FF"/>
    <w:rsid w:val="00373830"/>
    <w:rsid w:val="0037428A"/>
    <w:rsid w:val="003742A0"/>
    <w:rsid w:val="003924B8"/>
    <w:rsid w:val="003924DD"/>
    <w:rsid w:val="003A2345"/>
    <w:rsid w:val="003B0CD8"/>
    <w:rsid w:val="003B11B3"/>
    <w:rsid w:val="003B4DEA"/>
    <w:rsid w:val="003B7E77"/>
    <w:rsid w:val="003C1820"/>
    <w:rsid w:val="003D09C4"/>
    <w:rsid w:val="003D2C4F"/>
    <w:rsid w:val="003D54CA"/>
    <w:rsid w:val="003D6236"/>
    <w:rsid w:val="003D703D"/>
    <w:rsid w:val="0040127E"/>
    <w:rsid w:val="004044EF"/>
    <w:rsid w:val="00411111"/>
    <w:rsid w:val="004163A4"/>
    <w:rsid w:val="004203EB"/>
    <w:rsid w:val="00425F86"/>
    <w:rsid w:val="00426287"/>
    <w:rsid w:val="00431765"/>
    <w:rsid w:val="00434F5F"/>
    <w:rsid w:val="00436563"/>
    <w:rsid w:val="00452FAD"/>
    <w:rsid w:val="004620D1"/>
    <w:rsid w:val="00462F1B"/>
    <w:rsid w:val="00463D8A"/>
    <w:rsid w:val="00464772"/>
    <w:rsid w:val="00464C28"/>
    <w:rsid w:val="00464FE5"/>
    <w:rsid w:val="00467F63"/>
    <w:rsid w:val="00471152"/>
    <w:rsid w:val="00480759"/>
    <w:rsid w:val="00484CC1"/>
    <w:rsid w:val="00492D18"/>
    <w:rsid w:val="00495EE0"/>
    <w:rsid w:val="0049626B"/>
    <w:rsid w:val="004A0DD9"/>
    <w:rsid w:val="004A4886"/>
    <w:rsid w:val="004A59E6"/>
    <w:rsid w:val="004A6AA7"/>
    <w:rsid w:val="004B3045"/>
    <w:rsid w:val="004B37B1"/>
    <w:rsid w:val="004B6B30"/>
    <w:rsid w:val="004B70C2"/>
    <w:rsid w:val="004C401A"/>
    <w:rsid w:val="004C485F"/>
    <w:rsid w:val="004C6C86"/>
    <w:rsid w:val="004D5823"/>
    <w:rsid w:val="004D69FF"/>
    <w:rsid w:val="004D6FB2"/>
    <w:rsid w:val="004D72D2"/>
    <w:rsid w:val="004D7C27"/>
    <w:rsid w:val="004E2109"/>
    <w:rsid w:val="004E5D91"/>
    <w:rsid w:val="004F1093"/>
    <w:rsid w:val="004F2521"/>
    <w:rsid w:val="004F2994"/>
    <w:rsid w:val="004F5483"/>
    <w:rsid w:val="004F59C6"/>
    <w:rsid w:val="00501745"/>
    <w:rsid w:val="005024C4"/>
    <w:rsid w:val="00506C01"/>
    <w:rsid w:val="00510EA1"/>
    <w:rsid w:val="00515804"/>
    <w:rsid w:val="00516562"/>
    <w:rsid w:val="0051782F"/>
    <w:rsid w:val="00521144"/>
    <w:rsid w:val="00524993"/>
    <w:rsid w:val="00537254"/>
    <w:rsid w:val="00545694"/>
    <w:rsid w:val="00555A48"/>
    <w:rsid w:val="00556D78"/>
    <w:rsid w:val="00557C18"/>
    <w:rsid w:val="00566BD1"/>
    <w:rsid w:val="005774A5"/>
    <w:rsid w:val="00582E80"/>
    <w:rsid w:val="00583E11"/>
    <w:rsid w:val="00595022"/>
    <w:rsid w:val="005B2B41"/>
    <w:rsid w:val="005C30E5"/>
    <w:rsid w:val="005C4429"/>
    <w:rsid w:val="005C5DE8"/>
    <w:rsid w:val="005D3A49"/>
    <w:rsid w:val="005D3E18"/>
    <w:rsid w:val="005D716B"/>
    <w:rsid w:val="005D7AC2"/>
    <w:rsid w:val="005E7614"/>
    <w:rsid w:val="005E7FBC"/>
    <w:rsid w:val="005F04B3"/>
    <w:rsid w:val="005F7702"/>
    <w:rsid w:val="00604B70"/>
    <w:rsid w:val="00604EAB"/>
    <w:rsid w:val="00606BDB"/>
    <w:rsid w:val="006173B1"/>
    <w:rsid w:val="00640667"/>
    <w:rsid w:val="00640873"/>
    <w:rsid w:val="00647C39"/>
    <w:rsid w:val="00651AE8"/>
    <w:rsid w:val="00670C56"/>
    <w:rsid w:val="00670CD5"/>
    <w:rsid w:val="0067222D"/>
    <w:rsid w:val="00673B64"/>
    <w:rsid w:val="006771CD"/>
    <w:rsid w:val="006830FC"/>
    <w:rsid w:val="00692F42"/>
    <w:rsid w:val="00695CD1"/>
    <w:rsid w:val="006A4270"/>
    <w:rsid w:val="006A538F"/>
    <w:rsid w:val="006B0AA2"/>
    <w:rsid w:val="006B55EC"/>
    <w:rsid w:val="006C27DB"/>
    <w:rsid w:val="006C4163"/>
    <w:rsid w:val="006C587C"/>
    <w:rsid w:val="006C672E"/>
    <w:rsid w:val="006D6A3C"/>
    <w:rsid w:val="006E1793"/>
    <w:rsid w:val="006E26F2"/>
    <w:rsid w:val="006E5248"/>
    <w:rsid w:val="006F0C0A"/>
    <w:rsid w:val="006F1C5D"/>
    <w:rsid w:val="006F2FE8"/>
    <w:rsid w:val="006F31A7"/>
    <w:rsid w:val="006F3A54"/>
    <w:rsid w:val="007108AB"/>
    <w:rsid w:val="0071160B"/>
    <w:rsid w:val="00716124"/>
    <w:rsid w:val="00716799"/>
    <w:rsid w:val="00716DA2"/>
    <w:rsid w:val="00720316"/>
    <w:rsid w:val="007352E5"/>
    <w:rsid w:val="00736764"/>
    <w:rsid w:val="007409C1"/>
    <w:rsid w:val="007424AE"/>
    <w:rsid w:val="00743336"/>
    <w:rsid w:val="00746B51"/>
    <w:rsid w:val="00750357"/>
    <w:rsid w:val="00752059"/>
    <w:rsid w:val="00752F73"/>
    <w:rsid w:val="0075342A"/>
    <w:rsid w:val="00755F16"/>
    <w:rsid w:val="00770FD1"/>
    <w:rsid w:val="007753EC"/>
    <w:rsid w:val="00775487"/>
    <w:rsid w:val="00781D9F"/>
    <w:rsid w:val="00782F53"/>
    <w:rsid w:val="007848F3"/>
    <w:rsid w:val="00790501"/>
    <w:rsid w:val="0079699A"/>
    <w:rsid w:val="007A4F16"/>
    <w:rsid w:val="007A766D"/>
    <w:rsid w:val="007A768E"/>
    <w:rsid w:val="007B1A82"/>
    <w:rsid w:val="007B6364"/>
    <w:rsid w:val="007B791D"/>
    <w:rsid w:val="007B79F6"/>
    <w:rsid w:val="007C2AC6"/>
    <w:rsid w:val="007D14DA"/>
    <w:rsid w:val="007D49E8"/>
    <w:rsid w:val="007D6D0A"/>
    <w:rsid w:val="007E1247"/>
    <w:rsid w:val="007E15DF"/>
    <w:rsid w:val="007E1CF1"/>
    <w:rsid w:val="007E5755"/>
    <w:rsid w:val="007E731F"/>
    <w:rsid w:val="007F16C3"/>
    <w:rsid w:val="007F5A9B"/>
    <w:rsid w:val="00801FF0"/>
    <w:rsid w:val="00820A36"/>
    <w:rsid w:val="008242E7"/>
    <w:rsid w:val="008266B0"/>
    <w:rsid w:val="00827853"/>
    <w:rsid w:val="00827BC4"/>
    <w:rsid w:val="0083651D"/>
    <w:rsid w:val="008458E6"/>
    <w:rsid w:val="00850E94"/>
    <w:rsid w:val="008525FF"/>
    <w:rsid w:val="00852907"/>
    <w:rsid w:val="008571CA"/>
    <w:rsid w:val="00860556"/>
    <w:rsid w:val="008612C6"/>
    <w:rsid w:val="00863455"/>
    <w:rsid w:val="00870E98"/>
    <w:rsid w:val="00871515"/>
    <w:rsid w:val="00872A07"/>
    <w:rsid w:val="00873524"/>
    <w:rsid w:val="008744A8"/>
    <w:rsid w:val="0087703D"/>
    <w:rsid w:val="008835D5"/>
    <w:rsid w:val="00885FDB"/>
    <w:rsid w:val="008972F9"/>
    <w:rsid w:val="008A372D"/>
    <w:rsid w:val="008A6B37"/>
    <w:rsid w:val="008B05E9"/>
    <w:rsid w:val="008B3DCE"/>
    <w:rsid w:val="008B76E9"/>
    <w:rsid w:val="008C54C9"/>
    <w:rsid w:val="008C7610"/>
    <w:rsid w:val="008D4231"/>
    <w:rsid w:val="008D6440"/>
    <w:rsid w:val="008F0F38"/>
    <w:rsid w:val="008F3AE7"/>
    <w:rsid w:val="0090054A"/>
    <w:rsid w:val="009074BD"/>
    <w:rsid w:val="00916058"/>
    <w:rsid w:val="00916925"/>
    <w:rsid w:val="009219A8"/>
    <w:rsid w:val="00923064"/>
    <w:rsid w:val="00926896"/>
    <w:rsid w:val="00926EE8"/>
    <w:rsid w:val="00927A41"/>
    <w:rsid w:val="009304AB"/>
    <w:rsid w:val="00936B0D"/>
    <w:rsid w:val="00942425"/>
    <w:rsid w:val="00945AE5"/>
    <w:rsid w:val="00947529"/>
    <w:rsid w:val="0095143E"/>
    <w:rsid w:val="00951D48"/>
    <w:rsid w:val="00957496"/>
    <w:rsid w:val="00957A52"/>
    <w:rsid w:val="00963974"/>
    <w:rsid w:val="009652B0"/>
    <w:rsid w:val="00966324"/>
    <w:rsid w:val="00970E23"/>
    <w:rsid w:val="00973A68"/>
    <w:rsid w:val="0098030B"/>
    <w:rsid w:val="00985D9A"/>
    <w:rsid w:val="009964E9"/>
    <w:rsid w:val="0099796F"/>
    <w:rsid w:val="009A1EFB"/>
    <w:rsid w:val="009A6025"/>
    <w:rsid w:val="009A6E6E"/>
    <w:rsid w:val="009B5717"/>
    <w:rsid w:val="009C0342"/>
    <w:rsid w:val="009C4506"/>
    <w:rsid w:val="009C5C78"/>
    <w:rsid w:val="009D27DD"/>
    <w:rsid w:val="009E0C20"/>
    <w:rsid w:val="009E1EAD"/>
    <w:rsid w:val="009E3671"/>
    <w:rsid w:val="009E3C35"/>
    <w:rsid w:val="009F5EBA"/>
    <w:rsid w:val="00A01338"/>
    <w:rsid w:val="00A0373B"/>
    <w:rsid w:val="00A05D41"/>
    <w:rsid w:val="00A1011F"/>
    <w:rsid w:val="00A102F2"/>
    <w:rsid w:val="00A10ECF"/>
    <w:rsid w:val="00A11950"/>
    <w:rsid w:val="00A1477E"/>
    <w:rsid w:val="00A16DB0"/>
    <w:rsid w:val="00A16E74"/>
    <w:rsid w:val="00A23C84"/>
    <w:rsid w:val="00A275DF"/>
    <w:rsid w:val="00A459DA"/>
    <w:rsid w:val="00A533EC"/>
    <w:rsid w:val="00A54E97"/>
    <w:rsid w:val="00A558C3"/>
    <w:rsid w:val="00A6401B"/>
    <w:rsid w:val="00A67382"/>
    <w:rsid w:val="00A7015F"/>
    <w:rsid w:val="00A72C63"/>
    <w:rsid w:val="00A75FAC"/>
    <w:rsid w:val="00A808DE"/>
    <w:rsid w:val="00A85593"/>
    <w:rsid w:val="00A877D1"/>
    <w:rsid w:val="00A95145"/>
    <w:rsid w:val="00A9604B"/>
    <w:rsid w:val="00A961F9"/>
    <w:rsid w:val="00A96720"/>
    <w:rsid w:val="00AA3DC1"/>
    <w:rsid w:val="00AA72FE"/>
    <w:rsid w:val="00AB1396"/>
    <w:rsid w:val="00AB1FAC"/>
    <w:rsid w:val="00AB6120"/>
    <w:rsid w:val="00AC36FA"/>
    <w:rsid w:val="00AC528F"/>
    <w:rsid w:val="00AD1101"/>
    <w:rsid w:val="00AD243B"/>
    <w:rsid w:val="00AD5E44"/>
    <w:rsid w:val="00AD7CA2"/>
    <w:rsid w:val="00AE55C9"/>
    <w:rsid w:val="00AE6EA0"/>
    <w:rsid w:val="00AF21A3"/>
    <w:rsid w:val="00AF3611"/>
    <w:rsid w:val="00AF5C8D"/>
    <w:rsid w:val="00AF673F"/>
    <w:rsid w:val="00AF6E8A"/>
    <w:rsid w:val="00AF77A9"/>
    <w:rsid w:val="00B013B2"/>
    <w:rsid w:val="00B043D5"/>
    <w:rsid w:val="00B04967"/>
    <w:rsid w:val="00B068CD"/>
    <w:rsid w:val="00B12EF7"/>
    <w:rsid w:val="00B15990"/>
    <w:rsid w:val="00B17119"/>
    <w:rsid w:val="00B30B14"/>
    <w:rsid w:val="00B31766"/>
    <w:rsid w:val="00B4312C"/>
    <w:rsid w:val="00B43A6B"/>
    <w:rsid w:val="00B44FD1"/>
    <w:rsid w:val="00B4649B"/>
    <w:rsid w:val="00B46D28"/>
    <w:rsid w:val="00B50078"/>
    <w:rsid w:val="00B5050D"/>
    <w:rsid w:val="00B50F06"/>
    <w:rsid w:val="00B51EC2"/>
    <w:rsid w:val="00B550CF"/>
    <w:rsid w:val="00B56C6B"/>
    <w:rsid w:val="00B56E47"/>
    <w:rsid w:val="00B63E74"/>
    <w:rsid w:val="00B655FA"/>
    <w:rsid w:val="00B6651A"/>
    <w:rsid w:val="00B73426"/>
    <w:rsid w:val="00B73749"/>
    <w:rsid w:val="00B7471B"/>
    <w:rsid w:val="00B74F85"/>
    <w:rsid w:val="00B764CE"/>
    <w:rsid w:val="00B768FA"/>
    <w:rsid w:val="00B77E00"/>
    <w:rsid w:val="00B81135"/>
    <w:rsid w:val="00B8145A"/>
    <w:rsid w:val="00B836B0"/>
    <w:rsid w:val="00B84EA5"/>
    <w:rsid w:val="00B85473"/>
    <w:rsid w:val="00BA0292"/>
    <w:rsid w:val="00BA288F"/>
    <w:rsid w:val="00BA2940"/>
    <w:rsid w:val="00BA5249"/>
    <w:rsid w:val="00BB05D5"/>
    <w:rsid w:val="00BB4D5E"/>
    <w:rsid w:val="00BB55A0"/>
    <w:rsid w:val="00BC1BC6"/>
    <w:rsid w:val="00BC6AD3"/>
    <w:rsid w:val="00BD4928"/>
    <w:rsid w:val="00BD718A"/>
    <w:rsid w:val="00BD78B7"/>
    <w:rsid w:val="00BE030E"/>
    <w:rsid w:val="00BE03F3"/>
    <w:rsid w:val="00BE249B"/>
    <w:rsid w:val="00BE6AF4"/>
    <w:rsid w:val="00BF1857"/>
    <w:rsid w:val="00BF4AAA"/>
    <w:rsid w:val="00C132F1"/>
    <w:rsid w:val="00C14D2B"/>
    <w:rsid w:val="00C219CD"/>
    <w:rsid w:val="00C22031"/>
    <w:rsid w:val="00C2258F"/>
    <w:rsid w:val="00C316E7"/>
    <w:rsid w:val="00C377A3"/>
    <w:rsid w:val="00C400A0"/>
    <w:rsid w:val="00C457A1"/>
    <w:rsid w:val="00C54C0C"/>
    <w:rsid w:val="00C5525E"/>
    <w:rsid w:val="00C57D65"/>
    <w:rsid w:val="00C62E81"/>
    <w:rsid w:val="00C62E87"/>
    <w:rsid w:val="00C6300E"/>
    <w:rsid w:val="00C63425"/>
    <w:rsid w:val="00C64F9E"/>
    <w:rsid w:val="00C666B3"/>
    <w:rsid w:val="00C70084"/>
    <w:rsid w:val="00C71CA9"/>
    <w:rsid w:val="00C735EA"/>
    <w:rsid w:val="00C77261"/>
    <w:rsid w:val="00C80E8E"/>
    <w:rsid w:val="00C82789"/>
    <w:rsid w:val="00C827B0"/>
    <w:rsid w:val="00C8616D"/>
    <w:rsid w:val="00C90085"/>
    <w:rsid w:val="00C932E6"/>
    <w:rsid w:val="00CA4B12"/>
    <w:rsid w:val="00CA4D04"/>
    <w:rsid w:val="00CB3044"/>
    <w:rsid w:val="00CB5612"/>
    <w:rsid w:val="00CB6D8B"/>
    <w:rsid w:val="00CB797E"/>
    <w:rsid w:val="00CC12CC"/>
    <w:rsid w:val="00CC53A3"/>
    <w:rsid w:val="00CC7BEA"/>
    <w:rsid w:val="00CD062D"/>
    <w:rsid w:val="00CD54C4"/>
    <w:rsid w:val="00CE16A6"/>
    <w:rsid w:val="00CE2787"/>
    <w:rsid w:val="00CE3F99"/>
    <w:rsid w:val="00CE3FF4"/>
    <w:rsid w:val="00CE706D"/>
    <w:rsid w:val="00CF48A3"/>
    <w:rsid w:val="00CF66E4"/>
    <w:rsid w:val="00CF7CB4"/>
    <w:rsid w:val="00D03DA6"/>
    <w:rsid w:val="00D03DF0"/>
    <w:rsid w:val="00D04ED1"/>
    <w:rsid w:val="00D1028F"/>
    <w:rsid w:val="00D10970"/>
    <w:rsid w:val="00D12293"/>
    <w:rsid w:val="00D237FB"/>
    <w:rsid w:val="00D27FC5"/>
    <w:rsid w:val="00D3382A"/>
    <w:rsid w:val="00D4034F"/>
    <w:rsid w:val="00D41170"/>
    <w:rsid w:val="00D41FB2"/>
    <w:rsid w:val="00D43323"/>
    <w:rsid w:val="00D46A45"/>
    <w:rsid w:val="00D50810"/>
    <w:rsid w:val="00D51303"/>
    <w:rsid w:val="00D514A3"/>
    <w:rsid w:val="00D5158C"/>
    <w:rsid w:val="00D60E28"/>
    <w:rsid w:val="00D62A1D"/>
    <w:rsid w:val="00D637D4"/>
    <w:rsid w:val="00D720D7"/>
    <w:rsid w:val="00D7250A"/>
    <w:rsid w:val="00D7273A"/>
    <w:rsid w:val="00D72E25"/>
    <w:rsid w:val="00D80999"/>
    <w:rsid w:val="00D87C60"/>
    <w:rsid w:val="00DA650E"/>
    <w:rsid w:val="00DA66CA"/>
    <w:rsid w:val="00DA6779"/>
    <w:rsid w:val="00DB4617"/>
    <w:rsid w:val="00DB664F"/>
    <w:rsid w:val="00DD3E8F"/>
    <w:rsid w:val="00DD3FF6"/>
    <w:rsid w:val="00DD712F"/>
    <w:rsid w:val="00DE0237"/>
    <w:rsid w:val="00DE2D06"/>
    <w:rsid w:val="00DE51C7"/>
    <w:rsid w:val="00DE72E5"/>
    <w:rsid w:val="00DF22EA"/>
    <w:rsid w:val="00DF276F"/>
    <w:rsid w:val="00DF7A10"/>
    <w:rsid w:val="00E01E0E"/>
    <w:rsid w:val="00E021CE"/>
    <w:rsid w:val="00E0418F"/>
    <w:rsid w:val="00E14AF6"/>
    <w:rsid w:val="00E316DD"/>
    <w:rsid w:val="00E43CAC"/>
    <w:rsid w:val="00E440E2"/>
    <w:rsid w:val="00E442C3"/>
    <w:rsid w:val="00E44FCE"/>
    <w:rsid w:val="00E45961"/>
    <w:rsid w:val="00E45FCD"/>
    <w:rsid w:val="00E46D5B"/>
    <w:rsid w:val="00E5066E"/>
    <w:rsid w:val="00E51886"/>
    <w:rsid w:val="00E57F79"/>
    <w:rsid w:val="00E61DF3"/>
    <w:rsid w:val="00E61ED8"/>
    <w:rsid w:val="00E71D9F"/>
    <w:rsid w:val="00E754B5"/>
    <w:rsid w:val="00E977E7"/>
    <w:rsid w:val="00EA4515"/>
    <w:rsid w:val="00EB31FC"/>
    <w:rsid w:val="00EB3AFA"/>
    <w:rsid w:val="00EC13E4"/>
    <w:rsid w:val="00EC2321"/>
    <w:rsid w:val="00EC4307"/>
    <w:rsid w:val="00EC678C"/>
    <w:rsid w:val="00ED1E92"/>
    <w:rsid w:val="00ED23DD"/>
    <w:rsid w:val="00EE046E"/>
    <w:rsid w:val="00EE090C"/>
    <w:rsid w:val="00EE31E4"/>
    <w:rsid w:val="00EF1090"/>
    <w:rsid w:val="00F02B68"/>
    <w:rsid w:val="00F037BB"/>
    <w:rsid w:val="00F07F71"/>
    <w:rsid w:val="00F125D2"/>
    <w:rsid w:val="00F15042"/>
    <w:rsid w:val="00F24567"/>
    <w:rsid w:val="00F31793"/>
    <w:rsid w:val="00F33077"/>
    <w:rsid w:val="00F37043"/>
    <w:rsid w:val="00F402D0"/>
    <w:rsid w:val="00F42CED"/>
    <w:rsid w:val="00F43A00"/>
    <w:rsid w:val="00F45173"/>
    <w:rsid w:val="00F45EB5"/>
    <w:rsid w:val="00F57F41"/>
    <w:rsid w:val="00F61B57"/>
    <w:rsid w:val="00F7293E"/>
    <w:rsid w:val="00F73DA7"/>
    <w:rsid w:val="00F76038"/>
    <w:rsid w:val="00F8234D"/>
    <w:rsid w:val="00F82458"/>
    <w:rsid w:val="00F8283F"/>
    <w:rsid w:val="00F832C4"/>
    <w:rsid w:val="00F84589"/>
    <w:rsid w:val="00F84C88"/>
    <w:rsid w:val="00F869B6"/>
    <w:rsid w:val="00F86B7E"/>
    <w:rsid w:val="00F93DA0"/>
    <w:rsid w:val="00FA054B"/>
    <w:rsid w:val="00FA2B2A"/>
    <w:rsid w:val="00FA57A9"/>
    <w:rsid w:val="00FA5B33"/>
    <w:rsid w:val="00FB2C74"/>
    <w:rsid w:val="00FB31AD"/>
    <w:rsid w:val="00FB3E14"/>
    <w:rsid w:val="00FB6C76"/>
    <w:rsid w:val="00FC06CF"/>
    <w:rsid w:val="00FC60C7"/>
    <w:rsid w:val="00FC63D7"/>
    <w:rsid w:val="00FC7521"/>
    <w:rsid w:val="00FD382B"/>
    <w:rsid w:val="00FE02B7"/>
    <w:rsid w:val="00FE3474"/>
    <w:rsid w:val="00FE5289"/>
    <w:rsid w:val="00FE54D7"/>
    <w:rsid w:val="00FE7F21"/>
    <w:rsid w:val="00FF06A5"/>
    <w:rsid w:val="00FF2E51"/>
    <w:rsid w:val="00FF32E5"/>
    <w:rsid w:val="00FF4C85"/>
    <w:rsid w:val="00FF5B8B"/>
  </w:rsids>
  <m:mathPr>
    <m:mathFont m:val="Cambria Math"/>
    <m:brkBin m:val="before"/>
    <m:brkBinSub m:val="--"/>
    <m:smallFrac m:val="0"/>
    <m:dispDef/>
    <m:lMargin m:val="0"/>
    <m:rMargin m:val="0"/>
    <m:defJc m:val="centerGroup"/>
    <m:wrapIndent m:val="1440"/>
    <m:intLim m:val="subSup"/>
    <m:naryLim m:val="undOvr"/>
  </m:mathPr>
  <w:themeFontLang w:val="it-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53A41"/>
  <w14:defaultImageDpi w14:val="96"/>
  <w15:docId w15:val="{34737B78-F28F-44D1-82DA-DC1C4053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5C8D"/>
    <w:pPr>
      <w:tabs>
        <w:tab w:val="left" w:pos="567"/>
      </w:tabs>
      <w:spacing w:line="260" w:lineRule="exact"/>
    </w:pPr>
    <w:rPr>
      <w:sz w:val="22"/>
      <w:szCs w:val="22"/>
    </w:rPr>
  </w:style>
  <w:style w:type="paragraph" w:styleId="Nadpis1">
    <w:name w:val="heading 1"/>
    <w:basedOn w:val="Normlny"/>
    <w:next w:val="Normlny"/>
    <w:link w:val="Nadpis1Char"/>
    <w:uiPriority w:val="99"/>
    <w:qFormat/>
    <w:rsid w:val="00AF5C8D"/>
    <w:pPr>
      <w:spacing w:before="240" w:after="120"/>
      <w:ind w:left="357" w:hanging="357"/>
      <w:outlineLvl w:val="0"/>
    </w:pPr>
    <w:rPr>
      <w:b/>
      <w:bCs/>
      <w:caps/>
      <w:sz w:val="26"/>
      <w:szCs w:val="26"/>
    </w:rPr>
  </w:style>
  <w:style w:type="paragraph" w:styleId="Nadpis2">
    <w:name w:val="heading 2"/>
    <w:basedOn w:val="Normlny"/>
    <w:next w:val="Normlny"/>
    <w:link w:val="Nadpis2Char"/>
    <w:uiPriority w:val="99"/>
    <w:qFormat/>
    <w:rsid w:val="00AF5C8D"/>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AF5C8D"/>
    <w:pPr>
      <w:keepNext/>
      <w:keepLines/>
      <w:spacing w:before="120" w:after="80"/>
      <w:outlineLvl w:val="2"/>
    </w:pPr>
    <w:rPr>
      <w:b/>
      <w:bCs/>
      <w:kern w:val="28"/>
      <w:sz w:val="24"/>
      <w:szCs w:val="24"/>
    </w:rPr>
  </w:style>
  <w:style w:type="paragraph" w:styleId="Nadpis4">
    <w:name w:val="heading 4"/>
    <w:basedOn w:val="Normlny"/>
    <w:next w:val="Normlny"/>
    <w:link w:val="Nadpis4Char"/>
    <w:uiPriority w:val="99"/>
    <w:qFormat/>
    <w:rsid w:val="00AF5C8D"/>
    <w:pPr>
      <w:keepNext/>
      <w:jc w:val="both"/>
      <w:outlineLvl w:val="3"/>
    </w:pPr>
    <w:rPr>
      <w:b/>
      <w:bCs/>
      <w:noProof/>
    </w:rPr>
  </w:style>
  <w:style w:type="paragraph" w:styleId="Nadpis5">
    <w:name w:val="heading 5"/>
    <w:basedOn w:val="Normlny"/>
    <w:next w:val="Normlny"/>
    <w:link w:val="Nadpis5Char"/>
    <w:uiPriority w:val="99"/>
    <w:qFormat/>
    <w:rsid w:val="00AF5C8D"/>
    <w:pPr>
      <w:keepNext/>
      <w:jc w:val="both"/>
      <w:outlineLvl w:val="4"/>
    </w:pPr>
    <w:rPr>
      <w:noProof/>
    </w:rPr>
  </w:style>
  <w:style w:type="paragraph" w:styleId="Nadpis6">
    <w:name w:val="heading 6"/>
    <w:basedOn w:val="Normlny"/>
    <w:next w:val="Normlny"/>
    <w:link w:val="Nadpis6Char"/>
    <w:uiPriority w:val="99"/>
    <w:qFormat/>
    <w:rsid w:val="00AF5C8D"/>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AF5C8D"/>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AF5C8D"/>
    <w:pPr>
      <w:keepNext/>
      <w:ind w:left="567" w:hanging="567"/>
      <w:jc w:val="both"/>
      <w:outlineLvl w:val="7"/>
    </w:pPr>
    <w:rPr>
      <w:b/>
      <w:bCs/>
      <w:i/>
      <w:iCs/>
    </w:rPr>
  </w:style>
  <w:style w:type="paragraph" w:styleId="Nadpis9">
    <w:name w:val="heading 9"/>
    <w:basedOn w:val="Normlny"/>
    <w:next w:val="Normlny"/>
    <w:link w:val="Nadpis9Char"/>
    <w:uiPriority w:val="99"/>
    <w:qFormat/>
    <w:rsid w:val="00AF5C8D"/>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AF5C8D"/>
    <w:rPr>
      <w:rFonts w:ascii="Cambria" w:hAnsi="Cambria" w:cs="Times New Roman"/>
      <w:b/>
      <w:bCs/>
      <w:kern w:val="32"/>
      <w:sz w:val="32"/>
      <w:szCs w:val="32"/>
    </w:rPr>
  </w:style>
  <w:style w:type="character" w:customStyle="1" w:styleId="Nadpis2Char">
    <w:name w:val="Nadpis 2 Char"/>
    <w:basedOn w:val="Predvolenpsmoodseku"/>
    <w:link w:val="Nadpis2"/>
    <w:uiPriority w:val="9"/>
    <w:semiHidden/>
    <w:locked/>
    <w:rsid w:val="00AF5C8D"/>
    <w:rPr>
      <w:rFonts w:ascii="Cambria" w:hAnsi="Cambria" w:cs="Times New Roman"/>
      <w:b/>
      <w:bCs/>
      <w:i/>
      <w:iCs/>
      <w:sz w:val="28"/>
      <w:szCs w:val="28"/>
    </w:rPr>
  </w:style>
  <w:style w:type="character" w:customStyle="1" w:styleId="Nadpis3Char">
    <w:name w:val="Nadpis 3 Char"/>
    <w:basedOn w:val="Predvolenpsmoodseku"/>
    <w:link w:val="Nadpis3"/>
    <w:uiPriority w:val="9"/>
    <w:semiHidden/>
    <w:locked/>
    <w:rsid w:val="00AF5C8D"/>
    <w:rPr>
      <w:rFonts w:ascii="Cambria" w:hAnsi="Cambria" w:cs="Times New Roman"/>
      <w:b/>
      <w:bCs/>
      <w:sz w:val="26"/>
      <w:szCs w:val="26"/>
    </w:rPr>
  </w:style>
  <w:style w:type="character" w:customStyle="1" w:styleId="Nadpis4Char">
    <w:name w:val="Nadpis 4 Char"/>
    <w:basedOn w:val="Predvolenpsmoodseku"/>
    <w:link w:val="Nadpis4"/>
    <w:uiPriority w:val="9"/>
    <w:semiHidden/>
    <w:locked/>
    <w:rsid w:val="00AF5C8D"/>
    <w:rPr>
      <w:rFonts w:ascii="Calibri" w:hAnsi="Calibri" w:cs="Times New Roman"/>
      <w:b/>
      <w:bCs/>
      <w:sz w:val="28"/>
      <w:szCs w:val="28"/>
    </w:rPr>
  </w:style>
  <w:style w:type="character" w:customStyle="1" w:styleId="Nadpis5Char">
    <w:name w:val="Nadpis 5 Char"/>
    <w:basedOn w:val="Predvolenpsmoodseku"/>
    <w:link w:val="Nadpis5"/>
    <w:uiPriority w:val="9"/>
    <w:semiHidden/>
    <w:locked/>
    <w:rsid w:val="00AF5C8D"/>
    <w:rPr>
      <w:rFonts w:ascii="Calibri" w:hAnsi="Calibri" w:cs="Times New Roman"/>
      <w:b/>
      <w:bCs/>
      <w:i/>
      <w:iCs/>
      <w:sz w:val="26"/>
      <w:szCs w:val="26"/>
    </w:rPr>
  </w:style>
  <w:style w:type="character" w:customStyle="1" w:styleId="Nadpis6Char">
    <w:name w:val="Nadpis 6 Char"/>
    <w:basedOn w:val="Predvolenpsmoodseku"/>
    <w:link w:val="Nadpis6"/>
    <w:uiPriority w:val="9"/>
    <w:semiHidden/>
    <w:locked/>
    <w:rsid w:val="00AF5C8D"/>
    <w:rPr>
      <w:rFonts w:ascii="Calibri" w:hAnsi="Calibri" w:cs="Times New Roman"/>
      <w:b/>
      <w:bCs/>
    </w:rPr>
  </w:style>
  <w:style w:type="character" w:customStyle="1" w:styleId="Nadpis7Char">
    <w:name w:val="Nadpis 7 Char"/>
    <w:basedOn w:val="Predvolenpsmoodseku"/>
    <w:link w:val="Nadpis7"/>
    <w:uiPriority w:val="9"/>
    <w:semiHidden/>
    <w:locked/>
    <w:rsid w:val="00AF5C8D"/>
    <w:rPr>
      <w:rFonts w:ascii="Calibri" w:hAnsi="Calibri" w:cs="Times New Roman"/>
      <w:sz w:val="24"/>
      <w:szCs w:val="24"/>
    </w:rPr>
  </w:style>
  <w:style w:type="character" w:customStyle="1" w:styleId="Nadpis8Char">
    <w:name w:val="Nadpis 8 Char"/>
    <w:basedOn w:val="Predvolenpsmoodseku"/>
    <w:link w:val="Nadpis8"/>
    <w:uiPriority w:val="9"/>
    <w:semiHidden/>
    <w:locked/>
    <w:rsid w:val="00AF5C8D"/>
    <w:rPr>
      <w:rFonts w:ascii="Calibri" w:hAnsi="Calibri" w:cs="Times New Roman"/>
      <w:i/>
      <w:iCs/>
      <w:sz w:val="24"/>
      <w:szCs w:val="24"/>
    </w:rPr>
  </w:style>
  <w:style w:type="character" w:customStyle="1" w:styleId="Nadpis9Char">
    <w:name w:val="Nadpis 9 Char"/>
    <w:basedOn w:val="Predvolenpsmoodseku"/>
    <w:link w:val="Nadpis9"/>
    <w:uiPriority w:val="9"/>
    <w:semiHidden/>
    <w:locked/>
    <w:rsid w:val="00AF5C8D"/>
    <w:rPr>
      <w:rFonts w:ascii="Cambria" w:hAnsi="Cambria" w:cs="Times New Roman"/>
    </w:rPr>
  </w:style>
  <w:style w:type="paragraph" w:styleId="Textbubliny">
    <w:name w:val="Balloon Text"/>
    <w:basedOn w:val="Normlny"/>
    <w:link w:val="TextbublinyChar"/>
    <w:uiPriority w:val="99"/>
    <w:semiHidden/>
    <w:rsid w:val="00AF5C8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F5C8D"/>
    <w:rPr>
      <w:rFonts w:ascii="Tahoma" w:hAnsi="Tahoma" w:cs="Tahoma"/>
      <w:sz w:val="16"/>
      <w:szCs w:val="16"/>
    </w:rPr>
  </w:style>
  <w:style w:type="paragraph" w:styleId="Hlavika">
    <w:name w:val="header"/>
    <w:basedOn w:val="Normlny"/>
    <w:link w:val="HlavikaChar"/>
    <w:uiPriority w:val="99"/>
    <w:rsid w:val="00AF5C8D"/>
    <w:pPr>
      <w:tabs>
        <w:tab w:val="center" w:pos="4153"/>
        <w:tab w:val="right" w:pos="8306"/>
      </w:tabs>
      <w:spacing w:line="240" w:lineRule="auto"/>
    </w:pPr>
    <w:rPr>
      <w:rFonts w:ascii="Helvetica" w:hAnsi="Helvetica" w:cs="Helvetica"/>
      <w:sz w:val="20"/>
      <w:szCs w:val="20"/>
    </w:rPr>
  </w:style>
  <w:style w:type="character" w:customStyle="1" w:styleId="HlavikaChar">
    <w:name w:val="Hlavička Char"/>
    <w:basedOn w:val="Predvolenpsmoodseku"/>
    <w:link w:val="Hlavika"/>
    <w:uiPriority w:val="99"/>
    <w:locked/>
    <w:rsid w:val="00B5050D"/>
    <w:rPr>
      <w:rFonts w:ascii="Helvetica" w:hAnsi="Helvetica" w:cs="Helvetica"/>
    </w:rPr>
  </w:style>
  <w:style w:type="character" w:customStyle="1" w:styleId="CarattereCarattere">
    <w:name w:val="Carattere Carattere"/>
    <w:basedOn w:val="Predvolenpsmoodseku"/>
    <w:uiPriority w:val="99"/>
    <w:semiHidden/>
    <w:rsid w:val="003924B8"/>
    <w:rPr>
      <w:rFonts w:ascii="Times New Roman" w:hAnsi="Times New Roman" w:cs="Times New Roman"/>
      <w:sz w:val="24"/>
      <w:szCs w:val="24"/>
    </w:rPr>
  </w:style>
  <w:style w:type="paragraph" w:styleId="Pta">
    <w:name w:val="footer"/>
    <w:basedOn w:val="Normlny"/>
    <w:link w:val="PtaChar"/>
    <w:uiPriority w:val="99"/>
    <w:rsid w:val="00AF5C8D"/>
    <w:pPr>
      <w:tabs>
        <w:tab w:val="center" w:pos="4536"/>
        <w:tab w:val="center" w:pos="8930"/>
      </w:tabs>
      <w:spacing w:line="240" w:lineRule="auto"/>
    </w:pPr>
    <w:rPr>
      <w:rFonts w:ascii="Helvetica" w:hAnsi="Helvetica" w:cs="Helvetica"/>
      <w:sz w:val="16"/>
      <w:szCs w:val="16"/>
    </w:rPr>
  </w:style>
  <w:style w:type="character" w:customStyle="1" w:styleId="PtaChar">
    <w:name w:val="Päta Char"/>
    <w:basedOn w:val="Predvolenpsmoodseku"/>
    <w:link w:val="Pta"/>
    <w:uiPriority w:val="99"/>
    <w:locked/>
    <w:rsid w:val="00AF5C8D"/>
    <w:rPr>
      <w:rFonts w:ascii="Times New Roman" w:hAnsi="Times New Roman" w:cs="Times New Roman"/>
    </w:rPr>
  </w:style>
  <w:style w:type="character" w:styleId="slostrany">
    <w:name w:val="page number"/>
    <w:basedOn w:val="Predvolenpsmoodseku"/>
    <w:uiPriority w:val="99"/>
    <w:rsid w:val="00AF5C8D"/>
    <w:rPr>
      <w:rFonts w:ascii="Times New Roman" w:hAnsi="Times New Roman" w:cs="Times New Roman"/>
    </w:rPr>
  </w:style>
  <w:style w:type="paragraph" w:styleId="Zarkazkladnhotextu">
    <w:name w:val="Body Text Indent"/>
    <w:basedOn w:val="Normlny"/>
    <w:link w:val="ZarkazkladnhotextuChar"/>
    <w:uiPriority w:val="99"/>
    <w:rsid w:val="00AF5C8D"/>
    <w:pPr>
      <w:tabs>
        <w:tab w:val="clear" w:pos="567"/>
      </w:tabs>
      <w:autoSpaceDE w:val="0"/>
      <w:autoSpaceDN w:val="0"/>
      <w:adjustRightInd w:val="0"/>
      <w:spacing w:line="240" w:lineRule="auto"/>
      <w:ind w:left="720"/>
      <w:jc w:val="both"/>
    </w:pPr>
  </w:style>
  <w:style w:type="character" w:customStyle="1" w:styleId="ZarkazkladnhotextuChar">
    <w:name w:val="Zarážka základného textu Char"/>
    <w:basedOn w:val="Predvolenpsmoodseku"/>
    <w:link w:val="Zarkazkladnhotextu"/>
    <w:uiPriority w:val="99"/>
    <w:semiHidden/>
    <w:locked/>
    <w:rsid w:val="00AF5C8D"/>
    <w:rPr>
      <w:rFonts w:ascii="Times New Roman" w:hAnsi="Times New Roman" w:cs="Times New Roman"/>
    </w:rPr>
  </w:style>
  <w:style w:type="paragraph" w:styleId="Zkladntext3">
    <w:name w:val="Body Text 3"/>
    <w:basedOn w:val="Normlny"/>
    <w:link w:val="Zkladntext3Char"/>
    <w:uiPriority w:val="99"/>
    <w:rsid w:val="00AF5C8D"/>
    <w:pPr>
      <w:tabs>
        <w:tab w:val="clear" w:pos="567"/>
      </w:tabs>
      <w:autoSpaceDE w:val="0"/>
      <w:autoSpaceDN w:val="0"/>
      <w:adjustRightInd w:val="0"/>
      <w:spacing w:line="240" w:lineRule="auto"/>
      <w:jc w:val="both"/>
    </w:pPr>
    <w:rPr>
      <w:color w:val="0000FF"/>
    </w:rPr>
  </w:style>
  <w:style w:type="character" w:customStyle="1" w:styleId="Zkladntext3Char">
    <w:name w:val="Základný text 3 Char"/>
    <w:basedOn w:val="Predvolenpsmoodseku"/>
    <w:link w:val="Zkladntext3"/>
    <w:uiPriority w:val="99"/>
    <w:semiHidden/>
    <w:locked/>
    <w:rsid w:val="00AF5C8D"/>
    <w:rPr>
      <w:rFonts w:ascii="Times New Roman" w:hAnsi="Times New Roman" w:cs="Times New Roman"/>
      <w:sz w:val="16"/>
      <w:szCs w:val="16"/>
    </w:rPr>
  </w:style>
  <w:style w:type="paragraph" w:styleId="Zarkazkladnhotextu2">
    <w:name w:val="Body Text Indent 2"/>
    <w:basedOn w:val="Normlny"/>
    <w:link w:val="Zarkazkladnhotextu2Char"/>
    <w:uiPriority w:val="99"/>
    <w:rsid w:val="00AF5C8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Zarkazkladnhotextu2Char">
    <w:name w:val="Zarážka základného textu 2 Char"/>
    <w:basedOn w:val="Predvolenpsmoodseku"/>
    <w:link w:val="Zarkazkladnhotextu2"/>
    <w:uiPriority w:val="99"/>
    <w:semiHidden/>
    <w:locked/>
    <w:rsid w:val="00AF5C8D"/>
    <w:rPr>
      <w:rFonts w:ascii="Times New Roman" w:hAnsi="Times New Roman" w:cs="Times New Roman"/>
    </w:rPr>
  </w:style>
  <w:style w:type="paragraph" w:customStyle="1" w:styleId="Corpodeltesto">
    <w:name w:val="Corpo del testo"/>
    <w:basedOn w:val="Normlny"/>
    <w:link w:val="CorpodeltestoCarattere"/>
    <w:uiPriority w:val="99"/>
    <w:rsid w:val="00AF5C8D"/>
    <w:pPr>
      <w:tabs>
        <w:tab w:val="clear" w:pos="567"/>
      </w:tabs>
      <w:spacing w:line="240" w:lineRule="auto"/>
    </w:pPr>
    <w:rPr>
      <w:i/>
      <w:iCs/>
      <w:color w:val="008000"/>
    </w:rPr>
  </w:style>
  <w:style w:type="character" w:customStyle="1" w:styleId="CorpodeltestoCarattere">
    <w:name w:val="Corpo del testo Carattere"/>
    <w:basedOn w:val="Predvolenpsmoodseku"/>
    <w:link w:val="Corpodeltesto"/>
    <w:uiPriority w:val="99"/>
    <w:semiHidden/>
    <w:locked/>
    <w:rsid w:val="00AF5C8D"/>
    <w:rPr>
      <w:rFonts w:ascii="Times New Roman" w:hAnsi="Times New Roman" w:cs="Times New Roman"/>
    </w:rPr>
  </w:style>
  <w:style w:type="paragraph" w:styleId="Zkladntext2">
    <w:name w:val="Body Text 2"/>
    <w:basedOn w:val="Normlny"/>
    <w:link w:val="Zkladntext2Char"/>
    <w:uiPriority w:val="99"/>
    <w:rsid w:val="00AF5C8D"/>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Zkladntext2Char">
    <w:name w:val="Základný text 2 Char"/>
    <w:basedOn w:val="Predvolenpsmoodseku"/>
    <w:link w:val="Zkladntext2"/>
    <w:uiPriority w:val="99"/>
    <w:semiHidden/>
    <w:locked/>
    <w:rsid w:val="00AF5C8D"/>
    <w:rPr>
      <w:rFonts w:ascii="Times New Roman" w:hAnsi="Times New Roman" w:cs="Times New Roman"/>
    </w:rPr>
  </w:style>
  <w:style w:type="character" w:styleId="Odkaznakomentr">
    <w:name w:val="annotation reference"/>
    <w:basedOn w:val="Predvolenpsmoodseku"/>
    <w:uiPriority w:val="99"/>
    <w:semiHidden/>
    <w:rsid w:val="00AF5C8D"/>
    <w:rPr>
      <w:rFonts w:ascii="Times New Roman" w:hAnsi="Times New Roman" w:cs="Times New Roman"/>
      <w:sz w:val="16"/>
      <w:szCs w:val="16"/>
    </w:rPr>
  </w:style>
  <w:style w:type="paragraph" w:styleId="Textkomentra">
    <w:name w:val="annotation text"/>
    <w:basedOn w:val="Normlny"/>
    <w:link w:val="TextkomentraChar"/>
    <w:uiPriority w:val="99"/>
    <w:semiHidden/>
    <w:rsid w:val="00AF5C8D"/>
    <w:rPr>
      <w:sz w:val="20"/>
      <w:szCs w:val="20"/>
    </w:rPr>
  </w:style>
  <w:style w:type="character" w:customStyle="1" w:styleId="TextkomentraChar">
    <w:name w:val="Text komentára Char"/>
    <w:basedOn w:val="Predvolenpsmoodseku"/>
    <w:link w:val="Textkomentra"/>
    <w:uiPriority w:val="99"/>
    <w:semiHidden/>
    <w:locked/>
    <w:rsid w:val="00AF5C8D"/>
    <w:rPr>
      <w:rFonts w:ascii="Times New Roman" w:hAnsi="Times New Roman" w:cs="Times New Roman"/>
      <w:sz w:val="20"/>
      <w:szCs w:val="20"/>
    </w:rPr>
  </w:style>
  <w:style w:type="paragraph" w:customStyle="1" w:styleId="EMEAEnBodyText">
    <w:name w:val="EMEA En Body Text"/>
    <w:basedOn w:val="Normlny"/>
    <w:uiPriority w:val="99"/>
    <w:rsid w:val="00AF5C8D"/>
    <w:pPr>
      <w:tabs>
        <w:tab w:val="clear" w:pos="567"/>
      </w:tabs>
      <w:spacing w:before="120" w:after="120" w:line="240" w:lineRule="auto"/>
      <w:jc w:val="both"/>
    </w:pPr>
  </w:style>
  <w:style w:type="paragraph" w:styleId="truktradokumentu">
    <w:name w:val="Document Map"/>
    <w:basedOn w:val="Normlny"/>
    <w:link w:val="truktradokumentuChar"/>
    <w:uiPriority w:val="99"/>
    <w:semiHidden/>
    <w:rsid w:val="00AF5C8D"/>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AF5C8D"/>
    <w:rPr>
      <w:rFonts w:ascii="Tahoma" w:hAnsi="Tahoma" w:cs="Tahoma"/>
      <w:sz w:val="16"/>
      <w:szCs w:val="16"/>
    </w:rPr>
  </w:style>
  <w:style w:type="character" w:styleId="Hypertextovprepojenie">
    <w:name w:val="Hyperlink"/>
    <w:basedOn w:val="Predvolenpsmoodseku"/>
    <w:uiPriority w:val="99"/>
    <w:rsid w:val="00AF5C8D"/>
    <w:rPr>
      <w:rFonts w:ascii="Times New Roman" w:hAnsi="Times New Roman" w:cs="Times New Roman"/>
      <w:color w:val="0000FF"/>
      <w:u w:val="single"/>
    </w:rPr>
  </w:style>
  <w:style w:type="paragraph" w:customStyle="1" w:styleId="AHeader1">
    <w:name w:val="AHeader 1"/>
    <w:basedOn w:val="Normlny"/>
    <w:uiPriority w:val="99"/>
    <w:rsid w:val="00AF5C8D"/>
    <w:pPr>
      <w:numPr>
        <w:numId w:val="30"/>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AF5C8D"/>
    <w:pPr>
      <w:numPr>
        <w:ilvl w:val="1"/>
      </w:numPr>
    </w:pPr>
    <w:rPr>
      <w:sz w:val="22"/>
      <w:szCs w:val="22"/>
    </w:rPr>
  </w:style>
  <w:style w:type="paragraph" w:customStyle="1" w:styleId="AHeader3">
    <w:name w:val="AHeader 3"/>
    <w:basedOn w:val="AHeader2"/>
    <w:uiPriority w:val="99"/>
    <w:rsid w:val="00AF5C8D"/>
    <w:pPr>
      <w:numPr>
        <w:ilvl w:val="2"/>
      </w:numPr>
    </w:pPr>
  </w:style>
  <w:style w:type="paragraph" w:customStyle="1" w:styleId="AHeader2abc">
    <w:name w:val="AHeader 2 abc"/>
    <w:basedOn w:val="AHeader3"/>
    <w:uiPriority w:val="99"/>
    <w:rsid w:val="00AF5C8D"/>
    <w:pPr>
      <w:numPr>
        <w:ilvl w:val="3"/>
      </w:numPr>
      <w:jc w:val="both"/>
    </w:pPr>
    <w:rPr>
      <w:b w:val="0"/>
      <w:bCs w:val="0"/>
    </w:rPr>
  </w:style>
  <w:style w:type="paragraph" w:customStyle="1" w:styleId="AHeader3abc">
    <w:name w:val="AHeader 3 abc"/>
    <w:basedOn w:val="AHeader2abc"/>
    <w:uiPriority w:val="99"/>
    <w:rsid w:val="00AF5C8D"/>
    <w:pPr>
      <w:numPr>
        <w:ilvl w:val="4"/>
      </w:numPr>
    </w:pPr>
  </w:style>
  <w:style w:type="paragraph" w:styleId="Zarkazkladnhotextu3">
    <w:name w:val="Body Text Indent 3"/>
    <w:basedOn w:val="Normlny"/>
    <w:link w:val="Zarkazkladnhotextu3Char"/>
    <w:uiPriority w:val="99"/>
    <w:rsid w:val="00AF5C8D"/>
    <w:pPr>
      <w:tabs>
        <w:tab w:val="left" w:pos="1134"/>
      </w:tabs>
      <w:autoSpaceDE w:val="0"/>
      <w:autoSpaceDN w:val="0"/>
      <w:adjustRightInd w:val="0"/>
      <w:ind w:left="633"/>
      <w:jc w:val="both"/>
    </w:pPr>
  </w:style>
  <w:style w:type="character" w:customStyle="1" w:styleId="Zarkazkladnhotextu3Char">
    <w:name w:val="Zarážka základného textu 3 Char"/>
    <w:basedOn w:val="Predvolenpsmoodseku"/>
    <w:link w:val="Zarkazkladnhotextu3"/>
    <w:uiPriority w:val="99"/>
    <w:semiHidden/>
    <w:locked/>
    <w:rsid w:val="00AF5C8D"/>
    <w:rPr>
      <w:rFonts w:ascii="Times New Roman" w:hAnsi="Times New Roman" w:cs="Times New Roman"/>
      <w:sz w:val="16"/>
      <w:szCs w:val="16"/>
    </w:rPr>
  </w:style>
  <w:style w:type="character" w:styleId="PouitHypertextovPrepojenie">
    <w:name w:val="FollowedHyperlink"/>
    <w:basedOn w:val="Predvolenpsmoodseku"/>
    <w:uiPriority w:val="99"/>
    <w:rsid w:val="00AF5C8D"/>
    <w:rPr>
      <w:rFonts w:ascii="Times New Roman" w:hAnsi="Times New Roman" w:cs="Times New Roman"/>
      <w:color w:val="800080"/>
      <w:u w:val="single"/>
    </w:rPr>
  </w:style>
  <w:style w:type="paragraph" w:customStyle="1" w:styleId="Default">
    <w:name w:val="Default"/>
    <w:uiPriority w:val="99"/>
    <w:rsid w:val="00AF5C8D"/>
    <w:pPr>
      <w:autoSpaceDE w:val="0"/>
      <w:autoSpaceDN w:val="0"/>
      <w:adjustRightInd w:val="0"/>
    </w:pPr>
  </w:style>
  <w:style w:type="character" w:customStyle="1" w:styleId="longtext1">
    <w:name w:val="long_text1"/>
    <w:basedOn w:val="Predvolenpsmoodseku"/>
    <w:uiPriority w:val="99"/>
    <w:rsid w:val="00FA2B2A"/>
    <w:rPr>
      <w:rFonts w:ascii="Times New Roman" w:hAnsi="Times New Roman" w:cs="Times New Roman"/>
      <w:sz w:val="26"/>
      <w:szCs w:val="26"/>
    </w:rPr>
  </w:style>
  <w:style w:type="table" w:styleId="Mriekatabuky">
    <w:name w:val="Table Grid"/>
    <w:basedOn w:val="Normlnatabuka"/>
    <w:uiPriority w:val="99"/>
    <w:rsid w:val="00D51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963974"/>
    <w:pPr>
      <w:tabs>
        <w:tab w:val="clear" w:pos="567"/>
      </w:tabs>
      <w:spacing w:line="240" w:lineRule="auto"/>
    </w:pPr>
    <w:rPr>
      <w:rFonts w:ascii="Courier New" w:hAnsi="Courier New" w:cs="Courier New"/>
      <w:sz w:val="20"/>
      <w:szCs w:val="20"/>
    </w:rPr>
  </w:style>
  <w:style w:type="character" w:customStyle="1" w:styleId="ObyajntextChar">
    <w:name w:val="Obyčajný text Char"/>
    <w:basedOn w:val="Predvolenpsmoodseku"/>
    <w:link w:val="Obyajntext"/>
    <w:uiPriority w:val="99"/>
    <w:semiHidden/>
    <w:locked/>
    <w:rsid w:val="00AF5C8D"/>
    <w:rPr>
      <w:rFonts w:ascii="Courier New" w:hAnsi="Courier New" w:cs="Courier New"/>
      <w:sz w:val="20"/>
      <w:szCs w:val="20"/>
    </w:rPr>
  </w:style>
  <w:style w:type="character" w:customStyle="1" w:styleId="Titoloparagrafo">
    <w:name w:val="Titolo paragrafo"/>
    <w:basedOn w:val="Predvolenpsmoodseku"/>
    <w:uiPriority w:val="99"/>
    <w:rsid w:val="00A533EC"/>
    <w:rPr>
      <w:rFonts w:ascii="Times New Roman" w:hAnsi="Times New Roman" w:cs="Times New Roman"/>
      <w:b/>
      <w:bCs/>
      <w:smallCaps/>
      <w:sz w:val="32"/>
      <w:szCs w:val="32"/>
    </w:rPr>
  </w:style>
  <w:style w:type="paragraph" w:styleId="Normlnywebov">
    <w:name w:val="Normal (Web)"/>
    <w:basedOn w:val="Normlny"/>
    <w:uiPriority w:val="99"/>
    <w:rsid w:val="00281402"/>
    <w:pPr>
      <w:tabs>
        <w:tab w:val="clear" w:pos="567"/>
      </w:tabs>
      <w:spacing w:before="100" w:beforeAutospacing="1" w:after="100" w:afterAutospacing="1" w:line="240" w:lineRule="auto"/>
    </w:pPr>
    <w:rPr>
      <w:color w:val="000000"/>
      <w:sz w:val="24"/>
      <w:szCs w:val="24"/>
    </w:rPr>
  </w:style>
  <w:style w:type="paragraph" w:customStyle="1" w:styleId="CM12">
    <w:name w:val="CM12"/>
    <w:basedOn w:val="Normlny"/>
    <w:next w:val="Normlny"/>
    <w:rsid w:val="00281402"/>
    <w:pPr>
      <w:widowControl w:val="0"/>
      <w:tabs>
        <w:tab w:val="clear" w:pos="567"/>
      </w:tabs>
      <w:autoSpaceDE w:val="0"/>
      <w:autoSpaceDN w:val="0"/>
      <w:adjustRightInd w:val="0"/>
      <w:spacing w:after="265" w:line="240" w:lineRule="auto"/>
    </w:pPr>
    <w:rPr>
      <w:rFonts w:ascii="Arial" w:hAnsi="Arial" w:cs="Arial"/>
      <w:sz w:val="24"/>
      <w:szCs w:val="24"/>
    </w:rPr>
  </w:style>
  <w:style w:type="paragraph" w:customStyle="1" w:styleId="CM2">
    <w:name w:val="CM2"/>
    <w:basedOn w:val="Normlny"/>
    <w:next w:val="Normlny"/>
    <w:uiPriority w:val="99"/>
    <w:rsid w:val="00281402"/>
    <w:pPr>
      <w:widowControl w:val="0"/>
      <w:tabs>
        <w:tab w:val="clear" w:pos="567"/>
      </w:tabs>
      <w:autoSpaceDE w:val="0"/>
      <w:autoSpaceDN w:val="0"/>
      <w:adjustRightInd w:val="0"/>
      <w:spacing w:line="276" w:lineRule="atLeast"/>
    </w:pPr>
    <w:rPr>
      <w:rFonts w:ascii="Arial" w:hAnsi="Arial" w:cs="Arial"/>
      <w:sz w:val="24"/>
      <w:szCs w:val="24"/>
    </w:rPr>
  </w:style>
  <w:style w:type="paragraph" w:customStyle="1" w:styleId="emea">
    <w:name w:val="emea"/>
    <w:aliases w:val="standard"/>
    <w:link w:val="emeaZchn"/>
    <w:uiPriority w:val="99"/>
    <w:rsid w:val="001F0A43"/>
    <w:pPr>
      <w:tabs>
        <w:tab w:val="left" w:pos="567"/>
      </w:tabs>
    </w:pPr>
    <w:rPr>
      <w:rFonts w:eastAsia="MS Mincho"/>
      <w:sz w:val="22"/>
      <w:szCs w:val="22"/>
    </w:rPr>
  </w:style>
  <w:style w:type="character" w:customStyle="1" w:styleId="emeaZchn">
    <w:name w:val="emea Zchn"/>
    <w:aliases w:val="standard Zchn"/>
    <w:basedOn w:val="Predvolenpsmoodseku"/>
    <w:link w:val="emea"/>
    <w:uiPriority w:val="99"/>
    <w:locked/>
    <w:rsid w:val="001F0A43"/>
    <w:rPr>
      <w:rFonts w:ascii="Times New Roman" w:eastAsia="MS Mincho" w:hAnsi="Times New Roman" w:cs="Times New Roman"/>
      <w:sz w:val="22"/>
      <w:szCs w:val="22"/>
    </w:rPr>
  </w:style>
  <w:style w:type="paragraph" w:styleId="Predmetkomentra">
    <w:name w:val="annotation subject"/>
    <w:basedOn w:val="Textkomentra"/>
    <w:next w:val="Textkomentra"/>
    <w:link w:val="PredmetkomentraChar"/>
    <w:uiPriority w:val="99"/>
    <w:semiHidden/>
    <w:unhideWhenUsed/>
    <w:rsid w:val="00A1477E"/>
    <w:pPr>
      <w:spacing w:line="240" w:lineRule="auto"/>
    </w:pPr>
    <w:rPr>
      <w:b/>
      <w:bCs/>
    </w:rPr>
  </w:style>
  <w:style w:type="character" w:customStyle="1" w:styleId="PredmetkomentraChar">
    <w:name w:val="Predmet komentára Char"/>
    <w:basedOn w:val="TextkomentraChar"/>
    <w:link w:val="Predmetkomentra"/>
    <w:uiPriority w:val="99"/>
    <w:semiHidden/>
    <w:rsid w:val="00A1477E"/>
    <w:rPr>
      <w:rFonts w:ascii="Times New Roman" w:hAnsi="Times New Roman" w:cs="Times New Roman"/>
      <w:b/>
      <w:bCs/>
      <w:sz w:val="20"/>
      <w:szCs w:val="20"/>
    </w:rPr>
  </w:style>
  <w:style w:type="paragraph" w:styleId="Odsekzoznamu">
    <w:name w:val="List Paragraph"/>
    <w:basedOn w:val="Normlny"/>
    <w:uiPriority w:val="34"/>
    <w:qFormat/>
    <w:rsid w:val="001B1826"/>
    <w:pPr>
      <w:ind w:left="720"/>
      <w:contextualSpacing/>
    </w:pPr>
  </w:style>
  <w:style w:type="character" w:customStyle="1" w:styleId="Hypertextovprepojenie1">
    <w:name w:val="Hypertextové prepojenie1"/>
    <w:uiPriority w:val="99"/>
    <w:rsid w:val="003B1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66145">
      <w:bodyDiv w:val="1"/>
      <w:marLeft w:val="0"/>
      <w:marRight w:val="0"/>
      <w:marTop w:val="0"/>
      <w:marBottom w:val="0"/>
      <w:divBdr>
        <w:top w:val="none" w:sz="0" w:space="0" w:color="auto"/>
        <w:left w:val="none" w:sz="0" w:space="0" w:color="auto"/>
        <w:bottom w:val="none" w:sz="0" w:space="0" w:color="auto"/>
        <w:right w:val="none" w:sz="0" w:space="0" w:color="auto"/>
      </w:divBdr>
      <w:divsChild>
        <w:div w:id="971054087">
          <w:marLeft w:val="0"/>
          <w:marRight w:val="0"/>
          <w:marTop w:val="0"/>
          <w:marBottom w:val="0"/>
          <w:divBdr>
            <w:top w:val="none" w:sz="0" w:space="0" w:color="auto"/>
            <w:left w:val="none" w:sz="0" w:space="0" w:color="auto"/>
            <w:bottom w:val="none" w:sz="0" w:space="0" w:color="auto"/>
            <w:right w:val="none" w:sz="0" w:space="0" w:color="auto"/>
          </w:divBdr>
        </w:div>
        <w:div w:id="962997662">
          <w:marLeft w:val="0"/>
          <w:marRight w:val="0"/>
          <w:marTop w:val="0"/>
          <w:marBottom w:val="0"/>
          <w:divBdr>
            <w:top w:val="none" w:sz="0" w:space="0" w:color="auto"/>
            <w:left w:val="none" w:sz="0" w:space="0" w:color="auto"/>
            <w:bottom w:val="none" w:sz="0" w:space="0" w:color="auto"/>
            <w:right w:val="none" w:sz="0" w:space="0" w:color="auto"/>
          </w:divBdr>
        </w:div>
      </w:divsChild>
    </w:div>
    <w:div w:id="1190484848">
      <w:bodyDiv w:val="1"/>
      <w:marLeft w:val="0"/>
      <w:marRight w:val="0"/>
      <w:marTop w:val="0"/>
      <w:marBottom w:val="0"/>
      <w:divBdr>
        <w:top w:val="none" w:sz="0" w:space="0" w:color="auto"/>
        <w:left w:val="none" w:sz="0" w:space="0" w:color="auto"/>
        <w:bottom w:val="none" w:sz="0" w:space="0" w:color="auto"/>
        <w:right w:val="none" w:sz="0" w:space="0" w:color="auto"/>
      </w:divBdr>
      <w:divsChild>
        <w:div w:id="760223602">
          <w:marLeft w:val="0"/>
          <w:marRight w:val="0"/>
          <w:marTop w:val="0"/>
          <w:marBottom w:val="0"/>
          <w:divBdr>
            <w:top w:val="none" w:sz="0" w:space="0" w:color="auto"/>
            <w:left w:val="none" w:sz="0" w:space="0" w:color="auto"/>
            <w:bottom w:val="none" w:sz="0" w:space="0" w:color="auto"/>
            <w:right w:val="none" w:sz="0" w:space="0" w:color="auto"/>
          </w:divBdr>
        </w:div>
        <w:div w:id="2017147858">
          <w:marLeft w:val="0"/>
          <w:marRight w:val="0"/>
          <w:marTop w:val="0"/>
          <w:marBottom w:val="0"/>
          <w:divBdr>
            <w:top w:val="none" w:sz="0" w:space="0" w:color="auto"/>
            <w:left w:val="none" w:sz="0" w:space="0" w:color="auto"/>
            <w:bottom w:val="none" w:sz="0" w:space="0" w:color="auto"/>
            <w:right w:val="none" w:sz="0" w:space="0" w:color="auto"/>
          </w:divBdr>
        </w:div>
        <w:div w:id="2070300433">
          <w:marLeft w:val="0"/>
          <w:marRight w:val="0"/>
          <w:marTop w:val="0"/>
          <w:marBottom w:val="0"/>
          <w:divBdr>
            <w:top w:val="none" w:sz="0" w:space="0" w:color="auto"/>
            <w:left w:val="none" w:sz="0" w:space="0" w:color="auto"/>
            <w:bottom w:val="none" w:sz="0" w:space="0" w:color="auto"/>
            <w:right w:val="none" w:sz="0" w:space="0" w:color="auto"/>
          </w:divBdr>
        </w:div>
        <w:div w:id="1671056044">
          <w:marLeft w:val="0"/>
          <w:marRight w:val="0"/>
          <w:marTop w:val="0"/>
          <w:marBottom w:val="0"/>
          <w:divBdr>
            <w:top w:val="none" w:sz="0" w:space="0" w:color="auto"/>
            <w:left w:val="none" w:sz="0" w:space="0" w:color="auto"/>
            <w:bottom w:val="none" w:sz="0" w:space="0" w:color="auto"/>
            <w:right w:val="none" w:sz="0" w:space="0" w:color="auto"/>
          </w:divBdr>
        </w:div>
      </w:divsChild>
    </w:div>
    <w:div w:id="1281569665">
      <w:marLeft w:val="0"/>
      <w:marRight w:val="0"/>
      <w:marTop w:val="0"/>
      <w:marBottom w:val="0"/>
      <w:divBdr>
        <w:top w:val="none" w:sz="0" w:space="0" w:color="auto"/>
        <w:left w:val="none" w:sz="0" w:space="0" w:color="auto"/>
        <w:bottom w:val="none" w:sz="0" w:space="0" w:color="auto"/>
        <w:right w:val="none" w:sz="0" w:space="0" w:color="auto"/>
      </w:divBdr>
    </w:div>
    <w:div w:id="1281569666">
      <w:marLeft w:val="0"/>
      <w:marRight w:val="0"/>
      <w:marTop w:val="0"/>
      <w:marBottom w:val="0"/>
      <w:divBdr>
        <w:top w:val="none" w:sz="0" w:space="0" w:color="auto"/>
        <w:left w:val="none" w:sz="0" w:space="0" w:color="auto"/>
        <w:bottom w:val="none" w:sz="0" w:space="0" w:color="auto"/>
        <w:right w:val="none" w:sz="0" w:space="0" w:color="auto"/>
      </w:divBdr>
    </w:div>
    <w:div w:id="1281569667">
      <w:marLeft w:val="0"/>
      <w:marRight w:val="0"/>
      <w:marTop w:val="0"/>
      <w:marBottom w:val="0"/>
      <w:divBdr>
        <w:top w:val="none" w:sz="0" w:space="0" w:color="auto"/>
        <w:left w:val="none" w:sz="0" w:space="0" w:color="auto"/>
        <w:bottom w:val="none" w:sz="0" w:space="0" w:color="auto"/>
        <w:right w:val="none" w:sz="0" w:space="0" w:color="auto"/>
      </w:divBdr>
    </w:div>
    <w:div w:id="1281569668">
      <w:marLeft w:val="0"/>
      <w:marRight w:val="0"/>
      <w:marTop w:val="0"/>
      <w:marBottom w:val="0"/>
      <w:divBdr>
        <w:top w:val="none" w:sz="0" w:space="0" w:color="auto"/>
        <w:left w:val="none" w:sz="0" w:space="0" w:color="auto"/>
        <w:bottom w:val="none" w:sz="0" w:space="0" w:color="auto"/>
        <w:right w:val="none" w:sz="0" w:space="0" w:color="auto"/>
      </w:divBdr>
    </w:div>
    <w:div w:id="1281569669">
      <w:marLeft w:val="0"/>
      <w:marRight w:val="0"/>
      <w:marTop w:val="0"/>
      <w:marBottom w:val="0"/>
      <w:divBdr>
        <w:top w:val="none" w:sz="0" w:space="0" w:color="auto"/>
        <w:left w:val="none" w:sz="0" w:space="0" w:color="auto"/>
        <w:bottom w:val="none" w:sz="0" w:space="0" w:color="auto"/>
        <w:right w:val="none" w:sz="0" w:space="0" w:color="auto"/>
      </w:divBdr>
    </w:div>
    <w:div w:id="1281569670">
      <w:marLeft w:val="0"/>
      <w:marRight w:val="0"/>
      <w:marTop w:val="0"/>
      <w:marBottom w:val="0"/>
      <w:divBdr>
        <w:top w:val="none" w:sz="0" w:space="0" w:color="auto"/>
        <w:left w:val="none" w:sz="0" w:space="0" w:color="auto"/>
        <w:bottom w:val="none" w:sz="0" w:space="0" w:color="auto"/>
        <w:right w:val="none" w:sz="0" w:space="0" w:color="auto"/>
      </w:divBdr>
    </w:div>
    <w:div w:id="1281569671">
      <w:marLeft w:val="0"/>
      <w:marRight w:val="0"/>
      <w:marTop w:val="0"/>
      <w:marBottom w:val="0"/>
      <w:divBdr>
        <w:top w:val="none" w:sz="0" w:space="0" w:color="auto"/>
        <w:left w:val="none" w:sz="0" w:space="0" w:color="auto"/>
        <w:bottom w:val="none" w:sz="0" w:space="0" w:color="auto"/>
        <w:right w:val="none" w:sz="0" w:space="0" w:color="auto"/>
      </w:divBdr>
    </w:div>
    <w:div w:id="1855916164">
      <w:bodyDiv w:val="1"/>
      <w:marLeft w:val="0"/>
      <w:marRight w:val="0"/>
      <w:marTop w:val="0"/>
      <w:marBottom w:val="0"/>
      <w:divBdr>
        <w:top w:val="none" w:sz="0" w:space="0" w:color="auto"/>
        <w:left w:val="none" w:sz="0" w:space="0" w:color="auto"/>
        <w:bottom w:val="none" w:sz="0" w:space="0" w:color="auto"/>
        <w:right w:val="none" w:sz="0" w:space="0" w:color="auto"/>
      </w:divBdr>
      <w:divsChild>
        <w:div w:id="685406955">
          <w:marLeft w:val="0"/>
          <w:marRight w:val="0"/>
          <w:marTop w:val="0"/>
          <w:marBottom w:val="0"/>
          <w:divBdr>
            <w:top w:val="none" w:sz="0" w:space="0" w:color="auto"/>
            <w:left w:val="none" w:sz="0" w:space="0" w:color="auto"/>
            <w:bottom w:val="none" w:sz="0" w:space="0" w:color="auto"/>
            <w:right w:val="none" w:sz="0" w:space="0" w:color="auto"/>
          </w:divBdr>
        </w:div>
        <w:div w:id="1151100585">
          <w:marLeft w:val="0"/>
          <w:marRight w:val="0"/>
          <w:marTop w:val="0"/>
          <w:marBottom w:val="0"/>
          <w:divBdr>
            <w:top w:val="none" w:sz="0" w:space="0" w:color="auto"/>
            <w:left w:val="none" w:sz="0" w:space="0" w:color="auto"/>
            <w:bottom w:val="none" w:sz="0" w:space="0" w:color="auto"/>
            <w:right w:val="none" w:sz="0" w:space="0" w:color="auto"/>
          </w:divBdr>
        </w:div>
        <w:div w:id="142964722">
          <w:marLeft w:val="0"/>
          <w:marRight w:val="0"/>
          <w:marTop w:val="0"/>
          <w:marBottom w:val="0"/>
          <w:divBdr>
            <w:top w:val="none" w:sz="0" w:space="0" w:color="auto"/>
            <w:left w:val="none" w:sz="0" w:space="0" w:color="auto"/>
            <w:bottom w:val="none" w:sz="0" w:space="0" w:color="auto"/>
            <w:right w:val="none" w:sz="0" w:space="0" w:color="auto"/>
          </w:divBdr>
        </w:div>
        <w:div w:id="68683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54F60-773B-442E-9555-97ABAD0F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2539</Words>
  <Characters>16763</Characters>
  <Application>Microsoft Office Word</Application>
  <DocSecurity>0</DocSecurity>
  <Lines>139</Lines>
  <Paragraphs>38</Paragraphs>
  <ScaleCrop>false</ScaleCrop>
  <HeadingPairs>
    <vt:vector size="8" baseType="variant">
      <vt:variant>
        <vt:lpstr>Názov</vt:lpstr>
      </vt:variant>
      <vt:variant>
        <vt:i4>1</vt:i4>
      </vt:variant>
      <vt:variant>
        <vt:lpstr>Název</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Summary of Product Characteristics</vt:lpstr>
    </vt:vector>
  </TitlesOfParts>
  <Manager/>
  <Company>mt-g</Company>
  <LinksUpToDate>false</LinksUpToDate>
  <CharactersWithSpaces>19264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mt-g</dc:creator>
  <cp:keywords/>
  <dc:description/>
  <cp:lastModifiedBy>user</cp:lastModifiedBy>
  <cp:revision>3</cp:revision>
  <cp:lastPrinted>2018-05-23T13:23:00Z</cp:lastPrinted>
  <dcterms:created xsi:type="dcterms:W3CDTF">2020-07-24T06:38:00Z</dcterms:created>
  <dcterms:modified xsi:type="dcterms:W3CDTF">2020-07-24T06:39:00Z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General-EMEA/378973/2008</vt:lpwstr>
  </property>
  <property fmtid="{D5CDD505-2E9C-101B-9397-08002B2CF9AE}" pid="3" name="DM_Name">
    <vt:lpwstr>Hreferralspcen</vt:lpwstr>
  </property>
  <property fmtid="{D5CDD505-2E9C-101B-9397-08002B2CF9AE}" pid="4" name="DM_Owner">
    <vt:lpwstr>Prizzi Monica</vt:lpwstr>
  </property>
  <property fmtid="{D5CDD505-2E9C-101B-9397-08002B2CF9AE}" pid="5" name="DM_Creation_Date">
    <vt:lpwstr>24/07/2008 16:45:39</vt:lpwstr>
  </property>
  <property fmtid="{D5CDD505-2E9C-101B-9397-08002B2CF9AE}" pid="6" name="DM_Creator_Name">
    <vt:lpwstr>Cantatore Kira</vt:lpwstr>
  </property>
  <property fmtid="{D5CDD505-2E9C-101B-9397-08002B2CF9AE}" pid="7" name="DM_Modifer_Name">
    <vt:lpwstr>Cantatore Kira</vt:lpwstr>
  </property>
  <property fmtid="{D5CDD505-2E9C-101B-9397-08002B2CF9AE}" pid="8" name="DM_Modified_Date">
    <vt:lpwstr>24/07/2008 16:45:39</vt:lpwstr>
  </property>
  <property fmtid="{D5CDD505-2E9C-101B-9397-08002B2CF9AE}" pid="9" name="DM_Type">
    <vt:lpwstr>emea_document</vt:lpwstr>
  </property>
  <property fmtid="{D5CDD505-2E9C-101B-9397-08002B2CF9AE}" pid="10" name="DM_Version">
    <vt:lpwstr>0.2, CURRENT</vt:lpwstr>
  </property>
  <property fmtid="{D5CDD505-2E9C-101B-9397-08002B2CF9AE}" pid="11" name="DM_emea_doc_ref_id">
    <vt:lpwstr>EMEA/378973/2008</vt:lpwstr>
  </property>
  <property fmtid="{D5CDD505-2E9C-101B-9397-08002B2CF9AE}" pid="12" name="DM_emea_doc_number">
    <vt:lpwstr>378973</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2008</vt:lpwstr>
  </property>
  <property fmtid="{D5CDD505-2E9C-101B-9397-08002B2CF9AE}" pid="18" name="DM_emea_sent_date">
    <vt:lpwstr>nulldate</vt:lpwstr>
  </property>
</Properties>
</file>