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0C03E" w14:textId="77777777" w:rsidR="009F59C1" w:rsidRPr="00C30D5C" w:rsidRDefault="009F59C1" w:rsidP="009F59C1">
      <w:pPr>
        <w:rPr>
          <w:b/>
          <w:szCs w:val="22"/>
        </w:rPr>
      </w:pPr>
    </w:p>
    <w:p w14:paraId="27DBDD52" w14:textId="77777777" w:rsidR="00B06E24" w:rsidRPr="00C30D5C" w:rsidRDefault="009F59C1" w:rsidP="001B072E">
      <w:pPr>
        <w:jc w:val="center"/>
        <w:rPr>
          <w:b/>
          <w:szCs w:val="22"/>
        </w:rPr>
      </w:pPr>
      <w:r w:rsidRPr="00C30D5C">
        <w:rPr>
          <w:b/>
          <w:szCs w:val="22"/>
        </w:rPr>
        <w:t>SÚHRN CHARAKTERISTICKÝCH VLASTNOSTÍ LIEKU</w:t>
      </w:r>
    </w:p>
    <w:p w14:paraId="38C6619D" w14:textId="77777777" w:rsidR="00B06E24" w:rsidRPr="00C30D5C" w:rsidRDefault="00B06E24" w:rsidP="001B072E">
      <w:pPr>
        <w:jc w:val="center"/>
        <w:rPr>
          <w:szCs w:val="22"/>
        </w:rPr>
      </w:pPr>
    </w:p>
    <w:p w14:paraId="2D9BA12C" w14:textId="77777777" w:rsidR="00780926" w:rsidRPr="00C30D5C" w:rsidRDefault="009F59C1" w:rsidP="00E41B3F">
      <w:pPr>
        <w:rPr>
          <w:szCs w:val="22"/>
        </w:rPr>
      </w:pPr>
      <w:r w:rsidRPr="00C30D5C">
        <w:rPr>
          <w:b/>
          <w:szCs w:val="22"/>
        </w:rPr>
        <w:t>1.</w:t>
      </w:r>
      <w:r w:rsidRPr="00C30D5C">
        <w:rPr>
          <w:b/>
          <w:szCs w:val="22"/>
        </w:rPr>
        <w:tab/>
        <w:t>NÁZOV LIEKU</w:t>
      </w:r>
    </w:p>
    <w:p w14:paraId="4682E65B" w14:textId="77777777" w:rsidR="00780926" w:rsidRPr="00C30D5C" w:rsidRDefault="00780926" w:rsidP="00E41B3F">
      <w:pPr>
        <w:rPr>
          <w:szCs w:val="22"/>
        </w:rPr>
      </w:pPr>
    </w:p>
    <w:p w14:paraId="26CC14F1" w14:textId="77777777" w:rsidR="009F59C1" w:rsidRDefault="009F59C1" w:rsidP="009F59C1">
      <w:pPr>
        <w:rPr>
          <w:szCs w:val="22"/>
        </w:rPr>
      </w:pPr>
      <w:r w:rsidRPr="00C30D5C">
        <w:rPr>
          <w:szCs w:val="22"/>
        </w:rPr>
        <w:t>Paracetamol Noridem 10 mg/ml infúzny roztok</w:t>
      </w:r>
    </w:p>
    <w:p w14:paraId="7E4C19E5" w14:textId="77777777" w:rsidR="006E6854" w:rsidRPr="00C30D5C" w:rsidRDefault="006E6854" w:rsidP="009F59C1">
      <w:pPr>
        <w:rPr>
          <w:szCs w:val="22"/>
        </w:rPr>
      </w:pPr>
    </w:p>
    <w:p w14:paraId="488A56CF" w14:textId="77777777" w:rsidR="00780926" w:rsidRPr="00C30D5C" w:rsidRDefault="00780926" w:rsidP="00E41B3F">
      <w:pPr>
        <w:rPr>
          <w:szCs w:val="22"/>
        </w:rPr>
      </w:pPr>
    </w:p>
    <w:p w14:paraId="7E311D56" w14:textId="77777777" w:rsidR="00780926" w:rsidRPr="00C30D5C" w:rsidRDefault="009F59C1" w:rsidP="00E41B3F">
      <w:pPr>
        <w:rPr>
          <w:szCs w:val="22"/>
        </w:rPr>
      </w:pPr>
      <w:r w:rsidRPr="00C30D5C">
        <w:rPr>
          <w:b/>
          <w:szCs w:val="22"/>
        </w:rPr>
        <w:t>2.</w:t>
      </w:r>
      <w:r w:rsidRPr="00C30D5C">
        <w:rPr>
          <w:b/>
          <w:szCs w:val="22"/>
        </w:rPr>
        <w:tab/>
        <w:t>KVALITATÍVNE A</w:t>
      </w:r>
      <w:r w:rsidR="00A236CF" w:rsidRPr="00C30D5C">
        <w:rPr>
          <w:b/>
          <w:szCs w:val="22"/>
        </w:rPr>
        <w:t> </w:t>
      </w:r>
      <w:r w:rsidRPr="00C30D5C">
        <w:rPr>
          <w:b/>
          <w:szCs w:val="22"/>
        </w:rPr>
        <w:t>KVANTITATÍVNE ZLOŽENIE</w:t>
      </w:r>
    </w:p>
    <w:p w14:paraId="3D3F59CA" w14:textId="77777777" w:rsidR="00780926" w:rsidRPr="00C30D5C" w:rsidRDefault="00780926" w:rsidP="00E41B3F">
      <w:pPr>
        <w:ind w:left="0" w:firstLine="0"/>
        <w:rPr>
          <w:szCs w:val="22"/>
        </w:rPr>
      </w:pPr>
    </w:p>
    <w:p w14:paraId="42646370" w14:textId="5BDDFE52" w:rsidR="009F59C1" w:rsidRPr="00C30D5C" w:rsidRDefault="009F59C1" w:rsidP="009F59C1">
      <w:pPr>
        <w:pStyle w:val="Zkladntext"/>
        <w:spacing w:line="242" w:lineRule="auto"/>
        <w:ind w:right="1883" w:hanging="1"/>
        <w:rPr>
          <w:szCs w:val="22"/>
        </w:rPr>
      </w:pPr>
      <w:r w:rsidRPr="00C30D5C">
        <w:rPr>
          <w:szCs w:val="22"/>
        </w:rPr>
        <w:t>Jedna</w:t>
      </w:r>
      <w:r w:rsidR="00F63040" w:rsidRPr="00C30D5C">
        <w:rPr>
          <w:szCs w:val="22"/>
        </w:rPr>
        <w:t xml:space="preserve"> 100 ml</w:t>
      </w:r>
      <w:r w:rsidRPr="00C30D5C">
        <w:rPr>
          <w:szCs w:val="22"/>
        </w:rPr>
        <w:t xml:space="preserve"> </w:t>
      </w:r>
      <w:r w:rsidR="003E5F36">
        <w:rPr>
          <w:szCs w:val="22"/>
        </w:rPr>
        <w:t>fľaša</w:t>
      </w:r>
      <w:r w:rsidR="001B072E" w:rsidRPr="00C30D5C">
        <w:rPr>
          <w:szCs w:val="22"/>
        </w:rPr>
        <w:t xml:space="preserve"> obsahuje 1 000 mg paracetamolu</w:t>
      </w:r>
      <w:r w:rsidRPr="00C30D5C">
        <w:rPr>
          <w:szCs w:val="22"/>
        </w:rPr>
        <w:t>.</w:t>
      </w:r>
    </w:p>
    <w:p w14:paraId="20479D5A" w14:textId="6E727491" w:rsidR="001B072E" w:rsidRPr="00C30D5C" w:rsidRDefault="001B072E" w:rsidP="001B072E">
      <w:pPr>
        <w:pStyle w:val="Zkladntext"/>
        <w:spacing w:line="242" w:lineRule="auto"/>
        <w:ind w:right="1883" w:hanging="1"/>
        <w:rPr>
          <w:szCs w:val="22"/>
        </w:rPr>
      </w:pPr>
      <w:r w:rsidRPr="00C30D5C">
        <w:rPr>
          <w:szCs w:val="22"/>
        </w:rPr>
        <w:t>Jedna</w:t>
      </w:r>
      <w:r w:rsidR="00F63040" w:rsidRPr="00C30D5C">
        <w:rPr>
          <w:szCs w:val="22"/>
        </w:rPr>
        <w:t xml:space="preserve"> 50 ml</w:t>
      </w:r>
      <w:r w:rsidRPr="00C30D5C">
        <w:rPr>
          <w:szCs w:val="22"/>
        </w:rPr>
        <w:t xml:space="preserve"> </w:t>
      </w:r>
      <w:r w:rsidR="003E5F36" w:rsidRPr="002E4A86">
        <w:rPr>
          <w:szCs w:val="22"/>
        </w:rPr>
        <w:t>fľaša</w:t>
      </w:r>
      <w:r w:rsidRPr="00C30D5C">
        <w:rPr>
          <w:szCs w:val="22"/>
        </w:rPr>
        <w:t xml:space="preserve"> obsahuje 500 mg paracetamolu.</w:t>
      </w:r>
    </w:p>
    <w:p w14:paraId="766C3B1E" w14:textId="77777777" w:rsidR="009F59C1" w:rsidRPr="00C30D5C" w:rsidRDefault="009F59C1" w:rsidP="009F59C1">
      <w:pPr>
        <w:pStyle w:val="Zkladntext"/>
        <w:spacing w:line="252" w:lineRule="exact"/>
        <w:rPr>
          <w:szCs w:val="22"/>
        </w:rPr>
      </w:pPr>
      <w:r w:rsidRPr="00C30D5C">
        <w:rPr>
          <w:szCs w:val="22"/>
        </w:rPr>
        <w:t>Jeden ml obsahuje 10</w:t>
      </w:r>
      <w:r w:rsidR="001B072E" w:rsidRPr="00C30D5C">
        <w:rPr>
          <w:szCs w:val="22"/>
        </w:rPr>
        <w:t> </w:t>
      </w:r>
      <w:r w:rsidRPr="00C30D5C">
        <w:rPr>
          <w:szCs w:val="22"/>
        </w:rPr>
        <w:t>mg</w:t>
      </w:r>
      <w:r w:rsidR="001B072E" w:rsidRPr="00C30D5C">
        <w:rPr>
          <w:szCs w:val="22"/>
        </w:rPr>
        <w:t xml:space="preserve"> paracetamolu</w:t>
      </w:r>
      <w:r w:rsidRPr="00C30D5C">
        <w:rPr>
          <w:szCs w:val="22"/>
        </w:rPr>
        <w:t>.</w:t>
      </w:r>
    </w:p>
    <w:p w14:paraId="3124DB4C" w14:textId="77777777" w:rsidR="00F63040" w:rsidRPr="00C30D5C" w:rsidRDefault="00F63040" w:rsidP="009F59C1">
      <w:pPr>
        <w:pStyle w:val="Zkladntext"/>
        <w:spacing w:line="252" w:lineRule="exact"/>
        <w:rPr>
          <w:szCs w:val="22"/>
        </w:rPr>
      </w:pPr>
    </w:p>
    <w:p w14:paraId="6DFDAD93" w14:textId="77777777" w:rsidR="00780926" w:rsidRPr="00C30D5C" w:rsidRDefault="00F63040" w:rsidP="009F59C1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0471F7">
        <w:rPr>
          <w:szCs w:val="22"/>
          <w:lang w:val="sk-SK"/>
        </w:rPr>
        <w:t>Pomocná</w:t>
      </w:r>
      <w:r w:rsidR="009F59C1" w:rsidRPr="000471F7">
        <w:rPr>
          <w:szCs w:val="22"/>
          <w:lang w:val="sk-SK"/>
        </w:rPr>
        <w:t xml:space="preserve"> látk</w:t>
      </w:r>
      <w:r w:rsidRPr="000471F7">
        <w:rPr>
          <w:szCs w:val="22"/>
          <w:lang w:val="sk-SK"/>
        </w:rPr>
        <w:t>a</w:t>
      </w:r>
      <w:r w:rsidR="009F59C1" w:rsidRPr="00C30D5C">
        <w:rPr>
          <w:szCs w:val="22"/>
          <w:lang w:val="sk-SK"/>
        </w:rPr>
        <w:t>: sodík 0,04 mg/ml</w:t>
      </w:r>
    </w:p>
    <w:p w14:paraId="37F8DEBB" w14:textId="77777777" w:rsidR="00780926" w:rsidRDefault="0049191E" w:rsidP="00E41B3F">
      <w:pPr>
        <w:tabs>
          <w:tab w:val="left" w:pos="567"/>
        </w:tabs>
        <w:spacing w:line="260" w:lineRule="exact"/>
        <w:ind w:left="0" w:firstLine="0"/>
        <w:rPr>
          <w:szCs w:val="22"/>
          <w:lang w:eastAsia="en-US"/>
        </w:rPr>
      </w:pPr>
      <w:r w:rsidRPr="00C30D5C">
        <w:rPr>
          <w:szCs w:val="22"/>
          <w:lang w:eastAsia="en-US"/>
        </w:rPr>
        <w:t>Úplný zoznam pomocných látok, pozri časť 6.1.</w:t>
      </w:r>
    </w:p>
    <w:p w14:paraId="61858F5D" w14:textId="77777777" w:rsidR="006E6854" w:rsidRPr="00C30D5C" w:rsidRDefault="006E6854" w:rsidP="00E41B3F">
      <w:pPr>
        <w:tabs>
          <w:tab w:val="left" w:pos="567"/>
        </w:tabs>
        <w:spacing w:line="260" w:lineRule="exact"/>
        <w:ind w:left="0" w:firstLine="0"/>
        <w:rPr>
          <w:szCs w:val="22"/>
          <w:lang w:eastAsia="en-US"/>
        </w:rPr>
      </w:pPr>
    </w:p>
    <w:p w14:paraId="5BD9BE0C" w14:textId="77777777" w:rsidR="00780926" w:rsidRPr="00C30D5C" w:rsidRDefault="00780926" w:rsidP="00E41B3F">
      <w:pPr>
        <w:rPr>
          <w:szCs w:val="22"/>
        </w:rPr>
      </w:pPr>
    </w:p>
    <w:p w14:paraId="4B5CB557" w14:textId="77777777" w:rsidR="00780926" w:rsidRPr="00C30D5C" w:rsidRDefault="009F59C1" w:rsidP="00E41B3F">
      <w:pPr>
        <w:rPr>
          <w:caps/>
          <w:szCs w:val="22"/>
        </w:rPr>
      </w:pPr>
      <w:r w:rsidRPr="00C30D5C">
        <w:rPr>
          <w:b/>
          <w:szCs w:val="22"/>
        </w:rPr>
        <w:t>3.</w:t>
      </w:r>
      <w:r w:rsidRPr="00C30D5C">
        <w:rPr>
          <w:b/>
          <w:szCs w:val="22"/>
        </w:rPr>
        <w:tab/>
        <w:t>LIEKOVÁ FORMA</w:t>
      </w:r>
    </w:p>
    <w:p w14:paraId="3EA5A26C" w14:textId="77777777" w:rsidR="00780926" w:rsidRPr="00C30D5C" w:rsidRDefault="00780926" w:rsidP="00E41B3F">
      <w:pPr>
        <w:rPr>
          <w:szCs w:val="22"/>
        </w:rPr>
      </w:pPr>
    </w:p>
    <w:p w14:paraId="7354DE93" w14:textId="77777777" w:rsidR="009F59C1" w:rsidRPr="00C30D5C" w:rsidRDefault="001B072E" w:rsidP="009F59C1">
      <w:pPr>
        <w:pStyle w:val="Zkladntext"/>
        <w:rPr>
          <w:szCs w:val="22"/>
        </w:rPr>
      </w:pPr>
      <w:r w:rsidRPr="00C30D5C">
        <w:rPr>
          <w:szCs w:val="22"/>
        </w:rPr>
        <w:t>Infúzny</w:t>
      </w:r>
      <w:r w:rsidR="009F59C1" w:rsidRPr="00C30D5C">
        <w:rPr>
          <w:szCs w:val="22"/>
        </w:rPr>
        <w:t xml:space="preserve"> roztok</w:t>
      </w:r>
      <w:r w:rsidR="006E6854">
        <w:rPr>
          <w:szCs w:val="22"/>
        </w:rPr>
        <w:t>.</w:t>
      </w:r>
    </w:p>
    <w:p w14:paraId="19EBA956" w14:textId="77777777" w:rsidR="009F59C1" w:rsidRPr="00C30D5C" w:rsidRDefault="001B072E" w:rsidP="009F59C1">
      <w:pPr>
        <w:pStyle w:val="Zkladntext"/>
        <w:spacing w:before="3" w:line="252" w:lineRule="exact"/>
        <w:rPr>
          <w:szCs w:val="22"/>
        </w:rPr>
      </w:pPr>
      <w:r w:rsidRPr="00C30D5C">
        <w:rPr>
          <w:szCs w:val="22"/>
        </w:rPr>
        <w:t>Číry, slabo žltkastý</w:t>
      </w:r>
      <w:r w:rsidR="009F59C1" w:rsidRPr="00C30D5C">
        <w:rPr>
          <w:szCs w:val="22"/>
        </w:rPr>
        <w:t xml:space="preserve"> roztok.</w:t>
      </w:r>
    </w:p>
    <w:p w14:paraId="00CC0C82" w14:textId="77777777" w:rsidR="009F59C1" w:rsidRPr="00C30D5C" w:rsidRDefault="009F59C1" w:rsidP="009F59C1">
      <w:pPr>
        <w:pStyle w:val="Zkladntext"/>
        <w:spacing w:line="252" w:lineRule="exact"/>
        <w:rPr>
          <w:szCs w:val="22"/>
        </w:rPr>
      </w:pPr>
      <w:r w:rsidRPr="00C30D5C">
        <w:rPr>
          <w:szCs w:val="22"/>
        </w:rPr>
        <w:t xml:space="preserve">Osmolalita </w:t>
      </w:r>
      <w:r w:rsidR="001B072E" w:rsidRPr="00C30D5C">
        <w:rPr>
          <w:szCs w:val="22"/>
        </w:rPr>
        <w:t>infúzneho</w:t>
      </w:r>
      <w:r w:rsidRPr="00C30D5C">
        <w:rPr>
          <w:szCs w:val="22"/>
        </w:rPr>
        <w:t xml:space="preserve"> roztoku </w:t>
      </w:r>
      <w:r w:rsidR="001B072E" w:rsidRPr="00C30D5C">
        <w:rPr>
          <w:szCs w:val="22"/>
        </w:rPr>
        <w:t>je medzi</w:t>
      </w:r>
      <w:r w:rsidRPr="00C30D5C">
        <w:rPr>
          <w:szCs w:val="22"/>
        </w:rPr>
        <w:t xml:space="preserve"> 285–315 mOsmol/kg.</w:t>
      </w:r>
    </w:p>
    <w:p w14:paraId="2F08768C" w14:textId="77777777" w:rsidR="00780926" w:rsidRPr="00C30D5C" w:rsidRDefault="000471F7" w:rsidP="009F59C1">
      <w:pPr>
        <w:pStyle w:val="Zkladntext"/>
        <w:spacing w:line="252" w:lineRule="exact"/>
        <w:rPr>
          <w:szCs w:val="22"/>
        </w:rPr>
      </w:pPr>
      <w:r>
        <w:rPr>
          <w:szCs w:val="22"/>
        </w:rPr>
        <w:t xml:space="preserve">Hodnota </w:t>
      </w:r>
      <w:r w:rsidR="009F59C1" w:rsidRPr="00C30D5C">
        <w:rPr>
          <w:szCs w:val="22"/>
        </w:rPr>
        <w:t xml:space="preserve">pH </w:t>
      </w:r>
      <w:r w:rsidR="001B072E" w:rsidRPr="00C30D5C">
        <w:rPr>
          <w:szCs w:val="22"/>
        </w:rPr>
        <w:t>infúzneho</w:t>
      </w:r>
      <w:r w:rsidR="009F59C1" w:rsidRPr="00C30D5C">
        <w:rPr>
          <w:szCs w:val="22"/>
        </w:rPr>
        <w:t xml:space="preserve"> roztoku </w:t>
      </w:r>
      <w:r w:rsidR="001B072E" w:rsidRPr="00C30D5C">
        <w:rPr>
          <w:szCs w:val="22"/>
        </w:rPr>
        <w:t>je medzi</w:t>
      </w:r>
      <w:r w:rsidR="009F59C1" w:rsidRPr="00C30D5C">
        <w:rPr>
          <w:szCs w:val="22"/>
        </w:rPr>
        <w:t xml:space="preserve"> 5,0 a 6,0.</w:t>
      </w:r>
    </w:p>
    <w:p w14:paraId="72B8AFD9" w14:textId="77777777" w:rsidR="00780926" w:rsidRPr="00C30D5C" w:rsidRDefault="00780926" w:rsidP="009F59C1">
      <w:pPr>
        <w:ind w:left="0" w:firstLine="0"/>
        <w:rPr>
          <w:szCs w:val="22"/>
        </w:rPr>
      </w:pPr>
    </w:p>
    <w:p w14:paraId="323F1F1E" w14:textId="77777777" w:rsidR="00780926" w:rsidRPr="00C30D5C" w:rsidRDefault="00780926" w:rsidP="00E41B3F">
      <w:pPr>
        <w:rPr>
          <w:szCs w:val="22"/>
        </w:rPr>
      </w:pPr>
    </w:p>
    <w:p w14:paraId="3A9986C2" w14:textId="77777777" w:rsidR="00780926" w:rsidRPr="00C30D5C" w:rsidRDefault="009F59C1" w:rsidP="00E41B3F">
      <w:pPr>
        <w:rPr>
          <w:caps/>
          <w:szCs w:val="22"/>
        </w:rPr>
      </w:pPr>
      <w:r w:rsidRPr="00C30D5C">
        <w:rPr>
          <w:b/>
          <w:caps/>
          <w:szCs w:val="22"/>
        </w:rPr>
        <w:t>4.</w:t>
      </w:r>
      <w:r w:rsidRPr="00C30D5C">
        <w:rPr>
          <w:b/>
          <w:caps/>
          <w:szCs w:val="22"/>
        </w:rPr>
        <w:tab/>
        <w:t>KLINICKÉ ÚDAJE</w:t>
      </w:r>
    </w:p>
    <w:p w14:paraId="2ED3978B" w14:textId="77777777" w:rsidR="00780926" w:rsidRPr="00C30D5C" w:rsidRDefault="00780926" w:rsidP="00E41B3F">
      <w:pPr>
        <w:rPr>
          <w:szCs w:val="22"/>
        </w:rPr>
      </w:pPr>
    </w:p>
    <w:p w14:paraId="06698BE3" w14:textId="77777777" w:rsidR="00780926" w:rsidRPr="00C30D5C" w:rsidRDefault="009F59C1" w:rsidP="00E41B3F">
      <w:pPr>
        <w:rPr>
          <w:szCs w:val="22"/>
        </w:rPr>
      </w:pPr>
      <w:r w:rsidRPr="00C30D5C">
        <w:rPr>
          <w:b/>
          <w:szCs w:val="22"/>
        </w:rPr>
        <w:t>4.1</w:t>
      </w:r>
      <w:r w:rsidRPr="00C30D5C">
        <w:rPr>
          <w:b/>
          <w:szCs w:val="22"/>
        </w:rPr>
        <w:tab/>
        <w:t>Terapeutické indikácie</w:t>
      </w:r>
    </w:p>
    <w:p w14:paraId="1A283585" w14:textId="77777777" w:rsidR="00780926" w:rsidRPr="00C30D5C" w:rsidRDefault="00780926" w:rsidP="00E41B3F">
      <w:pPr>
        <w:rPr>
          <w:szCs w:val="22"/>
        </w:rPr>
      </w:pPr>
    </w:p>
    <w:p w14:paraId="1399EFAF" w14:textId="37EEC448" w:rsidR="009F59C1" w:rsidRPr="00C30D5C" w:rsidRDefault="009F59C1" w:rsidP="009F59C1">
      <w:pPr>
        <w:pStyle w:val="Zkladntext"/>
        <w:spacing w:before="1"/>
        <w:rPr>
          <w:szCs w:val="22"/>
        </w:rPr>
      </w:pPr>
      <w:r w:rsidRPr="00C30D5C">
        <w:rPr>
          <w:szCs w:val="22"/>
        </w:rPr>
        <w:t>Paracetamol</w:t>
      </w:r>
      <w:r w:rsidR="001B072E" w:rsidRPr="00C30D5C">
        <w:rPr>
          <w:szCs w:val="22"/>
        </w:rPr>
        <w:t xml:space="preserve"> je indikovaný na krátkodo</w:t>
      </w:r>
      <w:r w:rsidR="006E6854">
        <w:rPr>
          <w:szCs w:val="22"/>
        </w:rPr>
        <w:t>b</w:t>
      </w:r>
      <w:r w:rsidR="001B072E" w:rsidRPr="00C30D5C">
        <w:rPr>
          <w:szCs w:val="22"/>
        </w:rPr>
        <w:t>ú liečbu stredne silnej bolesti, hlavne po chir</w:t>
      </w:r>
      <w:r w:rsidR="006E6854">
        <w:rPr>
          <w:szCs w:val="22"/>
        </w:rPr>
        <w:t>u</w:t>
      </w:r>
      <w:r w:rsidR="001B072E" w:rsidRPr="00C30D5C">
        <w:rPr>
          <w:szCs w:val="22"/>
        </w:rPr>
        <w:t>gických zákrokoch a krátkodobú liečbu horúčky, keď je intravenózne podanie klinicky odôvodnené naliehavou potrebou zmierniť bolesť alebo horúčku a/alebo keď iné cesty podania nie sú možné</w:t>
      </w:r>
      <w:r w:rsidRPr="00C30D5C">
        <w:rPr>
          <w:szCs w:val="22"/>
        </w:rPr>
        <w:t>.</w:t>
      </w:r>
    </w:p>
    <w:p w14:paraId="138CC12D" w14:textId="77777777" w:rsidR="00780926" w:rsidRPr="00C30D5C" w:rsidRDefault="00780926">
      <w:pPr>
        <w:rPr>
          <w:szCs w:val="22"/>
        </w:rPr>
      </w:pPr>
    </w:p>
    <w:p w14:paraId="19DBA275" w14:textId="77777777" w:rsidR="00780926" w:rsidRPr="00C30D5C" w:rsidRDefault="009F59C1">
      <w:pPr>
        <w:rPr>
          <w:b/>
          <w:szCs w:val="22"/>
        </w:rPr>
      </w:pPr>
      <w:r w:rsidRPr="00C30D5C">
        <w:rPr>
          <w:b/>
          <w:szCs w:val="22"/>
        </w:rPr>
        <w:t>4.2</w:t>
      </w:r>
      <w:r w:rsidRPr="00C30D5C">
        <w:rPr>
          <w:b/>
          <w:szCs w:val="22"/>
        </w:rPr>
        <w:tab/>
        <w:t>Dávkovanie a</w:t>
      </w:r>
      <w:r w:rsidR="00BD7004" w:rsidRPr="00C30D5C">
        <w:rPr>
          <w:b/>
          <w:szCs w:val="22"/>
        </w:rPr>
        <w:t> </w:t>
      </w:r>
      <w:r w:rsidRPr="00C30D5C">
        <w:rPr>
          <w:b/>
          <w:szCs w:val="22"/>
        </w:rPr>
        <w:t>spôsob podávania</w:t>
      </w:r>
    </w:p>
    <w:p w14:paraId="19F42472" w14:textId="77777777" w:rsidR="00780926" w:rsidRPr="00C30D5C" w:rsidRDefault="00780926">
      <w:pPr>
        <w:rPr>
          <w:szCs w:val="22"/>
        </w:rPr>
      </w:pPr>
    </w:p>
    <w:p w14:paraId="4626D6E5" w14:textId="77777777" w:rsidR="009F59C1" w:rsidRPr="00C30D5C" w:rsidRDefault="001B072E" w:rsidP="009F59C1">
      <w:pPr>
        <w:pStyle w:val="Zkladntext"/>
        <w:rPr>
          <w:szCs w:val="22"/>
        </w:rPr>
      </w:pPr>
      <w:r w:rsidRPr="00C30D5C">
        <w:rPr>
          <w:szCs w:val="22"/>
        </w:rPr>
        <w:t>Intravenózne použitie</w:t>
      </w:r>
      <w:r w:rsidR="009F59C1" w:rsidRPr="00C30D5C">
        <w:rPr>
          <w:szCs w:val="22"/>
        </w:rPr>
        <w:t>.</w:t>
      </w:r>
    </w:p>
    <w:p w14:paraId="5B0EF2D8" w14:textId="5DECBD52" w:rsidR="001B072E" w:rsidRPr="00C30D5C" w:rsidRDefault="001B072E" w:rsidP="001B072E">
      <w:pPr>
        <w:pStyle w:val="Zkladntext"/>
        <w:spacing w:before="1" w:line="252" w:lineRule="exact"/>
        <w:rPr>
          <w:szCs w:val="22"/>
        </w:rPr>
      </w:pPr>
      <w:r w:rsidRPr="00C30D5C">
        <w:rPr>
          <w:szCs w:val="22"/>
        </w:rPr>
        <w:t>10</w:t>
      </w:r>
      <w:r w:rsidRPr="002F2FBD">
        <w:rPr>
          <w:szCs w:val="22"/>
        </w:rPr>
        <w:t xml:space="preserve">0 ml </w:t>
      </w:r>
      <w:r w:rsidR="003E5F36" w:rsidRPr="002E4A86">
        <w:rPr>
          <w:szCs w:val="22"/>
        </w:rPr>
        <w:t>fľaša</w:t>
      </w:r>
      <w:r w:rsidRPr="00C30D5C">
        <w:rPr>
          <w:szCs w:val="22"/>
        </w:rPr>
        <w:t xml:space="preserve"> je určená pre dospelých, dospievajúcich a deti s telesnou hmotnosťou viac ako 33 kg.</w:t>
      </w:r>
    </w:p>
    <w:p w14:paraId="678738A2" w14:textId="38972603" w:rsidR="009F59C1" w:rsidRPr="00C30D5C" w:rsidRDefault="001B072E" w:rsidP="001B072E">
      <w:pPr>
        <w:pStyle w:val="Zkladntext"/>
        <w:spacing w:before="1" w:line="252" w:lineRule="exact"/>
        <w:rPr>
          <w:szCs w:val="22"/>
        </w:rPr>
      </w:pPr>
      <w:r w:rsidRPr="00C30D5C">
        <w:rPr>
          <w:szCs w:val="22"/>
        </w:rPr>
        <w:t>50 </w:t>
      </w:r>
      <w:r w:rsidRPr="002F2FBD">
        <w:rPr>
          <w:szCs w:val="22"/>
        </w:rPr>
        <w:t xml:space="preserve">ml </w:t>
      </w:r>
      <w:r w:rsidR="003E5F36" w:rsidRPr="002E4A86">
        <w:rPr>
          <w:szCs w:val="22"/>
        </w:rPr>
        <w:t>fľaša</w:t>
      </w:r>
      <w:r w:rsidRPr="00C30D5C">
        <w:rPr>
          <w:szCs w:val="22"/>
        </w:rPr>
        <w:t xml:space="preserve"> je určená pre  novorodencov</w:t>
      </w:r>
      <w:r w:rsidR="006E6854">
        <w:rPr>
          <w:szCs w:val="22"/>
        </w:rPr>
        <w:t xml:space="preserve"> narodených</w:t>
      </w:r>
      <w:r w:rsidRPr="00C30D5C">
        <w:rPr>
          <w:szCs w:val="22"/>
        </w:rPr>
        <w:t xml:space="preserve"> </w:t>
      </w:r>
      <w:r w:rsidR="006E6854">
        <w:rPr>
          <w:szCs w:val="22"/>
        </w:rPr>
        <w:t xml:space="preserve">v </w:t>
      </w:r>
      <w:r w:rsidRPr="00C30D5C">
        <w:rPr>
          <w:szCs w:val="22"/>
        </w:rPr>
        <w:t>termíne, dojčatá, batoľatá a deti s telesnou hmotnosťou do 33 kg.</w:t>
      </w:r>
    </w:p>
    <w:p w14:paraId="49949BD5" w14:textId="77777777" w:rsidR="009F59C1" w:rsidRPr="00C30D5C" w:rsidRDefault="009F59C1" w:rsidP="009F59C1">
      <w:pPr>
        <w:ind w:left="0" w:firstLine="0"/>
        <w:rPr>
          <w:szCs w:val="22"/>
        </w:rPr>
      </w:pPr>
    </w:p>
    <w:p w14:paraId="652B1351" w14:textId="77777777" w:rsidR="00E1698A" w:rsidRPr="00C30D5C" w:rsidRDefault="009F59C1" w:rsidP="00E41B3F">
      <w:pPr>
        <w:rPr>
          <w:szCs w:val="22"/>
          <w:u w:val="single"/>
        </w:rPr>
      </w:pPr>
      <w:r w:rsidRPr="00C30D5C">
        <w:rPr>
          <w:szCs w:val="22"/>
          <w:u w:val="single"/>
        </w:rPr>
        <w:t>Dávkovanie</w:t>
      </w:r>
    </w:p>
    <w:p w14:paraId="4090FB91" w14:textId="77777777" w:rsidR="00E1698A" w:rsidRPr="00C30D5C" w:rsidRDefault="00E1698A" w:rsidP="00E41B3F">
      <w:pPr>
        <w:rPr>
          <w:szCs w:val="22"/>
        </w:rPr>
      </w:pPr>
    </w:p>
    <w:p w14:paraId="150FCE28" w14:textId="77777777" w:rsidR="001B072E" w:rsidRPr="00C30D5C" w:rsidRDefault="001B072E" w:rsidP="001B072E">
      <w:pPr>
        <w:pStyle w:val="Zkladntext"/>
        <w:rPr>
          <w:szCs w:val="22"/>
        </w:rPr>
      </w:pPr>
      <w:r w:rsidRPr="00C30D5C">
        <w:rPr>
          <w:szCs w:val="22"/>
        </w:rPr>
        <w:t>Dávkovanie je závislé od telesnej hmotnosti pacienta (tabuľka dávkovania je uvedená nižšie):</w:t>
      </w:r>
    </w:p>
    <w:tbl>
      <w:tblPr>
        <w:tblStyle w:val="TableNormal1"/>
        <w:tblW w:w="914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01"/>
        <w:gridCol w:w="1275"/>
        <w:gridCol w:w="3119"/>
        <w:gridCol w:w="1706"/>
      </w:tblGrid>
      <w:tr w:rsidR="001B072E" w:rsidRPr="00C30D5C" w14:paraId="124EF612" w14:textId="77777777" w:rsidTr="000471F7">
        <w:trPr>
          <w:trHeight w:val="1099"/>
        </w:trPr>
        <w:tc>
          <w:tcPr>
            <w:tcW w:w="1843" w:type="dxa"/>
            <w:shd w:val="clear" w:color="auto" w:fill="auto"/>
          </w:tcPr>
          <w:p w14:paraId="1A649E43" w14:textId="77777777" w:rsidR="001B072E" w:rsidRPr="00C30D5C" w:rsidRDefault="001B072E" w:rsidP="001B072E">
            <w:pPr>
              <w:pStyle w:val="TableParagraph"/>
              <w:ind w:left="142"/>
              <w:rPr>
                <w:rFonts w:ascii="Times New Roman" w:hAnsi="Times New Roman" w:cs="Times New Roman"/>
                <w:b/>
                <w:lang w:val="sk-SK"/>
              </w:rPr>
            </w:pPr>
            <w:r w:rsidRPr="00C30D5C">
              <w:rPr>
                <w:rFonts w:ascii="Times New Roman" w:hAnsi="Times New Roman" w:cs="Times New Roman"/>
                <w:b/>
                <w:lang w:val="sk-SK"/>
              </w:rPr>
              <w:t>Telesná hmotnosť pacienta</w:t>
            </w:r>
          </w:p>
        </w:tc>
        <w:tc>
          <w:tcPr>
            <w:tcW w:w="1201" w:type="dxa"/>
            <w:shd w:val="clear" w:color="auto" w:fill="auto"/>
          </w:tcPr>
          <w:p w14:paraId="21183FFE" w14:textId="77777777" w:rsidR="001B072E" w:rsidRPr="00C30D5C" w:rsidRDefault="001B072E" w:rsidP="001B072E">
            <w:pPr>
              <w:ind w:left="157" w:firstLine="0"/>
              <w:rPr>
                <w:rFonts w:ascii="Times New Roman" w:eastAsia="Calibri" w:hAnsi="Times New Roman" w:cs="Times New Roman"/>
                <w:b/>
                <w:bCs/>
              </w:rPr>
            </w:pPr>
            <w:r w:rsidRPr="00C30D5C">
              <w:rPr>
                <w:rFonts w:ascii="Times New Roman" w:eastAsia="Calibri" w:hAnsi="Times New Roman" w:cs="Times New Roman"/>
                <w:b/>
                <w:bCs/>
              </w:rPr>
              <w:t>Dávka na jednotlivé podanie</w:t>
            </w:r>
          </w:p>
        </w:tc>
        <w:tc>
          <w:tcPr>
            <w:tcW w:w="1275" w:type="dxa"/>
            <w:shd w:val="clear" w:color="auto" w:fill="auto"/>
          </w:tcPr>
          <w:p w14:paraId="3A5BA9F9" w14:textId="77777777" w:rsidR="001B072E" w:rsidRPr="00C30D5C" w:rsidRDefault="001B072E" w:rsidP="001B072E">
            <w:pPr>
              <w:ind w:left="75" w:firstLine="0"/>
              <w:rPr>
                <w:rFonts w:ascii="Times New Roman" w:eastAsia="Calibri" w:hAnsi="Times New Roman" w:cs="Times New Roman"/>
                <w:i/>
                <w:iCs/>
              </w:rPr>
            </w:pPr>
            <w:r w:rsidRPr="00C30D5C">
              <w:rPr>
                <w:rFonts w:ascii="Times New Roman" w:eastAsia="Calibri" w:hAnsi="Times New Roman" w:cs="Times New Roman"/>
                <w:b/>
                <w:bCs/>
              </w:rPr>
              <w:t>Objem na jednotlivé podanie</w:t>
            </w:r>
          </w:p>
        </w:tc>
        <w:tc>
          <w:tcPr>
            <w:tcW w:w="3119" w:type="dxa"/>
            <w:shd w:val="clear" w:color="auto" w:fill="auto"/>
          </w:tcPr>
          <w:p w14:paraId="69947FDC" w14:textId="77777777" w:rsidR="001B072E" w:rsidRPr="00C30D5C" w:rsidRDefault="001B072E" w:rsidP="001B072E">
            <w:pPr>
              <w:ind w:left="76" w:firstLine="0"/>
              <w:rPr>
                <w:rFonts w:ascii="Times New Roman" w:eastAsia="Calibri" w:hAnsi="Times New Roman" w:cs="Times New Roman"/>
                <w:b/>
                <w:bCs/>
              </w:rPr>
            </w:pPr>
            <w:r w:rsidRPr="00C30D5C">
              <w:rPr>
                <w:rFonts w:ascii="Times New Roman" w:eastAsia="Calibri" w:hAnsi="Times New Roman" w:cs="Times New Roman"/>
                <w:b/>
                <w:bCs/>
              </w:rPr>
              <w:t>Maximálny objem Paracetamolu Noridem (10 mg/ml) na jednotlivé podanie podľa horného limitu telesnej hmotnosti skupiny (ml)***</w:t>
            </w:r>
          </w:p>
        </w:tc>
        <w:tc>
          <w:tcPr>
            <w:tcW w:w="1706" w:type="dxa"/>
            <w:shd w:val="clear" w:color="auto" w:fill="auto"/>
          </w:tcPr>
          <w:p w14:paraId="00FA02ED" w14:textId="77777777" w:rsidR="001B072E" w:rsidRPr="00C30D5C" w:rsidRDefault="001B072E" w:rsidP="001B072E">
            <w:pPr>
              <w:ind w:left="75" w:firstLine="0"/>
              <w:rPr>
                <w:rFonts w:ascii="Times New Roman" w:eastAsia="Calibri" w:hAnsi="Times New Roman" w:cs="Times New Roman"/>
                <w:b/>
                <w:bCs/>
              </w:rPr>
            </w:pPr>
            <w:r w:rsidRPr="00C30D5C">
              <w:rPr>
                <w:rFonts w:ascii="Times New Roman" w:eastAsia="Calibri" w:hAnsi="Times New Roman" w:cs="Times New Roman"/>
                <w:b/>
                <w:bCs/>
              </w:rPr>
              <w:t>Maximálna denná dávka**</w:t>
            </w:r>
          </w:p>
        </w:tc>
      </w:tr>
      <w:tr w:rsidR="001B072E" w:rsidRPr="00C30D5C" w14:paraId="44B61E34" w14:textId="77777777" w:rsidTr="000471F7">
        <w:trPr>
          <w:trHeight w:val="254"/>
        </w:trPr>
        <w:tc>
          <w:tcPr>
            <w:tcW w:w="1843" w:type="dxa"/>
          </w:tcPr>
          <w:p w14:paraId="7A42DE50" w14:textId="77777777" w:rsidR="001B072E" w:rsidRPr="00C30D5C" w:rsidRDefault="001B072E" w:rsidP="001B072E">
            <w:pPr>
              <w:pStyle w:val="TableParagraph"/>
              <w:spacing w:before="1" w:line="232" w:lineRule="exact"/>
              <w:ind w:left="142"/>
              <w:rPr>
                <w:rFonts w:ascii="Times New Roman" w:hAnsi="Times New Roman" w:cs="Times New Roman"/>
                <w:b/>
                <w:lang w:val="sk-SK"/>
              </w:rPr>
            </w:pPr>
            <w:r w:rsidRPr="00C30D5C">
              <w:rPr>
                <w:rFonts w:ascii="Times New Roman" w:hAnsi="Times New Roman" w:cs="Times New Roman"/>
                <w:b/>
                <w:lang w:val="sk-SK"/>
              </w:rPr>
              <w:t>≤ 10 kg*</w:t>
            </w:r>
          </w:p>
        </w:tc>
        <w:tc>
          <w:tcPr>
            <w:tcW w:w="1201" w:type="dxa"/>
          </w:tcPr>
          <w:p w14:paraId="72579D3B" w14:textId="77777777" w:rsidR="001B072E" w:rsidRPr="00C30D5C" w:rsidRDefault="001B072E" w:rsidP="001B072E">
            <w:pPr>
              <w:pStyle w:val="TableParagraph"/>
              <w:spacing w:before="1" w:line="232" w:lineRule="exact"/>
              <w:ind w:left="157"/>
              <w:rPr>
                <w:rFonts w:ascii="Times New Roman" w:hAnsi="Times New Roman" w:cs="Times New Roman"/>
                <w:lang w:val="sk-SK"/>
              </w:rPr>
            </w:pPr>
            <w:r w:rsidRPr="00C30D5C">
              <w:rPr>
                <w:rFonts w:ascii="Times New Roman" w:hAnsi="Times New Roman" w:cs="Times New Roman"/>
                <w:lang w:val="sk-SK"/>
              </w:rPr>
              <w:t>7,5 mg/kg</w:t>
            </w:r>
          </w:p>
        </w:tc>
        <w:tc>
          <w:tcPr>
            <w:tcW w:w="1275" w:type="dxa"/>
          </w:tcPr>
          <w:p w14:paraId="2637D3E6" w14:textId="77777777" w:rsidR="001B072E" w:rsidRPr="00C30D5C" w:rsidRDefault="001B072E" w:rsidP="001B072E">
            <w:pPr>
              <w:pStyle w:val="TableParagraph"/>
              <w:spacing w:before="1" w:line="232" w:lineRule="exact"/>
              <w:ind w:left="75"/>
              <w:rPr>
                <w:rFonts w:ascii="Times New Roman" w:hAnsi="Times New Roman" w:cs="Times New Roman"/>
                <w:lang w:val="sk-SK"/>
              </w:rPr>
            </w:pPr>
            <w:r w:rsidRPr="00C30D5C">
              <w:rPr>
                <w:rFonts w:ascii="Times New Roman" w:hAnsi="Times New Roman" w:cs="Times New Roman"/>
                <w:lang w:val="sk-SK"/>
              </w:rPr>
              <w:t>0,75 ml/kg</w:t>
            </w:r>
          </w:p>
        </w:tc>
        <w:tc>
          <w:tcPr>
            <w:tcW w:w="3119" w:type="dxa"/>
          </w:tcPr>
          <w:p w14:paraId="46C8F4F2" w14:textId="77777777" w:rsidR="001B072E" w:rsidRPr="00C30D5C" w:rsidRDefault="001B072E" w:rsidP="001B072E">
            <w:pPr>
              <w:pStyle w:val="TableParagraph"/>
              <w:spacing w:before="1" w:line="232" w:lineRule="exact"/>
              <w:ind w:left="76"/>
              <w:rPr>
                <w:rFonts w:ascii="Times New Roman" w:hAnsi="Times New Roman" w:cs="Times New Roman"/>
                <w:lang w:val="sk-SK"/>
              </w:rPr>
            </w:pPr>
            <w:r w:rsidRPr="00C30D5C">
              <w:rPr>
                <w:rFonts w:ascii="Times New Roman" w:hAnsi="Times New Roman" w:cs="Times New Roman"/>
                <w:lang w:val="sk-SK"/>
              </w:rPr>
              <w:t>7,5 ml</w:t>
            </w:r>
          </w:p>
        </w:tc>
        <w:tc>
          <w:tcPr>
            <w:tcW w:w="1706" w:type="dxa"/>
          </w:tcPr>
          <w:p w14:paraId="2669D250" w14:textId="77777777" w:rsidR="001B072E" w:rsidRPr="00C30D5C" w:rsidRDefault="001B072E" w:rsidP="001B072E">
            <w:pPr>
              <w:pStyle w:val="TableParagraph"/>
              <w:spacing w:before="1" w:line="232" w:lineRule="exact"/>
              <w:ind w:left="75"/>
              <w:rPr>
                <w:rFonts w:ascii="Times New Roman" w:hAnsi="Times New Roman" w:cs="Times New Roman"/>
                <w:lang w:val="sk-SK"/>
              </w:rPr>
            </w:pPr>
            <w:r w:rsidRPr="00C30D5C">
              <w:rPr>
                <w:rFonts w:ascii="Times New Roman" w:hAnsi="Times New Roman" w:cs="Times New Roman"/>
                <w:lang w:val="sk-SK"/>
              </w:rPr>
              <w:t>30 mg/kg</w:t>
            </w:r>
          </w:p>
        </w:tc>
      </w:tr>
      <w:tr w:rsidR="001B072E" w:rsidRPr="00C30D5C" w14:paraId="3972C91D" w14:textId="77777777" w:rsidTr="000471F7">
        <w:trPr>
          <w:trHeight w:val="505"/>
        </w:trPr>
        <w:tc>
          <w:tcPr>
            <w:tcW w:w="1843" w:type="dxa"/>
          </w:tcPr>
          <w:p w14:paraId="19B19440" w14:textId="77777777" w:rsidR="001B072E" w:rsidRPr="00C30D5C" w:rsidRDefault="001B072E" w:rsidP="001B072E">
            <w:pPr>
              <w:pStyle w:val="TableParagraph"/>
              <w:ind w:left="142"/>
              <w:rPr>
                <w:rFonts w:ascii="Times New Roman" w:hAnsi="Times New Roman" w:cs="Times New Roman"/>
                <w:b/>
                <w:lang w:val="sk-SK"/>
              </w:rPr>
            </w:pPr>
            <w:r w:rsidRPr="00C30D5C">
              <w:rPr>
                <w:rFonts w:ascii="Times New Roman" w:hAnsi="Times New Roman" w:cs="Times New Roman"/>
                <w:b/>
                <w:lang w:val="sk-SK"/>
              </w:rPr>
              <w:t>&gt; 10 kg až ≤</w:t>
            </w:r>
            <w:r w:rsidR="000471F7">
              <w:rPr>
                <w:rFonts w:ascii="Times New Roman" w:hAnsi="Times New Roman" w:cs="Times New Roman"/>
                <w:b/>
                <w:lang w:val="sk-SK"/>
              </w:rPr>
              <w:t xml:space="preserve"> </w:t>
            </w:r>
            <w:r w:rsidRPr="00C30D5C">
              <w:rPr>
                <w:rFonts w:ascii="Times New Roman" w:hAnsi="Times New Roman" w:cs="Times New Roman"/>
                <w:b/>
                <w:lang w:val="sk-SK"/>
              </w:rPr>
              <w:t>33 kg</w:t>
            </w:r>
          </w:p>
        </w:tc>
        <w:tc>
          <w:tcPr>
            <w:tcW w:w="1201" w:type="dxa"/>
          </w:tcPr>
          <w:p w14:paraId="4C91092E" w14:textId="77777777" w:rsidR="001B072E" w:rsidRPr="00C30D5C" w:rsidRDefault="001B072E" w:rsidP="001B072E">
            <w:pPr>
              <w:pStyle w:val="TableParagraph"/>
              <w:ind w:left="157"/>
              <w:rPr>
                <w:rFonts w:ascii="Times New Roman" w:hAnsi="Times New Roman" w:cs="Times New Roman"/>
                <w:lang w:val="sk-SK"/>
              </w:rPr>
            </w:pPr>
            <w:r w:rsidRPr="00C30D5C">
              <w:rPr>
                <w:rFonts w:ascii="Times New Roman" w:hAnsi="Times New Roman" w:cs="Times New Roman"/>
                <w:lang w:val="sk-SK"/>
              </w:rPr>
              <w:t>15 mg/kg</w:t>
            </w:r>
          </w:p>
        </w:tc>
        <w:tc>
          <w:tcPr>
            <w:tcW w:w="1275" w:type="dxa"/>
          </w:tcPr>
          <w:p w14:paraId="731A10CF" w14:textId="77777777" w:rsidR="001B072E" w:rsidRPr="00C30D5C" w:rsidRDefault="001B072E" w:rsidP="001B072E">
            <w:pPr>
              <w:pStyle w:val="TableParagraph"/>
              <w:ind w:left="75"/>
              <w:rPr>
                <w:rFonts w:ascii="Times New Roman" w:hAnsi="Times New Roman" w:cs="Times New Roman"/>
                <w:lang w:val="sk-SK"/>
              </w:rPr>
            </w:pPr>
            <w:r w:rsidRPr="00C30D5C">
              <w:rPr>
                <w:rFonts w:ascii="Times New Roman" w:hAnsi="Times New Roman" w:cs="Times New Roman"/>
                <w:lang w:val="sk-SK"/>
              </w:rPr>
              <w:t>1,5 ml/kg</w:t>
            </w:r>
          </w:p>
        </w:tc>
        <w:tc>
          <w:tcPr>
            <w:tcW w:w="3119" w:type="dxa"/>
          </w:tcPr>
          <w:p w14:paraId="4A03D301" w14:textId="77777777" w:rsidR="001B072E" w:rsidRPr="00C30D5C" w:rsidRDefault="001B072E" w:rsidP="001B072E">
            <w:pPr>
              <w:pStyle w:val="TableParagraph"/>
              <w:ind w:left="76"/>
              <w:rPr>
                <w:rFonts w:ascii="Times New Roman" w:hAnsi="Times New Roman" w:cs="Times New Roman"/>
                <w:lang w:val="sk-SK"/>
              </w:rPr>
            </w:pPr>
            <w:r w:rsidRPr="00C30D5C">
              <w:rPr>
                <w:rFonts w:ascii="Times New Roman" w:hAnsi="Times New Roman" w:cs="Times New Roman"/>
                <w:lang w:val="sk-SK"/>
              </w:rPr>
              <w:t>49,5 ml</w:t>
            </w:r>
          </w:p>
        </w:tc>
        <w:tc>
          <w:tcPr>
            <w:tcW w:w="1706" w:type="dxa"/>
          </w:tcPr>
          <w:p w14:paraId="0FC2A64E" w14:textId="77777777" w:rsidR="001B072E" w:rsidRPr="00C30D5C" w:rsidRDefault="001B072E" w:rsidP="001B072E">
            <w:pPr>
              <w:pStyle w:val="TableParagraph"/>
              <w:ind w:left="75"/>
              <w:rPr>
                <w:rFonts w:ascii="Times New Roman" w:hAnsi="Times New Roman" w:cs="Times New Roman"/>
                <w:lang w:val="sk-SK"/>
              </w:rPr>
            </w:pPr>
            <w:r w:rsidRPr="00C30D5C">
              <w:rPr>
                <w:rFonts w:ascii="Times New Roman" w:hAnsi="Times New Roman" w:cs="Times New Roman"/>
                <w:lang w:val="sk-SK"/>
              </w:rPr>
              <w:t>60 mg/kg, bez prekročenia 2 g</w:t>
            </w:r>
          </w:p>
        </w:tc>
      </w:tr>
      <w:tr w:rsidR="001B072E" w:rsidRPr="00C30D5C" w14:paraId="1FC4D599" w14:textId="77777777" w:rsidTr="000471F7">
        <w:trPr>
          <w:trHeight w:val="506"/>
        </w:trPr>
        <w:tc>
          <w:tcPr>
            <w:tcW w:w="1843" w:type="dxa"/>
          </w:tcPr>
          <w:p w14:paraId="039A4205" w14:textId="77777777" w:rsidR="001B072E" w:rsidRPr="00C30D5C" w:rsidRDefault="001B072E" w:rsidP="001B072E">
            <w:pPr>
              <w:pStyle w:val="TableParagraph"/>
              <w:ind w:left="142"/>
              <w:rPr>
                <w:rFonts w:ascii="Times New Roman" w:hAnsi="Times New Roman" w:cs="Times New Roman"/>
                <w:b/>
                <w:lang w:val="sk-SK"/>
              </w:rPr>
            </w:pPr>
            <w:r w:rsidRPr="00C30D5C">
              <w:rPr>
                <w:rFonts w:ascii="Times New Roman" w:hAnsi="Times New Roman" w:cs="Times New Roman"/>
                <w:b/>
                <w:lang w:val="sk-SK"/>
              </w:rPr>
              <w:t>&gt; 33 kg až ≤</w:t>
            </w:r>
            <w:r w:rsidR="000471F7">
              <w:rPr>
                <w:rFonts w:ascii="Times New Roman" w:hAnsi="Times New Roman" w:cs="Times New Roman"/>
                <w:b/>
                <w:lang w:val="sk-SK"/>
              </w:rPr>
              <w:t xml:space="preserve"> </w:t>
            </w:r>
            <w:r w:rsidRPr="00C30D5C">
              <w:rPr>
                <w:rFonts w:ascii="Times New Roman" w:hAnsi="Times New Roman" w:cs="Times New Roman"/>
                <w:b/>
                <w:lang w:val="sk-SK"/>
              </w:rPr>
              <w:t>50 kg</w:t>
            </w:r>
          </w:p>
        </w:tc>
        <w:tc>
          <w:tcPr>
            <w:tcW w:w="1201" w:type="dxa"/>
          </w:tcPr>
          <w:p w14:paraId="4FE35D2F" w14:textId="77777777" w:rsidR="001B072E" w:rsidRPr="00C30D5C" w:rsidRDefault="001B072E" w:rsidP="001B072E">
            <w:pPr>
              <w:pStyle w:val="TableParagraph"/>
              <w:ind w:left="157"/>
              <w:rPr>
                <w:rFonts w:ascii="Times New Roman" w:hAnsi="Times New Roman" w:cs="Times New Roman"/>
                <w:lang w:val="sk-SK"/>
              </w:rPr>
            </w:pPr>
            <w:r w:rsidRPr="00C30D5C">
              <w:rPr>
                <w:rFonts w:ascii="Times New Roman" w:hAnsi="Times New Roman" w:cs="Times New Roman"/>
                <w:lang w:val="sk-SK"/>
              </w:rPr>
              <w:t>15 mg/kg</w:t>
            </w:r>
          </w:p>
        </w:tc>
        <w:tc>
          <w:tcPr>
            <w:tcW w:w="1275" w:type="dxa"/>
          </w:tcPr>
          <w:p w14:paraId="607AA3B9" w14:textId="77777777" w:rsidR="001B072E" w:rsidRPr="00C30D5C" w:rsidRDefault="001B072E" w:rsidP="001B072E">
            <w:pPr>
              <w:pStyle w:val="TableParagraph"/>
              <w:ind w:left="75"/>
              <w:rPr>
                <w:rFonts w:ascii="Times New Roman" w:hAnsi="Times New Roman" w:cs="Times New Roman"/>
                <w:lang w:val="sk-SK"/>
              </w:rPr>
            </w:pPr>
            <w:r w:rsidRPr="00C30D5C">
              <w:rPr>
                <w:rFonts w:ascii="Times New Roman" w:hAnsi="Times New Roman" w:cs="Times New Roman"/>
                <w:lang w:val="sk-SK"/>
              </w:rPr>
              <w:t>1,5 ml/kg</w:t>
            </w:r>
          </w:p>
        </w:tc>
        <w:tc>
          <w:tcPr>
            <w:tcW w:w="3119" w:type="dxa"/>
          </w:tcPr>
          <w:p w14:paraId="5BE7CD44" w14:textId="77777777" w:rsidR="001B072E" w:rsidRPr="00C30D5C" w:rsidRDefault="001B072E" w:rsidP="001B072E">
            <w:pPr>
              <w:pStyle w:val="TableParagraph"/>
              <w:ind w:left="76"/>
              <w:rPr>
                <w:rFonts w:ascii="Times New Roman" w:hAnsi="Times New Roman" w:cs="Times New Roman"/>
                <w:lang w:val="sk-SK"/>
              </w:rPr>
            </w:pPr>
            <w:r w:rsidRPr="00C30D5C">
              <w:rPr>
                <w:rFonts w:ascii="Times New Roman" w:hAnsi="Times New Roman" w:cs="Times New Roman"/>
                <w:lang w:val="sk-SK"/>
              </w:rPr>
              <w:t>75 ml</w:t>
            </w:r>
          </w:p>
        </w:tc>
        <w:tc>
          <w:tcPr>
            <w:tcW w:w="1706" w:type="dxa"/>
          </w:tcPr>
          <w:p w14:paraId="66BA9A78" w14:textId="77777777" w:rsidR="001B072E" w:rsidRPr="00C30D5C" w:rsidRDefault="001B072E" w:rsidP="001B072E">
            <w:pPr>
              <w:pStyle w:val="TableParagraph"/>
              <w:ind w:left="75"/>
              <w:rPr>
                <w:rFonts w:ascii="Times New Roman" w:hAnsi="Times New Roman" w:cs="Times New Roman"/>
                <w:lang w:val="sk-SK"/>
              </w:rPr>
            </w:pPr>
            <w:r w:rsidRPr="00C30D5C">
              <w:rPr>
                <w:rFonts w:ascii="Times New Roman" w:hAnsi="Times New Roman" w:cs="Times New Roman"/>
                <w:lang w:val="sk-SK"/>
              </w:rPr>
              <w:t>60 mg/kg, bez prekročenia 3 g</w:t>
            </w:r>
          </w:p>
        </w:tc>
      </w:tr>
      <w:tr w:rsidR="001B072E" w:rsidRPr="00C30D5C" w14:paraId="0557F92C" w14:textId="77777777" w:rsidTr="000471F7">
        <w:trPr>
          <w:trHeight w:val="1010"/>
        </w:trPr>
        <w:tc>
          <w:tcPr>
            <w:tcW w:w="1843" w:type="dxa"/>
          </w:tcPr>
          <w:p w14:paraId="5D43068D" w14:textId="77777777" w:rsidR="001B072E" w:rsidRPr="00C30D5C" w:rsidRDefault="001B072E" w:rsidP="001B072E">
            <w:pPr>
              <w:ind w:left="142" w:firstLine="0"/>
              <w:rPr>
                <w:rFonts w:ascii="Times New Roman" w:eastAsia="Calibri" w:hAnsi="Times New Roman" w:cs="Times New Roman"/>
                <w:b/>
              </w:rPr>
            </w:pPr>
            <w:r w:rsidRPr="00C30D5C">
              <w:rPr>
                <w:rFonts w:ascii="Times New Roman" w:hAnsi="Times New Roman" w:cs="Times New Roman"/>
                <w:b/>
              </w:rPr>
              <w:lastRenderedPageBreak/>
              <w:t xml:space="preserve">&gt; 50 kg </w:t>
            </w:r>
            <w:r w:rsidRPr="00C30D5C">
              <w:rPr>
                <w:rFonts w:ascii="Times New Roman" w:eastAsia="Calibri" w:hAnsi="Times New Roman" w:cs="Times New Roman"/>
                <w:b/>
              </w:rPr>
              <w:t>s ďalšími rizikovými faktormi pre hepatotoxicitu</w:t>
            </w:r>
          </w:p>
        </w:tc>
        <w:tc>
          <w:tcPr>
            <w:tcW w:w="1201" w:type="dxa"/>
          </w:tcPr>
          <w:p w14:paraId="6F5F435C" w14:textId="77777777" w:rsidR="001B072E" w:rsidRPr="00C30D5C" w:rsidRDefault="001B072E" w:rsidP="001B072E">
            <w:pPr>
              <w:pStyle w:val="TableParagraph"/>
              <w:ind w:left="157"/>
              <w:rPr>
                <w:rFonts w:ascii="Times New Roman" w:hAnsi="Times New Roman" w:cs="Times New Roman"/>
                <w:lang w:val="sk-SK"/>
              </w:rPr>
            </w:pPr>
            <w:r w:rsidRPr="00C30D5C">
              <w:rPr>
                <w:rFonts w:ascii="Times New Roman" w:hAnsi="Times New Roman" w:cs="Times New Roman"/>
                <w:lang w:val="sk-SK"/>
              </w:rPr>
              <w:t>1 g</w:t>
            </w:r>
          </w:p>
        </w:tc>
        <w:tc>
          <w:tcPr>
            <w:tcW w:w="1275" w:type="dxa"/>
          </w:tcPr>
          <w:p w14:paraId="34A80F18" w14:textId="77777777" w:rsidR="001B072E" w:rsidRPr="00C30D5C" w:rsidRDefault="001B072E" w:rsidP="001B072E">
            <w:pPr>
              <w:pStyle w:val="TableParagraph"/>
              <w:ind w:left="75"/>
              <w:rPr>
                <w:rFonts w:ascii="Times New Roman" w:hAnsi="Times New Roman" w:cs="Times New Roman"/>
                <w:lang w:val="sk-SK"/>
              </w:rPr>
            </w:pPr>
            <w:r w:rsidRPr="00C30D5C">
              <w:rPr>
                <w:rFonts w:ascii="Times New Roman" w:hAnsi="Times New Roman" w:cs="Times New Roman"/>
                <w:lang w:val="sk-SK"/>
              </w:rPr>
              <w:t>100 ml</w:t>
            </w:r>
          </w:p>
        </w:tc>
        <w:tc>
          <w:tcPr>
            <w:tcW w:w="3119" w:type="dxa"/>
          </w:tcPr>
          <w:p w14:paraId="2E57CA23" w14:textId="77777777" w:rsidR="001B072E" w:rsidRPr="00C30D5C" w:rsidRDefault="001B072E" w:rsidP="001B072E">
            <w:pPr>
              <w:pStyle w:val="TableParagraph"/>
              <w:ind w:left="76"/>
              <w:rPr>
                <w:rFonts w:ascii="Times New Roman" w:hAnsi="Times New Roman" w:cs="Times New Roman"/>
                <w:lang w:val="sk-SK"/>
              </w:rPr>
            </w:pPr>
            <w:r w:rsidRPr="00C30D5C">
              <w:rPr>
                <w:rFonts w:ascii="Times New Roman" w:hAnsi="Times New Roman" w:cs="Times New Roman"/>
                <w:lang w:val="sk-SK"/>
              </w:rPr>
              <w:t>100 ml</w:t>
            </w:r>
          </w:p>
        </w:tc>
        <w:tc>
          <w:tcPr>
            <w:tcW w:w="1706" w:type="dxa"/>
          </w:tcPr>
          <w:p w14:paraId="78F25FF4" w14:textId="77777777" w:rsidR="001B072E" w:rsidRPr="00C30D5C" w:rsidRDefault="001B072E" w:rsidP="001B072E">
            <w:pPr>
              <w:pStyle w:val="TableParagraph"/>
              <w:ind w:left="75"/>
              <w:rPr>
                <w:rFonts w:ascii="Times New Roman" w:hAnsi="Times New Roman" w:cs="Times New Roman"/>
                <w:lang w:val="sk-SK"/>
              </w:rPr>
            </w:pPr>
            <w:r w:rsidRPr="00C30D5C">
              <w:rPr>
                <w:rFonts w:ascii="Times New Roman" w:hAnsi="Times New Roman" w:cs="Times New Roman"/>
                <w:lang w:val="sk-SK"/>
              </w:rPr>
              <w:t>3 g</w:t>
            </w:r>
          </w:p>
        </w:tc>
      </w:tr>
      <w:tr w:rsidR="001B072E" w:rsidRPr="00C30D5C" w14:paraId="504F8442" w14:textId="77777777" w:rsidTr="000471F7">
        <w:trPr>
          <w:trHeight w:val="1005"/>
        </w:trPr>
        <w:tc>
          <w:tcPr>
            <w:tcW w:w="1843" w:type="dxa"/>
          </w:tcPr>
          <w:p w14:paraId="1AFEC542" w14:textId="77777777" w:rsidR="001B072E" w:rsidRPr="00C30D5C" w:rsidRDefault="001B072E" w:rsidP="001B072E">
            <w:pPr>
              <w:ind w:left="142" w:firstLine="0"/>
              <w:rPr>
                <w:rFonts w:ascii="Times New Roman" w:eastAsia="Calibri" w:hAnsi="Times New Roman" w:cs="Times New Roman"/>
                <w:b/>
              </w:rPr>
            </w:pPr>
            <w:r w:rsidRPr="00C30D5C">
              <w:rPr>
                <w:rFonts w:ascii="Times New Roman" w:hAnsi="Times New Roman" w:cs="Times New Roman"/>
                <w:b/>
              </w:rPr>
              <w:t>&gt; 50 kg bez</w:t>
            </w:r>
            <w:r w:rsidRPr="00C30D5C">
              <w:rPr>
                <w:rFonts w:ascii="Times New Roman" w:eastAsia="Calibri" w:hAnsi="Times New Roman" w:cs="Times New Roman"/>
                <w:b/>
              </w:rPr>
              <w:t> ďalší</w:t>
            </w:r>
            <w:r w:rsidRPr="00C30D5C">
              <w:rPr>
                <w:rFonts w:ascii="Times New Roman" w:hAnsi="Times New Roman" w:cs="Times New Roman"/>
                <w:b/>
              </w:rPr>
              <w:t>ch</w:t>
            </w:r>
            <w:r w:rsidRPr="00C30D5C">
              <w:rPr>
                <w:rFonts w:ascii="Times New Roman" w:eastAsia="Calibri" w:hAnsi="Times New Roman" w:cs="Times New Roman"/>
                <w:b/>
              </w:rPr>
              <w:t xml:space="preserve"> rizikový</w:t>
            </w:r>
            <w:r w:rsidRPr="00C30D5C">
              <w:rPr>
                <w:rFonts w:ascii="Times New Roman" w:hAnsi="Times New Roman" w:cs="Times New Roman"/>
                <w:b/>
              </w:rPr>
              <w:t>ch</w:t>
            </w:r>
            <w:r w:rsidRPr="00C30D5C">
              <w:rPr>
                <w:rFonts w:ascii="Times New Roman" w:eastAsia="Calibri" w:hAnsi="Times New Roman" w:cs="Times New Roman"/>
                <w:b/>
              </w:rPr>
              <w:t xml:space="preserve"> faktor</w:t>
            </w:r>
            <w:r w:rsidRPr="00C30D5C">
              <w:rPr>
                <w:rFonts w:ascii="Times New Roman" w:hAnsi="Times New Roman" w:cs="Times New Roman"/>
                <w:b/>
              </w:rPr>
              <w:t>ov</w:t>
            </w:r>
            <w:r w:rsidRPr="00C30D5C">
              <w:rPr>
                <w:rFonts w:ascii="Times New Roman" w:eastAsia="Calibri" w:hAnsi="Times New Roman" w:cs="Times New Roman"/>
                <w:b/>
              </w:rPr>
              <w:t xml:space="preserve"> pre hepatotoxicitu</w:t>
            </w:r>
          </w:p>
        </w:tc>
        <w:tc>
          <w:tcPr>
            <w:tcW w:w="1201" w:type="dxa"/>
          </w:tcPr>
          <w:p w14:paraId="3AE23843" w14:textId="77777777" w:rsidR="001B072E" w:rsidRPr="00C30D5C" w:rsidRDefault="001B072E" w:rsidP="001B072E">
            <w:pPr>
              <w:pStyle w:val="TableParagraph"/>
              <w:spacing w:line="250" w:lineRule="exact"/>
              <w:ind w:left="157"/>
              <w:rPr>
                <w:rFonts w:ascii="Times New Roman" w:hAnsi="Times New Roman" w:cs="Times New Roman"/>
                <w:lang w:val="sk-SK"/>
              </w:rPr>
            </w:pPr>
            <w:r w:rsidRPr="00C30D5C">
              <w:rPr>
                <w:rFonts w:ascii="Times New Roman" w:hAnsi="Times New Roman" w:cs="Times New Roman"/>
                <w:lang w:val="sk-SK"/>
              </w:rPr>
              <w:t>1 g</w:t>
            </w:r>
          </w:p>
        </w:tc>
        <w:tc>
          <w:tcPr>
            <w:tcW w:w="1275" w:type="dxa"/>
          </w:tcPr>
          <w:p w14:paraId="13954087" w14:textId="77777777" w:rsidR="001B072E" w:rsidRPr="00C30D5C" w:rsidRDefault="001B072E" w:rsidP="001B072E">
            <w:pPr>
              <w:pStyle w:val="TableParagraph"/>
              <w:spacing w:line="250" w:lineRule="exact"/>
              <w:ind w:left="75"/>
              <w:rPr>
                <w:rFonts w:ascii="Times New Roman" w:hAnsi="Times New Roman" w:cs="Times New Roman"/>
                <w:lang w:val="sk-SK"/>
              </w:rPr>
            </w:pPr>
            <w:r w:rsidRPr="00C30D5C">
              <w:rPr>
                <w:rFonts w:ascii="Times New Roman" w:hAnsi="Times New Roman" w:cs="Times New Roman"/>
                <w:lang w:val="sk-SK"/>
              </w:rPr>
              <w:t>100 ml</w:t>
            </w:r>
          </w:p>
        </w:tc>
        <w:tc>
          <w:tcPr>
            <w:tcW w:w="3119" w:type="dxa"/>
          </w:tcPr>
          <w:p w14:paraId="5FD93AE1" w14:textId="77777777" w:rsidR="001B072E" w:rsidRPr="00C30D5C" w:rsidRDefault="001B072E" w:rsidP="001B072E">
            <w:pPr>
              <w:pStyle w:val="TableParagraph"/>
              <w:spacing w:line="250" w:lineRule="exact"/>
              <w:ind w:left="76"/>
              <w:rPr>
                <w:rFonts w:ascii="Times New Roman" w:hAnsi="Times New Roman" w:cs="Times New Roman"/>
                <w:lang w:val="sk-SK"/>
              </w:rPr>
            </w:pPr>
            <w:r w:rsidRPr="00C30D5C">
              <w:rPr>
                <w:rFonts w:ascii="Times New Roman" w:hAnsi="Times New Roman" w:cs="Times New Roman"/>
                <w:lang w:val="sk-SK"/>
              </w:rPr>
              <w:t>100 ml</w:t>
            </w:r>
          </w:p>
        </w:tc>
        <w:tc>
          <w:tcPr>
            <w:tcW w:w="1706" w:type="dxa"/>
          </w:tcPr>
          <w:p w14:paraId="2BB4C0A7" w14:textId="77777777" w:rsidR="001B072E" w:rsidRPr="00C30D5C" w:rsidRDefault="001B072E" w:rsidP="001B072E">
            <w:pPr>
              <w:pStyle w:val="TableParagraph"/>
              <w:spacing w:line="250" w:lineRule="exact"/>
              <w:ind w:left="75"/>
              <w:rPr>
                <w:rFonts w:ascii="Times New Roman" w:hAnsi="Times New Roman" w:cs="Times New Roman"/>
                <w:lang w:val="sk-SK"/>
              </w:rPr>
            </w:pPr>
            <w:r w:rsidRPr="00C30D5C">
              <w:rPr>
                <w:rFonts w:ascii="Times New Roman" w:hAnsi="Times New Roman" w:cs="Times New Roman"/>
                <w:lang w:val="sk-SK"/>
              </w:rPr>
              <w:t>4 g</w:t>
            </w:r>
          </w:p>
        </w:tc>
      </w:tr>
    </w:tbl>
    <w:p w14:paraId="1591BDA8" w14:textId="77777777" w:rsidR="001B072E" w:rsidRPr="00C30D5C" w:rsidRDefault="001B072E" w:rsidP="001B072E">
      <w:pPr>
        <w:pStyle w:val="Zkladntext"/>
        <w:spacing w:before="5"/>
        <w:rPr>
          <w:szCs w:val="22"/>
        </w:rPr>
      </w:pPr>
    </w:p>
    <w:p w14:paraId="13259C2B" w14:textId="77777777" w:rsidR="001B072E" w:rsidRPr="00C30D5C" w:rsidRDefault="001B072E" w:rsidP="001B072E">
      <w:pPr>
        <w:ind w:left="0" w:firstLine="0"/>
        <w:contextualSpacing/>
        <w:rPr>
          <w:szCs w:val="22"/>
        </w:rPr>
      </w:pPr>
      <w:r w:rsidRPr="00C30D5C">
        <w:rPr>
          <w:szCs w:val="22"/>
        </w:rPr>
        <w:t>*</w:t>
      </w:r>
      <w:r w:rsidRPr="00C30D5C">
        <w:rPr>
          <w:b/>
          <w:szCs w:val="22"/>
        </w:rPr>
        <w:t>Predčasne narodené deti:</w:t>
      </w:r>
      <w:r w:rsidRPr="00C30D5C">
        <w:rPr>
          <w:szCs w:val="22"/>
        </w:rPr>
        <w:t xml:space="preserve"> nie sú dostupné údaje o účinnosti a bezpečnosti pre predčasne narodené deti.</w:t>
      </w:r>
    </w:p>
    <w:p w14:paraId="24E4D1B3" w14:textId="77777777" w:rsidR="001B072E" w:rsidRPr="00C30D5C" w:rsidRDefault="001B072E" w:rsidP="001B072E">
      <w:pPr>
        <w:ind w:left="0" w:firstLine="0"/>
        <w:contextualSpacing/>
        <w:rPr>
          <w:szCs w:val="22"/>
        </w:rPr>
      </w:pPr>
    </w:p>
    <w:p w14:paraId="794D7CB7" w14:textId="77777777" w:rsidR="001B072E" w:rsidRPr="00C30D5C" w:rsidRDefault="001B072E" w:rsidP="000471F7">
      <w:pPr>
        <w:ind w:left="0" w:firstLine="0"/>
        <w:contextualSpacing/>
        <w:rPr>
          <w:szCs w:val="22"/>
        </w:rPr>
      </w:pPr>
      <w:r w:rsidRPr="00C30D5C">
        <w:rPr>
          <w:szCs w:val="22"/>
        </w:rPr>
        <w:t>**</w:t>
      </w:r>
      <w:r w:rsidRPr="00C30D5C">
        <w:rPr>
          <w:b/>
          <w:szCs w:val="22"/>
        </w:rPr>
        <w:t xml:space="preserve">Maximálna denná dávka: </w:t>
      </w:r>
      <w:r w:rsidRPr="00C30D5C">
        <w:rPr>
          <w:szCs w:val="22"/>
        </w:rPr>
        <w:t>maximálna denná dávka uvedená v tabuľke vyššie je</w:t>
      </w:r>
      <w:r w:rsidR="000471F7">
        <w:rPr>
          <w:szCs w:val="22"/>
        </w:rPr>
        <w:t xml:space="preserve"> </w:t>
      </w:r>
      <w:r w:rsidRPr="00C30D5C">
        <w:rPr>
          <w:szCs w:val="22"/>
        </w:rPr>
        <w:t>pre pacientov, ktorí neužívajú iné lieky s obsahom paracetamolu a dávka sa má upraviť podľa užívania týchto liekov.</w:t>
      </w:r>
    </w:p>
    <w:p w14:paraId="2CB67DA1" w14:textId="77777777" w:rsidR="001B072E" w:rsidRPr="00C30D5C" w:rsidRDefault="001B072E" w:rsidP="001B072E">
      <w:pPr>
        <w:ind w:left="0" w:firstLine="0"/>
        <w:contextualSpacing/>
        <w:rPr>
          <w:szCs w:val="22"/>
        </w:rPr>
      </w:pPr>
    </w:p>
    <w:p w14:paraId="6FFE5AC8" w14:textId="77777777" w:rsidR="001B072E" w:rsidRPr="00C30D5C" w:rsidRDefault="001B072E" w:rsidP="001B072E">
      <w:pPr>
        <w:contextualSpacing/>
        <w:rPr>
          <w:b/>
          <w:szCs w:val="22"/>
        </w:rPr>
      </w:pPr>
      <w:r w:rsidRPr="00C30D5C">
        <w:rPr>
          <w:szCs w:val="22"/>
        </w:rPr>
        <w:t>***</w:t>
      </w:r>
      <w:r w:rsidRPr="00C30D5C">
        <w:rPr>
          <w:b/>
          <w:szCs w:val="22"/>
        </w:rPr>
        <w:t>Pacienti s nižšou telesnou hmotnosťou potrebujú menší objem/množstvo.</w:t>
      </w:r>
    </w:p>
    <w:p w14:paraId="0BEDADEF" w14:textId="77777777" w:rsidR="00F63040" w:rsidRPr="00C30D5C" w:rsidRDefault="00F63040" w:rsidP="001B072E">
      <w:pPr>
        <w:contextualSpacing/>
        <w:rPr>
          <w:szCs w:val="22"/>
        </w:rPr>
      </w:pPr>
    </w:p>
    <w:p w14:paraId="3836664B" w14:textId="77777777" w:rsidR="001B072E" w:rsidRPr="00C30D5C" w:rsidRDefault="001B072E" w:rsidP="001B072E">
      <w:pPr>
        <w:contextualSpacing/>
        <w:rPr>
          <w:b/>
          <w:szCs w:val="22"/>
        </w:rPr>
      </w:pPr>
      <w:r w:rsidRPr="00C30D5C">
        <w:rPr>
          <w:b/>
          <w:szCs w:val="22"/>
        </w:rPr>
        <w:t xml:space="preserve">Minimálny interval medzi jednotlivými podaniami musí byť najmenej 4 hodiny. </w:t>
      </w:r>
    </w:p>
    <w:p w14:paraId="19FF1521" w14:textId="77777777" w:rsidR="001B072E" w:rsidRPr="00C30D5C" w:rsidRDefault="001B072E" w:rsidP="001B072E">
      <w:pPr>
        <w:tabs>
          <w:tab w:val="left" w:pos="345"/>
        </w:tabs>
        <w:spacing w:before="1"/>
        <w:ind w:left="0" w:firstLine="0"/>
        <w:jc w:val="both"/>
        <w:rPr>
          <w:b/>
          <w:szCs w:val="22"/>
        </w:rPr>
      </w:pPr>
      <w:r w:rsidRPr="00C30D5C">
        <w:rPr>
          <w:b/>
          <w:bCs/>
          <w:szCs w:val="22"/>
        </w:rPr>
        <w:t>Počas 24 hodín sa môžu podať najviac 4 dávky</w:t>
      </w:r>
      <w:r w:rsidRPr="00C30D5C">
        <w:rPr>
          <w:b/>
          <w:szCs w:val="22"/>
        </w:rPr>
        <w:t>.</w:t>
      </w:r>
    </w:p>
    <w:p w14:paraId="69DA4A35" w14:textId="77777777" w:rsidR="009F59C1" w:rsidRPr="00C30D5C" w:rsidRDefault="009F59C1" w:rsidP="00E41B3F">
      <w:pPr>
        <w:rPr>
          <w:szCs w:val="22"/>
        </w:rPr>
      </w:pPr>
    </w:p>
    <w:p w14:paraId="765DCE6F" w14:textId="77777777" w:rsidR="00B06E24" w:rsidRPr="00C30D5C" w:rsidRDefault="009F59C1" w:rsidP="00E41B3F">
      <w:pPr>
        <w:rPr>
          <w:b/>
          <w:szCs w:val="22"/>
          <w:u w:val="single"/>
        </w:rPr>
      </w:pPr>
      <w:r w:rsidRPr="00C30D5C">
        <w:rPr>
          <w:b/>
          <w:noProof/>
          <w:szCs w:val="22"/>
          <w:u w:val="single"/>
        </w:rPr>
        <w:t>Pediatrická populácia</w:t>
      </w:r>
    </w:p>
    <w:p w14:paraId="07C569D8" w14:textId="77777777" w:rsidR="009F59C1" w:rsidRPr="00C30D5C" w:rsidRDefault="00F63040" w:rsidP="009F59C1">
      <w:pPr>
        <w:pStyle w:val="Odsekzoznamu"/>
        <w:tabs>
          <w:tab w:val="left" w:pos="389"/>
        </w:tabs>
        <w:spacing w:line="252" w:lineRule="exact"/>
        <w:ind w:left="0" w:firstLine="0"/>
        <w:rPr>
          <w:b/>
          <w:u w:val="single"/>
          <w:lang w:val="sk-SK"/>
        </w:rPr>
      </w:pPr>
      <w:r w:rsidRPr="00C30D5C">
        <w:rPr>
          <w:b/>
          <w:u w:val="single"/>
          <w:lang w:val="sk-SK"/>
        </w:rPr>
        <w:t>Nie sú k dispozícii žiadne údaje o bezpečnosti a účinnosti pri predčasne narodených deťoch (pozri časť 5.2)</w:t>
      </w:r>
      <w:r w:rsidR="009F59C1" w:rsidRPr="00C30D5C">
        <w:rPr>
          <w:b/>
          <w:u w:val="single"/>
          <w:lang w:val="sk-SK"/>
        </w:rPr>
        <w:t>.</w:t>
      </w:r>
    </w:p>
    <w:p w14:paraId="3B7A3E23" w14:textId="77777777" w:rsidR="009F59C1" w:rsidRPr="00C30D5C" w:rsidRDefault="009F59C1" w:rsidP="009F59C1">
      <w:pPr>
        <w:pStyle w:val="Odsekzoznamu"/>
        <w:tabs>
          <w:tab w:val="left" w:pos="389"/>
        </w:tabs>
        <w:spacing w:line="252" w:lineRule="exact"/>
        <w:ind w:left="0" w:firstLine="0"/>
        <w:rPr>
          <w:b/>
          <w:lang w:val="sk-SK"/>
        </w:rPr>
      </w:pPr>
    </w:p>
    <w:p w14:paraId="5BAEA72B" w14:textId="77777777" w:rsidR="009F59C1" w:rsidRPr="00C30D5C" w:rsidRDefault="009F59C1" w:rsidP="009F59C1">
      <w:pPr>
        <w:pStyle w:val="Odsekzoznamu"/>
        <w:tabs>
          <w:tab w:val="left" w:pos="389"/>
        </w:tabs>
        <w:spacing w:line="252" w:lineRule="exact"/>
        <w:ind w:left="0" w:firstLine="0"/>
        <w:rPr>
          <w:b/>
          <w:lang w:val="sk-SK"/>
        </w:rPr>
      </w:pPr>
      <w:r w:rsidRPr="00C30D5C">
        <w:rPr>
          <w:b/>
          <w:lang w:val="sk-SK"/>
        </w:rPr>
        <w:t>Pacienti s poruchou funkc</w:t>
      </w:r>
      <w:r w:rsidR="00F63040" w:rsidRPr="00C30D5C">
        <w:rPr>
          <w:b/>
          <w:lang w:val="sk-SK"/>
        </w:rPr>
        <w:t>i</w:t>
      </w:r>
      <w:r w:rsidRPr="00C30D5C">
        <w:rPr>
          <w:b/>
          <w:lang w:val="sk-SK"/>
        </w:rPr>
        <w:t xml:space="preserve">e </w:t>
      </w:r>
      <w:r w:rsidR="00F63040" w:rsidRPr="00C30D5C">
        <w:rPr>
          <w:b/>
          <w:lang w:val="sk-SK"/>
        </w:rPr>
        <w:t>obličiek</w:t>
      </w:r>
    </w:p>
    <w:p w14:paraId="56501062" w14:textId="77777777" w:rsidR="009F59C1" w:rsidRPr="00C30D5C" w:rsidRDefault="00F63040" w:rsidP="009F59C1">
      <w:pPr>
        <w:pStyle w:val="Odsekzoznamu"/>
        <w:tabs>
          <w:tab w:val="left" w:pos="389"/>
        </w:tabs>
        <w:spacing w:line="252" w:lineRule="exact"/>
        <w:ind w:left="0" w:firstLine="0"/>
        <w:rPr>
          <w:bCs/>
          <w:lang w:val="sk-SK"/>
        </w:rPr>
      </w:pPr>
      <w:r w:rsidRPr="00C30D5C">
        <w:rPr>
          <w:bCs/>
          <w:lang w:val="sk-SK"/>
        </w:rPr>
        <w:t>Minimálny interval medzi jednotlivými dávkami u pacientov so závažnou poruchou funkcie obličiek musí byť najmenej 6 hodín</w:t>
      </w:r>
      <w:r w:rsidR="009F59C1" w:rsidRPr="00C30D5C">
        <w:rPr>
          <w:bCs/>
          <w:lang w:val="sk-SK"/>
        </w:rPr>
        <w:t>.</w:t>
      </w:r>
    </w:p>
    <w:p w14:paraId="589171CB" w14:textId="77777777" w:rsidR="009F59C1" w:rsidRPr="00C30D5C" w:rsidRDefault="009F59C1" w:rsidP="009F59C1">
      <w:pPr>
        <w:pStyle w:val="Odsekzoznamu"/>
        <w:tabs>
          <w:tab w:val="left" w:pos="389"/>
        </w:tabs>
        <w:spacing w:line="252" w:lineRule="exact"/>
        <w:ind w:left="0" w:firstLine="0"/>
        <w:rPr>
          <w:bCs/>
          <w:highlight w:val="yellow"/>
          <w:lang w:val="sk-SK"/>
        </w:rPr>
      </w:pPr>
    </w:p>
    <w:p w14:paraId="5EC74BB1" w14:textId="77777777" w:rsidR="009F59C1" w:rsidRPr="00C30D5C" w:rsidRDefault="00F63040" w:rsidP="009F59C1">
      <w:pPr>
        <w:pStyle w:val="Odsekzoznamu"/>
        <w:tabs>
          <w:tab w:val="left" w:pos="389"/>
        </w:tabs>
        <w:spacing w:line="252" w:lineRule="exact"/>
        <w:ind w:left="0" w:firstLine="0"/>
        <w:rPr>
          <w:bCs/>
          <w:lang w:val="sk-SK"/>
        </w:rPr>
      </w:pPr>
      <w:r w:rsidRPr="00C30D5C">
        <w:rPr>
          <w:bCs/>
          <w:lang w:val="sk-SK"/>
        </w:rPr>
        <w:t xml:space="preserve">Pri podávaní paracetamolu pacientom so závažnou poruchou funkcie obličiek (klírens kreatinínu </w:t>
      </w:r>
      <w:r w:rsidR="009F59C1" w:rsidRPr="00C30D5C">
        <w:rPr>
          <w:bCs/>
          <w:lang w:val="sk-SK"/>
        </w:rPr>
        <w:t>≤ 30</w:t>
      </w:r>
      <w:r w:rsidRPr="00C30D5C">
        <w:rPr>
          <w:bCs/>
          <w:lang w:val="sk-SK"/>
        </w:rPr>
        <w:t> </w:t>
      </w:r>
      <w:r w:rsidR="009F59C1" w:rsidRPr="00C30D5C">
        <w:rPr>
          <w:bCs/>
          <w:lang w:val="sk-SK"/>
        </w:rPr>
        <w:t>ml/min)</w:t>
      </w:r>
      <w:r w:rsidRPr="00C30D5C">
        <w:rPr>
          <w:bCs/>
          <w:lang w:val="sk-SK"/>
        </w:rPr>
        <w:t xml:space="preserve"> sa odporúča zvýšiť minimálny interval medzi jednotlivými aplikáciami na 6 hodín </w:t>
      </w:r>
      <w:r w:rsidR="009F59C1" w:rsidRPr="00C30D5C">
        <w:rPr>
          <w:bCs/>
          <w:lang w:val="sk-SK"/>
        </w:rPr>
        <w:t>(</w:t>
      </w:r>
      <w:r w:rsidRPr="00C30D5C">
        <w:rPr>
          <w:bCs/>
          <w:lang w:val="sk-SK"/>
        </w:rPr>
        <w:t>pozri časť</w:t>
      </w:r>
      <w:r w:rsidR="009F59C1" w:rsidRPr="00C30D5C">
        <w:rPr>
          <w:bCs/>
          <w:lang w:val="sk-SK"/>
        </w:rPr>
        <w:t xml:space="preserve"> 5.2).</w:t>
      </w:r>
    </w:p>
    <w:p w14:paraId="1EAFA210" w14:textId="77777777" w:rsidR="009F59C1" w:rsidRPr="00C30D5C" w:rsidRDefault="009F59C1" w:rsidP="009F59C1">
      <w:pPr>
        <w:pStyle w:val="Odsekzoznamu"/>
        <w:tabs>
          <w:tab w:val="left" w:pos="389"/>
        </w:tabs>
        <w:spacing w:line="252" w:lineRule="exact"/>
        <w:ind w:left="0" w:firstLine="0"/>
        <w:rPr>
          <w:bCs/>
          <w:lang w:val="sk-SK"/>
        </w:rPr>
      </w:pPr>
    </w:p>
    <w:p w14:paraId="52E914B5" w14:textId="77777777" w:rsidR="009F59C1" w:rsidRPr="00C30D5C" w:rsidRDefault="00F63040" w:rsidP="009F59C1">
      <w:pPr>
        <w:pStyle w:val="Odsekzoznamu"/>
        <w:tabs>
          <w:tab w:val="left" w:pos="389"/>
        </w:tabs>
        <w:spacing w:line="252" w:lineRule="exact"/>
        <w:ind w:left="0" w:firstLine="0"/>
        <w:rPr>
          <w:bCs/>
          <w:lang w:val="sk-SK"/>
        </w:rPr>
      </w:pPr>
      <w:r w:rsidRPr="00C30D5C">
        <w:rPr>
          <w:bCs/>
          <w:lang w:val="sk-SK"/>
        </w:rPr>
        <w:t>U dospelých pacientov s hepatocelulárnou insuficienciou, chronickým alkoholizmom, chronickou malnutríciou (nízke zásoby glutatiónu v pečeni), dehydratáciou:</w:t>
      </w:r>
    </w:p>
    <w:p w14:paraId="52CC35E0" w14:textId="77777777" w:rsidR="009F59C1" w:rsidRPr="00C30D5C" w:rsidRDefault="009F59C1" w:rsidP="009F59C1">
      <w:pPr>
        <w:pStyle w:val="Odsekzoznamu"/>
        <w:tabs>
          <w:tab w:val="left" w:pos="389"/>
        </w:tabs>
        <w:spacing w:line="252" w:lineRule="exact"/>
        <w:ind w:left="0" w:firstLine="0"/>
        <w:rPr>
          <w:bCs/>
          <w:lang w:val="sk-SK"/>
        </w:rPr>
      </w:pPr>
    </w:p>
    <w:p w14:paraId="7F3BAF35" w14:textId="77777777" w:rsidR="009F59C1" w:rsidRPr="00C30D5C" w:rsidRDefault="00F63040" w:rsidP="009F59C1">
      <w:pPr>
        <w:pStyle w:val="Odsekzoznamu"/>
        <w:tabs>
          <w:tab w:val="left" w:pos="389"/>
        </w:tabs>
        <w:spacing w:line="252" w:lineRule="exact"/>
        <w:ind w:left="0" w:firstLine="0"/>
        <w:rPr>
          <w:bCs/>
          <w:lang w:val="sk-SK"/>
        </w:rPr>
      </w:pPr>
      <w:r w:rsidRPr="00C30D5C">
        <w:rPr>
          <w:bCs/>
          <w:lang w:val="sk-SK"/>
        </w:rPr>
        <w:t>Maximálna denná dávka nesmie prekročiť 3 g (pozri časť 4.4).</w:t>
      </w:r>
    </w:p>
    <w:p w14:paraId="2FBD867B" w14:textId="77777777" w:rsidR="00E1698A" w:rsidRPr="00C30D5C" w:rsidRDefault="00E1698A" w:rsidP="00B13F68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14DCEAD6" w14:textId="77777777" w:rsidR="00E1698A" w:rsidRPr="00C30D5C" w:rsidRDefault="009F59C1" w:rsidP="00E41B3F">
      <w:pPr>
        <w:rPr>
          <w:b/>
          <w:szCs w:val="22"/>
        </w:rPr>
      </w:pPr>
      <w:r w:rsidRPr="00C30D5C">
        <w:rPr>
          <w:b/>
          <w:szCs w:val="22"/>
        </w:rPr>
        <w:t>Spôsob</w:t>
      </w:r>
      <w:r w:rsidR="00B06E24" w:rsidRPr="00C30D5C">
        <w:rPr>
          <w:b/>
          <w:noProof/>
          <w:szCs w:val="22"/>
        </w:rPr>
        <w:t xml:space="preserve"> podávania</w:t>
      </w:r>
    </w:p>
    <w:p w14:paraId="7A29D886" w14:textId="77777777" w:rsidR="00E1698A" w:rsidRPr="00C30D5C" w:rsidRDefault="00E1698A" w:rsidP="00E41B3F">
      <w:pPr>
        <w:rPr>
          <w:szCs w:val="22"/>
        </w:rPr>
      </w:pPr>
    </w:p>
    <w:p w14:paraId="32648324" w14:textId="77777777" w:rsidR="00E1698A" w:rsidRPr="00C30D5C" w:rsidRDefault="009F59C1" w:rsidP="00E41B3F">
      <w:pPr>
        <w:rPr>
          <w:i/>
          <w:noProof/>
          <w:szCs w:val="22"/>
        </w:rPr>
      </w:pPr>
      <w:r w:rsidRPr="00C30D5C">
        <w:rPr>
          <w:i/>
          <w:szCs w:val="22"/>
        </w:rPr>
        <w:t>Opatrenia pred zaobchádzaním alebo podaním lieku</w:t>
      </w:r>
    </w:p>
    <w:p w14:paraId="5507DCA9" w14:textId="1DF16459" w:rsidR="009F59C1" w:rsidRPr="00C30D5C" w:rsidRDefault="00D12A7F" w:rsidP="00F63040">
      <w:pPr>
        <w:pStyle w:val="Zkladntext"/>
        <w:spacing w:before="6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41EF1CF" wp14:editId="79B132A9">
                <wp:simplePos x="0" y="0"/>
                <wp:positionH relativeFrom="page">
                  <wp:posOffset>830580</wp:posOffset>
                </wp:positionH>
                <wp:positionV relativeFrom="paragraph">
                  <wp:posOffset>163195</wp:posOffset>
                </wp:positionV>
                <wp:extent cx="5849620" cy="810895"/>
                <wp:effectExtent l="0" t="0" r="17780" b="2730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9620" cy="810895"/>
                        </a:xfrm>
                        <a:prstGeom prst="rect">
                          <a:avLst/>
                        </a:prstGeom>
                        <a:noFill/>
                        <a:ln w="509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4FC130" w14:textId="77777777" w:rsidR="001B072E" w:rsidRPr="001B072E" w:rsidRDefault="001B072E" w:rsidP="001B072E">
                            <w:pPr>
                              <w:ind w:left="142" w:firstLine="0"/>
                            </w:pPr>
                            <w:r w:rsidRPr="00A37CF7">
                              <w:rPr>
                                <w:iCs/>
                              </w:rPr>
                              <w:t xml:space="preserve">Buďte opatrný, ak predpisujete a podávate Paracetamol </w:t>
                            </w:r>
                            <w:r>
                              <w:rPr>
                                <w:iCs/>
                              </w:rPr>
                              <w:t>Noridem</w:t>
                            </w:r>
                            <w:r w:rsidRPr="00A37CF7">
                              <w:rPr>
                                <w:iCs/>
                              </w:rPr>
                              <w:t>, aby nedošlo ku chybám</w:t>
                            </w:r>
                            <w:r>
                              <w:rPr>
                                <w:iCs/>
                              </w:rPr>
                              <w:t xml:space="preserve"> </w:t>
                            </w:r>
                            <w:r w:rsidRPr="00A37CF7">
                              <w:rPr>
                                <w:iCs/>
                              </w:rPr>
                              <w:t>v dávkovaní a zámene miligramov</w:t>
                            </w:r>
                            <w:r>
                              <w:rPr>
                                <w:iCs/>
                              </w:rPr>
                              <w:t xml:space="preserve"> </w:t>
                            </w:r>
                            <w:r w:rsidRPr="00A37CF7">
                              <w:rPr>
                                <w:iCs/>
                              </w:rPr>
                              <w:t>(mg) a</w:t>
                            </w:r>
                            <w:r>
                              <w:rPr>
                                <w:iCs/>
                              </w:rPr>
                              <w:t> </w:t>
                            </w:r>
                            <w:r w:rsidRPr="00A37CF7">
                              <w:rPr>
                                <w:iCs/>
                              </w:rPr>
                              <w:t>mililitrov</w:t>
                            </w:r>
                            <w:r>
                              <w:rPr>
                                <w:iCs/>
                              </w:rPr>
                              <w:t xml:space="preserve"> </w:t>
                            </w:r>
                            <w:r w:rsidRPr="00A37CF7">
                              <w:rPr>
                                <w:iCs/>
                              </w:rPr>
                              <w:t>(ml), čo môže spôsobiť neúmyselné</w:t>
                            </w:r>
                            <w:r>
                              <w:rPr>
                                <w:iCs/>
                              </w:rPr>
                              <w:t xml:space="preserve"> </w:t>
                            </w:r>
                            <w:r w:rsidRPr="00A37CF7">
                              <w:rPr>
                                <w:iCs/>
                              </w:rPr>
                              <w:t>predávkovani</w:t>
                            </w:r>
                            <w:r>
                              <w:rPr>
                                <w:iCs/>
                              </w:rPr>
                              <w:t>e</w:t>
                            </w:r>
                            <w:r w:rsidRPr="00A37CF7">
                              <w:rPr>
                                <w:iCs/>
                              </w:rPr>
                              <w:t xml:space="preserve"> a smrť. Buďte opatrný a uistite sa, či je navrhovaná dávka správne určená</w:t>
                            </w:r>
                            <w:r>
                              <w:rPr>
                                <w:iCs/>
                              </w:rPr>
                              <w:t xml:space="preserve"> a odkomunikovaná</w:t>
                            </w:r>
                            <w:r w:rsidRPr="00A37CF7">
                              <w:rPr>
                                <w:iCs/>
                              </w:rPr>
                              <w:t>. Keď</w:t>
                            </w:r>
                            <w:r>
                              <w:rPr>
                                <w:iCs/>
                              </w:rPr>
                              <w:t xml:space="preserve"> </w:t>
                            </w:r>
                            <w:r w:rsidRPr="00A37CF7">
                              <w:rPr>
                                <w:iCs/>
                              </w:rPr>
                              <w:t xml:space="preserve">predpisujete liek, určite </w:t>
                            </w:r>
                            <w:r>
                              <w:rPr>
                                <w:iCs/>
                              </w:rPr>
                              <w:t xml:space="preserve">celkovú </w:t>
                            </w:r>
                            <w:r w:rsidRPr="00A37CF7">
                              <w:rPr>
                                <w:iCs/>
                              </w:rPr>
                              <w:t>dávku ako v miligramoch tak aj v mililitroch. Uistite sa, či je dávkovanie</w:t>
                            </w:r>
                            <w:r>
                              <w:rPr>
                                <w:iCs/>
                              </w:rPr>
                              <w:t xml:space="preserve"> </w:t>
                            </w:r>
                            <w:r w:rsidRPr="00A37CF7">
                              <w:rPr>
                                <w:iCs/>
                              </w:rPr>
                              <w:t>správne a podávanie lieku presné.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1EF1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5.4pt;margin-top:12.85pt;width:460.6pt;height:63.8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" filled="f" strokeweight=".14147mm">
                <v:textbox inset="0,0,0,0">
                  <w:txbxContent>
                    <w:p w14:paraId="3F4FC130" w14:textId="77777777" w:rsidR="001B072E" w:rsidRPr="001B072E" w:rsidRDefault="001B072E" w:rsidP="001B072E">
                      <w:pPr>
                        <w:ind w:left="142" w:firstLine="0"/>
                      </w:pPr>
                      <w:r w:rsidRPr="00A37CF7">
                        <w:rPr>
                          <w:iCs/>
                        </w:rPr>
                        <w:t xml:space="preserve">Buďte opatrný, ak predpisujete a podávate Paracetamol </w:t>
                      </w:r>
                      <w:r>
                        <w:rPr>
                          <w:iCs/>
                        </w:rPr>
                        <w:t>Noridem</w:t>
                      </w:r>
                      <w:r w:rsidRPr="00A37CF7">
                        <w:rPr>
                          <w:iCs/>
                        </w:rPr>
                        <w:t>, aby nedošlo ku chybám</w:t>
                      </w:r>
                      <w:r>
                        <w:rPr>
                          <w:iCs/>
                        </w:rPr>
                        <w:t xml:space="preserve"> </w:t>
                      </w:r>
                      <w:r w:rsidRPr="00A37CF7">
                        <w:rPr>
                          <w:iCs/>
                        </w:rPr>
                        <w:t>v dávkovaní a zámene miligramov</w:t>
                      </w:r>
                      <w:r>
                        <w:rPr>
                          <w:iCs/>
                        </w:rPr>
                        <w:t xml:space="preserve"> </w:t>
                      </w:r>
                      <w:r w:rsidRPr="00A37CF7">
                        <w:rPr>
                          <w:iCs/>
                        </w:rPr>
                        <w:t>(mg) a</w:t>
                      </w:r>
                      <w:r>
                        <w:rPr>
                          <w:iCs/>
                        </w:rPr>
                        <w:t> </w:t>
                      </w:r>
                      <w:r w:rsidRPr="00A37CF7">
                        <w:rPr>
                          <w:iCs/>
                        </w:rPr>
                        <w:t>mililitrov</w:t>
                      </w:r>
                      <w:r>
                        <w:rPr>
                          <w:iCs/>
                        </w:rPr>
                        <w:t xml:space="preserve"> </w:t>
                      </w:r>
                      <w:r w:rsidRPr="00A37CF7">
                        <w:rPr>
                          <w:iCs/>
                        </w:rPr>
                        <w:t>(ml), čo môže spôsobiť neúmyselné</w:t>
                      </w:r>
                      <w:r>
                        <w:rPr>
                          <w:iCs/>
                        </w:rPr>
                        <w:t xml:space="preserve"> </w:t>
                      </w:r>
                      <w:r w:rsidRPr="00A37CF7">
                        <w:rPr>
                          <w:iCs/>
                        </w:rPr>
                        <w:t>predávkovani</w:t>
                      </w:r>
                      <w:r>
                        <w:rPr>
                          <w:iCs/>
                        </w:rPr>
                        <w:t>e</w:t>
                      </w:r>
                      <w:r w:rsidRPr="00A37CF7">
                        <w:rPr>
                          <w:iCs/>
                        </w:rPr>
                        <w:t xml:space="preserve"> a smrť. Buďte opatrný a uistite sa, či je navrhovaná dávka správne určená</w:t>
                      </w:r>
                      <w:r>
                        <w:rPr>
                          <w:iCs/>
                        </w:rPr>
                        <w:t xml:space="preserve"> a odkomunikovaná</w:t>
                      </w:r>
                      <w:r w:rsidRPr="00A37CF7">
                        <w:rPr>
                          <w:iCs/>
                        </w:rPr>
                        <w:t>. Keď</w:t>
                      </w:r>
                      <w:r>
                        <w:rPr>
                          <w:iCs/>
                        </w:rPr>
                        <w:t xml:space="preserve"> </w:t>
                      </w:r>
                      <w:r w:rsidRPr="00A37CF7">
                        <w:rPr>
                          <w:iCs/>
                        </w:rPr>
                        <w:t xml:space="preserve">predpisujete liek, určite </w:t>
                      </w:r>
                      <w:r>
                        <w:rPr>
                          <w:iCs/>
                        </w:rPr>
                        <w:t xml:space="preserve">celkovú </w:t>
                      </w:r>
                      <w:r w:rsidRPr="00A37CF7">
                        <w:rPr>
                          <w:iCs/>
                        </w:rPr>
                        <w:t>dávku ako v miligramoch tak aj v mililitroch. Uistite sa, či je dávkovanie</w:t>
                      </w:r>
                      <w:r>
                        <w:rPr>
                          <w:iCs/>
                        </w:rPr>
                        <w:t xml:space="preserve"> </w:t>
                      </w:r>
                      <w:r w:rsidRPr="00A37CF7">
                        <w:rPr>
                          <w:iCs/>
                        </w:rPr>
                        <w:t>správne a podávanie lieku presné.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A91E68" w14:textId="77777777" w:rsidR="009F59C1" w:rsidRPr="00C30D5C" w:rsidRDefault="001B072E" w:rsidP="009F59C1">
      <w:pPr>
        <w:pStyle w:val="Zkladntext"/>
        <w:spacing w:before="1"/>
        <w:rPr>
          <w:szCs w:val="22"/>
        </w:rPr>
      </w:pPr>
      <w:r w:rsidRPr="00C30D5C">
        <w:rPr>
          <w:szCs w:val="22"/>
          <w:u w:val="single"/>
        </w:rPr>
        <w:t>Pacienti s te</w:t>
      </w:r>
      <w:r w:rsidR="009F59C1" w:rsidRPr="00C30D5C">
        <w:rPr>
          <w:szCs w:val="22"/>
          <w:u w:val="single"/>
        </w:rPr>
        <w:t>lesnou hmotnos</w:t>
      </w:r>
      <w:r w:rsidRPr="00C30D5C">
        <w:rPr>
          <w:szCs w:val="22"/>
          <w:u w:val="single"/>
        </w:rPr>
        <w:t>ťou </w:t>
      </w:r>
      <w:r w:rsidR="009F59C1" w:rsidRPr="00C30D5C">
        <w:rPr>
          <w:szCs w:val="22"/>
          <w:u w:val="single"/>
        </w:rPr>
        <w:t xml:space="preserve"> ≤</w:t>
      </w:r>
      <w:r w:rsidRPr="00C30D5C">
        <w:rPr>
          <w:szCs w:val="22"/>
          <w:u w:val="single"/>
        </w:rPr>
        <w:t> </w:t>
      </w:r>
      <w:r w:rsidR="009F59C1" w:rsidRPr="00C30D5C">
        <w:rPr>
          <w:szCs w:val="22"/>
          <w:u w:val="single"/>
        </w:rPr>
        <w:t>10</w:t>
      </w:r>
      <w:r w:rsidRPr="00C30D5C">
        <w:rPr>
          <w:szCs w:val="22"/>
          <w:u w:val="single"/>
        </w:rPr>
        <w:t> </w:t>
      </w:r>
      <w:r w:rsidR="009F59C1" w:rsidRPr="00C30D5C">
        <w:rPr>
          <w:szCs w:val="22"/>
          <w:u w:val="single"/>
        </w:rPr>
        <w:t>kg:</w:t>
      </w:r>
    </w:p>
    <w:p w14:paraId="58003B8B" w14:textId="205C2563" w:rsidR="001B072E" w:rsidRPr="00C30D5C" w:rsidRDefault="003E5F36" w:rsidP="001B072E">
      <w:pPr>
        <w:numPr>
          <w:ilvl w:val="0"/>
          <w:numId w:val="13"/>
        </w:numPr>
        <w:rPr>
          <w:szCs w:val="22"/>
          <w:lang w:eastAsia="cs-CZ"/>
        </w:rPr>
      </w:pPr>
      <w:r w:rsidRPr="002F2FBD">
        <w:rPr>
          <w:szCs w:val="22"/>
          <w:lang w:eastAsia="cs-CZ"/>
        </w:rPr>
        <w:t>Fľaša</w:t>
      </w:r>
      <w:r w:rsidR="001B072E" w:rsidRPr="00C30D5C">
        <w:rPr>
          <w:szCs w:val="22"/>
          <w:lang w:eastAsia="cs-CZ"/>
        </w:rPr>
        <w:t xml:space="preserve"> Paracetamolu Noridem sa nemá zavesiť ako infúzia kvôli malému objemu lieku, ktorý bude týmto pacientom podaný.</w:t>
      </w:r>
    </w:p>
    <w:p w14:paraId="1BF93371" w14:textId="19B91DB4" w:rsidR="001B072E" w:rsidRPr="00C30D5C" w:rsidRDefault="00F63040" w:rsidP="001B072E">
      <w:pPr>
        <w:numPr>
          <w:ilvl w:val="0"/>
          <w:numId w:val="13"/>
        </w:numPr>
        <w:rPr>
          <w:szCs w:val="22"/>
          <w:lang w:eastAsia="cs-CZ"/>
        </w:rPr>
      </w:pPr>
      <w:r w:rsidRPr="00C30D5C">
        <w:rPr>
          <w:szCs w:val="22"/>
          <w:lang w:eastAsia="cs-CZ"/>
        </w:rPr>
        <w:t>O</w:t>
      </w:r>
      <w:r w:rsidR="001B072E" w:rsidRPr="00C30D5C">
        <w:rPr>
          <w:szCs w:val="22"/>
          <w:lang w:eastAsia="cs-CZ"/>
        </w:rPr>
        <w:t xml:space="preserve">bjem, ktorý bude podaný, má byť </w:t>
      </w:r>
      <w:r w:rsidR="001B072E" w:rsidRPr="002F2FBD">
        <w:rPr>
          <w:szCs w:val="22"/>
          <w:lang w:eastAsia="cs-CZ"/>
        </w:rPr>
        <w:t>odobratý z </w:t>
      </w:r>
      <w:r w:rsidR="003E5F36" w:rsidRPr="00D12A7F">
        <w:rPr>
          <w:szCs w:val="22"/>
          <w:lang w:eastAsia="cs-CZ"/>
        </w:rPr>
        <w:t>fľaše</w:t>
      </w:r>
      <w:r w:rsidR="001B072E" w:rsidRPr="00C30D5C">
        <w:rPr>
          <w:szCs w:val="22"/>
          <w:lang w:eastAsia="cs-CZ"/>
        </w:rPr>
        <w:t xml:space="preserve"> a nariedený </w:t>
      </w:r>
      <w:r w:rsidR="00160333">
        <w:rPr>
          <w:szCs w:val="22"/>
          <w:lang w:eastAsia="cs-CZ"/>
        </w:rPr>
        <w:t xml:space="preserve">v </w:t>
      </w:r>
      <w:r w:rsidR="00160333" w:rsidRPr="004F7739">
        <w:rPr>
          <w:szCs w:val="22"/>
        </w:rPr>
        <w:t xml:space="preserve">9 mg/ml </w:t>
      </w:r>
      <w:r w:rsidR="00160333">
        <w:rPr>
          <w:szCs w:val="22"/>
        </w:rPr>
        <w:t>(</w:t>
      </w:r>
      <w:r w:rsidR="001B072E" w:rsidRPr="00C30D5C">
        <w:rPr>
          <w:szCs w:val="22"/>
          <w:lang w:eastAsia="cs-CZ"/>
        </w:rPr>
        <w:t>0,9 %</w:t>
      </w:r>
      <w:r w:rsidR="00160333">
        <w:rPr>
          <w:szCs w:val="22"/>
          <w:lang w:eastAsia="cs-CZ"/>
        </w:rPr>
        <w:t>)</w:t>
      </w:r>
      <w:r w:rsidR="001B072E" w:rsidRPr="00C30D5C">
        <w:rPr>
          <w:szCs w:val="22"/>
          <w:lang w:eastAsia="cs-CZ"/>
        </w:rPr>
        <w:t xml:space="preserve"> roztok</w:t>
      </w:r>
      <w:r w:rsidR="00160333">
        <w:rPr>
          <w:szCs w:val="22"/>
          <w:lang w:eastAsia="cs-CZ"/>
        </w:rPr>
        <w:t>u</w:t>
      </w:r>
      <w:r w:rsidR="001B072E" w:rsidRPr="00C30D5C">
        <w:rPr>
          <w:szCs w:val="22"/>
          <w:lang w:eastAsia="cs-CZ"/>
        </w:rPr>
        <w:t xml:space="preserve"> chloridu sodného alebo </w:t>
      </w:r>
      <w:r w:rsidR="00160333" w:rsidRPr="00973AAD">
        <w:rPr>
          <w:szCs w:val="22"/>
          <w:lang w:eastAsia="el-GR"/>
        </w:rPr>
        <w:t xml:space="preserve">50 mg/ml </w:t>
      </w:r>
      <w:r w:rsidR="00160333">
        <w:rPr>
          <w:szCs w:val="22"/>
          <w:lang w:eastAsia="el-GR"/>
        </w:rPr>
        <w:t>(</w:t>
      </w:r>
      <w:r w:rsidR="001B072E" w:rsidRPr="00C30D5C">
        <w:rPr>
          <w:szCs w:val="22"/>
          <w:lang w:eastAsia="cs-CZ"/>
        </w:rPr>
        <w:t>5 %</w:t>
      </w:r>
      <w:r w:rsidR="00160333">
        <w:rPr>
          <w:szCs w:val="22"/>
          <w:lang w:eastAsia="cs-CZ"/>
        </w:rPr>
        <w:t>)</w:t>
      </w:r>
      <w:r w:rsidR="001B072E" w:rsidRPr="00C30D5C">
        <w:rPr>
          <w:szCs w:val="22"/>
          <w:lang w:eastAsia="cs-CZ"/>
        </w:rPr>
        <w:t xml:space="preserve"> roztokom glukózy až do jednej desatiny (jeden diel Paracetamolu Noridem do deviatich dielov roztoku) a má sa podávať po dobu 15 minút.</w:t>
      </w:r>
    </w:p>
    <w:p w14:paraId="423737C3" w14:textId="77777777" w:rsidR="000F5276" w:rsidRPr="00C30D5C" w:rsidRDefault="000F5276" w:rsidP="000F5276">
      <w:pPr>
        <w:numPr>
          <w:ilvl w:val="0"/>
          <w:numId w:val="13"/>
        </w:numPr>
        <w:rPr>
          <w:szCs w:val="22"/>
          <w:lang w:eastAsia="cs-CZ"/>
        </w:rPr>
      </w:pPr>
      <w:r w:rsidRPr="00C30D5C">
        <w:rPr>
          <w:szCs w:val="22"/>
          <w:lang w:eastAsia="cs-CZ"/>
        </w:rPr>
        <w:lastRenderedPageBreak/>
        <w:t>5 alebo 10 ml injekčná striekačka sa má použiť na odmeranie dávky primeranej pre telesnú hmotnosť dieťaťa a požadovaného objemu lieku. Nesmie sa však prekročiť 7,5ml na jednotlivú dávku.</w:t>
      </w:r>
    </w:p>
    <w:p w14:paraId="5B631924" w14:textId="77777777" w:rsidR="009F59C1" w:rsidRPr="00C30D5C" w:rsidRDefault="00F63040" w:rsidP="000F5276">
      <w:pPr>
        <w:numPr>
          <w:ilvl w:val="0"/>
          <w:numId w:val="13"/>
        </w:numPr>
        <w:rPr>
          <w:szCs w:val="22"/>
        </w:rPr>
      </w:pPr>
      <w:r w:rsidRPr="00C30D5C">
        <w:rPr>
          <w:szCs w:val="22"/>
          <w:lang w:eastAsia="cs-CZ"/>
        </w:rPr>
        <w:t>P</w:t>
      </w:r>
      <w:r w:rsidR="000F5276" w:rsidRPr="00C30D5C">
        <w:rPr>
          <w:szCs w:val="22"/>
          <w:lang w:eastAsia="cs-CZ"/>
        </w:rPr>
        <w:t>oužívateľ sa má riadiť pokynmi pre dávkovanie, ktoré sú uvedené v písomnej informácii o lieku.</w:t>
      </w:r>
    </w:p>
    <w:p w14:paraId="03C86A1A" w14:textId="77777777" w:rsidR="000F5276" w:rsidRPr="00C30D5C" w:rsidRDefault="000F5276" w:rsidP="000F5276">
      <w:pPr>
        <w:rPr>
          <w:szCs w:val="22"/>
        </w:rPr>
      </w:pPr>
    </w:p>
    <w:p w14:paraId="3A9B09C3" w14:textId="77777777" w:rsidR="009F59C1" w:rsidRPr="00C30D5C" w:rsidRDefault="00F63040" w:rsidP="009F59C1">
      <w:pPr>
        <w:pStyle w:val="Zkladntext"/>
        <w:spacing w:before="1"/>
        <w:rPr>
          <w:szCs w:val="22"/>
        </w:rPr>
      </w:pPr>
      <w:r w:rsidRPr="00C30D5C">
        <w:rPr>
          <w:szCs w:val="22"/>
        </w:rPr>
        <w:t>Na i</w:t>
      </w:r>
      <w:r w:rsidR="000F5276" w:rsidRPr="00C30D5C">
        <w:rPr>
          <w:szCs w:val="22"/>
        </w:rPr>
        <w:t>ntravenózne použitie.</w:t>
      </w:r>
    </w:p>
    <w:p w14:paraId="68D25F05" w14:textId="77777777" w:rsidR="009F59C1" w:rsidRPr="00C30D5C" w:rsidRDefault="000F5276" w:rsidP="009F59C1">
      <w:pPr>
        <w:pStyle w:val="Zkladntext"/>
        <w:spacing w:before="1"/>
        <w:rPr>
          <w:szCs w:val="22"/>
        </w:rPr>
      </w:pPr>
      <w:r w:rsidRPr="00C30D5C">
        <w:rPr>
          <w:szCs w:val="22"/>
        </w:rPr>
        <w:t>Iba na jednorazové použitie. Všetok nespotrebovaný roztok musí byť odborne zlikvidovaný.</w:t>
      </w:r>
    </w:p>
    <w:p w14:paraId="69943335" w14:textId="77777777" w:rsidR="009F59C1" w:rsidRPr="00C30D5C" w:rsidRDefault="009F59C1" w:rsidP="009F59C1">
      <w:pPr>
        <w:pStyle w:val="Zkladntext"/>
        <w:spacing w:before="1"/>
        <w:rPr>
          <w:szCs w:val="22"/>
        </w:rPr>
      </w:pPr>
    </w:p>
    <w:p w14:paraId="757D63C6" w14:textId="77777777" w:rsidR="009F59C1" w:rsidRPr="00C30D5C" w:rsidRDefault="000F5276" w:rsidP="009F59C1">
      <w:pPr>
        <w:pStyle w:val="Zkladntext"/>
        <w:rPr>
          <w:szCs w:val="22"/>
        </w:rPr>
      </w:pPr>
      <w:r w:rsidRPr="00C30D5C">
        <w:rPr>
          <w:szCs w:val="22"/>
        </w:rPr>
        <w:t>Roztok paracetamolu sa podáva formou 15 minútovej intravenóznej infúzie</w:t>
      </w:r>
      <w:r w:rsidR="009F59C1" w:rsidRPr="00C30D5C">
        <w:rPr>
          <w:szCs w:val="22"/>
        </w:rPr>
        <w:t>.</w:t>
      </w:r>
    </w:p>
    <w:p w14:paraId="666995DE" w14:textId="77777777" w:rsidR="009F59C1" w:rsidRPr="00C30D5C" w:rsidRDefault="009F59C1" w:rsidP="009F59C1">
      <w:pPr>
        <w:pStyle w:val="Zkladntext"/>
        <w:rPr>
          <w:szCs w:val="22"/>
        </w:rPr>
      </w:pPr>
    </w:p>
    <w:p w14:paraId="7BA75810" w14:textId="77777777" w:rsidR="009F59C1" w:rsidRPr="00C30D5C" w:rsidRDefault="000F5276" w:rsidP="009F59C1">
      <w:pPr>
        <w:pStyle w:val="Zkladntext"/>
        <w:rPr>
          <w:szCs w:val="22"/>
        </w:rPr>
      </w:pPr>
      <w:r w:rsidRPr="00C30D5C">
        <w:rPr>
          <w:szCs w:val="22"/>
        </w:rPr>
        <w:t>Informácia k veľkosti balenia</w:t>
      </w:r>
      <w:r w:rsidR="009F59C1" w:rsidRPr="00C30D5C">
        <w:rPr>
          <w:szCs w:val="22"/>
        </w:rPr>
        <w:t xml:space="preserve"> 50</w:t>
      </w:r>
      <w:r w:rsidRPr="00C30D5C">
        <w:rPr>
          <w:szCs w:val="22"/>
        </w:rPr>
        <w:t> </w:t>
      </w:r>
      <w:r w:rsidR="009F59C1" w:rsidRPr="00C30D5C">
        <w:rPr>
          <w:szCs w:val="22"/>
        </w:rPr>
        <w:t>ml:</w:t>
      </w:r>
    </w:p>
    <w:p w14:paraId="5DEA45A9" w14:textId="77777777" w:rsidR="000F5276" w:rsidRPr="00C30D5C" w:rsidRDefault="000F5276" w:rsidP="000F5276">
      <w:pPr>
        <w:ind w:left="0" w:firstLine="0"/>
        <w:rPr>
          <w:szCs w:val="22"/>
          <w:lang w:eastAsia="cs-CZ"/>
        </w:rPr>
      </w:pPr>
      <w:r w:rsidRPr="00C30D5C">
        <w:rPr>
          <w:szCs w:val="22"/>
          <w:lang w:eastAsia="cs-CZ"/>
        </w:rPr>
        <w:t>50 ml Paracetamol</w:t>
      </w:r>
      <w:r w:rsidR="00205204">
        <w:rPr>
          <w:szCs w:val="22"/>
          <w:lang w:eastAsia="cs-CZ"/>
        </w:rPr>
        <w:t>u</w:t>
      </w:r>
      <w:r w:rsidRPr="00C30D5C">
        <w:rPr>
          <w:szCs w:val="22"/>
          <w:lang w:eastAsia="cs-CZ"/>
        </w:rPr>
        <w:t xml:space="preserve"> Noridem môže byť tiež nariedený 0,9 % roztokom chloridu sodného alebo 5 % roztokom glukózy až do jednej desatiny (jeden diel Paracetamolu Noridem do deviatich dielov roztoku). V tomto prípade sa má zriedený roztok použiť do 1 hodiny od jeho prípravy (vrátane času na podanie infúzie).</w:t>
      </w:r>
    </w:p>
    <w:p w14:paraId="7F7F5B4D" w14:textId="77777777" w:rsidR="00780926" w:rsidRPr="00C30D5C" w:rsidRDefault="00780926" w:rsidP="00E41B3F">
      <w:pPr>
        <w:rPr>
          <w:szCs w:val="22"/>
        </w:rPr>
      </w:pPr>
    </w:p>
    <w:p w14:paraId="53DEA34A" w14:textId="77777777" w:rsidR="00780926" w:rsidRPr="00C30D5C" w:rsidRDefault="009F59C1" w:rsidP="00E41B3F">
      <w:pPr>
        <w:rPr>
          <w:szCs w:val="22"/>
        </w:rPr>
      </w:pPr>
      <w:r w:rsidRPr="00C30D5C">
        <w:rPr>
          <w:b/>
          <w:szCs w:val="22"/>
        </w:rPr>
        <w:t>4.3</w:t>
      </w:r>
      <w:r w:rsidRPr="00C30D5C">
        <w:rPr>
          <w:b/>
          <w:szCs w:val="22"/>
        </w:rPr>
        <w:tab/>
        <w:t>Kontraindikácie</w:t>
      </w:r>
    </w:p>
    <w:p w14:paraId="1F2B33B6" w14:textId="77777777" w:rsidR="00780926" w:rsidRPr="00C30D5C" w:rsidRDefault="00780926" w:rsidP="00E41B3F">
      <w:pPr>
        <w:rPr>
          <w:szCs w:val="22"/>
        </w:rPr>
      </w:pPr>
    </w:p>
    <w:p w14:paraId="576BA130" w14:textId="77777777" w:rsidR="009F59C1" w:rsidRPr="00C30D5C" w:rsidRDefault="009F59C1" w:rsidP="009F59C1">
      <w:pPr>
        <w:tabs>
          <w:tab w:val="left" w:pos="578"/>
        </w:tabs>
        <w:ind w:right="401"/>
        <w:rPr>
          <w:szCs w:val="22"/>
        </w:rPr>
      </w:pPr>
      <w:r w:rsidRPr="00C30D5C">
        <w:rPr>
          <w:szCs w:val="22"/>
        </w:rPr>
        <w:t>Paracetamol Noridem je kontraindikov</w:t>
      </w:r>
      <w:r w:rsidR="000F5276" w:rsidRPr="00C30D5C">
        <w:rPr>
          <w:szCs w:val="22"/>
        </w:rPr>
        <w:t>aný</w:t>
      </w:r>
      <w:r w:rsidRPr="00C30D5C">
        <w:rPr>
          <w:szCs w:val="22"/>
        </w:rPr>
        <w:t>:</w:t>
      </w:r>
    </w:p>
    <w:p w14:paraId="571380A2" w14:textId="77777777" w:rsidR="009F59C1" w:rsidRPr="00C30D5C" w:rsidRDefault="009F59C1" w:rsidP="009F59C1">
      <w:pPr>
        <w:tabs>
          <w:tab w:val="left" w:pos="578"/>
        </w:tabs>
        <w:ind w:right="401"/>
        <w:rPr>
          <w:szCs w:val="22"/>
        </w:rPr>
      </w:pPr>
    </w:p>
    <w:p w14:paraId="223AAAA8" w14:textId="77777777" w:rsidR="009F59C1" w:rsidRPr="00C30D5C" w:rsidRDefault="009F59C1" w:rsidP="009F59C1">
      <w:pPr>
        <w:pStyle w:val="Odsekzoznamu"/>
        <w:numPr>
          <w:ilvl w:val="0"/>
          <w:numId w:val="14"/>
        </w:numPr>
        <w:tabs>
          <w:tab w:val="left" w:pos="426"/>
        </w:tabs>
        <w:ind w:left="426" w:right="401" w:hanging="426"/>
        <w:rPr>
          <w:lang w:val="sk-SK"/>
        </w:rPr>
      </w:pPr>
      <w:r w:rsidRPr="00C30D5C">
        <w:rPr>
          <w:lang w:val="sk-SK"/>
        </w:rPr>
        <w:t>u pacient</w:t>
      </w:r>
      <w:r w:rsidR="000F5276" w:rsidRPr="00C30D5C">
        <w:rPr>
          <w:lang w:val="sk-SK"/>
        </w:rPr>
        <w:t>ov</w:t>
      </w:r>
      <w:r w:rsidRPr="00C30D5C">
        <w:rPr>
          <w:lang w:val="sk-SK"/>
        </w:rPr>
        <w:t xml:space="preserve"> s hypersenzitivitou na paracetamol </w:t>
      </w:r>
      <w:r w:rsidR="000F5276" w:rsidRPr="00C30D5C">
        <w:rPr>
          <w:lang w:val="sk-SK"/>
        </w:rPr>
        <w:t>alebo</w:t>
      </w:r>
      <w:r w:rsidRPr="00C30D5C">
        <w:rPr>
          <w:lang w:val="sk-SK"/>
        </w:rPr>
        <w:t xml:space="preserve"> propacetam</w:t>
      </w:r>
      <w:r w:rsidR="000F5276" w:rsidRPr="00C30D5C">
        <w:rPr>
          <w:lang w:val="sk-SK"/>
        </w:rPr>
        <w:t>ó</w:t>
      </w:r>
      <w:r w:rsidRPr="00C30D5C">
        <w:rPr>
          <w:lang w:val="sk-SK"/>
        </w:rPr>
        <w:t>l</w:t>
      </w:r>
      <w:r w:rsidR="000F5276" w:rsidRPr="00C30D5C">
        <w:rPr>
          <w:lang w:val="sk-SK"/>
        </w:rPr>
        <w:t>ium</w:t>
      </w:r>
      <w:r w:rsidRPr="00C30D5C">
        <w:rPr>
          <w:lang w:val="sk-SK"/>
        </w:rPr>
        <w:t>chlorid (</w:t>
      </w:r>
      <w:r w:rsidR="000F5276" w:rsidRPr="00C30D5C">
        <w:rPr>
          <w:lang w:val="sk-SK"/>
        </w:rPr>
        <w:t xml:space="preserve">proliečivo </w:t>
      </w:r>
      <w:r w:rsidRPr="00C30D5C">
        <w:rPr>
          <w:lang w:val="sk-SK"/>
        </w:rPr>
        <w:t>paracetamolu)</w:t>
      </w:r>
      <w:r w:rsidR="000F5276" w:rsidRPr="00C30D5C">
        <w:rPr>
          <w:lang w:val="sk-SK"/>
        </w:rPr>
        <w:t xml:space="preserve"> alebo na ktorúkoľvek z pomocných látok uvedených v časti</w:t>
      </w:r>
      <w:r w:rsidRPr="00C30D5C">
        <w:rPr>
          <w:lang w:val="sk-SK"/>
        </w:rPr>
        <w:t xml:space="preserve"> 6.1,</w:t>
      </w:r>
    </w:p>
    <w:p w14:paraId="3FB1C6C6" w14:textId="77777777" w:rsidR="009F59C1" w:rsidRPr="00C30D5C" w:rsidRDefault="000F5276" w:rsidP="009F59C1">
      <w:pPr>
        <w:pStyle w:val="Odsekzoznamu"/>
        <w:numPr>
          <w:ilvl w:val="0"/>
          <w:numId w:val="13"/>
        </w:numPr>
        <w:tabs>
          <w:tab w:val="left" w:pos="426"/>
        </w:tabs>
        <w:spacing w:before="13"/>
        <w:ind w:left="0" w:firstLine="0"/>
        <w:jc w:val="left"/>
        <w:rPr>
          <w:lang w:val="sk-SK"/>
        </w:rPr>
      </w:pPr>
      <w:r w:rsidRPr="00C30D5C">
        <w:rPr>
          <w:lang w:val="sk-SK"/>
        </w:rPr>
        <w:t>v prípade závažnej hepatocelulárnej insuficiencie</w:t>
      </w:r>
      <w:r w:rsidR="009F59C1" w:rsidRPr="00C30D5C">
        <w:rPr>
          <w:spacing w:val="-4"/>
          <w:lang w:val="sk-SK"/>
        </w:rPr>
        <w:t>.</w:t>
      </w:r>
    </w:p>
    <w:p w14:paraId="2223684F" w14:textId="77777777" w:rsidR="00780926" w:rsidRPr="00C30D5C" w:rsidRDefault="00780926" w:rsidP="00E41B3F">
      <w:pPr>
        <w:rPr>
          <w:szCs w:val="22"/>
        </w:rPr>
      </w:pPr>
    </w:p>
    <w:p w14:paraId="43655206" w14:textId="77777777" w:rsidR="00780926" w:rsidRPr="00C30D5C" w:rsidRDefault="009F59C1" w:rsidP="00E41B3F">
      <w:pPr>
        <w:rPr>
          <w:b/>
          <w:szCs w:val="22"/>
        </w:rPr>
      </w:pPr>
      <w:r w:rsidRPr="00C30D5C">
        <w:rPr>
          <w:b/>
          <w:szCs w:val="22"/>
        </w:rPr>
        <w:t>4.4</w:t>
      </w:r>
      <w:r w:rsidRPr="00C30D5C">
        <w:rPr>
          <w:b/>
          <w:szCs w:val="22"/>
        </w:rPr>
        <w:tab/>
        <w:t>Osobitné upozornenia a opatrenia pri používaní</w:t>
      </w:r>
    </w:p>
    <w:p w14:paraId="21089A48" w14:textId="77777777" w:rsidR="00E1698A" w:rsidRPr="00C30D5C" w:rsidRDefault="00E1698A" w:rsidP="000F5276">
      <w:pPr>
        <w:rPr>
          <w:szCs w:val="22"/>
        </w:rPr>
      </w:pPr>
    </w:p>
    <w:p w14:paraId="6213776C" w14:textId="3580CD2C" w:rsidR="009F59C1" w:rsidRPr="00C30D5C" w:rsidRDefault="00D12A7F" w:rsidP="000F5276">
      <w:pPr>
        <w:pStyle w:val="Nadpis1"/>
        <w:widowControl w:val="0"/>
        <w:tabs>
          <w:tab w:val="clear" w:pos="567"/>
          <w:tab w:val="left" w:pos="550"/>
        </w:tabs>
        <w:autoSpaceDE w:val="0"/>
        <w:autoSpaceDN w:val="0"/>
        <w:spacing w:before="0" w:after="0" w:line="240" w:lineRule="auto"/>
        <w:ind w:left="1" w:right="5151" w:firstLine="0"/>
        <w:rPr>
          <w:sz w:val="22"/>
          <w:szCs w:val="22"/>
          <w:lang w:val="sk-SK"/>
        </w:rPr>
      </w:pPr>
      <w:r>
        <w:rPr>
          <w:noProof/>
          <w:sz w:val="22"/>
          <w:szCs w:val="22"/>
          <w:lang w:val="sk-SK" w:eastAsia="sk-SK"/>
        </w:rPr>
        <mc:AlternateContent>
          <mc:Choice Requires="wps">
            <w:drawing>
              <wp:inline distT="0" distB="0" distL="0" distR="0" wp14:anchorId="622F757A" wp14:editId="34BF99EC">
                <wp:extent cx="6050280" cy="495300"/>
                <wp:effectExtent l="11430" t="9525" r="5715" b="9525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0280" cy="495300"/>
                        </a:xfrm>
                        <a:prstGeom prst="rect">
                          <a:avLst/>
                        </a:prstGeom>
                        <a:noFill/>
                        <a:ln w="509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52B1B" w14:textId="77777777" w:rsidR="000F5276" w:rsidRPr="00887587" w:rsidRDefault="000F5276" w:rsidP="00F63040">
                            <w:pPr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</w:rPr>
                              <w:t>RIZIKO CHYBNÉHO DÁVKOVANIA</w:t>
                            </w:r>
                          </w:p>
                          <w:p w14:paraId="7B435417" w14:textId="77777777" w:rsidR="000F5276" w:rsidRPr="00887587" w:rsidRDefault="000F5276" w:rsidP="000F5276">
                            <w:pPr>
                              <w:rPr>
                                <w:iCs/>
                              </w:rPr>
                            </w:pPr>
                            <w:r w:rsidRPr="00887587">
                              <w:rPr>
                                <w:iCs/>
                              </w:rPr>
                              <w:t>Buďte opatrný a vyhnite sa zámene medzi miligramami (mg) a</w:t>
                            </w:r>
                            <w:r>
                              <w:rPr>
                                <w:iCs/>
                              </w:rPr>
                              <w:t> </w:t>
                            </w:r>
                            <w:r w:rsidRPr="00887587">
                              <w:rPr>
                                <w:iCs/>
                              </w:rPr>
                              <w:t>mililitrami</w:t>
                            </w:r>
                            <w:r>
                              <w:rPr>
                                <w:iCs/>
                              </w:rPr>
                              <w:t xml:space="preserve"> </w:t>
                            </w:r>
                            <w:r w:rsidRPr="00887587">
                              <w:rPr>
                                <w:iCs/>
                              </w:rPr>
                              <w:t>(ml), ktoré môžu mať za</w:t>
                            </w:r>
                          </w:p>
                          <w:p w14:paraId="60FDF9C8" w14:textId="77777777" w:rsidR="001B072E" w:rsidRPr="000F5276" w:rsidRDefault="000F5276" w:rsidP="000F5276">
                            <w:r w:rsidRPr="00887587">
                              <w:rPr>
                                <w:iCs/>
                              </w:rPr>
                              <w:t>následok náhodné predávkovanie a</w:t>
                            </w:r>
                            <w:r>
                              <w:rPr>
                                <w:iCs/>
                              </w:rPr>
                              <w:t> </w:t>
                            </w:r>
                            <w:r w:rsidRPr="00887587">
                              <w:rPr>
                                <w:iCs/>
                              </w:rPr>
                              <w:t>smrť</w:t>
                            </w:r>
                            <w:r>
                              <w:rPr>
                                <w:iCs/>
                              </w:rPr>
                              <w:t xml:space="preserve"> (pozri časť 4.2)</w:t>
                            </w:r>
                            <w:r w:rsidRPr="00887587">
                              <w:rPr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2F757A" id="Text Box 4" o:spid="_x0000_s1027" type="#_x0000_t202" style="width:476.4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" filled="f" strokeweight=".14147mm">
                <v:textbox inset="0,0,0,0">
                  <w:txbxContent>
                    <w:p w14:paraId="02B52B1B" w14:textId="77777777" w:rsidR="000F5276" w:rsidRPr="00887587" w:rsidRDefault="000F5276" w:rsidP="00F63040">
                      <w:pPr>
                        <w:rPr>
                          <w:iCs/>
                        </w:rPr>
                      </w:pPr>
                      <w:r>
                        <w:rPr>
                          <w:iCs/>
                        </w:rPr>
                        <w:t>RIZIKO CHYBNÉHO DÁVKOVANIA</w:t>
                      </w:r>
                    </w:p>
                    <w:p w14:paraId="7B435417" w14:textId="77777777" w:rsidR="000F5276" w:rsidRPr="00887587" w:rsidRDefault="000F5276" w:rsidP="000F5276">
                      <w:pPr>
                        <w:rPr>
                          <w:iCs/>
                        </w:rPr>
                      </w:pPr>
                      <w:r w:rsidRPr="00887587">
                        <w:rPr>
                          <w:iCs/>
                        </w:rPr>
                        <w:t>Buďte opatrný a vyhnite sa zámene medzi miligramami (mg) a</w:t>
                      </w:r>
                      <w:r>
                        <w:rPr>
                          <w:iCs/>
                        </w:rPr>
                        <w:t> </w:t>
                      </w:r>
                      <w:r w:rsidRPr="00887587">
                        <w:rPr>
                          <w:iCs/>
                        </w:rPr>
                        <w:t>mililitrami</w:t>
                      </w:r>
                      <w:r>
                        <w:rPr>
                          <w:iCs/>
                        </w:rPr>
                        <w:t xml:space="preserve"> </w:t>
                      </w:r>
                      <w:r w:rsidRPr="00887587">
                        <w:rPr>
                          <w:iCs/>
                        </w:rPr>
                        <w:t>(ml), ktoré môžu mať za</w:t>
                      </w:r>
                    </w:p>
                    <w:p w14:paraId="60FDF9C8" w14:textId="77777777" w:rsidR="001B072E" w:rsidRPr="000F5276" w:rsidRDefault="000F5276" w:rsidP="000F5276">
                      <w:r w:rsidRPr="00887587">
                        <w:rPr>
                          <w:iCs/>
                        </w:rPr>
                        <w:t>následok náhodné predávkovanie a</w:t>
                      </w:r>
                      <w:r>
                        <w:rPr>
                          <w:iCs/>
                        </w:rPr>
                        <w:t> </w:t>
                      </w:r>
                      <w:r w:rsidRPr="00887587">
                        <w:rPr>
                          <w:iCs/>
                        </w:rPr>
                        <w:t>smrť</w:t>
                      </w:r>
                      <w:r>
                        <w:rPr>
                          <w:iCs/>
                        </w:rPr>
                        <w:t xml:space="preserve"> (pozri časť 4.2)</w:t>
                      </w:r>
                      <w:r w:rsidRPr="00887587">
                        <w:rPr>
                          <w:iCs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D95E13" w14:textId="77777777" w:rsidR="000F5276" w:rsidRPr="00C30D5C" w:rsidRDefault="000F5276" w:rsidP="000F5276">
      <w:pPr>
        <w:ind w:left="0" w:firstLine="0"/>
        <w:rPr>
          <w:szCs w:val="22"/>
        </w:rPr>
      </w:pPr>
    </w:p>
    <w:p w14:paraId="70FAD1B2" w14:textId="77777777" w:rsidR="000F5276" w:rsidRPr="00C30D5C" w:rsidRDefault="000F5276" w:rsidP="000F5276">
      <w:pPr>
        <w:ind w:left="0" w:firstLine="0"/>
        <w:rPr>
          <w:szCs w:val="22"/>
        </w:rPr>
      </w:pPr>
      <w:r w:rsidRPr="00C30D5C">
        <w:rPr>
          <w:szCs w:val="22"/>
        </w:rPr>
        <w:t>Odporúča sa použiť vhodnú perorálnu analgetickú liečbu, len čo bude možná táto cesta podania.</w:t>
      </w:r>
    </w:p>
    <w:p w14:paraId="614B8EDA" w14:textId="77777777" w:rsidR="000F5276" w:rsidRPr="00C30D5C" w:rsidRDefault="000F5276" w:rsidP="000F5276">
      <w:pPr>
        <w:ind w:left="0" w:firstLine="0"/>
        <w:rPr>
          <w:szCs w:val="22"/>
        </w:rPr>
      </w:pPr>
    </w:p>
    <w:p w14:paraId="2AB41E55" w14:textId="77777777" w:rsidR="009F59C1" w:rsidRPr="00C30D5C" w:rsidRDefault="000F5276" w:rsidP="000F5276">
      <w:pPr>
        <w:pStyle w:val="Zkladntext"/>
        <w:rPr>
          <w:szCs w:val="22"/>
        </w:rPr>
      </w:pPr>
      <w:r w:rsidRPr="00C30D5C">
        <w:rPr>
          <w:szCs w:val="22"/>
        </w:rPr>
        <w:t>Aby sa zabránilo riziku predávkovania, je potrebné zistiť, či ďalšie podávané lieky neobsahujú paracetamol alebo propacetamol.</w:t>
      </w:r>
    </w:p>
    <w:p w14:paraId="5AFC7440" w14:textId="77777777" w:rsidR="000F5276" w:rsidRPr="00C30D5C" w:rsidRDefault="000F5276" w:rsidP="000F5276">
      <w:pPr>
        <w:pStyle w:val="Zkladntext"/>
        <w:spacing w:before="8"/>
        <w:rPr>
          <w:szCs w:val="22"/>
        </w:rPr>
      </w:pPr>
    </w:p>
    <w:p w14:paraId="22049F22" w14:textId="77777777" w:rsidR="000F5276" w:rsidRPr="00C30D5C" w:rsidRDefault="000F5276" w:rsidP="000F5276">
      <w:pPr>
        <w:ind w:left="0" w:firstLine="0"/>
        <w:rPr>
          <w:szCs w:val="22"/>
        </w:rPr>
      </w:pPr>
      <w:r w:rsidRPr="00C30D5C">
        <w:rPr>
          <w:szCs w:val="22"/>
        </w:rPr>
        <w:t>Dávky vyššie ako sú odporúčané dávky majú za následok riziko veľmi závažného poškodenia pečene. Klinické prejavy a symptómy poškodenia pečene (vrátane fulminantnej hepatitídy, zlyhania pečene, cholestatickej hepatitídy, cytolytickej hepatitídy) sa zvyčajne neprejavia skôr ako o dva dni a maximálne do 4</w:t>
      </w:r>
      <w:r w:rsidR="000471F7">
        <w:rPr>
          <w:szCs w:val="22"/>
        </w:rPr>
        <w:t>–</w:t>
      </w:r>
      <w:r w:rsidRPr="00C30D5C">
        <w:rPr>
          <w:szCs w:val="22"/>
        </w:rPr>
        <w:t>6 dní po podaní. Čo najskôr treba začať liečbu antidotom (pozri časť 4.9).</w:t>
      </w:r>
    </w:p>
    <w:p w14:paraId="265993B3" w14:textId="77777777" w:rsidR="009F59C1" w:rsidRPr="00C30D5C" w:rsidRDefault="009F59C1" w:rsidP="009F59C1">
      <w:pPr>
        <w:pStyle w:val="Zkladntext"/>
        <w:ind w:right="395" w:hanging="1"/>
        <w:jc w:val="both"/>
        <w:rPr>
          <w:szCs w:val="22"/>
        </w:rPr>
      </w:pPr>
    </w:p>
    <w:p w14:paraId="55840448" w14:textId="77777777" w:rsidR="00F63040" w:rsidRPr="00C30D5C" w:rsidRDefault="00F63040" w:rsidP="00F63040">
      <w:pPr>
        <w:pStyle w:val="Zkladntext"/>
        <w:ind w:right="395" w:hanging="1"/>
        <w:jc w:val="both"/>
      </w:pPr>
      <w:r w:rsidRPr="00C30D5C">
        <w:rPr>
          <w:b/>
          <w:i/>
        </w:rPr>
        <w:t>Tento liek obsahuje menej ako 1 mmol (23 mg) sodíka na 100 ml lieku, t.j. v podstate zanedbateľné množstvo sodíka</w:t>
      </w:r>
      <w:r w:rsidRPr="00C30D5C">
        <w:t>.</w:t>
      </w:r>
    </w:p>
    <w:p w14:paraId="44A51838" w14:textId="77777777" w:rsidR="009F59C1" w:rsidRPr="00C30D5C" w:rsidRDefault="009F59C1" w:rsidP="009F59C1">
      <w:pPr>
        <w:pStyle w:val="Zkladntext"/>
        <w:ind w:right="395" w:hanging="1"/>
        <w:jc w:val="both"/>
        <w:rPr>
          <w:bCs/>
          <w:iCs/>
          <w:szCs w:val="22"/>
          <w:highlight w:val="yellow"/>
        </w:rPr>
      </w:pPr>
    </w:p>
    <w:p w14:paraId="0C9F02ED" w14:textId="7E73B2FF" w:rsidR="009F59C1" w:rsidRPr="00C30D5C" w:rsidRDefault="00F63040" w:rsidP="009F59C1">
      <w:pPr>
        <w:pStyle w:val="Zkladntext"/>
        <w:ind w:right="395" w:hanging="1"/>
        <w:jc w:val="both"/>
        <w:rPr>
          <w:szCs w:val="22"/>
        </w:rPr>
      </w:pPr>
      <w:r w:rsidRPr="00C30D5C">
        <w:rPr>
          <w:szCs w:val="22"/>
        </w:rPr>
        <w:t xml:space="preserve">Informácia </w:t>
      </w:r>
      <w:r w:rsidRPr="002E4A86">
        <w:rPr>
          <w:szCs w:val="22"/>
        </w:rPr>
        <w:t xml:space="preserve">pre </w:t>
      </w:r>
      <w:r w:rsidR="00C76365" w:rsidRPr="002E4A86">
        <w:t>fľaše</w:t>
      </w:r>
      <w:r w:rsidR="000471F7">
        <w:rPr>
          <w:szCs w:val="22"/>
        </w:rPr>
        <w:t xml:space="preserve"> </w:t>
      </w:r>
      <w:r w:rsidR="00D13BEB">
        <w:rPr>
          <w:szCs w:val="22"/>
        </w:rPr>
        <w:t>s</w:t>
      </w:r>
      <w:r w:rsidR="000471F7">
        <w:rPr>
          <w:szCs w:val="22"/>
        </w:rPr>
        <w:t> objem</w:t>
      </w:r>
      <w:r w:rsidR="00D13BEB">
        <w:rPr>
          <w:szCs w:val="22"/>
        </w:rPr>
        <w:t>om</w:t>
      </w:r>
      <w:r w:rsidR="000471F7">
        <w:rPr>
          <w:szCs w:val="22"/>
        </w:rPr>
        <w:t xml:space="preserve"> </w:t>
      </w:r>
      <w:r w:rsidRPr="00C30D5C">
        <w:rPr>
          <w:szCs w:val="22"/>
        </w:rPr>
        <w:t>50 ml a 100 ml:</w:t>
      </w:r>
    </w:p>
    <w:p w14:paraId="4B3FE4C3" w14:textId="77777777" w:rsidR="00F63040" w:rsidRPr="00C30D5C" w:rsidRDefault="00F63040" w:rsidP="009F59C1">
      <w:pPr>
        <w:pStyle w:val="Zkladntext"/>
        <w:spacing w:before="3"/>
        <w:rPr>
          <w:szCs w:val="22"/>
        </w:rPr>
      </w:pPr>
    </w:p>
    <w:p w14:paraId="6D37DC30" w14:textId="77777777" w:rsidR="009F59C1" w:rsidRPr="00C30D5C" w:rsidRDefault="00F63040" w:rsidP="009F59C1">
      <w:pPr>
        <w:pStyle w:val="Zkladntext"/>
        <w:spacing w:before="3"/>
        <w:rPr>
          <w:szCs w:val="22"/>
        </w:rPr>
      </w:pPr>
      <w:r w:rsidRPr="00C30D5C">
        <w:rPr>
          <w:szCs w:val="22"/>
        </w:rPr>
        <w:t>Rovnako ako pri všetkých infúznych roztokoch</w:t>
      </w:r>
      <w:r w:rsidR="00D13BEB">
        <w:rPr>
          <w:szCs w:val="22"/>
        </w:rPr>
        <w:t>,</w:t>
      </w:r>
      <w:r w:rsidRPr="00C30D5C">
        <w:rPr>
          <w:szCs w:val="22"/>
        </w:rPr>
        <w:t xml:space="preserve"> je potrebné starostlivo sledovať pacienta, najmä na konci infúzie </w:t>
      </w:r>
      <w:r w:rsidR="009F59C1" w:rsidRPr="00C30D5C">
        <w:rPr>
          <w:szCs w:val="22"/>
        </w:rPr>
        <w:t>(</w:t>
      </w:r>
      <w:r w:rsidRPr="00C30D5C">
        <w:rPr>
          <w:szCs w:val="22"/>
        </w:rPr>
        <w:t>pozri časť</w:t>
      </w:r>
      <w:r w:rsidR="009F59C1" w:rsidRPr="00C30D5C">
        <w:rPr>
          <w:szCs w:val="22"/>
        </w:rPr>
        <w:t xml:space="preserve"> 4.2).</w:t>
      </w:r>
    </w:p>
    <w:p w14:paraId="130704FE" w14:textId="77777777" w:rsidR="009F59C1" w:rsidRPr="00C30D5C" w:rsidRDefault="009F59C1" w:rsidP="009F59C1">
      <w:pPr>
        <w:pStyle w:val="Zkladntext"/>
        <w:spacing w:before="3"/>
        <w:rPr>
          <w:szCs w:val="22"/>
        </w:rPr>
      </w:pPr>
    </w:p>
    <w:p w14:paraId="0F5738F4" w14:textId="77777777" w:rsidR="000F5276" w:rsidRPr="000471F7" w:rsidRDefault="000F5276" w:rsidP="000F5276">
      <w:pPr>
        <w:rPr>
          <w:szCs w:val="22"/>
        </w:rPr>
      </w:pPr>
      <w:r w:rsidRPr="000471F7">
        <w:rPr>
          <w:szCs w:val="22"/>
        </w:rPr>
        <w:t>Paracetamol sa má používať mimoriadne opatrne za nasledujúcich okolností:</w:t>
      </w:r>
    </w:p>
    <w:p w14:paraId="2030905B" w14:textId="77777777" w:rsidR="009F59C1" w:rsidRPr="00C30D5C" w:rsidRDefault="000F5276" w:rsidP="009F59C1">
      <w:pPr>
        <w:pStyle w:val="Odsekzoznamu"/>
        <w:numPr>
          <w:ilvl w:val="0"/>
          <w:numId w:val="13"/>
        </w:numPr>
        <w:tabs>
          <w:tab w:val="left" w:pos="426"/>
        </w:tabs>
        <w:spacing w:before="14"/>
        <w:ind w:left="0" w:firstLine="0"/>
        <w:rPr>
          <w:color w:val="000000" w:themeColor="text1"/>
          <w:lang w:val="sk-SK"/>
        </w:rPr>
      </w:pPr>
      <w:r w:rsidRPr="00C30D5C">
        <w:rPr>
          <w:color w:val="000000" w:themeColor="text1"/>
          <w:lang w:val="sk-SK"/>
        </w:rPr>
        <w:t>hepatocelulárna insuficiencia</w:t>
      </w:r>
      <w:r w:rsidR="009F59C1" w:rsidRPr="00C30D5C">
        <w:rPr>
          <w:color w:val="000000" w:themeColor="text1"/>
          <w:lang w:val="sk-SK"/>
        </w:rPr>
        <w:t>,</w:t>
      </w:r>
    </w:p>
    <w:p w14:paraId="021EB0E1" w14:textId="77777777" w:rsidR="009F59C1" w:rsidRPr="00C30D5C" w:rsidRDefault="000F5276" w:rsidP="009F59C1">
      <w:pPr>
        <w:pStyle w:val="Odsekzoznamu"/>
        <w:numPr>
          <w:ilvl w:val="0"/>
          <w:numId w:val="13"/>
        </w:numPr>
        <w:tabs>
          <w:tab w:val="left" w:pos="426"/>
        </w:tabs>
        <w:spacing w:before="18"/>
        <w:ind w:left="0" w:firstLine="0"/>
        <w:rPr>
          <w:color w:val="000000" w:themeColor="text1"/>
          <w:lang w:val="sk-SK"/>
        </w:rPr>
      </w:pPr>
      <w:r w:rsidRPr="00C30D5C">
        <w:rPr>
          <w:lang w:val="sk-SK"/>
        </w:rPr>
        <w:t xml:space="preserve">závažná renálna insuficiencia (klírens kreatinínu </w:t>
      </w:r>
      <w:r w:rsidRPr="00C30D5C">
        <w:rPr>
          <w:lang w:val="sk-SK"/>
        </w:rPr>
        <w:sym w:font="Symbol" w:char="F0A3"/>
      </w:r>
      <w:r w:rsidRPr="00C30D5C">
        <w:rPr>
          <w:lang w:val="sk-SK"/>
        </w:rPr>
        <w:t> 30 ml/min), pozri časti 4.2 a 5.2,</w:t>
      </w:r>
    </w:p>
    <w:p w14:paraId="6E745598" w14:textId="77777777" w:rsidR="009F59C1" w:rsidRPr="00C30D5C" w:rsidRDefault="009F59C1" w:rsidP="009F59C1">
      <w:pPr>
        <w:pStyle w:val="Odsekzoznamu"/>
        <w:numPr>
          <w:ilvl w:val="0"/>
          <w:numId w:val="13"/>
        </w:numPr>
        <w:tabs>
          <w:tab w:val="left" w:pos="426"/>
        </w:tabs>
        <w:spacing w:before="14"/>
        <w:ind w:left="0" w:firstLine="0"/>
        <w:rPr>
          <w:color w:val="000000" w:themeColor="text1"/>
          <w:lang w:val="sk-SK"/>
        </w:rPr>
      </w:pPr>
      <w:r w:rsidRPr="00C30D5C">
        <w:rPr>
          <w:color w:val="000000" w:themeColor="text1"/>
          <w:lang w:val="sk-SK"/>
        </w:rPr>
        <w:t>chronický</w:t>
      </w:r>
      <w:r w:rsidRPr="00C30D5C">
        <w:rPr>
          <w:color w:val="000000" w:themeColor="text1"/>
          <w:spacing w:val="2"/>
          <w:lang w:val="sk-SK"/>
        </w:rPr>
        <w:t xml:space="preserve"> </w:t>
      </w:r>
      <w:r w:rsidR="000F5276" w:rsidRPr="00C30D5C">
        <w:rPr>
          <w:color w:val="000000" w:themeColor="text1"/>
          <w:lang w:val="sk-SK"/>
        </w:rPr>
        <w:t>alkoholiz</w:t>
      </w:r>
      <w:r w:rsidRPr="00C30D5C">
        <w:rPr>
          <w:color w:val="000000" w:themeColor="text1"/>
          <w:lang w:val="sk-SK"/>
        </w:rPr>
        <w:t>mus,</w:t>
      </w:r>
    </w:p>
    <w:p w14:paraId="0004885C" w14:textId="77777777" w:rsidR="009F59C1" w:rsidRPr="00C30D5C" w:rsidRDefault="009F59C1" w:rsidP="009F59C1">
      <w:pPr>
        <w:pStyle w:val="Odsekzoznamu"/>
        <w:numPr>
          <w:ilvl w:val="0"/>
          <w:numId w:val="13"/>
        </w:numPr>
        <w:tabs>
          <w:tab w:val="left" w:pos="426"/>
        </w:tabs>
        <w:spacing w:before="14"/>
        <w:ind w:left="0" w:firstLine="0"/>
        <w:rPr>
          <w:color w:val="000000" w:themeColor="text1"/>
          <w:lang w:val="sk-SK"/>
        </w:rPr>
      </w:pPr>
      <w:r w:rsidRPr="00C30D5C">
        <w:rPr>
          <w:color w:val="000000" w:themeColor="text1"/>
          <w:lang w:val="sk-SK"/>
        </w:rPr>
        <w:t>chronická malnutr</w:t>
      </w:r>
      <w:r w:rsidR="000F5276" w:rsidRPr="00C30D5C">
        <w:rPr>
          <w:color w:val="000000" w:themeColor="text1"/>
          <w:lang w:val="sk-SK"/>
        </w:rPr>
        <w:t>ícia</w:t>
      </w:r>
      <w:r w:rsidRPr="00C30D5C">
        <w:rPr>
          <w:color w:val="000000" w:themeColor="text1"/>
          <w:lang w:val="sk-SK"/>
        </w:rPr>
        <w:t xml:space="preserve"> (</w:t>
      </w:r>
      <w:r w:rsidR="000F5276" w:rsidRPr="00C30D5C">
        <w:rPr>
          <w:lang w:val="sk-SK"/>
        </w:rPr>
        <w:t>nízke zásoby glutatiónu v pečeni</w:t>
      </w:r>
      <w:r w:rsidRPr="00C30D5C">
        <w:rPr>
          <w:color w:val="000000" w:themeColor="text1"/>
          <w:lang w:val="sk-SK"/>
        </w:rPr>
        <w:t>),</w:t>
      </w:r>
    </w:p>
    <w:p w14:paraId="48EFD743" w14:textId="77777777" w:rsidR="009F59C1" w:rsidRPr="00C30D5C" w:rsidRDefault="000F5276" w:rsidP="009F59C1">
      <w:pPr>
        <w:pStyle w:val="Odsekzoznamu"/>
        <w:numPr>
          <w:ilvl w:val="0"/>
          <w:numId w:val="13"/>
        </w:numPr>
        <w:tabs>
          <w:tab w:val="left" w:pos="426"/>
        </w:tabs>
        <w:spacing w:before="14"/>
        <w:ind w:left="0" w:firstLine="0"/>
        <w:rPr>
          <w:color w:val="000000" w:themeColor="text1"/>
          <w:lang w:val="sk-SK"/>
        </w:rPr>
      </w:pPr>
      <w:r w:rsidRPr="00C30D5C">
        <w:rPr>
          <w:color w:val="000000" w:themeColor="text1"/>
          <w:lang w:val="sk-SK"/>
        </w:rPr>
        <w:t>dehydratácia</w:t>
      </w:r>
      <w:r w:rsidR="009F59C1" w:rsidRPr="00C30D5C">
        <w:rPr>
          <w:color w:val="000000" w:themeColor="text1"/>
          <w:lang w:val="sk-SK"/>
        </w:rPr>
        <w:t>.</w:t>
      </w:r>
    </w:p>
    <w:p w14:paraId="3421F4C4" w14:textId="77777777" w:rsidR="00780926" w:rsidRPr="00C30D5C" w:rsidRDefault="00780926" w:rsidP="00E41B3F">
      <w:pPr>
        <w:rPr>
          <w:szCs w:val="22"/>
        </w:rPr>
      </w:pPr>
    </w:p>
    <w:p w14:paraId="15B7D939" w14:textId="77777777" w:rsidR="00780926" w:rsidRPr="00C30D5C" w:rsidRDefault="004A4C92" w:rsidP="00B43109">
      <w:pPr>
        <w:pStyle w:val="Odsekzoznamu"/>
        <w:numPr>
          <w:ilvl w:val="1"/>
          <w:numId w:val="19"/>
        </w:numPr>
        <w:rPr>
          <w:b/>
          <w:lang w:val="sk-SK"/>
        </w:rPr>
      </w:pPr>
      <w:r>
        <w:rPr>
          <w:b/>
          <w:lang w:val="sk-SK"/>
        </w:rPr>
        <w:t xml:space="preserve">      </w:t>
      </w:r>
      <w:r w:rsidR="009F59C1" w:rsidRPr="00C30D5C">
        <w:rPr>
          <w:b/>
          <w:lang w:val="sk-SK"/>
        </w:rPr>
        <w:t>Liekové a</w:t>
      </w:r>
      <w:r w:rsidR="00A236CF" w:rsidRPr="00C30D5C">
        <w:rPr>
          <w:b/>
          <w:lang w:val="sk-SK"/>
        </w:rPr>
        <w:t> </w:t>
      </w:r>
      <w:r w:rsidR="009F59C1" w:rsidRPr="00C30D5C">
        <w:rPr>
          <w:b/>
          <w:lang w:val="sk-SK"/>
        </w:rPr>
        <w:t>iné interakcie</w:t>
      </w:r>
    </w:p>
    <w:p w14:paraId="49152743" w14:textId="77777777" w:rsidR="00780926" w:rsidRPr="00C30D5C" w:rsidRDefault="00780926" w:rsidP="00E41B3F">
      <w:pPr>
        <w:rPr>
          <w:szCs w:val="22"/>
        </w:rPr>
      </w:pPr>
    </w:p>
    <w:p w14:paraId="4B902116" w14:textId="77777777" w:rsidR="00B43109" w:rsidRPr="00C30D5C" w:rsidRDefault="00B43109" w:rsidP="00B43109">
      <w:pPr>
        <w:pStyle w:val="Odsekzoznamu"/>
        <w:numPr>
          <w:ilvl w:val="0"/>
          <w:numId w:val="13"/>
        </w:numPr>
        <w:tabs>
          <w:tab w:val="left" w:pos="426"/>
        </w:tabs>
        <w:spacing w:before="14"/>
        <w:ind w:left="426" w:hanging="426"/>
        <w:rPr>
          <w:color w:val="000000" w:themeColor="text1"/>
          <w:lang w:val="sk-SK"/>
        </w:rPr>
      </w:pPr>
      <w:r w:rsidRPr="00C30D5C">
        <w:rPr>
          <w:color w:val="000000"/>
          <w:lang w:val="sk-SK"/>
        </w:rPr>
        <w:t>Probenecid vyvoláva takmer dvojnásobné zníženie klírensu paracetamolu inhibíciou jeho konjugácie s kyselinou glukurónovou. Pri súbežnom používaní s probenecidom sa má zvážiť zníženie dávky paracetamolu.</w:t>
      </w:r>
    </w:p>
    <w:p w14:paraId="73522A79" w14:textId="77777777" w:rsidR="00B43109" w:rsidRPr="00C30D5C" w:rsidRDefault="00B43109" w:rsidP="00B43109">
      <w:pPr>
        <w:pStyle w:val="Odsekzoznamu"/>
        <w:numPr>
          <w:ilvl w:val="0"/>
          <w:numId w:val="13"/>
        </w:numPr>
        <w:tabs>
          <w:tab w:val="left" w:pos="426"/>
        </w:tabs>
        <w:spacing w:before="14"/>
        <w:ind w:left="0" w:firstLine="0"/>
        <w:rPr>
          <w:color w:val="000000"/>
          <w:lang w:val="sk-SK"/>
        </w:rPr>
      </w:pPr>
      <w:r w:rsidRPr="00C30D5C">
        <w:rPr>
          <w:color w:val="000000"/>
          <w:lang w:val="sk-SK"/>
        </w:rPr>
        <w:t>Salicylamid môže predĺžiť eliminačný polčas paracetamolu.</w:t>
      </w:r>
    </w:p>
    <w:p w14:paraId="323449DC" w14:textId="77777777" w:rsidR="00F63040" w:rsidRPr="00C30D5C" w:rsidRDefault="00F63040" w:rsidP="00F63040">
      <w:pPr>
        <w:pStyle w:val="Odsekzoznamu"/>
        <w:tabs>
          <w:tab w:val="left" w:pos="426"/>
        </w:tabs>
        <w:spacing w:before="14"/>
        <w:ind w:left="0" w:firstLine="0"/>
        <w:rPr>
          <w:color w:val="000000"/>
          <w:lang w:val="sk-SK"/>
        </w:rPr>
      </w:pPr>
    </w:p>
    <w:p w14:paraId="1B0257F6" w14:textId="77777777" w:rsidR="009F59C1" w:rsidRPr="00C30D5C" w:rsidRDefault="00B43109" w:rsidP="00B43109">
      <w:pPr>
        <w:pStyle w:val="Odsekzoznamu"/>
        <w:numPr>
          <w:ilvl w:val="0"/>
          <w:numId w:val="13"/>
        </w:numPr>
        <w:tabs>
          <w:tab w:val="left" w:pos="426"/>
        </w:tabs>
        <w:spacing w:before="14"/>
        <w:ind w:left="0" w:firstLine="0"/>
        <w:rPr>
          <w:color w:val="000000" w:themeColor="text1"/>
          <w:lang w:val="sk-SK"/>
        </w:rPr>
      </w:pPr>
      <w:r w:rsidRPr="00C30D5C">
        <w:rPr>
          <w:color w:val="000000" w:themeColor="text1"/>
          <w:lang w:val="sk-SK"/>
        </w:rPr>
        <w:t>Je potrebné ve</w:t>
      </w:r>
      <w:r w:rsidR="00F63040" w:rsidRPr="00C30D5C">
        <w:rPr>
          <w:color w:val="000000" w:themeColor="text1"/>
          <w:lang w:val="sk-SK"/>
        </w:rPr>
        <w:t>novať</w:t>
      </w:r>
      <w:r w:rsidRPr="00C30D5C">
        <w:rPr>
          <w:color w:val="000000" w:themeColor="text1"/>
          <w:lang w:val="sk-SK"/>
        </w:rPr>
        <w:t xml:space="preserve"> pozornosť súbežnému užívaniu látok indukujúcich </w:t>
      </w:r>
      <w:r w:rsidR="00F63040" w:rsidRPr="00C30D5C">
        <w:rPr>
          <w:color w:val="000000" w:themeColor="text1"/>
          <w:lang w:val="sk-SK"/>
        </w:rPr>
        <w:t>enzý</w:t>
      </w:r>
      <w:r w:rsidRPr="00C30D5C">
        <w:rPr>
          <w:color w:val="000000" w:themeColor="text1"/>
          <w:lang w:val="sk-SK"/>
        </w:rPr>
        <w:t>my (pozri časť 4.9)</w:t>
      </w:r>
    </w:p>
    <w:p w14:paraId="43F54671" w14:textId="77777777" w:rsidR="00B43109" w:rsidRPr="00C30D5C" w:rsidRDefault="00B43109" w:rsidP="00B43109">
      <w:pPr>
        <w:pStyle w:val="Odsekzoznamu"/>
        <w:numPr>
          <w:ilvl w:val="0"/>
          <w:numId w:val="13"/>
        </w:numPr>
        <w:tabs>
          <w:tab w:val="left" w:pos="426"/>
        </w:tabs>
        <w:spacing w:before="14"/>
        <w:ind w:left="426" w:hanging="426"/>
        <w:rPr>
          <w:lang w:val="sk-SK"/>
        </w:rPr>
      </w:pPr>
      <w:r w:rsidRPr="00C30D5C">
        <w:rPr>
          <w:color w:val="000000"/>
          <w:lang w:val="sk-SK"/>
        </w:rPr>
        <w:t xml:space="preserve">Súbežné používanie </w:t>
      </w:r>
      <w:r w:rsidRPr="00C30D5C">
        <w:rPr>
          <w:lang w:val="sk-SK"/>
        </w:rPr>
        <w:t>paracetamolu (4 g denne po dobu minimálne 4 dní) s perorálnymi antikoagulanciami môže vyvolať malé zmeny hodnôt INR. V tomto prípade sa majú častejšie monitorovať hodnoty INR počas súbežného podávania rovnako ako aj 1 týždeň po ukončení liečby paracetamolom.</w:t>
      </w:r>
    </w:p>
    <w:p w14:paraId="339C413B" w14:textId="77777777" w:rsidR="00F07529" w:rsidRPr="00C30D5C" w:rsidRDefault="00F07529" w:rsidP="00B43109">
      <w:pPr>
        <w:ind w:left="0" w:firstLine="0"/>
        <w:rPr>
          <w:noProof/>
          <w:szCs w:val="22"/>
        </w:rPr>
      </w:pPr>
    </w:p>
    <w:p w14:paraId="0C7F48A8" w14:textId="77777777" w:rsidR="00E1698A" w:rsidRPr="00C30D5C" w:rsidRDefault="00B06E24" w:rsidP="00E41B3F">
      <w:pPr>
        <w:rPr>
          <w:bCs/>
          <w:iCs/>
          <w:szCs w:val="22"/>
          <w:u w:val="single"/>
        </w:rPr>
      </w:pPr>
      <w:r w:rsidRPr="00C30D5C">
        <w:rPr>
          <w:bCs/>
          <w:iCs/>
          <w:szCs w:val="22"/>
          <w:u w:val="single"/>
        </w:rPr>
        <w:t>Pediatrická populácia</w:t>
      </w:r>
    </w:p>
    <w:p w14:paraId="0A130ECE" w14:textId="77777777" w:rsidR="00780926" w:rsidRPr="00C30D5C" w:rsidRDefault="009F59C1" w:rsidP="009F59C1">
      <w:pPr>
        <w:ind w:left="0" w:firstLine="0"/>
        <w:rPr>
          <w:szCs w:val="22"/>
        </w:rPr>
      </w:pPr>
      <w:r w:rsidRPr="00C30D5C">
        <w:rPr>
          <w:noProof/>
          <w:szCs w:val="22"/>
        </w:rPr>
        <w:t>Interakčné štúdie sa uskutočnili len u</w:t>
      </w:r>
      <w:r w:rsidR="00BD7004" w:rsidRPr="00C30D5C">
        <w:rPr>
          <w:noProof/>
          <w:szCs w:val="22"/>
        </w:rPr>
        <w:t> </w:t>
      </w:r>
      <w:r w:rsidRPr="00C30D5C">
        <w:rPr>
          <w:noProof/>
          <w:szCs w:val="22"/>
        </w:rPr>
        <w:t>dospelých.</w:t>
      </w:r>
    </w:p>
    <w:p w14:paraId="182BAA0A" w14:textId="77777777" w:rsidR="00780926" w:rsidRPr="00C30D5C" w:rsidRDefault="00780926" w:rsidP="00E41B3F">
      <w:pPr>
        <w:rPr>
          <w:szCs w:val="22"/>
        </w:rPr>
      </w:pPr>
    </w:p>
    <w:p w14:paraId="5E26F3C2" w14:textId="77777777" w:rsidR="00780926" w:rsidRPr="00C30D5C" w:rsidRDefault="009F59C1" w:rsidP="00E41B3F">
      <w:pPr>
        <w:rPr>
          <w:szCs w:val="22"/>
        </w:rPr>
      </w:pPr>
      <w:r w:rsidRPr="00C30D5C">
        <w:rPr>
          <w:b/>
          <w:szCs w:val="22"/>
        </w:rPr>
        <w:t>4.6</w:t>
      </w:r>
      <w:r w:rsidRPr="00C30D5C">
        <w:rPr>
          <w:b/>
          <w:szCs w:val="22"/>
        </w:rPr>
        <w:tab/>
      </w:r>
      <w:r w:rsidR="00E1698A" w:rsidRPr="00C30D5C">
        <w:rPr>
          <w:b/>
          <w:noProof/>
          <w:szCs w:val="22"/>
        </w:rPr>
        <w:t>Fertilita, g</w:t>
      </w:r>
      <w:r w:rsidRPr="00C30D5C">
        <w:rPr>
          <w:b/>
          <w:szCs w:val="22"/>
        </w:rPr>
        <w:t>ravidita a</w:t>
      </w:r>
      <w:r w:rsidR="00BD7004" w:rsidRPr="00C30D5C">
        <w:rPr>
          <w:b/>
          <w:szCs w:val="22"/>
        </w:rPr>
        <w:t> </w:t>
      </w:r>
      <w:r w:rsidRPr="00C30D5C">
        <w:rPr>
          <w:b/>
          <w:szCs w:val="22"/>
        </w:rPr>
        <w:t>laktácia</w:t>
      </w:r>
    </w:p>
    <w:p w14:paraId="1762472D" w14:textId="77777777" w:rsidR="00E1698A" w:rsidRPr="00C30D5C" w:rsidRDefault="00E1698A" w:rsidP="00E41B3F">
      <w:pPr>
        <w:rPr>
          <w:szCs w:val="22"/>
        </w:rPr>
      </w:pPr>
    </w:p>
    <w:p w14:paraId="305139D4" w14:textId="77777777" w:rsidR="00E1698A" w:rsidRPr="00C30D5C" w:rsidRDefault="009F59C1" w:rsidP="00E41B3F">
      <w:pPr>
        <w:rPr>
          <w:b/>
          <w:noProof/>
          <w:szCs w:val="22"/>
        </w:rPr>
      </w:pPr>
      <w:r w:rsidRPr="00C30D5C">
        <w:rPr>
          <w:b/>
          <w:noProof/>
          <w:szCs w:val="22"/>
        </w:rPr>
        <w:t>Gravidita</w:t>
      </w:r>
      <w:r w:rsidR="00F63040" w:rsidRPr="00C30D5C">
        <w:rPr>
          <w:b/>
          <w:noProof/>
          <w:szCs w:val="22"/>
        </w:rPr>
        <w:t>:</w:t>
      </w:r>
    </w:p>
    <w:p w14:paraId="37244180" w14:textId="37A6E064" w:rsidR="009F59C1" w:rsidRPr="00C30D5C" w:rsidRDefault="00F63040" w:rsidP="009F59C1">
      <w:pPr>
        <w:pStyle w:val="Zkladntext"/>
        <w:ind w:right="399"/>
        <w:jc w:val="both"/>
        <w:rPr>
          <w:szCs w:val="22"/>
        </w:rPr>
      </w:pPr>
      <w:r w:rsidRPr="00C30D5C">
        <w:rPr>
          <w:szCs w:val="22"/>
        </w:rPr>
        <w:t>Klinická skúsenosť s intravenóznym podaním paracetamolu je obmedzená. Epidemiologické údaje pri použití perorálnych terapeutických dáv</w:t>
      </w:r>
      <w:r w:rsidR="00D13BEB">
        <w:rPr>
          <w:szCs w:val="22"/>
        </w:rPr>
        <w:t>ok</w:t>
      </w:r>
      <w:r w:rsidRPr="00C30D5C">
        <w:rPr>
          <w:szCs w:val="22"/>
        </w:rPr>
        <w:t xml:space="preserve"> paracetamolu však nepreukazujú žiadne nežiaduce účinky na tehotenstvo ani na zdravie plodu/novorodenca.</w:t>
      </w:r>
    </w:p>
    <w:p w14:paraId="04F189EB" w14:textId="77777777" w:rsidR="009F59C1" w:rsidRPr="00C30D5C" w:rsidRDefault="009F59C1" w:rsidP="009F59C1">
      <w:pPr>
        <w:pStyle w:val="Zkladntext"/>
        <w:ind w:right="399"/>
        <w:jc w:val="both"/>
        <w:rPr>
          <w:szCs w:val="22"/>
        </w:rPr>
      </w:pPr>
    </w:p>
    <w:p w14:paraId="4144BB9C" w14:textId="77777777" w:rsidR="009F59C1" w:rsidRPr="00C30D5C" w:rsidRDefault="00E05C35" w:rsidP="009F59C1">
      <w:pPr>
        <w:pStyle w:val="Zkladntext"/>
        <w:ind w:right="399"/>
        <w:jc w:val="both"/>
        <w:rPr>
          <w:szCs w:val="22"/>
        </w:rPr>
      </w:pPr>
      <w:r w:rsidRPr="00C30D5C">
        <w:rPr>
          <w:szCs w:val="22"/>
        </w:rPr>
        <w:t>Perspektívne údaje o tehotenstvách vystavených predávkovaniu nepreukázali zvýšené riziko malformácie.</w:t>
      </w:r>
    </w:p>
    <w:p w14:paraId="04DE3534" w14:textId="77777777" w:rsidR="009F59C1" w:rsidRPr="00C30D5C" w:rsidRDefault="009F59C1" w:rsidP="009F59C1">
      <w:pPr>
        <w:pStyle w:val="Zkladntext"/>
        <w:ind w:right="399"/>
        <w:jc w:val="both"/>
        <w:rPr>
          <w:szCs w:val="22"/>
        </w:rPr>
      </w:pPr>
      <w:r w:rsidRPr="00C30D5C">
        <w:rPr>
          <w:szCs w:val="22"/>
        </w:rPr>
        <w:t> </w:t>
      </w:r>
    </w:p>
    <w:p w14:paraId="5BABC416" w14:textId="77777777" w:rsidR="009F59C1" w:rsidRPr="00C30D5C" w:rsidRDefault="00E05C35" w:rsidP="009F59C1">
      <w:pPr>
        <w:pStyle w:val="Zkladntext"/>
        <w:ind w:right="399"/>
        <w:jc w:val="both"/>
        <w:rPr>
          <w:szCs w:val="22"/>
        </w:rPr>
      </w:pPr>
      <w:r w:rsidRPr="00C30D5C">
        <w:rPr>
          <w:szCs w:val="22"/>
        </w:rPr>
        <w:t>Reprodukčné štúdie s intravenóznou formou paracetamolu neboli vykonané u zvierat. Štúdie s perorálnou formou však nepreukázali žiadnu malformáciu fetotoxických účinkov.</w:t>
      </w:r>
    </w:p>
    <w:p w14:paraId="678E62AC" w14:textId="77777777" w:rsidR="009F59C1" w:rsidRPr="00C30D5C" w:rsidRDefault="009F59C1" w:rsidP="009F59C1">
      <w:pPr>
        <w:pStyle w:val="Zkladntext"/>
        <w:ind w:right="399"/>
        <w:jc w:val="both"/>
        <w:rPr>
          <w:szCs w:val="22"/>
        </w:rPr>
      </w:pPr>
    </w:p>
    <w:p w14:paraId="5C6C42CA" w14:textId="199F3536" w:rsidR="009F59C1" w:rsidRPr="00C30D5C" w:rsidRDefault="009F59C1" w:rsidP="009F59C1">
      <w:pPr>
        <w:pStyle w:val="Zkladntext"/>
        <w:ind w:right="399"/>
        <w:jc w:val="both"/>
        <w:rPr>
          <w:szCs w:val="22"/>
        </w:rPr>
      </w:pPr>
      <w:r w:rsidRPr="00C30D5C">
        <w:rPr>
          <w:szCs w:val="22"/>
        </w:rPr>
        <w:t>Paracetamol Noridem</w:t>
      </w:r>
      <w:r w:rsidR="00E05C35" w:rsidRPr="00C30D5C">
        <w:rPr>
          <w:szCs w:val="22"/>
        </w:rPr>
        <w:t xml:space="preserve">  sa však m</w:t>
      </w:r>
      <w:r w:rsidR="00904797">
        <w:rPr>
          <w:szCs w:val="22"/>
        </w:rPr>
        <w:t>á</w:t>
      </w:r>
      <w:r w:rsidR="00E05C35" w:rsidRPr="00C30D5C">
        <w:rPr>
          <w:szCs w:val="22"/>
        </w:rPr>
        <w:t xml:space="preserve"> používať počas tehotenstva iba po starostlivom posúdení prínosov a rizík. V takomto prípade je nutné prísne dodržiavať odporúčané dávkovanie a trvanie liečby.</w:t>
      </w:r>
    </w:p>
    <w:p w14:paraId="404B2536" w14:textId="77777777" w:rsidR="009F59C1" w:rsidRPr="00C30D5C" w:rsidRDefault="009F59C1" w:rsidP="00E41B3F">
      <w:pPr>
        <w:rPr>
          <w:noProof/>
          <w:szCs w:val="22"/>
        </w:rPr>
      </w:pPr>
    </w:p>
    <w:p w14:paraId="1DDF5CB0" w14:textId="77777777" w:rsidR="00E1698A" w:rsidRPr="00C30D5C" w:rsidRDefault="00BB6D67" w:rsidP="00E41B3F">
      <w:pPr>
        <w:rPr>
          <w:b/>
          <w:noProof/>
          <w:szCs w:val="22"/>
        </w:rPr>
      </w:pPr>
      <w:r w:rsidRPr="00C30D5C">
        <w:rPr>
          <w:b/>
          <w:noProof/>
          <w:szCs w:val="22"/>
        </w:rPr>
        <w:t>Dojčenie</w:t>
      </w:r>
      <w:r w:rsidR="00E05C35" w:rsidRPr="00C30D5C">
        <w:rPr>
          <w:b/>
          <w:noProof/>
          <w:szCs w:val="22"/>
        </w:rPr>
        <w:t>:</w:t>
      </w:r>
    </w:p>
    <w:p w14:paraId="1CF39E23" w14:textId="77777777" w:rsidR="00E05C35" w:rsidRPr="00C30D5C" w:rsidRDefault="000813AF" w:rsidP="000813AF">
      <w:pPr>
        <w:pStyle w:val="Zkladntext"/>
        <w:rPr>
          <w:szCs w:val="22"/>
        </w:rPr>
      </w:pPr>
      <w:r w:rsidRPr="00C30D5C">
        <w:rPr>
          <w:szCs w:val="22"/>
        </w:rPr>
        <w:t>Po perorálnom podaní sa paracetamol vylučuje v malých množstvách do materského mlieka. U dojčených detí sa nezaznamenali žiadne nežiaduce účinky</w:t>
      </w:r>
      <w:r w:rsidR="00E05C35" w:rsidRPr="00C30D5C">
        <w:rPr>
          <w:szCs w:val="22"/>
        </w:rPr>
        <w:t>.</w:t>
      </w:r>
    </w:p>
    <w:p w14:paraId="49066228" w14:textId="77777777" w:rsidR="00E05C35" w:rsidRPr="00C30D5C" w:rsidRDefault="00E05C35" w:rsidP="000813AF">
      <w:pPr>
        <w:pStyle w:val="Zkladntext"/>
        <w:rPr>
          <w:szCs w:val="22"/>
        </w:rPr>
      </w:pPr>
    </w:p>
    <w:p w14:paraId="14F07046" w14:textId="77777777" w:rsidR="000813AF" w:rsidRPr="00C30D5C" w:rsidRDefault="00E05C35" w:rsidP="000813AF">
      <w:pPr>
        <w:pStyle w:val="Zkladntext"/>
        <w:rPr>
          <w:szCs w:val="22"/>
        </w:rPr>
      </w:pPr>
      <w:r w:rsidRPr="00C30D5C">
        <w:rPr>
          <w:szCs w:val="22"/>
        </w:rPr>
        <w:t>P</w:t>
      </w:r>
      <w:r w:rsidR="000813AF" w:rsidRPr="00C30D5C">
        <w:rPr>
          <w:szCs w:val="22"/>
        </w:rPr>
        <w:t>reto sa Paracetamol Noridem môže používať u</w:t>
      </w:r>
      <w:r w:rsidR="000813AF" w:rsidRPr="00C30D5C">
        <w:rPr>
          <w:caps/>
          <w:szCs w:val="22"/>
        </w:rPr>
        <w:t xml:space="preserve"> </w:t>
      </w:r>
      <w:r w:rsidR="000813AF" w:rsidRPr="00C30D5C">
        <w:rPr>
          <w:szCs w:val="22"/>
        </w:rPr>
        <w:t>dojčiacich žien</w:t>
      </w:r>
      <w:r w:rsidR="000813AF" w:rsidRPr="00C30D5C">
        <w:rPr>
          <w:caps/>
          <w:szCs w:val="22"/>
        </w:rPr>
        <w:t>.</w:t>
      </w:r>
    </w:p>
    <w:p w14:paraId="670FFBCD" w14:textId="77777777" w:rsidR="00780926" w:rsidRPr="00C30D5C" w:rsidRDefault="00780926" w:rsidP="000813AF">
      <w:pPr>
        <w:ind w:left="0" w:firstLine="0"/>
        <w:rPr>
          <w:szCs w:val="22"/>
        </w:rPr>
      </w:pPr>
    </w:p>
    <w:p w14:paraId="6B3BE786" w14:textId="77777777" w:rsidR="00780926" w:rsidRPr="00C30D5C" w:rsidRDefault="009F59C1" w:rsidP="00E41B3F">
      <w:pPr>
        <w:rPr>
          <w:szCs w:val="22"/>
        </w:rPr>
      </w:pPr>
      <w:r w:rsidRPr="00C30D5C">
        <w:rPr>
          <w:b/>
          <w:szCs w:val="22"/>
        </w:rPr>
        <w:t>4.7</w:t>
      </w:r>
      <w:r w:rsidRPr="00C30D5C">
        <w:rPr>
          <w:b/>
          <w:szCs w:val="22"/>
        </w:rPr>
        <w:tab/>
        <w:t>Ovplyvnenie schopnosti viesť vozidlá a</w:t>
      </w:r>
      <w:r w:rsidR="00F9666C" w:rsidRPr="00C30D5C">
        <w:rPr>
          <w:b/>
          <w:szCs w:val="22"/>
        </w:rPr>
        <w:t> </w:t>
      </w:r>
      <w:r w:rsidRPr="00C30D5C">
        <w:rPr>
          <w:b/>
          <w:szCs w:val="22"/>
        </w:rPr>
        <w:t>obsluhovať stroje</w:t>
      </w:r>
    </w:p>
    <w:p w14:paraId="742DE9C6" w14:textId="77777777" w:rsidR="00780926" w:rsidRPr="00C30D5C" w:rsidRDefault="00780926" w:rsidP="00E41B3F">
      <w:pPr>
        <w:rPr>
          <w:szCs w:val="22"/>
        </w:rPr>
      </w:pPr>
    </w:p>
    <w:p w14:paraId="206E58ED" w14:textId="77777777" w:rsidR="00780926" w:rsidRPr="00C30D5C" w:rsidRDefault="009F59C1" w:rsidP="00E41B3F">
      <w:pPr>
        <w:ind w:left="0" w:firstLine="0"/>
        <w:rPr>
          <w:szCs w:val="22"/>
        </w:rPr>
      </w:pPr>
      <w:r w:rsidRPr="00C30D5C">
        <w:rPr>
          <w:szCs w:val="22"/>
        </w:rPr>
        <w:t xml:space="preserve">Paracetamol Noridem </w:t>
      </w:r>
      <w:r w:rsidR="00904797">
        <w:rPr>
          <w:szCs w:val="22"/>
        </w:rPr>
        <w:t xml:space="preserve">nemá </w:t>
      </w:r>
      <w:r w:rsidR="000813AF" w:rsidRPr="00C30D5C">
        <w:rPr>
          <w:szCs w:val="22"/>
        </w:rPr>
        <w:t>žiadny vplyv na schopnosť viesť vozidlá a obsluhovať stroje.</w:t>
      </w:r>
    </w:p>
    <w:p w14:paraId="445649A6" w14:textId="77777777" w:rsidR="00780926" w:rsidRPr="00C30D5C" w:rsidRDefault="00780926" w:rsidP="00A75ECC">
      <w:pPr>
        <w:rPr>
          <w:szCs w:val="22"/>
        </w:rPr>
      </w:pPr>
    </w:p>
    <w:p w14:paraId="3D543F12" w14:textId="77777777" w:rsidR="00780926" w:rsidRPr="00C30D5C" w:rsidRDefault="009F59C1" w:rsidP="00D513D2">
      <w:pPr>
        <w:rPr>
          <w:b/>
          <w:szCs w:val="22"/>
        </w:rPr>
      </w:pPr>
      <w:r w:rsidRPr="00C30D5C">
        <w:rPr>
          <w:b/>
          <w:szCs w:val="22"/>
        </w:rPr>
        <w:t>4.8</w:t>
      </w:r>
      <w:r w:rsidRPr="00C30D5C">
        <w:rPr>
          <w:b/>
          <w:szCs w:val="22"/>
        </w:rPr>
        <w:tab/>
        <w:t>Nežiaduce účinky</w:t>
      </w:r>
    </w:p>
    <w:p w14:paraId="6404603E" w14:textId="77777777" w:rsidR="00780926" w:rsidRPr="00C30D5C" w:rsidRDefault="00780926" w:rsidP="00D513D2">
      <w:pPr>
        <w:rPr>
          <w:szCs w:val="22"/>
        </w:rPr>
      </w:pPr>
    </w:p>
    <w:p w14:paraId="16ED0809" w14:textId="0BC9207A" w:rsidR="009F59C1" w:rsidRPr="00C30D5C" w:rsidRDefault="000813AF" w:rsidP="009F59C1">
      <w:pPr>
        <w:pStyle w:val="Zkladntext"/>
        <w:jc w:val="both"/>
        <w:rPr>
          <w:szCs w:val="22"/>
        </w:rPr>
      </w:pPr>
      <w:r w:rsidRPr="00C30D5C">
        <w:rPr>
          <w:szCs w:val="22"/>
        </w:rPr>
        <w:t xml:space="preserve">Podobne ako u iných liekov obsahujúcich paracetamol sú nežiaduce </w:t>
      </w:r>
      <w:r w:rsidR="007E1E17">
        <w:rPr>
          <w:szCs w:val="22"/>
        </w:rPr>
        <w:t>reakcie</w:t>
      </w:r>
      <w:r w:rsidRPr="00C30D5C">
        <w:rPr>
          <w:szCs w:val="22"/>
        </w:rPr>
        <w:t xml:space="preserve"> zriedkavé (&gt;1/10 000, &lt;</w:t>
      </w:r>
      <w:r w:rsidR="00E05C35" w:rsidRPr="00C30D5C">
        <w:rPr>
          <w:szCs w:val="22"/>
        </w:rPr>
        <w:t> </w:t>
      </w:r>
      <w:r w:rsidRPr="00C30D5C">
        <w:rPr>
          <w:szCs w:val="22"/>
        </w:rPr>
        <w:t>1/1</w:t>
      </w:r>
      <w:r w:rsidR="00E05C35" w:rsidRPr="00C30D5C">
        <w:rPr>
          <w:szCs w:val="22"/>
        </w:rPr>
        <w:t> </w:t>
      </w:r>
      <w:r w:rsidRPr="00C30D5C">
        <w:rPr>
          <w:szCs w:val="22"/>
        </w:rPr>
        <w:t>000) alebo veľmi zriedkavé (&lt;</w:t>
      </w:r>
      <w:r w:rsidR="00E05C35" w:rsidRPr="00C30D5C">
        <w:rPr>
          <w:szCs w:val="22"/>
        </w:rPr>
        <w:t> </w:t>
      </w:r>
      <w:r w:rsidRPr="00C30D5C">
        <w:rPr>
          <w:szCs w:val="22"/>
        </w:rPr>
        <w:t>1/10</w:t>
      </w:r>
      <w:r w:rsidR="00E05C35" w:rsidRPr="00C30D5C">
        <w:rPr>
          <w:szCs w:val="22"/>
        </w:rPr>
        <w:t> </w:t>
      </w:r>
      <w:r w:rsidRPr="00C30D5C">
        <w:rPr>
          <w:szCs w:val="22"/>
        </w:rPr>
        <w:t>000) a sú popísané nižšie</w:t>
      </w:r>
      <w:r w:rsidR="009F59C1" w:rsidRPr="00C30D5C">
        <w:rPr>
          <w:szCs w:val="22"/>
        </w:rPr>
        <w:t>:</w:t>
      </w:r>
    </w:p>
    <w:p w14:paraId="1E5A0F1F" w14:textId="77777777" w:rsidR="009F59C1" w:rsidRPr="00C30D5C" w:rsidRDefault="009F59C1" w:rsidP="009F59C1">
      <w:pPr>
        <w:pStyle w:val="Zkladntext"/>
        <w:spacing w:before="2"/>
        <w:rPr>
          <w:szCs w:val="22"/>
        </w:rPr>
      </w:pPr>
    </w:p>
    <w:tbl>
      <w:tblPr>
        <w:tblStyle w:val="TableNormal1"/>
        <w:tblW w:w="953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8"/>
        <w:gridCol w:w="2126"/>
        <w:gridCol w:w="3827"/>
      </w:tblGrid>
      <w:tr w:rsidR="009F59C1" w:rsidRPr="00C30D5C" w14:paraId="58C4F737" w14:textId="77777777" w:rsidTr="009F4367">
        <w:trPr>
          <w:trHeight w:val="506"/>
        </w:trPr>
        <w:tc>
          <w:tcPr>
            <w:tcW w:w="3578" w:type="dxa"/>
          </w:tcPr>
          <w:p w14:paraId="0002E78A" w14:textId="77777777" w:rsidR="009F59C1" w:rsidRPr="00C30D5C" w:rsidRDefault="000813AF" w:rsidP="009F59C1">
            <w:pPr>
              <w:pStyle w:val="TableParagraph"/>
              <w:tabs>
                <w:tab w:val="left" w:pos="0"/>
              </w:tabs>
              <w:spacing w:before="5" w:line="252" w:lineRule="exact"/>
              <w:ind w:right="94"/>
              <w:rPr>
                <w:rFonts w:ascii="Times New Roman" w:hAnsi="Times New Roman" w:cs="Times New Roman"/>
                <w:b/>
                <w:lang w:val="sk-SK"/>
              </w:rPr>
            </w:pPr>
            <w:r w:rsidRPr="00C30D5C">
              <w:rPr>
                <w:rFonts w:ascii="Times New Roman" w:hAnsi="Times New Roman" w:cs="Times New Roman"/>
                <w:b/>
                <w:lang w:val="sk-SK"/>
              </w:rPr>
              <w:t>Trieda orgánových systémov</w:t>
            </w:r>
          </w:p>
        </w:tc>
        <w:tc>
          <w:tcPr>
            <w:tcW w:w="2126" w:type="dxa"/>
          </w:tcPr>
          <w:p w14:paraId="0A79535B" w14:textId="77777777" w:rsidR="009F59C1" w:rsidRPr="00C30D5C" w:rsidRDefault="000813AF" w:rsidP="009F59C1">
            <w:pPr>
              <w:pStyle w:val="TableParagraph"/>
              <w:spacing w:before="1"/>
              <w:rPr>
                <w:rFonts w:ascii="Times New Roman" w:hAnsi="Times New Roman" w:cs="Times New Roman"/>
                <w:b/>
                <w:lang w:val="sk-SK"/>
              </w:rPr>
            </w:pPr>
            <w:r w:rsidRPr="00C30D5C">
              <w:rPr>
                <w:rFonts w:ascii="Times New Roman" w:hAnsi="Times New Roman" w:cs="Times New Roman"/>
                <w:b/>
                <w:lang w:val="sk-SK"/>
              </w:rPr>
              <w:t>Zriedkavé</w:t>
            </w:r>
          </w:p>
          <w:p w14:paraId="6B7F82B4" w14:textId="77777777" w:rsidR="009F59C1" w:rsidRPr="00C30D5C" w:rsidRDefault="009F59C1" w:rsidP="000813AF">
            <w:pPr>
              <w:pStyle w:val="TableParagraph"/>
              <w:spacing w:before="1"/>
              <w:rPr>
                <w:rFonts w:ascii="Times New Roman" w:hAnsi="Times New Roman" w:cs="Times New Roman"/>
                <w:b/>
                <w:lang w:val="sk-SK"/>
              </w:rPr>
            </w:pPr>
            <w:r w:rsidRPr="00C30D5C">
              <w:rPr>
                <w:rFonts w:ascii="Times New Roman" w:hAnsi="Times New Roman" w:cs="Times New Roman"/>
                <w:color w:val="000000"/>
                <w:lang w:val="sk-SK" w:eastAsia="el-GR"/>
              </w:rPr>
              <w:t>&gt;</w:t>
            </w:r>
            <w:r w:rsidR="000813AF" w:rsidRPr="00C30D5C">
              <w:rPr>
                <w:rFonts w:ascii="Times New Roman" w:hAnsi="Times New Roman" w:cs="Times New Roman"/>
                <w:color w:val="000000"/>
                <w:lang w:val="sk-SK" w:eastAsia="el-GR"/>
              </w:rPr>
              <w:t> </w:t>
            </w:r>
            <w:r w:rsidRPr="00C30D5C">
              <w:rPr>
                <w:rFonts w:ascii="Times New Roman" w:hAnsi="Times New Roman" w:cs="Times New Roman"/>
                <w:color w:val="000000"/>
                <w:lang w:val="sk-SK" w:eastAsia="el-GR"/>
              </w:rPr>
              <w:t>1/10</w:t>
            </w:r>
            <w:r w:rsidR="000813AF" w:rsidRPr="00C30D5C">
              <w:rPr>
                <w:rFonts w:ascii="Times New Roman" w:hAnsi="Times New Roman" w:cs="Times New Roman"/>
                <w:color w:val="000000"/>
                <w:lang w:val="sk-SK" w:eastAsia="el-GR"/>
              </w:rPr>
              <w:t> </w:t>
            </w:r>
            <w:r w:rsidRPr="00C30D5C">
              <w:rPr>
                <w:rFonts w:ascii="Times New Roman" w:hAnsi="Times New Roman" w:cs="Times New Roman"/>
                <w:color w:val="000000"/>
                <w:lang w:val="sk-SK" w:eastAsia="el-GR"/>
              </w:rPr>
              <w:t>000, &lt;</w:t>
            </w:r>
            <w:r w:rsidR="000813AF" w:rsidRPr="00C30D5C">
              <w:rPr>
                <w:rFonts w:ascii="Times New Roman" w:hAnsi="Times New Roman" w:cs="Times New Roman"/>
                <w:color w:val="000000"/>
                <w:lang w:val="sk-SK" w:eastAsia="el-GR"/>
              </w:rPr>
              <w:t> </w:t>
            </w:r>
            <w:r w:rsidRPr="00C30D5C">
              <w:rPr>
                <w:rFonts w:ascii="Times New Roman" w:hAnsi="Times New Roman" w:cs="Times New Roman"/>
                <w:color w:val="000000"/>
                <w:lang w:val="sk-SK" w:eastAsia="el-GR"/>
              </w:rPr>
              <w:t>1/1</w:t>
            </w:r>
            <w:r w:rsidR="000813AF" w:rsidRPr="00C30D5C">
              <w:rPr>
                <w:rFonts w:ascii="Times New Roman" w:hAnsi="Times New Roman" w:cs="Times New Roman"/>
                <w:color w:val="000000"/>
                <w:lang w:val="sk-SK" w:eastAsia="el-GR"/>
              </w:rPr>
              <w:t> </w:t>
            </w:r>
            <w:r w:rsidRPr="00C30D5C">
              <w:rPr>
                <w:rFonts w:ascii="Times New Roman" w:hAnsi="Times New Roman" w:cs="Times New Roman"/>
                <w:color w:val="000000"/>
                <w:lang w:val="sk-SK" w:eastAsia="el-GR"/>
              </w:rPr>
              <w:t>000</w:t>
            </w:r>
          </w:p>
        </w:tc>
        <w:tc>
          <w:tcPr>
            <w:tcW w:w="3827" w:type="dxa"/>
          </w:tcPr>
          <w:p w14:paraId="15C6275B" w14:textId="77777777" w:rsidR="000813AF" w:rsidRPr="00C30D5C" w:rsidRDefault="000813AF" w:rsidP="000813AF">
            <w:pPr>
              <w:pStyle w:val="TableParagraph"/>
              <w:spacing w:before="1"/>
              <w:rPr>
                <w:rFonts w:ascii="Times New Roman" w:hAnsi="Times New Roman" w:cs="Times New Roman"/>
                <w:b/>
                <w:lang w:val="sk-SK"/>
              </w:rPr>
            </w:pPr>
            <w:r w:rsidRPr="00C30D5C">
              <w:rPr>
                <w:rFonts w:ascii="Times New Roman" w:hAnsi="Times New Roman" w:cs="Times New Roman"/>
                <w:b/>
                <w:lang w:val="sk-SK"/>
              </w:rPr>
              <w:t>Veľmi zriedkavé</w:t>
            </w:r>
          </w:p>
          <w:p w14:paraId="6DE08115" w14:textId="77777777" w:rsidR="009F59C1" w:rsidRPr="00C30D5C" w:rsidRDefault="009F59C1" w:rsidP="009F59C1">
            <w:pPr>
              <w:pStyle w:val="TableParagraph"/>
              <w:spacing w:before="1"/>
              <w:rPr>
                <w:rFonts w:ascii="Times New Roman" w:hAnsi="Times New Roman" w:cs="Times New Roman"/>
                <w:b/>
                <w:lang w:val="sk-SK"/>
              </w:rPr>
            </w:pPr>
            <w:r w:rsidRPr="00C30D5C">
              <w:rPr>
                <w:rFonts w:ascii="Times New Roman" w:hAnsi="Times New Roman" w:cs="Times New Roman"/>
                <w:color w:val="000000"/>
                <w:lang w:val="sk-SK" w:eastAsia="el-GR"/>
              </w:rPr>
              <w:t>&lt;</w:t>
            </w:r>
            <w:r w:rsidR="000813AF" w:rsidRPr="00C30D5C">
              <w:rPr>
                <w:rFonts w:ascii="Times New Roman" w:hAnsi="Times New Roman" w:cs="Times New Roman"/>
                <w:color w:val="000000"/>
                <w:lang w:val="sk-SK" w:eastAsia="el-GR"/>
              </w:rPr>
              <w:t> </w:t>
            </w:r>
            <w:r w:rsidRPr="00C30D5C">
              <w:rPr>
                <w:rFonts w:ascii="Times New Roman" w:hAnsi="Times New Roman" w:cs="Times New Roman"/>
                <w:color w:val="000000"/>
                <w:lang w:val="sk-SK" w:eastAsia="el-GR"/>
              </w:rPr>
              <w:t>1/10 000</w:t>
            </w:r>
          </w:p>
        </w:tc>
      </w:tr>
      <w:tr w:rsidR="009F59C1" w:rsidRPr="00C30D5C" w14:paraId="170CEB7A" w14:textId="77777777" w:rsidTr="009F4367">
        <w:trPr>
          <w:trHeight w:val="553"/>
        </w:trPr>
        <w:tc>
          <w:tcPr>
            <w:tcW w:w="3578" w:type="dxa"/>
          </w:tcPr>
          <w:p w14:paraId="174CEB19" w14:textId="77777777" w:rsidR="009F59C1" w:rsidRPr="00C30D5C" w:rsidRDefault="000813AF" w:rsidP="009F59C1">
            <w:pPr>
              <w:pStyle w:val="TableParagraph"/>
              <w:tabs>
                <w:tab w:val="left" w:pos="35"/>
              </w:tabs>
              <w:spacing w:before="5" w:line="252" w:lineRule="exact"/>
              <w:ind w:right="99"/>
              <w:rPr>
                <w:rFonts w:ascii="Times New Roman" w:hAnsi="Times New Roman" w:cs="Times New Roman"/>
                <w:lang w:val="sk-SK"/>
              </w:rPr>
            </w:pPr>
            <w:r w:rsidRPr="00C30D5C">
              <w:rPr>
                <w:rFonts w:ascii="Times New Roman" w:eastAsia="Calibri" w:hAnsi="Times New Roman" w:cs="Times New Roman"/>
                <w:lang w:val="sk-SK"/>
              </w:rPr>
              <w:t>Celkové poruchy a reakcie v mieste podania</w:t>
            </w:r>
          </w:p>
        </w:tc>
        <w:tc>
          <w:tcPr>
            <w:tcW w:w="2126" w:type="dxa"/>
          </w:tcPr>
          <w:p w14:paraId="7CE3EA0E" w14:textId="77777777" w:rsidR="009F59C1" w:rsidRPr="00C30D5C" w:rsidRDefault="009F4367" w:rsidP="009F59C1">
            <w:pPr>
              <w:pStyle w:val="TableParagraph"/>
              <w:spacing w:before="1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0813AF" w:rsidRPr="00C30D5C">
              <w:rPr>
                <w:rFonts w:ascii="Times New Roman" w:hAnsi="Times New Roman" w:cs="Times New Roman"/>
                <w:lang w:val="sk-SK"/>
              </w:rPr>
              <w:t>alátnosť</w:t>
            </w:r>
          </w:p>
        </w:tc>
        <w:tc>
          <w:tcPr>
            <w:tcW w:w="3827" w:type="dxa"/>
          </w:tcPr>
          <w:p w14:paraId="4E972255" w14:textId="77777777" w:rsidR="009F59C1" w:rsidRPr="00C30D5C" w:rsidRDefault="009F4367" w:rsidP="009F59C1">
            <w:pPr>
              <w:pStyle w:val="TableParagraph"/>
              <w:ind w:left="148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R</w:t>
            </w:r>
            <w:r w:rsidR="000813AF" w:rsidRPr="00C30D5C">
              <w:rPr>
                <w:rFonts w:ascii="Times New Roman" w:hAnsi="Times New Roman" w:cs="Times New Roman"/>
                <w:lang w:val="sk-SK"/>
              </w:rPr>
              <w:t>eakcie z precitlivenosti</w:t>
            </w:r>
          </w:p>
        </w:tc>
      </w:tr>
      <w:tr w:rsidR="009F59C1" w:rsidRPr="00C30D5C" w14:paraId="09C3F917" w14:textId="77777777" w:rsidTr="009F4367">
        <w:trPr>
          <w:trHeight w:val="253"/>
        </w:trPr>
        <w:tc>
          <w:tcPr>
            <w:tcW w:w="3578" w:type="dxa"/>
          </w:tcPr>
          <w:p w14:paraId="65B25D91" w14:textId="77777777" w:rsidR="009F59C1" w:rsidRPr="00C30D5C" w:rsidRDefault="000813AF" w:rsidP="009F59C1">
            <w:pPr>
              <w:pStyle w:val="TableParagraph"/>
              <w:spacing w:before="1" w:line="232" w:lineRule="exact"/>
              <w:rPr>
                <w:rFonts w:ascii="Times New Roman" w:hAnsi="Times New Roman" w:cs="Times New Roman"/>
                <w:lang w:val="sk-SK"/>
              </w:rPr>
            </w:pPr>
            <w:r w:rsidRPr="00C30D5C">
              <w:rPr>
                <w:rFonts w:ascii="Times New Roman" w:eastAsia="Calibri" w:hAnsi="Times New Roman" w:cs="Times New Roman"/>
                <w:lang w:val="sk-SK"/>
              </w:rPr>
              <w:t>Poruchy srdca a srdcovej činnosti</w:t>
            </w:r>
            <w:r w:rsidRPr="00C30D5C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2126" w:type="dxa"/>
          </w:tcPr>
          <w:p w14:paraId="06BC7100" w14:textId="77777777" w:rsidR="009F59C1" w:rsidRPr="00C30D5C" w:rsidRDefault="009F4367" w:rsidP="009F59C1">
            <w:pPr>
              <w:pStyle w:val="TableParagraph"/>
              <w:ind w:left="139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H</w:t>
            </w:r>
            <w:r w:rsidR="000813AF" w:rsidRPr="00C30D5C">
              <w:rPr>
                <w:rFonts w:ascii="Times New Roman" w:hAnsi="Times New Roman" w:cs="Times New Roman"/>
                <w:lang w:val="sk-SK"/>
              </w:rPr>
              <w:t>ypotenzia</w:t>
            </w:r>
          </w:p>
        </w:tc>
        <w:tc>
          <w:tcPr>
            <w:tcW w:w="3827" w:type="dxa"/>
          </w:tcPr>
          <w:p w14:paraId="0647C101" w14:textId="77777777" w:rsidR="009F59C1" w:rsidRPr="00C30D5C" w:rsidRDefault="009F59C1" w:rsidP="009F59C1">
            <w:pPr>
              <w:pStyle w:val="TableParagraph"/>
              <w:ind w:left="0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9F59C1" w:rsidRPr="00C30D5C" w14:paraId="26DA9272" w14:textId="77777777" w:rsidTr="009F4367">
        <w:trPr>
          <w:trHeight w:val="282"/>
        </w:trPr>
        <w:tc>
          <w:tcPr>
            <w:tcW w:w="3578" w:type="dxa"/>
          </w:tcPr>
          <w:p w14:paraId="3E37A3E6" w14:textId="77777777" w:rsidR="009F59C1" w:rsidRPr="00C30D5C" w:rsidRDefault="00E05C35" w:rsidP="000813AF">
            <w:pPr>
              <w:pStyle w:val="TableParagraph"/>
              <w:tabs>
                <w:tab w:val="left" w:pos="1258"/>
                <w:tab w:val="left" w:pos="2094"/>
              </w:tabs>
              <w:spacing w:line="242" w:lineRule="auto"/>
              <w:ind w:right="99"/>
              <w:rPr>
                <w:rFonts w:ascii="Times New Roman" w:hAnsi="Times New Roman" w:cs="Times New Roman"/>
                <w:lang w:val="sk-SK"/>
              </w:rPr>
            </w:pPr>
            <w:r w:rsidRPr="00C30D5C">
              <w:rPr>
                <w:rFonts w:ascii="Times New Roman" w:hAnsi="Times New Roman" w:cs="Times New Roman"/>
                <w:lang w:val="sk-SK"/>
              </w:rPr>
              <w:t>Poruchy pečene a žlčových ciest</w:t>
            </w:r>
          </w:p>
        </w:tc>
        <w:tc>
          <w:tcPr>
            <w:tcW w:w="2126" w:type="dxa"/>
          </w:tcPr>
          <w:p w14:paraId="77977F66" w14:textId="77777777" w:rsidR="009F59C1" w:rsidRPr="00C30D5C" w:rsidRDefault="009F59C1" w:rsidP="009F59C1">
            <w:pPr>
              <w:pStyle w:val="TableParagraph"/>
              <w:ind w:left="0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827" w:type="dxa"/>
          </w:tcPr>
          <w:p w14:paraId="09FF6BE3" w14:textId="77777777" w:rsidR="009F59C1" w:rsidRPr="00C30D5C" w:rsidRDefault="009F4367" w:rsidP="000813AF">
            <w:pPr>
              <w:pStyle w:val="TableParagraph"/>
              <w:spacing w:line="232" w:lineRule="exact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</w:t>
            </w:r>
            <w:r w:rsidR="000813AF" w:rsidRPr="00C30D5C">
              <w:rPr>
                <w:rFonts w:ascii="Times New Roman" w:hAnsi="Times New Roman" w:cs="Times New Roman"/>
                <w:lang w:val="sk-SK"/>
              </w:rPr>
              <w:t>výšené hladiny pečeňových transamináz</w:t>
            </w:r>
          </w:p>
        </w:tc>
      </w:tr>
      <w:tr w:rsidR="009F59C1" w:rsidRPr="00C30D5C" w14:paraId="2C720650" w14:textId="77777777" w:rsidTr="009F4367">
        <w:trPr>
          <w:trHeight w:val="506"/>
        </w:trPr>
        <w:tc>
          <w:tcPr>
            <w:tcW w:w="3578" w:type="dxa"/>
          </w:tcPr>
          <w:p w14:paraId="2A30F4FC" w14:textId="77777777" w:rsidR="009F59C1" w:rsidRPr="00C30D5C" w:rsidRDefault="000813AF" w:rsidP="009F59C1">
            <w:pPr>
              <w:pStyle w:val="TableParagraph"/>
              <w:tabs>
                <w:tab w:val="left" w:pos="177"/>
              </w:tabs>
              <w:ind w:right="99"/>
              <w:rPr>
                <w:rFonts w:ascii="Times New Roman" w:hAnsi="Times New Roman" w:cs="Times New Roman"/>
                <w:lang w:val="sk-SK"/>
              </w:rPr>
            </w:pPr>
            <w:r w:rsidRPr="00C30D5C">
              <w:rPr>
                <w:rFonts w:ascii="Times New Roman" w:eastAsia="Calibri" w:hAnsi="Times New Roman" w:cs="Times New Roman"/>
                <w:lang w:val="sk-SK"/>
              </w:rPr>
              <w:lastRenderedPageBreak/>
              <w:t>Poruchy krvi a lymfatického systému</w:t>
            </w:r>
          </w:p>
        </w:tc>
        <w:tc>
          <w:tcPr>
            <w:tcW w:w="2126" w:type="dxa"/>
          </w:tcPr>
          <w:p w14:paraId="33332BA8" w14:textId="77777777" w:rsidR="009F59C1" w:rsidRPr="00C30D5C" w:rsidRDefault="009F59C1" w:rsidP="009F59C1">
            <w:pPr>
              <w:pStyle w:val="TableParagraph"/>
              <w:ind w:left="0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827" w:type="dxa"/>
          </w:tcPr>
          <w:p w14:paraId="4D1EAA24" w14:textId="77777777" w:rsidR="009F59C1" w:rsidRPr="00C30D5C" w:rsidRDefault="009F4367" w:rsidP="000813AF">
            <w:pPr>
              <w:pStyle w:val="TableParagraph"/>
              <w:spacing w:before="2" w:line="252" w:lineRule="exact"/>
              <w:ind w:left="148" w:right="89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T</w:t>
            </w:r>
            <w:r w:rsidR="009F59C1" w:rsidRPr="00C30D5C">
              <w:rPr>
                <w:rFonts w:ascii="Times New Roman" w:hAnsi="Times New Roman" w:cs="Times New Roman"/>
                <w:lang w:val="sk-SK"/>
              </w:rPr>
              <w:t>rombocytop</w:t>
            </w:r>
            <w:r w:rsidR="000813AF" w:rsidRPr="00C30D5C">
              <w:rPr>
                <w:rFonts w:ascii="Times New Roman" w:hAnsi="Times New Roman" w:cs="Times New Roman"/>
                <w:lang w:val="sk-SK"/>
              </w:rPr>
              <w:t>énia</w:t>
            </w:r>
            <w:r w:rsidR="009F59C1" w:rsidRPr="00C30D5C">
              <w:rPr>
                <w:rFonts w:ascii="Times New Roman" w:hAnsi="Times New Roman" w:cs="Times New Roman"/>
                <w:lang w:val="sk-SK"/>
              </w:rPr>
              <w:t>, leukop</w:t>
            </w:r>
            <w:r w:rsidR="000813AF" w:rsidRPr="00C30D5C">
              <w:rPr>
                <w:rFonts w:ascii="Times New Roman" w:hAnsi="Times New Roman" w:cs="Times New Roman"/>
                <w:lang w:val="sk-SK"/>
              </w:rPr>
              <w:t>énia</w:t>
            </w:r>
            <w:r w:rsidR="009F59C1" w:rsidRPr="00C30D5C">
              <w:rPr>
                <w:rFonts w:ascii="Times New Roman" w:hAnsi="Times New Roman" w:cs="Times New Roman"/>
                <w:lang w:val="sk-SK"/>
              </w:rPr>
              <w:t>, neutrop</w:t>
            </w:r>
            <w:r w:rsidR="000813AF" w:rsidRPr="00C30D5C">
              <w:rPr>
                <w:rFonts w:ascii="Times New Roman" w:hAnsi="Times New Roman" w:cs="Times New Roman"/>
                <w:lang w:val="sk-SK"/>
              </w:rPr>
              <w:t>énia</w:t>
            </w:r>
          </w:p>
        </w:tc>
      </w:tr>
    </w:tbl>
    <w:p w14:paraId="2D68FFBC" w14:textId="77777777" w:rsidR="009F59C1" w:rsidRPr="00C30D5C" w:rsidRDefault="009F59C1" w:rsidP="009F59C1">
      <w:pPr>
        <w:pStyle w:val="Zkladntext"/>
        <w:rPr>
          <w:szCs w:val="22"/>
        </w:rPr>
      </w:pPr>
    </w:p>
    <w:p w14:paraId="30278C84" w14:textId="2D5545FB" w:rsidR="009F59C1" w:rsidRPr="00C30D5C" w:rsidRDefault="00E05C35" w:rsidP="009F59C1">
      <w:pPr>
        <w:pStyle w:val="Zkladntext"/>
        <w:rPr>
          <w:szCs w:val="22"/>
        </w:rPr>
      </w:pPr>
      <w:r w:rsidRPr="00C30D5C">
        <w:rPr>
          <w:szCs w:val="22"/>
        </w:rPr>
        <w:t xml:space="preserve">Počas klinických </w:t>
      </w:r>
      <w:r w:rsidR="007E1E17">
        <w:rPr>
          <w:szCs w:val="22"/>
        </w:rPr>
        <w:t>skúšaní</w:t>
      </w:r>
      <w:r w:rsidRPr="00C30D5C">
        <w:rPr>
          <w:szCs w:val="22"/>
        </w:rPr>
        <w:t xml:space="preserve"> boli hlásené časté nežiaduce </w:t>
      </w:r>
      <w:r w:rsidR="007E1E17">
        <w:rPr>
          <w:szCs w:val="22"/>
        </w:rPr>
        <w:t>reakcie</w:t>
      </w:r>
      <w:r w:rsidRPr="00C30D5C">
        <w:rPr>
          <w:szCs w:val="22"/>
        </w:rPr>
        <w:t xml:space="preserve"> v mieste vpichu injekcie (bolesť a pálenie).</w:t>
      </w:r>
    </w:p>
    <w:p w14:paraId="784666C9" w14:textId="77777777" w:rsidR="009F59C1" w:rsidRPr="00C30D5C" w:rsidRDefault="009F59C1" w:rsidP="009F59C1">
      <w:pPr>
        <w:pStyle w:val="Zkladntext"/>
        <w:rPr>
          <w:szCs w:val="22"/>
        </w:rPr>
      </w:pPr>
    </w:p>
    <w:p w14:paraId="3FE22E1F" w14:textId="77777777" w:rsidR="009F59C1" w:rsidRPr="00C30D5C" w:rsidRDefault="00D83504" w:rsidP="009F59C1">
      <w:pPr>
        <w:pStyle w:val="Zkladntext"/>
        <w:rPr>
          <w:szCs w:val="22"/>
        </w:rPr>
      </w:pPr>
      <w:r w:rsidRPr="00C30D5C">
        <w:rPr>
          <w:szCs w:val="22"/>
        </w:rPr>
        <w:t>Veľmi zriedkavo boli hlásené prípady závažných kožných reakcií</w:t>
      </w:r>
      <w:r w:rsidR="009F59C1" w:rsidRPr="00C30D5C">
        <w:rPr>
          <w:szCs w:val="22"/>
        </w:rPr>
        <w:t>.</w:t>
      </w:r>
    </w:p>
    <w:p w14:paraId="631033E6" w14:textId="77777777" w:rsidR="009F59C1" w:rsidRPr="00C30D5C" w:rsidRDefault="009F59C1" w:rsidP="009F59C1">
      <w:pPr>
        <w:pStyle w:val="Zkladntext"/>
        <w:rPr>
          <w:szCs w:val="22"/>
        </w:rPr>
      </w:pPr>
    </w:p>
    <w:p w14:paraId="7FA3FA2F" w14:textId="77777777" w:rsidR="009F59C1" w:rsidRPr="00C30D5C" w:rsidRDefault="0088732A" w:rsidP="009F59C1">
      <w:pPr>
        <w:pStyle w:val="Zkladntext"/>
        <w:rPr>
          <w:szCs w:val="22"/>
        </w:rPr>
      </w:pPr>
      <w:r w:rsidRPr="00C30D5C">
        <w:rPr>
          <w:szCs w:val="22"/>
        </w:rPr>
        <w:t>Boli hlásené veľmi zriedkavé prípady reakcií z precitlivenosti od jednoduchých kožných vyrážok alebo žihľavky až po anafylaktický šok, ktoré vyžadujú ukončenie liečby.</w:t>
      </w:r>
    </w:p>
    <w:p w14:paraId="50C1D209" w14:textId="77777777" w:rsidR="009F59C1" w:rsidRPr="00C30D5C" w:rsidRDefault="009F59C1" w:rsidP="009F59C1">
      <w:pPr>
        <w:pStyle w:val="Zkladntext"/>
        <w:rPr>
          <w:szCs w:val="22"/>
          <w:highlight w:val="yellow"/>
        </w:rPr>
      </w:pPr>
    </w:p>
    <w:p w14:paraId="36A391F1" w14:textId="3B6A6F39" w:rsidR="00E05C35" w:rsidRPr="00C30D5C" w:rsidRDefault="00E05C35" w:rsidP="00E05C35">
      <w:pPr>
        <w:spacing w:before="1"/>
        <w:ind w:left="0" w:firstLine="0"/>
      </w:pPr>
      <w:r w:rsidRPr="00C30D5C">
        <w:t xml:space="preserve">Boli hlásené prípady </w:t>
      </w:r>
      <w:r w:rsidR="007E1E17">
        <w:t>sčervene</w:t>
      </w:r>
      <w:r w:rsidRPr="00C30D5C">
        <w:t>nia kože, návaly tepla, svrbenie a nezvyčajne rýchly tlkot srdca.</w:t>
      </w:r>
    </w:p>
    <w:p w14:paraId="3C2288E4" w14:textId="77777777" w:rsidR="00780926" w:rsidRPr="00C30D5C" w:rsidRDefault="00780926" w:rsidP="00E05C35">
      <w:pPr>
        <w:ind w:left="0" w:firstLine="0"/>
        <w:rPr>
          <w:szCs w:val="22"/>
        </w:rPr>
      </w:pPr>
    </w:p>
    <w:p w14:paraId="13EA7177" w14:textId="77777777" w:rsidR="007E5956" w:rsidRPr="00C30D5C" w:rsidRDefault="009F59C1" w:rsidP="00B13F68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C30D5C">
        <w:rPr>
          <w:noProof/>
          <w:szCs w:val="22"/>
          <w:u w:val="single"/>
        </w:rPr>
        <w:t>Hlásenie podozrení na nežiaduce reakcie</w:t>
      </w:r>
    </w:p>
    <w:p w14:paraId="240FA585" w14:textId="7D39AAA8" w:rsidR="007E5956" w:rsidRPr="00BF3996" w:rsidRDefault="009F59C1" w:rsidP="00BF3996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  <w:highlight w:val="lightGray"/>
          <w:lang w:val="nl-NL"/>
        </w:rPr>
      </w:pPr>
      <w:r w:rsidRPr="00C30D5C">
        <w:rPr>
          <w:noProof/>
          <w:szCs w:val="22"/>
        </w:rPr>
        <w:t>Hlásenie podozrení na nežiaduce reakcie po registrácii lieku je dôležité.</w:t>
      </w:r>
      <w:r w:rsidRPr="00C30D5C">
        <w:rPr>
          <w:szCs w:val="22"/>
        </w:rPr>
        <w:t xml:space="preserve"> </w:t>
      </w:r>
      <w:r w:rsidRPr="00C30D5C">
        <w:rPr>
          <w:noProof/>
          <w:szCs w:val="22"/>
        </w:rPr>
        <w:t>Umožňuje priebežné monitorovanie pomeru prínosu a rizika lieku.</w:t>
      </w:r>
      <w:r w:rsidRPr="00C30D5C">
        <w:rPr>
          <w:szCs w:val="22"/>
        </w:rPr>
        <w:t xml:space="preserve"> Od </w:t>
      </w:r>
      <w:r w:rsidRPr="00C30D5C">
        <w:rPr>
          <w:noProof/>
          <w:szCs w:val="22"/>
        </w:rPr>
        <w:t xml:space="preserve">zdravotníckych pracovníkov sa vyžaduje, aby hlásili akékoľvek podozrenia na nežiaduce reakcie </w:t>
      </w:r>
      <w:r w:rsidR="00F66A28" w:rsidRPr="00C30D5C">
        <w:rPr>
          <w:noProof/>
          <w:szCs w:val="22"/>
        </w:rPr>
        <w:t xml:space="preserve">na </w:t>
      </w:r>
      <w:r w:rsidRPr="00C30D5C">
        <w:rPr>
          <w:noProof/>
          <w:szCs w:val="22"/>
          <w:highlight w:val="lightGray"/>
        </w:rPr>
        <w:t xml:space="preserve">národné </w:t>
      </w:r>
      <w:r w:rsidR="00F66A28" w:rsidRPr="00C30D5C">
        <w:rPr>
          <w:noProof/>
          <w:szCs w:val="22"/>
          <w:highlight w:val="lightGray"/>
        </w:rPr>
        <w:t xml:space="preserve">centrum </w:t>
      </w:r>
      <w:r w:rsidRPr="00C30D5C">
        <w:rPr>
          <w:noProof/>
          <w:szCs w:val="22"/>
          <w:highlight w:val="lightGray"/>
        </w:rPr>
        <w:t>hlásenia uvedené v </w:t>
      </w:r>
      <w:hyperlink r:id="rId7" w:history="1">
        <w:r w:rsidRPr="00C30D5C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BB6D67" w:rsidRPr="00C30D5C">
        <w:rPr>
          <w:noProof/>
          <w:szCs w:val="22"/>
        </w:rPr>
        <w:t>.</w:t>
      </w:r>
    </w:p>
    <w:p w14:paraId="074D9724" w14:textId="77777777" w:rsidR="007E5956" w:rsidRPr="00C30D5C" w:rsidRDefault="007E5956" w:rsidP="001E7511">
      <w:pPr>
        <w:suppressLineNumbers/>
        <w:autoSpaceDE w:val="0"/>
        <w:autoSpaceDN w:val="0"/>
        <w:adjustRightInd w:val="0"/>
        <w:ind w:left="0" w:firstLine="0"/>
        <w:rPr>
          <w:szCs w:val="22"/>
        </w:rPr>
      </w:pPr>
    </w:p>
    <w:p w14:paraId="46ABFFEB" w14:textId="77777777" w:rsidR="00780926" w:rsidRPr="00C30D5C" w:rsidRDefault="009F59C1" w:rsidP="00223E9F">
      <w:pPr>
        <w:keepNext/>
        <w:rPr>
          <w:szCs w:val="22"/>
        </w:rPr>
      </w:pPr>
      <w:r w:rsidRPr="00C30D5C">
        <w:rPr>
          <w:b/>
          <w:szCs w:val="22"/>
        </w:rPr>
        <w:t>4.9</w:t>
      </w:r>
      <w:r w:rsidRPr="00C30D5C">
        <w:rPr>
          <w:b/>
          <w:szCs w:val="22"/>
        </w:rPr>
        <w:tab/>
        <w:t>Predávkovanie</w:t>
      </w:r>
    </w:p>
    <w:p w14:paraId="4F85AAEB" w14:textId="77777777" w:rsidR="00780926" w:rsidRPr="00C30D5C" w:rsidRDefault="00780926" w:rsidP="00223E9F">
      <w:pPr>
        <w:keepNext/>
        <w:rPr>
          <w:szCs w:val="22"/>
        </w:rPr>
      </w:pPr>
    </w:p>
    <w:p w14:paraId="55FADD53" w14:textId="77777777" w:rsidR="009F59C1" w:rsidRPr="00C30D5C" w:rsidRDefault="00D83504" w:rsidP="00D83504">
      <w:pPr>
        <w:ind w:left="0" w:firstLine="0"/>
        <w:rPr>
          <w:bCs/>
          <w:iCs/>
          <w:szCs w:val="22"/>
        </w:rPr>
      </w:pPr>
      <w:r w:rsidRPr="00C30D5C">
        <w:rPr>
          <w:bCs/>
          <w:iCs/>
          <w:szCs w:val="22"/>
        </w:rPr>
        <w:t>Starší pacienti, malé deti, pacienti s poruchami pečene, chronickým alkoholizmom, s chronickou malnutríciou a pacienti súbežne užívajúci lieky, ktoré spôsobujú indukciu enzýmov, sú vystavení mimoriadnemu riziku poškodenia pečene (vrátane fulminantnej hepatitídy, hepatálneho zlyhania, cholestatickej hepatitídy, cytolytickej hepatitídy). V takýchto prípadoch môže byť predávkovanie fatálne.</w:t>
      </w:r>
    </w:p>
    <w:p w14:paraId="14099ED5" w14:textId="77777777" w:rsidR="009F59C1" w:rsidRPr="00C30D5C" w:rsidRDefault="009F59C1" w:rsidP="009F59C1">
      <w:pPr>
        <w:pStyle w:val="Zkladntext"/>
        <w:spacing w:before="11"/>
        <w:rPr>
          <w:szCs w:val="22"/>
        </w:rPr>
      </w:pPr>
    </w:p>
    <w:p w14:paraId="501F1783" w14:textId="77777777" w:rsidR="009F59C1" w:rsidRPr="00C30D5C" w:rsidRDefault="00D83504" w:rsidP="009F59C1">
      <w:pPr>
        <w:rPr>
          <w:iCs/>
          <w:szCs w:val="22"/>
        </w:rPr>
      </w:pPr>
      <w:r w:rsidRPr="00C30D5C">
        <w:rPr>
          <w:iCs/>
          <w:szCs w:val="22"/>
        </w:rPr>
        <w:t>Príznaky</w:t>
      </w:r>
    </w:p>
    <w:p w14:paraId="53D5D707" w14:textId="2854DDC7" w:rsidR="009F59C1" w:rsidRPr="00C30D5C" w:rsidRDefault="00D83504" w:rsidP="0088732A">
      <w:pPr>
        <w:ind w:left="0" w:firstLine="0"/>
        <w:rPr>
          <w:bCs/>
          <w:iCs/>
          <w:szCs w:val="22"/>
        </w:rPr>
      </w:pPr>
      <w:r w:rsidRPr="00C30D5C">
        <w:rPr>
          <w:bCs/>
          <w:iCs/>
          <w:szCs w:val="22"/>
        </w:rPr>
        <w:t>Príznaky sa zvyčajne objavia v priebehu prvých 24 hodín a zahŕňajú: nauzeu, vracanie, anorexiu, bledosť a bolesť brucha.</w:t>
      </w:r>
      <w:r w:rsidR="0088732A" w:rsidRPr="00C30D5C">
        <w:rPr>
          <w:bCs/>
          <w:iCs/>
          <w:szCs w:val="22"/>
        </w:rPr>
        <w:t xml:space="preserve"> </w:t>
      </w:r>
      <w:r w:rsidRPr="00C30D5C">
        <w:rPr>
          <w:bCs/>
          <w:iCs/>
          <w:szCs w:val="22"/>
        </w:rPr>
        <w:t>Predávkovanie jednorazovou dávkou 7,5 g paracetamolu alebo viac u dospelých alebo jednorazovou dávkou 140 mg/kg telesnej hmotnosti u pediatrických pacientov má za následok nekrózu pečeňových buniek, ktorá môže zapríčiniť kompletnú a ireverzibilnú nekrózu a následne hepatocelulárnu insuficienciu, metabolickú acidózu a encefalopatiu. To následne môže viesť ku kóme</w:t>
      </w:r>
      <w:r w:rsidR="007E1E17">
        <w:rPr>
          <w:bCs/>
          <w:iCs/>
          <w:szCs w:val="22"/>
        </w:rPr>
        <w:t>a a smrti</w:t>
      </w:r>
      <w:r w:rsidRPr="00C30D5C">
        <w:rPr>
          <w:bCs/>
          <w:iCs/>
          <w:szCs w:val="22"/>
        </w:rPr>
        <w:t>. Súčasne sa pozorujú zvýšené hladiny pečeňových transamináz (AST, ALT), laktátdehydrogenázy a bilirubínu v kombinácii so zníženými hladinami protrombínu, ktoré sa môžu objaviť 12 až 48 hodín po podaní.</w:t>
      </w:r>
    </w:p>
    <w:p w14:paraId="4DA70A99" w14:textId="77777777" w:rsidR="0088732A" w:rsidRPr="00C30D5C" w:rsidRDefault="0088732A" w:rsidP="009F59C1">
      <w:pPr>
        <w:pStyle w:val="Zkladntext"/>
        <w:ind w:right="396"/>
        <w:jc w:val="both"/>
        <w:rPr>
          <w:szCs w:val="22"/>
        </w:rPr>
      </w:pPr>
    </w:p>
    <w:p w14:paraId="1C4E6E5E" w14:textId="00D70E34" w:rsidR="009F59C1" w:rsidRPr="00C30D5C" w:rsidRDefault="002D34BB" w:rsidP="009F59C1">
      <w:pPr>
        <w:pStyle w:val="Zkladntext"/>
        <w:ind w:right="396"/>
        <w:jc w:val="both"/>
        <w:rPr>
          <w:szCs w:val="22"/>
        </w:rPr>
      </w:pPr>
      <w:r>
        <w:rPr>
          <w:szCs w:val="22"/>
        </w:rPr>
        <w:t>K</w:t>
      </w:r>
      <w:r w:rsidR="00C30D5C" w:rsidRPr="00C30D5C">
        <w:rPr>
          <w:szCs w:val="22"/>
        </w:rPr>
        <w:t xml:space="preserve">linické príznaky poškodenia pečene sú zvyčajne viditeľné </w:t>
      </w:r>
      <w:r>
        <w:rPr>
          <w:szCs w:val="22"/>
        </w:rPr>
        <w:t xml:space="preserve">najskôr </w:t>
      </w:r>
      <w:r w:rsidR="00C30D5C" w:rsidRPr="00C30D5C">
        <w:rPr>
          <w:szCs w:val="22"/>
        </w:rPr>
        <w:t>po 2 dňoch a maximum dosiahnu po 4</w:t>
      </w:r>
      <w:r w:rsidR="000471F7">
        <w:rPr>
          <w:szCs w:val="22"/>
        </w:rPr>
        <w:t>–</w:t>
      </w:r>
      <w:r w:rsidR="00C30D5C" w:rsidRPr="00C30D5C">
        <w:rPr>
          <w:szCs w:val="22"/>
        </w:rPr>
        <w:t>6 dňoch.</w:t>
      </w:r>
    </w:p>
    <w:p w14:paraId="07ECDD60" w14:textId="77777777" w:rsidR="009F59C1" w:rsidRPr="00C30D5C" w:rsidRDefault="009F59C1" w:rsidP="009F59C1">
      <w:pPr>
        <w:pStyle w:val="Zkladntext"/>
        <w:spacing w:before="8"/>
        <w:rPr>
          <w:szCs w:val="22"/>
        </w:rPr>
      </w:pPr>
    </w:p>
    <w:p w14:paraId="24F55B75" w14:textId="77777777" w:rsidR="009F59C1" w:rsidRPr="00C30D5C" w:rsidRDefault="00D83504" w:rsidP="009F59C1">
      <w:pPr>
        <w:jc w:val="both"/>
        <w:rPr>
          <w:iCs/>
          <w:szCs w:val="22"/>
          <w:u w:val="single"/>
        </w:rPr>
      </w:pPr>
      <w:r w:rsidRPr="00C30D5C">
        <w:rPr>
          <w:iCs/>
          <w:szCs w:val="22"/>
          <w:u w:val="single"/>
        </w:rPr>
        <w:t>Liečba</w:t>
      </w:r>
    </w:p>
    <w:p w14:paraId="73C25817" w14:textId="77777777" w:rsidR="009F59C1" w:rsidRPr="00C30D5C" w:rsidRDefault="0088732A" w:rsidP="009F59C1">
      <w:pPr>
        <w:pStyle w:val="Odsekzoznamu"/>
        <w:numPr>
          <w:ilvl w:val="0"/>
          <w:numId w:val="13"/>
        </w:numPr>
        <w:tabs>
          <w:tab w:val="left" w:pos="426"/>
        </w:tabs>
        <w:spacing w:before="14"/>
        <w:ind w:left="0" w:firstLine="0"/>
        <w:rPr>
          <w:lang w:val="sk-SK"/>
        </w:rPr>
      </w:pPr>
      <w:r w:rsidRPr="00C30D5C">
        <w:rPr>
          <w:lang w:val="sk-SK"/>
        </w:rPr>
        <w:t>O</w:t>
      </w:r>
      <w:r w:rsidR="009F59C1" w:rsidRPr="00C30D5C">
        <w:rPr>
          <w:lang w:val="sk-SK"/>
        </w:rPr>
        <w:t>kamžitá</w:t>
      </w:r>
      <w:r w:rsidR="009F59C1" w:rsidRPr="00C30D5C">
        <w:rPr>
          <w:spacing w:val="-2"/>
          <w:lang w:val="sk-SK"/>
        </w:rPr>
        <w:t xml:space="preserve"> </w:t>
      </w:r>
      <w:r w:rsidR="009F59C1" w:rsidRPr="00C30D5C">
        <w:rPr>
          <w:lang w:val="sk-SK"/>
        </w:rPr>
        <w:t>hospitaliz</w:t>
      </w:r>
      <w:r w:rsidR="00D83504" w:rsidRPr="00C30D5C">
        <w:rPr>
          <w:lang w:val="sk-SK"/>
        </w:rPr>
        <w:t>ácia</w:t>
      </w:r>
      <w:r w:rsidRPr="00C30D5C">
        <w:rPr>
          <w:lang w:val="sk-SK"/>
        </w:rPr>
        <w:t>.</w:t>
      </w:r>
    </w:p>
    <w:p w14:paraId="01BA5A3A" w14:textId="77777777" w:rsidR="00D83504" w:rsidRPr="00C30D5C" w:rsidRDefault="0088732A" w:rsidP="00D83504">
      <w:pPr>
        <w:pStyle w:val="Odsekzoznamu"/>
        <w:numPr>
          <w:ilvl w:val="0"/>
          <w:numId w:val="13"/>
        </w:numPr>
        <w:tabs>
          <w:tab w:val="left" w:pos="426"/>
        </w:tabs>
        <w:spacing w:before="14"/>
        <w:ind w:left="426" w:hanging="426"/>
        <w:rPr>
          <w:lang w:val="sk-SK"/>
        </w:rPr>
      </w:pPr>
      <w:r w:rsidRPr="00C30D5C">
        <w:rPr>
          <w:bCs/>
          <w:iCs/>
          <w:lang w:val="sk-SK"/>
        </w:rPr>
        <w:t>P</w:t>
      </w:r>
      <w:r w:rsidR="00D83504" w:rsidRPr="00C30D5C">
        <w:rPr>
          <w:bCs/>
          <w:iCs/>
          <w:lang w:val="sk-SK"/>
        </w:rPr>
        <w:t>red začiatkom liečby a čo najskôr po predávkovaní sa má odobrať vzorka krvi na stanovenie plazmatických koncentrácií paracetamolu.</w:t>
      </w:r>
    </w:p>
    <w:p w14:paraId="65241DE3" w14:textId="77777777" w:rsidR="00D83504" w:rsidRPr="00C30D5C" w:rsidRDefault="00D83504" w:rsidP="00D83504">
      <w:pPr>
        <w:pStyle w:val="Odsekzoznamu"/>
        <w:numPr>
          <w:ilvl w:val="0"/>
          <w:numId w:val="13"/>
        </w:numPr>
        <w:tabs>
          <w:tab w:val="left" w:pos="426"/>
        </w:tabs>
        <w:spacing w:before="14"/>
        <w:ind w:left="426" w:hanging="426"/>
        <w:rPr>
          <w:lang w:val="sk-SK"/>
        </w:rPr>
      </w:pPr>
      <w:r w:rsidRPr="00C30D5C">
        <w:rPr>
          <w:bCs/>
          <w:iCs/>
          <w:lang w:val="sk-SK"/>
        </w:rPr>
        <w:t>Liečba zahŕňa podávanie antidota, N-acetylcysteínu (NAC), intravenózne alebo perorálne, ak je to možné v priebehu prvých 10 hodín. N-acetylcysteín má protektívny účinok pri podaní aj po viac ako 10 hodinách, v tomto prípade je však potrebná dlhšie trvajúca liečba.</w:t>
      </w:r>
    </w:p>
    <w:p w14:paraId="359B7DDC" w14:textId="77777777" w:rsidR="00D83504" w:rsidRPr="00C30D5C" w:rsidRDefault="00D83504" w:rsidP="00D83504">
      <w:pPr>
        <w:pStyle w:val="Odsekzoznamu"/>
        <w:numPr>
          <w:ilvl w:val="0"/>
          <w:numId w:val="13"/>
        </w:numPr>
        <w:tabs>
          <w:tab w:val="left" w:pos="426"/>
        </w:tabs>
        <w:spacing w:before="14"/>
        <w:ind w:left="426" w:hanging="426"/>
        <w:rPr>
          <w:lang w:val="sk-SK"/>
        </w:rPr>
      </w:pPr>
      <w:r w:rsidRPr="00C30D5C">
        <w:rPr>
          <w:bCs/>
          <w:iCs/>
          <w:lang w:val="sk-SK"/>
        </w:rPr>
        <w:t>Symptomatická liečba</w:t>
      </w:r>
      <w:r w:rsidR="0088732A" w:rsidRPr="00C30D5C">
        <w:rPr>
          <w:bCs/>
          <w:iCs/>
          <w:lang w:val="sk-SK"/>
        </w:rPr>
        <w:t>.</w:t>
      </w:r>
    </w:p>
    <w:p w14:paraId="29383D16" w14:textId="77777777" w:rsidR="00D83504" w:rsidRPr="00C30D5C" w:rsidRDefault="00D83504" w:rsidP="00D83504">
      <w:pPr>
        <w:pStyle w:val="Odsekzoznamu"/>
        <w:numPr>
          <w:ilvl w:val="0"/>
          <w:numId w:val="13"/>
        </w:numPr>
        <w:tabs>
          <w:tab w:val="left" w:pos="426"/>
        </w:tabs>
        <w:spacing w:before="14"/>
        <w:ind w:left="426" w:hanging="426"/>
        <w:rPr>
          <w:lang w:val="sk-SK"/>
        </w:rPr>
      </w:pPr>
      <w:r w:rsidRPr="00C30D5C">
        <w:rPr>
          <w:bCs/>
          <w:iCs/>
          <w:lang w:val="sk-SK"/>
        </w:rPr>
        <w:t>Na začiatku liečby a potom opakovane každých 24 hodín sa musia vykonať testy pečeňovej funkcie. Pečeňové transaminázy sa zvyčajne vrátia na normálnu hodnotu v priebehu jedného až dvoch týždňov s kompletným obnovením pečeňovej funkcie. U veľmi ťažkých prípadov môže byť však potrebná transplantácia pečene.</w:t>
      </w:r>
    </w:p>
    <w:p w14:paraId="6D8C3880" w14:textId="77777777" w:rsidR="00780926" w:rsidRDefault="00780926" w:rsidP="00E41B3F">
      <w:pPr>
        <w:rPr>
          <w:szCs w:val="22"/>
        </w:rPr>
      </w:pPr>
    </w:p>
    <w:p w14:paraId="7F91CA09" w14:textId="77777777" w:rsidR="002E4A86" w:rsidRPr="00C30D5C" w:rsidRDefault="002E4A86" w:rsidP="00E41B3F">
      <w:pPr>
        <w:rPr>
          <w:szCs w:val="22"/>
        </w:rPr>
      </w:pPr>
    </w:p>
    <w:p w14:paraId="37607997" w14:textId="77777777" w:rsidR="00780926" w:rsidRPr="00C30D5C" w:rsidRDefault="009F59C1" w:rsidP="00E41B3F">
      <w:pPr>
        <w:rPr>
          <w:szCs w:val="22"/>
        </w:rPr>
      </w:pPr>
      <w:r w:rsidRPr="00C30D5C">
        <w:rPr>
          <w:b/>
          <w:szCs w:val="22"/>
        </w:rPr>
        <w:t>5.</w:t>
      </w:r>
      <w:r w:rsidRPr="00C30D5C">
        <w:rPr>
          <w:b/>
          <w:szCs w:val="22"/>
        </w:rPr>
        <w:tab/>
        <w:t>FARMAKOLOGICKÉ VLASTNOSTI</w:t>
      </w:r>
    </w:p>
    <w:p w14:paraId="0B256FB3" w14:textId="77777777" w:rsidR="00780926" w:rsidRPr="00C30D5C" w:rsidRDefault="00780926" w:rsidP="00E41B3F">
      <w:pPr>
        <w:rPr>
          <w:bCs/>
          <w:szCs w:val="22"/>
        </w:rPr>
      </w:pPr>
    </w:p>
    <w:p w14:paraId="363AD156" w14:textId="77777777" w:rsidR="00780926" w:rsidRPr="00C30D5C" w:rsidRDefault="009F59C1" w:rsidP="00E41B3F">
      <w:pPr>
        <w:rPr>
          <w:szCs w:val="22"/>
        </w:rPr>
      </w:pPr>
      <w:r w:rsidRPr="00C30D5C">
        <w:rPr>
          <w:b/>
          <w:szCs w:val="22"/>
        </w:rPr>
        <w:t>5.1</w:t>
      </w:r>
      <w:r w:rsidRPr="00C30D5C">
        <w:rPr>
          <w:b/>
          <w:szCs w:val="22"/>
        </w:rPr>
        <w:tab/>
        <w:t>Farmakodynamické vlastnosti</w:t>
      </w:r>
    </w:p>
    <w:p w14:paraId="097DA9A3" w14:textId="77777777" w:rsidR="00780926" w:rsidRPr="00C30D5C" w:rsidRDefault="00780926" w:rsidP="00E41B3F">
      <w:pPr>
        <w:rPr>
          <w:szCs w:val="22"/>
        </w:rPr>
      </w:pPr>
    </w:p>
    <w:p w14:paraId="34E17A14" w14:textId="77777777" w:rsidR="00780926" w:rsidRPr="00C30D5C" w:rsidRDefault="009F59C1" w:rsidP="00E41B3F">
      <w:pPr>
        <w:outlineLvl w:val="0"/>
        <w:rPr>
          <w:szCs w:val="22"/>
        </w:rPr>
      </w:pPr>
      <w:r w:rsidRPr="00C30D5C">
        <w:rPr>
          <w:szCs w:val="22"/>
        </w:rPr>
        <w:t xml:space="preserve">Farmakoterapeutická skupina: </w:t>
      </w:r>
      <w:r w:rsidR="00C30D5C" w:rsidRPr="00C30D5C">
        <w:rPr>
          <w:szCs w:val="22"/>
        </w:rPr>
        <w:t>I</w:t>
      </w:r>
      <w:r w:rsidRPr="00C30D5C">
        <w:rPr>
          <w:szCs w:val="22"/>
        </w:rPr>
        <w:t>né analgetiká a antipyretiká, ATC kód: N02BE01</w:t>
      </w:r>
    </w:p>
    <w:p w14:paraId="49151D05" w14:textId="77777777" w:rsidR="00780926" w:rsidRPr="00C30D5C" w:rsidRDefault="00780926" w:rsidP="00E41B3F">
      <w:pPr>
        <w:ind w:left="0" w:firstLine="0"/>
        <w:outlineLvl w:val="0"/>
        <w:rPr>
          <w:szCs w:val="22"/>
        </w:rPr>
      </w:pPr>
    </w:p>
    <w:p w14:paraId="4A0714CB" w14:textId="77777777" w:rsidR="00D83504" w:rsidRPr="00C30D5C" w:rsidRDefault="00D83504" w:rsidP="00D83504">
      <w:pPr>
        <w:tabs>
          <w:tab w:val="left" w:pos="0"/>
        </w:tabs>
        <w:ind w:left="0" w:firstLine="0"/>
        <w:rPr>
          <w:szCs w:val="22"/>
        </w:rPr>
      </w:pPr>
      <w:r w:rsidRPr="00C30D5C">
        <w:rPr>
          <w:szCs w:val="22"/>
        </w:rPr>
        <w:t>Presný analgetický a antipyretický spôsob účinku paracetamolu sa nestanovil. Pravdepodobné je centrálne i periférne pôsobenie.</w:t>
      </w:r>
    </w:p>
    <w:p w14:paraId="0CB590A2" w14:textId="77777777" w:rsidR="00D83504" w:rsidRPr="00C30D5C" w:rsidRDefault="00D83504" w:rsidP="00D83504">
      <w:pPr>
        <w:tabs>
          <w:tab w:val="left" w:pos="0"/>
        </w:tabs>
        <w:ind w:left="0" w:firstLine="0"/>
        <w:rPr>
          <w:szCs w:val="22"/>
        </w:rPr>
      </w:pPr>
    </w:p>
    <w:p w14:paraId="69B6335E" w14:textId="454C9324" w:rsidR="00D83504" w:rsidRPr="00C30D5C" w:rsidRDefault="00D83504" w:rsidP="00D83504">
      <w:pPr>
        <w:tabs>
          <w:tab w:val="left" w:pos="0"/>
        </w:tabs>
        <w:ind w:left="0" w:firstLine="0"/>
        <w:rPr>
          <w:szCs w:val="22"/>
        </w:rPr>
      </w:pPr>
      <w:r w:rsidRPr="00C30D5C">
        <w:rPr>
          <w:szCs w:val="22"/>
        </w:rPr>
        <w:t>Účinok Paracetamolu Noridem v</w:t>
      </w:r>
      <w:r w:rsidR="008C30D4">
        <w:rPr>
          <w:szCs w:val="22"/>
        </w:rPr>
        <w:t> úľave od</w:t>
      </w:r>
      <w:r w:rsidRPr="00C30D5C">
        <w:rPr>
          <w:szCs w:val="22"/>
        </w:rPr>
        <w:t xml:space="preserve"> bolesti nastupuje v priebehu 5</w:t>
      </w:r>
      <w:r w:rsidR="000471F7">
        <w:rPr>
          <w:szCs w:val="22"/>
        </w:rPr>
        <w:t>–</w:t>
      </w:r>
      <w:r w:rsidRPr="00C30D5C">
        <w:rPr>
          <w:szCs w:val="22"/>
        </w:rPr>
        <w:t>10 minút po podaní. Maximálny analgetický účinok sa dosiahne v priebehu 1 hodiny a analgézia zvyčajne pretrváva</w:t>
      </w:r>
      <w:r w:rsidR="003E5F36">
        <w:rPr>
          <w:szCs w:val="22"/>
        </w:rPr>
        <w:t xml:space="preserve"> </w:t>
      </w:r>
      <w:r w:rsidR="003E5F36">
        <w:rPr>
          <w:szCs w:val="22"/>
        </w:rPr>
        <w:br/>
      </w:r>
      <w:r w:rsidRPr="00C30D5C">
        <w:rPr>
          <w:szCs w:val="22"/>
        </w:rPr>
        <w:t>4</w:t>
      </w:r>
      <w:r w:rsidR="003E5F36">
        <w:rPr>
          <w:szCs w:val="22"/>
        </w:rPr>
        <w:t> </w:t>
      </w:r>
      <w:r w:rsidR="000471F7">
        <w:rPr>
          <w:szCs w:val="22"/>
        </w:rPr>
        <w:t>–</w:t>
      </w:r>
      <w:r w:rsidR="003E5F36">
        <w:rPr>
          <w:szCs w:val="22"/>
        </w:rPr>
        <w:t> </w:t>
      </w:r>
      <w:r w:rsidRPr="00C30D5C">
        <w:rPr>
          <w:szCs w:val="22"/>
        </w:rPr>
        <w:t>6 hodín.</w:t>
      </w:r>
    </w:p>
    <w:p w14:paraId="0DDD8E98" w14:textId="77777777" w:rsidR="00D83504" w:rsidRPr="00C30D5C" w:rsidRDefault="00D83504" w:rsidP="00D83504">
      <w:pPr>
        <w:tabs>
          <w:tab w:val="left" w:pos="0"/>
        </w:tabs>
        <w:ind w:left="0" w:firstLine="0"/>
        <w:rPr>
          <w:szCs w:val="22"/>
        </w:rPr>
      </w:pPr>
    </w:p>
    <w:p w14:paraId="07B410D9" w14:textId="77777777" w:rsidR="0049191E" w:rsidRPr="00C30D5C" w:rsidRDefault="00D83504" w:rsidP="00D83504">
      <w:pPr>
        <w:tabs>
          <w:tab w:val="left" w:pos="0"/>
        </w:tabs>
        <w:ind w:left="0" w:firstLine="0"/>
        <w:rPr>
          <w:szCs w:val="22"/>
        </w:rPr>
      </w:pPr>
      <w:r w:rsidRPr="00C30D5C">
        <w:rPr>
          <w:szCs w:val="22"/>
        </w:rPr>
        <w:t>Paracetamol Noridem znižuje horúčku v priebehu 30 minút po podaní. Antipyretický účinok pretrváva minimálne 6 hodín.</w:t>
      </w:r>
    </w:p>
    <w:p w14:paraId="21F70E14" w14:textId="77777777" w:rsidR="0049191E" w:rsidRPr="00C30D5C" w:rsidRDefault="0049191E" w:rsidP="00E41B3F">
      <w:pPr>
        <w:rPr>
          <w:szCs w:val="22"/>
        </w:rPr>
      </w:pPr>
    </w:p>
    <w:p w14:paraId="1DE3E66A" w14:textId="77777777" w:rsidR="00780926" w:rsidRPr="00C30D5C" w:rsidRDefault="009F59C1" w:rsidP="00E41B3F">
      <w:pPr>
        <w:rPr>
          <w:b/>
          <w:szCs w:val="22"/>
        </w:rPr>
      </w:pPr>
      <w:r w:rsidRPr="00C30D5C">
        <w:rPr>
          <w:b/>
          <w:szCs w:val="22"/>
        </w:rPr>
        <w:t>5.2</w:t>
      </w:r>
      <w:r w:rsidRPr="00C30D5C">
        <w:rPr>
          <w:b/>
          <w:szCs w:val="22"/>
        </w:rPr>
        <w:tab/>
        <w:t>Farmakokinetické vlastnosti</w:t>
      </w:r>
    </w:p>
    <w:p w14:paraId="4B0B3F7B" w14:textId="77777777" w:rsidR="00E1698A" w:rsidRPr="00C30D5C" w:rsidRDefault="00E1698A" w:rsidP="00E41B3F">
      <w:pPr>
        <w:rPr>
          <w:szCs w:val="22"/>
        </w:rPr>
      </w:pPr>
    </w:p>
    <w:p w14:paraId="098F3CC3" w14:textId="77777777" w:rsidR="009F59C1" w:rsidRPr="00C30D5C" w:rsidRDefault="009F59C1" w:rsidP="00E41B3F">
      <w:pPr>
        <w:rPr>
          <w:b/>
          <w:szCs w:val="22"/>
        </w:rPr>
      </w:pPr>
      <w:r w:rsidRPr="00C30D5C">
        <w:rPr>
          <w:b/>
          <w:szCs w:val="22"/>
        </w:rPr>
        <w:t>Dospelí</w:t>
      </w:r>
      <w:r w:rsidR="0088732A" w:rsidRPr="00C30D5C">
        <w:rPr>
          <w:b/>
          <w:szCs w:val="22"/>
        </w:rPr>
        <w:t>:</w:t>
      </w:r>
    </w:p>
    <w:p w14:paraId="571AA79B" w14:textId="77777777" w:rsidR="009F59C1" w:rsidRPr="00C30D5C" w:rsidRDefault="009F59C1" w:rsidP="00E41B3F">
      <w:pPr>
        <w:rPr>
          <w:szCs w:val="22"/>
        </w:rPr>
      </w:pPr>
    </w:p>
    <w:p w14:paraId="349CC9F0" w14:textId="77777777" w:rsidR="00FC6918" w:rsidRPr="000471F7" w:rsidRDefault="009F59C1" w:rsidP="00E41B3F">
      <w:pPr>
        <w:numPr>
          <w:ilvl w:val="12"/>
          <w:numId w:val="0"/>
        </w:numPr>
        <w:suppressLineNumbers/>
        <w:ind w:right="-2"/>
        <w:rPr>
          <w:bCs/>
          <w:i/>
          <w:iCs/>
          <w:noProof/>
          <w:szCs w:val="22"/>
        </w:rPr>
      </w:pPr>
      <w:r w:rsidRPr="000471F7">
        <w:rPr>
          <w:bCs/>
          <w:i/>
          <w:iCs/>
          <w:noProof/>
          <w:szCs w:val="22"/>
        </w:rPr>
        <w:t>Absorpcia</w:t>
      </w:r>
    </w:p>
    <w:p w14:paraId="7DFBD3DA" w14:textId="77777777" w:rsidR="00D83504" w:rsidRPr="00C30D5C" w:rsidRDefault="00D83504" w:rsidP="00D83504">
      <w:pPr>
        <w:ind w:left="0" w:firstLine="0"/>
        <w:rPr>
          <w:bCs/>
          <w:iCs/>
          <w:szCs w:val="22"/>
        </w:rPr>
      </w:pPr>
      <w:r w:rsidRPr="00C30D5C">
        <w:rPr>
          <w:bCs/>
          <w:iCs/>
          <w:szCs w:val="22"/>
        </w:rPr>
        <w:t>Po jednorazovom a opakovanom podávaní počas 24 hodín je farmakokinetika paracetamolu lineárna až do 2 g.</w:t>
      </w:r>
    </w:p>
    <w:p w14:paraId="40FB3FF7" w14:textId="77777777" w:rsidR="00D83504" w:rsidRPr="00C30D5C" w:rsidRDefault="00D83504" w:rsidP="00D83504">
      <w:pPr>
        <w:ind w:left="0" w:firstLine="0"/>
        <w:rPr>
          <w:bCs/>
          <w:iCs/>
          <w:szCs w:val="22"/>
        </w:rPr>
      </w:pPr>
    </w:p>
    <w:p w14:paraId="01D1C49F" w14:textId="77777777" w:rsidR="00D83504" w:rsidRPr="00C30D5C" w:rsidRDefault="00D83504" w:rsidP="00D83504">
      <w:pPr>
        <w:ind w:left="0" w:firstLine="0"/>
        <w:rPr>
          <w:bCs/>
          <w:iCs/>
          <w:szCs w:val="22"/>
        </w:rPr>
      </w:pPr>
      <w:r w:rsidRPr="00C30D5C">
        <w:rPr>
          <w:bCs/>
          <w:iCs/>
          <w:szCs w:val="22"/>
        </w:rPr>
        <w:t xml:space="preserve">Biologická dostupnosť paracetamolu po infúzii 500 mg a 1 g </w:t>
      </w:r>
      <w:r w:rsidR="0088732A" w:rsidRPr="00C30D5C">
        <w:rPr>
          <w:bCs/>
          <w:iCs/>
          <w:szCs w:val="22"/>
        </w:rPr>
        <w:t>Paracetamolu Noridem</w:t>
      </w:r>
      <w:r w:rsidRPr="00C30D5C">
        <w:rPr>
          <w:bCs/>
          <w:iCs/>
          <w:szCs w:val="22"/>
        </w:rPr>
        <w:t xml:space="preserve"> je podobná ako po podaní infúzie 1 g a 2 g propacetamolu (čo zodpovedá 500 mg a 1 g paracetamolu), v uvedenom poradí.</w:t>
      </w:r>
    </w:p>
    <w:p w14:paraId="6770ABBA" w14:textId="77777777" w:rsidR="00D83504" w:rsidRPr="00C30D5C" w:rsidRDefault="00D83504" w:rsidP="00D83504">
      <w:pPr>
        <w:ind w:left="0" w:firstLine="0"/>
        <w:rPr>
          <w:bCs/>
          <w:iCs/>
          <w:szCs w:val="22"/>
        </w:rPr>
      </w:pPr>
      <w:r w:rsidRPr="00C30D5C">
        <w:rPr>
          <w:bCs/>
          <w:iCs/>
          <w:szCs w:val="22"/>
        </w:rPr>
        <w:t>Maximálna plazmatická koncentrácia (C</w:t>
      </w:r>
      <w:r w:rsidRPr="00C30D5C">
        <w:rPr>
          <w:bCs/>
          <w:iCs/>
          <w:szCs w:val="22"/>
          <w:vertAlign w:val="subscript"/>
        </w:rPr>
        <w:t>max</w:t>
      </w:r>
      <w:r w:rsidRPr="00C30D5C">
        <w:rPr>
          <w:bCs/>
          <w:iCs/>
          <w:szCs w:val="22"/>
        </w:rPr>
        <w:t>)</w:t>
      </w:r>
      <w:r w:rsidRPr="00C30D5C">
        <w:rPr>
          <w:bCs/>
          <w:iCs/>
          <w:szCs w:val="22"/>
          <w:vertAlign w:val="subscript"/>
        </w:rPr>
        <w:t xml:space="preserve"> </w:t>
      </w:r>
      <w:r w:rsidRPr="00C30D5C">
        <w:rPr>
          <w:bCs/>
          <w:iCs/>
          <w:szCs w:val="22"/>
        </w:rPr>
        <w:t xml:space="preserve">paracetamolu pozorovaná na konci 15 minútovej intravenóznej infúzie 500 mg a 1 g </w:t>
      </w:r>
      <w:r w:rsidR="0088732A" w:rsidRPr="00C30D5C">
        <w:rPr>
          <w:bCs/>
          <w:iCs/>
          <w:szCs w:val="22"/>
        </w:rPr>
        <w:t>Paracetamolu Noridem</w:t>
      </w:r>
      <w:r w:rsidRPr="00C30D5C">
        <w:rPr>
          <w:bCs/>
          <w:iCs/>
          <w:szCs w:val="22"/>
        </w:rPr>
        <w:t xml:space="preserve"> je približne 15 </w:t>
      </w:r>
      <w:r w:rsidRPr="00C30D5C">
        <w:rPr>
          <w:bCs/>
          <w:iCs/>
          <w:szCs w:val="22"/>
        </w:rPr>
        <w:sym w:font="Symbol" w:char="F06D"/>
      </w:r>
      <w:r w:rsidRPr="00C30D5C">
        <w:rPr>
          <w:bCs/>
          <w:iCs/>
          <w:szCs w:val="22"/>
        </w:rPr>
        <w:t>g/ml a 30 </w:t>
      </w:r>
      <w:r w:rsidRPr="00C30D5C">
        <w:rPr>
          <w:bCs/>
          <w:iCs/>
          <w:szCs w:val="22"/>
        </w:rPr>
        <w:sym w:font="Symbol" w:char="F06D"/>
      </w:r>
      <w:r w:rsidRPr="00C30D5C">
        <w:rPr>
          <w:bCs/>
          <w:iCs/>
          <w:szCs w:val="22"/>
        </w:rPr>
        <w:t>g/ml, v uvedenom poradí.</w:t>
      </w:r>
    </w:p>
    <w:p w14:paraId="6878DF9A" w14:textId="77777777" w:rsidR="009F59C1" w:rsidRPr="00C30D5C" w:rsidRDefault="009F59C1" w:rsidP="00E41B3F">
      <w:pPr>
        <w:numPr>
          <w:ilvl w:val="12"/>
          <w:numId w:val="0"/>
        </w:numPr>
        <w:suppressLineNumbers/>
        <w:ind w:right="-2"/>
        <w:rPr>
          <w:noProof/>
          <w:szCs w:val="22"/>
          <w:u w:val="single"/>
        </w:rPr>
      </w:pPr>
    </w:p>
    <w:p w14:paraId="00271069" w14:textId="77777777" w:rsidR="00FC6918" w:rsidRPr="000471F7" w:rsidRDefault="009F59C1" w:rsidP="00E41B3F">
      <w:pPr>
        <w:numPr>
          <w:ilvl w:val="12"/>
          <w:numId w:val="0"/>
        </w:numPr>
        <w:suppressLineNumbers/>
        <w:ind w:right="-2"/>
        <w:rPr>
          <w:bCs/>
          <w:i/>
          <w:iCs/>
          <w:noProof/>
          <w:szCs w:val="22"/>
        </w:rPr>
      </w:pPr>
      <w:r w:rsidRPr="000471F7">
        <w:rPr>
          <w:bCs/>
          <w:i/>
          <w:iCs/>
          <w:noProof/>
          <w:szCs w:val="22"/>
        </w:rPr>
        <w:t>Distribúcia</w:t>
      </w:r>
    </w:p>
    <w:p w14:paraId="75AD2A1D" w14:textId="77777777" w:rsidR="0088732A" w:rsidRPr="00C30D5C" w:rsidRDefault="00D83504" w:rsidP="00D83504">
      <w:pPr>
        <w:ind w:left="0" w:firstLine="0"/>
        <w:rPr>
          <w:bCs/>
          <w:iCs/>
          <w:szCs w:val="22"/>
        </w:rPr>
      </w:pPr>
      <w:r w:rsidRPr="00C30D5C">
        <w:rPr>
          <w:bCs/>
          <w:iCs/>
          <w:szCs w:val="22"/>
        </w:rPr>
        <w:t>Distribučný objem paracetam</w:t>
      </w:r>
      <w:r w:rsidR="0088732A" w:rsidRPr="00C30D5C">
        <w:rPr>
          <w:bCs/>
          <w:iCs/>
          <w:szCs w:val="22"/>
        </w:rPr>
        <w:t>olu je približne 1 l/kg.</w:t>
      </w:r>
    </w:p>
    <w:p w14:paraId="0F358D8E" w14:textId="77777777" w:rsidR="0088732A" w:rsidRPr="00C30D5C" w:rsidRDefault="0088732A" w:rsidP="00D83504">
      <w:pPr>
        <w:ind w:left="0" w:firstLine="0"/>
        <w:rPr>
          <w:bCs/>
          <w:iCs/>
          <w:szCs w:val="22"/>
        </w:rPr>
      </w:pPr>
    </w:p>
    <w:p w14:paraId="14843B8F" w14:textId="4759FB22" w:rsidR="0088732A" w:rsidRPr="00C30D5C" w:rsidRDefault="00D83504" w:rsidP="00D83504">
      <w:pPr>
        <w:ind w:left="0" w:firstLine="0"/>
        <w:rPr>
          <w:bCs/>
          <w:iCs/>
          <w:szCs w:val="22"/>
        </w:rPr>
      </w:pPr>
      <w:r w:rsidRPr="00C30D5C">
        <w:rPr>
          <w:bCs/>
          <w:iCs/>
          <w:szCs w:val="22"/>
        </w:rPr>
        <w:t>Paracetamol sa neviaže vo výraznej miere na plazmatic</w:t>
      </w:r>
      <w:r w:rsidR="0088732A" w:rsidRPr="00C30D5C">
        <w:rPr>
          <w:bCs/>
          <w:iCs/>
          <w:szCs w:val="22"/>
        </w:rPr>
        <w:t>ké bielkoviny.</w:t>
      </w:r>
    </w:p>
    <w:p w14:paraId="2FED8E8E" w14:textId="77777777" w:rsidR="0088732A" w:rsidRPr="00C30D5C" w:rsidRDefault="0088732A" w:rsidP="00D83504">
      <w:pPr>
        <w:ind w:left="0" w:firstLine="0"/>
        <w:rPr>
          <w:bCs/>
          <w:iCs/>
          <w:szCs w:val="22"/>
        </w:rPr>
      </w:pPr>
    </w:p>
    <w:p w14:paraId="47829A81" w14:textId="77777777" w:rsidR="00D83504" w:rsidRPr="00C30D5C" w:rsidRDefault="00D83504" w:rsidP="00D83504">
      <w:pPr>
        <w:ind w:left="0" w:firstLine="0"/>
        <w:rPr>
          <w:bCs/>
          <w:iCs/>
          <w:szCs w:val="22"/>
        </w:rPr>
      </w:pPr>
      <w:r w:rsidRPr="00C30D5C">
        <w:rPr>
          <w:bCs/>
          <w:iCs/>
          <w:szCs w:val="22"/>
        </w:rPr>
        <w:t>Významné koncentrácie paracetamolu (približne 1,5 </w:t>
      </w:r>
      <w:r w:rsidRPr="00C30D5C">
        <w:rPr>
          <w:bCs/>
          <w:iCs/>
          <w:szCs w:val="22"/>
        </w:rPr>
        <w:sym w:font="Symbol" w:char="F06D"/>
      </w:r>
      <w:r w:rsidRPr="00C30D5C">
        <w:rPr>
          <w:bCs/>
          <w:iCs/>
          <w:szCs w:val="22"/>
        </w:rPr>
        <w:t>g/ml) sa pozorovali v cerebrospinálnom moku dvadsať minút po podaní infúzie 1 g paracetamolu.</w:t>
      </w:r>
    </w:p>
    <w:p w14:paraId="786E1430" w14:textId="77777777" w:rsidR="009F59C1" w:rsidRPr="00C30D5C" w:rsidRDefault="009F59C1" w:rsidP="00E41B3F">
      <w:pPr>
        <w:numPr>
          <w:ilvl w:val="12"/>
          <w:numId w:val="0"/>
        </w:numPr>
        <w:suppressLineNumbers/>
        <w:ind w:right="-2"/>
        <w:rPr>
          <w:noProof/>
          <w:szCs w:val="22"/>
          <w:u w:val="single"/>
        </w:rPr>
      </w:pPr>
    </w:p>
    <w:p w14:paraId="320960A9" w14:textId="77777777" w:rsidR="00FC6918" w:rsidRPr="000471F7" w:rsidRDefault="009F59C1" w:rsidP="00E41B3F">
      <w:pPr>
        <w:numPr>
          <w:ilvl w:val="12"/>
          <w:numId w:val="0"/>
        </w:numPr>
        <w:suppressLineNumbers/>
        <w:ind w:right="-2"/>
        <w:rPr>
          <w:bCs/>
          <w:i/>
          <w:iCs/>
          <w:noProof/>
          <w:szCs w:val="22"/>
        </w:rPr>
      </w:pPr>
      <w:r w:rsidRPr="000471F7">
        <w:rPr>
          <w:bCs/>
          <w:i/>
          <w:iCs/>
          <w:noProof/>
          <w:szCs w:val="22"/>
        </w:rPr>
        <w:t>Biotransformácia</w:t>
      </w:r>
    </w:p>
    <w:p w14:paraId="2CCE0A8A" w14:textId="77777777" w:rsidR="00D83504" w:rsidRPr="00C30D5C" w:rsidRDefault="00D83504" w:rsidP="00D83504">
      <w:pPr>
        <w:ind w:left="0" w:firstLine="0"/>
        <w:rPr>
          <w:bCs/>
          <w:iCs/>
          <w:szCs w:val="22"/>
        </w:rPr>
      </w:pPr>
      <w:r w:rsidRPr="00C30D5C">
        <w:rPr>
          <w:bCs/>
          <w:iCs/>
          <w:szCs w:val="22"/>
        </w:rPr>
        <w:t>Paracetamol sa metabolizuje hlavne v pečeni dvoma hlavnými metabolickými cestami: konjugáciou s kyselinou glukurónovou a s kyselinou sírovou. Druhá cesta je pri dávkach, ktoré prevyšujú terapeutickú dávku, rýchlo saturovaná. Malé množstvo (menej ako 4 %) sa metabolizuje cytochrómom P450 na reaktívny medziprodukt (N-acetylbenzochinónimín), ktorý je pri normálnom dávkovaní rýchlo detoxikovaný redukovaným glutatiónom a po konjugácii s cysteínom a kyselinou merkapturovou vylučovaný močom. V prípade závažného predávkovania je však množstvo tohto toxického metabolitu zvýšené.</w:t>
      </w:r>
    </w:p>
    <w:p w14:paraId="77770D1F" w14:textId="77777777" w:rsidR="009F59C1" w:rsidRPr="00C30D5C" w:rsidRDefault="009F59C1" w:rsidP="009F59C1">
      <w:pPr>
        <w:numPr>
          <w:ilvl w:val="12"/>
          <w:numId w:val="0"/>
        </w:numPr>
        <w:suppressLineNumbers/>
        <w:ind w:right="-2"/>
        <w:rPr>
          <w:noProof/>
          <w:szCs w:val="22"/>
          <w:u w:val="single"/>
        </w:rPr>
      </w:pPr>
    </w:p>
    <w:p w14:paraId="2D3F58EC" w14:textId="77777777" w:rsidR="00FC6918" w:rsidRPr="000471F7" w:rsidRDefault="009F59C1" w:rsidP="00E41B3F">
      <w:pPr>
        <w:numPr>
          <w:ilvl w:val="12"/>
          <w:numId w:val="0"/>
        </w:numPr>
        <w:suppressLineNumbers/>
        <w:ind w:right="-2"/>
        <w:rPr>
          <w:bCs/>
          <w:i/>
          <w:iCs/>
          <w:noProof/>
          <w:szCs w:val="22"/>
        </w:rPr>
      </w:pPr>
      <w:r w:rsidRPr="000471F7">
        <w:rPr>
          <w:bCs/>
          <w:i/>
          <w:iCs/>
          <w:noProof/>
          <w:szCs w:val="22"/>
        </w:rPr>
        <w:t>Eliminácia</w:t>
      </w:r>
    </w:p>
    <w:p w14:paraId="7243168B" w14:textId="62042D41" w:rsidR="00D83504" w:rsidRPr="00C30D5C" w:rsidRDefault="00D83504" w:rsidP="00D83504">
      <w:pPr>
        <w:ind w:left="0" w:firstLine="0"/>
        <w:rPr>
          <w:bCs/>
          <w:iCs/>
          <w:szCs w:val="22"/>
        </w:rPr>
      </w:pPr>
      <w:r w:rsidRPr="00C30D5C">
        <w:rPr>
          <w:bCs/>
          <w:iCs/>
          <w:szCs w:val="22"/>
        </w:rPr>
        <w:t>Metabolity paracetamolu sú vylučované predovšetkým močom. 90 % podanej dávky sa vylúči v priebehu 24 hodín, hlavne vo forme glukuronidových (60–80 %) a sulfátových (20–30 %) konjugátov. Menej ako 5 % sa vylúči v nezmenenej forme. Plazmatický polčas je 2,7 hodín a celkový tel</w:t>
      </w:r>
      <w:r w:rsidR="00A30066">
        <w:rPr>
          <w:bCs/>
          <w:iCs/>
          <w:szCs w:val="22"/>
        </w:rPr>
        <w:t>esn</w:t>
      </w:r>
      <w:r w:rsidRPr="00C30D5C">
        <w:rPr>
          <w:bCs/>
          <w:iCs/>
          <w:szCs w:val="22"/>
        </w:rPr>
        <w:t>ý klírens je 18 l/h.</w:t>
      </w:r>
    </w:p>
    <w:p w14:paraId="12C4D746" w14:textId="77777777" w:rsidR="00780926" w:rsidRPr="00C30D5C" w:rsidRDefault="00780926" w:rsidP="00E41B3F">
      <w:pPr>
        <w:rPr>
          <w:noProof/>
          <w:szCs w:val="22"/>
          <w:u w:val="single"/>
        </w:rPr>
      </w:pPr>
    </w:p>
    <w:p w14:paraId="248346D0" w14:textId="77777777" w:rsidR="009F59C1" w:rsidRPr="00C30D5C" w:rsidRDefault="009F59C1" w:rsidP="009F59C1">
      <w:pPr>
        <w:spacing w:line="252" w:lineRule="exact"/>
        <w:rPr>
          <w:b/>
          <w:iCs/>
          <w:szCs w:val="22"/>
        </w:rPr>
      </w:pPr>
      <w:r w:rsidRPr="00C30D5C">
        <w:rPr>
          <w:b/>
          <w:iCs/>
          <w:szCs w:val="22"/>
        </w:rPr>
        <w:t>Pediatrická popul</w:t>
      </w:r>
      <w:r w:rsidR="00D83504" w:rsidRPr="00C30D5C">
        <w:rPr>
          <w:b/>
          <w:iCs/>
          <w:szCs w:val="22"/>
        </w:rPr>
        <w:t>ácia</w:t>
      </w:r>
    </w:p>
    <w:p w14:paraId="5B405DBF" w14:textId="5548F1A6" w:rsidR="00D83504" w:rsidRPr="00C30D5C" w:rsidRDefault="00D83504" w:rsidP="00D83504">
      <w:pPr>
        <w:ind w:left="0" w:firstLine="0"/>
        <w:rPr>
          <w:bCs/>
          <w:iCs/>
          <w:szCs w:val="22"/>
        </w:rPr>
      </w:pPr>
      <w:r w:rsidRPr="00C30D5C">
        <w:rPr>
          <w:bCs/>
          <w:iCs/>
          <w:szCs w:val="22"/>
        </w:rPr>
        <w:t xml:space="preserve">Farmakokinetické parametre paracetamolu pozorované u dojčiat a detí sú podobné ako parametre pozorované u dospelých s výnimkou plazmatického polčasu, ktorý je mierne kratší (1,5 až 2 hodiny) ako u dospelých. U novorodencov je plazmatický polčas dlhší ako u dojčiat, t.j. okolo 3,5 hodiny. </w:t>
      </w:r>
      <w:r w:rsidRPr="00C30D5C">
        <w:rPr>
          <w:bCs/>
          <w:iCs/>
          <w:szCs w:val="22"/>
        </w:rPr>
        <w:lastRenderedPageBreak/>
        <w:t>Novorodenci, dojčatá a deti  do 10 rokov vylučujú významne menej glukuronidových a viac sulfátových konjugátov ako dospelí.</w:t>
      </w:r>
    </w:p>
    <w:p w14:paraId="77A70092" w14:textId="77777777" w:rsidR="000471F7" w:rsidRPr="00C30D5C" w:rsidRDefault="000471F7" w:rsidP="009F59C1">
      <w:pPr>
        <w:pStyle w:val="Zkladntext"/>
        <w:spacing w:before="2"/>
        <w:rPr>
          <w:szCs w:val="22"/>
        </w:rPr>
      </w:pPr>
    </w:p>
    <w:p w14:paraId="5CCDEA4E" w14:textId="77777777" w:rsidR="00D83504" w:rsidRPr="00C30D5C" w:rsidRDefault="00D83504" w:rsidP="00D83504">
      <w:pPr>
        <w:tabs>
          <w:tab w:val="left" w:pos="567"/>
        </w:tabs>
        <w:spacing w:line="260" w:lineRule="exact"/>
        <w:ind w:left="0" w:firstLine="0"/>
        <w:rPr>
          <w:i/>
          <w:szCs w:val="22"/>
          <w:lang w:eastAsia="en-US"/>
        </w:rPr>
      </w:pPr>
      <w:r w:rsidRPr="00C30D5C">
        <w:rPr>
          <w:i/>
          <w:szCs w:val="22"/>
          <w:lang w:eastAsia="en-US"/>
        </w:rPr>
        <w:t>Tabuľka: Farmakokinetické hodnoty v závislosti od veku (štandardizovaný klírens, *CL</w:t>
      </w:r>
      <w:r w:rsidRPr="00C30D5C">
        <w:rPr>
          <w:i/>
          <w:szCs w:val="22"/>
          <w:vertAlign w:val="subscript"/>
          <w:lang w:eastAsia="en-US"/>
        </w:rPr>
        <w:t>std</w:t>
      </w:r>
      <w:r w:rsidRPr="00C30D5C">
        <w:rPr>
          <w:i/>
          <w:szCs w:val="22"/>
          <w:lang w:eastAsia="en-US"/>
        </w:rPr>
        <w:t>/F</w:t>
      </w:r>
      <w:r w:rsidRPr="00C30D5C">
        <w:rPr>
          <w:i/>
          <w:szCs w:val="22"/>
          <w:vertAlign w:val="subscript"/>
          <w:lang w:eastAsia="en-US"/>
        </w:rPr>
        <w:t>oral</w:t>
      </w:r>
      <w:r w:rsidRPr="00C30D5C">
        <w:rPr>
          <w:i/>
          <w:szCs w:val="22"/>
          <w:lang w:eastAsia="en-US"/>
        </w:rPr>
        <w:t xml:space="preserve">  (l.h</w:t>
      </w:r>
      <w:r w:rsidRPr="00C30D5C">
        <w:rPr>
          <w:i/>
          <w:szCs w:val="22"/>
          <w:vertAlign w:val="superscript"/>
          <w:lang w:eastAsia="en-US"/>
        </w:rPr>
        <w:t>-1</w:t>
      </w:r>
      <w:r w:rsidRPr="00C30D5C">
        <w:rPr>
          <w:i/>
          <w:szCs w:val="22"/>
          <w:lang w:eastAsia="en-US"/>
        </w:rPr>
        <w:t xml:space="preserve"> 70 kg</w:t>
      </w:r>
      <w:r w:rsidRPr="00C30D5C">
        <w:rPr>
          <w:i/>
          <w:szCs w:val="22"/>
          <w:vertAlign w:val="superscript"/>
          <w:lang w:eastAsia="en-US"/>
        </w:rPr>
        <w:t>-1</w:t>
      </w:r>
      <w:r w:rsidRPr="00C30D5C">
        <w:rPr>
          <w:i/>
          <w:szCs w:val="22"/>
          <w:lang w:eastAsia="en-US"/>
        </w:rPr>
        <w:t>)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985"/>
        <w:gridCol w:w="2627"/>
      </w:tblGrid>
      <w:tr w:rsidR="000471F7" w14:paraId="72CEEFF6" w14:textId="77777777" w:rsidTr="00164771">
        <w:trPr>
          <w:trHeight w:val="254"/>
        </w:trPr>
        <w:tc>
          <w:tcPr>
            <w:tcW w:w="3260" w:type="dxa"/>
          </w:tcPr>
          <w:p w14:paraId="62A2A98C" w14:textId="77777777" w:rsidR="000471F7" w:rsidRPr="000471F7" w:rsidRDefault="000471F7" w:rsidP="00164771">
            <w:pPr>
              <w:tabs>
                <w:tab w:val="left" w:pos="567"/>
              </w:tabs>
              <w:spacing w:before="60" w:after="60"/>
              <w:ind w:left="0" w:firstLine="0"/>
              <w:rPr>
                <w:rFonts w:ascii="Times New Roman" w:eastAsia="Calibri" w:hAnsi="Times New Roman" w:cs="Times New Roman"/>
                <w:bCs/>
                <w:i/>
                <w:lang w:eastAsia="en-US"/>
              </w:rPr>
            </w:pPr>
            <w:r w:rsidRPr="000471F7">
              <w:rPr>
                <w:rFonts w:ascii="Times New Roman" w:eastAsia="Calibri" w:hAnsi="Times New Roman" w:cs="Times New Roman"/>
                <w:bCs/>
                <w:i/>
                <w:lang w:eastAsia="en-US"/>
              </w:rPr>
              <w:t>Vek</w:t>
            </w:r>
          </w:p>
        </w:tc>
        <w:tc>
          <w:tcPr>
            <w:tcW w:w="1985" w:type="dxa"/>
          </w:tcPr>
          <w:p w14:paraId="154F3954" w14:textId="77777777" w:rsidR="000471F7" w:rsidRPr="000471F7" w:rsidRDefault="000471F7" w:rsidP="000471F7">
            <w:pPr>
              <w:tabs>
                <w:tab w:val="left" w:pos="567"/>
              </w:tabs>
              <w:spacing w:before="60" w:after="60"/>
              <w:ind w:left="0" w:firstLine="0"/>
              <w:jc w:val="center"/>
              <w:rPr>
                <w:rFonts w:ascii="Times New Roman" w:eastAsia="Calibri" w:hAnsi="Times New Roman" w:cs="Times New Roman"/>
                <w:bCs/>
                <w:i/>
                <w:lang w:eastAsia="en-US"/>
              </w:rPr>
            </w:pPr>
            <w:r w:rsidRPr="000471F7">
              <w:rPr>
                <w:rFonts w:ascii="Times New Roman" w:eastAsia="Calibri" w:hAnsi="Times New Roman" w:cs="Times New Roman"/>
                <w:bCs/>
                <w:i/>
                <w:lang w:eastAsia="en-US"/>
              </w:rPr>
              <w:t>Telesná hmotnost (kg)</w:t>
            </w:r>
          </w:p>
        </w:tc>
        <w:tc>
          <w:tcPr>
            <w:tcW w:w="2627" w:type="dxa"/>
          </w:tcPr>
          <w:p w14:paraId="1B56FA59" w14:textId="77777777" w:rsidR="000471F7" w:rsidRPr="000471F7" w:rsidRDefault="000471F7" w:rsidP="000471F7">
            <w:pPr>
              <w:tabs>
                <w:tab w:val="left" w:pos="567"/>
              </w:tabs>
              <w:spacing w:before="60" w:after="60"/>
              <w:ind w:left="0" w:firstLine="0"/>
              <w:jc w:val="center"/>
              <w:rPr>
                <w:rFonts w:ascii="Times New Roman" w:eastAsia="Calibri" w:hAnsi="Times New Roman" w:cs="Times New Roman"/>
                <w:bCs/>
                <w:i/>
                <w:lang w:eastAsia="en-US"/>
              </w:rPr>
            </w:pPr>
            <w:r w:rsidRPr="000471F7">
              <w:rPr>
                <w:rFonts w:ascii="Times New Roman" w:eastAsia="Calibri" w:hAnsi="Times New Roman" w:cs="Times New Roman"/>
                <w:bCs/>
                <w:i/>
                <w:lang w:eastAsia="en-US"/>
              </w:rPr>
              <w:t>CLstd/Foral (l.h-1 70 kg-1)</w:t>
            </w:r>
          </w:p>
        </w:tc>
      </w:tr>
      <w:tr w:rsidR="000471F7" w14:paraId="157199A5" w14:textId="77777777" w:rsidTr="00164771">
        <w:trPr>
          <w:trHeight w:val="1805"/>
        </w:trPr>
        <w:tc>
          <w:tcPr>
            <w:tcW w:w="3260" w:type="dxa"/>
          </w:tcPr>
          <w:p w14:paraId="07D8A316" w14:textId="77777777" w:rsidR="00164771" w:rsidRDefault="00164771" w:rsidP="00164771">
            <w:pPr>
              <w:pStyle w:val="TableParagraph"/>
              <w:numPr>
                <w:ilvl w:val="0"/>
                <w:numId w:val="22"/>
              </w:numPr>
              <w:spacing w:line="252" w:lineRule="exact"/>
              <w:ind w:left="345" w:hanging="275"/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lang w:eastAsia="en-US"/>
              </w:rPr>
              <w:t>t</w:t>
            </w:r>
            <w:r w:rsidR="000471F7" w:rsidRPr="00C30D5C">
              <w:rPr>
                <w:rFonts w:ascii="Times New Roman" w:eastAsia="Calibri" w:hAnsi="Times New Roman" w:cs="Times New Roman"/>
                <w:i/>
                <w:lang w:eastAsia="en-US"/>
              </w:rPr>
              <w:t>ýždňov (vek po počatí)</w:t>
            </w:r>
          </w:p>
          <w:p w14:paraId="1CF53A11" w14:textId="6A6B61BE" w:rsidR="000471F7" w:rsidRDefault="00164771" w:rsidP="00164771">
            <w:pPr>
              <w:pStyle w:val="TableParagraph"/>
              <w:spacing w:line="252" w:lineRule="exact"/>
              <w:ind w:left="70"/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lang w:eastAsia="en-US"/>
              </w:rPr>
              <w:t xml:space="preserve">3 </w:t>
            </w:r>
            <w:r w:rsidR="000471F7" w:rsidRPr="00C30D5C">
              <w:rPr>
                <w:rFonts w:ascii="Times New Roman" w:eastAsia="Calibri" w:hAnsi="Times New Roman" w:cs="Times New Roman"/>
                <w:i/>
                <w:lang w:eastAsia="en-US"/>
              </w:rPr>
              <w:t>mesiace</w:t>
            </w:r>
            <w:r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po naroden</w:t>
            </w:r>
            <w:r w:rsidR="00B46D2B">
              <w:rPr>
                <w:rFonts w:ascii="Times New Roman" w:eastAsia="Calibri" w:hAnsi="Times New Roman" w:cs="Times New Roman"/>
                <w:i/>
                <w:lang w:eastAsia="en-US"/>
              </w:rPr>
              <w:t>í</w:t>
            </w:r>
            <w:r w:rsidR="000471F7" w:rsidRPr="00C30D5C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i/>
                <w:lang w:eastAsia="en-US"/>
              </w:rPr>
              <w:t>PNA</w:t>
            </w:r>
            <w:r w:rsidR="000471F7" w:rsidRPr="00C30D5C">
              <w:rPr>
                <w:rFonts w:ascii="Times New Roman" w:eastAsia="Calibri" w:hAnsi="Times New Roman" w:cs="Times New Roman"/>
                <w:i/>
                <w:lang w:eastAsia="en-US"/>
              </w:rPr>
              <w:t>)</w:t>
            </w:r>
          </w:p>
          <w:p w14:paraId="06C16510" w14:textId="77777777" w:rsidR="00164771" w:rsidRPr="00164771" w:rsidRDefault="00164771" w:rsidP="00164771">
            <w:pPr>
              <w:pStyle w:val="TableParagraph"/>
              <w:tabs>
                <w:tab w:val="left" w:pos="240"/>
              </w:tabs>
              <w:spacing w:line="252" w:lineRule="exact"/>
              <w:ind w:left="345" w:hanging="275"/>
              <w:rPr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lang w:eastAsia="en-US"/>
              </w:rPr>
              <w:t xml:space="preserve">6 </w:t>
            </w:r>
            <w:r w:rsidR="000471F7" w:rsidRPr="00C30D5C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mesiacov </w:t>
            </w:r>
            <w:r w:rsidR="000471F7">
              <w:rPr>
                <w:rFonts w:ascii="Times New Roman" w:eastAsia="Calibri" w:hAnsi="Times New Roman" w:cs="Times New Roman"/>
                <w:i/>
                <w:lang w:eastAsia="en-US"/>
              </w:rPr>
              <w:t>PNA</w:t>
            </w:r>
          </w:p>
          <w:p w14:paraId="444EC3D8" w14:textId="77777777" w:rsidR="00164771" w:rsidRDefault="00164771" w:rsidP="00164771">
            <w:pPr>
              <w:pStyle w:val="TableParagraph"/>
              <w:tabs>
                <w:tab w:val="left" w:pos="240"/>
              </w:tabs>
              <w:spacing w:line="252" w:lineRule="exact"/>
              <w:ind w:left="345" w:hanging="275"/>
              <w:rPr>
                <w:i/>
                <w:iCs/>
              </w:rPr>
            </w:pPr>
            <w:r w:rsidRPr="00C30D5C">
              <w:rPr>
                <w:rFonts w:ascii="Times New Roman" w:eastAsia="Calibri" w:hAnsi="Times New Roman" w:cs="Times New Roman"/>
                <w:i/>
                <w:lang w:eastAsia="en-US"/>
              </w:rPr>
              <w:t>1 rok</w:t>
            </w:r>
            <w:r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PNA</w:t>
            </w:r>
          </w:p>
          <w:p w14:paraId="1CBC15AE" w14:textId="77777777" w:rsidR="00164771" w:rsidRDefault="00164771" w:rsidP="00164771">
            <w:pPr>
              <w:pStyle w:val="TableParagraph"/>
              <w:tabs>
                <w:tab w:val="left" w:pos="61"/>
              </w:tabs>
              <w:spacing w:line="252" w:lineRule="exact"/>
              <w:ind w:left="345" w:hanging="275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C30D5C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2 roky </w:t>
            </w:r>
            <w:r>
              <w:rPr>
                <w:rFonts w:ascii="Times New Roman" w:eastAsia="Calibri" w:hAnsi="Times New Roman" w:cs="Times New Roman"/>
                <w:i/>
                <w:lang w:eastAsia="en-US"/>
              </w:rPr>
              <w:t>PNA</w:t>
            </w:r>
          </w:p>
          <w:p w14:paraId="76987060" w14:textId="77777777" w:rsidR="00164771" w:rsidRDefault="00164771" w:rsidP="00164771">
            <w:pPr>
              <w:pStyle w:val="TableParagraph"/>
              <w:tabs>
                <w:tab w:val="left" w:pos="61"/>
              </w:tabs>
              <w:spacing w:line="252" w:lineRule="exact"/>
              <w:ind w:left="70"/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lang w:eastAsia="en-US"/>
              </w:rPr>
              <w:t xml:space="preserve">3 </w:t>
            </w:r>
            <w:r w:rsidRPr="00C30D5C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rokov </w:t>
            </w:r>
            <w:r>
              <w:rPr>
                <w:rFonts w:ascii="Times New Roman" w:eastAsia="Calibri" w:hAnsi="Times New Roman" w:cs="Times New Roman"/>
                <w:i/>
                <w:lang w:eastAsia="en-US"/>
              </w:rPr>
              <w:t>PNA</w:t>
            </w:r>
          </w:p>
          <w:p w14:paraId="511C0D9B" w14:textId="77777777" w:rsidR="000471F7" w:rsidRPr="00164771" w:rsidRDefault="00164771" w:rsidP="00164771">
            <w:pPr>
              <w:pStyle w:val="TableParagraph"/>
              <w:tabs>
                <w:tab w:val="left" w:pos="61"/>
              </w:tabs>
              <w:spacing w:line="252" w:lineRule="exact"/>
              <w:ind w:left="345" w:hanging="275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C30D5C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8 rokov </w:t>
            </w:r>
            <w:r>
              <w:rPr>
                <w:rFonts w:ascii="Times New Roman" w:eastAsia="Calibri" w:hAnsi="Times New Roman" w:cs="Times New Roman"/>
                <w:i/>
                <w:lang w:eastAsia="en-US"/>
              </w:rPr>
              <w:t>PNA</w:t>
            </w:r>
          </w:p>
        </w:tc>
        <w:tc>
          <w:tcPr>
            <w:tcW w:w="1985" w:type="dxa"/>
          </w:tcPr>
          <w:p w14:paraId="3C42E187" w14:textId="77777777" w:rsidR="000471F7" w:rsidRPr="00164771" w:rsidRDefault="000471F7" w:rsidP="00B35115">
            <w:pPr>
              <w:pStyle w:val="TableParagraph"/>
              <w:spacing w:before="1" w:line="252" w:lineRule="exact"/>
              <w:ind w:left="71"/>
              <w:rPr>
                <w:rFonts w:ascii="Times New Roman" w:hAnsi="Times New Roman" w:cs="Times New Roman"/>
                <w:i/>
                <w:iCs/>
              </w:rPr>
            </w:pPr>
            <w:r w:rsidRPr="00164771">
              <w:rPr>
                <w:rFonts w:ascii="Times New Roman" w:hAnsi="Times New Roman" w:cs="Times New Roman"/>
                <w:i/>
                <w:iCs/>
              </w:rPr>
              <w:t>3,3</w:t>
            </w:r>
          </w:p>
          <w:p w14:paraId="6CD2D94C" w14:textId="77777777" w:rsidR="000471F7" w:rsidRPr="00164771" w:rsidRDefault="000471F7" w:rsidP="00164771">
            <w:pPr>
              <w:pStyle w:val="TableParagraph"/>
              <w:spacing w:before="1" w:line="252" w:lineRule="exact"/>
              <w:ind w:left="71"/>
              <w:rPr>
                <w:rFonts w:ascii="Times New Roman" w:hAnsi="Times New Roman" w:cs="Times New Roman"/>
                <w:i/>
                <w:iCs/>
              </w:rPr>
            </w:pPr>
            <w:r w:rsidRPr="00164771">
              <w:rPr>
                <w:rFonts w:ascii="Times New Roman" w:hAnsi="Times New Roman" w:cs="Times New Roman"/>
                <w:i/>
                <w:iCs/>
              </w:rPr>
              <w:t>6</w:t>
            </w:r>
          </w:p>
          <w:p w14:paraId="6FE72FF8" w14:textId="77777777" w:rsidR="000471F7" w:rsidRPr="00164771" w:rsidRDefault="000471F7" w:rsidP="00164771">
            <w:pPr>
              <w:pStyle w:val="TableParagraph"/>
              <w:spacing w:before="1" w:line="252" w:lineRule="exact"/>
              <w:ind w:left="71"/>
              <w:rPr>
                <w:rFonts w:ascii="Times New Roman" w:hAnsi="Times New Roman" w:cs="Times New Roman"/>
                <w:i/>
                <w:iCs/>
              </w:rPr>
            </w:pPr>
            <w:r w:rsidRPr="00164771">
              <w:rPr>
                <w:rFonts w:ascii="Times New Roman" w:hAnsi="Times New Roman" w:cs="Times New Roman"/>
                <w:i/>
                <w:iCs/>
              </w:rPr>
              <w:t>7,5</w:t>
            </w:r>
          </w:p>
          <w:p w14:paraId="13282493" w14:textId="77777777" w:rsidR="000471F7" w:rsidRPr="00164771" w:rsidRDefault="000471F7" w:rsidP="00164771">
            <w:pPr>
              <w:pStyle w:val="TableParagraph"/>
              <w:spacing w:before="1" w:line="252" w:lineRule="exact"/>
              <w:ind w:left="71"/>
              <w:rPr>
                <w:rFonts w:ascii="Times New Roman" w:hAnsi="Times New Roman" w:cs="Times New Roman"/>
                <w:i/>
                <w:iCs/>
              </w:rPr>
            </w:pPr>
            <w:r w:rsidRPr="00164771">
              <w:rPr>
                <w:rFonts w:ascii="Times New Roman" w:hAnsi="Times New Roman" w:cs="Times New Roman"/>
                <w:i/>
                <w:iCs/>
              </w:rPr>
              <w:t>10</w:t>
            </w:r>
          </w:p>
          <w:p w14:paraId="060FC90A" w14:textId="77777777" w:rsidR="000471F7" w:rsidRPr="00164771" w:rsidRDefault="000471F7" w:rsidP="00164771">
            <w:pPr>
              <w:pStyle w:val="TableParagraph"/>
              <w:spacing w:before="1" w:line="252" w:lineRule="exact"/>
              <w:ind w:left="71"/>
              <w:rPr>
                <w:rFonts w:ascii="Times New Roman" w:hAnsi="Times New Roman" w:cs="Times New Roman"/>
                <w:i/>
                <w:iCs/>
              </w:rPr>
            </w:pPr>
            <w:r w:rsidRPr="00164771">
              <w:rPr>
                <w:rFonts w:ascii="Times New Roman" w:hAnsi="Times New Roman" w:cs="Times New Roman"/>
                <w:i/>
                <w:iCs/>
              </w:rPr>
              <w:t>12</w:t>
            </w:r>
          </w:p>
          <w:p w14:paraId="26A02980" w14:textId="77777777" w:rsidR="000471F7" w:rsidRPr="00164771" w:rsidRDefault="000471F7" w:rsidP="00164771">
            <w:pPr>
              <w:pStyle w:val="TableParagraph"/>
              <w:spacing w:before="1" w:line="252" w:lineRule="exact"/>
              <w:ind w:left="71"/>
              <w:rPr>
                <w:rFonts w:ascii="Times New Roman" w:hAnsi="Times New Roman" w:cs="Times New Roman"/>
                <w:i/>
                <w:iCs/>
              </w:rPr>
            </w:pPr>
            <w:r w:rsidRPr="00164771">
              <w:rPr>
                <w:rFonts w:ascii="Times New Roman" w:hAnsi="Times New Roman" w:cs="Times New Roman"/>
                <w:i/>
                <w:iCs/>
              </w:rPr>
              <w:t>20</w:t>
            </w:r>
          </w:p>
          <w:p w14:paraId="6964D50F" w14:textId="77777777" w:rsidR="000471F7" w:rsidRPr="00164771" w:rsidRDefault="000471F7" w:rsidP="00164771">
            <w:pPr>
              <w:pStyle w:val="TableParagraph"/>
              <w:spacing w:before="1" w:line="252" w:lineRule="exact"/>
              <w:ind w:left="71"/>
              <w:rPr>
                <w:rFonts w:ascii="Times New Roman" w:hAnsi="Times New Roman" w:cs="Times New Roman"/>
                <w:i/>
                <w:iCs/>
              </w:rPr>
            </w:pPr>
            <w:r w:rsidRPr="00164771">
              <w:rPr>
                <w:rFonts w:ascii="Times New Roman" w:hAnsi="Times New Roman" w:cs="Times New Roman"/>
                <w:i/>
                <w:iCs/>
              </w:rPr>
              <w:t>25</w:t>
            </w:r>
          </w:p>
        </w:tc>
        <w:tc>
          <w:tcPr>
            <w:tcW w:w="2627" w:type="dxa"/>
          </w:tcPr>
          <w:p w14:paraId="5C4E9E2D" w14:textId="77777777" w:rsidR="000471F7" w:rsidRPr="00164771" w:rsidRDefault="000471F7" w:rsidP="00B35115">
            <w:pPr>
              <w:pStyle w:val="TableParagraph"/>
              <w:spacing w:before="1" w:line="252" w:lineRule="exact"/>
              <w:ind w:left="71"/>
              <w:rPr>
                <w:rFonts w:ascii="Times New Roman" w:hAnsi="Times New Roman" w:cs="Times New Roman"/>
                <w:i/>
                <w:iCs/>
              </w:rPr>
            </w:pPr>
            <w:r w:rsidRPr="00164771">
              <w:rPr>
                <w:rFonts w:ascii="Times New Roman" w:hAnsi="Times New Roman" w:cs="Times New Roman"/>
                <w:i/>
                <w:iCs/>
              </w:rPr>
              <w:t>5,9</w:t>
            </w:r>
          </w:p>
          <w:p w14:paraId="4F171C9B" w14:textId="77777777" w:rsidR="000471F7" w:rsidRPr="00164771" w:rsidRDefault="000471F7" w:rsidP="00164771">
            <w:pPr>
              <w:pStyle w:val="TableParagraph"/>
              <w:spacing w:before="1" w:line="252" w:lineRule="exact"/>
              <w:ind w:left="71"/>
              <w:rPr>
                <w:rFonts w:ascii="Times New Roman" w:hAnsi="Times New Roman" w:cs="Times New Roman"/>
                <w:i/>
                <w:iCs/>
              </w:rPr>
            </w:pPr>
            <w:r w:rsidRPr="00164771">
              <w:rPr>
                <w:rFonts w:ascii="Times New Roman" w:hAnsi="Times New Roman" w:cs="Times New Roman"/>
                <w:i/>
                <w:iCs/>
              </w:rPr>
              <w:t>8,8</w:t>
            </w:r>
          </w:p>
          <w:p w14:paraId="44B1549A" w14:textId="77777777" w:rsidR="000471F7" w:rsidRPr="00164771" w:rsidRDefault="000471F7" w:rsidP="00164771">
            <w:pPr>
              <w:pStyle w:val="TableParagraph"/>
              <w:spacing w:before="1" w:line="252" w:lineRule="exact"/>
              <w:ind w:left="71"/>
              <w:rPr>
                <w:rFonts w:ascii="Times New Roman" w:hAnsi="Times New Roman" w:cs="Times New Roman"/>
                <w:i/>
                <w:iCs/>
              </w:rPr>
            </w:pPr>
            <w:r w:rsidRPr="00164771">
              <w:rPr>
                <w:rFonts w:ascii="Times New Roman" w:hAnsi="Times New Roman" w:cs="Times New Roman"/>
                <w:i/>
                <w:iCs/>
              </w:rPr>
              <w:t>11,1</w:t>
            </w:r>
          </w:p>
          <w:p w14:paraId="6207802B" w14:textId="77777777" w:rsidR="000471F7" w:rsidRPr="00164771" w:rsidRDefault="000471F7" w:rsidP="00164771">
            <w:pPr>
              <w:pStyle w:val="TableParagraph"/>
              <w:spacing w:before="1" w:line="252" w:lineRule="exact"/>
              <w:ind w:left="71"/>
              <w:rPr>
                <w:rFonts w:ascii="Times New Roman" w:hAnsi="Times New Roman" w:cs="Times New Roman"/>
                <w:i/>
                <w:iCs/>
              </w:rPr>
            </w:pPr>
            <w:r w:rsidRPr="00164771">
              <w:rPr>
                <w:rFonts w:ascii="Times New Roman" w:hAnsi="Times New Roman" w:cs="Times New Roman"/>
                <w:i/>
                <w:iCs/>
              </w:rPr>
              <w:t>13,6</w:t>
            </w:r>
          </w:p>
          <w:p w14:paraId="54CCE4DC" w14:textId="77777777" w:rsidR="000471F7" w:rsidRPr="00164771" w:rsidRDefault="000471F7" w:rsidP="00164771">
            <w:pPr>
              <w:pStyle w:val="TableParagraph"/>
              <w:spacing w:before="1" w:line="252" w:lineRule="exact"/>
              <w:ind w:left="71"/>
              <w:rPr>
                <w:rFonts w:ascii="Times New Roman" w:hAnsi="Times New Roman" w:cs="Times New Roman"/>
                <w:i/>
                <w:iCs/>
              </w:rPr>
            </w:pPr>
            <w:r w:rsidRPr="00164771">
              <w:rPr>
                <w:rFonts w:ascii="Times New Roman" w:hAnsi="Times New Roman" w:cs="Times New Roman"/>
                <w:i/>
                <w:iCs/>
              </w:rPr>
              <w:t>15,6</w:t>
            </w:r>
          </w:p>
          <w:p w14:paraId="5374B3B2" w14:textId="77777777" w:rsidR="000471F7" w:rsidRPr="00164771" w:rsidRDefault="000471F7" w:rsidP="00164771">
            <w:pPr>
              <w:pStyle w:val="TableParagraph"/>
              <w:spacing w:before="1" w:line="252" w:lineRule="exact"/>
              <w:ind w:left="71"/>
              <w:rPr>
                <w:rFonts w:ascii="Times New Roman" w:hAnsi="Times New Roman" w:cs="Times New Roman"/>
                <w:i/>
                <w:iCs/>
              </w:rPr>
            </w:pPr>
            <w:r w:rsidRPr="00164771">
              <w:rPr>
                <w:rFonts w:ascii="Times New Roman" w:hAnsi="Times New Roman" w:cs="Times New Roman"/>
                <w:i/>
                <w:iCs/>
              </w:rPr>
              <w:t>16,3</w:t>
            </w:r>
          </w:p>
          <w:p w14:paraId="3F1EA375" w14:textId="77777777" w:rsidR="000471F7" w:rsidRPr="00164771" w:rsidRDefault="000471F7" w:rsidP="00164771">
            <w:pPr>
              <w:pStyle w:val="TableParagraph"/>
              <w:spacing w:before="1" w:line="252" w:lineRule="exact"/>
              <w:ind w:left="71"/>
              <w:rPr>
                <w:rFonts w:ascii="Times New Roman" w:hAnsi="Times New Roman" w:cs="Times New Roman"/>
                <w:i/>
                <w:iCs/>
              </w:rPr>
            </w:pPr>
            <w:r w:rsidRPr="00164771">
              <w:rPr>
                <w:rFonts w:ascii="Times New Roman" w:hAnsi="Times New Roman" w:cs="Times New Roman"/>
                <w:i/>
                <w:iCs/>
              </w:rPr>
              <w:t>16,3</w:t>
            </w:r>
          </w:p>
        </w:tc>
      </w:tr>
    </w:tbl>
    <w:p w14:paraId="42201620" w14:textId="77777777" w:rsidR="00D83504" w:rsidRPr="00C30D5C" w:rsidRDefault="00D83504" w:rsidP="00D83504">
      <w:pPr>
        <w:tabs>
          <w:tab w:val="left" w:pos="567"/>
        </w:tabs>
        <w:spacing w:line="260" w:lineRule="exact"/>
        <w:ind w:left="0" w:firstLine="0"/>
        <w:rPr>
          <w:szCs w:val="22"/>
          <w:lang w:eastAsia="en-US"/>
        </w:rPr>
      </w:pPr>
      <w:r w:rsidRPr="00C30D5C">
        <w:rPr>
          <w:szCs w:val="22"/>
          <w:lang w:eastAsia="en-US"/>
        </w:rPr>
        <w:t>*CL</w:t>
      </w:r>
      <w:r w:rsidRPr="00C30D5C">
        <w:rPr>
          <w:szCs w:val="22"/>
          <w:vertAlign w:val="subscript"/>
          <w:lang w:eastAsia="en-US"/>
        </w:rPr>
        <w:t>std</w:t>
      </w:r>
      <w:r w:rsidRPr="00C30D5C">
        <w:rPr>
          <w:szCs w:val="22"/>
          <w:lang w:eastAsia="en-US"/>
        </w:rPr>
        <w:t xml:space="preserve"> je odhad CL populácie</w:t>
      </w:r>
    </w:p>
    <w:p w14:paraId="63FD9287" w14:textId="77777777" w:rsidR="00D83504" w:rsidRPr="00C30D5C" w:rsidRDefault="00D83504" w:rsidP="00D83504">
      <w:pPr>
        <w:tabs>
          <w:tab w:val="left" w:pos="567"/>
        </w:tabs>
        <w:spacing w:line="260" w:lineRule="exact"/>
        <w:ind w:left="0" w:firstLine="0"/>
        <w:rPr>
          <w:szCs w:val="22"/>
          <w:lang w:eastAsia="en-US"/>
        </w:rPr>
      </w:pPr>
    </w:p>
    <w:p w14:paraId="11EB3B22" w14:textId="77777777" w:rsidR="00D83504" w:rsidRPr="00C30D5C" w:rsidRDefault="00D83504" w:rsidP="00D83504">
      <w:pPr>
        <w:ind w:left="0" w:firstLine="0"/>
        <w:rPr>
          <w:bCs/>
          <w:i/>
          <w:iCs/>
          <w:szCs w:val="22"/>
        </w:rPr>
      </w:pPr>
      <w:r w:rsidRPr="00C30D5C">
        <w:rPr>
          <w:bCs/>
          <w:i/>
          <w:iCs/>
          <w:szCs w:val="22"/>
        </w:rPr>
        <w:t>Osobitné skupiny pacientov</w:t>
      </w:r>
      <w:r w:rsidR="0088732A" w:rsidRPr="00C30D5C">
        <w:rPr>
          <w:bCs/>
          <w:i/>
          <w:iCs/>
          <w:szCs w:val="22"/>
        </w:rPr>
        <w:t>:</w:t>
      </w:r>
    </w:p>
    <w:p w14:paraId="08484505" w14:textId="77777777" w:rsidR="00D83504" w:rsidRPr="00C30D5C" w:rsidRDefault="00D83504" w:rsidP="00D83504">
      <w:pPr>
        <w:ind w:left="0" w:firstLine="0"/>
        <w:rPr>
          <w:bCs/>
          <w:iCs/>
          <w:szCs w:val="22"/>
          <w:u w:val="single"/>
        </w:rPr>
      </w:pPr>
    </w:p>
    <w:p w14:paraId="578C9719" w14:textId="4BB3EEE6" w:rsidR="00D83504" w:rsidRPr="00C30D5C" w:rsidRDefault="00B46D2B" w:rsidP="00D83504">
      <w:pPr>
        <w:ind w:left="0" w:firstLine="0"/>
        <w:rPr>
          <w:bCs/>
          <w:iCs/>
          <w:szCs w:val="22"/>
        </w:rPr>
      </w:pPr>
      <w:r>
        <w:rPr>
          <w:b/>
          <w:iCs/>
          <w:szCs w:val="22"/>
        </w:rPr>
        <w:t>Porucha funkcie obličiek</w:t>
      </w:r>
    </w:p>
    <w:p w14:paraId="478D8275" w14:textId="77777777" w:rsidR="00D83504" w:rsidRPr="00C30D5C" w:rsidRDefault="00D83504" w:rsidP="00D83504">
      <w:pPr>
        <w:ind w:left="0" w:firstLine="0"/>
        <w:rPr>
          <w:bCs/>
          <w:iCs/>
          <w:szCs w:val="22"/>
        </w:rPr>
      </w:pPr>
      <w:r w:rsidRPr="00C30D5C">
        <w:rPr>
          <w:bCs/>
          <w:iCs/>
          <w:szCs w:val="22"/>
        </w:rPr>
        <w:t>Pri závažnej poruche funkcie obličiek (klírens kreatinínu 10</w:t>
      </w:r>
      <w:r w:rsidR="00164771">
        <w:rPr>
          <w:bCs/>
          <w:iCs/>
          <w:szCs w:val="22"/>
        </w:rPr>
        <w:t>–</w:t>
      </w:r>
      <w:r w:rsidRPr="00C30D5C">
        <w:rPr>
          <w:bCs/>
          <w:iCs/>
          <w:szCs w:val="22"/>
        </w:rPr>
        <w:t>30 ml/min) je eliminácia paracetamolu mierne oneskorená, eliminačný polčas sa pohybuje od 2 do 5,3 hodín. U glukuronidových a sulfátových konjugátov je rýchlosť eliminácie 3-krát nižšia u osôb so závažnou poruchou funkcie obličiek ako u zdravých jedincov. Preto pri podávaní paracetamolu pacientom so závažnou poruchou funkcie obličiek (klírens kreatinínu ≤ 30 ml/min) sa má predĺžiť minimálny interval medzi jednotlivými dávkami na 6 hodín (pozri časť 4.2</w:t>
      </w:r>
      <w:r w:rsidR="0088732A" w:rsidRPr="00C30D5C">
        <w:rPr>
          <w:bCs/>
          <w:iCs/>
          <w:szCs w:val="22"/>
        </w:rPr>
        <w:t xml:space="preserve"> Dávkovanie a spôsob podávania</w:t>
      </w:r>
      <w:r w:rsidRPr="00C30D5C">
        <w:rPr>
          <w:bCs/>
          <w:iCs/>
          <w:szCs w:val="22"/>
        </w:rPr>
        <w:t>).</w:t>
      </w:r>
    </w:p>
    <w:p w14:paraId="1AD29D52" w14:textId="77777777" w:rsidR="00D83504" w:rsidRPr="00C30D5C" w:rsidRDefault="00D83504" w:rsidP="00D83504">
      <w:pPr>
        <w:ind w:left="0" w:firstLine="0"/>
        <w:rPr>
          <w:bCs/>
          <w:iCs/>
          <w:szCs w:val="22"/>
          <w:u w:val="single"/>
        </w:rPr>
      </w:pPr>
    </w:p>
    <w:p w14:paraId="1CEA0BF6" w14:textId="5A1A81B1" w:rsidR="00D83504" w:rsidRPr="00C30D5C" w:rsidRDefault="00D83504" w:rsidP="00D83504">
      <w:pPr>
        <w:ind w:left="0" w:firstLine="0"/>
        <w:rPr>
          <w:b/>
          <w:bCs/>
          <w:iCs/>
          <w:szCs w:val="22"/>
        </w:rPr>
      </w:pPr>
      <w:r w:rsidRPr="00C30D5C">
        <w:rPr>
          <w:b/>
          <w:bCs/>
          <w:iCs/>
          <w:szCs w:val="22"/>
        </w:rPr>
        <w:t>Starš</w:t>
      </w:r>
      <w:r w:rsidR="00ED186A">
        <w:rPr>
          <w:b/>
          <w:bCs/>
          <w:iCs/>
          <w:szCs w:val="22"/>
        </w:rPr>
        <w:t xml:space="preserve">ie osoby </w:t>
      </w:r>
    </w:p>
    <w:p w14:paraId="59D9A68C" w14:textId="77777777" w:rsidR="00D83504" w:rsidRPr="00C30D5C" w:rsidRDefault="00D83504" w:rsidP="00D83504">
      <w:pPr>
        <w:ind w:left="0" w:firstLine="0"/>
        <w:rPr>
          <w:bCs/>
          <w:iCs/>
          <w:szCs w:val="22"/>
        </w:rPr>
      </w:pPr>
      <w:r w:rsidRPr="00C30D5C">
        <w:rPr>
          <w:bCs/>
          <w:iCs/>
          <w:szCs w:val="22"/>
        </w:rPr>
        <w:t>Farmakokinetika a metabolizmus paracetamolu je u starších jedincov nezmenená. U tejto skupiny pacientov nie je potrebná žiadna úprava dávky.</w:t>
      </w:r>
    </w:p>
    <w:p w14:paraId="0DD71BF5" w14:textId="77777777" w:rsidR="009F59C1" w:rsidRPr="00C30D5C" w:rsidRDefault="009F59C1" w:rsidP="00E41B3F">
      <w:pPr>
        <w:rPr>
          <w:szCs w:val="22"/>
        </w:rPr>
      </w:pPr>
    </w:p>
    <w:p w14:paraId="10584A57" w14:textId="77777777" w:rsidR="00780926" w:rsidRPr="00C30D5C" w:rsidRDefault="009F59C1" w:rsidP="00223E9F">
      <w:pPr>
        <w:keepNext/>
        <w:rPr>
          <w:szCs w:val="22"/>
        </w:rPr>
      </w:pPr>
      <w:r w:rsidRPr="00C30D5C">
        <w:rPr>
          <w:b/>
          <w:szCs w:val="22"/>
        </w:rPr>
        <w:t>5.3</w:t>
      </w:r>
      <w:r w:rsidRPr="00C30D5C">
        <w:rPr>
          <w:b/>
          <w:szCs w:val="22"/>
        </w:rPr>
        <w:tab/>
        <w:t>Predklinické údaje o</w:t>
      </w:r>
      <w:r w:rsidR="00FA099B" w:rsidRPr="00C30D5C">
        <w:rPr>
          <w:b/>
          <w:szCs w:val="22"/>
        </w:rPr>
        <w:t> </w:t>
      </w:r>
      <w:r w:rsidRPr="00C30D5C">
        <w:rPr>
          <w:b/>
          <w:szCs w:val="22"/>
        </w:rPr>
        <w:t>bezpečnosti</w:t>
      </w:r>
    </w:p>
    <w:p w14:paraId="2628B842" w14:textId="77777777" w:rsidR="00780926" w:rsidRPr="00C30D5C" w:rsidRDefault="00780926" w:rsidP="00223E9F">
      <w:pPr>
        <w:keepNext/>
        <w:rPr>
          <w:szCs w:val="22"/>
        </w:rPr>
      </w:pPr>
    </w:p>
    <w:p w14:paraId="03318EDA" w14:textId="77777777" w:rsidR="0088732A" w:rsidRPr="00C30D5C" w:rsidRDefault="00D83504" w:rsidP="00D83504">
      <w:pPr>
        <w:pStyle w:val="Zkladntext"/>
        <w:rPr>
          <w:szCs w:val="22"/>
        </w:rPr>
      </w:pPr>
      <w:r w:rsidRPr="00C30D5C">
        <w:rPr>
          <w:szCs w:val="22"/>
        </w:rPr>
        <w:t>Predklinické údaje neodhalili žiadne osobitné riziko pre ľudí okrem informácií uvedených v iných častiach S</w:t>
      </w:r>
      <w:r w:rsidR="0088732A" w:rsidRPr="00C30D5C">
        <w:rPr>
          <w:szCs w:val="22"/>
        </w:rPr>
        <w:t>PC.</w:t>
      </w:r>
    </w:p>
    <w:p w14:paraId="1F41F0A1" w14:textId="77777777" w:rsidR="0088732A" w:rsidRPr="00C30D5C" w:rsidRDefault="0088732A" w:rsidP="00D83504">
      <w:pPr>
        <w:pStyle w:val="Zkladntext"/>
        <w:rPr>
          <w:szCs w:val="22"/>
        </w:rPr>
      </w:pPr>
    </w:p>
    <w:p w14:paraId="3FB90324" w14:textId="77777777" w:rsidR="00D83504" w:rsidRPr="00C30D5C" w:rsidRDefault="00D83504" w:rsidP="00D83504">
      <w:pPr>
        <w:pStyle w:val="Zkladntext"/>
        <w:rPr>
          <w:szCs w:val="22"/>
        </w:rPr>
      </w:pPr>
      <w:r w:rsidRPr="00C30D5C">
        <w:rPr>
          <w:szCs w:val="22"/>
        </w:rPr>
        <w:t>Štúdie lokálnej tolerancie infúzneho roztoku paracetamolu u potkanov a králikov preukázali dobrú znášanlivosť. Testy uskutočnené na morčatách nepreukázali oneskorenú kontaktnú hypersenzitivitu.</w:t>
      </w:r>
    </w:p>
    <w:p w14:paraId="37BA64D4" w14:textId="77777777" w:rsidR="00E1698A" w:rsidRDefault="00E1698A" w:rsidP="00E41B3F">
      <w:pPr>
        <w:rPr>
          <w:szCs w:val="22"/>
        </w:rPr>
      </w:pPr>
    </w:p>
    <w:p w14:paraId="13D222E8" w14:textId="77777777" w:rsidR="002E4A86" w:rsidRPr="00C30D5C" w:rsidRDefault="002E4A86" w:rsidP="00E41B3F">
      <w:pPr>
        <w:rPr>
          <w:szCs w:val="22"/>
        </w:rPr>
      </w:pPr>
    </w:p>
    <w:p w14:paraId="04BAF050" w14:textId="77777777" w:rsidR="00780926" w:rsidRPr="00C30D5C" w:rsidRDefault="009F59C1" w:rsidP="00E41B3F">
      <w:pPr>
        <w:rPr>
          <w:b/>
          <w:szCs w:val="22"/>
        </w:rPr>
      </w:pPr>
      <w:r w:rsidRPr="00C30D5C">
        <w:rPr>
          <w:b/>
          <w:szCs w:val="22"/>
        </w:rPr>
        <w:t>6.</w:t>
      </w:r>
      <w:r w:rsidRPr="00C30D5C">
        <w:rPr>
          <w:b/>
          <w:szCs w:val="22"/>
        </w:rPr>
        <w:tab/>
        <w:t>FARMACEUTICKÉ INFORMÁCIE</w:t>
      </w:r>
    </w:p>
    <w:p w14:paraId="12A1D1A1" w14:textId="77777777" w:rsidR="00780926" w:rsidRPr="00C30D5C" w:rsidRDefault="00780926" w:rsidP="00E41B3F">
      <w:pPr>
        <w:rPr>
          <w:szCs w:val="22"/>
        </w:rPr>
      </w:pPr>
    </w:p>
    <w:p w14:paraId="64F3D98A" w14:textId="77777777" w:rsidR="00780926" w:rsidRPr="00C30D5C" w:rsidRDefault="009F59C1" w:rsidP="00E41B3F">
      <w:pPr>
        <w:rPr>
          <w:szCs w:val="22"/>
        </w:rPr>
      </w:pPr>
      <w:r w:rsidRPr="00C30D5C">
        <w:rPr>
          <w:b/>
          <w:szCs w:val="22"/>
        </w:rPr>
        <w:t>6.1</w:t>
      </w:r>
      <w:r w:rsidRPr="00C30D5C">
        <w:rPr>
          <w:b/>
          <w:szCs w:val="22"/>
        </w:rPr>
        <w:tab/>
        <w:t>Zoznam pomocných látok</w:t>
      </w:r>
    </w:p>
    <w:p w14:paraId="79ED6AFB" w14:textId="77777777" w:rsidR="00780926" w:rsidRPr="00C30D5C" w:rsidRDefault="00780926" w:rsidP="00E41B3F">
      <w:pPr>
        <w:rPr>
          <w:szCs w:val="22"/>
        </w:rPr>
      </w:pPr>
    </w:p>
    <w:p w14:paraId="242E15F2" w14:textId="1FCC0E55" w:rsidR="00780926" w:rsidRPr="00C30D5C" w:rsidRDefault="009F59C1" w:rsidP="005D6150">
      <w:pPr>
        <w:ind w:left="0" w:firstLine="0"/>
        <w:rPr>
          <w:szCs w:val="22"/>
        </w:rPr>
      </w:pPr>
      <w:r w:rsidRPr="00C30D5C">
        <w:rPr>
          <w:szCs w:val="22"/>
        </w:rPr>
        <w:t xml:space="preserve">Manitol, </w:t>
      </w:r>
      <w:r w:rsidR="00FF0F62">
        <w:rPr>
          <w:szCs w:val="22"/>
        </w:rPr>
        <w:t>hydrogenfosforečnan sodný</w:t>
      </w:r>
      <w:r w:rsidRPr="00C30D5C">
        <w:rPr>
          <w:szCs w:val="22"/>
        </w:rPr>
        <w:t>, kyselina chlorovodíková (</w:t>
      </w:r>
      <w:r w:rsidR="00D83504" w:rsidRPr="00C30D5C">
        <w:rPr>
          <w:szCs w:val="22"/>
        </w:rPr>
        <w:t>na</w:t>
      </w:r>
      <w:r w:rsidR="00F2640A">
        <w:rPr>
          <w:szCs w:val="22"/>
        </w:rPr>
        <w:t xml:space="preserve"> úpravu pH)</w:t>
      </w:r>
      <w:r w:rsidR="003E5F36">
        <w:rPr>
          <w:szCs w:val="22"/>
        </w:rPr>
        <w:t>, hydroxid sodný (na úpravu pH)</w:t>
      </w:r>
      <w:r w:rsidRPr="00C30D5C">
        <w:rPr>
          <w:szCs w:val="22"/>
        </w:rPr>
        <w:t xml:space="preserve"> a voda </w:t>
      </w:r>
      <w:r w:rsidR="00D83504" w:rsidRPr="00C30D5C">
        <w:rPr>
          <w:szCs w:val="22"/>
        </w:rPr>
        <w:t>na injekci</w:t>
      </w:r>
      <w:r w:rsidR="00D10176">
        <w:rPr>
          <w:szCs w:val="22"/>
        </w:rPr>
        <w:t>e</w:t>
      </w:r>
    </w:p>
    <w:p w14:paraId="170CBB02" w14:textId="77777777" w:rsidR="00780926" w:rsidRPr="00C30D5C" w:rsidRDefault="00780926" w:rsidP="00E41B3F">
      <w:pPr>
        <w:rPr>
          <w:szCs w:val="22"/>
        </w:rPr>
      </w:pPr>
    </w:p>
    <w:p w14:paraId="5E6F0A40" w14:textId="77777777" w:rsidR="00780926" w:rsidRPr="00C30D5C" w:rsidRDefault="009F59C1" w:rsidP="00E41B3F">
      <w:pPr>
        <w:rPr>
          <w:szCs w:val="22"/>
        </w:rPr>
      </w:pPr>
      <w:r w:rsidRPr="00C30D5C">
        <w:rPr>
          <w:b/>
          <w:szCs w:val="22"/>
        </w:rPr>
        <w:t>6.2</w:t>
      </w:r>
      <w:r w:rsidRPr="00C30D5C">
        <w:rPr>
          <w:b/>
          <w:szCs w:val="22"/>
        </w:rPr>
        <w:tab/>
        <w:t>Inkompatibility</w:t>
      </w:r>
    </w:p>
    <w:p w14:paraId="64E920E0" w14:textId="77777777" w:rsidR="00BC798A" w:rsidRPr="00C30D5C" w:rsidRDefault="00BC798A" w:rsidP="005D6150">
      <w:pPr>
        <w:ind w:left="0" w:firstLine="0"/>
        <w:rPr>
          <w:szCs w:val="22"/>
        </w:rPr>
      </w:pPr>
    </w:p>
    <w:p w14:paraId="5E9F133B" w14:textId="77777777" w:rsidR="00780926" w:rsidRPr="00C30D5C" w:rsidRDefault="005D6150" w:rsidP="00E41B3F">
      <w:pPr>
        <w:rPr>
          <w:szCs w:val="22"/>
        </w:rPr>
      </w:pPr>
      <w:r w:rsidRPr="00C30D5C">
        <w:rPr>
          <w:szCs w:val="22"/>
        </w:rPr>
        <w:t>Paracetamol Noridem</w:t>
      </w:r>
      <w:r w:rsidR="009F59C1" w:rsidRPr="00C30D5C">
        <w:rPr>
          <w:szCs w:val="22"/>
        </w:rPr>
        <w:t xml:space="preserve"> sa nesmie miešať s</w:t>
      </w:r>
      <w:r w:rsidR="007262FE" w:rsidRPr="00C30D5C">
        <w:rPr>
          <w:rFonts w:eastAsia="SimSun"/>
          <w:szCs w:val="22"/>
          <w:lang w:eastAsia="zh-CN"/>
        </w:rPr>
        <w:t> </w:t>
      </w:r>
      <w:r w:rsidR="009F59C1" w:rsidRPr="00C30D5C">
        <w:rPr>
          <w:szCs w:val="22"/>
        </w:rPr>
        <w:t xml:space="preserve">inými liekmi okrem tých, ktoré sú uvedené v časti </w:t>
      </w:r>
      <w:r w:rsidR="00096CAA" w:rsidRPr="00C30D5C">
        <w:rPr>
          <w:szCs w:val="22"/>
        </w:rPr>
        <w:t>6.6</w:t>
      </w:r>
      <w:r w:rsidR="00096CAA" w:rsidRPr="00C30D5C">
        <w:rPr>
          <w:noProof/>
          <w:szCs w:val="22"/>
        </w:rPr>
        <w:t>.</w:t>
      </w:r>
    </w:p>
    <w:p w14:paraId="17B1A0D1" w14:textId="77777777" w:rsidR="00780926" w:rsidRPr="00C30D5C" w:rsidRDefault="00780926" w:rsidP="00D513D2">
      <w:pPr>
        <w:rPr>
          <w:szCs w:val="22"/>
        </w:rPr>
      </w:pPr>
    </w:p>
    <w:p w14:paraId="1473385D" w14:textId="77777777" w:rsidR="00780926" w:rsidRPr="00C30D5C" w:rsidRDefault="009F59C1" w:rsidP="00D513D2">
      <w:pPr>
        <w:rPr>
          <w:szCs w:val="22"/>
        </w:rPr>
      </w:pPr>
      <w:r w:rsidRPr="00C30D5C">
        <w:rPr>
          <w:b/>
          <w:szCs w:val="22"/>
        </w:rPr>
        <w:t>6.3</w:t>
      </w:r>
      <w:r w:rsidRPr="00C30D5C">
        <w:rPr>
          <w:b/>
          <w:szCs w:val="22"/>
        </w:rPr>
        <w:tab/>
        <w:t>Čas použiteľnosti</w:t>
      </w:r>
    </w:p>
    <w:p w14:paraId="2345F15F" w14:textId="77777777" w:rsidR="00780926" w:rsidRPr="00C30D5C" w:rsidRDefault="00780926" w:rsidP="00B13F68">
      <w:pPr>
        <w:rPr>
          <w:szCs w:val="22"/>
        </w:rPr>
      </w:pPr>
    </w:p>
    <w:p w14:paraId="4D499C15" w14:textId="724E8B13" w:rsidR="005D6150" w:rsidRPr="00C30D5C" w:rsidRDefault="003E5F36" w:rsidP="005D6150">
      <w:pPr>
        <w:spacing w:line="252" w:lineRule="exact"/>
        <w:ind w:left="215" w:hanging="215"/>
        <w:rPr>
          <w:b/>
          <w:bCs/>
          <w:iCs/>
          <w:szCs w:val="22"/>
        </w:rPr>
      </w:pPr>
      <w:r w:rsidRPr="002E4A86">
        <w:rPr>
          <w:b/>
          <w:bCs/>
          <w:iCs/>
          <w:szCs w:val="22"/>
        </w:rPr>
        <w:t>Fľaša</w:t>
      </w:r>
      <w:r w:rsidR="00D83504" w:rsidRPr="00C30D5C">
        <w:rPr>
          <w:b/>
          <w:bCs/>
          <w:iCs/>
          <w:szCs w:val="22"/>
        </w:rPr>
        <w:t xml:space="preserve"> pred otvorením</w:t>
      </w:r>
      <w:r w:rsidR="005D6150" w:rsidRPr="00C30D5C">
        <w:rPr>
          <w:b/>
          <w:bCs/>
          <w:iCs/>
          <w:szCs w:val="22"/>
        </w:rPr>
        <w:t>: 2 roky</w:t>
      </w:r>
    </w:p>
    <w:p w14:paraId="1BF5B1EA" w14:textId="77777777" w:rsidR="005D6150" w:rsidRPr="00C30D5C" w:rsidRDefault="005D6150" w:rsidP="005D6150">
      <w:pPr>
        <w:pStyle w:val="Zkladntext"/>
        <w:spacing w:before="2"/>
        <w:ind w:hanging="215"/>
        <w:rPr>
          <w:szCs w:val="22"/>
        </w:rPr>
      </w:pPr>
    </w:p>
    <w:p w14:paraId="3BB72125" w14:textId="77777777" w:rsidR="005D6150" w:rsidRPr="00C30D5C" w:rsidRDefault="00D83504" w:rsidP="00D83504">
      <w:pPr>
        <w:pStyle w:val="Zkladntext"/>
        <w:ind w:right="391"/>
        <w:jc w:val="both"/>
        <w:rPr>
          <w:szCs w:val="22"/>
        </w:rPr>
      </w:pPr>
      <w:r w:rsidRPr="00C30D5C">
        <w:rPr>
          <w:szCs w:val="22"/>
        </w:rPr>
        <w:lastRenderedPageBreak/>
        <w:t xml:space="preserve">Z mikrobiologického hľadiska, pokiaľ spôsob otvorenia nevylučuje </w:t>
      </w:r>
      <w:r w:rsidR="008C785A" w:rsidRPr="00C30D5C">
        <w:rPr>
          <w:szCs w:val="22"/>
        </w:rPr>
        <w:t>riziko mikrobiálnej kontaminácie</w:t>
      </w:r>
      <w:r w:rsidRPr="00C30D5C">
        <w:rPr>
          <w:szCs w:val="22"/>
        </w:rPr>
        <w:t>, sa liek má použiť ihneď. Ak sa nepoužije ihneď, za čas použiteľnosti a podmienky pred použitím je zodpovedný používateľ.</w:t>
      </w:r>
    </w:p>
    <w:p w14:paraId="7B7F58B0" w14:textId="77777777" w:rsidR="005D6150" w:rsidRPr="00C30D5C" w:rsidRDefault="005D6150" w:rsidP="005D6150">
      <w:pPr>
        <w:pStyle w:val="Zkladntext"/>
        <w:ind w:right="390" w:firstLine="1"/>
        <w:jc w:val="both"/>
        <w:rPr>
          <w:szCs w:val="22"/>
        </w:rPr>
      </w:pPr>
    </w:p>
    <w:p w14:paraId="5F7A4661" w14:textId="77777777" w:rsidR="00164771" w:rsidRDefault="001428E1" w:rsidP="00164771">
      <w:pPr>
        <w:pStyle w:val="Zkladntext"/>
        <w:rPr>
          <w:szCs w:val="22"/>
        </w:rPr>
      </w:pPr>
      <w:r w:rsidRPr="00C30D5C">
        <w:rPr>
          <w:szCs w:val="22"/>
        </w:rPr>
        <w:t>Informácia k veľkosti balenia 50 ml:</w:t>
      </w:r>
    </w:p>
    <w:p w14:paraId="70EAED8C" w14:textId="77777777" w:rsidR="001428E1" w:rsidRPr="00C30D5C" w:rsidRDefault="001428E1" w:rsidP="00164771">
      <w:pPr>
        <w:pStyle w:val="Zkladntext"/>
        <w:rPr>
          <w:szCs w:val="22"/>
        </w:rPr>
      </w:pPr>
      <w:r w:rsidRPr="00C30D5C">
        <w:rPr>
          <w:szCs w:val="22"/>
          <w:lang w:eastAsia="cs-CZ"/>
        </w:rPr>
        <w:t>Po nariedení roztokom chloridu sodného 9 mg/ml (0,9 %) alebo roztokom glukózy 50 mg/ml (5 %), sa roztok musí použiť ihneď. Ak však zriedený roztok nie je použitý ihneď, neuchovávajte ho dlhšie ako 1 hodinu (vrátane času na podanie infúzie).</w:t>
      </w:r>
    </w:p>
    <w:p w14:paraId="7FA80CCA" w14:textId="77777777" w:rsidR="00780926" w:rsidRPr="00C30D5C" w:rsidRDefault="00780926" w:rsidP="001428E1">
      <w:pPr>
        <w:ind w:left="0" w:firstLine="0"/>
        <w:rPr>
          <w:szCs w:val="22"/>
        </w:rPr>
      </w:pPr>
    </w:p>
    <w:p w14:paraId="6CFFA82D" w14:textId="77777777" w:rsidR="00780926" w:rsidRPr="00C30D5C" w:rsidRDefault="009F59C1" w:rsidP="00B13F68">
      <w:pPr>
        <w:rPr>
          <w:szCs w:val="22"/>
        </w:rPr>
      </w:pPr>
      <w:r w:rsidRPr="00C30D5C">
        <w:rPr>
          <w:b/>
          <w:szCs w:val="22"/>
        </w:rPr>
        <w:t>6.4</w:t>
      </w:r>
      <w:r w:rsidRPr="00C30D5C">
        <w:rPr>
          <w:b/>
          <w:szCs w:val="22"/>
        </w:rPr>
        <w:tab/>
        <w:t>Špeciálne upozornenia na uchovávanie</w:t>
      </w:r>
    </w:p>
    <w:p w14:paraId="26E3BDDC" w14:textId="77777777" w:rsidR="00780926" w:rsidRPr="00C30D5C" w:rsidRDefault="00780926" w:rsidP="00B13F68">
      <w:pPr>
        <w:rPr>
          <w:szCs w:val="22"/>
        </w:rPr>
      </w:pPr>
    </w:p>
    <w:p w14:paraId="09F76FFA" w14:textId="77777777" w:rsidR="005D6150" w:rsidRPr="00C30D5C" w:rsidRDefault="001428E1" w:rsidP="005D6150">
      <w:pPr>
        <w:pStyle w:val="Zkladntext"/>
        <w:ind w:left="216" w:hanging="216"/>
        <w:rPr>
          <w:szCs w:val="22"/>
        </w:rPr>
      </w:pPr>
      <w:r w:rsidRPr="00C30D5C">
        <w:rPr>
          <w:szCs w:val="22"/>
        </w:rPr>
        <w:t>Uchovávajte pri teplote do 30 °C.</w:t>
      </w:r>
    </w:p>
    <w:p w14:paraId="748F6F22" w14:textId="77777777" w:rsidR="005D6150" w:rsidRPr="00C30D5C" w:rsidRDefault="00C30D5C" w:rsidP="005D6150">
      <w:pPr>
        <w:pStyle w:val="Zkladntext"/>
        <w:ind w:left="216" w:hanging="216"/>
        <w:rPr>
          <w:szCs w:val="22"/>
        </w:rPr>
      </w:pPr>
      <w:r w:rsidRPr="00C30D5C">
        <w:rPr>
          <w:szCs w:val="22"/>
        </w:rPr>
        <w:t>Chráňte pred chladom alebo mrazom.</w:t>
      </w:r>
    </w:p>
    <w:p w14:paraId="3DA756B9" w14:textId="77777777" w:rsidR="005D6150" w:rsidRPr="00C30D5C" w:rsidRDefault="005D6150" w:rsidP="008C785A">
      <w:pPr>
        <w:pStyle w:val="Zkladntext"/>
        <w:spacing w:before="9"/>
        <w:ind w:firstLine="142"/>
        <w:rPr>
          <w:szCs w:val="22"/>
        </w:rPr>
      </w:pPr>
    </w:p>
    <w:p w14:paraId="57B6DC49" w14:textId="77777777" w:rsidR="005D6150" w:rsidRPr="00C30D5C" w:rsidRDefault="00C30D5C" w:rsidP="005D6150">
      <w:pPr>
        <w:pStyle w:val="Zkladntext"/>
        <w:spacing w:before="2"/>
        <w:rPr>
          <w:szCs w:val="22"/>
        </w:rPr>
      </w:pPr>
      <w:r w:rsidRPr="00C30D5C">
        <w:rPr>
          <w:szCs w:val="22"/>
        </w:rPr>
        <w:t>Vnútorný obal skladujte vo vonkajšom hliníkovom obale</w:t>
      </w:r>
    </w:p>
    <w:p w14:paraId="1D2DB7A3" w14:textId="77777777" w:rsidR="005D6150" w:rsidRPr="00C30D5C" w:rsidRDefault="00C30D5C" w:rsidP="005D6150">
      <w:pPr>
        <w:pStyle w:val="Zkladntext"/>
        <w:spacing w:before="2"/>
        <w:rPr>
          <w:szCs w:val="22"/>
        </w:rPr>
      </w:pPr>
      <w:r w:rsidRPr="00C30D5C">
        <w:rPr>
          <w:szCs w:val="22"/>
        </w:rPr>
        <w:t>Po otvorení vnútorného obalu sa má produkt okamžite použiť.</w:t>
      </w:r>
    </w:p>
    <w:p w14:paraId="7DEA96E4" w14:textId="77777777" w:rsidR="00780926" w:rsidRPr="00C30D5C" w:rsidRDefault="00780926" w:rsidP="00B13F68">
      <w:pPr>
        <w:rPr>
          <w:szCs w:val="22"/>
        </w:rPr>
      </w:pPr>
    </w:p>
    <w:p w14:paraId="2BABAF40" w14:textId="77777777" w:rsidR="00780926" w:rsidRPr="00C30D5C" w:rsidRDefault="009F59C1" w:rsidP="00B13F68">
      <w:pPr>
        <w:rPr>
          <w:szCs w:val="22"/>
        </w:rPr>
      </w:pPr>
      <w:r w:rsidRPr="00C30D5C">
        <w:rPr>
          <w:b/>
          <w:szCs w:val="22"/>
        </w:rPr>
        <w:t>6.5</w:t>
      </w:r>
      <w:r w:rsidRPr="00C30D5C">
        <w:rPr>
          <w:b/>
          <w:szCs w:val="22"/>
        </w:rPr>
        <w:tab/>
        <w:t>Druh obalu a obsah balenia</w:t>
      </w:r>
      <w:r w:rsidRPr="00C30D5C">
        <w:rPr>
          <w:b/>
          <w:color w:val="0000FF"/>
          <w:szCs w:val="22"/>
        </w:rPr>
        <w:t xml:space="preserve"> </w:t>
      </w:r>
    </w:p>
    <w:p w14:paraId="746EFEFE" w14:textId="77777777" w:rsidR="00780926" w:rsidRPr="00C30D5C" w:rsidRDefault="00780926" w:rsidP="00B13F68">
      <w:pPr>
        <w:rPr>
          <w:szCs w:val="22"/>
        </w:rPr>
      </w:pPr>
    </w:p>
    <w:p w14:paraId="613940D2" w14:textId="36E64883" w:rsidR="005D6150" w:rsidRPr="00C30D5C" w:rsidRDefault="005D6150" w:rsidP="005D6150">
      <w:pPr>
        <w:pStyle w:val="Zkladntext"/>
        <w:rPr>
          <w:szCs w:val="22"/>
        </w:rPr>
      </w:pPr>
      <w:r w:rsidRPr="00C30D5C">
        <w:rPr>
          <w:szCs w:val="22"/>
        </w:rPr>
        <w:t>50</w:t>
      </w:r>
      <w:r w:rsidR="008C785A" w:rsidRPr="00C30D5C">
        <w:rPr>
          <w:szCs w:val="22"/>
        </w:rPr>
        <w:t> </w:t>
      </w:r>
      <w:r w:rsidRPr="00C30D5C">
        <w:rPr>
          <w:szCs w:val="22"/>
        </w:rPr>
        <w:t>ml a</w:t>
      </w:r>
      <w:r w:rsidR="008C785A" w:rsidRPr="00C30D5C">
        <w:rPr>
          <w:szCs w:val="22"/>
        </w:rPr>
        <w:t> </w:t>
      </w:r>
      <w:r w:rsidRPr="00C30D5C">
        <w:rPr>
          <w:szCs w:val="22"/>
        </w:rPr>
        <w:t>100</w:t>
      </w:r>
      <w:r w:rsidR="008C785A" w:rsidRPr="00C30D5C">
        <w:rPr>
          <w:szCs w:val="22"/>
        </w:rPr>
        <w:t> </w:t>
      </w:r>
      <w:r w:rsidRPr="00C30D5C">
        <w:rPr>
          <w:szCs w:val="22"/>
        </w:rPr>
        <w:t>ml</w:t>
      </w:r>
      <w:r w:rsidR="008C785A" w:rsidRPr="00C30D5C">
        <w:rPr>
          <w:szCs w:val="22"/>
        </w:rPr>
        <w:t xml:space="preserve"> </w:t>
      </w:r>
      <w:r w:rsidR="003E5F36" w:rsidRPr="003E5795">
        <w:rPr>
          <w:szCs w:val="22"/>
        </w:rPr>
        <w:t>fľaše</w:t>
      </w:r>
      <w:r w:rsidRPr="00C30D5C">
        <w:rPr>
          <w:szCs w:val="22"/>
        </w:rPr>
        <w:t xml:space="preserve"> z polypropyl</w:t>
      </w:r>
      <w:r w:rsidR="008C785A" w:rsidRPr="00C30D5C">
        <w:rPr>
          <w:szCs w:val="22"/>
        </w:rPr>
        <w:t>é</w:t>
      </w:r>
      <w:r w:rsidRPr="00C30D5C">
        <w:rPr>
          <w:szCs w:val="22"/>
        </w:rPr>
        <w:t xml:space="preserve">nu, s tvarovaným plastovým </w:t>
      </w:r>
      <w:r w:rsidR="008C785A" w:rsidRPr="00C30D5C">
        <w:rPr>
          <w:szCs w:val="22"/>
        </w:rPr>
        <w:t>viečkom</w:t>
      </w:r>
      <w:r w:rsidRPr="00C30D5C">
        <w:rPr>
          <w:szCs w:val="22"/>
        </w:rPr>
        <w:t>, gumovým t</w:t>
      </w:r>
      <w:r w:rsidR="008C785A" w:rsidRPr="00C30D5C">
        <w:rPr>
          <w:szCs w:val="22"/>
        </w:rPr>
        <w:t>esnením</w:t>
      </w:r>
      <w:r w:rsidRPr="00C30D5C">
        <w:rPr>
          <w:szCs w:val="22"/>
        </w:rPr>
        <w:t xml:space="preserve"> (typ II) a</w:t>
      </w:r>
      <w:r w:rsidR="008C785A" w:rsidRPr="00C30D5C">
        <w:rPr>
          <w:szCs w:val="22"/>
        </w:rPr>
        <w:t> odtrhávacím krúžkom</w:t>
      </w:r>
      <w:r w:rsidRPr="00C30D5C">
        <w:rPr>
          <w:szCs w:val="22"/>
        </w:rPr>
        <w:t xml:space="preserve">. Každá </w:t>
      </w:r>
      <w:r w:rsidR="003E5F36" w:rsidRPr="002E4A86">
        <w:rPr>
          <w:szCs w:val="22"/>
        </w:rPr>
        <w:t>fľaša</w:t>
      </w:r>
      <w:r w:rsidR="008C785A" w:rsidRPr="00C30D5C">
        <w:rPr>
          <w:szCs w:val="22"/>
        </w:rPr>
        <w:t xml:space="preserve"> je umiestnená do </w:t>
      </w:r>
      <w:r w:rsidRPr="00C30D5C">
        <w:rPr>
          <w:szCs w:val="22"/>
        </w:rPr>
        <w:t>metalického ochranného plastového obalu.</w:t>
      </w:r>
    </w:p>
    <w:p w14:paraId="6C789D84" w14:textId="77777777" w:rsidR="005D6150" w:rsidRPr="00C30D5C" w:rsidRDefault="005D6150" w:rsidP="005D6150">
      <w:pPr>
        <w:pStyle w:val="Zkladntext"/>
        <w:spacing w:line="252" w:lineRule="exact"/>
        <w:ind w:left="215" w:hanging="215"/>
        <w:jc w:val="both"/>
        <w:rPr>
          <w:szCs w:val="22"/>
        </w:rPr>
      </w:pPr>
    </w:p>
    <w:p w14:paraId="6A3FBA00" w14:textId="1B3A0621" w:rsidR="005D6150" w:rsidRPr="00C30D5C" w:rsidRDefault="005D6150" w:rsidP="005D6150">
      <w:pPr>
        <w:pStyle w:val="Zkladntext"/>
        <w:spacing w:line="252" w:lineRule="exact"/>
        <w:ind w:left="215" w:hanging="215"/>
        <w:jc w:val="both"/>
        <w:rPr>
          <w:szCs w:val="22"/>
        </w:rPr>
      </w:pPr>
      <w:r w:rsidRPr="00C30D5C">
        <w:rPr>
          <w:szCs w:val="22"/>
        </w:rPr>
        <w:t xml:space="preserve">50ml a 100ml </w:t>
      </w:r>
      <w:r w:rsidR="003E5F36" w:rsidRPr="003E5795">
        <w:rPr>
          <w:szCs w:val="22"/>
        </w:rPr>
        <w:t>fľaše</w:t>
      </w:r>
      <w:r w:rsidR="008C785A" w:rsidRPr="00C30D5C">
        <w:rPr>
          <w:szCs w:val="22"/>
        </w:rPr>
        <w:t xml:space="preserve"> sú dostupné </w:t>
      </w:r>
      <w:r w:rsidRPr="00C30D5C">
        <w:rPr>
          <w:szCs w:val="22"/>
        </w:rPr>
        <w:t>v balen</w:t>
      </w:r>
      <w:r w:rsidR="008C785A" w:rsidRPr="00C30D5C">
        <w:rPr>
          <w:szCs w:val="22"/>
        </w:rPr>
        <w:t>iach</w:t>
      </w:r>
      <w:r w:rsidRPr="00C30D5C">
        <w:rPr>
          <w:szCs w:val="22"/>
        </w:rPr>
        <w:t xml:space="preserve"> po 1, 5, 10 a 12 </w:t>
      </w:r>
      <w:r w:rsidR="003E5F36">
        <w:rPr>
          <w:szCs w:val="22"/>
        </w:rPr>
        <w:t>fliaš</w:t>
      </w:r>
      <w:r w:rsidRPr="00C30D5C">
        <w:rPr>
          <w:szCs w:val="22"/>
        </w:rPr>
        <w:t>.</w:t>
      </w:r>
    </w:p>
    <w:p w14:paraId="29CF8551" w14:textId="77777777" w:rsidR="005D6150" w:rsidRPr="00C30D5C" w:rsidRDefault="005D6150" w:rsidP="00B13F68">
      <w:pPr>
        <w:rPr>
          <w:szCs w:val="22"/>
        </w:rPr>
      </w:pPr>
    </w:p>
    <w:p w14:paraId="193A3CCF" w14:textId="77777777" w:rsidR="00780926" w:rsidRPr="00C30D5C" w:rsidRDefault="00D71CEA" w:rsidP="005D6150">
      <w:pPr>
        <w:rPr>
          <w:szCs w:val="22"/>
        </w:rPr>
      </w:pPr>
      <w:r w:rsidRPr="00C30D5C">
        <w:rPr>
          <w:szCs w:val="22"/>
        </w:rPr>
        <w:t>Na trh nemusia byť uvedené</w:t>
      </w:r>
      <w:r w:rsidRPr="00C30D5C">
        <w:rPr>
          <w:noProof/>
          <w:szCs w:val="22"/>
        </w:rPr>
        <w:t xml:space="preserve"> </w:t>
      </w:r>
      <w:r w:rsidR="009F59C1" w:rsidRPr="00C30D5C">
        <w:rPr>
          <w:szCs w:val="22"/>
        </w:rPr>
        <w:t>všetky veľkosti bal</w:t>
      </w:r>
      <w:r w:rsidR="005D6150" w:rsidRPr="00C30D5C">
        <w:rPr>
          <w:szCs w:val="22"/>
        </w:rPr>
        <w:t>enia.</w:t>
      </w:r>
    </w:p>
    <w:p w14:paraId="6A3B9681" w14:textId="77777777" w:rsidR="00780926" w:rsidRPr="00C30D5C" w:rsidRDefault="00780926" w:rsidP="00B13F68">
      <w:pPr>
        <w:rPr>
          <w:szCs w:val="22"/>
        </w:rPr>
      </w:pPr>
    </w:p>
    <w:p w14:paraId="0B09D3BE" w14:textId="77777777" w:rsidR="00780926" w:rsidRPr="00C30D5C" w:rsidRDefault="009F59C1" w:rsidP="00B13F68">
      <w:pPr>
        <w:rPr>
          <w:b/>
          <w:bCs/>
          <w:noProof/>
          <w:szCs w:val="22"/>
        </w:rPr>
      </w:pPr>
      <w:r w:rsidRPr="00C30D5C">
        <w:rPr>
          <w:b/>
          <w:szCs w:val="22"/>
        </w:rPr>
        <w:t>6.6</w:t>
      </w:r>
      <w:r w:rsidRPr="00C30D5C">
        <w:rPr>
          <w:b/>
          <w:szCs w:val="22"/>
        </w:rPr>
        <w:tab/>
      </w:r>
      <w:r w:rsidRPr="00C30D5C">
        <w:rPr>
          <w:b/>
          <w:bCs/>
          <w:noProof/>
          <w:szCs w:val="22"/>
        </w:rPr>
        <w:t>Špeciálne opatrenia na likvidáciu</w:t>
      </w:r>
      <w:r w:rsidRPr="00C30D5C">
        <w:rPr>
          <w:b/>
          <w:szCs w:val="22"/>
        </w:rPr>
        <w:t xml:space="preserve"> </w:t>
      </w:r>
      <w:r w:rsidRPr="00C30D5C">
        <w:rPr>
          <w:b/>
          <w:bCs/>
          <w:noProof/>
          <w:szCs w:val="22"/>
        </w:rPr>
        <w:t>a iné zaobchádzanie s</w:t>
      </w:r>
      <w:r w:rsidR="00FA099B" w:rsidRPr="00C30D5C">
        <w:rPr>
          <w:b/>
          <w:bCs/>
          <w:noProof/>
          <w:szCs w:val="22"/>
        </w:rPr>
        <w:t> </w:t>
      </w:r>
      <w:r w:rsidRPr="00C30D5C">
        <w:rPr>
          <w:b/>
          <w:bCs/>
          <w:noProof/>
          <w:szCs w:val="22"/>
        </w:rPr>
        <w:t>liekom</w:t>
      </w:r>
    </w:p>
    <w:p w14:paraId="130CE3B0" w14:textId="77777777" w:rsidR="00780926" w:rsidRPr="00C30D5C" w:rsidRDefault="00780926" w:rsidP="00B13F68">
      <w:pPr>
        <w:rPr>
          <w:bCs/>
          <w:noProof/>
          <w:szCs w:val="22"/>
        </w:rPr>
      </w:pPr>
    </w:p>
    <w:p w14:paraId="70878B3C" w14:textId="44AB383B" w:rsidR="00C30D5C" w:rsidRPr="00C30D5C" w:rsidRDefault="00C30D5C" w:rsidP="00C30D5C">
      <w:pPr>
        <w:pStyle w:val="Zkladntext"/>
        <w:ind w:right="395" w:hanging="1"/>
        <w:jc w:val="both"/>
        <w:rPr>
          <w:szCs w:val="22"/>
        </w:rPr>
      </w:pPr>
      <w:r w:rsidRPr="00C30D5C">
        <w:rPr>
          <w:szCs w:val="22"/>
        </w:rPr>
        <w:t xml:space="preserve">Informácia pre 50 ml a 100 ml </w:t>
      </w:r>
      <w:r w:rsidR="003E5F36" w:rsidRPr="003E5795">
        <w:rPr>
          <w:szCs w:val="22"/>
        </w:rPr>
        <w:t>fľaše</w:t>
      </w:r>
      <w:r w:rsidRPr="00C30D5C">
        <w:rPr>
          <w:szCs w:val="22"/>
        </w:rPr>
        <w:t>:</w:t>
      </w:r>
    </w:p>
    <w:p w14:paraId="1AF574C2" w14:textId="77777777" w:rsidR="005D6150" w:rsidRPr="00C30D5C" w:rsidRDefault="005D6150" w:rsidP="00C30D5C">
      <w:pPr>
        <w:pStyle w:val="Zkladntext"/>
        <w:spacing w:before="11"/>
        <w:rPr>
          <w:szCs w:val="22"/>
          <w:highlight w:val="yellow"/>
        </w:rPr>
      </w:pPr>
    </w:p>
    <w:p w14:paraId="558D08F9" w14:textId="575F0559" w:rsidR="005D6150" w:rsidRPr="00C30D5C" w:rsidRDefault="00C30D5C" w:rsidP="00C30D5C">
      <w:pPr>
        <w:pStyle w:val="Zkladntext"/>
        <w:spacing w:line="248" w:lineRule="exact"/>
      </w:pPr>
      <w:r w:rsidRPr="00C30D5C">
        <w:t xml:space="preserve">Pred podaním liek vizuálne skontrolujte </w:t>
      </w:r>
      <w:r w:rsidR="000750B9">
        <w:t xml:space="preserve">kvôli prítomnosti </w:t>
      </w:r>
      <w:r w:rsidRPr="00C30D5C">
        <w:t>čast</w:t>
      </w:r>
      <w:r w:rsidR="000750B9">
        <w:t>íc</w:t>
      </w:r>
      <w:r w:rsidRPr="00C30D5C">
        <w:t xml:space="preserve"> a   zmene farby. </w:t>
      </w:r>
    </w:p>
    <w:p w14:paraId="1E9E11C6" w14:textId="77777777" w:rsidR="005D6150" w:rsidRPr="00C30D5C" w:rsidRDefault="005D6150" w:rsidP="005D6150">
      <w:pPr>
        <w:pStyle w:val="Zkladntext"/>
        <w:spacing w:before="11"/>
        <w:ind w:left="567" w:hanging="567"/>
        <w:rPr>
          <w:szCs w:val="22"/>
          <w:highlight w:val="yellow"/>
        </w:rPr>
      </w:pPr>
    </w:p>
    <w:p w14:paraId="311CA030" w14:textId="77777777" w:rsidR="005D6150" w:rsidRPr="00C30D5C" w:rsidRDefault="00C30D5C" w:rsidP="005D6150">
      <w:pPr>
        <w:pStyle w:val="Zkladntext"/>
        <w:spacing w:before="11"/>
        <w:ind w:left="567" w:hanging="567"/>
        <w:rPr>
          <w:szCs w:val="22"/>
        </w:rPr>
      </w:pPr>
      <w:r w:rsidRPr="00C30D5C">
        <w:rPr>
          <w:szCs w:val="22"/>
        </w:rPr>
        <w:t>Na jednorazové použitie. Všetok nepoužitý roztok sa má zlikvidovať.</w:t>
      </w:r>
    </w:p>
    <w:p w14:paraId="323A2150" w14:textId="77777777" w:rsidR="005D6150" w:rsidRPr="00C30D5C" w:rsidRDefault="005D6150" w:rsidP="005D6150">
      <w:pPr>
        <w:pStyle w:val="Zkladntext"/>
        <w:spacing w:line="242" w:lineRule="auto"/>
        <w:ind w:right="399"/>
        <w:rPr>
          <w:szCs w:val="22"/>
          <w:highlight w:val="yellow"/>
        </w:rPr>
      </w:pPr>
    </w:p>
    <w:p w14:paraId="7B1CC5A9" w14:textId="77777777" w:rsidR="005D6150" w:rsidRPr="00C30D5C" w:rsidRDefault="00C30D5C" w:rsidP="005D6150">
      <w:pPr>
        <w:pStyle w:val="Zkladntext"/>
        <w:spacing w:line="242" w:lineRule="auto"/>
        <w:ind w:right="399"/>
        <w:rPr>
          <w:szCs w:val="22"/>
        </w:rPr>
      </w:pPr>
      <w:r w:rsidRPr="00C30D5C">
        <w:rPr>
          <w:szCs w:val="22"/>
        </w:rPr>
        <w:t xml:space="preserve">Zriedený roztok sa má vizuálne skontrolovať a nesmie sa použiť, pokiaľ je zakalený (opaleskuje), sú </w:t>
      </w:r>
      <w:r w:rsidR="00FC4AFC">
        <w:rPr>
          <w:szCs w:val="22"/>
        </w:rPr>
        <w:t xml:space="preserve">v ňom </w:t>
      </w:r>
      <w:r w:rsidRPr="00C30D5C">
        <w:rPr>
          <w:szCs w:val="22"/>
        </w:rPr>
        <w:t>viditeľné častice alebo zrazenina.</w:t>
      </w:r>
    </w:p>
    <w:p w14:paraId="19D7EF2A" w14:textId="77777777" w:rsidR="00BC798A" w:rsidRPr="00C30D5C" w:rsidRDefault="00BC798A" w:rsidP="00E41B3F">
      <w:pPr>
        <w:rPr>
          <w:szCs w:val="22"/>
        </w:rPr>
      </w:pPr>
    </w:p>
    <w:p w14:paraId="0BFEE106" w14:textId="77777777" w:rsidR="00780926" w:rsidRPr="00C30D5C" w:rsidRDefault="00BB6D67" w:rsidP="00E41B3F">
      <w:pPr>
        <w:ind w:left="0" w:firstLine="0"/>
        <w:rPr>
          <w:szCs w:val="22"/>
        </w:rPr>
      </w:pPr>
      <w:r w:rsidRPr="00C30D5C">
        <w:rPr>
          <w:szCs w:val="22"/>
        </w:rPr>
        <w:t>Všetok nepoužitý liek alebo odpad</w:t>
      </w:r>
      <w:r w:rsidR="000E2174" w:rsidRPr="00C30D5C">
        <w:rPr>
          <w:szCs w:val="22"/>
        </w:rPr>
        <w:t xml:space="preserve"> </w:t>
      </w:r>
      <w:r w:rsidRPr="00C30D5C">
        <w:rPr>
          <w:szCs w:val="22"/>
        </w:rPr>
        <w:t>vzniknutý z lieku sa má zlikvidovať v súlade s národnými požiadavkami</w:t>
      </w:r>
      <w:r w:rsidR="005D6150" w:rsidRPr="00C30D5C">
        <w:rPr>
          <w:szCs w:val="22"/>
        </w:rPr>
        <w:t>.</w:t>
      </w:r>
    </w:p>
    <w:p w14:paraId="4C0B5096" w14:textId="77777777" w:rsidR="00780926" w:rsidRPr="00C30D5C" w:rsidRDefault="00780926" w:rsidP="00E41B3F">
      <w:pPr>
        <w:rPr>
          <w:szCs w:val="22"/>
        </w:rPr>
      </w:pPr>
    </w:p>
    <w:p w14:paraId="691F672D" w14:textId="77777777" w:rsidR="00780926" w:rsidRPr="00C30D5C" w:rsidRDefault="00780926" w:rsidP="00E41B3F">
      <w:pPr>
        <w:rPr>
          <w:szCs w:val="22"/>
        </w:rPr>
      </w:pPr>
    </w:p>
    <w:p w14:paraId="74C61DA2" w14:textId="77777777" w:rsidR="00780926" w:rsidRPr="00C30D5C" w:rsidRDefault="009F59C1" w:rsidP="00E41B3F">
      <w:pPr>
        <w:rPr>
          <w:b/>
          <w:szCs w:val="22"/>
        </w:rPr>
      </w:pPr>
      <w:r w:rsidRPr="00C30D5C">
        <w:rPr>
          <w:b/>
          <w:szCs w:val="22"/>
        </w:rPr>
        <w:t>7.</w:t>
      </w:r>
      <w:r w:rsidRPr="00C30D5C">
        <w:rPr>
          <w:b/>
          <w:szCs w:val="22"/>
        </w:rPr>
        <w:tab/>
        <w:t>DRŽITEĽ ROZHODNUTIA O REGISTRÁCII</w:t>
      </w:r>
    </w:p>
    <w:p w14:paraId="6F6BCC74" w14:textId="77777777" w:rsidR="00780926" w:rsidRPr="00C30D5C" w:rsidRDefault="00780926" w:rsidP="00E41B3F">
      <w:pPr>
        <w:rPr>
          <w:szCs w:val="22"/>
        </w:rPr>
      </w:pPr>
    </w:p>
    <w:p w14:paraId="158F810B" w14:textId="735D0823" w:rsidR="00FC4AFC" w:rsidRDefault="005D6150" w:rsidP="00BF3996">
      <w:pPr>
        <w:ind w:left="0" w:firstLine="0"/>
        <w:rPr>
          <w:noProof/>
          <w:szCs w:val="22"/>
        </w:rPr>
      </w:pPr>
      <w:r w:rsidRPr="00C30D5C">
        <w:rPr>
          <w:noProof/>
          <w:szCs w:val="22"/>
        </w:rPr>
        <w:t>Noridem Enterprises L</w:t>
      </w:r>
      <w:r w:rsidR="00A34E8B">
        <w:rPr>
          <w:noProof/>
          <w:szCs w:val="22"/>
        </w:rPr>
        <w:t>imi</w:t>
      </w:r>
      <w:r w:rsidRPr="00C30D5C">
        <w:rPr>
          <w:noProof/>
          <w:szCs w:val="22"/>
        </w:rPr>
        <w:t>t</w:t>
      </w:r>
      <w:r w:rsidR="00A34E8B">
        <w:rPr>
          <w:noProof/>
          <w:szCs w:val="22"/>
        </w:rPr>
        <w:t>e</w:t>
      </w:r>
      <w:r w:rsidRPr="00C30D5C">
        <w:rPr>
          <w:noProof/>
          <w:szCs w:val="22"/>
        </w:rPr>
        <w:t xml:space="preserve">d </w:t>
      </w:r>
    </w:p>
    <w:p w14:paraId="3D56430F" w14:textId="737E140E" w:rsidR="00FC4AFC" w:rsidRDefault="005D6150" w:rsidP="00BF3996">
      <w:pPr>
        <w:ind w:left="0" w:firstLine="0"/>
        <w:rPr>
          <w:noProof/>
          <w:szCs w:val="22"/>
        </w:rPr>
      </w:pPr>
      <w:bookmarkStart w:id="0" w:name="_GoBack"/>
      <w:bookmarkEnd w:id="0"/>
      <w:r w:rsidRPr="00C30D5C">
        <w:rPr>
          <w:noProof/>
          <w:szCs w:val="22"/>
        </w:rPr>
        <w:t>Makariou</w:t>
      </w:r>
      <w:r w:rsidR="0016327B">
        <w:rPr>
          <w:noProof/>
          <w:szCs w:val="22"/>
        </w:rPr>
        <w:t xml:space="preserve"> </w:t>
      </w:r>
      <w:r w:rsidR="0016327B" w:rsidRPr="00C71A62">
        <w:rPr>
          <w:noProof/>
        </w:rPr>
        <w:t>&amp;</w:t>
      </w:r>
      <w:r w:rsidR="0016327B">
        <w:rPr>
          <w:noProof/>
        </w:rPr>
        <w:t xml:space="preserve"> </w:t>
      </w:r>
      <w:r w:rsidR="0016327B" w:rsidRPr="00C71A62">
        <w:rPr>
          <w:noProof/>
        </w:rPr>
        <w:t>Evagorou</w:t>
      </w:r>
    </w:p>
    <w:p w14:paraId="31577BE7" w14:textId="5F206C53" w:rsidR="00FC4AFC" w:rsidRDefault="005D6150" w:rsidP="00BF3996">
      <w:pPr>
        <w:ind w:left="0" w:firstLine="0"/>
        <w:rPr>
          <w:noProof/>
          <w:szCs w:val="22"/>
        </w:rPr>
      </w:pPr>
      <w:r w:rsidRPr="00C30D5C">
        <w:rPr>
          <w:noProof/>
          <w:szCs w:val="22"/>
        </w:rPr>
        <w:t xml:space="preserve">Mitsi Building 3, </w:t>
      </w:r>
      <w:r w:rsidR="00A34E8B">
        <w:rPr>
          <w:noProof/>
          <w:szCs w:val="22"/>
        </w:rPr>
        <w:t>Office</w:t>
      </w:r>
      <w:r w:rsidRPr="00C30D5C">
        <w:rPr>
          <w:noProof/>
          <w:szCs w:val="22"/>
        </w:rPr>
        <w:t xml:space="preserve">115 </w:t>
      </w:r>
    </w:p>
    <w:p w14:paraId="04392483" w14:textId="78D41460" w:rsidR="00FC4AFC" w:rsidRDefault="005D6150" w:rsidP="00BF3996">
      <w:pPr>
        <w:ind w:left="0" w:firstLine="0"/>
        <w:rPr>
          <w:noProof/>
          <w:szCs w:val="22"/>
        </w:rPr>
      </w:pPr>
      <w:r w:rsidRPr="00C30D5C">
        <w:rPr>
          <w:noProof/>
          <w:szCs w:val="22"/>
        </w:rPr>
        <w:t>1065 Ni</w:t>
      </w:r>
      <w:r w:rsidR="008C60DE">
        <w:rPr>
          <w:noProof/>
          <w:szCs w:val="22"/>
        </w:rPr>
        <w:t>kóz</w:t>
      </w:r>
      <w:r w:rsidRPr="00C30D5C">
        <w:rPr>
          <w:noProof/>
          <w:szCs w:val="22"/>
        </w:rPr>
        <w:t xml:space="preserve">ia </w:t>
      </w:r>
    </w:p>
    <w:p w14:paraId="1F3A7608" w14:textId="77777777" w:rsidR="005D6150" w:rsidRPr="00C30D5C" w:rsidRDefault="005D6150" w:rsidP="00BF3996">
      <w:pPr>
        <w:ind w:left="0" w:firstLine="0"/>
        <w:rPr>
          <w:noProof/>
          <w:szCs w:val="22"/>
        </w:rPr>
      </w:pPr>
      <w:r w:rsidRPr="00C30D5C">
        <w:rPr>
          <w:noProof/>
          <w:szCs w:val="22"/>
        </w:rPr>
        <w:t>Cyprus</w:t>
      </w:r>
    </w:p>
    <w:p w14:paraId="20CECC7A" w14:textId="77777777" w:rsidR="00780926" w:rsidRPr="00C30D5C" w:rsidRDefault="00780926" w:rsidP="00E41B3F">
      <w:pPr>
        <w:rPr>
          <w:szCs w:val="22"/>
        </w:rPr>
      </w:pPr>
    </w:p>
    <w:p w14:paraId="3887274F" w14:textId="77777777" w:rsidR="005D6150" w:rsidRPr="00C30D5C" w:rsidRDefault="005D6150" w:rsidP="00E41B3F">
      <w:pPr>
        <w:rPr>
          <w:szCs w:val="22"/>
        </w:rPr>
      </w:pPr>
    </w:p>
    <w:p w14:paraId="33FBC403" w14:textId="77777777" w:rsidR="00780926" w:rsidRPr="00C30D5C" w:rsidRDefault="008C785A" w:rsidP="00E41B3F">
      <w:pPr>
        <w:rPr>
          <w:b/>
          <w:szCs w:val="22"/>
        </w:rPr>
      </w:pPr>
      <w:r w:rsidRPr="00C30D5C">
        <w:rPr>
          <w:b/>
          <w:szCs w:val="22"/>
        </w:rPr>
        <w:t>8.</w:t>
      </w:r>
      <w:r w:rsidRPr="00C30D5C">
        <w:rPr>
          <w:b/>
          <w:szCs w:val="22"/>
        </w:rPr>
        <w:tab/>
        <w:t xml:space="preserve">REGISTRAČNÉ </w:t>
      </w:r>
      <w:r w:rsidR="009F59C1" w:rsidRPr="00C30D5C">
        <w:rPr>
          <w:b/>
          <w:szCs w:val="22"/>
        </w:rPr>
        <w:t>ČÍSLO</w:t>
      </w:r>
    </w:p>
    <w:p w14:paraId="5C9B7769" w14:textId="77777777" w:rsidR="00780926" w:rsidRPr="00C30D5C" w:rsidRDefault="00780926" w:rsidP="005D6150">
      <w:pPr>
        <w:ind w:left="0" w:firstLine="0"/>
        <w:rPr>
          <w:szCs w:val="22"/>
        </w:rPr>
      </w:pPr>
    </w:p>
    <w:p w14:paraId="5340EC8E" w14:textId="5FAD0AE7" w:rsidR="00780926" w:rsidRDefault="002E4A86" w:rsidP="00D513D2">
      <w:pPr>
        <w:rPr>
          <w:szCs w:val="22"/>
        </w:rPr>
      </w:pPr>
      <w:r w:rsidRPr="002E4A86">
        <w:rPr>
          <w:szCs w:val="22"/>
        </w:rPr>
        <w:t>07/0168/20-S</w:t>
      </w:r>
    </w:p>
    <w:p w14:paraId="0C8816C3" w14:textId="77777777" w:rsidR="002E4A86" w:rsidRDefault="002E4A86" w:rsidP="00D513D2">
      <w:pPr>
        <w:rPr>
          <w:szCs w:val="22"/>
        </w:rPr>
      </w:pPr>
    </w:p>
    <w:p w14:paraId="3621F92D" w14:textId="77777777" w:rsidR="002E4A86" w:rsidRPr="00C30D5C" w:rsidRDefault="002E4A86" w:rsidP="00D513D2">
      <w:pPr>
        <w:rPr>
          <w:szCs w:val="22"/>
        </w:rPr>
      </w:pPr>
    </w:p>
    <w:p w14:paraId="7CBFF5A0" w14:textId="77777777" w:rsidR="00780926" w:rsidRPr="00C30D5C" w:rsidRDefault="009F59C1" w:rsidP="00D513D2">
      <w:pPr>
        <w:rPr>
          <w:b/>
          <w:szCs w:val="22"/>
        </w:rPr>
      </w:pPr>
      <w:r w:rsidRPr="00C30D5C">
        <w:rPr>
          <w:b/>
          <w:szCs w:val="22"/>
        </w:rPr>
        <w:t>9.</w:t>
      </w:r>
      <w:r w:rsidRPr="00C30D5C">
        <w:rPr>
          <w:b/>
          <w:szCs w:val="22"/>
        </w:rPr>
        <w:tab/>
        <w:t>DÁTUM PRVEJ REGISTRÁCIE/PREDĹŽENIA REGISTRÁCIE</w:t>
      </w:r>
    </w:p>
    <w:p w14:paraId="6B3EE67F" w14:textId="77777777" w:rsidR="00780926" w:rsidRPr="00C30D5C" w:rsidRDefault="00780926" w:rsidP="00B13F68">
      <w:pPr>
        <w:rPr>
          <w:szCs w:val="22"/>
        </w:rPr>
      </w:pPr>
    </w:p>
    <w:p w14:paraId="671D7B37" w14:textId="77777777" w:rsidR="00780926" w:rsidRPr="00C30D5C" w:rsidRDefault="009F59C1" w:rsidP="005D6150">
      <w:pPr>
        <w:rPr>
          <w:i/>
          <w:iCs/>
          <w:szCs w:val="22"/>
        </w:rPr>
      </w:pPr>
      <w:r w:rsidRPr="00C30D5C">
        <w:rPr>
          <w:noProof/>
          <w:szCs w:val="22"/>
        </w:rPr>
        <w:t>Dátum prvej registrácie:</w:t>
      </w:r>
    </w:p>
    <w:p w14:paraId="710CC82A" w14:textId="77777777" w:rsidR="00780926" w:rsidRPr="00C30D5C" w:rsidRDefault="00780926" w:rsidP="00B13F68">
      <w:pPr>
        <w:rPr>
          <w:szCs w:val="22"/>
        </w:rPr>
      </w:pPr>
    </w:p>
    <w:p w14:paraId="1267F5A3" w14:textId="77777777" w:rsidR="00780926" w:rsidRPr="00C30D5C" w:rsidRDefault="00780926" w:rsidP="00B13F68">
      <w:pPr>
        <w:rPr>
          <w:szCs w:val="22"/>
        </w:rPr>
      </w:pPr>
    </w:p>
    <w:p w14:paraId="394723CA" w14:textId="77777777" w:rsidR="00780926" w:rsidRPr="00C30D5C" w:rsidRDefault="009F59C1" w:rsidP="00B13F68">
      <w:pPr>
        <w:rPr>
          <w:b/>
          <w:szCs w:val="22"/>
        </w:rPr>
      </w:pPr>
      <w:r w:rsidRPr="00C30D5C">
        <w:rPr>
          <w:b/>
          <w:szCs w:val="22"/>
        </w:rPr>
        <w:t>10.</w:t>
      </w:r>
      <w:r w:rsidRPr="00C30D5C">
        <w:rPr>
          <w:b/>
          <w:szCs w:val="22"/>
        </w:rPr>
        <w:tab/>
        <w:t>DÁTUM REVÍZIE TEXTU</w:t>
      </w:r>
    </w:p>
    <w:p w14:paraId="7934D159" w14:textId="77777777" w:rsidR="00780926" w:rsidRDefault="00780926" w:rsidP="00B13F68">
      <w:pPr>
        <w:rPr>
          <w:szCs w:val="22"/>
        </w:rPr>
      </w:pPr>
    </w:p>
    <w:p w14:paraId="7A5042C8" w14:textId="77777777" w:rsidR="00FC4AFC" w:rsidRPr="00C30D5C" w:rsidRDefault="00FC4AFC" w:rsidP="00B13F68">
      <w:pPr>
        <w:rPr>
          <w:szCs w:val="22"/>
        </w:rPr>
      </w:pPr>
      <w:r>
        <w:rPr>
          <w:szCs w:val="22"/>
        </w:rPr>
        <w:t>07/2020</w:t>
      </w:r>
    </w:p>
    <w:sectPr w:rsidR="00FC4AFC" w:rsidRPr="00C30D5C" w:rsidSect="00F6288E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F960B3C" w16cid:durableId="22C1330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739E8" w14:textId="77777777" w:rsidR="000F2730" w:rsidRDefault="000F2730" w:rsidP="00DA1EE4">
      <w:r>
        <w:separator/>
      </w:r>
    </w:p>
  </w:endnote>
  <w:endnote w:type="continuationSeparator" w:id="0">
    <w:p w14:paraId="6F4CA847" w14:textId="77777777" w:rsidR="000F2730" w:rsidRDefault="000F2730" w:rsidP="00DA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31EAA" w14:textId="77777777" w:rsidR="001B072E" w:rsidRPr="00B13F68" w:rsidRDefault="00524845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="001B072E"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D513D2">
      <w:rPr>
        <w:rStyle w:val="slostrany"/>
        <w:rFonts w:ascii="Arial" w:hAnsi="Arial" w:cs="Arial"/>
      </w:rPr>
      <w:fldChar w:fldCharType="begin"/>
    </w:r>
    <w:r w:rsidR="001B072E" w:rsidRPr="00B13F68">
      <w:rPr>
        <w:rStyle w:val="slostrany"/>
        <w:rFonts w:ascii="Arial" w:hAnsi="Arial" w:cs="Arial"/>
      </w:rPr>
      <w:instrText xml:space="preserve">PAGE  </w:instrText>
    </w:r>
    <w:r w:rsidRPr="00D513D2">
      <w:rPr>
        <w:rStyle w:val="slostrany"/>
        <w:rFonts w:ascii="Arial" w:hAnsi="Arial" w:cs="Arial"/>
      </w:rPr>
      <w:fldChar w:fldCharType="separate"/>
    </w:r>
    <w:r w:rsidR="00D3587E">
      <w:rPr>
        <w:rStyle w:val="slostrany"/>
        <w:rFonts w:ascii="Arial" w:hAnsi="Arial" w:cs="Arial"/>
        <w:noProof/>
      </w:rPr>
      <w:t>9</w:t>
    </w:r>
    <w:r w:rsidRPr="00D513D2">
      <w:rPr>
        <w:rStyle w:val="slostran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0A1413" w14:textId="77777777" w:rsidR="001B072E" w:rsidRDefault="00524845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 w:rsidR="001B072E"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 w:rsidR="001B072E"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D3587E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3B6AD6" w14:textId="77777777" w:rsidR="000F2730" w:rsidRDefault="000F2730" w:rsidP="00DA1EE4">
      <w:r>
        <w:separator/>
      </w:r>
    </w:p>
  </w:footnote>
  <w:footnote w:type="continuationSeparator" w:id="0">
    <w:p w14:paraId="09119A6C" w14:textId="77777777" w:rsidR="000F2730" w:rsidRDefault="000F2730" w:rsidP="00DA1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39BEE" w14:textId="77777777" w:rsidR="004B0820" w:rsidRDefault="004B0820" w:rsidP="004B0820">
    <w:pPr>
      <w:pStyle w:val="Hlavika"/>
      <w:rPr>
        <w:rFonts w:ascii="Times New Roman" w:hAnsi="Times New Roman"/>
        <w:sz w:val="18"/>
        <w:szCs w:val="18"/>
      </w:rPr>
    </w:pPr>
    <w:r w:rsidRPr="000D1A5B">
      <w:rPr>
        <w:rFonts w:ascii="Times New Roman" w:hAnsi="Times New Roman"/>
        <w:sz w:val="18"/>
        <w:szCs w:val="18"/>
      </w:rPr>
      <w:t xml:space="preserve">Schválený text k rozhodnutiu o registrácii, ev.č.: </w:t>
    </w:r>
    <w:r w:rsidRPr="004B0820">
      <w:rPr>
        <w:rFonts w:ascii="Times New Roman" w:hAnsi="Times New Roman"/>
        <w:sz w:val="18"/>
        <w:szCs w:val="18"/>
      </w:rPr>
      <w:t>2019/05346-REG</w:t>
    </w:r>
  </w:p>
  <w:p w14:paraId="4C71E548" w14:textId="77777777" w:rsidR="001B072E" w:rsidRDefault="001B072E">
    <w:pPr>
      <w:pStyle w:val="Hlavika"/>
    </w:pPr>
  </w:p>
  <w:p w14:paraId="4875E3AE" w14:textId="77777777" w:rsidR="004B0820" w:rsidRDefault="004B082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19013" w14:textId="77777777" w:rsidR="001B072E" w:rsidRDefault="00524845">
    <w:pPr>
      <w:pStyle w:val="Hlavika"/>
      <w:rPr>
        <w:rFonts w:ascii="Times New Roman" w:hAnsi="Times New Roman"/>
        <w:sz w:val="18"/>
        <w:szCs w:val="18"/>
      </w:rPr>
    </w:pPr>
    <w:r w:rsidRPr="002E4A86">
      <w:rPr>
        <w:rFonts w:ascii="Times New Roman" w:hAnsi="Times New Roman"/>
        <w:sz w:val="18"/>
        <w:szCs w:val="18"/>
      </w:rPr>
      <w:t>Schválený text k rozhodnutiu o registrácii, ev.</w:t>
    </w:r>
    <w:r w:rsidRPr="002E4A86">
      <w:rPr>
        <w:rFonts w:ascii="Times New Roman" w:hAnsi="Times New Roman" w:hint="eastAsia"/>
        <w:sz w:val="18"/>
        <w:szCs w:val="18"/>
      </w:rPr>
      <w:t>č</w:t>
    </w:r>
    <w:r w:rsidRPr="002E4A86">
      <w:rPr>
        <w:rFonts w:ascii="Times New Roman" w:hAnsi="Times New Roman"/>
        <w:sz w:val="18"/>
        <w:szCs w:val="18"/>
      </w:rPr>
      <w:t xml:space="preserve">.: </w:t>
    </w:r>
    <w:r w:rsidR="004B0820" w:rsidRPr="004B0820">
      <w:rPr>
        <w:rFonts w:ascii="Times New Roman" w:hAnsi="Times New Roman"/>
        <w:sz w:val="18"/>
        <w:szCs w:val="18"/>
      </w:rPr>
      <w:t>2019/05346-REG</w:t>
    </w:r>
  </w:p>
  <w:p w14:paraId="5BC10CA1" w14:textId="77777777" w:rsidR="004B0820" w:rsidRDefault="004B0820">
    <w:pPr>
      <w:pStyle w:val="Hlavika"/>
      <w:rPr>
        <w:rFonts w:ascii="Times New Roman" w:hAnsi="Times New Roman"/>
        <w:sz w:val="18"/>
        <w:szCs w:val="18"/>
      </w:rPr>
    </w:pPr>
  </w:p>
  <w:p w14:paraId="180E73A1" w14:textId="77777777" w:rsidR="004B0820" w:rsidRPr="002E4A86" w:rsidRDefault="004B0820">
    <w:pPr>
      <w:pStyle w:val="Hlavika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3852E9"/>
    <w:multiLevelType w:val="hybridMultilevel"/>
    <w:tmpl w:val="51B610BA"/>
    <w:lvl w:ilvl="0" w:tplc="E0EAF16C">
      <w:start w:val="3"/>
      <w:numFmt w:val="decimal"/>
      <w:lvlText w:val="%1"/>
      <w:lvlJc w:val="left"/>
      <w:pPr>
        <w:ind w:left="4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0" w:hanging="360"/>
      </w:pPr>
    </w:lvl>
    <w:lvl w:ilvl="2" w:tplc="0405001B" w:tentative="1">
      <w:start w:val="1"/>
      <w:numFmt w:val="lowerRoman"/>
      <w:lvlText w:val="%3."/>
      <w:lvlJc w:val="right"/>
      <w:pPr>
        <w:ind w:left="1870" w:hanging="180"/>
      </w:pPr>
    </w:lvl>
    <w:lvl w:ilvl="3" w:tplc="0405000F" w:tentative="1">
      <w:start w:val="1"/>
      <w:numFmt w:val="decimal"/>
      <w:lvlText w:val="%4."/>
      <w:lvlJc w:val="left"/>
      <w:pPr>
        <w:ind w:left="2590" w:hanging="360"/>
      </w:pPr>
    </w:lvl>
    <w:lvl w:ilvl="4" w:tplc="04050019" w:tentative="1">
      <w:start w:val="1"/>
      <w:numFmt w:val="lowerLetter"/>
      <w:lvlText w:val="%5."/>
      <w:lvlJc w:val="left"/>
      <w:pPr>
        <w:ind w:left="3310" w:hanging="360"/>
      </w:pPr>
    </w:lvl>
    <w:lvl w:ilvl="5" w:tplc="0405001B" w:tentative="1">
      <w:start w:val="1"/>
      <w:numFmt w:val="lowerRoman"/>
      <w:lvlText w:val="%6."/>
      <w:lvlJc w:val="right"/>
      <w:pPr>
        <w:ind w:left="4030" w:hanging="180"/>
      </w:pPr>
    </w:lvl>
    <w:lvl w:ilvl="6" w:tplc="0405000F" w:tentative="1">
      <w:start w:val="1"/>
      <w:numFmt w:val="decimal"/>
      <w:lvlText w:val="%7."/>
      <w:lvlJc w:val="left"/>
      <w:pPr>
        <w:ind w:left="4750" w:hanging="360"/>
      </w:pPr>
    </w:lvl>
    <w:lvl w:ilvl="7" w:tplc="04050019" w:tentative="1">
      <w:start w:val="1"/>
      <w:numFmt w:val="lowerLetter"/>
      <w:lvlText w:val="%8."/>
      <w:lvlJc w:val="left"/>
      <w:pPr>
        <w:ind w:left="5470" w:hanging="360"/>
      </w:pPr>
    </w:lvl>
    <w:lvl w:ilvl="8" w:tplc="040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" w15:restartNumberingAfterBreak="0">
    <w:nsid w:val="0FF73897"/>
    <w:multiLevelType w:val="hybridMultilevel"/>
    <w:tmpl w:val="80C8162A"/>
    <w:lvl w:ilvl="0" w:tplc="FA481D7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DC46E7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586E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6EC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4073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52AF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DC43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E6DE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DAE4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C4A35"/>
    <w:multiLevelType w:val="hybridMultilevel"/>
    <w:tmpl w:val="5428FB08"/>
    <w:lvl w:ilvl="0" w:tplc="CA2EF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2"/>
        <w:szCs w:val="22"/>
        <w:lang w:val="cs-CZ" w:eastAsia="cs-CZ" w:bidi="cs-CZ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 w15:restartNumberingAfterBreak="0">
    <w:nsid w:val="24092314"/>
    <w:multiLevelType w:val="hybridMultilevel"/>
    <w:tmpl w:val="91F4D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C6B98"/>
    <w:multiLevelType w:val="multilevel"/>
    <w:tmpl w:val="5A247336"/>
    <w:lvl w:ilvl="0">
      <w:start w:val="1"/>
      <w:numFmt w:val="decimal"/>
      <w:lvlText w:val="%1."/>
      <w:lvlJc w:val="left"/>
      <w:pPr>
        <w:ind w:left="439" w:hanging="22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549" w:hanging="332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1556" w:hanging="332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2572" w:hanging="332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589" w:hanging="332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605" w:hanging="332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622" w:hanging="332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38" w:hanging="332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55" w:hanging="332"/>
      </w:pPr>
      <w:rPr>
        <w:rFonts w:hint="default"/>
        <w:lang w:val="cs-CZ" w:eastAsia="cs-CZ" w:bidi="cs-CZ"/>
      </w:rPr>
    </w:lvl>
  </w:abstractNum>
  <w:abstractNum w:abstractNumId="7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6A035B8"/>
    <w:multiLevelType w:val="hybridMultilevel"/>
    <w:tmpl w:val="356E187E"/>
    <w:lvl w:ilvl="0" w:tplc="04127EC8">
      <w:start w:val="1"/>
      <w:numFmt w:val="decimal"/>
      <w:lvlText w:val="%1"/>
      <w:lvlJc w:val="left"/>
      <w:pPr>
        <w:ind w:left="239" w:hanging="16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5BF2BE1A">
      <w:numFmt w:val="bullet"/>
      <w:lvlText w:val="•"/>
      <w:lvlJc w:val="left"/>
      <w:pPr>
        <w:ind w:left="413" w:hanging="169"/>
      </w:pPr>
      <w:rPr>
        <w:rFonts w:hint="default"/>
        <w:lang w:val="cs-CZ" w:eastAsia="cs-CZ" w:bidi="cs-CZ"/>
      </w:rPr>
    </w:lvl>
    <w:lvl w:ilvl="2" w:tplc="7CA2C65E">
      <w:numFmt w:val="bullet"/>
      <w:lvlText w:val="•"/>
      <w:lvlJc w:val="left"/>
      <w:pPr>
        <w:ind w:left="586" w:hanging="169"/>
      </w:pPr>
      <w:rPr>
        <w:rFonts w:hint="default"/>
        <w:lang w:val="cs-CZ" w:eastAsia="cs-CZ" w:bidi="cs-CZ"/>
      </w:rPr>
    </w:lvl>
    <w:lvl w:ilvl="3" w:tplc="A1F4ABBE">
      <w:numFmt w:val="bullet"/>
      <w:lvlText w:val="•"/>
      <w:lvlJc w:val="left"/>
      <w:pPr>
        <w:ind w:left="760" w:hanging="169"/>
      </w:pPr>
      <w:rPr>
        <w:rFonts w:hint="default"/>
        <w:lang w:val="cs-CZ" w:eastAsia="cs-CZ" w:bidi="cs-CZ"/>
      </w:rPr>
    </w:lvl>
    <w:lvl w:ilvl="4" w:tplc="4D94B6B2">
      <w:numFmt w:val="bullet"/>
      <w:lvlText w:val="•"/>
      <w:lvlJc w:val="left"/>
      <w:pPr>
        <w:ind w:left="933" w:hanging="169"/>
      </w:pPr>
      <w:rPr>
        <w:rFonts w:hint="default"/>
        <w:lang w:val="cs-CZ" w:eastAsia="cs-CZ" w:bidi="cs-CZ"/>
      </w:rPr>
    </w:lvl>
    <w:lvl w:ilvl="5" w:tplc="83861F52">
      <w:numFmt w:val="bullet"/>
      <w:lvlText w:val="•"/>
      <w:lvlJc w:val="left"/>
      <w:pPr>
        <w:ind w:left="1107" w:hanging="169"/>
      </w:pPr>
      <w:rPr>
        <w:rFonts w:hint="default"/>
        <w:lang w:val="cs-CZ" w:eastAsia="cs-CZ" w:bidi="cs-CZ"/>
      </w:rPr>
    </w:lvl>
    <w:lvl w:ilvl="6" w:tplc="0F36EF30">
      <w:numFmt w:val="bullet"/>
      <w:lvlText w:val="•"/>
      <w:lvlJc w:val="left"/>
      <w:pPr>
        <w:ind w:left="1280" w:hanging="169"/>
      </w:pPr>
      <w:rPr>
        <w:rFonts w:hint="default"/>
        <w:lang w:val="cs-CZ" w:eastAsia="cs-CZ" w:bidi="cs-CZ"/>
      </w:rPr>
    </w:lvl>
    <w:lvl w:ilvl="7" w:tplc="C618268E">
      <w:numFmt w:val="bullet"/>
      <w:lvlText w:val="•"/>
      <w:lvlJc w:val="left"/>
      <w:pPr>
        <w:ind w:left="1453" w:hanging="169"/>
      </w:pPr>
      <w:rPr>
        <w:rFonts w:hint="default"/>
        <w:lang w:val="cs-CZ" w:eastAsia="cs-CZ" w:bidi="cs-CZ"/>
      </w:rPr>
    </w:lvl>
    <w:lvl w:ilvl="8" w:tplc="9AB804EE">
      <w:numFmt w:val="bullet"/>
      <w:lvlText w:val="•"/>
      <w:lvlJc w:val="left"/>
      <w:pPr>
        <w:ind w:left="1627" w:hanging="169"/>
      </w:pPr>
      <w:rPr>
        <w:rFonts w:hint="default"/>
        <w:lang w:val="cs-CZ" w:eastAsia="cs-CZ" w:bidi="cs-CZ"/>
      </w:rPr>
    </w:lvl>
  </w:abstractNum>
  <w:abstractNum w:abstractNumId="9" w15:restartNumberingAfterBreak="0">
    <w:nsid w:val="479E323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C164B9"/>
    <w:multiLevelType w:val="hybridMultilevel"/>
    <w:tmpl w:val="76ECB94E"/>
    <w:lvl w:ilvl="0" w:tplc="59A6C2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 w15:restartNumberingAfterBreak="0">
    <w:nsid w:val="4D0B6CEA"/>
    <w:multiLevelType w:val="hybridMultilevel"/>
    <w:tmpl w:val="18ACF138"/>
    <w:lvl w:ilvl="0" w:tplc="CA2EF24A"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2"/>
        <w:szCs w:val="22"/>
        <w:lang w:val="cs-CZ" w:eastAsia="cs-CZ" w:bidi="cs-CZ"/>
      </w:rPr>
    </w:lvl>
    <w:lvl w:ilvl="1" w:tplc="5D805224">
      <w:numFmt w:val="bullet"/>
      <w:lvlText w:val="•"/>
      <w:lvlJc w:val="left"/>
      <w:pPr>
        <w:ind w:left="1490" w:hanging="361"/>
      </w:pPr>
      <w:rPr>
        <w:rFonts w:hint="default"/>
        <w:lang w:val="cs-CZ" w:eastAsia="cs-CZ" w:bidi="cs-CZ"/>
      </w:rPr>
    </w:lvl>
    <w:lvl w:ilvl="2" w:tplc="950C6AE0">
      <w:numFmt w:val="bullet"/>
      <w:lvlText w:val="•"/>
      <w:lvlJc w:val="left"/>
      <w:pPr>
        <w:ind w:left="2401" w:hanging="361"/>
      </w:pPr>
      <w:rPr>
        <w:rFonts w:hint="default"/>
        <w:lang w:val="cs-CZ" w:eastAsia="cs-CZ" w:bidi="cs-CZ"/>
      </w:rPr>
    </w:lvl>
    <w:lvl w:ilvl="3" w:tplc="8960CF4C">
      <w:numFmt w:val="bullet"/>
      <w:lvlText w:val="•"/>
      <w:lvlJc w:val="left"/>
      <w:pPr>
        <w:ind w:left="3312" w:hanging="361"/>
      </w:pPr>
      <w:rPr>
        <w:rFonts w:hint="default"/>
        <w:lang w:val="cs-CZ" w:eastAsia="cs-CZ" w:bidi="cs-CZ"/>
      </w:rPr>
    </w:lvl>
    <w:lvl w:ilvl="4" w:tplc="11986D8A">
      <w:numFmt w:val="bullet"/>
      <w:lvlText w:val="•"/>
      <w:lvlJc w:val="left"/>
      <w:pPr>
        <w:ind w:left="4223" w:hanging="361"/>
      </w:pPr>
      <w:rPr>
        <w:rFonts w:hint="default"/>
        <w:lang w:val="cs-CZ" w:eastAsia="cs-CZ" w:bidi="cs-CZ"/>
      </w:rPr>
    </w:lvl>
    <w:lvl w:ilvl="5" w:tplc="A39653DE">
      <w:numFmt w:val="bullet"/>
      <w:lvlText w:val="•"/>
      <w:lvlJc w:val="left"/>
      <w:pPr>
        <w:ind w:left="5134" w:hanging="361"/>
      </w:pPr>
      <w:rPr>
        <w:rFonts w:hint="default"/>
        <w:lang w:val="cs-CZ" w:eastAsia="cs-CZ" w:bidi="cs-CZ"/>
      </w:rPr>
    </w:lvl>
    <w:lvl w:ilvl="6" w:tplc="C958B9EE">
      <w:numFmt w:val="bullet"/>
      <w:lvlText w:val="•"/>
      <w:lvlJc w:val="left"/>
      <w:pPr>
        <w:ind w:left="6044" w:hanging="361"/>
      </w:pPr>
      <w:rPr>
        <w:rFonts w:hint="default"/>
        <w:lang w:val="cs-CZ" w:eastAsia="cs-CZ" w:bidi="cs-CZ"/>
      </w:rPr>
    </w:lvl>
    <w:lvl w:ilvl="7" w:tplc="883625E0">
      <w:numFmt w:val="bullet"/>
      <w:lvlText w:val="•"/>
      <w:lvlJc w:val="left"/>
      <w:pPr>
        <w:ind w:left="6955" w:hanging="361"/>
      </w:pPr>
      <w:rPr>
        <w:rFonts w:hint="default"/>
        <w:lang w:val="cs-CZ" w:eastAsia="cs-CZ" w:bidi="cs-CZ"/>
      </w:rPr>
    </w:lvl>
    <w:lvl w:ilvl="8" w:tplc="7A56C112">
      <w:numFmt w:val="bullet"/>
      <w:lvlText w:val="•"/>
      <w:lvlJc w:val="left"/>
      <w:pPr>
        <w:ind w:left="7866" w:hanging="361"/>
      </w:pPr>
      <w:rPr>
        <w:rFonts w:hint="default"/>
        <w:lang w:val="cs-CZ" w:eastAsia="cs-CZ" w:bidi="cs-CZ"/>
      </w:rPr>
    </w:lvl>
  </w:abstractNum>
  <w:abstractNum w:abstractNumId="13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4" w15:restartNumberingAfterBreak="0">
    <w:nsid w:val="5A3A3664"/>
    <w:multiLevelType w:val="hybridMultilevel"/>
    <w:tmpl w:val="76DEC002"/>
    <w:lvl w:ilvl="0" w:tplc="52C48770">
      <w:start w:val="40"/>
      <w:numFmt w:val="decimal"/>
      <w:lvlText w:val="%1"/>
      <w:lvlJc w:val="left"/>
      <w:pPr>
        <w:ind w:left="4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0" w:hanging="360"/>
      </w:pPr>
    </w:lvl>
    <w:lvl w:ilvl="2" w:tplc="0405001B" w:tentative="1">
      <w:start w:val="1"/>
      <w:numFmt w:val="lowerRoman"/>
      <w:lvlText w:val="%3."/>
      <w:lvlJc w:val="right"/>
      <w:pPr>
        <w:ind w:left="1870" w:hanging="180"/>
      </w:pPr>
    </w:lvl>
    <w:lvl w:ilvl="3" w:tplc="0405000F" w:tentative="1">
      <w:start w:val="1"/>
      <w:numFmt w:val="decimal"/>
      <w:lvlText w:val="%4."/>
      <w:lvlJc w:val="left"/>
      <w:pPr>
        <w:ind w:left="2590" w:hanging="360"/>
      </w:pPr>
    </w:lvl>
    <w:lvl w:ilvl="4" w:tplc="04050019" w:tentative="1">
      <w:start w:val="1"/>
      <w:numFmt w:val="lowerLetter"/>
      <w:lvlText w:val="%5."/>
      <w:lvlJc w:val="left"/>
      <w:pPr>
        <w:ind w:left="3310" w:hanging="360"/>
      </w:pPr>
    </w:lvl>
    <w:lvl w:ilvl="5" w:tplc="0405001B" w:tentative="1">
      <w:start w:val="1"/>
      <w:numFmt w:val="lowerRoman"/>
      <w:lvlText w:val="%6."/>
      <w:lvlJc w:val="right"/>
      <w:pPr>
        <w:ind w:left="4030" w:hanging="180"/>
      </w:pPr>
    </w:lvl>
    <w:lvl w:ilvl="6" w:tplc="0405000F" w:tentative="1">
      <w:start w:val="1"/>
      <w:numFmt w:val="decimal"/>
      <w:lvlText w:val="%7."/>
      <w:lvlJc w:val="left"/>
      <w:pPr>
        <w:ind w:left="4750" w:hanging="360"/>
      </w:pPr>
    </w:lvl>
    <w:lvl w:ilvl="7" w:tplc="04050019" w:tentative="1">
      <w:start w:val="1"/>
      <w:numFmt w:val="lowerLetter"/>
      <w:lvlText w:val="%8."/>
      <w:lvlJc w:val="left"/>
      <w:pPr>
        <w:ind w:left="5470" w:hanging="360"/>
      </w:pPr>
    </w:lvl>
    <w:lvl w:ilvl="8" w:tplc="040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5" w15:restartNumberingAfterBreak="0">
    <w:nsid w:val="625D61A7"/>
    <w:multiLevelType w:val="hybridMultilevel"/>
    <w:tmpl w:val="ED684A8A"/>
    <w:lvl w:ilvl="0" w:tplc="231EAB8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7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9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720D3F05"/>
    <w:multiLevelType w:val="multilevel"/>
    <w:tmpl w:val="AAFAA8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50B77F5"/>
    <w:multiLevelType w:val="hybridMultilevel"/>
    <w:tmpl w:val="8D7445DC"/>
    <w:lvl w:ilvl="0" w:tplc="96444E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100D28"/>
    <w:multiLevelType w:val="hybridMultilevel"/>
    <w:tmpl w:val="2F94C0BA"/>
    <w:lvl w:ilvl="0" w:tplc="F500A4D4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C6E27F2E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6F6E6E82">
      <w:start w:val="1"/>
      <w:numFmt w:val="lowerRoman"/>
      <w:lvlText w:val="%3."/>
      <w:lvlJc w:val="right"/>
      <w:pPr>
        <w:ind w:left="2160" w:hanging="180"/>
      </w:pPr>
    </w:lvl>
    <w:lvl w:ilvl="3" w:tplc="02F8270C">
      <w:start w:val="1"/>
      <w:numFmt w:val="decimal"/>
      <w:lvlText w:val="%4."/>
      <w:lvlJc w:val="left"/>
      <w:pPr>
        <w:ind w:left="2880" w:hanging="360"/>
      </w:pPr>
    </w:lvl>
    <w:lvl w:ilvl="4" w:tplc="72663018">
      <w:start w:val="1"/>
      <w:numFmt w:val="lowerLetter"/>
      <w:lvlText w:val="%5."/>
      <w:lvlJc w:val="left"/>
      <w:pPr>
        <w:ind w:left="3600" w:hanging="360"/>
      </w:pPr>
    </w:lvl>
    <w:lvl w:ilvl="5" w:tplc="9574F7AC">
      <w:start w:val="1"/>
      <w:numFmt w:val="lowerRoman"/>
      <w:lvlText w:val="%6."/>
      <w:lvlJc w:val="right"/>
      <w:pPr>
        <w:ind w:left="4320" w:hanging="180"/>
      </w:pPr>
    </w:lvl>
    <w:lvl w:ilvl="6" w:tplc="191E02CA">
      <w:start w:val="1"/>
      <w:numFmt w:val="decimal"/>
      <w:lvlText w:val="%7."/>
      <w:lvlJc w:val="left"/>
      <w:pPr>
        <w:ind w:left="5040" w:hanging="360"/>
      </w:pPr>
    </w:lvl>
    <w:lvl w:ilvl="7" w:tplc="5300B84E">
      <w:start w:val="1"/>
      <w:numFmt w:val="lowerLetter"/>
      <w:lvlText w:val="%8."/>
      <w:lvlJc w:val="left"/>
      <w:pPr>
        <w:ind w:left="5760" w:hanging="360"/>
      </w:pPr>
    </w:lvl>
    <w:lvl w:ilvl="8" w:tplc="01A2E3A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9"/>
  </w:num>
  <w:num w:numId="4">
    <w:abstractNumId w:val="18"/>
  </w:num>
  <w:num w:numId="5">
    <w:abstractNumId w:val="7"/>
  </w:num>
  <w:num w:numId="6">
    <w:abstractNumId w:val="13"/>
  </w:num>
  <w:num w:numId="7">
    <w:abstractNumId w:val="11"/>
  </w:num>
  <w:num w:numId="8">
    <w:abstractNumId w:val="4"/>
  </w:num>
  <w:num w:numId="9">
    <w:abstractNumId w:val="16"/>
  </w:num>
  <w:num w:numId="10">
    <w:abstractNumId w:val="17"/>
  </w:num>
  <w:num w:numId="11">
    <w:abstractNumId w:val="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3"/>
  </w:num>
  <w:num w:numId="15">
    <w:abstractNumId w:val="6"/>
  </w:num>
  <w:num w:numId="16">
    <w:abstractNumId w:val="8"/>
  </w:num>
  <w:num w:numId="17">
    <w:abstractNumId w:val="10"/>
  </w:num>
  <w:num w:numId="18">
    <w:abstractNumId w:val="5"/>
  </w:num>
  <w:num w:numId="19">
    <w:abstractNumId w:val="20"/>
  </w:num>
  <w:num w:numId="20">
    <w:abstractNumId w:val="9"/>
  </w:num>
  <w:num w:numId="21">
    <w:abstractNumId w:val="1"/>
  </w:num>
  <w:num w:numId="22">
    <w:abstractNumId w:val="14"/>
  </w:num>
  <w:num w:numId="23">
    <w:abstractNumId w:val="1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80926"/>
    <w:rsid w:val="00011556"/>
    <w:rsid w:val="00014749"/>
    <w:rsid w:val="00032EA7"/>
    <w:rsid w:val="00040726"/>
    <w:rsid w:val="000471F7"/>
    <w:rsid w:val="00052EE2"/>
    <w:rsid w:val="00056045"/>
    <w:rsid w:val="00061445"/>
    <w:rsid w:val="000750B9"/>
    <w:rsid w:val="00077CF6"/>
    <w:rsid w:val="000813AF"/>
    <w:rsid w:val="00085939"/>
    <w:rsid w:val="00090230"/>
    <w:rsid w:val="00096CAA"/>
    <w:rsid w:val="000B13AD"/>
    <w:rsid w:val="000B6759"/>
    <w:rsid w:val="000C534D"/>
    <w:rsid w:val="000C6D5B"/>
    <w:rsid w:val="000D3B1B"/>
    <w:rsid w:val="000E2174"/>
    <w:rsid w:val="000E3D7D"/>
    <w:rsid w:val="000E7685"/>
    <w:rsid w:val="000F2730"/>
    <w:rsid w:val="000F5276"/>
    <w:rsid w:val="001001CE"/>
    <w:rsid w:val="001026C2"/>
    <w:rsid w:val="0010383E"/>
    <w:rsid w:val="001114AF"/>
    <w:rsid w:val="00111E1A"/>
    <w:rsid w:val="001150F2"/>
    <w:rsid w:val="00117A3D"/>
    <w:rsid w:val="001334A2"/>
    <w:rsid w:val="00134B55"/>
    <w:rsid w:val="00135894"/>
    <w:rsid w:val="001406FE"/>
    <w:rsid w:val="00141412"/>
    <w:rsid w:val="00141BD1"/>
    <w:rsid w:val="001428E1"/>
    <w:rsid w:val="0015367B"/>
    <w:rsid w:val="00160333"/>
    <w:rsid w:val="0016327B"/>
    <w:rsid w:val="00164771"/>
    <w:rsid w:val="001765D9"/>
    <w:rsid w:val="00177A4A"/>
    <w:rsid w:val="00185CB1"/>
    <w:rsid w:val="00187ECC"/>
    <w:rsid w:val="001967D9"/>
    <w:rsid w:val="001A3218"/>
    <w:rsid w:val="001B072E"/>
    <w:rsid w:val="001B08B2"/>
    <w:rsid w:val="001B73FD"/>
    <w:rsid w:val="001C463D"/>
    <w:rsid w:val="001C4F42"/>
    <w:rsid w:val="001D1B4B"/>
    <w:rsid w:val="001D4230"/>
    <w:rsid w:val="001E7511"/>
    <w:rsid w:val="001F6D23"/>
    <w:rsid w:val="001F7CF0"/>
    <w:rsid w:val="002003FB"/>
    <w:rsid w:val="00205204"/>
    <w:rsid w:val="00205FC2"/>
    <w:rsid w:val="00211FA8"/>
    <w:rsid w:val="00220A3F"/>
    <w:rsid w:val="002227EB"/>
    <w:rsid w:val="00223E9F"/>
    <w:rsid w:val="0022527A"/>
    <w:rsid w:val="00253A1C"/>
    <w:rsid w:val="0025422C"/>
    <w:rsid w:val="0025696C"/>
    <w:rsid w:val="002651FD"/>
    <w:rsid w:val="002660C8"/>
    <w:rsid w:val="00270B82"/>
    <w:rsid w:val="002776F1"/>
    <w:rsid w:val="00281C02"/>
    <w:rsid w:val="00282559"/>
    <w:rsid w:val="00284EEF"/>
    <w:rsid w:val="002A1D7C"/>
    <w:rsid w:val="002A2196"/>
    <w:rsid w:val="002A24BE"/>
    <w:rsid w:val="002A46DA"/>
    <w:rsid w:val="002A6AB5"/>
    <w:rsid w:val="002B7838"/>
    <w:rsid w:val="002C428B"/>
    <w:rsid w:val="002C5553"/>
    <w:rsid w:val="002C64A9"/>
    <w:rsid w:val="002D34BB"/>
    <w:rsid w:val="002D5C3E"/>
    <w:rsid w:val="002D6730"/>
    <w:rsid w:val="002E4A86"/>
    <w:rsid w:val="002F2FBD"/>
    <w:rsid w:val="003015F6"/>
    <w:rsid w:val="003021DE"/>
    <w:rsid w:val="00302F2A"/>
    <w:rsid w:val="00306120"/>
    <w:rsid w:val="0031186C"/>
    <w:rsid w:val="00314AD5"/>
    <w:rsid w:val="00330840"/>
    <w:rsid w:val="00332DC3"/>
    <w:rsid w:val="003461A9"/>
    <w:rsid w:val="00346633"/>
    <w:rsid w:val="00355F02"/>
    <w:rsid w:val="003724D2"/>
    <w:rsid w:val="00374CAD"/>
    <w:rsid w:val="00382713"/>
    <w:rsid w:val="00391A3F"/>
    <w:rsid w:val="003A706F"/>
    <w:rsid w:val="003C383B"/>
    <w:rsid w:val="003E5795"/>
    <w:rsid w:val="003E5F36"/>
    <w:rsid w:val="003F1419"/>
    <w:rsid w:val="003F2753"/>
    <w:rsid w:val="004104FE"/>
    <w:rsid w:val="00410B86"/>
    <w:rsid w:val="0041172C"/>
    <w:rsid w:val="00411A8F"/>
    <w:rsid w:val="004210D4"/>
    <w:rsid w:val="0042356B"/>
    <w:rsid w:val="00432830"/>
    <w:rsid w:val="00457BB5"/>
    <w:rsid w:val="004605F8"/>
    <w:rsid w:val="0048412D"/>
    <w:rsid w:val="00486C3D"/>
    <w:rsid w:val="0048718C"/>
    <w:rsid w:val="0049191E"/>
    <w:rsid w:val="004A4C92"/>
    <w:rsid w:val="004B0820"/>
    <w:rsid w:val="004C0111"/>
    <w:rsid w:val="004D457B"/>
    <w:rsid w:val="004D69CE"/>
    <w:rsid w:val="004D71F7"/>
    <w:rsid w:val="004E770D"/>
    <w:rsid w:val="004E78AD"/>
    <w:rsid w:val="004F1DC7"/>
    <w:rsid w:val="004F3B6D"/>
    <w:rsid w:val="00504C89"/>
    <w:rsid w:val="00510CCB"/>
    <w:rsid w:val="00524845"/>
    <w:rsid w:val="005279ED"/>
    <w:rsid w:val="00536B25"/>
    <w:rsid w:val="00537894"/>
    <w:rsid w:val="005529E6"/>
    <w:rsid w:val="00560D93"/>
    <w:rsid w:val="0058262C"/>
    <w:rsid w:val="005971B0"/>
    <w:rsid w:val="005A5717"/>
    <w:rsid w:val="005C01F5"/>
    <w:rsid w:val="005D6150"/>
    <w:rsid w:val="005E4F97"/>
    <w:rsid w:val="00604574"/>
    <w:rsid w:val="00607357"/>
    <w:rsid w:val="00610BC7"/>
    <w:rsid w:val="006114F0"/>
    <w:rsid w:val="00626759"/>
    <w:rsid w:val="00635C39"/>
    <w:rsid w:val="00650EBD"/>
    <w:rsid w:val="00664192"/>
    <w:rsid w:val="00666A5F"/>
    <w:rsid w:val="00671E24"/>
    <w:rsid w:val="0067386E"/>
    <w:rsid w:val="006777A0"/>
    <w:rsid w:val="006864DC"/>
    <w:rsid w:val="00693217"/>
    <w:rsid w:val="00693B8B"/>
    <w:rsid w:val="006A0574"/>
    <w:rsid w:val="006A44C5"/>
    <w:rsid w:val="006A4970"/>
    <w:rsid w:val="006A513D"/>
    <w:rsid w:val="006A68C6"/>
    <w:rsid w:val="006B1053"/>
    <w:rsid w:val="006C3768"/>
    <w:rsid w:val="006C6631"/>
    <w:rsid w:val="006D7D4F"/>
    <w:rsid w:val="006E41C1"/>
    <w:rsid w:val="006E6854"/>
    <w:rsid w:val="006F3CD9"/>
    <w:rsid w:val="00724E11"/>
    <w:rsid w:val="007262FE"/>
    <w:rsid w:val="0073167B"/>
    <w:rsid w:val="00734C0D"/>
    <w:rsid w:val="00740C03"/>
    <w:rsid w:val="00751BAC"/>
    <w:rsid w:val="00752FD9"/>
    <w:rsid w:val="007567D4"/>
    <w:rsid w:val="007661E9"/>
    <w:rsid w:val="00780926"/>
    <w:rsid w:val="00780EE8"/>
    <w:rsid w:val="0078130B"/>
    <w:rsid w:val="007824C5"/>
    <w:rsid w:val="00783152"/>
    <w:rsid w:val="0078730F"/>
    <w:rsid w:val="00791189"/>
    <w:rsid w:val="007A4C2E"/>
    <w:rsid w:val="007C3776"/>
    <w:rsid w:val="007C71C8"/>
    <w:rsid w:val="007E1E17"/>
    <w:rsid w:val="007E1F8F"/>
    <w:rsid w:val="007E5956"/>
    <w:rsid w:val="007E5A35"/>
    <w:rsid w:val="007F570D"/>
    <w:rsid w:val="00803622"/>
    <w:rsid w:val="00803841"/>
    <w:rsid w:val="00806F1C"/>
    <w:rsid w:val="00820679"/>
    <w:rsid w:val="0082445A"/>
    <w:rsid w:val="0082743C"/>
    <w:rsid w:val="00837096"/>
    <w:rsid w:val="00852371"/>
    <w:rsid w:val="0085357F"/>
    <w:rsid w:val="008575F1"/>
    <w:rsid w:val="00873520"/>
    <w:rsid w:val="00884AB9"/>
    <w:rsid w:val="0088732A"/>
    <w:rsid w:val="008873CC"/>
    <w:rsid w:val="00891D76"/>
    <w:rsid w:val="008C1B51"/>
    <w:rsid w:val="008C30D4"/>
    <w:rsid w:val="008C60DE"/>
    <w:rsid w:val="008C785A"/>
    <w:rsid w:val="008E0812"/>
    <w:rsid w:val="008E4CFA"/>
    <w:rsid w:val="008F0FB1"/>
    <w:rsid w:val="008F6BC1"/>
    <w:rsid w:val="00904797"/>
    <w:rsid w:val="009058FE"/>
    <w:rsid w:val="0091185E"/>
    <w:rsid w:val="0093424C"/>
    <w:rsid w:val="0094502F"/>
    <w:rsid w:val="00946672"/>
    <w:rsid w:val="00951D3F"/>
    <w:rsid w:val="0095258D"/>
    <w:rsid w:val="009612A3"/>
    <w:rsid w:val="00990742"/>
    <w:rsid w:val="009976B6"/>
    <w:rsid w:val="009B423F"/>
    <w:rsid w:val="009C221B"/>
    <w:rsid w:val="009C5E1E"/>
    <w:rsid w:val="009D5E45"/>
    <w:rsid w:val="009D773C"/>
    <w:rsid w:val="009E0E67"/>
    <w:rsid w:val="009E50E4"/>
    <w:rsid w:val="009F07D3"/>
    <w:rsid w:val="009F4367"/>
    <w:rsid w:val="009F59C1"/>
    <w:rsid w:val="00A0053E"/>
    <w:rsid w:val="00A10438"/>
    <w:rsid w:val="00A217E5"/>
    <w:rsid w:val="00A236CF"/>
    <w:rsid w:val="00A2444C"/>
    <w:rsid w:val="00A244BE"/>
    <w:rsid w:val="00A30066"/>
    <w:rsid w:val="00A31A9C"/>
    <w:rsid w:val="00A34E8B"/>
    <w:rsid w:val="00A37C43"/>
    <w:rsid w:val="00A416B8"/>
    <w:rsid w:val="00A43F3E"/>
    <w:rsid w:val="00A63C0B"/>
    <w:rsid w:val="00A72672"/>
    <w:rsid w:val="00A737B8"/>
    <w:rsid w:val="00A75ECC"/>
    <w:rsid w:val="00A80F9E"/>
    <w:rsid w:val="00A824EB"/>
    <w:rsid w:val="00A833E5"/>
    <w:rsid w:val="00A85CCE"/>
    <w:rsid w:val="00AE4D65"/>
    <w:rsid w:val="00B04CE0"/>
    <w:rsid w:val="00B06E24"/>
    <w:rsid w:val="00B07509"/>
    <w:rsid w:val="00B07EB7"/>
    <w:rsid w:val="00B1281C"/>
    <w:rsid w:val="00B13F68"/>
    <w:rsid w:val="00B21E3D"/>
    <w:rsid w:val="00B323B9"/>
    <w:rsid w:val="00B36EA3"/>
    <w:rsid w:val="00B42816"/>
    <w:rsid w:val="00B43109"/>
    <w:rsid w:val="00B464C1"/>
    <w:rsid w:val="00B46D2B"/>
    <w:rsid w:val="00B77873"/>
    <w:rsid w:val="00B95A19"/>
    <w:rsid w:val="00BB6D67"/>
    <w:rsid w:val="00BC798A"/>
    <w:rsid w:val="00BD1AC2"/>
    <w:rsid w:val="00BD7004"/>
    <w:rsid w:val="00BE24F8"/>
    <w:rsid w:val="00BE3E86"/>
    <w:rsid w:val="00BF0071"/>
    <w:rsid w:val="00BF3996"/>
    <w:rsid w:val="00BF5AB0"/>
    <w:rsid w:val="00BF6308"/>
    <w:rsid w:val="00C03EA6"/>
    <w:rsid w:val="00C213A6"/>
    <w:rsid w:val="00C2249C"/>
    <w:rsid w:val="00C233E9"/>
    <w:rsid w:val="00C26F80"/>
    <w:rsid w:val="00C30D5C"/>
    <w:rsid w:val="00C3762E"/>
    <w:rsid w:val="00C55DBB"/>
    <w:rsid w:val="00C76365"/>
    <w:rsid w:val="00C82AA0"/>
    <w:rsid w:val="00C85B40"/>
    <w:rsid w:val="00CA1ABB"/>
    <w:rsid w:val="00CA34F6"/>
    <w:rsid w:val="00CB25B2"/>
    <w:rsid w:val="00CC644C"/>
    <w:rsid w:val="00CD175A"/>
    <w:rsid w:val="00CE110B"/>
    <w:rsid w:val="00CF0244"/>
    <w:rsid w:val="00CF0342"/>
    <w:rsid w:val="00CF28BB"/>
    <w:rsid w:val="00CF76C2"/>
    <w:rsid w:val="00D05A54"/>
    <w:rsid w:val="00D06B2B"/>
    <w:rsid w:val="00D10176"/>
    <w:rsid w:val="00D10860"/>
    <w:rsid w:val="00D12A7F"/>
    <w:rsid w:val="00D13BEB"/>
    <w:rsid w:val="00D15C7A"/>
    <w:rsid w:val="00D326E1"/>
    <w:rsid w:val="00D33F2E"/>
    <w:rsid w:val="00D3587E"/>
    <w:rsid w:val="00D513D2"/>
    <w:rsid w:val="00D52196"/>
    <w:rsid w:val="00D5790E"/>
    <w:rsid w:val="00D67CF2"/>
    <w:rsid w:val="00D71CEA"/>
    <w:rsid w:val="00D83504"/>
    <w:rsid w:val="00D92F55"/>
    <w:rsid w:val="00D96D7D"/>
    <w:rsid w:val="00D96F2E"/>
    <w:rsid w:val="00DA1EE4"/>
    <w:rsid w:val="00DA4090"/>
    <w:rsid w:val="00DA63C9"/>
    <w:rsid w:val="00DD452B"/>
    <w:rsid w:val="00E05C35"/>
    <w:rsid w:val="00E13A3E"/>
    <w:rsid w:val="00E1698A"/>
    <w:rsid w:val="00E23A3A"/>
    <w:rsid w:val="00E26B6E"/>
    <w:rsid w:val="00E41B3F"/>
    <w:rsid w:val="00E4563B"/>
    <w:rsid w:val="00E5053B"/>
    <w:rsid w:val="00E53CD7"/>
    <w:rsid w:val="00E541ED"/>
    <w:rsid w:val="00E65206"/>
    <w:rsid w:val="00E877C8"/>
    <w:rsid w:val="00EA405A"/>
    <w:rsid w:val="00EB0AEB"/>
    <w:rsid w:val="00EC1CF9"/>
    <w:rsid w:val="00EC2CE9"/>
    <w:rsid w:val="00ED186A"/>
    <w:rsid w:val="00EE1F4B"/>
    <w:rsid w:val="00EE62D2"/>
    <w:rsid w:val="00F00D87"/>
    <w:rsid w:val="00F02F60"/>
    <w:rsid w:val="00F05B3A"/>
    <w:rsid w:val="00F06F4D"/>
    <w:rsid w:val="00F07529"/>
    <w:rsid w:val="00F11AE3"/>
    <w:rsid w:val="00F145AE"/>
    <w:rsid w:val="00F222AA"/>
    <w:rsid w:val="00F2640A"/>
    <w:rsid w:val="00F30177"/>
    <w:rsid w:val="00F34126"/>
    <w:rsid w:val="00F44613"/>
    <w:rsid w:val="00F500E3"/>
    <w:rsid w:val="00F54EF0"/>
    <w:rsid w:val="00F55076"/>
    <w:rsid w:val="00F62275"/>
    <w:rsid w:val="00F6288E"/>
    <w:rsid w:val="00F63040"/>
    <w:rsid w:val="00F63DAD"/>
    <w:rsid w:val="00F66A28"/>
    <w:rsid w:val="00F81142"/>
    <w:rsid w:val="00F8384D"/>
    <w:rsid w:val="00F83F0F"/>
    <w:rsid w:val="00F85EAC"/>
    <w:rsid w:val="00F9666C"/>
    <w:rsid w:val="00FA099B"/>
    <w:rsid w:val="00FB533E"/>
    <w:rsid w:val="00FC457C"/>
    <w:rsid w:val="00FC4AFC"/>
    <w:rsid w:val="00FC6918"/>
    <w:rsid w:val="00FF0F62"/>
    <w:rsid w:val="00FF25FE"/>
    <w:rsid w:val="00FF2EC0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CF4C368"/>
  <w15:docId w15:val="{8BCF150E-3205-4F40-8769-B3E783DF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1EE4"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rsid w:val="00DA1EE4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rsid w:val="00DA1EE4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rsid w:val="00DA1EE4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rsid w:val="00DA1EE4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rsid w:val="00DA1EE4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rsid w:val="00DA1EE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rsid w:val="00DA1EE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rsid w:val="00DA1EE4"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rsid w:val="00DA1EE4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DA1EE4"/>
  </w:style>
  <w:style w:type="paragraph" w:styleId="Pta">
    <w:name w:val="footer"/>
    <w:basedOn w:val="Normlny"/>
    <w:rsid w:val="00DA1EE4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rsid w:val="00DA1EE4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sid w:val="00DA1EE4"/>
    <w:rPr>
      <w:color w:val="0000FF"/>
      <w:u w:val="single"/>
    </w:rPr>
  </w:style>
  <w:style w:type="paragraph" w:customStyle="1" w:styleId="EMEAEnBodyText">
    <w:name w:val="EMEA En Body Text"/>
    <w:basedOn w:val="Normlny"/>
    <w:rsid w:val="00DA1EE4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DA1EE4"/>
    <w:pPr>
      <w:ind w:left="0" w:firstLine="0"/>
    </w:pPr>
  </w:style>
  <w:style w:type="paragraph" w:styleId="Textbubliny">
    <w:name w:val="Balloon Text"/>
    <w:basedOn w:val="Normlny"/>
    <w:semiHidden/>
    <w:rsid w:val="00DA1EE4"/>
    <w:rPr>
      <w:rFonts w:ascii="Tahoma" w:hAnsi="Tahoma" w:cs="Tahoma"/>
      <w:sz w:val="16"/>
      <w:szCs w:val="16"/>
    </w:rPr>
  </w:style>
  <w:style w:type="character" w:styleId="PouitHypertextovPrepojenie">
    <w:name w:val="FollowedHyperlink"/>
    <w:rsid w:val="00DA1EE4"/>
    <w:rPr>
      <w:color w:val="800080"/>
      <w:u w:val="single"/>
    </w:rPr>
  </w:style>
  <w:style w:type="character" w:styleId="Odkaznakomentr">
    <w:name w:val="annotation reference"/>
    <w:uiPriority w:val="99"/>
    <w:rsid w:val="00DA1EE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A1EE4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DA1EE4"/>
    <w:rPr>
      <w:b/>
      <w:bCs/>
    </w:rPr>
  </w:style>
  <w:style w:type="character" w:customStyle="1" w:styleId="TextkomentraChar">
    <w:name w:val="Text komentára Char"/>
    <w:link w:val="Textkomentra"/>
    <w:uiPriority w:val="99"/>
    <w:rsid w:val="006D7D4F"/>
  </w:style>
  <w:style w:type="character" w:customStyle="1" w:styleId="tlid-translation">
    <w:name w:val="tlid-translation"/>
    <w:rsid w:val="002660C8"/>
  </w:style>
  <w:style w:type="paragraph" w:styleId="Revzia">
    <w:name w:val="Revision"/>
    <w:hidden/>
    <w:uiPriority w:val="99"/>
    <w:semiHidden/>
    <w:rsid w:val="003F1419"/>
    <w:rPr>
      <w:sz w:val="22"/>
      <w:szCs w:val="24"/>
      <w:lang w:val="sk-SK" w:eastAsia="sk-SK"/>
    </w:rPr>
  </w:style>
  <w:style w:type="table" w:customStyle="1" w:styleId="TableNormal1">
    <w:name w:val="Table Normal1"/>
    <w:uiPriority w:val="2"/>
    <w:semiHidden/>
    <w:unhideWhenUsed/>
    <w:qFormat/>
    <w:rsid w:val="009F59C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9F59C1"/>
    <w:pPr>
      <w:widowControl w:val="0"/>
      <w:autoSpaceDE w:val="0"/>
      <w:autoSpaceDN w:val="0"/>
      <w:ind w:left="107" w:firstLine="0"/>
    </w:pPr>
    <w:rPr>
      <w:szCs w:val="22"/>
      <w:lang w:val="cs-CZ" w:eastAsia="cs-CZ" w:bidi="cs-CZ"/>
    </w:rPr>
  </w:style>
  <w:style w:type="paragraph" w:styleId="Odsekzoznamu">
    <w:name w:val="List Paragraph"/>
    <w:basedOn w:val="Normlny"/>
    <w:uiPriority w:val="1"/>
    <w:qFormat/>
    <w:rsid w:val="009F59C1"/>
    <w:pPr>
      <w:widowControl w:val="0"/>
      <w:autoSpaceDE w:val="0"/>
      <w:autoSpaceDN w:val="0"/>
      <w:ind w:left="576" w:hanging="360"/>
      <w:jc w:val="both"/>
    </w:pPr>
    <w:rPr>
      <w:szCs w:val="22"/>
      <w:lang w:val="cs-CZ" w:eastAsia="cs-CZ" w:bidi="cs-CZ"/>
    </w:rPr>
  </w:style>
  <w:style w:type="character" w:customStyle="1" w:styleId="HlavikaChar">
    <w:name w:val="Hlavička Char"/>
    <w:link w:val="Hlavika"/>
    <w:rsid w:val="000F5276"/>
    <w:rPr>
      <w:rFonts w:ascii="Helvetica" w:hAnsi="Helvetica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7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2484</Words>
  <Characters>15119</Characters>
  <Application>Microsoft Office Word</Application>
  <DocSecurity>0</DocSecurity>
  <Lines>125</Lines>
  <Paragraphs>35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Hreferralspcclean_sk</vt:lpstr>
      <vt:lpstr>Hreferralspcclean_sk</vt:lpstr>
      <vt:lpstr>Hreferralspccleansk rev.1 08-2016</vt:lpstr>
    </vt:vector>
  </TitlesOfParts>
  <Company>EMEA</Company>
  <LinksUpToDate>false</LinksUpToDate>
  <CharactersWithSpaces>17568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Hreferralspcclean_sk</dc:title>
  <dc:subject>General-EMA/53564/2010</dc:subject>
  <dc:creator>European Medicines Agency</dc:creator>
  <cp:lastModifiedBy>Hudecová, Martina</cp:lastModifiedBy>
  <cp:revision>3</cp:revision>
  <cp:lastPrinted>2020-07-21T11:37:00Z</cp:lastPrinted>
  <dcterms:created xsi:type="dcterms:W3CDTF">2020-07-27T05:37:00Z</dcterms:created>
  <dcterms:modified xsi:type="dcterms:W3CDTF">2020-07-27T05:37:00Z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03/02/2020 15:43:37</vt:lpwstr>
  </property>
  <property fmtid="{D5CDD505-2E9C-101B-9397-08002B2CF9AE}" pid="7" name="DM_Creator_Name">
    <vt:lpwstr>Akhtar Timea</vt:lpwstr>
  </property>
  <property fmtid="{D5CDD505-2E9C-101B-9397-08002B2CF9AE}" pid="8" name="DM_DocRefId">
    <vt:lpwstr>EMA/59346/2020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53564</vt:lpwstr>
  </property>
  <property fmtid="{D5CDD505-2E9C-101B-9397-08002B2CF9AE}" pid="14" name="DM_emea_doc_ref_id">
    <vt:lpwstr>EMA/59346/2020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17/02/2020 15:09:36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17/02/2020 15:09:36</vt:lpwstr>
  </property>
  <property fmtid="{D5CDD505-2E9C-101B-9397-08002B2CF9AE}" pid="37" name="DM_Name">
    <vt:lpwstr>Hreferralspcclean_sk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templates/2019-06 H Referral template v 4.1 Dec 19/Publication February 2020/Final CLEAN templates f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MSIP_Label_0eea11ca-d417-4147-80ed-01a58412c458_ActionId">
    <vt:lpwstr>d9608360-ec08-4717-b086-3f0c673eb2c2</vt:lpwstr>
  </property>
  <property fmtid="{D5CDD505-2E9C-101B-9397-08002B2CF9AE}" pid="46" name="MSIP_Label_0eea11ca-d417-4147-80ed-01a58412c458_Application">
    <vt:lpwstr>Microsoft Azure Information Protection</vt:lpwstr>
  </property>
  <property fmtid="{D5CDD505-2E9C-101B-9397-08002B2CF9AE}" pid="47" name="MSIP_Label_0eea11ca-d417-4147-80ed-01a58412c458_Enabled">
    <vt:lpwstr>True</vt:lpwstr>
  </property>
  <property fmtid="{D5CDD505-2E9C-101B-9397-08002B2CF9AE}" pid="48" name="MSIP_Label_0eea11ca-d417-4147-80ed-01a58412c458_Extended_MSFT_Method">
    <vt:lpwstr>Automatic</vt:lpwstr>
  </property>
  <property fmtid="{D5CDD505-2E9C-101B-9397-08002B2CF9AE}" pid="49" name="MSIP_Label_0eea11ca-d417-4147-80ed-01a58412c458_Name">
    <vt:lpwstr>All EMA Staff and Contractors</vt:lpwstr>
  </property>
  <property fmtid="{D5CDD505-2E9C-101B-9397-08002B2CF9AE}" pid="50" name="MSIP_Label_0eea11ca-d417-4147-80ed-01a58412c458_Owner">
    <vt:lpwstr>Tia.Akhtar@ema.europa.eu</vt:lpwstr>
  </property>
  <property fmtid="{D5CDD505-2E9C-101B-9397-08002B2CF9AE}" pid="51" name="MSIP_Label_0eea11ca-d417-4147-80ed-01a58412c458_Parent">
    <vt:lpwstr>afe1b31d-cec0-4074-b4bd-f07689e43d84</vt:lpwstr>
  </property>
  <property fmtid="{D5CDD505-2E9C-101B-9397-08002B2CF9AE}" pid="52" name="MSIP_Label_0eea11ca-d417-4147-80ed-01a58412c458_SetDate">
    <vt:lpwstr>2020-02-03T14:36:57.5274532Z</vt:lpwstr>
  </property>
  <property fmtid="{D5CDD505-2E9C-101B-9397-08002B2CF9AE}" pid="53" name="MSIP_Label_0eea11ca-d417-4147-80ed-01a58412c458_SiteId">
    <vt:lpwstr>bc9dc15c-61bc-4f03-b60b-e5b6d8922839</vt:lpwstr>
  </property>
  <property fmtid="{D5CDD505-2E9C-101B-9397-08002B2CF9AE}" pid="54" name="MSIP_Label_afe1b31d-cec0-4074-b4bd-f07689e43d84_ActionId">
    <vt:lpwstr>d9608360-ec08-4717-b086-3f0c673eb2c2</vt:lpwstr>
  </property>
  <property fmtid="{D5CDD505-2E9C-101B-9397-08002B2CF9AE}" pid="55" name="MSIP_Label_afe1b31d-cec0-4074-b4bd-f07689e43d84_Application">
    <vt:lpwstr>Microsoft Azure Information Protection</vt:lpwstr>
  </property>
  <property fmtid="{D5CDD505-2E9C-101B-9397-08002B2CF9AE}" pid="56" name="MSIP_Label_afe1b31d-cec0-4074-b4bd-f07689e43d84_Enabled">
    <vt:lpwstr>True</vt:lpwstr>
  </property>
  <property fmtid="{D5CDD505-2E9C-101B-9397-08002B2CF9AE}" pid="57" name="MSIP_Label_afe1b31d-cec0-4074-b4bd-f07689e43d84_Extended_MSFT_Method">
    <vt:lpwstr>Automatic</vt:lpwstr>
  </property>
  <property fmtid="{D5CDD505-2E9C-101B-9397-08002B2CF9AE}" pid="58" name="MSIP_Label_afe1b31d-cec0-4074-b4bd-f07689e43d84_Name">
    <vt:lpwstr>Internal</vt:lpwstr>
  </property>
  <property fmtid="{D5CDD505-2E9C-101B-9397-08002B2CF9AE}" pid="59" name="MSIP_Label_afe1b31d-cec0-4074-b4bd-f07689e43d84_Owner">
    <vt:lpwstr>Tia.Akhtar@ema.europa.eu</vt:lpwstr>
  </property>
  <property fmtid="{D5CDD505-2E9C-101B-9397-08002B2CF9AE}" pid="60" name="MSIP_Label_afe1b31d-cec0-4074-b4bd-f07689e43d84_SetDate">
    <vt:lpwstr>2020-02-03T14:36:57.5274532Z</vt:lpwstr>
  </property>
  <property fmtid="{D5CDD505-2E9C-101B-9397-08002B2CF9AE}" pid="61" name="MSIP_Label_afe1b31d-cec0-4074-b4bd-f07689e43d84_SiteId">
    <vt:lpwstr>bc9dc15c-61bc-4f03-b60b-e5b6d8922839</vt:lpwstr>
  </property>
</Properties>
</file>