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8E9" w:rsidRPr="007B04B0" w:rsidRDefault="002B08E9" w:rsidP="007B04B0">
      <w:pPr>
        <w:suppressAutoHyphens/>
        <w:spacing w:line="280" w:lineRule="exact"/>
        <w:rPr>
          <w:rFonts w:ascii="Times New Roman" w:hAnsi="Times New Roman"/>
          <w:bCs/>
          <w:szCs w:val="22"/>
          <w:lang w:val="sk-SK" w:eastAsia="sk-SK"/>
        </w:rPr>
      </w:pPr>
    </w:p>
    <w:p w:rsidR="005E341C" w:rsidRPr="002A4665" w:rsidRDefault="00E57D93" w:rsidP="009D13E3">
      <w:pPr>
        <w:suppressAutoHyphens/>
        <w:spacing w:line="280" w:lineRule="exact"/>
        <w:jc w:val="center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>SÚHRN CHARAKTERISTICKÝCH VLASTNOSTÍ LIEKU</w:t>
      </w:r>
    </w:p>
    <w:p w:rsidR="00E57D93" w:rsidRPr="002A4665" w:rsidRDefault="00E57D93" w:rsidP="009D13E3">
      <w:pPr>
        <w:suppressAutoHyphens/>
        <w:spacing w:line="280" w:lineRule="exact"/>
        <w:jc w:val="center"/>
        <w:rPr>
          <w:rFonts w:ascii="Times New Roman" w:hAnsi="Times New Roman"/>
          <w:b/>
          <w:bCs/>
          <w:caps/>
          <w:szCs w:val="22"/>
          <w:lang w:val="sk-SK"/>
        </w:rPr>
      </w:pPr>
    </w:p>
    <w:p w:rsidR="00E57D93" w:rsidRPr="002A4665" w:rsidRDefault="00E57D93" w:rsidP="009D13E3">
      <w:pPr>
        <w:suppressAutoHyphens/>
        <w:spacing w:line="280" w:lineRule="exact"/>
        <w:jc w:val="center"/>
        <w:rPr>
          <w:rFonts w:ascii="Times New Roman" w:hAnsi="Times New Roman"/>
          <w:b/>
          <w:bCs/>
          <w:caps/>
          <w:szCs w:val="22"/>
          <w:lang w:val="sk-SK"/>
        </w:rPr>
      </w:pPr>
    </w:p>
    <w:p w:rsidR="00E57D93" w:rsidRPr="002A4665" w:rsidRDefault="00E57D93" w:rsidP="00E57D93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1.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NÁZOV LIEKU</w:t>
      </w:r>
    </w:p>
    <w:p w:rsidR="00E57D93" w:rsidRPr="002A4665" w:rsidRDefault="00E57D93" w:rsidP="00E57D93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5E341C" w:rsidRPr="002A4665" w:rsidRDefault="00F32716" w:rsidP="00E57D93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Memantin</w:t>
      </w:r>
      <w:r w:rsidR="00E57D93" w:rsidRPr="002A4665">
        <w:rPr>
          <w:rFonts w:ascii="Times New Roman" w:hAnsi="Times New Roman"/>
          <w:szCs w:val="22"/>
          <w:lang w:val="sk-SK"/>
        </w:rPr>
        <w:t xml:space="preserve"> </w:t>
      </w:r>
      <w:r w:rsidR="00D77A9E" w:rsidRPr="002A4665">
        <w:rPr>
          <w:rFonts w:ascii="Times New Roman" w:hAnsi="Times New Roman"/>
          <w:szCs w:val="22"/>
          <w:lang w:val="sk-SK"/>
        </w:rPr>
        <w:t xml:space="preserve">Stada </w:t>
      </w:r>
      <w:r w:rsidR="00A4278E" w:rsidRPr="002A4665">
        <w:rPr>
          <w:rFonts w:ascii="Times New Roman" w:hAnsi="Times New Roman"/>
          <w:szCs w:val="22"/>
          <w:lang w:val="sk-SK" w:eastAsia="sk-SK"/>
        </w:rPr>
        <w:t xml:space="preserve">10 mg </w:t>
      </w:r>
      <w:r w:rsidR="00D77A9E" w:rsidRPr="002A4665">
        <w:rPr>
          <w:rFonts w:ascii="Times New Roman" w:hAnsi="Times New Roman"/>
          <w:szCs w:val="22"/>
          <w:lang w:val="sk-SK"/>
        </w:rPr>
        <w:t>filmom obalené tablety</w:t>
      </w:r>
      <w:r w:rsidR="00E57D93" w:rsidRPr="002A4665">
        <w:rPr>
          <w:rFonts w:ascii="Times New Roman" w:hAnsi="Times New Roman"/>
          <w:szCs w:val="22"/>
          <w:lang w:val="sk-SK"/>
        </w:rPr>
        <w:t xml:space="preserve"> </w:t>
      </w:r>
    </w:p>
    <w:p w:rsidR="005E341C" w:rsidRPr="002A4665" w:rsidRDefault="005E341C" w:rsidP="009D13E3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5E341C" w:rsidP="009D13E3">
      <w:pPr>
        <w:suppressAutoHyphens/>
        <w:spacing w:line="280" w:lineRule="exact"/>
        <w:rPr>
          <w:rFonts w:ascii="Times New Roman" w:hAnsi="Times New Roman"/>
          <w:szCs w:val="22"/>
          <w:lang w:val="sk-SK"/>
        </w:rPr>
      </w:pPr>
    </w:p>
    <w:p w:rsidR="00E57D93" w:rsidRPr="002A4665" w:rsidRDefault="00E57D93" w:rsidP="00E57D93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2.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KVALITATÍVNE A KVANTITATÍVNE ZLOŽENIE</w:t>
      </w:r>
    </w:p>
    <w:p w:rsidR="00E57D93" w:rsidRPr="002A4665" w:rsidRDefault="00E57D93" w:rsidP="00E57D9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57D93" w:rsidRPr="002A4665" w:rsidRDefault="00E57D93" w:rsidP="00E57D9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Každá filmom obalená tableta obsahuje 10 mg memantín</w:t>
      </w:r>
      <w:r w:rsidR="006740D8">
        <w:rPr>
          <w:rFonts w:ascii="Times New Roman" w:hAnsi="Times New Roman"/>
          <w:szCs w:val="22"/>
          <w:lang w:val="sk-SK" w:eastAsia="sk-SK"/>
        </w:rPr>
        <w:t>ium</w:t>
      </w:r>
      <w:r w:rsidRPr="002A4665">
        <w:rPr>
          <w:rFonts w:ascii="Times New Roman" w:hAnsi="Times New Roman"/>
          <w:szCs w:val="22"/>
          <w:lang w:val="sk-SK" w:eastAsia="sk-SK"/>
        </w:rPr>
        <w:t>chloridu, čo zodpovedá 8,31 mg memantínu.</w:t>
      </w:r>
    </w:p>
    <w:p w:rsidR="00E57D93" w:rsidRPr="002A4665" w:rsidRDefault="00E57D93" w:rsidP="00E57D9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57D93" w:rsidRPr="002A4665" w:rsidRDefault="00E57D93" w:rsidP="00E57D93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Úplný zoznam pomocných látok, pozri časť 6.1.</w:t>
      </w:r>
    </w:p>
    <w:p w:rsidR="00E57D93" w:rsidRPr="002A4665" w:rsidRDefault="00E57D93" w:rsidP="00E57D93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9758E1" w:rsidRPr="002A4665" w:rsidRDefault="009758E1" w:rsidP="009758E1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3.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LIEKOVÁ FORMA</w:t>
      </w:r>
    </w:p>
    <w:p w:rsidR="009758E1" w:rsidRPr="002A4665" w:rsidRDefault="009758E1" w:rsidP="009758E1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758E1" w:rsidRPr="002A4665" w:rsidRDefault="009758E1" w:rsidP="009758E1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Filmom obalené tablety.</w:t>
      </w:r>
    </w:p>
    <w:p w:rsidR="00D77A9E" w:rsidRPr="002A4665" w:rsidRDefault="00D77A9E" w:rsidP="009758E1">
      <w:pPr>
        <w:suppressAutoHyphens/>
        <w:spacing w:line="280" w:lineRule="exact"/>
        <w:rPr>
          <w:rFonts w:ascii="Times New Roman" w:hAnsi="Times New Roman"/>
          <w:szCs w:val="22"/>
          <w:lang w:val="sk-SK" w:eastAsia="sk-SK"/>
        </w:rPr>
      </w:pPr>
    </w:p>
    <w:p w:rsidR="009758E1" w:rsidRPr="002A4665" w:rsidRDefault="005B31F9" w:rsidP="00D77A9E">
      <w:pPr>
        <w:suppressAutoHyphens/>
        <w:spacing w:line="280" w:lineRule="exact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B</w:t>
      </w:r>
      <w:r w:rsidR="009758E1" w:rsidRPr="002A4665">
        <w:rPr>
          <w:rFonts w:ascii="Times New Roman" w:hAnsi="Times New Roman"/>
          <w:szCs w:val="22"/>
          <w:lang w:val="sk-SK" w:eastAsia="sk-SK"/>
        </w:rPr>
        <w:t>iel</w:t>
      </w:r>
      <w:r w:rsidR="00741DB4" w:rsidRPr="002A4665">
        <w:rPr>
          <w:rFonts w:ascii="Times New Roman" w:hAnsi="Times New Roman"/>
          <w:szCs w:val="22"/>
          <w:lang w:val="sk-SK" w:eastAsia="sk-SK"/>
        </w:rPr>
        <w:t>a</w:t>
      </w:r>
      <w:r w:rsidR="009758E1" w:rsidRPr="002A4665">
        <w:rPr>
          <w:rFonts w:ascii="Times New Roman" w:hAnsi="Times New Roman"/>
          <w:szCs w:val="22"/>
          <w:lang w:val="sk-SK"/>
        </w:rPr>
        <w:t>,</w:t>
      </w:r>
      <w:r w:rsidR="00794FE7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="00741DB4" w:rsidRPr="002A4665">
        <w:rPr>
          <w:rFonts w:ascii="Times New Roman" w:hAnsi="Times New Roman"/>
          <w:szCs w:val="22"/>
          <w:lang w:val="sk-SK" w:eastAsia="sk-SK"/>
        </w:rPr>
        <w:t>v strede zúžená</w:t>
      </w:r>
      <w:r w:rsidR="00794FE7" w:rsidRPr="002A4665">
        <w:rPr>
          <w:rFonts w:ascii="Times New Roman" w:hAnsi="Times New Roman"/>
          <w:szCs w:val="22"/>
          <w:lang w:val="sk-SK" w:eastAsia="sk-SK"/>
        </w:rPr>
        <w:t xml:space="preserve">, </w:t>
      </w:r>
      <w:r w:rsidR="009758E1" w:rsidRPr="002A4665">
        <w:rPr>
          <w:rFonts w:ascii="Times New Roman" w:hAnsi="Times New Roman"/>
          <w:szCs w:val="22"/>
          <w:lang w:val="sk-SK"/>
        </w:rPr>
        <w:t xml:space="preserve"> bikonvexn</w:t>
      </w:r>
      <w:r w:rsidR="00741DB4" w:rsidRPr="002A4665">
        <w:rPr>
          <w:rFonts w:ascii="Times New Roman" w:hAnsi="Times New Roman"/>
          <w:szCs w:val="22"/>
          <w:lang w:val="sk-SK"/>
        </w:rPr>
        <w:t>á</w:t>
      </w:r>
      <w:r w:rsidR="00D77A9E" w:rsidRPr="002A4665">
        <w:rPr>
          <w:rFonts w:ascii="Times New Roman" w:hAnsi="Times New Roman"/>
          <w:szCs w:val="22"/>
          <w:lang w:val="sk-SK" w:eastAsia="sk-SK"/>
        </w:rPr>
        <w:t xml:space="preserve"> filmom obalen</w:t>
      </w:r>
      <w:r w:rsidR="00741DB4" w:rsidRPr="002A4665">
        <w:rPr>
          <w:rFonts w:ascii="Times New Roman" w:hAnsi="Times New Roman"/>
          <w:szCs w:val="22"/>
          <w:lang w:val="sk-SK" w:eastAsia="sk-SK"/>
        </w:rPr>
        <w:t>á</w:t>
      </w:r>
      <w:r w:rsidR="00D77A9E" w:rsidRPr="002A4665">
        <w:rPr>
          <w:rFonts w:ascii="Times New Roman" w:hAnsi="Times New Roman"/>
          <w:szCs w:val="22"/>
          <w:lang w:val="sk-SK" w:eastAsia="sk-SK"/>
        </w:rPr>
        <w:t xml:space="preserve"> tablet</w:t>
      </w:r>
      <w:r w:rsidR="00741DB4" w:rsidRPr="002A4665">
        <w:rPr>
          <w:rFonts w:ascii="Times New Roman" w:hAnsi="Times New Roman"/>
          <w:szCs w:val="22"/>
          <w:lang w:val="sk-SK" w:eastAsia="sk-SK"/>
        </w:rPr>
        <w:t>a</w:t>
      </w:r>
      <w:r w:rsidR="00C70D6C" w:rsidRPr="002A4665">
        <w:rPr>
          <w:rFonts w:ascii="Times New Roman" w:hAnsi="Times New Roman"/>
          <w:szCs w:val="22"/>
          <w:lang w:val="sk-SK" w:eastAsia="sk-SK"/>
        </w:rPr>
        <w:t>,</w:t>
      </w:r>
      <w:r w:rsidR="00D77A9E" w:rsidRPr="002A4665">
        <w:rPr>
          <w:rFonts w:ascii="Times New Roman" w:hAnsi="Times New Roman"/>
          <w:szCs w:val="22"/>
          <w:lang w:val="sk-SK" w:eastAsia="sk-SK"/>
        </w:rPr>
        <w:t xml:space="preserve"> 10 mm – </w:t>
      </w:r>
      <w:smartTag w:uri="urn:schemas-microsoft-com:office:smarttags" w:element="metricconverter">
        <w:smartTagPr>
          <w:attr w:name="ProductID" w:val="5,6 mm"/>
        </w:smartTagPr>
        <w:r w:rsidR="00D77A9E" w:rsidRPr="002A4665">
          <w:rPr>
            <w:rFonts w:ascii="Times New Roman" w:hAnsi="Times New Roman"/>
            <w:szCs w:val="22"/>
            <w:lang w:val="sk-SK" w:eastAsia="sk-SK"/>
          </w:rPr>
          <w:t>5,6 mm</w:t>
        </w:r>
      </w:smartTag>
      <w:r w:rsidR="009758E1" w:rsidRPr="002A4665">
        <w:rPr>
          <w:rFonts w:ascii="Times New Roman" w:hAnsi="Times New Roman"/>
          <w:szCs w:val="22"/>
          <w:lang w:val="sk-SK"/>
        </w:rPr>
        <w:t xml:space="preserve">, </w:t>
      </w:r>
      <w:r w:rsidR="00D77A9E" w:rsidRPr="002A4665">
        <w:rPr>
          <w:rFonts w:ascii="Times New Roman" w:hAnsi="Times New Roman"/>
          <w:szCs w:val="22"/>
          <w:lang w:val="sk-SK"/>
        </w:rPr>
        <w:t>s deliacimi ryhami na oboch stranách a s vyrazeným „1 0“ na jednej strane.</w:t>
      </w:r>
      <w:r w:rsidR="009758E1" w:rsidRPr="002A4665">
        <w:rPr>
          <w:rFonts w:ascii="Times New Roman" w:hAnsi="Times New Roman"/>
          <w:szCs w:val="22"/>
          <w:lang w:val="sk-SK" w:eastAsia="sk-SK"/>
        </w:rPr>
        <w:t xml:space="preserve"> </w:t>
      </w:r>
    </w:p>
    <w:p w:rsidR="00204EB9" w:rsidRPr="002A4665" w:rsidRDefault="00204EB9" w:rsidP="00D77A9E">
      <w:pPr>
        <w:suppressAutoHyphens/>
        <w:spacing w:line="280" w:lineRule="exact"/>
        <w:rPr>
          <w:rFonts w:ascii="Times New Roman" w:hAnsi="Times New Roman"/>
          <w:szCs w:val="22"/>
          <w:lang w:val="sk-SK" w:eastAsia="sk-SK"/>
        </w:rPr>
      </w:pPr>
    </w:p>
    <w:p w:rsidR="00204EB9" w:rsidRPr="002A4665" w:rsidRDefault="00204EB9" w:rsidP="00D77A9E">
      <w:pPr>
        <w:suppressAutoHyphens/>
        <w:spacing w:line="280" w:lineRule="exact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Tableta sa môže rozdeliť na dve rovnaké dávky.</w:t>
      </w: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385775" w:rsidRPr="002A4665" w:rsidRDefault="00385775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A207CC" w:rsidRPr="002A4665" w:rsidRDefault="00A207CC" w:rsidP="00A207C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KLINICKÉ ÚDAJE</w:t>
      </w:r>
    </w:p>
    <w:p w:rsidR="00A207CC" w:rsidRPr="002A4665" w:rsidRDefault="00A207CC" w:rsidP="00A207C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A207CC" w:rsidRPr="002A4665" w:rsidRDefault="00A207CC" w:rsidP="00A207C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4.1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Terapeutické indikácie</w:t>
      </w:r>
    </w:p>
    <w:p w:rsidR="00A207CC" w:rsidRPr="002A4665" w:rsidRDefault="00A207CC" w:rsidP="00A207CC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2A4665" w:rsidRDefault="00A207CC" w:rsidP="00A207CC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Liečba pacientov s Alzheimerovou chorobou stredného až ťažkého stupňa.</w:t>
      </w:r>
      <w:r w:rsidRPr="002A4665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4.2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Dávkovanie a spôsob podávania</w:t>
      </w: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2A4665" w:rsidRPr="007B04B0" w:rsidRDefault="002A4665" w:rsidP="007E6704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>
        <w:rPr>
          <w:rFonts w:ascii="Times New Roman" w:hAnsi="Times New Roman"/>
          <w:szCs w:val="22"/>
          <w:u w:val="single"/>
          <w:lang w:val="sk-SK" w:eastAsia="sk-SK"/>
        </w:rPr>
        <w:t>Dávkovanie</w:t>
      </w:r>
    </w:p>
    <w:p w:rsidR="002A4665" w:rsidRDefault="002A4665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Liečbu má začať a sledovať lekár, skúsený v diagnostike a liečbe Alzheimerovej demencie. Terapia sa</w:t>
      </w: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má začať len vtedy, ak je opatrovateľ schopný pravidelne kontrolovať, ako pacient užíva liek.</w:t>
      </w: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Diagnóza sa má stanoviť podľa súčasných diagnostických odporúčaní. Tolerancia a dávkovanie</w:t>
      </w: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memantínu sa majú pravidelne prehodnocovať, pokiaľ možno do troch mesiacov po začatí liečby.</w:t>
      </w: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Ďalej sa má klinický prínos memantínu a tolerancia liečby vyhodnocovať v pravidelných</w:t>
      </w: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intervaloch podľa aktuálnych terapeutických postupov. V udržiavacej liečbe m</w:t>
      </w:r>
      <w:r w:rsidR="00065481" w:rsidRPr="002A4665">
        <w:rPr>
          <w:rFonts w:ascii="Times New Roman" w:hAnsi="Times New Roman"/>
          <w:szCs w:val="22"/>
          <w:lang w:val="sk-SK" w:eastAsia="sk-SK"/>
        </w:rPr>
        <w:t xml:space="preserve">ožno </w:t>
      </w:r>
      <w:r w:rsidRPr="002A4665">
        <w:rPr>
          <w:rFonts w:ascii="Times New Roman" w:hAnsi="Times New Roman"/>
          <w:szCs w:val="22"/>
          <w:lang w:val="sk-SK" w:eastAsia="sk-SK"/>
        </w:rPr>
        <w:t>pokračovať,</w:t>
      </w:r>
    </w:p>
    <w:p w:rsidR="007E6704" w:rsidRPr="002A4665" w:rsidRDefault="00065481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dovtedy, kým je priaznivý terapeutický </w:t>
      </w:r>
      <w:r w:rsidR="007E6704" w:rsidRPr="002A4665">
        <w:rPr>
          <w:rFonts w:ascii="Times New Roman" w:hAnsi="Times New Roman"/>
          <w:szCs w:val="22"/>
          <w:lang w:val="sk-SK" w:eastAsia="sk-SK"/>
        </w:rPr>
        <w:t>prínos</w:t>
      </w:r>
      <w:r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="007E6704" w:rsidRPr="002A4665">
        <w:rPr>
          <w:rFonts w:ascii="Times New Roman" w:hAnsi="Times New Roman"/>
          <w:szCs w:val="22"/>
          <w:lang w:val="sk-SK" w:eastAsia="sk-SK"/>
        </w:rPr>
        <w:t xml:space="preserve">a </w:t>
      </w:r>
      <w:r w:rsidRPr="002A4665">
        <w:rPr>
          <w:rFonts w:ascii="Times New Roman" w:hAnsi="Times New Roman"/>
          <w:szCs w:val="22"/>
          <w:lang w:val="sk-SK" w:eastAsia="sk-SK"/>
        </w:rPr>
        <w:t xml:space="preserve">pacient </w:t>
      </w:r>
      <w:r w:rsidR="007E6704" w:rsidRPr="002A4665">
        <w:rPr>
          <w:rFonts w:ascii="Times New Roman" w:hAnsi="Times New Roman"/>
          <w:szCs w:val="22"/>
          <w:lang w:val="sk-SK" w:eastAsia="sk-SK"/>
        </w:rPr>
        <w:t>liečbu memantínom toleruje. Prerušenie liečby</w:t>
      </w:r>
    </w:p>
    <w:p w:rsidR="007E6704" w:rsidRPr="002A4665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memantínom sa má zvážiť v prípade, keď nebude prítomný preukázateľný terapeutický prínos alebo</w:t>
      </w:r>
    </w:p>
    <w:p w:rsidR="007E6704" w:rsidRPr="002A4665" w:rsidRDefault="007E6704" w:rsidP="007E6704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pacient nebude tolerovať liečbu.</w:t>
      </w:r>
      <w:r w:rsidRPr="002A4665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i/>
          <w:iCs/>
          <w:szCs w:val="22"/>
          <w:lang w:val="sk-SK" w:eastAsia="sk-SK"/>
        </w:rPr>
        <w:t>Dospelí</w:t>
      </w: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Titrácia dávky</w:t>
      </w: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B31F9" w:rsidRPr="002A4665" w:rsidRDefault="005B31F9" w:rsidP="005B31F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Maximálna denná dávka je 20 mg denne. Aby sa znížilo riziko nežiaducich účinkov, udržiavacia</w:t>
      </w:r>
    </w:p>
    <w:p w:rsidR="005B31F9" w:rsidRPr="002A4665" w:rsidRDefault="005B31F9" w:rsidP="005B31F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dávka sa dosahuje vzostupnou titráciou o 5 mg týždenne počas prvých 3 týždňov liečby nasledovne.</w:t>
      </w:r>
    </w:p>
    <w:p w:rsidR="005B31F9" w:rsidRPr="002A4665" w:rsidRDefault="005B31F9" w:rsidP="005B31F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Na titráciu s vyššou dávkou sú dostupné ďalšie sily tabliet.</w:t>
      </w:r>
    </w:p>
    <w:p w:rsidR="005B31F9" w:rsidRPr="002A4665" w:rsidRDefault="005B31F9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1350A6" w:rsidRPr="002A4665" w:rsidRDefault="00FF451B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1. t</w:t>
      </w:r>
      <w:r w:rsidR="001350A6" w:rsidRPr="002A4665">
        <w:rPr>
          <w:rFonts w:ascii="Times New Roman" w:hAnsi="Times New Roman"/>
          <w:szCs w:val="22"/>
          <w:lang w:val="sk-SK" w:eastAsia="sk-SK"/>
        </w:rPr>
        <w:t>ýždeň (</w:t>
      </w:r>
      <w:r w:rsidRPr="002A4665">
        <w:rPr>
          <w:rFonts w:ascii="Times New Roman" w:hAnsi="Times New Roman"/>
          <w:szCs w:val="22"/>
          <w:lang w:val="sk-SK" w:eastAsia="sk-SK"/>
        </w:rPr>
        <w:t xml:space="preserve">1.-7. </w:t>
      </w:r>
      <w:r w:rsidR="001350A6" w:rsidRPr="002A4665">
        <w:rPr>
          <w:rFonts w:ascii="Times New Roman" w:hAnsi="Times New Roman"/>
          <w:szCs w:val="22"/>
          <w:lang w:val="sk-SK" w:eastAsia="sk-SK"/>
        </w:rPr>
        <w:t>deň):</w:t>
      </w: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Pacient má užívať </w:t>
      </w:r>
      <w:r w:rsidR="00204EB9" w:rsidRPr="002A4665">
        <w:rPr>
          <w:rFonts w:ascii="Times New Roman" w:hAnsi="Times New Roman"/>
          <w:szCs w:val="22"/>
          <w:lang w:val="sk-SK" w:eastAsia="sk-SK"/>
        </w:rPr>
        <w:t>polovicu 10 mg filmom obalenej tablety (5 mg)</w:t>
      </w:r>
      <w:r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="00FF451B" w:rsidRPr="002A4665">
        <w:rPr>
          <w:rFonts w:ascii="Times New Roman" w:hAnsi="Times New Roman"/>
          <w:szCs w:val="22"/>
          <w:lang w:val="sk-SK" w:eastAsia="sk-SK"/>
        </w:rPr>
        <w:t xml:space="preserve">jedenkrát </w:t>
      </w:r>
      <w:r w:rsidRPr="002A4665">
        <w:rPr>
          <w:rFonts w:ascii="Times New Roman" w:hAnsi="Times New Roman"/>
          <w:szCs w:val="22"/>
          <w:lang w:val="sk-SK" w:eastAsia="sk-SK"/>
        </w:rPr>
        <w:t>denne počas 7 dní.</w:t>
      </w:r>
    </w:p>
    <w:p w:rsidR="00541524" w:rsidRPr="002A4665" w:rsidRDefault="00541524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FF451B" w:rsidRPr="002A4665" w:rsidRDefault="00FF451B" w:rsidP="00FF451B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2. týždeň (8.-14. deň):</w:t>
      </w: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Pacient má užívať </w:t>
      </w:r>
      <w:r w:rsidR="00204EB9" w:rsidRPr="002A4665">
        <w:rPr>
          <w:rFonts w:ascii="Times New Roman" w:hAnsi="Times New Roman"/>
          <w:szCs w:val="22"/>
          <w:lang w:val="sk-SK" w:eastAsia="sk-SK"/>
        </w:rPr>
        <w:t>jednu 10 mg filmom obalenú tabletu (</w:t>
      </w:r>
      <w:r w:rsidRPr="002A4665">
        <w:rPr>
          <w:rFonts w:ascii="Times New Roman" w:hAnsi="Times New Roman"/>
          <w:szCs w:val="22"/>
          <w:lang w:val="sk-SK" w:eastAsia="sk-SK"/>
        </w:rPr>
        <w:t>10 mg</w:t>
      </w:r>
      <w:r w:rsidR="00204EB9" w:rsidRPr="002A4665">
        <w:rPr>
          <w:rFonts w:ascii="Times New Roman" w:hAnsi="Times New Roman"/>
          <w:szCs w:val="22"/>
          <w:lang w:val="sk-SK" w:eastAsia="sk-SK"/>
        </w:rPr>
        <w:t>)</w:t>
      </w:r>
      <w:r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="005B7328" w:rsidRPr="002A4665">
        <w:rPr>
          <w:rFonts w:ascii="Times New Roman" w:hAnsi="Times New Roman"/>
          <w:szCs w:val="22"/>
          <w:lang w:val="sk-SK" w:eastAsia="sk-SK"/>
        </w:rPr>
        <w:t>jedenkrát denne počas 7 dní.</w:t>
      </w:r>
    </w:p>
    <w:p w:rsidR="00541524" w:rsidRPr="002A4665" w:rsidRDefault="00541524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B7328" w:rsidRPr="002A4665" w:rsidRDefault="005B7328" w:rsidP="005B732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3. týždeň (15.-21. deň):</w:t>
      </w:r>
    </w:p>
    <w:p w:rsidR="005B7328" w:rsidRPr="002A4665" w:rsidRDefault="005B7328" w:rsidP="005B732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Pacient má užívať </w:t>
      </w:r>
      <w:r w:rsidR="00204EB9" w:rsidRPr="002A4665">
        <w:rPr>
          <w:rFonts w:ascii="Times New Roman" w:hAnsi="Times New Roman"/>
          <w:szCs w:val="22"/>
          <w:lang w:val="sk-SK" w:eastAsia="sk-SK"/>
        </w:rPr>
        <w:t>jeden a pol 10 mg filmom obalenej tablety (</w:t>
      </w:r>
      <w:r w:rsidRPr="002A4665">
        <w:rPr>
          <w:rFonts w:ascii="Times New Roman" w:hAnsi="Times New Roman"/>
          <w:szCs w:val="22"/>
          <w:lang w:val="sk-SK" w:eastAsia="sk-SK"/>
        </w:rPr>
        <w:t>15 mg</w:t>
      </w:r>
      <w:r w:rsidR="00204EB9" w:rsidRPr="002A4665">
        <w:rPr>
          <w:rFonts w:ascii="Times New Roman" w:hAnsi="Times New Roman"/>
          <w:szCs w:val="22"/>
          <w:lang w:val="sk-SK" w:eastAsia="sk-SK"/>
        </w:rPr>
        <w:t>)</w:t>
      </w:r>
      <w:r w:rsidRPr="002A4665">
        <w:rPr>
          <w:rFonts w:ascii="Times New Roman" w:hAnsi="Times New Roman"/>
          <w:szCs w:val="22"/>
          <w:lang w:val="sk-SK" w:eastAsia="sk-SK"/>
        </w:rPr>
        <w:t xml:space="preserve"> jedenkrát denne počas 7 dní.</w:t>
      </w:r>
    </w:p>
    <w:p w:rsidR="00541524" w:rsidRPr="002A4665" w:rsidRDefault="00541524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Od </w:t>
      </w:r>
      <w:r w:rsidR="005B7328" w:rsidRPr="002A4665">
        <w:rPr>
          <w:rFonts w:ascii="Times New Roman" w:hAnsi="Times New Roman"/>
          <w:szCs w:val="22"/>
          <w:lang w:val="sk-SK" w:eastAsia="sk-SK"/>
        </w:rPr>
        <w:t xml:space="preserve">4. </w:t>
      </w:r>
      <w:r w:rsidRPr="002A4665">
        <w:rPr>
          <w:rFonts w:ascii="Times New Roman" w:hAnsi="Times New Roman"/>
          <w:szCs w:val="22"/>
          <w:lang w:val="sk-SK" w:eastAsia="sk-SK"/>
        </w:rPr>
        <w:t>týždňa ďalej:</w:t>
      </w:r>
    </w:p>
    <w:p w:rsidR="005B7328" w:rsidRPr="002A4665" w:rsidRDefault="005B7328" w:rsidP="005B732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Pacient má užívať </w:t>
      </w:r>
      <w:r w:rsidR="00204EB9" w:rsidRPr="002A4665">
        <w:rPr>
          <w:rFonts w:ascii="Times New Roman" w:hAnsi="Times New Roman"/>
          <w:szCs w:val="22"/>
          <w:lang w:val="sk-SK" w:eastAsia="sk-SK"/>
        </w:rPr>
        <w:t>dve 10 mg filmom obalené tablety (</w:t>
      </w:r>
      <w:r w:rsidRPr="002A4665">
        <w:rPr>
          <w:rFonts w:ascii="Times New Roman" w:hAnsi="Times New Roman"/>
          <w:szCs w:val="22"/>
          <w:lang w:val="sk-SK" w:eastAsia="sk-SK"/>
        </w:rPr>
        <w:t>20 mg</w:t>
      </w:r>
      <w:r w:rsidR="00204EB9" w:rsidRPr="002A4665">
        <w:rPr>
          <w:rFonts w:ascii="Times New Roman" w:hAnsi="Times New Roman"/>
          <w:szCs w:val="22"/>
          <w:lang w:val="sk-SK" w:eastAsia="sk-SK"/>
        </w:rPr>
        <w:t>)</w:t>
      </w:r>
      <w:r w:rsidRPr="002A4665">
        <w:rPr>
          <w:rFonts w:ascii="Times New Roman" w:hAnsi="Times New Roman"/>
          <w:szCs w:val="22"/>
          <w:lang w:val="sk-SK" w:eastAsia="sk-SK"/>
        </w:rPr>
        <w:t xml:space="preserve"> jedenkrát denne.</w:t>
      </w:r>
    </w:p>
    <w:p w:rsidR="00541524" w:rsidRPr="002A4665" w:rsidRDefault="00541524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Udržiavacia dávka</w:t>
      </w: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Odporúčaná udržiavacia dávka je 20 mg denne.</w:t>
      </w:r>
    </w:p>
    <w:p w:rsidR="00541524" w:rsidRPr="002A4665" w:rsidRDefault="00541524" w:rsidP="001350A6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2A4665">
        <w:rPr>
          <w:rFonts w:ascii="Times New Roman" w:hAnsi="Times New Roman"/>
          <w:i/>
          <w:iCs/>
          <w:szCs w:val="22"/>
          <w:lang w:val="sk-SK" w:eastAsia="sk-SK"/>
        </w:rPr>
        <w:t>Starší pacienti</w:t>
      </w:r>
    </w:p>
    <w:p w:rsidR="001350A6" w:rsidRPr="002A4665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Na základe klinických štúdií je dávka odporúčaná pre pacientov nad 65 rokov 20 mg</w:t>
      </w:r>
      <w:r w:rsidR="001E6BF2" w:rsidRPr="002A4665">
        <w:rPr>
          <w:rFonts w:ascii="Times New Roman" w:hAnsi="Times New Roman"/>
          <w:szCs w:val="22"/>
          <w:lang w:val="sk-SK" w:eastAsia="sk-SK"/>
        </w:rPr>
        <w:t xml:space="preserve"> denne</w:t>
      </w:r>
      <w:r w:rsidR="00204EB9" w:rsidRPr="002A4665">
        <w:rPr>
          <w:rFonts w:ascii="Times New Roman" w:hAnsi="Times New Roman"/>
          <w:szCs w:val="22"/>
          <w:lang w:val="sk-SK" w:eastAsia="sk-SK"/>
        </w:rPr>
        <w:t xml:space="preserve"> (dve 10 mg filmom obalené tablety) podľa </w:t>
      </w:r>
      <w:r w:rsidR="00652567" w:rsidRPr="002A4665">
        <w:rPr>
          <w:rFonts w:ascii="Times New Roman" w:hAnsi="Times New Roman"/>
          <w:szCs w:val="22"/>
          <w:lang w:val="sk-SK" w:eastAsia="sk-SK"/>
        </w:rPr>
        <w:t xml:space="preserve">opisu </w:t>
      </w:r>
      <w:r w:rsidRPr="002A4665">
        <w:rPr>
          <w:rFonts w:ascii="Times New Roman" w:hAnsi="Times New Roman"/>
          <w:szCs w:val="22"/>
          <w:lang w:val="sk-SK" w:eastAsia="sk-SK"/>
        </w:rPr>
        <w:t>vyššie.</w:t>
      </w:r>
    </w:p>
    <w:p w:rsidR="00204EB9" w:rsidRPr="002A4665" w:rsidRDefault="00204EB9" w:rsidP="00204EB9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2A4665" w:rsidRDefault="00204EB9" w:rsidP="00204EB9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2A4665">
        <w:rPr>
          <w:rFonts w:ascii="Times New Roman" w:hAnsi="Times New Roman"/>
          <w:i/>
          <w:iCs/>
          <w:szCs w:val="22"/>
          <w:lang w:val="sk-SK" w:eastAsia="sk-SK"/>
        </w:rPr>
        <w:t>Pediatrická populácia</w:t>
      </w:r>
    </w:p>
    <w:p w:rsidR="00204EB9" w:rsidRPr="002A4665" w:rsidRDefault="00204EB9" w:rsidP="00204EB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/>
        </w:rPr>
        <w:t xml:space="preserve">Memantin Stada </w:t>
      </w:r>
      <w:r w:rsidRPr="002A4665">
        <w:rPr>
          <w:rFonts w:ascii="Times New Roman" w:hAnsi="Times New Roman"/>
          <w:szCs w:val="22"/>
          <w:lang w:val="sk-SK" w:eastAsia="sk-SK"/>
        </w:rPr>
        <w:t>sa neodporúča používať u detí do18 rokov kvôli nedostatočným údajom o bezpečnosti a účinnosti.</w:t>
      </w:r>
    </w:p>
    <w:p w:rsidR="00541524" w:rsidRPr="002A4665" w:rsidRDefault="00541524" w:rsidP="001350A6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2A4665" w:rsidRDefault="002A4665" w:rsidP="00204EB9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>
        <w:rPr>
          <w:rFonts w:ascii="Times New Roman" w:hAnsi="Times New Roman"/>
          <w:i/>
          <w:iCs/>
          <w:szCs w:val="22"/>
          <w:lang w:val="sk-SK" w:eastAsia="sk-SK"/>
        </w:rPr>
        <w:t xml:space="preserve">Porucha </w:t>
      </w:r>
      <w:r w:rsidR="00574889" w:rsidRPr="002A4665">
        <w:rPr>
          <w:rFonts w:ascii="Times New Roman" w:hAnsi="Times New Roman"/>
          <w:i/>
          <w:iCs/>
          <w:szCs w:val="22"/>
          <w:lang w:val="sk-SK" w:eastAsia="sk-SK"/>
        </w:rPr>
        <w:t xml:space="preserve">funkcie </w:t>
      </w:r>
      <w:r w:rsidR="00204EB9" w:rsidRPr="002A4665">
        <w:rPr>
          <w:rFonts w:ascii="Times New Roman" w:hAnsi="Times New Roman"/>
          <w:i/>
          <w:iCs/>
          <w:szCs w:val="22"/>
          <w:lang w:val="sk-SK" w:eastAsia="sk-SK"/>
        </w:rPr>
        <w:t>obličiek</w:t>
      </w:r>
    </w:p>
    <w:p w:rsidR="00204EB9" w:rsidRPr="002A4665" w:rsidRDefault="00204EB9" w:rsidP="00204EB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U pacientov s mierne poškodenou funkciou obličiek (klírens kreatinínu 50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-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80 ml/min) sa nevyžaduje úprava dávky. U pacientov so stredne ťažkým poškodením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funkcie obličiek </w:t>
      </w:r>
      <w:r w:rsidRPr="002A4665">
        <w:rPr>
          <w:rFonts w:ascii="Times New Roman" w:hAnsi="Times New Roman"/>
          <w:szCs w:val="22"/>
          <w:lang w:val="sk-SK" w:eastAsia="sk-SK"/>
        </w:rPr>
        <w:t>(klírens kreatinínu 30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-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49 ml/min) má byť denná dávka 10 mg denne. Ak </w:t>
      </w:r>
      <w:r w:rsidR="00A564A6" w:rsidRPr="002A4665">
        <w:rPr>
          <w:rFonts w:ascii="Times New Roman" w:hAnsi="Times New Roman"/>
          <w:szCs w:val="22"/>
          <w:lang w:val="sk-SK" w:eastAsia="sk-SK"/>
        </w:rPr>
        <w:t xml:space="preserve">je </w:t>
      </w:r>
      <w:r w:rsidRPr="002A4665">
        <w:rPr>
          <w:rFonts w:ascii="Times New Roman" w:hAnsi="Times New Roman"/>
          <w:szCs w:val="22"/>
          <w:lang w:val="sk-SK" w:eastAsia="sk-SK"/>
        </w:rPr>
        <w:t>dávka dobre tolerovaná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minimálne 7 dní liečby, môže byť zvýšená až do 20 mg/deň podľa štandardnej titračnej schémy.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U pacientov s</w:t>
      </w:r>
      <w:r w:rsidR="00574889" w:rsidRPr="002A4665">
        <w:rPr>
          <w:rFonts w:ascii="Times New Roman" w:hAnsi="Times New Roman"/>
          <w:szCs w:val="22"/>
          <w:lang w:val="sk-SK" w:eastAsia="sk-SK"/>
        </w:rPr>
        <w:t> </w:t>
      </w:r>
      <w:r w:rsidRPr="002A4665">
        <w:rPr>
          <w:rFonts w:ascii="Times New Roman" w:hAnsi="Times New Roman"/>
          <w:szCs w:val="22"/>
          <w:lang w:val="sk-SK" w:eastAsia="sk-SK"/>
        </w:rPr>
        <w:t>ťažk</w:t>
      </w:r>
      <w:r w:rsidR="00574889" w:rsidRPr="002A4665">
        <w:rPr>
          <w:rFonts w:ascii="Times New Roman" w:hAnsi="Times New Roman"/>
          <w:szCs w:val="22"/>
          <w:lang w:val="sk-SK" w:eastAsia="sk-SK"/>
        </w:rPr>
        <w:t>ým poškodením</w:t>
      </w:r>
      <w:r w:rsidRPr="002A4665">
        <w:rPr>
          <w:rFonts w:ascii="Times New Roman" w:hAnsi="Times New Roman"/>
          <w:szCs w:val="22"/>
          <w:lang w:val="sk-SK" w:eastAsia="sk-SK"/>
        </w:rPr>
        <w:t xml:space="preserve"> funkci</w:t>
      </w:r>
      <w:r w:rsidR="00574889" w:rsidRPr="002A4665">
        <w:rPr>
          <w:rFonts w:ascii="Times New Roman" w:hAnsi="Times New Roman"/>
          <w:szCs w:val="22"/>
          <w:lang w:val="sk-SK" w:eastAsia="sk-SK"/>
        </w:rPr>
        <w:t>e</w:t>
      </w:r>
      <w:r w:rsidRPr="002A4665">
        <w:rPr>
          <w:rFonts w:ascii="Times New Roman" w:hAnsi="Times New Roman"/>
          <w:szCs w:val="22"/>
          <w:lang w:val="sk-SK" w:eastAsia="sk-SK"/>
        </w:rPr>
        <w:t xml:space="preserve"> obličiek (klírens kreatinínu 5-29 ml/min) má byť denná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dávka 10 mg denne.</w:t>
      </w:r>
    </w:p>
    <w:p w:rsidR="00204EB9" w:rsidRPr="002A4665" w:rsidRDefault="00204EB9" w:rsidP="00204EB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2A4665" w:rsidRDefault="002A4665" w:rsidP="00574889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>
        <w:rPr>
          <w:rFonts w:ascii="Times New Roman" w:hAnsi="Times New Roman"/>
          <w:i/>
          <w:iCs/>
          <w:szCs w:val="22"/>
          <w:lang w:val="sk-SK" w:eastAsia="sk-SK"/>
        </w:rPr>
        <w:t xml:space="preserve">Porucha </w:t>
      </w:r>
      <w:r w:rsidR="00574889" w:rsidRPr="002A4665">
        <w:rPr>
          <w:rFonts w:ascii="Times New Roman" w:hAnsi="Times New Roman"/>
          <w:i/>
          <w:iCs/>
          <w:szCs w:val="22"/>
          <w:lang w:val="sk-SK" w:eastAsia="sk-SK"/>
        </w:rPr>
        <w:t xml:space="preserve">funkcie </w:t>
      </w:r>
      <w:r w:rsidR="00204EB9" w:rsidRPr="002A4665">
        <w:rPr>
          <w:rFonts w:ascii="Times New Roman" w:hAnsi="Times New Roman"/>
          <w:i/>
          <w:iCs/>
          <w:szCs w:val="22"/>
          <w:lang w:val="sk-SK" w:eastAsia="sk-SK"/>
        </w:rPr>
        <w:t>pečene</w:t>
      </w:r>
    </w:p>
    <w:p w:rsidR="001350A6" w:rsidRDefault="00204EB9" w:rsidP="0057488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U pacientov s mierne až stredne ťažkou poškodenou funkciou pečene (Child-Pugh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A a Child-Pugh B) nie je potrebná úprava dávky. U pacientov s vážne poškodenou funkciou pečene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nie sú dostupné údaje o užívaní memantínu. Podanie </w:t>
      </w:r>
      <w:r w:rsidR="00574889" w:rsidRPr="002A4665">
        <w:rPr>
          <w:rFonts w:ascii="Times New Roman" w:hAnsi="Times New Roman"/>
          <w:szCs w:val="22"/>
          <w:lang w:val="sk-SK" w:eastAsia="sk-SK"/>
        </w:rPr>
        <w:t>Memantinu Stada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sa neodporúča pacientom s</w:t>
      </w:r>
      <w:r w:rsidR="00574889" w:rsidRPr="002A4665">
        <w:rPr>
          <w:rFonts w:ascii="Times New Roman" w:hAnsi="Times New Roman"/>
          <w:szCs w:val="22"/>
          <w:lang w:val="sk-SK" w:eastAsia="sk-SK"/>
        </w:rPr>
        <w:t> </w:t>
      </w:r>
      <w:r w:rsidRPr="002A4665">
        <w:rPr>
          <w:rFonts w:ascii="Times New Roman" w:hAnsi="Times New Roman"/>
          <w:szCs w:val="22"/>
          <w:lang w:val="sk-SK" w:eastAsia="sk-SK"/>
        </w:rPr>
        <w:t>ťažk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ým </w:t>
      </w:r>
      <w:r w:rsidRPr="002A4665">
        <w:rPr>
          <w:rFonts w:ascii="Times New Roman" w:hAnsi="Times New Roman"/>
          <w:szCs w:val="22"/>
          <w:lang w:val="sk-SK" w:eastAsia="sk-SK"/>
        </w:rPr>
        <w:t>poškoden</w:t>
      </w:r>
      <w:r w:rsidR="00574889" w:rsidRPr="002A4665">
        <w:rPr>
          <w:rFonts w:ascii="Times New Roman" w:hAnsi="Times New Roman"/>
          <w:szCs w:val="22"/>
          <w:lang w:val="sk-SK" w:eastAsia="sk-SK"/>
        </w:rPr>
        <w:t>ím</w:t>
      </w:r>
      <w:r w:rsidRPr="002A4665">
        <w:rPr>
          <w:rFonts w:ascii="Times New Roman" w:hAnsi="Times New Roman"/>
          <w:szCs w:val="22"/>
          <w:lang w:val="sk-SK" w:eastAsia="sk-SK"/>
        </w:rPr>
        <w:t xml:space="preserve"> funkciou pečene.</w:t>
      </w:r>
    </w:p>
    <w:p w:rsidR="002A4665" w:rsidRDefault="002A4665" w:rsidP="0057488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2A4665" w:rsidRDefault="002A4665" w:rsidP="00574889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>
        <w:rPr>
          <w:rFonts w:ascii="Times New Roman" w:hAnsi="Times New Roman"/>
          <w:szCs w:val="22"/>
          <w:u w:val="single"/>
          <w:lang w:val="sk-SK" w:eastAsia="sk-SK"/>
        </w:rPr>
        <w:t>Spôsob podávania</w:t>
      </w:r>
    </w:p>
    <w:p w:rsidR="002A4665" w:rsidRPr="002A4665" w:rsidRDefault="002A4665" w:rsidP="002A466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/>
        </w:rPr>
        <w:t xml:space="preserve">Memantin Stada </w:t>
      </w:r>
      <w:r w:rsidRPr="002A4665">
        <w:rPr>
          <w:rFonts w:ascii="Times New Roman" w:hAnsi="Times New Roman"/>
          <w:szCs w:val="22"/>
          <w:lang w:val="sk-SK" w:eastAsia="sk-SK"/>
        </w:rPr>
        <w:t>sa má podávať jedenkrát denne a má sa užívať každý deň v rovnakom čase. Filmom</w:t>
      </w:r>
    </w:p>
    <w:p w:rsidR="002A4665" w:rsidRPr="007B04B0" w:rsidRDefault="002A4665" w:rsidP="002A4665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obalené tablety sa môžu užívať s jedlom alebo bez jedla</w:t>
      </w:r>
    </w:p>
    <w:p w:rsidR="00574889" w:rsidRPr="002A4665" w:rsidRDefault="00574889" w:rsidP="00574889">
      <w:pPr>
        <w:autoSpaceDE w:val="0"/>
        <w:autoSpaceDN w:val="0"/>
        <w:adjustRightInd w:val="0"/>
        <w:rPr>
          <w:rFonts w:ascii="Times New Roman" w:hAnsi="Times New Roman"/>
          <w:i/>
          <w:szCs w:val="22"/>
          <w:lang w:val="sk-SK"/>
        </w:rPr>
      </w:pP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4.3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Kontraindikácie</w:t>
      </w:r>
    </w:p>
    <w:p w:rsidR="00512225" w:rsidRPr="002A4665" w:rsidRDefault="00512225" w:rsidP="00512225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2A4665" w:rsidRDefault="00512225" w:rsidP="00512225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Precitlivenosť na liečivo alebo na ktorúkoľvek z pomocných látok</w:t>
      </w:r>
      <w:r w:rsidRPr="002A4665">
        <w:rPr>
          <w:rFonts w:ascii="Times New Roman" w:hAnsi="Times New Roman"/>
          <w:szCs w:val="22"/>
          <w:lang w:val="sk-SK"/>
        </w:rPr>
        <w:t xml:space="preserve"> uvedených v časti 6.1</w:t>
      </w:r>
      <w:r w:rsidRPr="002A4665">
        <w:rPr>
          <w:rFonts w:ascii="Times New Roman" w:hAnsi="Times New Roman"/>
          <w:szCs w:val="22"/>
          <w:lang w:val="sk-SK" w:eastAsia="sk-SK"/>
        </w:rPr>
        <w:t>.</w:t>
      </w:r>
      <w:r w:rsidRPr="002A4665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5E341C" w:rsidRPr="002A4665" w:rsidRDefault="005E341C" w:rsidP="009D13E3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/>
        </w:rPr>
      </w:pP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4.4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Osobitné upozornenia a opatrenia pri používaní</w:t>
      </w: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U pacientov s epilepsiou, so záchvatmi kŕčov v </w:t>
      </w:r>
      <w:r w:rsidR="007338EC" w:rsidRPr="002A4665">
        <w:rPr>
          <w:rFonts w:ascii="Times New Roman" w:hAnsi="Times New Roman"/>
          <w:szCs w:val="22"/>
          <w:lang w:val="sk-SK" w:eastAsia="sk-SK"/>
        </w:rPr>
        <w:t>anamnéze</w:t>
      </w:r>
      <w:r w:rsidRPr="002A4665">
        <w:rPr>
          <w:rFonts w:ascii="Times New Roman" w:hAnsi="Times New Roman"/>
          <w:szCs w:val="22"/>
          <w:lang w:val="sk-SK" w:eastAsia="sk-SK"/>
        </w:rPr>
        <w:t xml:space="preserve"> alebo </w:t>
      </w:r>
      <w:r w:rsidR="007338EC" w:rsidRPr="002A4665">
        <w:rPr>
          <w:rFonts w:ascii="Times New Roman" w:hAnsi="Times New Roman"/>
          <w:szCs w:val="22"/>
          <w:lang w:val="sk-SK" w:eastAsia="sk-SK"/>
        </w:rPr>
        <w:t xml:space="preserve">u pacientov </w:t>
      </w:r>
      <w:r w:rsidRPr="002A4665">
        <w:rPr>
          <w:rFonts w:ascii="Times New Roman" w:hAnsi="Times New Roman"/>
          <w:szCs w:val="22"/>
          <w:lang w:val="sk-SK" w:eastAsia="sk-SK"/>
        </w:rPr>
        <w:t>s predispozičnými faktormi epilepsi</w:t>
      </w:r>
      <w:r w:rsidR="001E0C40" w:rsidRPr="002A4665">
        <w:rPr>
          <w:rFonts w:ascii="Times New Roman" w:hAnsi="Times New Roman"/>
          <w:szCs w:val="22"/>
          <w:lang w:val="sk-SK" w:eastAsia="sk-SK"/>
        </w:rPr>
        <w:t>e</w:t>
      </w:r>
      <w:r w:rsidRPr="002A4665">
        <w:rPr>
          <w:rFonts w:ascii="Times New Roman" w:hAnsi="Times New Roman"/>
          <w:szCs w:val="22"/>
          <w:lang w:val="sk-SK" w:eastAsia="sk-SK"/>
        </w:rPr>
        <w:t xml:space="preserve"> sa odporúča opatrnosť.</w:t>
      </w:r>
    </w:p>
    <w:p w:rsidR="00940DAD" w:rsidRPr="002A4665" w:rsidRDefault="00940DAD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Súčasnému užívaniu N-metyl-D-aspartát (NMDA)-antagonistov</w:t>
      </w:r>
      <w:r w:rsidR="001E0C40" w:rsidRPr="002A4665">
        <w:rPr>
          <w:rFonts w:ascii="Times New Roman" w:hAnsi="Times New Roman"/>
          <w:szCs w:val="22"/>
          <w:lang w:val="sk-SK" w:eastAsia="sk-SK"/>
        </w:rPr>
        <w:t>,</w:t>
      </w:r>
      <w:r w:rsidRPr="002A4665">
        <w:rPr>
          <w:rFonts w:ascii="Times New Roman" w:hAnsi="Times New Roman"/>
          <w:szCs w:val="22"/>
          <w:lang w:val="sk-SK" w:eastAsia="sk-SK"/>
        </w:rPr>
        <w:t xml:space="preserve"> ako je amantadín, ketamín alebo</w:t>
      </w: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dextrometorfán s memantínom sa má vyh</w:t>
      </w:r>
      <w:r w:rsidR="00A55DC5" w:rsidRPr="002A4665">
        <w:rPr>
          <w:rFonts w:ascii="Times New Roman" w:hAnsi="Times New Roman"/>
          <w:szCs w:val="22"/>
          <w:lang w:val="sk-SK" w:eastAsia="sk-SK"/>
        </w:rPr>
        <w:t>núť</w:t>
      </w:r>
      <w:r w:rsidRPr="002A4665">
        <w:rPr>
          <w:rFonts w:ascii="Times New Roman" w:hAnsi="Times New Roman"/>
          <w:szCs w:val="22"/>
          <w:lang w:val="sk-SK" w:eastAsia="sk-SK"/>
        </w:rPr>
        <w:t>. Tieto l</w:t>
      </w:r>
      <w:r w:rsidR="001E0C40" w:rsidRPr="002A4665">
        <w:rPr>
          <w:rFonts w:ascii="Times New Roman" w:hAnsi="Times New Roman"/>
          <w:szCs w:val="22"/>
          <w:lang w:val="sk-SK" w:eastAsia="sk-SK"/>
        </w:rPr>
        <w:t xml:space="preserve">iečivá pôsobia </w:t>
      </w:r>
      <w:r w:rsidRPr="002A4665">
        <w:rPr>
          <w:rFonts w:ascii="Times New Roman" w:hAnsi="Times New Roman"/>
          <w:szCs w:val="22"/>
          <w:lang w:val="sk-SK" w:eastAsia="sk-SK"/>
        </w:rPr>
        <w:t>na ten istý receptorový systém ako</w:t>
      </w:r>
      <w:r w:rsidR="001E0C40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memantín, </w:t>
      </w:r>
      <w:r w:rsidR="001E0C40" w:rsidRPr="002A4665">
        <w:rPr>
          <w:rFonts w:ascii="Times New Roman" w:hAnsi="Times New Roman"/>
          <w:szCs w:val="22"/>
          <w:lang w:val="sk-SK" w:eastAsia="sk-SK"/>
        </w:rPr>
        <w:t xml:space="preserve">a </w:t>
      </w:r>
      <w:r w:rsidRPr="002A4665">
        <w:rPr>
          <w:rFonts w:ascii="Times New Roman" w:hAnsi="Times New Roman"/>
          <w:szCs w:val="22"/>
          <w:lang w:val="sk-SK" w:eastAsia="sk-SK"/>
        </w:rPr>
        <w:t xml:space="preserve">preto </w:t>
      </w:r>
      <w:r w:rsidR="001E0C40" w:rsidRPr="002A4665">
        <w:rPr>
          <w:rFonts w:ascii="Times New Roman" w:hAnsi="Times New Roman"/>
          <w:szCs w:val="22"/>
          <w:lang w:val="sk-SK" w:eastAsia="sk-SK"/>
        </w:rPr>
        <w:t>sa m</w:t>
      </w:r>
      <w:r w:rsidR="00A55DC5" w:rsidRPr="002A4665">
        <w:rPr>
          <w:rFonts w:ascii="Times New Roman" w:hAnsi="Times New Roman"/>
          <w:szCs w:val="22"/>
          <w:lang w:val="sk-SK" w:eastAsia="sk-SK"/>
        </w:rPr>
        <w:t xml:space="preserve">ôžu </w:t>
      </w:r>
      <w:r w:rsidRPr="002A4665">
        <w:rPr>
          <w:rFonts w:ascii="Times New Roman" w:hAnsi="Times New Roman"/>
          <w:szCs w:val="22"/>
          <w:lang w:val="sk-SK" w:eastAsia="sk-SK"/>
        </w:rPr>
        <w:t xml:space="preserve">pri ich súčasnom užívaní častejšie </w:t>
      </w:r>
      <w:r w:rsidR="001E0C40" w:rsidRPr="002A4665">
        <w:rPr>
          <w:rFonts w:ascii="Times New Roman" w:hAnsi="Times New Roman"/>
          <w:szCs w:val="22"/>
          <w:lang w:val="sk-SK" w:eastAsia="sk-SK"/>
        </w:rPr>
        <w:t xml:space="preserve">vyskytnúť </w:t>
      </w:r>
      <w:r w:rsidRPr="002A4665">
        <w:rPr>
          <w:rFonts w:ascii="Times New Roman" w:hAnsi="Times New Roman"/>
          <w:szCs w:val="22"/>
          <w:lang w:val="sk-SK" w:eastAsia="sk-SK"/>
        </w:rPr>
        <w:t xml:space="preserve">alebo výraznejšie </w:t>
      </w:r>
      <w:r w:rsidR="001E0C40" w:rsidRPr="002A4665">
        <w:rPr>
          <w:rFonts w:ascii="Times New Roman" w:hAnsi="Times New Roman"/>
          <w:szCs w:val="22"/>
          <w:lang w:val="sk-SK" w:eastAsia="sk-SK"/>
        </w:rPr>
        <w:t xml:space="preserve">prejaviť </w:t>
      </w:r>
      <w:r w:rsidRPr="002A4665">
        <w:rPr>
          <w:rFonts w:ascii="Times New Roman" w:hAnsi="Times New Roman"/>
          <w:szCs w:val="22"/>
          <w:lang w:val="sk-SK" w:eastAsia="sk-SK"/>
        </w:rPr>
        <w:t>nežiaduce reakcie</w:t>
      </w:r>
      <w:r w:rsidR="001E0C40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(najmä </w:t>
      </w:r>
      <w:r w:rsidR="001E0C40" w:rsidRPr="002A4665">
        <w:rPr>
          <w:rFonts w:ascii="Times New Roman" w:hAnsi="Times New Roman"/>
          <w:szCs w:val="22"/>
          <w:lang w:val="sk-SK" w:eastAsia="sk-SK"/>
        </w:rPr>
        <w:t>súvisiace s </w:t>
      </w:r>
      <w:r w:rsidRPr="002A4665">
        <w:rPr>
          <w:rFonts w:ascii="Times New Roman" w:hAnsi="Times New Roman"/>
          <w:szCs w:val="22"/>
          <w:lang w:val="sk-SK" w:eastAsia="sk-SK"/>
        </w:rPr>
        <w:t>centráln</w:t>
      </w:r>
      <w:r w:rsidR="001E0C40" w:rsidRPr="002A4665">
        <w:rPr>
          <w:rFonts w:ascii="Times New Roman" w:hAnsi="Times New Roman"/>
          <w:szCs w:val="22"/>
          <w:lang w:val="sk-SK" w:eastAsia="sk-SK"/>
        </w:rPr>
        <w:t xml:space="preserve">ym </w:t>
      </w:r>
      <w:r w:rsidRPr="002A4665">
        <w:rPr>
          <w:rFonts w:ascii="Times New Roman" w:hAnsi="Times New Roman"/>
          <w:szCs w:val="22"/>
          <w:lang w:val="sk-SK" w:eastAsia="sk-SK"/>
        </w:rPr>
        <w:t>nervov</w:t>
      </w:r>
      <w:r w:rsidR="001E0C40" w:rsidRPr="002A4665">
        <w:rPr>
          <w:rFonts w:ascii="Times New Roman" w:hAnsi="Times New Roman"/>
          <w:szCs w:val="22"/>
          <w:lang w:val="sk-SK" w:eastAsia="sk-SK"/>
        </w:rPr>
        <w:t>ým systémom</w:t>
      </w:r>
      <w:r w:rsidRPr="002A4665">
        <w:rPr>
          <w:rFonts w:ascii="Times New Roman" w:hAnsi="Times New Roman"/>
          <w:szCs w:val="22"/>
          <w:lang w:val="sk-SK" w:eastAsia="sk-SK"/>
        </w:rPr>
        <w:t xml:space="preserve"> (CNS)) (pozri tiež časť 4.5).</w:t>
      </w:r>
    </w:p>
    <w:p w:rsidR="001E0C40" w:rsidRPr="002A4665" w:rsidRDefault="001E0C40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Niektoré faktory, ktoré môžu zvýšiť pH moču (pozri časť 5.2 „Eliminácia“), </w:t>
      </w:r>
      <w:r w:rsidR="000D1BD2" w:rsidRPr="002A4665">
        <w:rPr>
          <w:rFonts w:ascii="Times New Roman" w:hAnsi="Times New Roman"/>
          <w:szCs w:val="22"/>
          <w:lang w:val="sk-SK" w:eastAsia="sk-SK"/>
        </w:rPr>
        <w:t xml:space="preserve">si </w:t>
      </w:r>
      <w:r w:rsidRPr="002A4665">
        <w:rPr>
          <w:rFonts w:ascii="Times New Roman" w:hAnsi="Times New Roman"/>
          <w:szCs w:val="22"/>
          <w:lang w:val="sk-SK" w:eastAsia="sk-SK"/>
        </w:rPr>
        <w:t>vyžadujú starostlivé</w:t>
      </w: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lastRenderedPageBreak/>
        <w:t>sledovanie pacienta. Tieto faktory zahŕňajú drastické zmeny diéty, napr. z mäs</w:t>
      </w:r>
      <w:r w:rsidR="00737EBC" w:rsidRPr="002A4665">
        <w:rPr>
          <w:rFonts w:ascii="Times New Roman" w:hAnsi="Times New Roman"/>
          <w:szCs w:val="22"/>
          <w:lang w:val="sk-SK" w:eastAsia="sk-SK"/>
        </w:rPr>
        <w:t>it</w:t>
      </w:r>
      <w:r w:rsidRPr="002A4665">
        <w:rPr>
          <w:rFonts w:ascii="Times New Roman" w:hAnsi="Times New Roman"/>
          <w:szCs w:val="22"/>
          <w:lang w:val="sk-SK" w:eastAsia="sk-SK"/>
        </w:rPr>
        <w:t>ej na vegetariánsku</w:t>
      </w:r>
      <w:r w:rsidR="000D1BD2" w:rsidRPr="002A4665">
        <w:rPr>
          <w:rFonts w:ascii="Times New Roman" w:hAnsi="Times New Roman"/>
          <w:szCs w:val="22"/>
          <w:lang w:val="sk-SK" w:eastAsia="sk-SK"/>
        </w:rPr>
        <w:t xml:space="preserve"> diétu</w:t>
      </w:r>
      <w:r w:rsidRPr="002A4665">
        <w:rPr>
          <w:rFonts w:ascii="Times New Roman" w:hAnsi="Times New Roman"/>
          <w:szCs w:val="22"/>
          <w:lang w:val="sk-SK" w:eastAsia="sk-SK"/>
        </w:rPr>
        <w:t>,</w:t>
      </w:r>
      <w:r w:rsidR="000D1BD2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alebo masívny príjem alkalizujúcich žalúdočných pufrov. pH </w:t>
      </w:r>
      <w:r w:rsidR="000D1BD2" w:rsidRPr="002A4665">
        <w:rPr>
          <w:rFonts w:ascii="Times New Roman" w:hAnsi="Times New Roman"/>
          <w:szCs w:val="22"/>
          <w:lang w:val="sk-SK" w:eastAsia="sk-SK"/>
        </w:rPr>
        <w:t>moču s</w:t>
      </w:r>
      <w:r w:rsidRPr="002A4665">
        <w:rPr>
          <w:rFonts w:ascii="Times New Roman" w:hAnsi="Times New Roman"/>
          <w:szCs w:val="22"/>
          <w:lang w:val="sk-SK" w:eastAsia="sk-SK"/>
        </w:rPr>
        <w:t xml:space="preserve">a môže zvýšiť </w:t>
      </w:r>
      <w:r w:rsidR="000D1BD2" w:rsidRPr="002A4665">
        <w:rPr>
          <w:rFonts w:ascii="Times New Roman" w:hAnsi="Times New Roman"/>
          <w:szCs w:val="22"/>
          <w:lang w:val="sk-SK" w:eastAsia="sk-SK"/>
        </w:rPr>
        <w:t xml:space="preserve">aj </w:t>
      </w:r>
      <w:r w:rsidRPr="002A4665">
        <w:rPr>
          <w:rFonts w:ascii="Times New Roman" w:hAnsi="Times New Roman"/>
          <w:szCs w:val="22"/>
          <w:lang w:val="sk-SK" w:eastAsia="sk-SK"/>
        </w:rPr>
        <w:t>pri stavoch</w:t>
      </w:r>
      <w:r w:rsidR="000D1BD2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renálnej tubulárnej acidózy (RTA) alebo pri ťažkých infekciách močového traktu bakteriálnymi</w:t>
      </w:r>
      <w:r w:rsidR="000D1BD2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kmeňmi </w:t>
      </w:r>
      <w:r w:rsidRPr="002A4665">
        <w:rPr>
          <w:rFonts w:ascii="Times New Roman" w:hAnsi="Times New Roman"/>
          <w:i/>
          <w:iCs/>
          <w:szCs w:val="22"/>
          <w:lang w:val="sk-SK" w:eastAsia="sk-SK"/>
        </w:rPr>
        <w:t>Proteus.</w:t>
      </w:r>
    </w:p>
    <w:p w:rsidR="00A55DC5" w:rsidRPr="002A4665" w:rsidRDefault="00A55DC5" w:rsidP="00512225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512225" w:rsidRPr="002A4665" w:rsidRDefault="001C09C7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Z </w:t>
      </w:r>
      <w:r w:rsidR="00512225" w:rsidRPr="002A4665">
        <w:rPr>
          <w:rFonts w:ascii="Times New Roman" w:hAnsi="Times New Roman"/>
          <w:szCs w:val="22"/>
          <w:lang w:val="sk-SK" w:eastAsia="sk-SK"/>
        </w:rPr>
        <w:t>väčš</w:t>
      </w:r>
      <w:r w:rsidRPr="002A4665">
        <w:rPr>
          <w:rFonts w:ascii="Times New Roman" w:hAnsi="Times New Roman"/>
          <w:szCs w:val="22"/>
          <w:lang w:val="sk-SK" w:eastAsia="sk-SK"/>
        </w:rPr>
        <w:t>iny</w:t>
      </w:r>
      <w:r w:rsidR="00512225" w:rsidRPr="002A4665">
        <w:rPr>
          <w:rFonts w:ascii="Times New Roman" w:hAnsi="Times New Roman"/>
          <w:szCs w:val="22"/>
          <w:lang w:val="sk-SK" w:eastAsia="sk-SK"/>
        </w:rPr>
        <w:t xml:space="preserve"> klinických štúdií boli vylúčení pacienti s nedávnym infarktom myokardu,</w:t>
      </w: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dekompenzovaným kongestívnym srdcovým zlyhaním (NYHA III-IV) alebo nekontrolovanou</w:t>
      </w:r>
    </w:p>
    <w:p w:rsidR="0051222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hypertenziou. Dôsledkom toho je </w:t>
      </w:r>
      <w:r w:rsidR="001C09C7" w:rsidRPr="002A4665">
        <w:rPr>
          <w:rFonts w:ascii="Times New Roman" w:hAnsi="Times New Roman"/>
          <w:szCs w:val="22"/>
          <w:lang w:val="sk-SK" w:eastAsia="sk-SK"/>
        </w:rPr>
        <w:t>skutočnosť</w:t>
      </w:r>
      <w:r w:rsidRPr="002A4665">
        <w:rPr>
          <w:rFonts w:ascii="Times New Roman" w:hAnsi="Times New Roman"/>
          <w:szCs w:val="22"/>
          <w:lang w:val="sk-SK" w:eastAsia="sk-SK"/>
        </w:rPr>
        <w:t>, že k dispozícii je len obmedzené množstvo údajov a</w:t>
      </w:r>
      <w:r w:rsidR="001C09C7" w:rsidRPr="002A4665">
        <w:rPr>
          <w:rFonts w:ascii="Times New Roman" w:hAnsi="Times New Roman"/>
          <w:szCs w:val="22"/>
          <w:lang w:val="sk-SK" w:eastAsia="sk-SK"/>
        </w:rPr>
        <w:t> </w:t>
      </w:r>
      <w:r w:rsidRPr="002A4665">
        <w:rPr>
          <w:rFonts w:ascii="Times New Roman" w:hAnsi="Times New Roman"/>
          <w:szCs w:val="22"/>
          <w:lang w:val="sk-SK" w:eastAsia="sk-SK"/>
        </w:rPr>
        <w:t>pacienti</w:t>
      </w:r>
      <w:r w:rsidR="001C09C7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s týmito ochoreniami majú byť starostlivo sledovaní.</w:t>
      </w:r>
    </w:p>
    <w:p w:rsidR="00082C76" w:rsidRDefault="00082C76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082C76" w:rsidRDefault="00082C76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>
        <w:rPr>
          <w:rFonts w:ascii="Times New Roman" w:hAnsi="Times New Roman"/>
          <w:szCs w:val="22"/>
          <w:u w:val="single"/>
          <w:lang w:val="sk-SK" w:eastAsia="sk-SK"/>
        </w:rPr>
        <w:t>Pomocná látka</w:t>
      </w:r>
    </w:p>
    <w:p w:rsidR="00082C76" w:rsidRPr="00082C76" w:rsidRDefault="00082C7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082C76">
        <w:rPr>
          <w:rFonts w:ascii="Times New Roman" w:hAnsi="Times New Roman"/>
          <w:szCs w:val="22"/>
          <w:lang w:val="sk-SK" w:eastAsia="sk-SK"/>
        </w:rPr>
        <w:t xml:space="preserve">Tento liek obsahuje menej ako 1 mmol sodíka (23 mg) v </w:t>
      </w:r>
      <w:r>
        <w:rPr>
          <w:rFonts w:ascii="Times New Roman" w:hAnsi="Times New Roman"/>
          <w:szCs w:val="22"/>
          <w:lang w:val="sk-SK" w:eastAsia="sk-SK"/>
        </w:rPr>
        <w:t>tablete</w:t>
      </w:r>
      <w:r w:rsidRPr="00082C76">
        <w:rPr>
          <w:rFonts w:ascii="Times New Roman" w:hAnsi="Times New Roman"/>
          <w:szCs w:val="22"/>
          <w:lang w:val="sk-SK" w:eastAsia="sk-SK"/>
        </w:rPr>
        <w:t xml:space="preserve">, t.j. v podstate zanedbateľné množstvo </w:t>
      </w:r>
    </w:p>
    <w:p w:rsidR="00082C76" w:rsidRPr="00082C76" w:rsidRDefault="00082C76" w:rsidP="00082C7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082C76">
        <w:rPr>
          <w:rFonts w:ascii="Times New Roman" w:hAnsi="Times New Roman"/>
          <w:szCs w:val="22"/>
          <w:lang w:val="sk-SK" w:eastAsia="sk-SK"/>
        </w:rPr>
        <w:t>sodíka.</w:t>
      </w:r>
    </w:p>
    <w:p w:rsidR="00FA3887" w:rsidRPr="002A4665" w:rsidRDefault="00FA3887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4.5 </w:t>
      </w:r>
      <w:r w:rsidR="00FA3887" w:rsidRPr="002A4665">
        <w:rPr>
          <w:rFonts w:ascii="Times New Roman" w:hAnsi="Times New Roman"/>
          <w:b/>
          <w:bCs/>
          <w:szCs w:val="22"/>
          <w:lang w:val="sk-SK" w:eastAsia="sk-SK"/>
        </w:rPr>
        <w:tab/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>Liekové a iné interakcie</w:t>
      </w:r>
    </w:p>
    <w:p w:rsidR="00FA3887" w:rsidRPr="002A4665" w:rsidRDefault="00FA3887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V dôsledku farmakologických </w:t>
      </w:r>
      <w:r w:rsidR="00FC23B0" w:rsidRPr="002A4665">
        <w:rPr>
          <w:rFonts w:ascii="Times New Roman" w:hAnsi="Times New Roman"/>
          <w:szCs w:val="22"/>
          <w:lang w:val="sk-SK" w:eastAsia="sk-SK"/>
        </w:rPr>
        <w:t xml:space="preserve">účinkov </w:t>
      </w:r>
      <w:r w:rsidRPr="002A4665">
        <w:rPr>
          <w:rFonts w:ascii="Times New Roman" w:hAnsi="Times New Roman"/>
          <w:szCs w:val="22"/>
          <w:lang w:val="sk-SK" w:eastAsia="sk-SK"/>
        </w:rPr>
        <w:t>a mechanizmu účinku memantínu sa môžu objaviť nasledovné</w:t>
      </w: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interakcie:</w:t>
      </w:r>
    </w:p>
    <w:p w:rsidR="00FC23B0" w:rsidRPr="002A4665" w:rsidRDefault="00FC23B0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2A4665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Mechanizmus účinku naznačuje, že účinky L-dopy, dopamínergických agonistov</w:t>
      </w:r>
    </w:p>
    <w:p w:rsidR="00512225" w:rsidRPr="002A4665" w:rsidRDefault="00512225" w:rsidP="00FC42DB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a anticholínergík </w:t>
      </w:r>
      <w:r w:rsidR="00004BD5" w:rsidRPr="002A4665">
        <w:rPr>
          <w:rFonts w:ascii="Times New Roman" w:hAnsi="Times New Roman"/>
          <w:szCs w:val="22"/>
          <w:lang w:val="sk-SK" w:eastAsia="sk-SK"/>
        </w:rPr>
        <w:t xml:space="preserve">sa </w:t>
      </w:r>
      <w:r w:rsidRPr="002A4665">
        <w:rPr>
          <w:rFonts w:ascii="Times New Roman" w:hAnsi="Times New Roman"/>
          <w:szCs w:val="22"/>
          <w:lang w:val="sk-SK" w:eastAsia="sk-SK"/>
        </w:rPr>
        <w:t xml:space="preserve">môžu pri súčasnom užívaní </w:t>
      </w:r>
      <w:r w:rsidR="00004BD5" w:rsidRPr="002A4665">
        <w:rPr>
          <w:rFonts w:ascii="Times New Roman" w:hAnsi="Times New Roman"/>
          <w:szCs w:val="22"/>
          <w:lang w:val="sk-SK" w:eastAsia="sk-SK"/>
        </w:rPr>
        <w:t xml:space="preserve">s </w:t>
      </w:r>
      <w:r w:rsidRPr="002A4665">
        <w:rPr>
          <w:rFonts w:ascii="Times New Roman" w:hAnsi="Times New Roman"/>
          <w:szCs w:val="22"/>
          <w:lang w:val="sk-SK" w:eastAsia="sk-SK"/>
        </w:rPr>
        <w:t>NMDA-antagonist</w:t>
      </w:r>
      <w:r w:rsidR="00004BD5" w:rsidRPr="002A4665">
        <w:rPr>
          <w:rFonts w:ascii="Times New Roman" w:hAnsi="Times New Roman"/>
          <w:szCs w:val="22"/>
          <w:lang w:val="sk-SK" w:eastAsia="sk-SK"/>
        </w:rPr>
        <w:t>ami</w:t>
      </w:r>
      <w:r w:rsidRPr="002A4665">
        <w:rPr>
          <w:rFonts w:ascii="Times New Roman" w:hAnsi="Times New Roman"/>
          <w:szCs w:val="22"/>
          <w:lang w:val="sk-SK" w:eastAsia="sk-SK"/>
        </w:rPr>
        <w:t>, ako je memantín,</w:t>
      </w:r>
    </w:p>
    <w:p w:rsidR="00512225" w:rsidRPr="002A4665" w:rsidRDefault="00004BD5" w:rsidP="00FC42DB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zvýšiť</w:t>
      </w:r>
      <w:r w:rsidR="00512225" w:rsidRPr="002A4665">
        <w:rPr>
          <w:rFonts w:ascii="Times New Roman" w:hAnsi="Times New Roman"/>
          <w:szCs w:val="22"/>
          <w:lang w:val="sk-SK" w:eastAsia="sk-SK"/>
        </w:rPr>
        <w:t xml:space="preserve">. Účinky barbiturátov a neuroleptík </w:t>
      </w:r>
      <w:r w:rsidRPr="002A4665">
        <w:rPr>
          <w:rFonts w:ascii="Times New Roman" w:hAnsi="Times New Roman"/>
          <w:szCs w:val="22"/>
          <w:lang w:val="sk-SK" w:eastAsia="sk-SK"/>
        </w:rPr>
        <w:t xml:space="preserve">sa </w:t>
      </w:r>
      <w:r w:rsidR="00512225" w:rsidRPr="002A4665">
        <w:rPr>
          <w:rFonts w:ascii="Times New Roman" w:hAnsi="Times New Roman"/>
          <w:szCs w:val="22"/>
          <w:lang w:val="sk-SK" w:eastAsia="sk-SK"/>
        </w:rPr>
        <w:t>môžu zníž</w:t>
      </w:r>
      <w:r w:rsidRPr="002A4665">
        <w:rPr>
          <w:rFonts w:ascii="Times New Roman" w:hAnsi="Times New Roman"/>
          <w:szCs w:val="22"/>
          <w:lang w:val="sk-SK" w:eastAsia="sk-SK"/>
        </w:rPr>
        <w:t>iť</w:t>
      </w:r>
      <w:r w:rsidR="00512225" w:rsidRPr="002A4665">
        <w:rPr>
          <w:rFonts w:ascii="Times New Roman" w:hAnsi="Times New Roman"/>
          <w:szCs w:val="22"/>
          <w:lang w:val="sk-SK" w:eastAsia="sk-SK"/>
        </w:rPr>
        <w:t>. Súčasné podávanie</w:t>
      </w:r>
    </w:p>
    <w:p w:rsidR="00512225" w:rsidRPr="002A4665" w:rsidRDefault="00512225" w:rsidP="00FC42DB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memantínu a myorelaxancií, dantrolénu alebo baklofénu, môže modifikovať ich účinky</w:t>
      </w:r>
    </w:p>
    <w:p w:rsidR="00512225" w:rsidRPr="002A4665" w:rsidRDefault="00512225" w:rsidP="00FC42DB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a</w:t>
      </w:r>
      <w:r w:rsidR="00004BD5" w:rsidRPr="002A4665">
        <w:rPr>
          <w:rFonts w:ascii="Times New Roman" w:hAnsi="Times New Roman"/>
          <w:szCs w:val="22"/>
          <w:lang w:val="sk-SK" w:eastAsia="sk-SK"/>
        </w:rPr>
        <w:t xml:space="preserve"> môže byť potrebná </w:t>
      </w:r>
      <w:r w:rsidRPr="002A4665">
        <w:rPr>
          <w:rFonts w:ascii="Times New Roman" w:hAnsi="Times New Roman"/>
          <w:szCs w:val="22"/>
          <w:lang w:val="sk-SK" w:eastAsia="sk-SK"/>
        </w:rPr>
        <w:t>úprav</w:t>
      </w:r>
      <w:r w:rsidR="00004BD5" w:rsidRPr="002A4665">
        <w:rPr>
          <w:rFonts w:ascii="Times New Roman" w:hAnsi="Times New Roman"/>
          <w:szCs w:val="22"/>
          <w:lang w:val="sk-SK" w:eastAsia="sk-SK"/>
        </w:rPr>
        <w:t>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dávok.</w:t>
      </w:r>
    </w:p>
    <w:p w:rsidR="00512225" w:rsidRPr="002A4665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Musí sa vyhnúť súčasnému </w:t>
      </w:r>
      <w:r w:rsidR="001E294E" w:rsidRPr="002A4665">
        <w:rPr>
          <w:rFonts w:ascii="Times New Roman" w:hAnsi="Times New Roman"/>
          <w:szCs w:val="22"/>
          <w:lang w:val="sk-SK" w:eastAsia="sk-SK"/>
        </w:rPr>
        <w:t>po</w:t>
      </w:r>
      <w:r w:rsidRPr="002A4665">
        <w:rPr>
          <w:rFonts w:ascii="Times New Roman" w:hAnsi="Times New Roman"/>
          <w:szCs w:val="22"/>
          <w:lang w:val="sk-SK" w:eastAsia="sk-SK"/>
        </w:rPr>
        <w:t>už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ívaniu </w:t>
      </w:r>
      <w:r w:rsidRPr="002A4665">
        <w:rPr>
          <w:rFonts w:ascii="Times New Roman" w:hAnsi="Times New Roman"/>
          <w:szCs w:val="22"/>
          <w:lang w:val="sk-SK" w:eastAsia="sk-SK"/>
        </w:rPr>
        <w:t xml:space="preserve">memantínu a amantadínu, a to </w:t>
      </w:r>
      <w:r w:rsidR="001E294E" w:rsidRPr="002A4665">
        <w:rPr>
          <w:rFonts w:ascii="Times New Roman" w:hAnsi="Times New Roman"/>
          <w:szCs w:val="22"/>
          <w:lang w:val="sk-SK" w:eastAsia="sk-SK"/>
        </w:rPr>
        <w:t>z dôvodu</w:t>
      </w:r>
      <w:r w:rsidRPr="002A4665">
        <w:rPr>
          <w:rFonts w:ascii="Times New Roman" w:hAnsi="Times New Roman"/>
          <w:szCs w:val="22"/>
          <w:lang w:val="sk-SK" w:eastAsia="sk-SK"/>
        </w:rPr>
        <w:t xml:space="preserve"> rizik</w:t>
      </w:r>
      <w:r w:rsidR="001E294E" w:rsidRPr="002A4665">
        <w:rPr>
          <w:rFonts w:ascii="Times New Roman" w:hAnsi="Times New Roman"/>
          <w:szCs w:val="22"/>
          <w:lang w:val="sk-SK" w:eastAsia="sk-SK"/>
        </w:rPr>
        <w:t>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farmakotoxickej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psychózy. Obe l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iečivá </w:t>
      </w:r>
      <w:r w:rsidRPr="002A4665">
        <w:rPr>
          <w:rFonts w:ascii="Times New Roman" w:hAnsi="Times New Roman"/>
          <w:szCs w:val="22"/>
          <w:lang w:val="sk-SK" w:eastAsia="sk-SK"/>
        </w:rPr>
        <w:t>sú chemicky príbuzné NMDA-antagonistom. To isté môže platiť pre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ketamín a dextrometorfán (pozri tiež časť 4.4). Existuje len jedna publikovaná kazuistika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 aj o </w:t>
      </w:r>
      <w:r w:rsidRPr="002A4665">
        <w:rPr>
          <w:rFonts w:ascii="Times New Roman" w:hAnsi="Times New Roman"/>
          <w:szCs w:val="22"/>
          <w:lang w:val="sk-SK" w:eastAsia="sk-SK"/>
        </w:rPr>
        <w:t>možnom riziku kombinácie memantínu a fenytoínu.</w:t>
      </w:r>
    </w:p>
    <w:p w:rsidR="00512225" w:rsidRPr="002A4665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Iné liečivá, ako </w:t>
      </w:r>
      <w:r w:rsidR="001E294E" w:rsidRPr="002A4665">
        <w:rPr>
          <w:rFonts w:ascii="Times New Roman" w:hAnsi="Times New Roman"/>
          <w:szCs w:val="22"/>
          <w:lang w:val="sk-SK" w:eastAsia="sk-SK"/>
        </w:rPr>
        <w:t>sú</w:t>
      </w:r>
      <w:r w:rsidRPr="002A4665">
        <w:rPr>
          <w:rFonts w:ascii="Times New Roman" w:hAnsi="Times New Roman"/>
          <w:szCs w:val="22"/>
          <w:lang w:val="sk-SK" w:eastAsia="sk-SK"/>
        </w:rPr>
        <w:t xml:space="preserve"> cimetidín, ranitidín, prokaínamid, chinidín, chinín a nikotín, ktoré používajú</w:t>
      </w:r>
    </w:p>
    <w:p w:rsidR="00512225" w:rsidRPr="002A4665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ten istý obličkový katiónový transportný systém ako amantadín, môžu tiež interagovať</w:t>
      </w:r>
    </w:p>
    <w:p w:rsidR="00512225" w:rsidRPr="002A4665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s memantínom a viesť tak k potenciálnemu riziku zvýšených plazmatických hladín.</w:t>
      </w:r>
    </w:p>
    <w:p w:rsidR="00512225" w:rsidRPr="002A4665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Ak sa memantín používa súčasne s hydrochlórotiazidom (HCT) alebo akoukoľvek kombináciou</w:t>
      </w:r>
    </w:p>
    <w:p w:rsidR="00512225" w:rsidRPr="002A4665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HCT, 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existuje </w:t>
      </w:r>
      <w:r w:rsidRPr="002A4665">
        <w:rPr>
          <w:rFonts w:ascii="Times New Roman" w:hAnsi="Times New Roman"/>
          <w:szCs w:val="22"/>
          <w:lang w:val="sk-SK" w:eastAsia="sk-SK"/>
        </w:rPr>
        <w:t>možnosť zníženia sérovej hladiny HCT.</w:t>
      </w:r>
    </w:p>
    <w:p w:rsidR="00512225" w:rsidRPr="002A4665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ri </w:t>
      </w:r>
      <w:r w:rsidRPr="002A4665">
        <w:rPr>
          <w:rFonts w:ascii="Times New Roman" w:hAnsi="Times New Roman"/>
          <w:szCs w:val="22"/>
          <w:lang w:val="sk-SK" w:eastAsia="sk-SK"/>
        </w:rPr>
        <w:t xml:space="preserve">sledovaní </w:t>
      </w:r>
      <w:r w:rsidR="001E294E" w:rsidRPr="002A4665">
        <w:rPr>
          <w:rFonts w:ascii="Times New Roman" w:hAnsi="Times New Roman"/>
          <w:szCs w:val="22"/>
          <w:lang w:val="sk-SK" w:eastAsia="sk-SK"/>
        </w:rPr>
        <w:t>uveden</w:t>
      </w:r>
      <w:r w:rsidR="00516295" w:rsidRPr="002A4665">
        <w:rPr>
          <w:rFonts w:ascii="Times New Roman" w:hAnsi="Times New Roman"/>
          <w:szCs w:val="22"/>
          <w:lang w:val="sk-SK" w:eastAsia="sk-SK"/>
        </w:rPr>
        <w:t>ia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 lieku na trh sa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zaznamena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li </w:t>
      </w:r>
      <w:r w:rsidRPr="002A4665">
        <w:rPr>
          <w:rFonts w:ascii="Times New Roman" w:hAnsi="Times New Roman"/>
          <w:szCs w:val="22"/>
          <w:lang w:val="sk-SK" w:eastAsia="sk-SK"/>
        </w:rPr>
        <w:t>ojedinelé prípady zvýšenia hodnôt</w:t>
      </w:r>
    </w:p>
    <w:p w:rsidR="00512225" w:rsidRPr="002A4665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medzinárodného normalizovaného pomeru (INR) u pacientov užívajúcich súčasne warfarín. Aj</w:t>
      </w:r>
    </w:p>
    <w:p w:rsidR="00512225" w:rsidRPr="002A4665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keď priama súvislosť n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ie je </w:t>
      </w:r>
      <w:r w:rsidRPr="002A4665">
        <w:rPr>
          <w:rFonts w:ascii="Times New Roman" w:hAnsi="Times New Roman"/>
          <w:szCs w:val="22"/>
          <w:lang w:val="sk-SK" w:eastAsia="sk-SK"/>
        </w:rPr>
        <w:t>potvrdená, u pacientov, ktorí s</w:t>
      </w:r>
      <w:r w:rsidR="001E294E" w:rsidRPr="002A4665">
        <w:rPr>
          <w:rFonts w:ascii="Times New Roman" w:hAnsi="Times New Roman"/>
          <w:szCs w:val="22"/>
          <w:lang w:val="sk-SK" w:eastAsia="sk-SK"/>
        </w:rPr>
        <w:t>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súčasne lieč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ia </w:t>
      </w:r>
      <w:r w:rsidRPr="002A4665">
        <w:rPr>
          <w:rFonts w:ascii="Times New Roman" w:hAnsi="Times New Roman"/>
          <w:szCs w:val="22"/>
          <w:lang w:val="sk-SK" w:eastAsia="sk-SK"/>
        </w:rPr>
        <w:t>perorálnymi</w:t>
      </w:r>
    </w:p>
    <w:p w:rsidR="00512225" w:rsidRPr="002A4665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antikoagulanciami, sa 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odporúča </w:t>
      </w:r>
      <w:r w:rsidRPr="002A4665">
        <w:rPr>
          <w:rFonts w:ascii="Times New Roman" w:hAnsi="Times New Roman"/>
          <w:szCs w:val="22"/>
          <w:lang w:val="sk-SK" w:eastAsia="sk-SK"/>
        </w:rPr>
        <w:t xml:space="preserve">dôkladné sledovanie protrombínového času </w:t>
      </w:r>
      <w:r w:rsidR="001E294E" w:rsidRPr="002A4665">
        <w:rPr>
          <w:rFonts w:ascii="Times New Roman" w:hAnsi="Times New Roman"/>
          <w:szCs w:val="22"/>
          <w:lang w:val="sk-SK" w:eastAsia="sk-SK"/>
        </w:rPr>
        <w:t xml:space="preserve">alebo </w:t>
      </w:r>
      <w:r w:rsidRPr="002A4665">
        <w:rPr>
          <w:rFonts w:ascii="Times New Roman" w:hAnsi="Times New Roman"/>
          <w:szCs w:val="22"/>
          <w:lang w:val="sk-SK" w:eastAsia="sk-SK"/>
        </w:rPr>
        <w:t>INR.</w:t>
      </w:r>
    </w:p>
    <w:p w:rsidR="00E26D72" w:rsidRPr="002A4665" w:rsidRDefault="00E26D72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</w:p>
    <w:p w:rsidR="00512225" w:rsidRPr="002A4665" w:rsidRDefault="00512225" w:rsidP="00FC42DB">
      <w:p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Pri jednorazovej dávke vo farmakokinetických (FK) štúdiách </w:t>
      </w:r>
      <w:r w:rsidR="00E26D72" w:rsidRPr="002A4665">
        <w:rPr>
          <w:rFonts w:ascii="Times New Roman" w:hAnsi="Times New Roman"/>
          <w:szCs w:val="22"/>
          <w:lang w:val="sk-SK" w:eastAsia="sk-SK"/>
        </w:rPr>
        <w:t>s </w:t>
      </w:r>
      <w:r w:rsidRPr="002A4665">
        <w:rPr>
          <w:rFonts w:ascii="Times New Roman" w:hAnsi="Times New Roman"/>
          <w:szCs w:val="22"/>
          <w:lang w:val="sk-SK" w:eastAsia="sk-SK"/>
        </w:rPr>
        <w:t>mladý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mi </w:t>
      </w:r>
      <w:r w:rsidRPr="002A4665">
        <w:rPr>
          <w:rFonts w:ascii="Times New Roman" w:hAnsi="Times New Roman"/>
          <w:szCs w:val="22"/>
          <w:lang w:val="sk-SK" w:eastAsia="sk-SK"/>
        </w:rPr>
        <w:t>zdravý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mi </w:t>
      </w:r>
      <w:r w:rsidRPr="002A4665">
        <w:rPr>
          <w:rFonts w:ascii="Times New Roman" w:hAnsi="Times New Roman"/>
          <w:szCs w:val="22"/>
          <w:lang w:val="sk-SK" w:eastAsia="sk-SK"/>
        </w:rPr>
        <w:t>dobrovoľník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mi </w:t>
      </w:r>
    </w:p>
    <w:p w:rsidR="00512225" w:rsidRPr="002A4665" w:rsidRDefault="00E26D72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sa ne</w:t>
      </w:r>
      <w:r w:rsidR="00512225" w:rsidRPr="002A4665">
        <w:rPr>
          <w:rFonts w:ascii="Times New Roman" w:hAnsi="Times New Roman"/>
          <w:szCs w:val="22"/>
          <w:lang w:val="sk-SK" w:eastAsia="sk-SK"/>
        </w:rPr>
        <w:t>pozorova</w:t>
      </w:r>
      <w:r w:rsidRPr="002A4665">
        <w:rPr>
          <w:rFonts w:ascii="Times New Roman" w:hAnsi="Times New Roman"/>
          <w:szCs w:val="22"/>
          <w:lang w:val="sk-SK" w:eastAsia="sk-SK"/>
        </w:rPr>
        <w:t xml:space="preserve">la </w:t>
      </w:r>
      <w:r w:rsidR="00512225" w:rsidRPr="002A4665">
        <w:rPr>
          <w:rFonts w:ascii="Times New Roman" w:hAnsi="Times New Roman"/>
          <w:szCs w:val="22"/>
          <w:lang w:val="sk-SK" w:eastAsia="sk-SK"/>
        </w:rPr>
        <w:t>žiadna významná interakcia liečiv memantínu s glyburidom/metformínom alebo s</w:t>
      </w: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donepezilom.</w:t>
      </w:r>
    </w:p>
    <w:p w:rsidR="00E26D72" w:rsidRPr="002A4665" w:rsidRDefault="00E26D72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 klinickej štúdii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 s </w:t>
      </w:r>
      <w:r w:rsidRPr="002A4665">
        <w:rPr>
          <w:rFonts w:ascii="Times New Roman" w:hAnsi="Times New Roman"/>
          <w:szCs w:val="22"/>
          <w:lang w:val="sk-SK" w:eastAsia="sk-SK"/>
        </w:rPr>
        <w:t>mladý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mi </w:t>
      </w:r>
      <w:r w:rsidRPr="002A4665">
        <w:rPr>
          <w:rFonts w:ascii="Times New Roman" w:hAnsi="Times New Roman"/>
          <w:szCs w:val="22"/>
          <w:lang w:val="sk-SK" w:eastAsia="sk-SK"/>
        </w:rPr>
        <w:t>zdravý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mi </w:t>
      </w:r>
      <w:r w:rsidRPr="002A4665">
        <w:rPr>
          <w:rFonts w:ascii="Times New Roman" w:hAnsi="Times New Roman"/>
          <w:szCs w:val="22"/>
          <w:lang w:val="sk-SK" w:eastAsia="sk-SK"/>
        </w:rPr>
        <w:t>jedinc</w:t>
      </w:r>
      <w:r w:rsidR="00E26D72" w:rsidRPr="002A4665">
        <w:rPr>
          <w:rFonts w:ascii="Times New Roman" w:hAnsi="Times New Roman"/>
          <w:szCs w:val="22"/>
          <w:lang w:val="sk-SK" w:eastAsia="sk-SK"/>
        </w:rPr>
        <w:t>ami sa ne</w:t>
      </w:r>
      <w:r w:rsidRPr="002A4665">
        <w:rPr>
          <w:rFonts w:ascii="Times New Roman" w:hAnsi="Times New Roman"/>
          <w:szCs w:val="22"/>
          <w:lang w:val="sk-SK" w:eastAsia="sk-SK"/>
        </w:rPr>
        <w:t>pozorova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l </w:t>
      </w:r>
      <w:r w:rsidRPr="002A4665">
        <w:rPr>
          <w:rFonts w:ascii="Times New Roman" w:hAnsi="Times New Roman"/>
          <w:szCs w:val="22"/>
          <w:lang w:val="sk-SK" w:eastAsia="sk-SK"/>
        </w:rPr>
        <w:t>žiaden významný účinok</w:t>
      </w:r>
    </w:p>
    <w:p w:rsidR="00512225" w:rsidRPr="002A466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memantínu na farmakokinetiku galantamínu.</w:t>
      </w:r>
    </w:p>
    <w:p w:rsidR="00E26D72" w:rsidRPr="002A4665" w:rsidRDefault="00E26D72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2A4665" w:rsidRDefault="00512225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Memantín </w:t>
      </w:r>
      <w:r w:rsidRPr="002A4665">
        <w:rPr>
          <w:rFonts w:ascii="Times New Roman" w:hAnsi="Times New Roman"/>
          <w:i/>
          <w:iCs/>
          <w:szCs w:val="22"/>
          <w:lang w:val="sk-SK" w:eastAsia="sk-SK"/>
        </w:rPr>
        <w:t xml:space="preserve">in vitro </w:t>
      </w:r>
      <w:r w:rsidRPr="002A4665">
        <w:rPr>
          <w:rFonts w:ascii="Times New Roman" w:hAnsi="Times New Roman"/>
          <w:szCs w:val="22"/>
          <w:lang w:val="sk-SK" w:eastAsia="sk-SK"/>
        </w:rPr>
        <w:t>neinhib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oval </w:t>
      </w:r>
      <w:r w:rsidRPr="002A4665">
        <w:rPr>
          <w:rFonts w:ascii="Times New Roman" w:hAnsi="Times New Roman"/>
          <w:szCs w:val="22"/>
          <w:lang w:val="sk-SK" w:eastAsia="sk-SK"/>
        </w:rPr>
        <w:t>CYP 1A2, 2A6, 2C9, 2D6, 2E1, 3A, flavín obsahujúcu mono</w:t>
      </w:r>
      <w:r w:rsidR="00E26D72" w:rsidRPr="002A4665">
        <w:rPr>
          <w:rFonts w:ascii="Times New Roman" w:hAnsi="Times New Roman"/>
          <w:szCs w:val="22"/>
          <w:lang w:val="sk-SK" w:eastAsia="sk-SK"/>
        </w:rPr>
        <w:t>o</w:t>
      </w:r>
      <w:r w:rsidRPr="002A4665">
        <w:rPr>
          <w:rFonts w:ascii="Times New Roman" w:hAnsi="Times New Roman"/>
          <w:szCs w:val="22"/>
          <w:lang w:val="sk-SK" w:eastAsia="sk-SK"/>
        </w:rPr>
        <w:t>xygenázu,</w:t>
      </w:r>
      <w:r w:rsidR="00E26D72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epoxid hydrolázu alebo sulfatión.</w:t>
      </w:r>
    </w:p>
    <w:p w:rsidR="00512225" w:rsidRPr="002A4665" w:rsidRDefault="00512225" w:rsidP="00512225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E26D72" w:rsidRPr="002A4665" w:rsidRDefault="00E26D72" w:rsidP="00E26D72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4.6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Fertilita, gravidita a laktácia</w:t>
      </w:r>
    </w:p>
    <w:p w:rsidR="00E26D72" w:rsidRPr="002A4665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8808C8" w:rsidRPr="002A4665" w:rsidRDefault="008808C8" w:rsidP="00E26D72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szCs w:val="22"/>
          <w:u w:val="single"/>
          <w:lang w:val="sk-SK" w:eastAsia="sk-SK"/>
        </w:rPr>
        <w:t>Gravidita</w:t>
      </w:r>
    </w:p>
    <w:p w:rsidR="00E26D72" w:rsidRPr="002A4665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Nie sú k dispozícii žiadne klinické údaje o gravidných ženách vystavených účinku memantínu. Štúdie</w:t>
      </w:r>
    </w:p>
    <w:p w:rsidR="00E26D72" w:rsidRPr="002A4665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na zvieratách naznačujú potenciál pre znížený vnútromaternicový rast pri expozičných hladinách</w:t>
      </w:r>
    </w:p>
    <w:p w:rsidR="00E26D72" w:rsidRPr="002A4665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identických alebo mierne vyšších ako </w:t>
      </w:r>
      <w:r w:rsidR="003C10C2" w:rsidRPr="002A4665">
        <w:rPr>
          <w:rFonts w:ascii="Times New Roman" w:hAnsi="Times New Roman"/>
          <w:szCs w:val="22"/>
          <w:lang w:val="sk-SK" w:eastAsia="sk-SK"/>
        </w:rPr>
        <w:t xml:space="preserve">je expozícia </w:t>
      </w:r>
      <w:r w:rsidRPr="002A4665">
        <w:rPr>
          <w:rFonts w:ascii="Times New Roman" w:hAnsi="Times New Roman"/>
          <w:szCs w:val="22"/>
          <w:lang w:val="sk-SK" w:eastAsia="sk-SK"/>
        </w:rPr>
        <w:t>u ľudí (pozri časť 5.3). Nie je známe potenciálne riziko pre ľudí.</w:t>
      </w:r>
      <w:r w:rsidR="003C10C2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Memantín </w:t>
      </w:r>
      <w:r w:rsidR="008808C8" w:rsidRPr="002A4665">
        <w:rPr>
          <w:rFonts w:ascii="Times New Roman" w:hAnsi="Times New Roman"/>
          <w:szCs w:val="22"/>
          <w:lang w:val="sk-SK" w:eastAsia="sk-SK"/>
        </w:rPr>
        <w:t>môže byť používaný</w:t>
      </w:r>
      <w:r w:rsidR="003C10C2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počas gravidity</w:t>
      </w:r>
      <w:r w:rsidR="00574889" w:rsidRPr="002A4665">
        <w:rPr>
          <w:rFonts w:ascii="Times New Roman" w:hAnsi="Times New Roman"/>
          <w:szCs w:val="22"/>
          <w:lang w:val="sk-SK" w:eastAsia="sk-SK"/>
        </w:rPr>
        <w:t>,</w:t>
      </w:r>
      <w:r w:rsidRPr="002A4665">
        <w:rPr>
          <w:rFonts w:ascii="Times New Roman" w:hAnsi="Times New Roman"/>
          <w:szCs w:val="22"/>
          <w:lang w:val="sk-SK" w:eastAsia="sk-SK"/>
        </w:rPr>
        <w:t xml:space="preserve"> iba </w:t>
      </w:r>
      <w:r w:rsidR="003C10C2" w:rsidRPr="002A4665">
        <w:rPr>
          <w:rFonts w:ascii="Times New Roman" w:hAnsi="Times New Roman"/>
          <w:szCs w:val="22"/>
          <w:lang w:val="sk-SK" w:eastAsia="sk-SK"/>
        </w:rPr>
        <w:t>ak je to jasne nevyhnutné</w:t>
      </w:r>
      <w:r w:rsidRPr="002A4665">
        <w:rPr>
          <w:rFonts w:ascii="Times New Roman" w:hAnsi="Times New Roman"/>
          <w:szCs w:val="22"/>
          <w:lang w:val="sk-SK" w:eastAsia="sk-SK"/>
        </w:rPr>
        <w:t>.</w:t>
      </w:r>
    </w:p>
    <w:p w:rsidR="00C56F0D" w:rsidRPr="002A4665" w:rsidRDefault="00C56F0D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8A4E1F" w:rsidRPr="002A4665" w:rsidRDefault="00C56F0D" w:rsidP="00E26D72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szCs w:val="22"/>
          <w:u w:val="single"/>
          <w:lang w:val="sk-SK" w:eastAsia="sk-SK"/>
        </w:rPr>
        <w:lastRenderedPageBreak/>
        <w:t xml:space="preserve">Dojčenie </w:t>
      </w:r>
    </w:p>
    <w:p w:rsidR="00E26D72" w:rsidRPr="002A4665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Nie je známe, či sa memantín u žien vylučuje do materského mlieka, ale ak vezmeme do úvahy</w:t>
      </w:r>
    </w:p>
    <w:p w:rsidR="005E341C" w:rsidRDefault="00E26D72" w:rsidP="00E26D72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lipofilitu l</w:t>
      </w:r>
      <w:r w:rsidR="007F05CE" w:rsidRPr="002A4665">
        <w:rPr>
          <w:rFonts w:ascii="Times New Roman" w:hAnsi="Times New Roman"/>
          <w:szCs w:val="22"/>
          <w:lang w:val="sk-SK" w:eastAsia="sk-SK"/>
        </w:rPr>
        <w:t>iečiva</w:t>
      </w:r>
      <w:r w:rsidRPr="002A4665">
        <w:rPr>
          <w:rFonts w:ascii="Times New Roman" w:hAnsi="Times New Roman"/>
          <w:szCs w:val="22"/>
          <w:lang w:val="sk-SK" w:eastAsia="sk-SK"/>
        </w:rPr>
        <w:t>, je to pravdepodobné. Ženy, ktoré užívajú memantín, nemajú dojčiť.</w:t>
      </w:r>
    </w:p>
    <w:p w:rsidR="008A4E1F" w:rsidRDefault="008A4E1F" w:rsidP="00E26D72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317B5B" w:rsidRPr="002A4665" w:rsidRDefault="00317B5B" w:rsidP="00317B5B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4.7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Ovplyvnenie schopnosti viesť vozidlá a obsluhovať stroje</w:t>
      </w:r>
    </w:p>
    <w:p w:rsidR="00317B5B" w:rsidRPr="002A4665" w:rsidRDefault="00317B5B" w:rsidP="00317B5B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317B5B" w:rsidRPr="002A4665" w:rsidRDefault="00317B5B" w:rsidP="00317B5B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Alzheimerova choroba stredného až ťažkého stupňa samotná obvykle spôsobuje zhoršenie schopnosti</w:t>
      </w:r>
    </w:p>
    <w:p w:rsidR="00317B5B" w:rsidRPr="002A4665" w:rsidRDefault="00317B5B" w:rsidP="00DA0C0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viesť vozidlá a obsluhovať stroje. Navyše </w:t>
      </w:r>
      <w:r w:rsidR="00574889" w:rsidRPr="002A4665">
        <w:rPr>
          <w:rFonts w:ascii="Times New Roman" w:hAnsi="Times New Roman"/>
          <w:szCs w:val="22"/>
          <w:lang w:val="sk-SK" w:eastAsia="sk-SK"/>
        </w:rPr>
        <w:t>Memantin Stada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má </w:t>
      </w:r>
      <w:r w:rsidR="00574889" w:rsidRPr="002A4665">
        <w:rPr>
          <w:rFonts w:ascii="Times New Roman" w:hAnsi="Times New Roman"/>
          <w:szCs w:val="22"/>
          <w:lang w:val="sk-SK"/>
        </w:rPr>
        <w:t>malý až mierny</w:t>
      </w:r>
      <w:r w:rsidR="00DA0C08" w:rsidRPr="002A4665">
        <w:rPr>
          <w:rFonts w:ascii="Times New Roman" w:hAnsi="Times New Roman"/>
          <w:szCs w:val="22"/>
          <w:lang w:val="sk-SK"/>
        </w:rPr>
        <w:t xml:space="preserve"> vplyv</w:t>
      </w:r>
      <w:r w:rsidR="00DA0C08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na schopnosť viesť</w:t>
      </w:r>
      <w:r w:rsidR="0057488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vozidlá a obsluhovať stroje, takže ambulantných pacientov je potrebné upozorniť, aby </w:t>
      </w:r>
      <w:r w:rsidR="00DA0C08" w:rsidRPr="002A4665">
        <w:rPr>
          <w:rFonts w:ascii="Times New Roman" w:hAnsi="Times New Roman"/>
          <w:szCs w:val="22"/>
          <w:lang w:val="sk-SK" w:eastAsia="sk-SK"/>
        </w:rPr>
        <w:t>boli osobitne opatrní</w:t>
      </w:r>
      <w:r w:rsidRPr="002A4665">
        <w:rPr>
          <w:rFonts w:ascii="Times New Roman" w:hAnsi="Times New Roman"/>
          <w:szCs w:val="22"/>
          <w:lang w:val="sk-SK" w:eastAsia="sk-SK"/>
        </w:rPr>
        <w:t>.</w:t>
      </w:r>
      <w:r w:rsidRPr="002A4665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E3555C" w:rsidRPr="002A4665" w:rsidRDefault="00E3555C" w:rsidP="00E3555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4.8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Nežiaduce účinky</w:t>
      </w:r>
    </w:p>
    <w:p w:rsidR="00E3555C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74889" w:rsidRPr="002A4665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V klinických </w:t>
      </w:r>
      <w:r w:rsidR="00975999" w:rsidRPr="002A4665">
        <w:rPr>
          <w:rFonts w:ascii="Times New Roman" w:hAnsi="Times New Roman"/>
          <w:szCs w:val="22"/>
          <w:lang w:val="sk-SK" w:eastAsia="sk-SK"/>
        </w:rPr>
        <w:t>skúšaniach s </w:t>
      </w:r>
      <w:r w:rsidRPr="002A4665">
        <w:rPr>
          <w:rFonts w:ascii="Times New Roman" w:hAnsi="Times New Roman"/>
          <w:szCs w:val="22"/>
          <w:lang w:val="sk-SK" w:eastAsia="sk-SK"/>
        </w:rPr>
        <w:t>miern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ou </w:t>
      </w:r>
      <w:r w:rsidRPr="002A4665">
        <w:rPr>
          <w:rFonts w:ascii="Times New Roman" w:hAnsi="Times New Roman"/>
          <w:szCs w:val="22"/>
          <w:lang w:val="sk-SK" w:eastAsia="sk-SK"/>
        </w:rPr>
        <w:t>až ťažk</w:t>
      </w:r>
      <w:r w:rsidR="00975999" w:rsidRPr="002A4665">
        <w:rPr>
          <w:rFonts w:ascii="Times New Roman" w:hAnsi="Times New Roman"/>
          <w:szCs w:val="22"/>
          <w:lang w:val="sk-SK" w:eastAsia="sk-SK"/>
        </w:rPr>
        <w:t>ou demenciou</w:t>
      </w:r>
      <w:r w:rsidRPr="002A4665">
        <w:rPr>
          <w:rFonts w:ascii="Times New Roman" w:hAnsi="Times New Roman"/>
          <w:szCs w:val="22"/>
          <w:lang w:val="sk-SK" w:eastAsia="sk-SK"/>
        </w:rPr>
        <w:t xml:space="preserve">, </w:t>
      </w:r>
      <w:r w:rsidR="00975999" w:rsidRPr="002A4665">
        <w:rPr>
          <w:rFonts w:ascii="Times New Roman" w:hAnsi="Times New Roman"/>
          <w:szCs w:val="22"/>
          <w:lang w:val="sk-SK" w:eastAsia="sk-SK"/>
        </w:rPr>
        <w:t>v </w:t>
      </w:r>
      <w:r w:rsidRPr="002A4665">
        <w:rPr>
          <w:rFonts w:ascii="Times New Roman" w:hAnsi="Times New Roman"/>
          <w:szCs w:val="22"/>
          <w:lang w:val="sk-SK" w:eastAsia="sk-SK"/>
        </w:rPr>
        <w:t>ktor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ých bolo zaradených </w:t>
      </w:r>
      <w:r w:rsidRPr="002A4665">
        <w:rPr>
          <w:rFonts w:ascii="Times New Roman" w:hAnsi="Times New Roman"/>
          <w:szCs w:val="22"/>
          <w:lang w:val="sk-SK" w:eastAsia="sk-SK"/>
        </w:rPr>
        <w:t>1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784 pacientov liečených </w:t>
      </w:r>
      <w:r w:rsidR="00975999" w:rsidRPr="002A4665">
        <w:rPr>
          <w:rFonts w:ascii="Times New Roman" w:hAnsi="Times New Roman"/>
          <w:szCs w:val="22"/>
          <w:lang w:val="sk-SK" w:eastAsia="sk-SK"/>
        </w:rPr>
        <w:t>memantínom</w:t>
      </w:r>
      <w:r w:rsidRPr="002A4665">
        <w:rPr>
          <w:rFonts w:ascii="Times New Roman" w:hAnsi="Times New Roman"/>
          <w:szCs w:val="22"/>
          <w:lang w:val="sk-SK" w:eastAsia="sk-SK"/>
        </w:rPr>
        <w:t xml:space="preserve"> a</w:t>
      </w:r>
      <w:r w:rsidR="00975999" w:rsidRPr="002A4665">
        <w:rPr>
          <w:rFonts w:ascii="Times New Roman" w:hAnsi="Times New Roman"/>
          <w:szCs w:val="22"/>
          <w:lang w:val="sk-SK" w:eastAsia="sk-SK"/>
        </w:rPr>
        <w:t> </w:t>
      </w:r>
      <w:r w:rsidRPr="002A4665">
        <w:rPr>
          <w:rFonts w:ascii="Times New Roman" w:hAnsi="Times New Roman"/>
          <w:szCs w:val="22"/>
          <w:lang w:val="sk-SK" w:eastAsia="sk-SK"/>
        </w:rPr>
        <w:t>1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595 pacientov, ktorí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="0036646A" w:rsidRPr="002A4665">
        <w:rPr>
          <w:rFonts w:ascii="Times New Roman" w:hAnsi="Times New Roman"/>
          <w:szCs w:val="22"/>
          <w:lang w:val="sk-SK" w:eastAsia="sk-SK"/>
        </w:rPr>
        <w:t xml:space="preserve">dostávali </w:t>
      </w:r>
      <w:r w:rsidRPr="002A4665">
        <w:rPr>
          <w:rFonts w:ascii="Times New Roman" w:hAnsi="Times New Roman"/>
          <w:szCs w:val="22"/>
          <w:lang w:val="sk-SK" w:eastAsia="sk-SK"/>
        </w:rPr>
        <w:t>placebo, sa celkový výskyt nežiaducich účinkov pri liečbe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memantínom </w:t>
      </w:r>
      <w:r w:rsidRPr="002A4665">
        <w:rPr>
          <w:rFonts w:ascii="Times New Roman" w:hAnsi="Times New Roman"/>
          <w:szCs w:val="22"/>
          <w:lang w:val="sk-SK" w:eastAsia="sk-SK"/>
        </w:rPr>
        <w:t xml:space="preserve">nelíšil od 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tých, ktoré sa </w:t>
      </w:r>
      <w:r w:rsidRPr="002A4665">
        <w:rPr>
          <w:rFonts w:ascii="Times New Roman" w:hAnsi="Times New Roman"/>
          <w:szCs w:val="22"/>
          <w:lang w:val="sk-SK" w:eastAsia="sk-SK"/>
        </w:rPr>
        <w:t>v</w:t>
      </w:r>
      <w:r w:rsidR="00975999" w:rsidRPr="002A4665">
        <w:rPr>
          <w:rFonts w:ascii="Times New Roman" w:hAnsi="Times New Roman"/>
          <w:szCs w:val="22"/>
          <w:lang w:val="sk-SK" w:eastAsia="sk-SK"/>
        </w:rPr>
        <w:t>y</w:t>
      </w:r>
      <w:r w:rsidRPr="002A4665">
        <w:rPr>
          <w:rFonts w:ascii="Times New Roman" w:hAnsi="Times New Roman"/>
          <w:szCs w:val="22"/>
          <w:lang w:val="sk-SK" w:eastAsia="sk-SK"/>
        </w:rPr>
        <w:t>sky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tli </w:t>
      </w:r>
      <w:r w:rsidRPr="002A4665">
        <w:rPr>
          <w:rFonts w:ascii="Times New Roman" w:hAnsi="Times New Roman"/>
          <w:szCs w:val="22"/>
          <w:lang w:val="sk-SK" w:eastAsia="sk-SK"/>
        </w:rPr>
        <w:t>pri placebe a nežiaduce reakcie boli obvykle miernej až strednej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závažnosti. Najčastejšie sa vyskytujúce nežiaduce reakcie s vyšším výskytom v skupine s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 memantínom než v </w:t>
      </w:r>
      <w:r w:rsidRPr="002A4665">
        <w:rPr>
          <w:rFonts w:ascii="Times New Roman" w:hAnsi="Times New Roman"/>
          <w:szCs w:val="22"/>
          <w:lang w:val="sk-SK" w:eastAsia="sk-SK"/>
        </w:rPr>
        <w:t xml:space="preserve">skupine 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s placebom </w:t>
      </w:r>
      <w:r w:rsidRPr="002A4665">
        <w:rPr>
          <w:rFonts w:ascii="Times New Roman" w:hAnsi="Times New Roman"/>
          <w:szCs w:val="22"/>
          <w:lang w:val="sk-SK" w:eastAsia="sk-SK"/>
        </w:rPr>
        <w:t>bol závrat (6,3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 voči 5,6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%), boles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ť </w:t>
      </w:r>
      <w:r w:rsidRPr="002A4665">
        <w:rPr>
          <w:rFonts w:ascii="Times New Roman" w:hAnsi="Times New Roman"/>
          <w:szCs w:val="22"/>
          <w:lang w:val="sk-SK" w:eastAsia="sk-SK"/>
        </w:rPr>
        <w:t>hlavy (5,2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 voči 3,9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%), zápcha (4,6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voči 2,6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%), ospalosť (3,4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 voči 2,2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%) a</w:t>
      </w:r>
      <w:r w:rsidR="00574889" w:rsidRPr="002A4665">
        <w:rPr>
          <w:rFonts w:ascii="Times New Roman" w:hAnsi="Times New Roman"/>
          <w:szCs w:val="22"/>
          <w:lang w:val="sk-SK" w:eastAsia="sk-SK"/>
        </w:rPr>
        <w:t> </w:t>
      </w:r>
      <w:r w:rsidRPr="002A4665">
        <w:rPr>
          <w:rFonts w:ascii="Times New Roman" w:hAnsi="Times New Roman"/>
          <w:szCs w:val="22"/>
          <w:lang w:val="sk-SK" w:eastAsia="sk-SK"/>
        </w:rPr>
        <w:t>hypertenzia</w:t>
      </w:r>
    </w:p>
    <w:p w:rsidR="00E3555C" w:rsidRPr="002A4665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(4,1% voči 2,8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%).</w:t>
      </w:r>
    </w:p>
    <w:p w:rsidR="00E3555C" w:rsidRPr="002A4665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3555C" w:rsidRPr="002A4665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Nasled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ovné </w:t>
      </w:r>
      <w:r w:rsidRPr="002A4665">
        <w:rPr>
          <w:rFonts w:ascii="Times New Roman" w:hAnsi="Times New Roman"/>
          <w:szCs w:val="22"/>
          <w:lang w:val="sk-SK" w:eastAsia="sk-SK"/>
        </w:rPr>
        <w:t xml:space="preserve">nežiaduce </w:t>
      </w:r>
      <w:r w:rsidR="00574889" w:rsidRPr="002A4665">
        <w:rPr>
          <w:rFonts w:ascii="Times New Roman" w:hAnsi="Times New Roman"/>
          <w:szCs w:val="22"/>
          <w:lang w:val="sk-SK" w:eastAsia="sk-SK"/>
        </w:rPr>
        <w:t>reakcie</w:t>
      </w:r>
      <w:r w:rsidRPr="002A4665">
        <w:rPr>
          <w:rFonts w:ascii="Times New Roman" w:hAnsi="Times New Roman"/>
          <w:szCs w:val="22"/>
          <w:lang w:val="sk-SK" w:eastAsia="sk-SK"/>
        </w:rPr>
        <w:t xml:space="preserve"> uveden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é v tabuľke nižšie sa </w:t>
      </w:r>
      <w:r w:rsidRPr="002A4665">
        <w:rPr>
          <w:rFonts w:ascii="Times New Roman" w:hAnsi="Times New Roman"/>
          <w:szCs w:val="22"/>
          <w:lang w:val="sk-SK" w:eastAsia="sk-SK"/>
        </w:rPr>
        <w:t>zozbiera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li </w:t>
      </w:r>
      <w:r w:rsidRPr="002A4665">
        <w:rPr>
          <w:rFonts w:ascii="Times New Roman" w:hAnsi="Times New Roman"/>
          <w:szCs w:val="22"/>
          <w:lang w:val="sk-SK" w:eastAsia="sk-SK"/>
        </w:rPr>
        <w:t>z klinických štúdií s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 memantínom </w:t>
      </w:r>
      <w:r w:rsidRPr="002A4665">
        <w:rPr>
          <w:rFonts w:ascii="Times New Roman" w:hAnsi="Times New Roman"/>
          <w:szCs w:val="22"/>
          <w:lang w:val="sk-SK" w:eastAsia="sk-SK"/>
        </w:rPr>
        <w:t xml:space="preserve">a z obdobia 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po </w:t>
      </w:r>
      <w:r w:rsidRPr="002A4665">
        <w:rPr>
          <w:rFonts w:ascii="Times New Roman" w:hAnsi="Times New Roman"/>
          <w:szCs w:val="22"/>
          <w:lang w:val="sk-SK" w:eastAsia="sk-SK"/>
        </w:rPr>
        <w:t>jeho uveden</w:t>
      </w:r>
      <w:r w:rsidR="00975999" w:rsidRPr="002A4665">
        <w:rPr>
          <w:rFonts w:ascii="Times New Roman" w:hAnsi="Times New Roman"/>
          <w:szCs w:val="22"/>
          <w:lang w:val="sk-SK" w:eastAsia="sk-SK"/>
        </w:rPr>
        <w:t>í n</w:t>
      </w:r>
      <w:r w:rsidRPr="002A4665">
        <w:rPr>
          <w:rFonts w:ascii="Times New Roman" w:hAnsi="Times New Roman"/>
          <w:szCs w:val="22"/>
          <w:lang w:val="sk-SK" w:eastAsia="sk-SK"/>
        </w:rPr>
        <w:t>a trh. V rámci jednotlivých skupín frekvencií sú nežiaduce</w:t>
      </w:r>
      <w:r w:rsidR="0097599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účinky usporiadané v poradí klesajúcej závažnosti.</w:t>
      </w:r>
    </w:p>
    <w:p w:rsidR="00E3555C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3555C" w:rsidRPr="002A4665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Nežiaduce účinky sú zoradené podľa tried orgánových systémov pri použití nasledovnej konvencie:</w:t>
      </w:r>
    </w:p>
    <w:p w:rsidR="00E3555C" w:rsidRPr="002A4665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veľmi časté (</w:t>
      </w:r>
      <w:r w:rsidRPr="002A4665">
        <w:rPr>
          <w:rFonts w:ascii="Times New Roman" w:eastAsia="SymbolMT" w:hAnsi="Times New Roman"/>
          <w:szCs w:val="22"/>
          <w:lang w:val="sk-SK" w:eastAsia="sk-SK"/>
        </w:rPr>
        <w:t>≥</w:t>
      </w:r>
      <w:r w:rsidRPr="002A4665">
        <w:rPr>
          <w:rFonts w:ascii="Times New Roman" w:hAnsi="Times New Roman"/>
          <w:szCs w:val="22"/>
          <w:lang w:val="sk-SK" w:eastAsia="sk-SK"/>
        </w:rPr>
        <w:t>1/10), časté (</w:t>
      </w:r>
      <w:r w:rsidRPr="002A4665">
        <w:rPr>
          <w:rFonts w:ascii="Times New Roman" w:eastAsia="SymbolMT" w:hAnsi="Times New Roman"/>
          <w:szCs w:val="22"/>
          <w:lang w:val="sk-SK" w:eastAsia="sk-SK"/>
        </w:rPr>
        <w:t>≥</w:t>
      </w:r>
      <w:r w:rsidRPr="002A4665">
        <w:rPr>
          <w:rFonts w:ascii="Times New Roman" w:hAnsi="Times New Roman"/>
          <w:szCs w:val="22"/>
          <w:lang w:val="sk-SK" w:eastAsia="sk-SK"/>
        </w:rPr>
        <w:t>1/100 až &lt;1/10), menej časté (</w:t>
      </w:r>
      <w:r w:rsidRPr="002A4665">
        <w:rPr>
          <w:rFonts w:ascii="Times New Roman" w:eastAsia="SymbolMT" w:hAnsi="Times New Roman"/>
          <w:szCs w:val="22"/>
          <w:lang w:val="sk-SK" w:eastAsia="sk-SK"/>
        </w:rPr>
        <w:t>≥</w:t>
      </w:r>
      <w:r w:rsidRPr="002A4665">
        <w:rPr>
          <w:rFonts w:ascii="Times New Roman" w:hAnsi="Times New Roman"/>
          <w:szCs w:val="22"/>
          <w:lang w:val="sk-SK" w:eastAsia="sk-SK"/>
        </w:rPr>
        <w:t>1/1000 až &lt;1/100), zriedkavé (</w:t>
      </w:r>
      <w:r w:rsidRPr="002A4665">
        <w:rPr>
          <w:rFonts w:ascii="Times New Roman" w:eastAsia="SymbolMT" w:hAnsi="Times New Roman"/>
          <w:szCs w:val="22"/>
          <w:lang w:val="sk-SK" w:eastAsia="sk-SK"/>
        </w:rPr>
        <w:t>≥</w:t>
      </w:r>
      <w:r w:rsidRPr="002A4665">
        <w:rPr>
          <w:rFonts w:ascii="Times New Roman" w:hAnsi="Times New Roman"/>
          <w:szCs w:val="22"/>
          <w:lang w:val="sk-SK" w:eastAsia="sk-SK"/>
        </w:rPr>
        <w:t>1/10000 až &lt;1/1000), veľmi zriedkavé (&lt;1/10000), neznáme (z dostupných údajov).</w:t>
      </w:r>
    </w:p>
    <w:p w:rsidR="00574889" w:rsidRPr="002A4665" w:rsidRDefault="00574889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574889" w:rsidRPr="002A4665" w:rsidTr="001F27F7"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Infekcie a nákazy</w:t>
            </w: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Plesňové infekcie</w:t>
            </w:r>
          </w:p>
        </w:tc>
      </w:tr>
      <w:tr w:rsidR="00574889" w:rsidRPr="002A4665" w:rsidTr="001F27F7"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Poruchy imunitného systému</w:t>
            </w: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Precitlivenosť na liek</w:t>
            </w:r>
          </w:p>
        </w:tc>
      </w:tr>
      <w:tr w:rsidR="00574889" w:rsidRPr="002A4665" w:rsidTr="001F27F7"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Psychické poruchy</w:t>
            </w: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Ospalosť</w:t>
            </w:r>
          </w:p>
        </w:tc>
      </w:tr>
      <w:tr w:rsidR="00574889" w:rsidRPr="002A4665" w:rsidTr="001F27F7"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 xml:space="preserve">Menej časté </w:t>
            </w: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suppressAutoHyphens/>
              <w:spacing w:line="280" w:lineRule="exact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Zmätenosť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 xml:space="preserve">Menej časté 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Halucinácie</w:t>
            </w:r>
            <w:r w:rsidRPr="002A4665">
              <w:rPr>
                <w:rFonts w:ascii="Times New Roman" w:hAnsi="Times New Roman"/>
                <w:szCs w:val="22"/>
                <w:vertAlign w:val="superscript"/>
                <w:lang w:val="sk-SK"/>
              </w:rPr>
              <w:t>1</w:t>
            </w:r>
          </w:p>
        </w:tc>
      </w:tr>
      <w:tr w:rsidR="00574889" w:rsidRPr="002A4665" w:rsidTr="001F27F7"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Neznáme</w:t>
            </w:r>
          </w:p>
        </w:tc>
        <w:tc>
          <w:tcPr>
            <w:tcW w:w="3070" w:type="dxa"/>
            <w:shd w:val="clear" w:color="auto" w:fill="auto"/>
          </w:tcPr>
          <w:p w:rsidR="00574889" w:rsidRPr="002A4665" w:rsidRDefault="00574889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Psychotické reakcie</w:t>
            </w:r>
            <w:r w:rsidRPr="002A4665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Poruchy nervového systému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Závrat</w:t>
            </w:r>
            <w:r w:rsidRPr="002A4665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Porucha rovnováhy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 xml:space="preserve">Menej časté 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Poruchy chôdze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Veľmi zriedkavé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/>
              </w:rPr>
              <w:t>Záchvaty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Poruchy srdca a srdcovej činnosti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Zlyhanie srdca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Poruchy ciev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Hypertenzia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Žilová trombóza/tromb</w:t>
            </w:r>
            <w:r w:rsidR="009C42B4" w:rsidRPr="002A4665">
              <w:rPr>
                <w:rFonts w:ascii="Times New Roman" w:hAnsi="Times New Roman"/>
                <w:szCs w:val="22"/>
                <w:lang w:val="sk-SK" w:eastAsia="sk-SK"/>
              </w:rPr>
              <w:t>o</w:t>
            </w: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embólia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Poruchy dýchacej sústavy, hrudníka a mediastína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/>
              </w:rPr>
              <w:t xml:space="preserve">Dyspnoe 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Poruchy gastrointestinálneho traktu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Zápcha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Vracanie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Neznáme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Pankreatitída</w:t>
            </w:r>
            <w:r w:rsidRPr="002A4665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>Poruchy pečene a žlčových ciest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Zvýšené hodnoty testov pečeňových funkcií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Neznáme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Hepatitída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t xml:space="preserve">Celkové poruchy a reakcie </w:t>
            </w:r>
            <w:r w:rsidRPr="002A4665">
              <w:rPr>
                <w:rFonts w:ascii="Times New Roman" w:hAnsi="Times New Roman"/>
                <w:b/>
                <w:szCs w:val="22"/>
                <w:lang w:val="sk-SK" w:eastAsia="sk-SK"/>
              </w:rPr>
              <w:lastRenderedPageBreak/>
              <w:t>v mieste podania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lastRenderedPageBreak/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Bolesť hlavy</w:t>
            </w:r>
          </w:p>
        </w:tc>
      </w:tr>
      <w:tr w:rsidR="0059038A" w:rsidRPr="002A4665" w:rsidTr="001F27F7"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9038A" w:rsidRPr="002A4665" w:rsidRDefault="0059038A" w:rsidP="001F27F7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2A4665">
              <w:rPr>
                <w:rFonts w:ascii="Times New Roman" w:hAnsi="Times New Roman"/>
                <w:szCs w:val="22"/>
                <w:lang w:val="sk-SK"/>
              </w:rPr>
              <w:t xml:space="preserve">Únava </w:t>
            </w:r>
          </w:p>
        </w:tc>
      </w:tr>
    </w:tbl>
    <w:p w:rsidR="005E341C" w:rsidRPr="002A4665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DD6B59" w:rsidRPr="002A4665" w:rsidRDefault="005E341C" w:rsidP="00DD6B5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vertAlign w:val="superscript"/>
          <w:lang w:val="sk-SK"/>
        </w:rPr>
        <w:t>1</w:t>
      </w:r>
      <w:r w:rsidRPr="002A4665">
        <w:rPr>
          <w:rFonts w:ascii="Times New Roman" w:hAnsi="Times New Roman"/>
          <w:szCs w:val="22"/>
          <w:lang w:val="sk-SK"/>
        </w:rPr>
        <w:t xml:space="preserve"> </w:t>
      </w:r>
      <w:r w:rsidR="00DD6B59" w:rsidRPr="002A4665">
        <w:rPr>
          <w:rFonts w:ascii="Times New Roman" w:hAnsi="Times New Roman"/>
          <w:szCs w:val="22"/>
          <w:lang w:val="sk-SK" w:eastAsia="sk-SK"/>
        </w:rPr>
        <w:t>Halucinácie sa pozorovali najmä u pacientov s ťažkým stupňom Alzheimerovej choroby.</w:t>
      </w:r>
    </w:p>
    <w:p w:rsidR="00DD6B59" w:rsidRPr="002A4665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vertAlign w:val="superscript"/>
          <w:lang w:val="sk-SK"/>
        </w:rPr>
        <w:t>2</w:t>
      </w:r>
      <w:r w:rsidRPr="002A4665">
        <w:rPr>
          <w:rFonts w:ascii="Times New Roman" w:hAnsi="Times New Roman"/>
          <w:szCs w:val="22"/>
          <w:lang w:val="sk-SK"/>
        </w:rPr>
        <w:t xml:space="preserve"> </w:t>
      </w:r>
      <w:r w:rsidR="00DD6B59" w:rsidRPr="002A4665">
        <w:rPr>
          <w:rFonts w:ascii="Times New Roman" w:hAnsi="Times New Roman"/>
          <w:szCs w:val="22"/>
          <w:lang w:val="sk-SK" w:eastAsia="sk-SK"/>
        </w:rPr>
        <w:t>Ojedinelé prípady hlásené zo sledovania po uvedení lieku na trh.</w:t>
      </w:r>
    </w:p>
    <w:p w:rsidR="005E341C" w:rsidRPr="002A4665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DD6B59" w:rsidRPr="002A4665" w:rsidRDefault="00DD6B59" w:rsidP="00DD6B5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Alzheimerova choroba býva sprevádzaná depresiou, samovražednými predstavami a suicídiom.</w:t>
      </w:r>
    </w:p>
    <w:p w:rsidR="00DD6B59" w:rsidRDefault="00DD6B59" w:rsidP="00DD6B5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 sledovaní po uvedení lieku na trh sa tieto udalosti hlásili u pacientov liečených memantínom.</w:t>
      </w:r>
    </w:p>
    <w:p w:rsidR="00224E66" w:rsidRPr="00224E66" w:rsidRDefault="00224E66" w:rsidP="00DD6B5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082C76" w:rsidRPr="00082C76" w:rsidRDefault="00082C76" w:rsidP="00082C76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u w:val="single"/>
          <w:lang w:val="sk-SK"/>
        </w:rPr>
      </w:pPr>
      <w:r w:rsidRPr="00082C76">
        <w:rPr>
          <w:rFonts w:ascii="Times New Roman" w:hAnsi="Times New Roman"/>
          <w:u w:val="single"/>
          <w:lang w:val="sk-SK"/>
        </w:rPr>
        <w:t>Hlásenie podozrení na nežiaduce reakcie</w:t>
      </w:r>
    </w:p>
    <w:p w:rsidR="00082C76" w:rsidRPr="00082C76" w:rsidRDefault="00082C76" w:rsidP="0008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lang w:val="sk-SK"/>
        </w:rPr>
      </w:pPr>
      <w:r w:rsidRPr="00082C76">
        <w:rPr>
          <w:rFonts w:ascii="Times New Roman" w:hAnsi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082C76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7" w:history="1">
        <w:r w:rsidRPr="00082C76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 V</w:t>
        </w:r>
      </w:hyperlink>
      <w:r w:rsidRPr="00082C76">
        <w:rPr>
          <w:rStyle w:val="Hypertextovprepojenie"/>
          <w:rFonts w:ascii="Times New Roman" w:hAnsi="Times New Roman"/>
          <w:lang w:val="sk-SK"/>
        </w:rPr>
        <w:t>.</w:t>
      </w:r>
    </w:p>
    <w:p w:rsidR="00851AD6" w:rsidRPr="00082C76" w:rsidRDefault="00851AD6" w:rsidP="00DD6B5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9A32A9" w:rsidRPr="00082C76" w:rsidRDefault="009A32A9" w:rsidP="009A32A9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082C76">
        <w:rPr>
          <w:rFonts w:ascii="Times New Roman" w:hAnsi="Times New Roman"/>
          <w:b/>
          <w:bCs/>
          <w:szCs w:val="22"/>
          <w:lang w:val="sk-SK" w:eastAsia="sk-SK"/>
        </w:rPr>
        <w:t xml:space="preserve">4.9 </w:t>
      </w:r>
      <w:r w:rsidRPr="00082C76">
        <w:rPr>
          <w:rFonts w:ascii="Times New Roman" w:hAnsi="Times New Roman"/>
          <w:b/>
          <w:bCs/>
          <w:szCs w:val="22"/>
          <w:lang w:val="sk-SK" w:eastAsia="sk-SK"/>
        </w:rPr>
        <w:tab/>
        <w:t>Predávkovanie</w:t>
      </w:r>
    </w:p>
    <w:p w:rsidR="009A32A9" w:rsidRPr="00082C76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A32A9" w:rsidRPr="00082C76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082C76">
        <w:rPr>
          <w:rFonts w:ascii="Times New Roman" w:hAnsi="Times New Roman"/>
          <w:szCs w:val="22"/>
          <w:lang w:val="sk-SK" w:eastAsia="sk-SK"/>
        </w:rPr>
        <w:t>Z klinických štúdií a</w:t>
      </w:r>
      <w:r w:rsidR="006667A6" w:rsidRPr="00082C76">
        <w:rPr>
          <w:rFonts w:ascii="Times New Roman" w:hAnsi="Times New Roman"/>
          <w:szCs w:val="22"/>
          <w:lang w:val="sk-SK" w:eastAsia="sk-SK"/>
        </w:rPr>
        <w:t xml:space="preserve"> zo sledovaní po uvedení lieku na trh </w:t>
      </w:r>
      <w:r w:rsidRPr="00082C76">
        <w:rPr>
          <w:rFonts w:ascii="Times New Roman" w:hAnsi="Times New Roman"/>
          <w:szCs w:val="22"/>
          <w:lang w:val="sk-SK" w:eastAsia="sk-SK"/>
        </w:rPr>
        <w:t>sú dostupné len obmedzené skúsenosti</w:t>
      </w:r>
    </w:p>
    <w:p w:rsidR="009A32A9" w:rsidRPr="00082C76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082C76">
        <w:rPr>
          <w:rFonts w:ascii="Times New Roman" w:hAnsi="Times New Roman"/>
          <w:szCs w:val="22"/>
          <w:lang w:val="sk-SK" w:eastAsia="sk-SK"/>
        </w:rPr>
        <w:t>s predávkovaním.</w:t>
      </w:r>
    </w:p>
    <w:p w:rsidR="009A32A9" w:rsidRPr="00082C76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2A4665" w:rsidRPr="00082C76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082C76">
        <w:rPr>
          <w:rFonts w:ascii="Times New Roman" w:hAnsi="Times New Roman"/>
          <w:iCs/>
          <w:szCs w:val="22"/>
          <w:u w:val="single"/>
          <w:lang w:val="sk-SK" w:eastAsia="sk-SK"/>
        </w:rPr>
        <w:t>Symptómy</w:t>
      </w: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Pomerne široký interval predávkovania (200 mg </w:t>
      </w:r>
      <w:r w:rsidR="006667A6" w:rsidRPr="002A4665">
        <w:rPr>
          <w:rFonts w:ascii="Times New Roman" w:hAnsi="Times New Roman"/>
          <w:szCs w:val="22"/>
          <w:lang w:val="sk-SK" w:eastAsia="sk-SK"/>
        </w:rPr>
        <w:t xml:space="preserve">prípadne </w:t>
      </w:r>
      <w:r w:rsidRPr="002A4665">
        <w:rPr>
          <w:rFonts w:ascii="Times New Roman" w:hAnsi="Times New Roman"/>
          <w:szCs w:val="22"/>
          <w:lang w:val="sk-SK" w:eastAsia="sk-SK"/>
        </w:rPr>
        <w:t>105 mg/deň počas 3 dní)</w:t>
      </w:r>
      <w:r w:rsidR="006667A6" w:rsidRPr="002A4665">
        <w:rPr>
          <w:rFonts w:ascii="Times New Roman" w:hAnsi="Times New Roman"/>
          <w:szCs w:val="22"/>
          <w:lang w:val="sk-SK" w:eastAsia="sk-SK"/>
        </w:rPr>
        <w:t xml:space="preserve"> sa </w:t>
      </w:r>
      <w:r w:rsidRPr="002A4665">
        <w:rPr>
          <w:rFonts w:ascii="Times New Roman" w:hAnsi="Times New Roman"/>
          <w:szCs w:val="22"/>
          <w:lang w:val="sk-SK" w:eastAsia="sk-SK"/>
        </w:rPr>
        <w:t>sp</w:t>
      </w:r>
      <w:r w:rsidR="006667A6" w:rsidRPr="002A4665">
        <w:rPr>
          <w:rFonts w:ascii="Times New Roman" w:hAnsi="Times New Roman"/>
          <w:szCs w:val="22"/>
          <w:lang w:val="sk-SK" w:eastAsia="sk-SK"/>
        </w:rPr>
        <w:t xml:space="preserve">ája </w:t>
      </w:r>
      <w:r w:rsidRPr="002A4665">
        <w:rPr>
          <w:rFonts w:ascii="Times New Roman" w:hAnsi="Times New Roman"/>
          <w:szCs w:val="22"/>
          <w:lang w:val="sk-SK" w:eastAsia="sk-SK"/>
        </w:rPr>
        <w:t>buď s</w:t>
      </w:r>
      <w:r w:rsidR="006667A6" w:rsidRPr="002A4665">
        <w:rPr>
          <w:rFonts w:ascii="Times New Roman" w:hAnsi="Times New Roman"/>
          <w:szCs w:val="22"/>
          <w:lang w:val="sk-SK" w:eastAsia="sk-SK"/>
        </w:rPr>
        <w:t> </w:t>
      </w:r>
      <w:r w:rsidRPr="002A4665">
        <w:rPr>
          <w:rFonts w:ascii="Times New Roman" w:hAnsi="Times New Roman"/>
          <w:szCs w:val="22"/>
          <w:lang w:val="sk-SK" w:eastAsia="sk-SK"/>
        </w:rPr>
        <w:t>príznakmi</w:t>
      </w:r>
      <w:r w:rsidR="006667A6" w:rsidRPr="002A4665">
        <w:rPr>
          <w:rFonts w:ascii="Times New Roman" w:hAnsi="Times New Roman"/>
          <w:szCs w:val="22"/>
          <w:lang w:val="sk-SK" w:eastAsia="sk-SK"/>
        </w:rPr>
        <w:t>,</w:t>
      </w:r>
      <w:r w:rsidRPr="002A4665">
        <w:rPr>
          <w:rFonts w:ascii="Times New Roman" w:hAnsi="Times New Roman"/>
          <w:szCs w:val="22"/>
          <w:lang w:val="sk-SK" w:eastAsia="sk-SK"/>
        </w:rPr>
        <w:t xml:space="preserve"> ako sú únava, slabosť a/alebo hnačka, alebo so žiadnymi príznakmi. V</w:t>
      </w:r>
      <w:r w:rsidR="006667A6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prípadoch predávkovania dávkami </w:t>
      </w:r>
      <w:r w:rsidR="006667A6" w:rsidRPr="002A4665">
        <w:rPr>
          <w:rFonts w:ascii="Times New Roman" w:hAnsi="Times New Roman"/>
          <w:szCs w:val="22"/>
          <w:lang w:val="sk-SK" w:eastAsia="sk-SK"/>
        </w:rPr>
        <w:t xml:space="preserve">do </w:t>
      </w:r>
      <w:r w:rsidRPr="002A4665">
        <w:rPr>
          <w:rFonts w:ascii="Times New Roman" w:hAnsi="Times New Roman"/>
          <w:szCs w:val="22"/>
          <w:lang w:val="sk-SK" w:eastAsia="sk-SK"/>
        </w:rPr>
        <w:t>140 mg alebo neznámou dávkou sa u</w:t>
      </w:r>
      <w:r w:rsidR="006667A6" w:rsidRPr="002A4665">
        <w:rPr>
          <w:rFonts w:ascii="Times New Roman" w:hAnsi="Times New Roman"/>
          <w:szCs w:val="22"/>
          <w:lang w:val="sk-SK" w:eastAsia="sk-SK"/>
        </w:rPr>
        <w:t> </w:t>
      </w:r>
      <w:r w:rsidRPr="002A4665">
        <w:rPr>
          <w:rFonts w:ascii="Times New Roman" w:hAnsi="Times New Roman"/>
          <w:szCs w:val="22"/>
          <w:lang w:val="sk-SK" w:eastAsia="sk-SK"/>
        </w:rPr>
        <w:t>pacienta</w:t>
      </w:r>
      <w:r w:rsidR="006667A6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prejavili príznaky centrálneho nervového systému (zmätenosť, ospanlivosť, somnolencia,</w:t>
      </w:r>
      <w:r w:rsidR="006667A6" w:rsidRPr="002A4665">
        <w:rPr>
          <w:rFonts w:ascii="Times New Roman" w:hAnsi="Times New Roman"/>
          <w:szCs w:val="22"/>
          <w:lang w:val="sk-SK" w:eastAsia="sk-SK"/>
        </w:rPr>
        <w:t xml:space="preserve"> vertigo</w:t>
      </w:r>
      <w:r w:rsidRPr="002A4665">
        <w:rPr>
          <w:rFonts w:ascii="Times New Roman" w:hAnsi="Times New Roman"/>
          <w:szCs w:val="22"/>
          <w:lang w:val="sk-SK" w:eastAsia="sk-SK"/>
        </w:rPr>
        <w:t>, nepokoj, agresivita, halucinácie a poruchy chôdze) a/alebo gastrointestinálne</w:t>
      </w:r>
      <w:r w:rsidR="006667A6" w:rsidRPr="002A4665">
        <w:rPr>
          <w:rFonts w:ascii="Times New Roman" w:hAnsi="Times New Roman"/>
          <w:szCs w:val="22"/>
          <w:lang w:val="sk-SK" w:eastAsia="sk-SK"/>
        </w:rPr>
        <w:t xml:space="preserve"> ťažkosti </w:t>
      </w:r>
      <w:r w:rsidRPr="002A4665">
        <w:rPr>
          <w:rFonts w:ascii="Times New Roman" w:hAnsi="Times New Roman"/>
          <w:szCs w:val="22"/>
          <w:lang w:val="sk-SK" w:eastAsia="sk-SK"/>
        </w:rPr>
        <w:t>(vracanie a hnačka).</w:t>
      </w:r>
    </w:p>
    <w:p w:rsidR="006667A6" w:rsidRPr="002A4665" w:rsidRDefault="006667A6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Vo veľmi extrémnom prípade predávkovania, pacient prežil perorálne užitú dávku v celkovom</w:t>
      </w: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množstve 2</w:t>
      </w:r>
      <w:r w:rsidR="00D8186A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000 mg memantínu s účinkami na centrálny nervový systém (kóma počas 10 dní, a neskôr</w:t>
      </w: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diplopia a nepokoj). Pacient </w:t>
      </w:r>
      <w:r w:rsidR="00D8186A" w:rsidRPr="002A4665">
        <w:rPr>
          <w:rFonts w:ascii="Times New Roman" w:hAnsi="Times New Roman"/>
          <w:szCs w:val="22"/>
          <w:lang w:val="sk-SK" w:eastAsia="sk-SK"/>
        </w:rPr>
        <w:t xml:space="preserve">dostal </w:t>
      </w:r>
      <w:r w:rsidRPr="002A4665">
        <w:rPr>
          <w:rFonts w:ascii="Times New Roman" w:hAnsi="Times New Roman"/>
          <w:szCs w:val="22"/>
          <w:lang w:val="sk-SK" w:eastAsia="sk-SK"/>
        </w:rPr>
        <w:t>symptomatick</w:t>
      </w:r>
      <w:r w:rsidR="00D8186A" w:rsidRPr="002A4665">
        <w:rPr>
          <w:rFonts w:ascii="Times New Roman" w:hAnsi="Times New Roman"/>
          <w:szCs w:val="22"/>
          <w:lang w:val="sk-SK" w:eastAsia="sk-SK"/>
        </w:rPr>
        <w:t xml:space="preserve">ú </w:t>
      </w:r>
      <w:r w:rsidRPr="002A4665">
        <w:rPr>
          <w:rFonts w:ascii="Times New Roman" w:hAnsi="Times New Roman"/>
          <w:szCs w:val="22"/>
          <w:lang w:val="sk-SK" w:eastAsia="sk-SK"/>
        </w:rPr>
        <w:t>liečb</w:t>
      </w:r>
      <w:r w:rsidR="00D8186A" w:rsidRPr="002A4665">
        <w:rPr>
          <w:rFonts w:ascii="Times New Roman" w:hAnsi="Times New Roman"/>
          <w:szCs w:val="22"/>
          <w:lang w:val="sk-SK" w:eastAsia="sk-SK"/>
        </w:rPr>
        <w:t xml:space="preserve">u </w:t>
      </w:r>
      <w:r w:rsidRPr="002A4665">
        <w:rPr>
          <w:rFonts w:ascii="Times New Roman" w:hAnsi="Times New Roman"/>
          <w:szCs w:val="22"/>
          <w:lang w:val="sk-SK" w:eastAsia="sk-SK"/>
        </w:rPr>
        <w:t>a plazmaferéz</w:t>
      </w:r>
      <w:r w:rsidR="00D8186A" w:rsidRPr="002A4665">
        <w:rPr>
          <w:rFonts w:ascii="Times New Roman" w:hAnsi="Times New Roman"/>
          <w:szCs w:val="22"/>
          <w:lang w:val="sk-SK" w:eastAsia="sk-SK"/>
        </w:rPr>
        <w:t>u</w:t>
      </w:r>
      <w:r w:rsidRPr="002A4665">
        <w:rPr>
          <w:rFonts w:ascii="Times New Roman" w:hAnsi="Times New Roman"/>
          <w:szCs w:val="22"/>
          <w:lang w:val="sk-SK" w:eastAsia="sk-SK"/>
        </w:rPr>
        <w:t>. Pacient sa zotavil</w:t>
      </w: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bez trvalých následkov.</w:t>
      </w:r>
    </w:p>
    <w:p w:rsidR="00D8186A" w:rsidRPr="002A4665" w:rsidRDefault="00D8186A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 inom prípade značného predávkovania pacient tiež prežil a zotavil sa. P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acient perorálne užil </w:t>
      </w:r>
      <w:r w:rsidRPr="002A4665">
        <w:rPr>
          <w:rFonts w:ascii="Times New Roman" w:hAnsi="Times New Roman"/>
          <w:szCs w:val="22"/>
          <w:lang w:val="sk-SK" w:eastAsia="sk-SK"/>
        </w:rPr>
        <w:t xml:space="preserve">400 mg 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memantínu. U </w:t>
      </w:r>
      <w:r w:rsidRPr="002A4665">
        <w:rPr>
          <w:rFonts w:ascii="Times New Roman" w:hAnsi="Times New Roman"/>
          <w:szCs w:val="22"/>
          <w:lang w:val="sk-SK" w:eastAsia="sk-SK"/>
        </w:rPr>
        <w:t xml:space="preserve">pacienta 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sa </w:t>
      </w:r>
      <w:r w:rsidRPr="002A4665">
        <w:rPr>
          <w:rFonts w:ascii="Times New Roman" w:hAnsi="Times New Roman"/>
          <w:szCs w:val="22"/>
          <w:lang w:val="sk-SK" w:eastAsia="sk-SK"/>
        </w:rPr>
        <w:t>prejavili príznaky centrálneho nervového systému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, </w:t>
      </w:r>
      <w:r w:rsidRPr="002A4665">
        <w:rPr>
          <w:rFonts w:ascii="Times New Roman" w:hAnsi="Times New Roman"/>
          <w:szCs w:val="22"/>
          <w:lang w:val="sk-SK" w:eastAsia="sk-SK"/>
        </w:rPr>
        <w:t>ako je nepokoj,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psychóza, zrakové halucinácie, stav pred vznikom kŕčov, ospalosť, stupor a bezvedomie.</w:t>
      </w:r>
    </w:p>
    <w:p w:rsidR="002F6ACC" w:rsidRPr="002A4665" w:rsidRDefault="002F6ACC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7B04B0">
        <w:rPr>
          <w:rFonts w:ascii="Times New Roman" w:hAnsi="Times New Roman"/>
          <w:iCs/>
          <w:szCs w:val="22"/>
          <w:u w:val="single"/>
          <w:lang w:val="sk-SK" w:eastAsia="sk-SK"/>
        </w:rPr>
        <w:t>Liečba</w:t>
      </w: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V prípade predávkovania má byť liečba symptomatická. </w:t>
      </w:r>
      <w:r w:rsidR="00BB00D9" w:rsidRPr="002A4665">
        <w:rPr>
          <w:rFonts w:ascii="Times New Roman" w:hAnsi="Times New Roman"/>
          <w:szCs w:val="22"/>
          <w:lang w:val="sk-SK" w:eastAsia="sk-SK"/>
        </w:rPr>
        <w:t>Pri intoxikácii alebo pri predávkovaní n</w:t>
      </w:r>
      <w:r w:rsidRPr="002A4665">
        <w:rPr>
          <w:rFonts w:ascii="Times New Roman" w:hAnsi="Times New Roman"/>
          <w:szCs w:val="22"/>
          <w:lang w:val="sk-SK" w:eastAsia="sk-SK"/>
        </w:rPr>
        <w:t>ie je dostupné žiadne špecifické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antidotum. Štandardné klinické postupy na odstránenie liečiva</w:t>
      </w: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z tela, napr. výplach žalúdka, čierne uhlie (prerušenie možného entero-hepatálneho obehu),</w:t>
      </w: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acidifikácia moču; nútená diuréza 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sa </w:t>
      </w:r>
      <w:r w:rsidRPr="002A4665">
        <w:rPr>
          <w:rFonts w:ascii="Times New Roman" w:hAnsi="Times New Roman"/>
          <w:szCs w:val="22"/>
          <w:lang w:val="sk-SK" w:eastAsia="sk-SK"/>
        </w:rPr>
        <w:t>m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ajú </w:t>
      </w:r>
      <w:r w:rsidRPr="002A4665">
        <w:rPr>
          <w:rFonts w:ascii="Times New Roman" w:hAnsi="Times New Roman"/>
          <w:szCs w:val="22"/>
          <w:lang w:val="sk-SK" w:eastAsia="sk-SK"/>
        </w:rPr>
        <w:t>používa</w:t>
      </w:r>
      <w:r w:rsidR="00BB00D9" w:rsidRPr="002A4665">
        <w:rPr>
          <w:rFonts w:ascii="Times New Roman" w:hAnsi="Times New Roman"/>
          <w:szCs w:val="22"/>
          <w:lang w:val="sk-SK" w:eastAsia="sk-SK"/>
        </w:rPr>
        <w:t xml:space="preserve">ť </w:t>
      </w:r>
      <w:r w:rsidRPr="002A4665">
        <w:rPr>
          <w:rFonts w:ascii="Times New Roman" w:hAnsi="Times New Roman"/>
          <w:szCs w:val="22"/>
          <w:lang w:val="sk-SK" w:eastAsia="sk-SK"/>
        </w:rPr>
        <w:t>primerane.</w:t>
      </w:r>
    </w:p>
    <w:p w:rsidR="002F6ACC" w:rsidRPr="002A4665" w:rsidRDefault="002F6ACC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A32A9" w:rsidRPr="002A4665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 prípade znakov a symptómov nadmernej celkovej stimulácie centrálneho nervového systému</w:t>
      </w:r>
    </w:p>
    <w:p w:rsidR="005E341C" w:rsidRPr="002A4665" w:rsidRDefault="009A32A9" w:rsidP="009A32A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(CNS), sa má starostlivo zvážiť symptomatická klinická liečba.</w:t>
      </w:r>
    </w:p>
    <w:p w:rsidR="005E341C" w:rsidRPr="002A4665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5.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FARMAKOLOGICKÉ VLASTNOSTI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5.1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Farmakodynamické vlastnosti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Farmakoterapeutická skupina: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 Psychoanaleptiká;</w:t>
      </w:r>
      <w:r w:rsidRPr="002A4665">
        <w:rPr>
          <w:rFonts w:ascii="Times New Roman" w:hAnsi="Times New Roman"/>
          <w:szCs w:val="22"/>
          <w:lang w:val="sk-SK" w:eastAsia="sk-SK"/>
        </w:rPr>
        <w:t xml:space="preserve"> Iné lieky proti demencii, ATC kód: N06DX01.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Vzrastá množstvo dôkazov o tom, že porušená funkcia glutamátergickej neurotransmisie, najmä na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NMDA-receptoroch, sa podieľa na vzniku príznakov aj na progresii ochorenia neurodegeneratívnej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demencie.</w:t>
      </w:r>
    </w:p>
    <w:p w:rsidR="00966CE9" w:rsidRPr="002A4665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2A4665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lastRenderedPageBreak/>
        <w:t xml:space="preserve">Memantín je </w:t>
      </w:r>
      <w:r w:rsidR="00E676BF" w:rsidRPr="002A4665">
        <w:rPr>
          <w:rFonts w:ascii="Times New Roman" w:hAnsi="Times New Roman"/>
          <w:szCs w:val="22"/>
          <w:lang w:val="sk-SK" w:eastAsia="sk-SK"/>
        </w:rPr>
        <w:t>závislý</w:t>
      </w:r>
      <w:r w:rsidRPr="002A4665">
        <w:rPr>
          <w:rFonts w:ascii="Times New Roman" w:hAnsi="Times New Roman"/>
          <w:szCs w:val="22"/>
          <w:lang w:val="sk-SK" w:eastAsia="sk-SK"/>
        </w:rPr>
        <w:t xml:space="preserve"> od napätia</w:t>
      </w:r>
      <w:r w:rsidR="00E676BF" w:rsidRPr="002A4665">
        <w:rPr>
          <w:rFonts w:ascii="Times New Roman" w:hAnsi="Times New Roman"/>
          <w:szCs w:val="22"/>
          <w:lang w:val="sk-SK" w:eastAsia="sk-SK"/>
        </w:rPr>
        <w:t>, nekompetitívny antagonista NMDA receptorov strednej afinity.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Zmierňuje účinky patologicky zvýšených tonických hladín glutamátu, ktoré môžu viesť k neuronálnej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dysfunkcii.</w:t>
      </w:r>
    </w:p>
    <w:p w:rsidR="00966CE9" w:rsidRPr="002A4665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9038A" w:rsidRPr="007B04B0" w:rsidRDefault="00E676BF" w:rsidP="00E676BF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r w:rsidRPr="007B04B0">
        <w:rPr>
          <w:rFonts w:ascii="Times New Roman" w:hAnsi="Times New Roman"/>
          <w:iCs/>
          <w:szCs w:val="22"/>
          <w:u w:val="single"/>
          <w:lang w:val="sk-SK" w:eastAsia="sk-SK"/>
        </w:rPr>
        <w:t xml:space="preserve">Klinické štúdie 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Pivotná </w:t>
      </w:r>
      <w:r w:rsidR="00851AD6" w:rsidRPr="002A4665">
        <w:rPr>
          <w:rFonts w:ascii="Times New Roman" w:hAnsi="Times New Roman"/>
          <w:szCs w:val="22"/>
          <w:lang w:val="sk-SK" w:eastAsia="sk-SK"/>
        </w:rPr>
        <w:t xml:space="preserve">monoterapeutická </w:t>
      </w:r>
      <w:r w:rsidRPr="002A4665">
        <w:rPr>
          <w:rFonts w:ascii="Times New Roman" w:hAnsi="Times New Roman"/>
          <w:szCs w:val="22"/>
          <w:lang w:val="sk-SK" w:eastAsia="sk-SK"/>
        </w:rPr>
        <w:t xml:space="preserve">štúdia </w:t>
      </w:r>
      <w:r w:rsidR="00966CE9" w:rsidRPr="002A4665">
        <w:rPr>
          <w:rFonts w:ascii="Times New Roman" w:hAnsi="Times New Roman"/>
          <w:szCs w:val="22"/>
          <w:lang w:val="sk-SK" w:eastAsia="sk-SK"/>
        </w:rPr>
        <w:t>s </w:t>
      </w:r>
      <w:r w:rsidRPr="002A4665">
        <w:rPr>
          <w:rFonts w:ascii="Times New Roman" w:hAnsi="Times New Roman"/>
          <w:szCs w:val="22"/>
          <w:lang w:val="sk-SK" w:eastAsia="sk-SK"/>
        </w:rPr>
        <w:t>populáci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ou </w:t>
      </w:r>
      <w:r w:rsidRPr="002A4665">
        <w:rPr>
          <w:rFonts w:ascii="Times New Roman" w:hAnsi="Times New Roman"/>
          <w:szCs w:val="22"/>
          <w:lang w:val="sk-SK" w:eastAsia="sk-SK"/>
        </w:rPr>
        <w:t>pacientov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, ktorí mali </w:t>
      </w:r>
      <w:r w:rsidRPr="002A4665">
        <w:rPr>
          <w:rFonts w:ascii="Times New Roman" w:hAnsi="Times New Roman"/>
          <w:szCs w:val="22"/>
          <w:lang w:val="sk-SK" w:eastAsia="sk-SK"/>
        </w:rPr>
        <w:t>Alzheimerovu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chorobu stredného až ťažkého stupňa (celkové skóre mini mental state examination (MMSE) na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začiatku liečby 3 – 14) zahŕňala 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celkovo </w:t>
      </w:r>
      <w:r w:rsidRPr="002A4665">
        <w:rPr>
          <w:rFonts w:ascii="Times New Roman" w:hAnsi="Times New Roman"/>
          <w:szCs w:val="22"/>
          <w:lang w:val="sk-SK" w:eastAsia="sk-SK"/>
        </w:rPr>
        <w:t>252 ambulantne liečených pacientov. Štúdia preukázala priazniv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é </w:t>
      </w:r>
      <w:r w:rsidRPr="002A4665">
        <w:rPr>
          <w:rFonts w:ascii="Times New Roman" w:hAnsi="Times New Roman"/>
          <w:szCs w:val="22"/>
          <w:lang w:val="sk-SK" w:eastAsia="sk-SK"/>
        </w:rPr>
        <w:t>účink</w:t>
      </w:r>
      <w:r w:rsidR="00966CE9" w:rsidRPr="002A4665">
        <w:rPr>
          <w:rFonts w:ascii="Times New Roman" w:hAnsi="Times New Roman"/>
          <w:szCs w:val="22"/>
          <w:lang w:val="sk-SK" w:eastAsia="sk-SK"/>
        </w:rPr>
        <w:t>y</w:t>
      </w:r>
      <w:r w:rsidRPr="002A4665">
        <w:rPr>
          <w:rFonts w:ascii="Times New Roman" w:hAnsi="Times New Roman"/>
          <w:szCs w:val="22"/>
          <w:lang w:val="sk-SK" w:eastAsia="sk-SK"/>
        </w:rPr>
        <w:t xml:space="preserve"> liečby memantínom v porovnaní s placebom po 6-tich mesiacoch (analýza pozorovaných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prípadov - významnosť rozdielov pre CIBIC-plus (the clinician´s interview based impression of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change): p=0,025; pre ADCS-ADLsev (Alzheimer´s disease cooperative study – activities of daily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living): p=0,003; pre SIB (severe impairment battery): p=0,002).</w:t>
      </w:r>
    </w:p>
    <w:p w:rsidR="00966CE9" w:rsidRPr="002A4665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Pivotná štúdia 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s monoterapiou </w:t>
      </w:r>
      <w:r w:rsidRPr="002A4665">
        <w:rPr>
          <w:rFonts w:ascii="Times New Roman" w:hAnsi="Times New Roman"/>
          <w:szCs w:val="22"/>
          <w:lang w:val="sk-SK" w:eastAsia="sk-SK"/>
        </w:rPr>
        <w:t>memantínom v liečbe Alzheimerovej choroby mierneho až stredného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stupňa (celkové skóre MMSE na začiatku liečby 10 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až </w:t>
      </w:r>
      <w:r w:rsidRPr="002A4665">
        <w:rPr>
          <w:rFonts w:ascii="Times New Roman" w:hAnsi="Times New Roman"/>
          <w:szCs w:val="22"/>
          <w:lang w:val="sk-SK" w:eastAsia="sk-SK"/>
        </w:rPr>
        <w:t>22) zahŕňala 403 pacientov. U pacientov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liečených memantínom </w:t>
      </w:r>
      <w:r w:rsidR="00966CE9" w:rsidRPr="002A4665">
        <w:rPr>
          <w:rFonts w:ascii="Times New Roman" w:hAnsi="Times New Roman"/>
          <w:szCs w:val="22"/>
          <w:lang w:val="sk-SK" w:eastAsia="sk-SK"/>
        </w:rPr>
        <w:t>sa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pozorova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l </w:t>
      </w:r>
      <w:r w:rsidRPr="002A4665">
        <w:rPr>
          <w:rFonts w:ascii="Times New Roman" w:hAnsi="Times New Roman"/>
          <w:szCs w:val="22"/>
          <w:lang w:val="sk-SK" w:eastAsia="sk-SK"/>
        </w:rPr>
        <w:t>štatisticky signifikantne lepší účinok v porovnaní s pacientmi,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ktorým </w:t>
      </w:r>
      <w:r w:rsidR="00966CE9" w:rsidRPr="002A4665">
        <w:rPr>
          <w:rFonts w:ascii="Times New Roman" w:hAnsi="Times New Roman"/>
          <w:szCs w:val="22"/>
          <w:lang w:val="sk-SK" w:eastAsia="sk-SK"/>
        </w:rPr>
        <w:t>sa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podáva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lo </w:t>
      </w:r>
      <w:r w:rsidRPr="002A4665">
        <w:rPr>
          <w:rFonts w:ascii="Times New Roman" w:hAnsi="Times New Roman"/>
          <w:szCs w:val="22"/>
          <w:lang w:val="sk-SK" w:eastAsia="sk-SK"/>
        </w:rPr>
        <w:t xml:space="preserve">placebo v primárnych 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koncových </w:t>
      </w:r>
      <w:r w:rsidRPr="002A4665">
        <w:rPr>
          <w:rFonts w:ascii="Times New Roman" w:hAnsi="Times New Roman"/>
          <w:szCs w:val="22"/>
          <w:lang w:val="sk-SK" w:eastAsia="sk-SK"/>
        </w:rPr>
        <w:t>ukazovateľoch v 24. týždni prevodom hodnôt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z posledného dokumentovaného vyšetrenia (analýza LOCF): Alzheimer´s disease assessment scale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(ADAS-cog) (p=0,003) a CIBIC-plus (p=0,004). V ďalšej štúdii </w:t>
      </w:r>
      <w:r w:rsidR="00966CE9" w:rsidRPr="002A4665">
        <w:rPr>
          <w:rFonts w:ascii="Times New Roman" w:hAnsi="Times New Roman"/>
          <w:szCs w:val="22"/>
          <w:lang w:val="sk-SK" w:eastAsia="sk-SK"/>
        </w:rPr>
        <w:t xml:space="preserve">s monoterapiou </w:t>
      </w:r>
      <w:r w:rsidRPr="002A4665">
        <w:rPr>
          <w:rFonts w:ascii="Times New Roman" w:hAnsi="Times New Roman"/>
          <w:szCs w:val="22"/>
          <w:lang w:val="sk-SK" w:eastAsia="sk-SK"/>
        </w:rPr>
        <w:t>v liečbe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Alzheimerovej choroby mierneho až stredného stupňa bolo randomizovaných celkovo 470 pacientov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(celkové skóre MMSE na začiatku liečby 11-23). V prospektívne definovanej primárnej analýze</w:t>
      </w:r>
    </w:p>
    <w:p w:rsidR="00E676BF" w:rsidRPr="002A4665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sa</w:t>
      </w:r>
      <w:r w:rsidR="00E676BF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ne</w:t>
      </w:r>
      <w:r w:rsidR="00E676BF" w:rsidRPr="002A4665">
        <w:rPr>
          <w:rFonts w:ascii="Times New Roman" w:hAnsi="Times New Roman"/>
          <w:szCs w:val="22"/>
          <w:lang w:val="sk-SK" w:eastAsia="sk-SK"/>
        </w:rPr>
        <w:t>dosiah</w:t>
      </w:r>
      <w:r w:rsidRPr="002A4665">
        <w:rPr>
          <w:rFonts w:ascii="Times New Roman" w:hAnsi="Times New Roman"/>
          <w:szCs w:val="22"/>
          <w:lang w:val="sk-SK" w:eastAsia="sk-SK"/>
        </w:rPr>
        <w:t xml:space="preserve">la </w:t>
      </w:r>
      <w:r w:rsidR="00E676BF" w:rsidRPr="002A4665">
        <w:rPr>
          <w:rFonts w:ascii="Times New Roman" w:hAnsi="Times New Roman"/>
          <w:szCs w:val="22"/>
          <w:lang w:val="sk-SK" w:eastAsia="sk-SK"/>
        </w:rPr>
        <w:t xml:space="preserve">štatistická významnosť v primárnom </w:t>
      </w:r>
      <w:r w:rsidRPr="002A4665">
        <w:rPr>
          <w:rFonts w:ascii="Times New Roman" w:hAnsi="Times New Roman"/>
          <w:szCs w:val="22"/>
          <w:lang w:val="sk-SK" w:eastAsia="sk-SK"/>
        </w:rPr>
        <w:t xml:space="preserve">koncovom </w:t>
      </w:r>
      <w:r w:rsidR="00E676BF" w:rsidRPr="002A4665">
        <w:rPr>
          <w:rFonts w:ascii="Times New Roman" w:hAnsi="Times New Roman"/>
          <w:szCs w:val="22"/>
          <w:lang w:val="sk-SK" w:eastAsia="sk-SK"/>
        </w:rPr>
        <w:t>ukazovateli účinnosti v 24. týždni.</w:t>
      </w:r>
    </w:p>
    <w:p w:rsidR="00577914" w:rsidRPr="002A4665" w:rsidRDefault="00577914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Meta-analýza pacientov s Alzheimerovou chorobou stredného až ťažkého stupňa (celkové skóre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MMSE &lt; 20) zo šiestich, placebom kontrolovaných, 6-mesačných klinických štúdií vo fáze III.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(vrátane monoterapeutických štúdií a štúdií s pacientmi na ustálenej dávke inihibítorov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acetylcholínesterázy) preukázala štatisticky signifikantný účinok v prospech liečby memantínom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 kognitívnej, globálnej a funkčnej oblasti. Pri identifikovaní pacientov so súčasným zhoršením vo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všetkých troch oblastiach výsledky ukázali štatisticky signifikantný účinok memantínu v prevencii</w:t>
      </w:r>
    </w:p>
    <w:p w:rsidR="00E676BF" w:rsidRPr="002A4665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zhoršenia. Až u dvojnásobného počtu pacientov na placebe v porovnaní s pacientmi na memantíne sa</w:t>
      </w:r>
    </w:p>
    <w:p w:rsidR="00E676BF" w:rsidRPr="002A4665" w:rsidRDefault="00E676BF" w:rsidP="00E676BF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preukázalo zhoršenie vo všetkých troch oblastiach (21</w:t>
      </w:r>
      <w:r w:rsidR="00577914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 voči 11</w:t>
      </w:r>
      <w:r w:rsidR="00577914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%, p&lt;0,0001).</w:t>
      </w:r>
      <w:r w:rsidRPr="002A4665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E676BF" w:rsidRPr="002A4665" w:rsidRDefault="00E676BF" w:rsidP="00E676BF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/>
        </w:rPr>
      </w:pP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5.2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Farmakokinetické vlastnosti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511C68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iCs/>
          <w:szCs w:val="22"/>
          <w:u w:val="single"/>
          <w:lang w:val="sk-SK" w:eastAsia="sk-SK"/>
        </w:rPr>
        <w:t>Absorpcia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Memantín má absolútnu biologickú dostupnosť približne 100%. T</w:t>
      </w:r>
      <w:r w:rsidRPr="002A4665">
        <w:rPr>
          <w:rFonts w:ascii="Times New Roman" w:hAnsi="Times New Roman"/>
          <w:szCs w:val="22"/>
          <w:vertAlign w:val="subscript"/>
          <w:lang w:val="sk-SK" w:eastAsia="sk-SK"/>
        </w:rPr>
        <w:t>max</w:t>
      </w:r>
      <w:r w:rsidRPr="002A4665">
        <w:rPr>
          <w:rFonts w:ascii="Times New Roman" w:hAnsi="Times New Roman"/>
          <w:szCs w:val="22"/>
          <w:lang w:val="sk-SK" w:eastAsia="sk-SK"/>
        </w:rPr>
        <w:t xml:space="preserve"> je medzi </w:t>
      </w:r>
      <w:smartTag w:uri="urn:schemas-microsoft-com:office:smarttags" w:element="metricconverter">
        <w:smartTagPr>
          <w:attr w:name="ProductID" w:val="3 a"/>
        </w:smartTagPr>
        <w:r w:rsidRPr="002A4665">
          <w:rPr>
            <w:rFonts w:ascii="Times New Roman" w:hAnsi="Times New Roman"/>
            <w:szCs w:val="22"/>
            <w:lang w:val="sk-SK" w:eastAsia="sk-SK"/>
          </w:rPr>
          <w:t>3 a</w:t>
        </w:r>
      </w:smartTag>
      <w:r w:rsidRPr="002A4665">
        <w:rPr>
          <w:rFonts w:ascii="Times New Roman" w:hAnsi="Times New Roman"/>
          <w:szCs w:val="22"/>
          <w:lang w:val="sk-SK" w:eastAsia="sk-SK"/>
        </w:rPr>
        <w:t xml:space="preserve"> 8 hodín. Nie sú dôkazy o tom, že potrava ovplyvňuje absorpciu memantínu.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1C68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iCs/>
          <w:szCs w:val="22"/>
          <w:u w:val="single"/>
          <w:lang w:val="sk-SK" w:eastAsia="sk-SK"/>
        </w:rPr>
        <w:t>Distribúcia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Denné dávky 20 mg vedú k rovnovážnym plazmatickým koncentráciám memantínu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v rozmedzí od 70 do 150 ng/ml (0,5-1 </w:t>
      </w:r>
      <w:r w:rsidRPr="002A4665">
        <w:rPr>
          <w:rFonts w:ascii="Times New Roman" w:eastAsia="SymbolMT" w:hAnsi="Times New Roman"/>
          <w:szCs w:val="22"/>
          <w:lang w:val="sk-SK" w:eastAsia="sk-SK"/>
        </w:rPr>
        <w:t>μ</w:t>
      </w:r>
      <w:r w:rsidRPr="002A4665">
        <w:rPr>
          <w:rFonts w:ascii="Times New Roman" w:hAnsi="Times New Roman"/>
          <w:szCs w:val="22"/>
          <w:lang w:val="sk-SK" w:eastAsia="sk-SK"/>
        </w:rPr>
        <w:t>mol) s veľkými interindividuálnymi variáciami. Keď sa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podávali denné dávky 5 až 30 mg, priemerný pomer cerebrospinálny likvor (CSF)/sérum bol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vypočítaný na 0,52. Distribučný objem je okolo 10 l/kg. Približne 45</w:t>
      </w:r>
      <w:r w:rsidR="00796062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 memantínu sa viaže na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plazmatické proteíny.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1C68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iCs/>
          <w:szCs w:val="22"/>
          <w:u w:val="single"/>
          <w:lang w:val="sk-SK" w:eastAsia="sk-SK"/>
        </w:rPr>
        <w:t>Biotransformácia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U ľudí je asi 80</w:t>
      </w:r>
      <w:r w:rsidR="00B66868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 cirkulujúceho memantínového materiálu prítomného v podobe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materskej látky. Hlavnými metabolitmi u ľudí sú N-3,5-dimetyl-gludantán, izomerická zmes 4- a 6-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hydroxy-memantínu a 1-nitrózo-3,5-dimetyl-adamantán. Žiaden z týchto metabolitov nevykazuje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NMDA-antagonistickú aktivitu. </w:t>
      </w:r>
      <w:r w:rsidRPr="002A4665">
        <w:rPr>
          <w:rFonts w:ascii="Times New Roman" w:hAnsi="Times New Roman"/>
          <w:i/>
          <w:iCs/>
          <w:szCs w:val="22"/>
          <w:lang w:val="sk-SK" w:eastAsia="sk-SK"/>
        </w:rPr>
        <w:t xml:space="preserve">In vitro </w:t>
      </w:r>
      <w:r w:rsidRPr="002A4665">
        <w:rPr>
          <w:rFonts w:ascii="Times New Roman" w:hAnsi="Times New Roman"/>
          <w:szCs w:val="22"/>
          <w:lang w:val="sk-SK" w:eastAsia="sk-SK"/>
        </w:rPr>
        <w:t>sa nezistil metabolizmus, katalyzovaný niektorým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z cytochrómov P-450.</w:t>
      </w:r>
    </w:p>
    <w:p w:rsidR="00796062" w:rsidRPr="002A4665" w:rsidRDefault="00796062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V štúdii s použitím perorálne podávaného </w:t>
      </w:r>
      <w:smartTag w:uri="urn:schemas-microsoft-com:office:smarttags" w:element="metricconverter">
        <w:smartTagPr>
          <w:attr w:name="ProductID" w:val="14C"/>
        </w:smartTagPr>
        <w:r w:rsidR="00511C68" w:rsidRPr="002A4665">
          <w:rPr>
            <w:rFonts w:ascii="Times New Roman" w:hAnsi="Times New Roman"/>
            <w:szCs w:val="22"/>
            <w:lang w:val="sk-SK" w:eastAsia="sk-SK" w:bidi="my-MM"/>
          </w:rPr>
          <w:t>14C</w:t>
        </w:r>
      </w:smartTag>
      <w:r w:rsidR="00511C68" w:rsidRPr="002A4665" w:rsidDel="00511C68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-memantínu vymizlo priemerne 84</w:t>
      </w:r>
      <w:r w:rsidR="00B66868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 dávky v priebehu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20 dní, pričom viac ako 99</w:t>
      </w:r>
      <w:r w:rsidR="00B66868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% sa vylúčilo obličkami.</w:t>
      </w:r>
    </w:p>
    <w:p w:rsidR="00796062" w:rsidRPr="002A4665" w:rsidRDefault="00796062" w:rsidP="004D12E7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</w:p>
    <w:p w:rsidR="00511C68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iCs/>
          <w:szCs w:val="22"/>
          <w:u w:val="single"/>
          <w:lang w:val="sk-SK" w:eastAsia="sk-SK"/>
        </w:rPr>
        <w:t>Eliminácia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lastRenderedPageBreak/>
        <w:t>Memantín sa vylučuje monoexponenciálnym spôsobom s konečným t</w:t>
      </w:r>
      <w:r w:rsidR="00B66868" w:rsidRPr="002A4665">
        <w:rPr>
          <w:rFonts w:ascii="Times New Roman" w:hAnsi="Times New Roman"/>
          <w:szCs w:val="22"/>
          <w:lang w:val="sk-SK" w:eastAsia="sk-SK"/>
        </w:rPr>
        <w:t xml:space="preserve"> ½ </w:t>
      </w:r>
      <w:r w:rsidRPr="002A4665">
        <w:rPr>
          <w:rFonts w:ascii="Times New Roman" w:hAnsi="Times New Roman"/>
          <w:szCs w:val="22"/>
          <w:lang w:val="sk-SK" w:eastAsia="sk-SK"/>
        </w:rPr>
        <w:t>od 60 do 100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hodín. U dobrovoľníkov s normálnymi funkciami obličiek dosahuje celkový klírens (</w:t>
      </w:r>
      <w:r w:rsidR="00511C68" w:rsidRPr="002A4665">
        <w:rPr>
          <w:rFonts w:ascii="Times New Roman" w:hAnsi="Times New Roman"/>
          <w:szCs w:val="22"/>
          <w:lang w:val="sk-SK" w:eastAsia="sk-SK" w:bidi="my-MM"/>
        </w:rPr>
        <w:t>Cltot</w:t>
      </w:r>
      <w:r w:rsidRPr="002A4665">
        <w:rPr>
          <w:rFonts w:ascii="Times New Roman" w:hAnsi="Times New Roman"/>
          <w:szCs w:val="22"/>
          <w:lang w:val="sk-SK" w:eastAsia="sk-SK"/>
        </w:rPr>
        <w:t>) množstvo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do 170 ml/min/1,73 m</w:t>
      </w:r>
      <w:r w:rsidRPr="002A4665">
        <w:rPr>
          <w:rFonts w:ascii="Times New Roman" w:hAnsi="Times New Roman"/>
          <w:szCs w:val="22"/>
          <w:vertAlign w:val="superscript"/>
          <w:lang w:val="sk-SK" w:eastAsia="sk-SK"/>
        </w:rPr>
        <w:t>2</w:t>
      </w:r>
      <w:r w:rsidRPr="002A4665">
        <w:rPr>
          <w:rFonts w:ascii="Times New Roman" w:hAnsi="Times New Roman"/>
          <w:szCs w:val="22"/>
          <w:lang w:val="sk-SK" w:eastAsia="sk-SK"/>
        </w:rPr>
        <w:t xml:space="preserve"> a časť celkového obličkového klírensu sa dosahuje tubulárnou sekréciou.</w:t>
      </w:r>
    </w:p>
    <w:p w:rsidR="00B66868" w:rsidRPr="002A4665" w:rsidRDefault="00B66868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Obličkový transport zahŕňa tiež tubulárnu reabsorpciu, pravdepodobne sprostredkovanú katiónovými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transportnými proteínmi. Rýchlosť obličkovej eliminácie memantínu </w:t>
      </w:r>
      <w:r w:rsidR="00277CE1" w:rsidRPr="002A4665">
        <w:rPr>
          <w:rFonts w:ascii="Times New Roman" w:hAnsi="Times New Roman"/>
          <w:szCs w:val="22"/>
          <w:lang w:val="sk-SK" w:eastAsia="sk-SK"/>
        </w:rPr>
        <w:t xml:space="preserve">sa </w:t>
      </w:r>
      <w:r w:rsidRPr="002A4665">
        <w:rPr>
          <w:rFonts w:ascii="Times New Roman" w:hAnsi="Times New Roman"/>
          <w:szCs w:val="22"/>
          <w:lang w:val="sk-SK" w:eastAsia="sk-SK"/>
        </w:rPr>
        <w:t xml:space="preserve">môže </w:t>
      </w:r>
      <w:r w:rsidR="00277CE1" w:rsidRPr="002A4665">
        <w:rPr>
          <w:rFonts w:ascii="Times New Roman" w:hAnsi="Times New Roman"/>
          <w:szCs w:val="22"/>
          <w:lang w:val="sk-SK" w:eastAsia="sk-SK"/>
        </w:rPr>
        <w:t xml:space="preserve">pri </w:t>
      </w:r>
      <w:r w:rsidRPr="002A4665">
        <w:rPr>
          <w:rFonts w:ascii="Times New Roman" w:hAnsi="Times New Roman"/>
          <w:szCs w:val="22"/>
          <w:lang w:val="sk-SK" w:eastAsia="sk-SK"/>
        </w:rPr>
        <w:t>alkalických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podmienk</w:t>
      </w:r>
      <w:r w:rsidR="00277CE1" w:rsidRPr="002A4665">
        <w:rPr>
          <w:rFonts w:ascii="Times New Roman" w:hAnsi="Times New Roman"/>
          <w:szCs w:val="22"/>
          <w:lang w:val="sk-SK" w:eastAsia="sk-SK"/>
        </w:rPr>
        <w:t>ach</w:t>
      </w:r>
      <w:r w:rsidRPr="002A4665">
        <w:rPr>
          <w:rFonts w:ascii="Times New Roman" w:hAnsi="Times New Roman"/>
          <w:szCs w:val="22"/>
          <w:lang w:val="sk-SK" w:eastAsia="sk-SK"/>
        </w:rPr>
        <w:t xml:space="preserve"> moču zníž</w:t>
      </w:r>
      <w:r w:rsidR="00277CE1" w:rsidRPr="002A4665">
        <w:rPr>
          <w:rFonts w:ascii="Times New Roman" w:hAnsi="Times New Roman"/>
          <w:szCs w:val="22"/>
          <w:lang w:val="sk-SK" w:eastAsia="sk-SK"/>
        </w:rPr>
        <w:t>iť</w:t>
      </w:r>
      <w:r w:rsidRPr="002A4665">
        <w:rPr>
          <w:rFonts w:ascii="Times New Roman" w:hAnsi="Times New Roman"/>
          <w:szCs w:val="22"/>
          <w:lang w:val="sk-SK" w:eastAsia="sk-SK"/>
        </w:rPr>
        <w:t>, faktor zníženia sa pohybuje od 7 do 9 (pozri časť 4.4). Alkalizácia moču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môže byť výsledkom drastických zmien diéty, napr. z mäs</w:t>
      </w:r>
      <w:r w:rsidR="00260CD0" w:rsidRPr="002A4665">
        <w:rPr>
          <w:rFonts w:ascii="Times New Roman" w:hAnsi="Times New Roman"/>
          <w:szCs w:val="22"/>
          <w:lang w:val="sk-SK" w:eastAsia="sk-SK"/>
        </w:rPr>
        <w:t>it</w:t>
      </w:r>
      <w:r w:rsidRPr="002A4665">
        <w:rPr>
          <w:rFonts w:ascii="Times New Roman" w:hAnsi="Times New Roman"/>
          <w:szCs w:val="22"/>
          <w:lang w:val="sk-SK" w:eastAsia="sk-SK"/>
        </w:rPr>
        <w:t>ej na vegetariánsku, alebo masívneho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príjmu alkalizujúcich žalúdočných pufrov.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</w:p>
    <w:p w:rsidR="00511C68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iCs/>
          <w:szCs w:val="22"/>
          <w:u w:val="single"/>
          <w:lang w:val="sk-SK" w:eastAsia="sk-SK"/>
        </w:rPr>
        <w:t>Linearita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Štúdie na dobrovoľníkoch demonštrovali lineárnu farmakokinetiku v dávkovom rozpätí 10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až 40 mg.</w:t>
      </w:r>
    </w:p>
    <w:p w:rsidR="004D12E7" w:rsidRPr="002A4665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1C68" w:rsidRPr="002A4665" w:rsidRDefault="00511C68" w:rsidP="004D12E7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iCs/>
          <w:szCs w:val="22"/>
          <w:u w:val="single"/>
          <w:lang w:val="sk-SK" w:eastAsia="sk-SK" w:bidi="my-MM"/>
        </w:rPr>
        <w:t xml:space="preserve">Farmakokinetický/farmakodynamický </w:t>
      </w:r>
      <w:r w:rsidRPr="002A4665">
        <w:rPr>
          <w:rFonts w:ascii="Times New Roman" w:hAnsi="Times New Roman"/>
          <w:iCs/>
          <w:szCs w:val="22"/>
          <w:u w:val="single"/>
          <w:lang w:val="sk-SK" w:eastAsia="sk-SK"/>
        </w:rPr>
        <w:t>v</w:t>
      </w:r>
      <w:r w:rsidR="004D12E7" w:rsidRPr="002A4665">
        <w:rPr>
          <w:rFonts w:ascii="Times New Roman" w:hAnsi="Times New Roman"/>
          <w:iCs/>
          <w:szCs w:val="22"/>
          <w:u w:val="single"/>
          <w:lang w:val="sk-SK" w:eastAsia="sk-SK"/>
        </w:rPr>
        <w:t>zťah</w:t>
      </w:r>
    </w:p>
    <w:p w:rsidR="005E341C" w:rsidRPr="002A4665" w:rsidRDefault="004D12E7" w:rsidP="00AD530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Pri dávke memantínu 20 mg denne hladiny memantínu</w:t>
      </w:r>
      <w:r w:rsidR="00AD5307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v CSF zodpovedajú hodnote ki (ki</w:t>
      </w:r>
      <w:r w:rsidR="00277CE1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=</w:t>
      </w:r>
      <w:r w:rsidR="00277CE1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inhibičná konštanta) memantínu, ktorá je 0,5 </w:t>
      </w:r>
      <w:r w:rsidRPr="002A4665">
        <w:rPr>
          <w:rFonts w:ascii="Times New Roman" w:eastAsia="SymbolMT" w:hAnsi="Times New Roman"/>
          <w:szCs w:val="22"/>
          <w:lang w:val="sk-SK" w:eastAsia="sk-SK"/>
        </w:rPr>
        <w:t>μ</w:t>
      </w:r>
      <w:r w:rsidRPr="002A4665">
        <w:rPr>
          <w:rFonts w:ascii="Times New Roman" w:hAnsi="Times New Roman"/>
          <w:szCs w:val="22"/>
          <w:lang w:val="sk-SK" w:eastAsia="sk-SK"/>
        </w:rPr>
        <w:t>mol v ľudskom</w:t>
      </w:r>
      <w:r w:rsidR="00AD5307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frontálnom kortexe.</w:t>
      </w: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5.3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Predklinické údaje o bezpečnosti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970EA" w:rsidRPr="002A4665" w:rsidRDefault="00DB2849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 krátkodobých štúdiách na</w:t>
      </w:r>
      <w:r w:rsidR="007970EA" w:rsidRPr="002A4665">
        <w:rPr>
          <w:rFonts w:ascii="Times New Roman" w:hAnsi="Times New Roman"/>
          <w:szCs w:val="22"/>
          <w:lang w:val="sk-SK" w:eastAsia="sk-SK"/>
        </w:rPr>
        <w:t xml:space="preserve"> potkano</w:t>
      </w:r>
      <w:r w:rsidRPr="002A4665">
        <w:rPr>
          <w:rFonts w:ascii="Times New Roman" w:hAnsi="Times New Roman"/>
          <w:szCs w:val="22"/>
          <w:lang w:val="sk-SK" w:eastAsia="sk-SK"/>
        </w:rPr>
        <w:t xml:space="preserve">ch </w:t>
      </w:r>
      <w:r w:rsidR="007970EA" w:rsidRPr="002A4665">
        <w:rPr>
          <w:rFonts w:ascii="Times New Roman" w:hAnsi="Times New Roman"/>
          <w:szCs w:val="22"/>
          <w:lang w:val="sk-SK" w:eastAsia="sk-SK"/>
        </w:rPr>
        <w:t>indukoval memantín, podobne ako in</w:t>
      </w:r>
      <w:r w:rsidR="0059038A" w:rsidRPr="002A4665">
        <w:rPr>
          <w:rFonts w:ascii="Times New Roman" w:hAnsi="Times New Roman"/>
          <w:szCs w:val="22"/>
          <w:lang w:val="sk-SK" w:eastAsia="sk-SK"/>
        </w:rPr>
        <w:t>é</w:t>
      </w:r>
      <w:r w:rsidR="007970EA" w:rsidRPr="002A4665">
        <w:rPr>
          <w:rFonts w:ascii="Times New Roman" w:hAnsi="Times New Roman"/>
          <w:szCs w:val="22"/>
          <w:lang w:val="sk-SK" w:eastAsia="sk-SK"/>
        </w:rPr>
        <w:t xml:space="preserve"> NMDA-antagonist</w:t>
      </w:r>
      <w:r w:rsidR="0059038A" w:rsidRPr="002A4665">
        <w:rPr>
          <w:rFonts w:ascii="Times New Roman" w:hAnsi="Times New Roman"/>
          <w:szCs w:val="22"/>
          <w:lang w:val="sk-SK" w:eastAsia="sk-SK"/>
        </w:rPr>
        <w:t>y</w:t>
      </w:r>
      <w:r w:rsidR="007970EA" w:rsidRPr="002A4665">
        <w:rPr>
          <w:rFonts w:ascii="Times New Roman" w:hAnsi="Times New Roman"/>
          <w:szCs w:val="22"/>
          <w:lang w:val="sk-SK" w:eastAsia="sk-SK"/>
        </w:rPr>
        <w:t>,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neuronálnu vakuolizáciu a nekrózu (Olneyho lézie) len po dávkach, vedúcich k veľmi vysokým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sérovým koncentráciám. Ataxia a iné predklinické príznaky predchádzali vakuolizácii a nekróze.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Keďže</w:t>
      </w:r>
      <w:r w:rsidR="00DB2849" w:rsidRPr="002A4665">
        <w:rPr>
          <w:rFonts w:ascii="Times New Roman" w:hAnsi="Times New Roman"/>
          <w:szCs w:val="22"/>
          <w:lang w:val="sk-SK" w:eastAsia="sk-SK"/>
        </w:rPr>
        <w:t xml:space="preserve"> sa</w:t>
      </w:r>
      <w:r w:rsidRPr="002A4665">
        <w:rPr>
          <w:rFonts w:ascii="Times New Roman" w:hAnsi="Times New Roman"/>
          <w:szCs w:val="22"/>
          <w:lang w:val="sk-SK" w:eastAsia="sk-SK"/>
        </w:rPr>
        <w:t xml:space="preserve"> takéto účinky </w:t>
      </w:r>
      <w:r w:rsidR="00DB2849" w:rsidRPr="002A4665">
        <w:rPr>
          <w:rFonts w:ascii="Times New Roman" w:hAnsi="Times New Roman"/>
          <w:szCs w:val="22"/>
          <w:lang w:val="sk-SK" w:eastAsia="sk-SK"/>
        </w:rPr>
        <w:t>ne</w:t>
      </w:r>
      <w:r w:rsidRPr="002A4665">
        <w:rPr>
          <w:rFonts w:ascii="Times New Roman" w:hAnsi="Times New Roman"/>
          <w:szCs w:val="22"/>
          <w:lang w:val="sk-SK" w:eastAsia="sk-SK"/>
        </w:rPr>
        <w:t>pozorova</w:t>
      </w:r>
      <w:r w:rsidR="00DB2849" w:rsidRPr="002A4665">
        <w:rPr>
          <w:rFonts w:ascii="Times New Roman" w:hAnsi="Times New Roman"/>
          <w:szCs w:val="22"/>
          <w:lang w:val="sk-SK" w:eastAsia="sk-SK"/>
        </w:rPr>
        <w:t xml:space="preserve">li </w:t>
      </w:r>
      <w:r w:rsidRPr="002A4665">
        <w:rPr>
          <w:rFonts w:ascii="Times New Roman" w:hAnsi="Times New Roman"/>
          <w:szCs w:val="22"/>
          <w:lang w:val="sk-SK" w:eastAsia="sk-SK"/>
        </w:rPr>
        <w:t xml:space="preserve">v dlhodobých štúdiách </w:t>
      </w:r>
      <w:r w:rsidR="00DB2849" w:rsidRPr="002A4665">
        <w:rPr>
          <w:rFonts w:ascii="Times New Roman" w:hAnsi="Times New Roman"/>
          <w:szCs w:val="22"/>
          <w:lang w:val="sk-SK" w:eastAsia="sk-SK"/>
        </w:rPr>
        <w:t xml:space="preserve">na </w:t>
      </w:r>
      <w:r w:rsidRPr="002A4665">
        <w:rPr>
          <w:rFonts w:ascii="Times New Roman" w:hAnsi="Times New Roman"/>
          <w:szCs w:val="22"/>
          <w:lang w:val="sk-SK" w:eastAsia="sk-SK"/>
        </w:rPr>
        <w:t>hlodavco</w:t>
      </w:r>
      <w:r w:rsidR="00DB2849" w:rsidRPr="002A4665">
        <w:rPr>
          <w:rFonts w:ascii="Times New Roman" w:hAnsi="Times New Roman"/>
          <w:szCs w:val="22"/>
          <w:lang w:val="sk-SK" w:eastAsia="sk-SK"/>
        </w:rPr>
        <w:t xml:space="preserve">ch </w:t>
      </w:r>
      <w:r w:rsidRPr="002A4665">
        <w:rPr>
          <w:rFonts w:ascii="Times New Roman" w:hAnsi="Times New Roman"/>
          <w:szCs w:val="22"/>
          <w:lang w:val="sk-SK" w:eastAsia="sk-SK"/>
        </w:rPr>
        <w:t xml:space="preserve">ani </w:t>
      </w:r>
      <w:r w:rsidR="00DB2849" w:rsidRPr="002A4665">
        <w:rPr>
          <w:rFonts w:ascii="Times New Roman" w:hAnsi="Times New Roman"/>
          <w:szCs w:val="22"/>
          <w:lang w:val="sk-SK" w:eastAsia="sk-SK"/>
        </w:rPr>
        <w:t xml:space="preserve">na </w:t>
      </w:r>
      <w:r w:rsidRPr="002A4665">
        <w:rPr>
          <w:rFonts w:ascii="Times New Roman" w:hAnsi="Times New Roman"/>
          <w:szCs w:val="22"/>
          <w:lang w:val="sk-SK" w:eastAsia="sk-SK"/>
        </w:rPr>
        <w:t>nehlodavco</w:t>
      </w:r>
      <w:r w:rsidR="00DB2849" w:rsidRPr="002A4665">
        <w:rPr>
          <w:rFonts w:ascii="Times New Roman" w:hAnsi="Times New Roman"/>
          <w:szCs w:val="22"/>
          <w:lang w:val="sk-SK" w:eastAsia="sk-SK"/>
        </w:rPr>
        <w:t>ch</w:t>
      </w:r>
      <w:r w:rsidRPr="002A4665">
        <w:rPr>
          <w:rFonts w:ascii="Times New Roman" w:hAnsi="Times New Roman"/>
          <w:szCs w:val="22"/>
          <w:lang w:val="sk-SK" w:eastAsia="sk-SK"/>
        </w:rPr>
        <w:t>,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klinický význam týchto zistení </w:t>
      </w:r>
      <w:r w:rsidR="00DB2849" w:rsidRPr="002A4665">
        <w:rPr>
          <w:rFonts w:ascii="Times New Roman" w:hAnsi="Times New Roman"/>
          <w:szCs w:val="22"/>
          <w:lang w:val="sk-SK" w:eastAsia="sk-SK"/>
        </w:rPr>
        <w:t xml:space="preserve">nie je </w:t>
      </w:r>
      <w:r w:rsidRPr="002A4665">
        <w:rPr>
          <w:rFonts w:ascii="Times New Roman" w:hAnsi="Times New Roman"/>
          <w:szCs w:val="22"/>
          <w:lang w:val="sk-SK" w:eastAsia="sk-SK"/>
        </w:rPr>
        <w:t>jasný.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 štúdiách toxicity po opakovanej dávke u hlodavcov a psov, ale nie u opíc, sa premenlivo pozorovali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očné zmeny. Špecifické oftalmoskopické vyšetrenia v klinických štúdiách s memantínom však žiadne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takéto zmeny neodhalili.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U hlodavcov sa pozorovala fosfolipidóza v pľúcnych makrofágoch v dôsledku nahromadenia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memantínu v lyzozómoch. Tento účinok je známy aj u iných liečiv s kati</w:t>
      </w:r>
      <w:r w:rsidR="004256A7" w:rsidRPr="002A4665">
        <w:rPr>
          <w:rFonts w:ascii="Times New Roman" w:hAnsi="Times New Roman"/>
          <w:szCs w:val="22"/>
          <w:lang w:val="sk-SK" w:eastAsia="sk-SK"/>
        </w:rPr>
        <w:t>ó</w:t>
      </w:r>
      <w:r w:rsidRPr="002A4665">
        <w:rPr>
          <w:rFonts w:ascii="Times New Roman" w:hAnsi="Times New Roman"/>
          <w:szCs w:val="22"/>
          <w:lang w:val="sk-SK" w:eastAsia="sk-SK"/>
        </w:rPr>
        <w:t>novými amfifilickými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 xml:space="preserve">vlastnosťami. </w:t>
      </w:r>
      <w:r w:rsidR="004E5894" w:rsidRPr="002A4665">
        <w:rPr>
          <w:rFonts w:ascii="Times New Roman" w:hAnsi="Times New Roman"/>
          <w:szCs w:val="22"/>
          <w:lang w:val="sk-SK" w:eastAsia="sk-SK"/>
        </w:rPr>
        <w:t xml:space="preserve">Existuje možno </w:t>
      </w:r>
      <w:r w:rsidRPr="002A4665">
        <w:rPr>
          <w:rFonts w:ascii="Times New Roman" w:hAnsi="Times New Roman"/>
          <w:szCs w:val="22"/>
          <w:lang w:val="sk-SK" w:eastAsia="sk-SK"/>
        </w:rPr>
        <w:t>vzťah medzi touto akumuláciou a vakuolizáciou pozorovanou v pľúcach.</w:t>
      </w:r>
      <w:r w:rsidR="004E5894"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 xml:space="preserve">Tento účinok </w:t>
      </w:r>
      <w:r w:rsidR="004E5894" w:rsidRPr="002A4665">
        <w:rPr>
          <w:rFonts w:ascii="Times New Roman" w:hAnsi="Times New Roman"/>
          <w:szCs w:val="22"/>
          <w:lang w:val="sk-SK" w:eastAsia="sk-SK"/>
        </w:rPr>
        <w:t xml:space="preserve">sa </w:t>
      </w:r>
      <w:r w:rsidRPr="002A4665">
        <w:rPr>
          <w:rFonts w:ascii="Times New Roman" w:hAnsi="Times New Roman"/>
          <w:szCs w:val="22"/>
          <w:lang w:val="sk-SK" w:eastAsia="sk-SK"/>
        </w:rPr>
        <w:t>pozorova</w:t>
      </w:r>
      <w:r w:rsidR="004E5894" w:rsidRPr="002A4665">
        <w:rPr>
          <w:rFonts w:ascii="Times New Roman" w:hAnsi="Times New Roman"/>
          <w:szCs w:val="22"/>
          <w:lang w:val="sk-SK" w:eastAsia="sk-SK"/>
        </w:rPr>
        <w:t xml:space="preserve">l </w:t>
      </w:r>
      <w:r w:rsidRPr="002A4665">
        <w:rPr>
          <w:rFonts w:ascii="Times New Roman" w:hAnsi="Times New Roman"/>
          <w:szCs w:val="22"/>
          <w:lang w:val="sk-SK" w:eastAsia="sk-SK"/>
        </w:rPr>
        <w:t>u hlodavcov len pri vysokých dávkach. Klinický význam týchto zistení</w:t>
      </w:r>
      <w:r w:rsidR="004E5894" w:rsidRPr="002A4665">
        <w:rPr>
          <w:rFonts w:ascii="Times New Roman" w:hAnsi="Times New Roman"/>
          <w:szCs w:val="22"/>
          <w:lang w:val="sk-SK" w:eastAsia="sk-SK"/>
        </w:rPr>
        <w:t xml:space="preserve"> nie </w:t>
      </w:r>
      <w:r w:rsidRPr="002A4665">
        <w:rPr>
          <w:rFonts w:ascii="Times New Roman" w:hAnsi="Times New Roman"/>
          <w:szCs w:val="22"/>
          <w:lang w:val="sk-SK" w:eastAsia="sk-SK"/>
        </w:rPr>
        <w:t>je jasný.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Pri štandardných vyšetreniach sa po testovaní memantínu nezistila žiadna genotoxicita.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V celoživotných štúdiách na myšiach a potkanoch sa nedokázala žiadna karcinogenita. Memantín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nebol u potkanov a králikov teratogénny, dokonca ani pri dávkach toxických pre matku,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a nezaznamenali sa žiadne nežiaduce účinky memantínu na fertilitu. U potkanov sa zistilo zníženie</w:t>
      </w:r>
    </w:p>
    <w:p w:rsidR="007970EA" w:rsidRPr="002A4665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rastu plodu pri expozičných hladinách, ktoré boli identické alebo mierne vyššie ako expozičné hladiny</w:t>
      </w:r>
    </w:p>
    <w:p w:rsidR="005E341C" w:rsidRPr="002A4665" w:rsidRDefault="007970EA" w:rsidP="007970EA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u ľudí.</w:t>
      </w:r>
    </w:p>
    <w:p w:rsidR="007970EA" w:rsidRPr="002A4665" w:rsidRDefault="007970EA" w:rsidP="00924748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5E341C" w:rsidP="00924748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924748" w:rsidRPr="002A4665" w:rsidRDefault="00924748" w:rsidP="0092474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6.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FARMACEUTICKÉ INFORMÁCIE</w:t>
      </w:r>
    </w:p>
    <w:p w:rsidR="00924748" w:rsidRPr="002A4665" w:rsidRDefault="00924748" w:rsidP="0092474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924748" w:rsidRPr="002A4665" w:rsidRDefault="00924748" w:rsidP="0092474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6.1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Zoznam pomocných látok</w:t>
      </w:r>
    </w:p>
    <w:p w:rsidR="00924748" w:rsidRPr="002A4665" w:rsidRDefault="00924748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924748" w:rsidRPr="002A4665" w:rsidRDefault="00924748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2A4665">
        <w:rPr>
          <w:rFonts w:ascii="Times New Roman" w:hAnsi="Times New Roman"/>
          <w:i/>
          <w:iCs/>
          <w:szCs w:val="22"/>
          <w:lang w:val="sk-SK" w:eastAsia="sk-SK"/>
        </w:rPr>
        <w:t>Jadro tablety:</w:t>
      </w:r>
    </w:p>
    <w:p w:rsidR="00924748" w:rsidRPr="002A4665" w:rsidRDefault="00924748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mikrokryštalická celulóza</w:t>
      </w:r>
    </w:p>
    <w:p w:rsidR="0059038A" w:rsidRPr="002A4665" w:rsidRDefault="004465E5" w:rsidP="00924748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 xml:space="preserve">sodná soľ </w:t>
      </w:r>
      <w:r w:rsidR="0059038A" w:rsidRPr="002A4665">
        <w:rPr>
          <w:rFonts w:ascii="Times New Roman" w:hAnsi="Times New Roman"/>
          <w:szCs w:val="22"/>
          <w:lang w:val="sk-SK"/>
        </w:rPr>
        <w:t>kroskarmelóz</w:t>
      </w:r>
      <w:r>
        <w:rPr>
          <w:rFonts w:ascii="Times New Roman" w:hAnsi="Times New Roman"/>
          <w:szCs w:val="22"/>
          <w:lang w:val="sk-SK"/>
        </w:rPr>
        <w:t>y</w:t>
      </w:r>
      <w:r w:rsidR="009B3859" w:rsidRPr="009B3859">
        <w:rPr>
          <w:rFonts w:ascii="Times New Roman" w:hAnsi="Times New Roman"/>
          <w:szCs w:val="22"/>
          <w:lang w:val="sk-SK"/>
        </w:rPr>
        <w:t xml:space="preserve"> </w:t>
      </w:r>
    </w:p>
    <w:p w:rsidR="00924748" w:rsidRPr="002A4665" w:rsidRDefault="004465E5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koloidný</w:t>
      </w:r>
      <w:r>
        <w:rPr>
          <w:rFonts w:ascii="Times New Roman" w:hAnsi="Times New Roman"/>
          <w:szCs w:val="22"/>
          <w:lang w:val="sk-SK" w:eastAsia="sk-SK"/>
        </w:rPr>
        <w:t xml:space="preserve"> bezvodý</w:t>
      </w:r>
      <w:r w:rsidRPr="002A4665">
        <w:rPr>
          <w:rFonts w:ascii="Times New Roman" w:hAnsi="Times New Roman"/>
          <w:szCs w:val="22"/>
          <w:lang w:val="sk-SK" w:eastAsia="sk-SK"/>
        </w:rPr>
        <w:t xml:space="preserve"> </w:t>
      </w:r>
      <w:r w:rsidR="00924748" w:rsidRPr="002A4665">
        <w:rPr>
          <w:rFonts w:ascii="Times New Roman" w:hAnsi="Times New Roman"/>
          <w:szCs w:val="22"/>
          <w:lang w:val="sk-SK" w:eastAsia="sk-SK"/>
        </w:rPr>
        <w:t>oxid kremičitý</w:t>
      </w:r>
      <w:r w:rsidR="009B3859" w:rsidRPr="009B3859">
        <w:rPr>
          <w:rFonts w:ascii="Times New Roman" w:hAnsi="Times New Roman"/>
          <w:szCs w:val="22"/>
          <w:lang w:val="sk-SK" w:eastAsia="sk-SK"/>
        </w:rPr>
        <w:t xml:space="preserve"> </w:t>
      </w:r>
    </w:p>
    <w:p w:rsidR="00924748" w:rsidRPr="002A4665" w:rsidRDefault="009B3859" w:rsidP="00924748">
      <w:pPr>
        <w:suppressAutoHyphens/>
        <w:jc w:val="both"/>
        <w:rPr>
          <w:rFonts w:ascii="Times New Roman" w:hAnsi="Times New Roman"/>
          <w:szCs w:val="22"/>
          <w:lang w:val="sk-SK" w:eastAsia="sk-SK"/>
        </w:rPr>
      </w:pPr>
      <w:r>
        <w:rPr>
          <w:rFonts w:ascii="Times New Roman" w:hAnsi="Times New Roman"/>
          <w:szCs w:val="22"/>
          <w:lang w:val="sk-SK" w:eastAsia="sk-SK"/>
        </w:rPr>
        <w:t>stear</w:t>
      </w:r>
      <w:r w:rsidR="00082C76">
        <w:rPr>
          <w:rFonts w:ascii="Times New Roman" w:hAnsi="Times New Roman"/>
          <w:szCs w:val="22"/>
          <w:lang w:val="sk-SK" w:eastAsia="sk-SK"/>
        </w:rPr>
        <w:t>át</w:t>
      </w:r>
      <w:r>
        <w:rPr>
          <w:rFonts w:ascii="Times New Roman" w:hAnsi="Times New Roman"/>
          <w:szCs w:val="22"/>
          <w:lang w:val="sk-SK" w:eastAsia="sk-SK"/>
        </w:rPr>
        <w:t xml:space="preserve"> horečnatý</w:t>
      </w:r>
    </w:p>
    <w:p w:rsidR="00924748" w:rsidRPr="002A4665" w:rsidRDefault="00924748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924748" w:rsidRPr="002A4665" w:rsidRDefault="00924748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2A4665">
        <w:rPr>
          <w:rFonts w:ascii="Times New Roman" w:hAnsi="Times New Roman"/>
          <w:i/>
          <w:iCs/>
          <w:szCs w:val="22"/>
          <w:lang w:val="sk-SK" w:eastAsia="sk-SK"/>
        </w:rPr>
        <w:t>Obal tablety:</w:t>
      </w:r>
    </w:p>
    <w:p w:rsidR="0059038A" w:rsidRPr="002A4665" w:rsidRDefault="0059038A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polyvinylalkohol</w:t>
      </w:r>
    </w:p>
    <w:p w:rsidR="0059038A" w:rsidRPr="002A4665" w:rsidRDefault="0059038A" w:rsidP="0059038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lastRenderedPageBreak/>
        <w:t>oxid titaničitý (E171)</w:t>
      </w:r>
    </w:p>
    <w:p w:rsidR="0059038A" w:rsidRPr="002A4665" w:rsidRDefault="0059038A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makrogol (3350)</w:t>
      </w:r>
    </w:p>
    <w:p w:rsidR="0059038A" w:rsidRPr="002A4665" w:rsidRDefault="0059038A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mastenec</w:t>
      </w: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EA1982" w:rsidRPr="002A4665" w:rsidRDefault="00EA1982" w:rsidP="00EA1982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6.2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Inkompatibility</w:t>
      </w:r>
    </w:p>
    <w:p w:rsidR="00EA1982" w:rsidRPr="002A4665" w:rsidRDefault="00EA1982" w:rsidP="00EA1982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EA1982" w:rsidRPr="002A4665" w:rsidRDefault="00EA1982" w:rsidP="00EA1982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Neaplikovateľné.</w:t>
      </w:r>
    </w:p>
    <w:p w:rsidR="00EA1982" w:rsidRPr="002A4665" w:rsidRDefault="00EA1982" w:rsidP="00EA1982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30533C" w:rsidRPr="002A4665" w:rsidRDefault="0030533C" w:rsidP="0030533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6.3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Čas použiteľnosti</w:t>
      </w:r>
    </w:p>
    <w:p w:rsidR="0030533C" w:rsidRPr="002A4665" w:rsidRDefault="0030533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2A4665" w:rsidRDefault="0059038A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3</w:t>
      </w:r>
      <w:r w:rsidR="0030533C" w:rsidRPr="002A4665">
        <w:rPr>
          <w:rFonts w:ascii="Times New Roman" w:hAnsi="Times New Roman"/>
          <w:szCs w:val="22"/>
          <w:lang w:val="sk-SK" w:eastAsia="sk-SK"/>
        </w:rPr>
        <w:t xml:space="preserve"> roky.</w:t>
      </w:r>
    </w:p>
    <w:p w:rsidR="005E341C" w:rsidRPr="002A4665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D12274" w:rsidRPr="002A4665" w:rsidRDefault="00D12274" w:rsidP="00D12274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>6.4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Špeciálne upozornenia na uchovávanie</w:t>
      </w:r>
    </w:p>
    <w:p w:rsidR="00D12274" w:rsidRPr="002A4665" w:rsidRDefault="00D12274" w:rsidP="00D12274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2A4665" w:rsidRDefault="0059038A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Tento liek nevyžaduje žiadne zvláštne podmienky na uchovávanie.</w:t>
      </w:r>
    </w:p>
    <w:p w:rsidR="0059038A" w:rsidRPr="002A4665" w:rsidRDefault="0059038A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B021AC" w:rsidP="00C92C09">
      <w:pPr>
        <w:shd w:val="clear" w:color="auto" w:fill="FFFFFF"/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>6.5</w:t>
      </w:r>
      <w:bookmarkStart w:id="0" w:name="_GoBack"/>
      <w:bookmarkEnd w:id="0"/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Druh obalu a obsah balenia</w:t>
      </w:r>
    </w:p>
    <w:p w:rsidR="00B021AC" w:rsidRPr="002A4665" w:rsidRDefault="00B021AC" w:rsidP="00C92C09">
      <w:pP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59038A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Blistrové balenia obsahujúce buď 7, 10, 14, 15 alebo 20 tabliet v blistri (PVC/PE/PVDC a hliník).</w:t>
      </w:r>
    </w:p>
    <w:p w:rsidR="0059038A" w:rsidRPr="002A4665" w:rsidRDefault="0059038A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 xml:space="preserve">Veľkosti balenia </w:t>
      </w:r>
      <w:r w:rsidR="00041DFD" w:rsidRPr="002A4665">
        <w:rPr>
          <w:rFonts w:ascii="Times New Roman" w:hAnsi="Times New Roman"/>
          <w:szCs w:val="22"/>
          <w:lang w:val="sk-SK"/>
        </w:rPr>
        <w:t>7, 14, 28, 30, 42, 50, 56, 60, 98, 110, 112, 168 alebo 180 filmom obalených tabliet.</w:t>
      </w:r>
    </w:p>
    <w:p w:rsidR="00543EAD" w:rsidRPr="002A4665" w:rsidRDefault="00543EAD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43EAD" w:rsidRPr="002A4665" w:rsidRDefault="00543EAD" w:rsidP="00543EA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/>
        </w:rPr>
        <w:t>Na trh nemusia byť uvedené všetky veľkosti balenia.</w:t>
      </w:r>
    </w:p>
    <w:p w:rsidR="00B021AC" w:rsidRPr="002A4665" w:rsidRDefault="00B021A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7E7A98" w:rsidRPr="002A4665" w:rsidRDefault="007E7A98" w:rsidP="007E7A9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>6.6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Špeciálne opatrenia na likvidáciu</w:t>
      </w:r>
    </w:p>
    <w:p w:rsidR="007E7A98" w:rsidRPr="002A4665" w:rsidRDefault="007E7A98" w:rsidP="007E7A9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7E7A98" w:rsidRPr="002A4665" w:rsidRDefault="007E7A98" w:rsidP="007E7A9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Žiadne zvláštne požiadavky.</w:t>
      </w:r>
    </w:p>
    <w:p w:rsidR="007E7A98" w:rsidRPr="002A4665" w:rsidRDefault="007E7A98" w:rsidP="007E7A9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E7A98" w:rsidRPr="002A4665" w:rsidRDefault="007E7A98" w:rsidP="007E7A9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E341C" w:rsidRPr="002A4665" w:rsidRDefault="007E7A98" w:rsidP="007E7A98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>7.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DRŽITEĽ ROZHODNUTIA O REGISTRÁCII</w:t>
      </w:r>
    </w:p>
    <w:p w:rsidR="007E7A98" w:rsidRPr="002A4665" w:rsidRDefault="007E7A98" w:rsidP="00442E37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041DFD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STADA Arzneimittel AG</w:t>
      </w:r>
    </w:p>
    <w:p w:rsidR="00041DFD" w:rsidRPr="002A4665" w:rsidRDefault="00041DFD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Stadastrasse 2-18</w:t>
      </w:r>
    </w:p>
    <w:p w:rsidR="00041DFD" w:rsidRPr="002A4665" w:rsidRDefault="00041DFD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61118 Bad Vilbel</w:t>
      </w:r>
    </w:p>
    <w:p w:rsidR="007E7A98" w:rsidRPr="002A4665" w:rsidRDefault="00041DFD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Nemecko</w:t>
      </w: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4256A7" w:rsidRPr="002A4665" w:rsidRDefault="004256A7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1230CF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>8.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REGISTRAČNÉ ČÍSL</w:t>
      </w:r>
      <w:r w:rsidR="00041DFD" w:rsidRPr="002A4665">
        <w:rPr>
          <w:rFonts w:ascii="Times New Roman" w:hAnsi="Times New Roman"/>
          <w:b/>
          <w:bCs/>
          <w:szCs w:val="22"/>
          <w:lang w:val="sk-SK" w:eastAsia="sk-SK"/>
        </w:rPr>
        <w:t>O</w:t>
      </w:r>
    </w:p>
    <w:p w:rsidR="005E341C" w:rsidRPr="002A4665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9B221C" w:rsidRPr="002A4665" w:rsidRDefault="00785ADD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06/</w:t>
      </w:r>
      <w:r w:rsidR="004256A7" w:rsidRPr="002A4665">
        <w:rPr>
          <w:rFonts w:ascii="Times New Roman" w:hAnsi="Times New Roman"/>
          <w:szCs w:val="22"/>
          <w:lang w:val="sk-SK"/>
        </w:rPr>
        <w:t>0421</w:t>
      </w:r>
      <w:r w:rsidRPr="002A4665">
        <w:rPr>
          <w:rFonts w:ascii="Times New Roman" w:hAnsi="Times New Roman"/>
          <w:szCs w:val="22"/>
          <w:lang w:val="sk-SK"/>
        </w:rPr>
        <w:t>/13-S</w:t>
      </w:r>
    </w:p>
    <w:p w:rsidR="001230CF" w:rsidRPr="002A4665" w:rsidRDefault="001230CF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785ADD" w:rsidRPr="002A4665" w:rsidRDefault="00785ADD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1230CF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 xml:space="preserve">9. 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DÁTUM PRVEJ REGISTRÁCIE/ PREDĹŽENIA REGISTRÁCIE</w:t>
      </w:r>
    </w:p>
    <w:p w:rsidR="005E341C" w:rsidRPr="002A4665" w:rsidRDefault="005E341C" w:rsidP="005766DD">
      <w:pPr>
        <w:tabs>
          <w:tab w:val="left" w:pos="1575"/>
        </w:tabs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1230CF" w:rsidRPr="002A4665" w:rsidRDefault="00BF2120" w:rsidP="005766DD">
      <w:pPr>
        <w:tabs>
          <w:tab w:val="left" w:pos="1575"/>
        </w:tabs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2A4665">
        <w:rPr>
          <w:rFonts w:ascii="Times New Roman" w:hAnsi="Times New Roman"/>
          <w:szCs w:val="22"/>
          <w:lang w:val="sk-SK"/>
        </w:rPr>
        <w:t>Dátum prve</w:t>
      </w:r>
      <w:r w:rsidR="00224E66">
        <w:rPr>
          <w:rFonts w:ascii="Times New Roman" w:hAnsi="Times New Roman"/>
          <w:szCs w:val="22"/>
          <w:lang w:val="sk-SK"/>
        </w:rPr>
        <w:t>j registrácie: 29. októbra 2013</w:t>
      </w:r>
    </w:p>
    <w:p w:rsidR="00BF2120" w:rsidRPr="002A4665" w:rsidRDefault="009B3859" w:rsidP="005766DD">
      <w:pPr>
        <w:tabs>
          <w:tab w:val="left" w:pos="1575"/>
        </w:tabs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Dátum posledného predĺženia registrácie:</w:t>
      </w:r>
      <w:r w:rsidR="00224E66">
        <w:rPr>
          <w:rFonts w:ascii="Times New Roman" w:hAnsi="Times New Roman"/>
          <w:szCs w:val="22"/>
          <w:lang w:val="sk-SK"/>
        </w:rPr>
        <w:t xml:space="preserve"> 15. novembra 2018</w:t>
      </w:r>
    </w:p>
    <w:p w:rsidR="00BF2120" w:rsidRPr="002A4665" w:rsidRDefault="00BF2120" w:rsidP="005766DD">
      <w:pPr>
        <w:tabs>
          <w:tab w:val="left" w:pos="1575"/>
        </w:tabs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2A4665" w:rsidRDefault="001230CF" w:rsidP="005766DD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 w:eastAsia="sk-SK"/>
        </w:rPr>
      </w:pPr>
      <w:r w:rsidRPr="002A4665">
        <w:rPr>
          <w:rFonts w:ascii="Times New Roman" w:hAnsi="Times New Roman"/>
          <w:b/>
          <w:bCs/>
          <w:szCs w:val="22"/>
          <w:lang w:val="sk-SK" w:eastAsia="sk-SK"/>
        </w:rPr>
        <w:t>10.</w:t>
      </w:r>
      <w:r w:rsidRPr="002A4665">
        <w:rPr>
          <w:rFonts w:ascii="Times New Roman" w:hAnsi="Times New Roman"/>
          <w:b/>
          <w:bCs/>
          <w:szCs w:val="22"/>
          <w:lang w:val="sk-SK" w:eastAsia="sk-SK"/>
        </w:rPr>
        <w:tab/>
        <w:t>DÁTUM REVÍZIE TEXTU</w:t>
      </w:r>
    </w:p>
    <w:p w:rsidR="001230CF" w:rsidRPr="002A4665" w:rsidRDefault="001230CF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BF2120" w:rsidRPr="002A4665" w:rsidRDefault="00FE0C5E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08/2020</w:t>
      </w:r>
    </w:p>
    <w:sectPr w:rsidR="00BF2120" w:rsidRPr="002A4665" w:rsidSect="007B04B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33" w:rsidRDefault="00AB2C33">
      <w:r>
        <w:separator/>
      </w:r>
    </w:p>
  </w:endnote>
  <w:endnote w:type="continuationSeparator" w:id="0">
    <w:p w:rsidR="00AB2C33" w:rsidRDefault="00AB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 PL UMing H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19" w:rsidRDefault="00A25519" w:rsidP="00F5288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5519" w:rsidRDefault="00A25519" w:rsidP="0020635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449" w:rsidRDefault="00456449">
    <w:pPr>
      <w:pStyle w:val="Pta"/>
      <w:jc w:val="center"/>
      <w:rPr>
        <w:rFonts w:ascii="Times New Roman" w:hAnsi="Times New Roman"/>
        <w:sz w:val="18"/>
        <w:szCs w:val="18"/>
      </w:rPr>
    </w:pPr>
  </w:p>
  <w:p w:rsidR="00456449" w:rsidRPr="007B04B0" w:rsidRDefault="00456449">
    <w:pPr>
      <w:pStyle w:val="Pta"/>
      <w:jc w:val="center"/>
      <w:rPr>
        <w:rFonts w:ascii="Times New Roman" w:hAnsi="Times New Roman"/>
        <w:sz w:val="18"/>
        <w:szCs w:val="18"/>
      </w:rPr>
    </w:pPr>
    <w:r w:rsidRPr="007B04B0">
      <w:rPr>
        <w:rFonts w:ascii="Times New Roman" w:hAnsi="Times New Roman"/>
        <w:sz w:val="18"/>
        <w:szCs w:val="18"/>
      </w:rPr>
      <w:fldChar w:fldCharType="begin"/>
    </w:r>
    <w:r w:rsidRPr="007B04B0">
      <w:rPr>
        <w:rFonts w:ascii="Times New Roman" w:hAnsi="Times New Roman"/>
        <w:sz w:val="18"/>
        <w:szCs w:val="18"/>
      </w:rPr>
      <w:instrText>PAGE   \* MERGEFORMAT</w:instrText>
    </w:r>
    <w:r w:rsidRPr="007B04B0">
      <w:rPr>
        <w:rFonts w:ascii="Times New Roman" w:hAnsi="Times New Roman"/>
        <w:sz w:val="18"/>
        <w:szCs w:val="18"/>
      </w:rPr>
      <w:fldChar w:fldCharType="separate"/>
    </w:r>
    <w:r w:rsidR="00FE0C5E" w:rsidRPr="00FE0C5E">
      <w:rPr>
        <w:rFonts w:ascii="Times New Roman" w:hAnsi="Times New Roman"/>
        <w:noProof/>
        <w:sz w:val="18"/>
        <w:szCs w:val="18"/>
        <w:lang w:val="sk-SK"/>
      </w:rPr>
      <w:t>8</w:t>
    </w:r>
    <w:r w:rsidRPr="007B04B0">
      <w:rPr>
        <w:rFonts w:ascii="Times New Roman" w:hAnsi="Times New Roman"/>
        <w:sz w:val="18"/>
        <w:szCs w:val="18"/>
      </w:rPr>
      <w:fldChar w:fldCharType="end"/>
    </w:r>
  </w:p>
  <w:p w:rsidR="00A25519" w:rsidRPr="005673D0" w:rsidRDefault="00A25519" w:rsidP="0036646A">
    <w:pPr>
      <w:pStyle w:val="Pta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33" w:rsidRDefault="00AB2C33">
      <w:r>
        <w:separator/>
      </w:r>
    </w:p>
  </w:footnote>
  <w:footnote w:type="continuationSeparator" w:id="0">
    <w:p w:rsidR="00AB2C33" w:rsidRDefault="00AB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0D" w:rsidRDefault="00082C76">
    <w:pPr>
      <w:pStyle w:val="Hlavika"/>
      <w:rPr>
        <w:rFonts w:ascii="Times New Roman" w:hAnsi="Times New Roman"/>
        <w:sz w:val="18"/>
        <w:szCs w:val="18"/>
        <w:lang w:val="sk-SK"/>
      </w:rPr>
    </w:pPr>
    <w:r w:rsidRPr="00FE0C5E">
      <w:rPr>
        <w:rFonts w:ascii="Times New Roman" w:hAnsi="Times New Roman"/>
        <w:sz w:val="18"/>
        <w:szCs w:val="18"/>
        <w:lang w:val="sk-SK"/>
      </w:rPr>
      <w:t>Príloha č. 1 k notifikácii o zmene, ev. č.: 2020/0</w:t>
    </w:r>
    <w:r w:rsidR="004465E5">
      <w:rPr>
        <w:rFonts w:ascii="Times New Roman" w:hAnsi="Times New Roman"/>
        <w:sz w:val="18"/>
        <w:szCs w:val="18"/>
        <w:lang w:val="sk-SK"/>
      </w:rPr>
      <w:t>1271-Z1B</w:t>
    </w:r>
  </w:p>
  <w:p w:rsidR="00082C76" w:rsidRPr="00FE0C5E" w:rsidRDefault="00082C76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0D" w:rsidRDefault="00C56F0D" w:rsidP="00C56F0D">
    <w:pPr>
      <w:suppressAutoHyphens/>
      <w:rPr>
        <w:rFonts w:ascii="TimesNewRomanPS-BoldMT" w:hAnsi="TimesNewRomanPS-BoldMT" w:cs="TimesNewRomanPS-BoldMT"/>
        <w:bCs/>
        <w:sz w:val="18"/>
        <w:szCs w:val="18"/>
        <w:lang w:val="sk-SK" w:eastAsia="sk-SK"/>
      </w:rPr>
    </w:pPr>
    <w:r>
      <w:rPr>
        <w:rFonts w:ascii="TimesNewRomanPS-BoldMT" w:hAnsi="TimesNewRomanPS-BoldMT" w:cs="TimesNewRomanPS-BoldMT"/>
        <w:bCs/>
        <w:sz w:val="18"/>
        <w:szCs w:val="18"/>
        <w:lang w:val="sk-SK" w:eastAsia="sk-SK"/>
      </w:rPr>
      <w:t>Príloha č. 1 k notifikácii o zmene, ev. č.: 2014/07461</w:t>
    </w:r>
  </w:p>
  <w:p w:rsidR="00C56F0D" w:rsidRDefault="00C56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MusterSpiegelstrich-Aufzhlung"/>
      <w:lvlText w:val="-"/>
      <w:lvlJc w:val="left"/>
      <w:pPr>
        <w:tabs>
          <w:tab w:val="num" w:pos="360"/>
        </w:tabs>
      </w:pPr>
      <w:rPr>
        <w:rFonts w:ascii="Thorndale" w:hAnsi="Thorndale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421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F017E3"/>
    <w:multiLevelType w:val="hybridMultilevel"/>
    <w:tmpl w:val="1C64AED2"/>
    <w:lvl w:ilvl="0" w:tplc="BBD213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769C"/>
    <w:multiLevelType w:val="hybridMultilevel"/>
    <w:tmpl w:val="16AE5670"/>
    <w:lvl w:ilvl="0" w:tplc="F0848894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E7269"/>
    <w:multiLevelType w:val="hybridMultilevel"/>
    <w:tmpl w:val="D3C26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6113"/>
    <w:multiLevelType w:val="hybridMultilevel"/>
    <w:tmpl w:val="C1021658"/>
    <w:lvl w:ilvl="0" w:tplc="BBD213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2B6"/>
    <w:multiLevelType w:val="multilevel"/>
    <w:tmpl w:val="805CE21E"/>
    <w:lvl w:ilvl="0">
      <w:start w:val="1"/>
      <w:numFmt w:val="decimal"/>
      <w:suff w:val="space"/>
      <w:lvlText w:val="Kapitel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39511E40"/>
    <w:multiLevelType w:val="hybridMultilevel"/>
    <w:tmpl w:val="460A62BA"/>
    <w:lvl w:ilvl="0" w:tplc="C7EAE8FA">
      <w:numFmt w:val="bullet"/>
      <w:lvlText w:val="•"/>
      <w:lvlJc w:val="left"/>
      <w:pPr>
        <w:ind w:left="720" w:hanging="360"/>
      </w:pPr>
      <w:rPr>
        <w:rFonts w:ascii="SymbolMT" w:eastAsia="SymbolMT" w:hAnsi="TimesNewRomanPS-BoldMT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635B6"/>
    <w:multiLevelType w:val="hybridMultilevel"/>
    <w:tmpl w:val="9730B2A0"/>
    <w:lvl w:ilvl="0" w:tplc="AFEEABE0">
      <w:start w:val="1"/>
      <w:numFmt w:val="decimal"/>
      <w:pStyle w:val="Aufzhlung1-2-3-4-5-6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452367"/>
    <w:multiLevelType w:val="hybridMultilevel"/>
    <w:tmpl w:val="8F60B7FE"/>
    <w:lvl w:ilvl="0" w:tplc="2AB001AC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D460ED"/>
    <w:multiLevelType w:val="hybridMultilevel"/>
    <w:tmpl w:val="D9924850"/>
    <w:lvl w:ilvl="0" w:tplc="BA2A77BE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6424CC"/>
    <w:multiLevelType w:val="hybridMultilevel"/>
    <w:tmpl w:val="E4426C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7442C"/>
    <w:multiLevelType w:val="hybridMultilevel"/>
    <w:tmpl w:val="82686F6C"/>
    <w:lvl w:ilvl="0" w:tplc="36468D1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7EC22668"/>
    <w:multiLevelType w:val="hybridMultilevel"/>
    <w:tmpl w:val="589831D0"/>
    <w:lvl w:ilvl="0" w:tplc="BBD213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6"/>
  </w:num>
  <w:num w:numId="11">
    <w:abstractNumId w:val="7"/>
  </w:num>
  <w:num w:numId="12">
    <w:abstractNumId w:val="9"/>
  </w:num>
  <w:num w:numId="13">
    <w:abstractNumId w:val="6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0"/>
    <w:rsid w:val="00000542"/>
    <w:rsid w:val="00001C24"/>
    <w:rsid w:val="000030FA"/>
    <w:rsid w:val="00004BD5"/>
    <w:rsid w:val="00004C18"/>
    <w:rsid w:val="000067A5"/>
    <w:rsid w:val="00007C11"/>
    <w:rsid w:val="00011A88"/>
    <w:rsid w:val="00020515"/>
    <w:rsid w:val="00021855"/>
    <w:rsid w:val="00023F97"/>
    <w:rsid w:val="0002485C"/>
    <w:rsid w:val="000279E4"/>
    <w:rsid w:val="00027A49"/>
    <w:rsid w:val="0003023D"/>
    <w:rsid w:val="000324FF"/>
    <w:rsid w:val="000331F9"/>
    <w:rsid w:val="00033ECD"/>
    <w:rsid w:val="00036D7B"/>
    <w:rsid w:val="000403D5"/>
    <w:rsid w:val="00041DFD"/>
    <w:rsid w:val="00044853"/>
    <w:rsid w:val="00045268"/>
    <w:rsid w:val="000462B3"/>
    <w:rsid w:val="0004754E"/>
    <w:rsid w:val="00057982"/>
    <w:rsid w:val="00060254"/>
    <w:rsid w:val="00065481"/>
    <w:rsid w:val="0006717E"/>
    <w:rsid w:val="0007196C"/>
    <w:rsid w:val="00074BEF"/>
    <w:rsid w:val="0007519A"/>
    <w:rsid w:val="00075D07"/>
    <w:rsid w:val="0007656D"/>
    <w:rsid w:val="00082C76"/>
    <w:rsid w:val="00087614"/>
    <w:rsid w:val="00091334"/>
    <w:rsid w:val="00095BCA"/>
    <w:rsid w:val="000963FF"/>
    <w:rsid w:val="000A4EAD"/>
    <w:rsid w:val="000B076A"/>
    <w:rsid w:val="000B16E5"/>
    <w:rsid w:val="000B40A3"/>
    <w:rsid w:val="000B573E"/>
    <w:rsid w:val="000B5E57"/>
    <w:rsid w:val="000B6876"/>
    <w:rsid w:val="000B7E37"/>
    <w:rsid w:val="000C36CB"/>
    <w:rsid w:val="000D1BD2"/>
    <w:rsid w:val="000D2651"/>
    <w:rsid w:val="000D460F"/>
    <w:rsid w:val="000E3A16"/>
    <w:rsid w:val="000E3CB6"/>
    <w:rsid w:val="000F6D18"/>
    <w:rsid w:val="00102343"/>
    <w:rsid w:val="00103023"/>
    <w:rsid w:val="00105EC1"/>
    <w:rsid w:val="001075C8"/>
    <w:rsid w:val="001230CF"/>
    <w:rsid w:val="00124831"/>
    <w:rsid w:val="00125DC1"/>
    <w:rsid w:val="00126BBB"/>
    <w:rsid w:val="001304BD"/>
    <w:rsid w:val="00131914"/>
    <w:rsid w:val="0013201E"/>
    <w:rsid w:val="0013265F"/>
    <w:rsid w:val="001350A6"/>
    <w:rsid w:val="00143E7D"/>
    <w:rsid w:val="001445D3"/>
    <w:rsid w:val="00144E4B"/>
    <w:rsid w:val="001507BB"/>
    <w:rsid w:val="00151CEF"/>
    <w:rsid w:val="001577D4"/>
    <w:rsid w:val="00160394"/>
    <w:rsid w:val="00161801"/>
    <w:rsid w:val="00161948"/>
    <w:rsid w:val="00163DC2"/>
    <w:rsid w:val="0016432A"/>
    <w:rsid w:val="00170130"/>
    <w:rsid w:val="0017052E"/>
    <w:rsid w:val="001723D6"/>
    <w:rsid w:val="0018113D"/>
    <w:rsid w:val="00183F5D"/>
    <w:rsid w:val="00184576"/>
    <w:rsid w:val="00190C4C"/>
    <w:rsid w:val="0019193A"/>
    <w:rsid w:val="00191B7E"/>
    <w:rsid w:val="001928DC"/>
    <w:rsid w:val="0019360B"/>
    <w:rsid w:val="00197667"/>
    <w:rsid w:val="001A0525"/>
    <w:rsid w:val="001A203C"/>
    <w:rsid w:val="001A717B"/>
    <w:rsid w:val="001B4592"/>
    <w:rsid w:val="001B5EB8"/>
    <w:rsid w:val="001C09C7"/>
    <w:rsid w:val="001C0C24"/>
    <w:rsid w:val="001C3147"/>
    <w:rsid w:val="001C64D0"/>
    <w:rsid w:val="001C731C"/>
    <w:rsid w:val="001C76F3"/>
    <w:rsid w:val="001D3FA3"/>
    <w:rsid w:val="001D6910"/>
    <w:rsid w:val="001D748D"/>
    <w:rsid w:val="001E0477"/>
    <w:rsid w:val="001E0C40"/>
    <w:rsid w:val="001E27E7"/>
    <w:rsid w:val="001E294E"/>
    <w:rsid w:val="001E6BF2"/>
    <w:rsid w:val="001F27F7"/>
    <w:rsid w:val="001F7859"/>
    <w:rsid w:val="00200D2F"/>
    <w:rsid w:val="00204263"/>
    <w:rsid w:val="00204EB9"/>
    <w:rsid w:val="00206352"/>
    <w:rsid w:val="00207754"/>
    <w:rsid w:val="0021141A"/>
    <w:rsid w:val="00211802"/>
    <w:rsid w:val="0021274B"/>
    <w:rsid w:val="00212C6D"/>
    <w:rsid w:val="00213C11"/>
    <w:rsid w:val="00213C9B"/>
    <w:rsid w:val="00213E31"/>
    <w:rsid w:val="00214DF5"/>
    <w:rsid w:val="00221AA6"/>
    <w:rsid w:val="00221FB5"/>
    <w:rsid w:val="00221FFF"/>
    <w:rsid w:val="00224C94"/>
    <w:rsid w:val="00224D5D"/>
    <w:rsid w:val="00224E66"/>
    <w:rsid w:val="00225CAE"/>
    <w:rsid w:val="00227CD9"/>
    <w:rsid w:val="002317E7"/>
    <w:rsid w:val="00236C0F"/>
    <w:rsid w:val="002401A9"/>
    <w:rsid w:val="0024122E"/>
    <w:rsid w:val="002428E1"/>
    <w:rsid w:val="002474A3"/>
    <w:rsid w:val="002549DE"/>
    <w:rsid w:val="00254C7C"/>
    <w:rsid w:val="00257E72"/>
    <w:rsid w:val="00260CD0"/>
    <w:rsid w:val="002643DA"/>
    <w:rsid w:val="00266575"/>
    <w:rsid w:val="00273297"/>
    <w:rsid w:val="0027347E"/>
    <w:rsid w:val="00275576"/>
    <w:rsid w:val="00277286"/>
    <w:rsid w:val="00277C03"/>
    <w:rsid w:val="00277CE1"/>
    <w:rsid w:val="00282002"/>
    <w:rsid w:val="002863BE"/>
    <w:rsid w:val="00290D09"/>
    <w:rsid w:val="00293CE3"/>
    <w:rsid w:val="00293FF6"/>
    <w:rsid w:val="002957F0"/>
    <w:rsid w:val="002A06E4"/>
    <w:rsid w:val="002A2940"/>
    <w:rsid w:val="002A44BE"/>
    <w:rsid w:val="002A4665"/>
    <w:rsid w:val="002A5210"/>
    <w:rsid w:val="002A5F8D"/>
    <w:rsid w:val="002A6895"/>
    <w:rsid w:val="002B02BF"/>
    <w:rsid w:val="002B08E9"/>
    <w:rsid w:val="002B157F"/>
    <w:rsid w:val="002B4F3C"/>
    <w:rsid w:val="002B59A0"/>
    <w:rsid w:val="002C14A1"/>
    <w:rsid w:val="002C1AC0"/>
    <w:rsid w:val="002C21C9"/>
    <w:rsid w:val="002C27B2"/>
    <w:rsid w:val="002C703D"/>
    <w:rsid w:val="002E4DAA"/>
    <w:rsid w:val="002E619E"/>
    <w:rsid w:val="002F33A8"/>
    <w:rsid w:val="002F4C51"/>
    <w:rsid w:val="002F5868"/>
    <w:rsid w:val="002F6ACC"/>
    <w:rsid w:val="003012C9"/>
    <w:rsid w:val="00301792"/>
    <w:rsid w:val="00303525"/>
    <w:rsid w:val="003036F9"/>
    <w:rsid w:val="00303FFF"/>
    <w:rsid w:val="0030533C"/>
    <w:rsid w:val="00305CA6"/>
    <w:rsid w:val="00307A5A"/>
    <w:rsid w:val="003145C9"/>
    <w:rsid w:val="00314A36"/>
    <w:rsid w:val="00317B5B"/>
    <w:rsid w:val="003259B9"/>
    <w:rsid w:val="00325D97"/>
    <w:rsid w:val="003308EB"/>
    <w:rsid w:val="00331D83"/>
    <w:rsid w:val="00332100"/>
    <w:rsid w:val="00332FE0"/>
    <w:rsid w:val="00333325"/>
    <w:rsid w:val="00344E9F"/>
    <w:rsid w:val="003550DE"/>
    <w:rsid w:val="00355A64"/>
    <w:rsid w:val="0036646A"/>
    <w:rsid w:val="003719E1"/>
    <w:rsid w:val="0037285B"/>
    <w:rsid w:val="00376E87"/>
    <w:rsid w:val="0037706B"/>
    <w:rsid w:val="00382054"/>
    <w:rsid w:val="00382CC3"/>
    <w:rsid w:val="00385775"/>
    <w:rsid w:val="00385C52"/>
    <w:rsid w:val="003869E3"/>
    <w:rsid w:val="00386A81"/>
    <w:rsid w:val="00390CD6"/>
    <w:rsid w:val="0039429D"/>
    <w:rsid w:val="00397739"/>
    <w:rsid w:val="003A2B13"/>
    <w:rsid w:val="003A5B10"/>
    <w:rsid w:val="003A6F0F"/>
    <w:rsid w:val="003B5C42"/>
    <w:rsid w:val="003C10C2"/>
    <w:rsid w:val="003C1CC6"/>
    <w:rsid w:val="003C4523"/>
    <w:rsid w:val="003C6F0F"/>
    <w:rsid w:val="003D0B73"/>
    <w:rsid w:val="003D16B8"/>
    <w:rsid w:val="003D483F"/>
    <w:rsid w:val="003D4955"/>
    <w:rsid w:val="003E0DDF"/>
    <w:rsid w:val="003E11CF"/>
    <w:rsid w:val="003E47CF"/>
    <w:rsid w:val="003E4A3C"/>
    <w:rsid w:val="003E5E58"/>
    <w:rsid w:val="003E6444"/>
    <w:rsid w:val="003E6B77"/>
    <w:rsid w:val="003E6D72"/>
    <w:rsid w:val="003E7B6E"/>
    <w:rsid w:val="003F24FF"/>
    <w:rsid w:val="003F4724"/>
    <w:rsid w:val="003F4CF5"/>
    <w:rsid w:val="003F5461"/>
    <w:rsid w:val="004054D2"/>
    <w:rsid w:val="004076AA"/>
    <w:rsid w:val="004152B1"/>
    <w:rsid w:val="0041567E"/>
    <w:rsid w:val="0041578D"/>
    <w:rsid w:val="00416F94"/>
    <w:rsid w:val="004204DB"/>
    <w:rsid w:val="00421216"/>
    <w:rsid w:val="00422F28"/>
    <w:rsid w:val="004256A7"/>
    <w:rsid w:val="00431637"/>
    <w:rsid w:val="00433752"/>
    <w:rsid w:val="00435DED"/>
    <w:rsid w:val="00436A8E"/>
    <w:rsid w:val="00440505"/>
    <w:rsid w:val="0044185C"/>
    <w:rsid w:val="00441D4A"/>
    <w:rsid w:val="00442E37"/>
    <w:rsid w:val="00443408"/>
    <w:rsid w:val="004461AA"/>
    <w:rsid w:val="004465E5"/>
    <w:rsid w:val="00450527"/>
    <w:rsid w:val="004548C9"/>
    <w:rsid w:val="0045493C"/>
    <w:rsid w:val="00455179"/>
    <w:rsid w:val="00456449"/>
    <w:rsid w:val="004612D8"/>
    <w:rsid w:val="00470CD0"/>
    <w:rsid w:val="00470CEC"/>
    <w:rsid w:val="004732E1"/>
    <w:rsid w:val="004743DC"/>
    <w:rsid w:val="004772A1"/>
    <w:rsid w:val="00481EBF"/>
    <w:rsid w:val="00482211"/>
    <w:rsid w:val="00485D83"/>
    <w:rsid w:val="00486EC8"/>
    <w:rsid w:val="00486FDA"/>
    <w:rsid w:val="00487DDF"/>
    <w:rsid w:val="0049075B"/>
    <w:rsid w:val="00490BA9"/>
    <w:rsid w:val="00494290"/>
    <w:rsid w:val="00496108"/>
    <w:rsid w:val="004A02FB"/>
    <w:rsid w:val="004A0628"/>
    <w:rsid w:val="004A0649"/>
    <w:rsid w:val="004A191A"/>
    <w:rsid w:val="004A3739"/>
    <w:rsid w:val="004A51B6"/>
    <w:rsid w:val="004B071A"/>
    <w:rsid w:val="004B5791"/>
    <w:rsid w:val="004B77DF"/>
    <w:rsid w:val="004C191C"/>
    <w:rsid w:val="004C4554"/>
    <w:rsid w:val="004C5C85"/>
    <w:rsid w:val="004D03BD"/>
    <w:rsid w:val="004D12E7"/>
    <w:rsid w:val="004D3750"/>
    <w:rsid w:val="004D6310"/>
    <w:rsid w:val="004D6E63"/>
    <w:rsid w:val="004D7C39"/>
    <w:rsid w:val="004E2AB6"/>
    <w:rsid w:val="004E4C34"/>
    <w:rsid w:val="004E5894"/>
    <w:rsid w:val="004E6EBE"/>
    <w:rsid w:val="004E701A"/>
    <w:rsid w:val="004F05B1"/>
    <w:rsid w:val="004F2537"/>
    <w:rsid w:val="005026B7"/>
    <w:rsid w:val="00503638"/>
    <w:rsid w:val="00511C68"/>
    <w:rsid w:val="00512225"/>
    <w:rsid w:val="005124E3"/>
    <w:rsid w:val="00514B6F"/>
    <w:rsid w:val="005158E3"/>
    <w:rsid w:val="00516295"/>
    <w:rsid w:val="0053086A"/>
    <w:rsid w:val="0053293F"/>
    <w:rsid w:val="005344CD"/>
    <w:rsid w:val="00536AD7"/>
    <w:rsid w:val="00537E4B"/>
    <w:rsid w:val="005407AE"/>
    <w:rsid w:val="00541524"/>
    <w:rsid w:val="005437F2"/>
    <w:rsid w:val="00543EAD"/>
    <w:rsid w:val="005444FB"/>
    <w:rsid w:val="005512C5"/>
    <w:rsid w:val="00553074"/>
    <w:rsid w:val="00557FB3"/>
    <w:rsid w:val="00560918"/>
    <w:rsid w:val="00560DC4"/>
    <w:rsid w:val="00563DC0"/>
    <w:rsid w:val="00566EFE"/>
    <w:rsid w:val="005673D0"/>
    <w:rsid w:val="00567FD0"/>
    <w:rsid w:val="0057142E"/>
    <w:rsid w:val="00572A88"/>
    <w:rsid w:val="00573E2F"/>
    <w:rsid w:val="00574889"/>
    <w:rsid w:val="005766DD"/>
    <w:rsid w:val="00577914"/>
    <w:rsid w:val="00581A08"/>
    <w:rsid w:val="00581DE6"/>
    <w:rsid w:val="0058357E"/>
    <w:rsid w:val="00583633"/>
    <w:rsid w:val="0059038A"/>
    <w:rsid w:val="00590E2D"/>
    <w:rsid w:val="005918E7"/>
    <w:rsid w:val="00596083"/>
    <w:rsid w:val="00596619"/>
    <w:rsid w:val="005A3184"/>
    <w:rsid w:val="005A3AB2"/>
    <w:rsid w:val="005A48BD"/>
    <w:rsid w:val="005A5610"/>
    <w:rsid w:val="005A7794"/>
    <w:rsid w:val="005A7C70"/>
    <w:rsid w:val="005B1C02"/>
    <w:rsid w:val="005B1CF6"/>
    <w:rsid w:val="005B31F9"/>
    <w:rsid w:val="005B6C0E"/>
    <w:rsid w:val="005B7328"/>
    <w:rsid w:val="005C6573"/>
    <w:rsid w:val="005C756E"/>
    <w:rsid w:val="005D0CF3"/>
    <w:rsid w:val="005D1533"/>
    <w:rsid w:val="005D3E36"/>
    <w:rsid w:val="005D4318"/>
    <w:rsid w:val="005E341C"/>
    <w:rsid w:val="005E4ED1"/>
    <w:rsid w:val="005F3DD9"/>
    <w:rsid w:val="006007EE"/>
    <w:rsid w:val="00600AC3"/>
    <w:rsid w:val="006011E9"/>
    <w:rsid w:val="00603586"/>
    <w:rsid w:val="00604CCE"/>
    <w:rsid w:val="00613D6A"/>
    <w:rsid w:val="00614780"/>
    <w:rsid w:val="006229F4"/>
    <w:rsid w:val="00625940"/>
    <w:rsid w:val="00632306"/>
    <w:rsid w:val="006328FB"/>
    <w:rsid w:val="0063389F"/>
    <w:rsid w:val="00634DFE"/>
    <w:rsid w:val="00636FAA"/>
    <w:rsid w:val="006418F2"/>
    <w:rsid w:val="00641B01"/>
    <w:rsid w:val="00642780"/>
    <w:rsid w:val="00645F8B"/>
    <w:rsid w:val="00651CB5"/>
    <w:rsid w:val="00652567"/>
    <w:rsid w:val="00653478"/>
    <w:rsid w:val="0065409E"/>
    <w:rsid w:val="00654DED"/>
    <w:rsid w:val="00657A47"/>
    <w:rsid w:val="00661C56"/>
    <w:rsid w:val="0066377E"/>
    <w:rsid w:val="00664CD8"/>
    <w:rsid w:val="006667A6"/>
    <w:rsid w:val="00667BE6"/>
    <w:rsid w:val="00672377"/>
    <w:rsid w:val="006740D8"/>
    <w:rsid w:val="0067595A"/>
    <w:rsid w:val="00682193"/>
    <w:rsid w:val="00684AB3"/>
    <w:rsid w:val="0068514B"/>
    <w:rsid w:val="006862D2"/>
    <w:rsid w:val="006867BC"/>
    <w:rsid w:val="00690C6A"/>
    <w:rsid w:val="00691E47"/>
    <w:rsid w:val="006A2984"/>
    <w:rsid w:val="006B0CF5"/>
    <w:rsid w:val="006B15BB"/>
    <w:rsid w:val="006B1653"/>
    <w:rsid w:val="006B289C"/>
    <w:rsid w:val="006B47B4"/>
    <w:rsid w:val="006C7640"/>
    <w:rsid w:val="006D438E"/>
    <w:rsid w:val="006D51B9"/>
    <w:rsid w:val="006D5D74"/>
    <w:rsid w:val="006E0539"/>
    <w:rsid w:val="006E0E28"/>
    <w:rsid w:val="006E174E"/>
    <w:rsid w:val="006E3DF1"/>
    <w:rsid w:val="006F1DE4"/>
    <w:rsid w:val="006F1F62"/>
    <w:rsid w:val="006F2526"/>
    <w:rsid w:val="006F4BE1"/>
    <w:rsid w:val="006F7AB8"/>
    <w:rsid w:val="006F7D36"/>
    <w:rsid w:val="006F7DFF"/>
    <w:rsid w:val="00700AD0"/>
    <w:rsid w:val="007018F9"/>
    <w:rsid w:val="0070637C"/>
    <w:rsid w:val="00710FC3"/>
    <w:rsid w:val="007137B3"/>
    <w:rsid w:val="0071788A"/>
    <w:rsid w:val="00717B2A"/>
    <w:rsid w:val="00720082"/>
    <w:rsid w:val="00722A0F"/>
    <w:rsid w:val="00723200"/>
    <w:rsid w:val="00725C45"/>
    <w:rsid w:val="007274B9"/>
    <w:rsid w:val="007309DF"/>
    <w:rsid w:val="0073146B"/>
    <w:rsid w:val="0073380A"/>
    <w:rsid w:val="007338EC"/>
    <w:rsid w:val="00734182"/>
    <w:rsid w:val="00737EBC"/>
    <w:rsid w:val="00740E39"/>
    <w:rsid w:val="00741DB4"/>
    <w:rsid w:val="007470A8"/>
    <w:rsid w:val="00750FF2"/>
    <w:rsid w:val="0075404B"/>
    <w:rsid w:val="00766558"/>
    <w:rsid w:val="007707E2"/>
    <w:rsid w:val="00771174"/>
    <w:rsid w:val="0077697E"/>
    <w:rsid w:val="007837F4"/>
    <w:rsid w:val="00785ADD"/>
    <w:rsid w:val="007873BB"/>
    <w:rsid w:val="00787FCA"/>
    <w:rsid w:val="00791594"/>
    <w:rsid w:val="00793977"/>
    <w:rsid w:val="00793DC0"/>
    <w:rsid w:val="00794B78"/>
    <w:rsid w:val="00794FE7"/>
    <w:rsid w:val="00796062"/>
    <w:rsid w:val="00796643"/>
    <w:rsid w:val="007970EA"/>
    <w:rsid w:val="00797211"/>
    <w:rsid w:val="007A1FD1"/>
    <w:rsid w:val="007A3732"/>
    <w:rsid w:val="007A3D93"/>
    <w:rsid w:val="007A4F60"/>
    <w:rsid w:val="007A761E"/>
    <w:rsid w:val="007B04B0"/>
    <w:rsid w:val="007B0702"/>
    <w:rsid w:val="007B60F9"/>
    <w:rsid w:val="007C0E7C"/>
    <w:rsid w:val="007C12CE"/>
    <w:rsid w:val="007C1FB1"/>
    <w:rsid w:val="007C3A45"/>
    <w:rsid w:val="007C3BAD"/>
    <w:rsid w:val="007C7C0C"/>
    <w:rsid w:val="007D0900"/>
    <w:rsid w:val="007D2DA2"/>
    <w:rsid w:val="007D2DF1"/>
    <w:rsid w:val="007D6808"/>
    <w:rsid w:val="007E07DB"/>
    <w:rsid w:val="007E21BD"/>
    <w:rsid w:val="007E4130"/>
    <w:rsid w:val="007E474F"/>
    <w:rsid w:val="007E6704"/>
    <w:rsid w:val="007E7A98"/>
    <w:rsid w:val="007E7AA5"/>
    <w:rsid w:val="007F05CE"/>
    <w:rsid w:val="007F2AB6"/>
    <w:rsid w:val="007F3B53"/>
    <w:rsid w:val="008011D5"/>
    <w:rsid w:val="00812006"/>
    <w:rsid w:val="00814F76"/>
    <w:rsid w:val="00815AA4"/>
    <w:rsid w:val="008177C0"/>
    <w:rsid w:val="008205CE"/>
    <w:rsid w:val="00821826"/>
    <w:rsid w:val="0082199F"/>
    <w:rsid w:val="00822457"/>
    <w:rsid w:val="00823458"/>
    <w:rsid w:val="00823B33"/>
    <w:rsid w:val="008251EC"/>
    <w:rsid w:val="00825328"/>
    <w:rsid w:val="00833219"/>
    <w:rsid w:val="00841D77"/>
    <w:rsid w:val="008421B2"/>
    <w:rsid w:val="008425F6"/>
    <w:rsid w:val="00843594"/>
    <w:rsid w:val="00847C33"/>
    <w:rsid w:val="00850549"/>
    <w:rsid w:val="00851AD6"/>
    <w:rsid w:val="0085214C"/>
    <w:rsid w:val="00853658"/>
    <w:rsid w:val="008550CA"/>
    <w:rsid w:val="00861A52"/>
    <w:rsid w:val="008643AF"/>
    <w:rsid w:val="00864414"/>
    <w:rsid w:val="00867AC9"/>
    <w:rsid w:val="008769E6"/>
    <w:rsid w:val="008802F7"/>
    <w:rsid w:val="008808C8"/>
    <w:rsid w:val="00881709"/>
    <w:rsid w:val="00882927"/>
    <w:rsid w:val="00884BBF"/>
    <w:rsid w:val="00885A9E"/>
    <w:rsid w:val="00886879"/>
    <w:rsid w:val="008878EA"/>
    <w:rsid w:val="00887F57"/>
    <w:rsid w:val="00890CE6"/>
    <w:rsid w:val="008A30BF"/>
    <w:rsid w:val="008A4E08"/>
    <w:rsid w:val="008A4E1F"/>
    <w:rsid w:val="008A5609"/>
    <w:rsid w:val="008A5F97"/>
    <w:rsid w:val="008B172E"/>
    <w:rsid w:val="008B2EE0"/>
    <w:rsid w:val="008B3A64"/>
    <w:rsid w:val="008B43AC"/>
    <w:rsid w:val="008B486C"/>
    <w:rsid w:val="008B64C0"/>
    <w:rsid w:val="008C0F65"/>
    <w:rsid w:val="008D3066"/>
    <w:rsid w:val="008E0831"/>
    <w:rsid w:val="008E4111"/>
    <w:rsid w:val="008E7D49"/>
    <w:rsid w:val="008F3D48"/>
    <w:rsid w:val="008F6066"/>
    <w:rsid w:val="008F6E50"/>
    <w:rsid w:val="00900144"/>
    <w:rsid w:val="00900415"/>
    <w:rsid w:val="0091293D"/>
    <w:rsid w:val="00916EF3"/>
    <w:rsid w:val="009215DA"/>
    <w:rsid w:val="009224FC"/>
    <w:rsid w:val="009227BD"/>
    <w:rsid w:val="00924748"/>
    <w:rsid w:val="0092478A"/>
    <w:rsid w:val="00926056"/>
    <w:rsid w:val="00934C78"/>
    <w:rsid w:val="009376B7"/>
    <w:rsid w:val="00940DAD"/>
    <w:rsid w:val="0094446B"/>
    <w:rsid w:val="009477FB"/>
    <w:rsid w:val="00952B8F"/>
    <w:rsid w:val="00962573"/>
    <w:rsid w:val="00963B67"/>
    <w:rsid w:val="009662F5"/>
    <w:rsid w:val="00966CE9"/>
    <w:rsid w:val="00972398"/>
    <w:rsid w:val="009740F6"/>
    <w:rsid w:val="009758E1"/>
    <w:rsid w:val="00975999"/>
    <w:rsid w:val="00982B7F"/>
    <w:rsid w:val="00983E21"/>
    <w:rsid w:val="00987ABB"/>
    <w:rsid w:val="0099098F"/>
    <w:rsid w:val="00990CF1"/>
    <w:rsid w:val="009A2297"/>
    <w:rsid w:val="009A32A9"/>
    <w:rsid w:val="009A5418"/>
    <w:rsid w:val="009B221C"/>
    <w:rsid w:val="009B25AD"/>
    <w:rsid w:val="009B3473"/>
    <w:rsid w:val="009B3859"/>
    <w:rsid w:val="009B59CD"/>
    <w:rsid w:val="009B78A3"/>
    <w:rsid w:val="009C42B4"/>
    <w:rsid w:val="009C4488"/>
    <w:rsid w:val="009D0500"/>
    <w:rsid w:val="009D078C"/>
    <w:rsid w:val="009D07C4"/>
    <w:rsid w:val="009D07E3"/>
    <w:rsid w:val="009D13E3"/>
    <w:rsid w:val="009D194C"/>
    <w:rsid w:val="009D2274"/>
    <w:rsid w:val="009D4BD1"/>
    <w:rsid w:val="009E4BC3"/>
    <w:rsid w:val="009E59A9"/>
    <w:rsid w:val="009E5B0A"/>
    <w:rsid w:val="009E5C62"/>
    <w:rsid w:val="009E6FCC"/>
    <w:rsid w:val="009F2EB1"/>
    <w:rsid w:val="009F3C32"/>
    <w:rsid w:val="009F4EF6"/>
    <w:rsid w:val="009F623A"/>
    <w:rsid w:val="009F6DCB"/>
    <w:rsid w:val="00A02D45"/>
    <w:rsid w:val="00A04FE4"/>
    <w:rsid w:val="00A103D4"/>
    <w:rsid w:val="00A13F0E"/>
    <w:rsid w:val="00A1668C"/>
    <w:rsid w:val="00A207CC"/>
    <w:rsid w:val="00A2193A"/>
    <w:rsid w:val="00A226C6"/>
    <w:rsid w:val="00A24170"/>
    <w:rsid w:val="00A25519"/>
    <w:rsid w:val="00A255D7"/>
    <w:rsid w:val="00A25A9B"/>
    <w:rsid w:val="00A33150"/>
    <w:rsid w:val="00A3531D"/>
    <w:rsid w:val="00A4278E"/>
    <w:rsid w:val="00A45C29"/>
    <w:rsid w:val="00A47929"/>
    <w:rsid w:val="00A5300E"/>
    <w:rsid w:val="00A558EE"/>
    <w:rsid w:val="00A55DC5"/>
    <w:rsid w:val="00A564A6"/>
    <w:rsid w:val="00A5744E"/>
    <w:rsid w:val="00A60D92"/>
    <w:rsid w:val="00A64DCB"/>
    <w:rsid w:val="00A66C30"/>
    <w:rsid w:val="00A710F9"/>
    <w:rsid w:val="00A7439D"/>
    <w:rsid w:val="00A7683B"/>
    <w:rsid w:val="00A77AAB"/>
    <w:rsid w:val="00A87040"/>
    <w:rsid w:val="00A87835"/>
    <w:rsid w:val="00A9193B"/>
    <w:rsid w:val="00A91A35"/>
    <w:rsid w:val="00A9452C"/>
    <w:rsid w:val="00A947D8"/>
    <w:rsid w:val="00A94900"/>
    <w:rsid w:val="00A965C7"/>
    <w:rsid w:val="00A97BCE"/>
    <w:rsid w:val="00AA3075"/>
    <w:rsid w:val="00AA3723"/>
    <w:rsid w:val="00AA4B09"/>
    <w:rsid w:val="00AA592C"/>
    <w:rsid w:val="00AB0B13"/>
    <w:rsid w:val="00AB2C33"/>
    <w:rsid w:val="00AB36FC"/>
    <w:rsid w:val="00AC3509"/>
    <w:rsid w:val="00AC35AF"/>
    <w:rsid w:val="00AC492E"/>
    <w:rsid w:val="00AC4D37"/>
    <w:rsid w:val="00AC5267"/>
    <w:rsid w:val="00AC5800"/>
    <w:rsid w:val="00AD0335"/>
    <w:rsid w:val="00AD4E8C"/>
    <w:rsid w:val="00AD4EC5"/>
    <w:rsid w:val="00AD51CE"/>
    <w:rsid w:val="00AD5307"/>
    <w:rsid w:val="00AD66D8"/>
    <w:rsid w:val="00AE1157"/>
    <w:rsid w:val="00AE300B"/>
    <w:rsid w:val="00AE645A"/>
    <w:rsid w:val="00AF1D15"/>
    <w:rsid w:val="00AF382F"/>
    <w:rsid w:val="00AF57CB"/>
    <w:rsid w:val="00AF68BA"/>
    <w:rsid w:val="00AF7470"/>
    <w:rsid w:val="00AF7E79"/>
    <w:rsid w:val="00B021AC"/>
    <w:rsid w:val="00B13573"/>
    <w:rsid w:val="00B203B6"/>
    <w:rsid w:val="00B20F8A"/>
    <w:rsid w:val="00B237D2"/>
    <w:rsid w:val="00B24BCA"/>
    <w:rsid w:val="00B2695F"/>
    <w:rsid w:val="00B3732B"/>
    <w:rsid w:val="00B37CA1"/>
    <w:rsid w:val="00B413AA"/>
    <w:rsid w:val="00B422DE"/>
    <w:rsid w:val="00B42D0F"/>
    <w:rsid w:val="00B43595"/>
    <w:rsid w:val="00B44996"/>
    <w:rsid w:val="00B50DAE"/>
    <w:rsid w:val="00B52942"/>
    <w:rsid w:val="00B55013"/>
    <w:rsid w:val="00B6037E"/>
    <w:rsid w:val="00B605A9"/>
    <w:rsid w:val="00B61AA2"/>
    <w:rsid w:val="00B64D5D"/>
    <w:rsid w:val="00B66868"/>
    <w:rsid w:val="00B67BF6"/>
    <w:rsid w:val="00B74E16"/>
    <w:rsid w:val="00B764DF"/>
    <w:rsid w:val="00B76593"/>
    <w:rsid w:val="00B9765A"/>
    <w:rsid w:val="00BA04DB"/>
    <w:rsid w:val="00BA0A63"/>
    <w:rsid w:val="00BA0CF5"/>
    <w:rsid w:val="00BA0E98"/>
    <w:rsid w:val="00BA36EB"/>
    <w:rsid w:val="00BA4122"/>
    <w:rsid w:val="00BA4E4D"/>
    <w:rsid w:val="00BA590D"/>
    <w:rsid w:val="00BA6D67"/>
    <w:rsid w:val="00BB00D9"/>
    <w:rsid w:val="00BB22CF"/>
    <w:rsid w:val="00BB444C"/>
    <w:rsid w:val="00BB54FA"/>
    <w:rsid w:val="00BB65F2"/>
    <w:rsid w:val="00BB77C1"/>
    <w:rsid w:val="00BC03DC"/>
    <w:rsid w:val="00BC2B1C"/>
    <w:rsid w:val="00BC30BC"/>
    <w:rsid w:val="00BC3286"/>
    <w:rsid w:val="00BC39C9"/>
    <w:rsid w:val="00BD5A17"/>
    <w:rsid w:val="00BE133A"/>
    <w:rsid w:val="00BE3094"/>
    <w:rsid w:val="00BF0541"/>
    <w:rsid w:val="00BF15B9"/>
    <w:rsid w:val="00BF2120"/>
    <w:rsid w:val="00BF4831"/>
    <w:rsid w:val="00BF5F26"/>
    <w:rsid w:val="00BF7289"/>
    <w:rsid w:val="00BF75BC"/>
    <w:rsid w:val="00C02368"/>
    <w:rsid w:val="00C04C0C"/>
    <w:rsid w:val="00C04FF6"/>
    <w:rsid w:val="00C11B82"/>
    <w:rsid w:val="00C135DA"/>
    <w:rsid w:val="00C14716"/>
    <w:rsid w:val="00C1696C"/>
    <w:rsid w:val="00C17B3B"/>
    <w:rsid w:val="00C17F43"/>
    <w:rsid w:val="00C20D7A"/>
    <w:rsid w:val="00C20DCA"/>
    <w:rsid w:val="00C22AE7"/>
    <w:rsid w:val="00C26357"/>
    <w:rsid w:val="00C32579"/>
    <w:rsid w:val="00C32BED"/>
    <w:rsid w:val="00C35846"/>
    <w:rsid w:val="00C45073"/>
    <w:rsid w:val="00C45591"/>
    <w:rsid w:val="00C50576"/>
    <w:rsid w:val="00C50906"/>
    <w:rsid w:val="00C514DA"/>
    <w:rsid w:val="00C51F74"/>
    <w:rsid w:val="00C52507"/>
    <w:rsid w:val="00C539FD"/>
    <w:rsid w:val="00C5432B"/>
    <w:rsid w:val="00C55655"/>
    <w:rsid w:val="00C56F0D"/>
    <w:rsid w:val="00C57908"/>
    <w:rsid w:val="00C606DB"/>
    <w:rsid w:val="00C63CD1"/>
    <w:rsid w:val="00C674F7"/>
    <w:rsid w:val="00C708E3"/>
    <w:rsid w:val="00C70D6C"/>
    <w:rsid w:val="00C806BA"/>
    <w:rsid w:val="00C82B51"/>
    <w:rsid w:val="00C92C09"/>
    <w:rsid w:val="00C92CE1"/>
    <w:rsid w:val="00CA0C7C"/>
    <w:rsid w:val="00CA2DA7"/>
    <w:rsid w:val="00CA36DA"/>
    <w:rsid w:val="00CA776E"/>
    <w:rsid w:val="00CB19CD"/>
    <w:rsid w:val="00CB2382"/>
    <w:rsid w:val="00CC0B43"/>
    <w:rsid w:val="00CC247C"/>
    <w:rsid w:val="00CD1157"/>
    <w:rsid w:val="00CD60C8"/>
    <w:rsid w:val="00CD749B"/>
    <w:rsid w:val="00CE01D5"/>
    <w:rsid w:val="00CE0558"/>
    <w:rsid w:val="00CE3612"/>
    <w:rsid w:val="00CE65C9"/>
    <w:rsid w:val="00CF0801"/>
    <w:rsid w:val="00D02770"/>
    <w:rsid w:val="00D029FB"/>
    <w:rsid w:val="00D07C73"/>
    <w:rsid w:val="00D12274"/>
    <w:rsid w:val="00D13380"/>
    <w:rsid w:val="00D136D0"/>
    <w:rsid w:val="00D2221F"/>
    <w:rsid w:val="00D237ED"/>
    <w:rsid w:val="00D24197"/>
    <w:rsid w:val="00D30130"/>
    <w:rsid w:val="00D334B8"/>
    <w:rsid w:val="00D356BD"/>
    <w:rsid w:val="00D36958"/>
    <w:rsid w:val="00D36B75"/>
    <w:rsid w:val="00D4087D"/>
    <w:rsid w:val="00D4089C"/>
    <w:rsid w:val="00D45570"/>
    <w:rsid w:val="00D45A81"/>
    <w:rsid w:val="00D50390"/>
    <w:rsid w:val="00D518AE"/>
    <w:rsid w:val="00D53C0B"/>
    <w:rsid w:val="00D57503"/>
    <w:rsid w:val="00D6367E"/>
    <w:rsid w:val="00D651C0"/>
    <w:rsid w:val="00D67F58"/>
    <w:rsid w:val="00D7009E"/>
    <w:rsid w:val="00D74FEF"/>
    <w:rsid w:val="00D752D6"/>
    <w:rsid w:val="00D76174"/>
    <w:rsid w:val="00D7761D"/>
    <w:rsid w:val="00D77A9E"/>
    <w:rsid w:val="00D80203"/>
    <w:rsid w:val="00D8186A"/>
    <w:rsid w:val="00D81891"/>
    <w:rsid w:val="00D86E7F"/>
    <w:rsid w:val="00D96473"/>
    <w:rsid w:val="00D97DED"/>
    <w:rsid w:val="00DA0C08"/>
    <w:rsid w:val="00DA0CAC"/>
    <w:rsid w:val="00DA4276"/>
    <w:rsid w:val="00DA6CC7"/>
    <w:rsid w:val="00DB2849"/>
    <w:rsid w:val="00DB31AA"/>
    <w:rsid w:val="00DB3E25"/>
    <w:rsid w:val="00DC4CEF"/>
    <w:rsid w:val="00DD52CF"/>
    <w:rsid w:val="00DD5494"/>
    <w:rsid w:val="00DD55DE"/>
    <w:rsid w:val="00DD615B"/>
    <w:rsid w:val="00DD63E2"/>
    <w:rsid w:val="00DD6B59"/>
    <w:rsid w:val="00DE3C33"/>
    <w:rsid w:val="00DE60D4"/>
    <w:rsid w:val="00DE7B7E"/>
    <w:rsid w:val="00DE7F13"/>
    <w:rsid w:val="00DF3FFA"/>
    <w:rsid w:val="00DF4C67"/>
    <w:rsid w:val="00DF6CD1"/>
    <w:rsid w:val="00E051D3"/>
    <w:rsid w:val="00E12CF6"/>
    <w:rsid w:val="00E13166"/>
    <w:rsid w:val="00E15441"/>
    <w:rsid w:val="00E24783"/>
    <w:rsid w:val="00E254EC"/>
    <w:rsid w:val="00E26C67"/>
    <w:rsid w:val="00E26D72"/>
    <w:rsid w:val="00E3555C"/>
    <w:rsid w:val="00E35B0D"/>
    <w:rsid w:val="00E36E3D"/>
    <w:rsid w:val="00E376C4"/>
    <w:rsid w:val="00E37DEA"/>
    <w:rsid w:val="00E41BE4"/>
    <w:rsid w:val="00E43224"/>
    <w:rsid w:val="00E5008D"/>
    <w:rsid w:val="00E52B4E"/>
    <w:rsid w:val="00E52D2E"/>
    <w:rsid w:val="00E52FE7"/>
    <w:rsid w:val="00E53195"/>
    <w:rsid w:val="00E56827"/>
    <w:rsid w:val="00E57D93"/>
    <w:rsid w:val="00E602A8"/>
    <w:rsid w:val="00E60598"/>
    <w:rsid w:val="00E61747"/>
    <w:rsid w:val="00E6180C"/>
    <w:rsid w:val="00E62DC4"/>
    <w:rsid w:val="00E65D0A"/>
    <w:rsid w:val="00E676BF"/>
    <w:rsid w:val="00E706B2"/>
    <w:rsid w:val="00E70D51"/>
    <w:rsid w:val="00E7119F"/>
    <w:rsid w:val="00E80123"/>
    <w:rsid w:val="00E806DC"/>
    <w:rsid w:val="00E83A12"/>
    <w:rsid w:val="00E83BED"/>
    <w:rsid w:val="00E845D9"/>
    <w:rsid w:val="00E854AF"/>
    <w:rsid w:val="00E87D00"/>
    <w:rsid w:val="00E92067"/>
    <w:rsid w:val="00E96BB2"/>
    <w:rsid w:val="00E96D04"/>
    <w:rsid w:val="00E96D25"/>
    <w:rsid w:val="00E9741D"/>
    <w:rsid w:val="00EA1982"/>
    <w:rsid w:val="00EA223F"/>
    <w:rsid w:val="00EA4975"/>
    <w:rsid w:val="00EA5CB6"/>
    <w:rsid w:val="00EB0643"/>
    <w:rsid w:val="00EB2761"/>
    <w:rsid w:val="00EB4BA5"/>
    <w:rsid w:val="00EB4DB4"/>
    <w:rsid w:val="00EC1852"/>
    <w:rsid w:val="00EC2262"/>
    <w:rsid w:val="00EC43AB"/>
    <w:rsid w:val="00ED6CBA"/>
    <w:rsid w:val="00EE0D3F"/>
    <w:rsid w:val="00EE1998"/>
    <w:rsid w:val="00EE61DF"/>
    <w:rsid w:val="00EF03D9"/>
    <w:rsid w:val="00EF55C2"/>
    <w:rsid w:val="00F017FD"/>
    <w:rsid w:val="00F01ABE"/>
    <w:rsid w:val="00F02031"/>
    <w:rsid w:val="00F06137"/>
    <w:rsid w:val="00F07E54"/>
    <w:rsid w:val="00F10BC5"/>
    <w:rsid w:val="00F12FB0"/>
    <w:rsid w:val="00F178B5"/>
    <w:rsid w:val="00F200D7"/>
    <w:rsid w:val="00F23B1C"/>
    <w:rsid w:val="00F248DF"/>
    <w:rsid w:val="00F249F3"/>
    <w:rsid w:val="00F251D0"/>
    <w:rsid w:val="00F32716"/>
    <w:rsid w:val="00F368FB"/>
    <w:rsid w:val="00F42495"/>
    <w:rsid w:val="00F526B5"/>
    <w:rsid w:val="00F52884"/>
    <w:rsid w:val="00F52B36"/>
    <w:rsid w:val="00F54AAA"/>
    <w:rsid w:val="00F56AA5"/>
    <w:rsid w:val="00F57003"/>
    <w:rsid w:val="00F57260"/>
    <w:rsid w:val="00F61145"/>
    <w:rsid w:val="00F62E91"/>
    <w:rsid w:val="00F650BE"/>
    <w:rsid w:val="00F65621"/>
    <w:rsid w:val="00F669BF"/>
    <w:rsid w:val="00F67286"/>
    <w:rsid w:val="00F70D3B"/>
    <w:rsid w:val="00F8419A"/>
    <w:rsid w:val="00F84B3D"/>
    <w:rsid w:val="00F97DCB"/>
    <w:rsid w:val="00FA1700"/>
    <w:rsid w:val="00FA1DA9"/>
    <w:rsid w:val="00FA3887"/>
    <w:rsid w:val="00FA4014"/>
    <w:rsid w:val="00FB50C9"/>
    <w:rsid w:val="00FB6358"/>
    <w:rsid w:val="00FB6E9C"/>
    <w:rsid w:val="00FC118D"/>
    <w:rsid w:val="00FC23B0"/>
    <w:rsid w:val="00FC42DB"/>
    <w:rsid w:val="00FC7E40"/>
    <w:rsid w:val="00FD090D"/>
    <w:rsid w:val="00FD13A4"/>
    <w:rsid w:val="00FD2BF4"/>
    <w:rsid w:val="00FD3DDE"/>
    <w:rsid w:val="00FD7547"/>
    <w:rsid w:val="00FE0C5E"/>
    <w:rsid w:val="00FE1AD1"/>
    <w:rsid w:val="00FE535B"/>
    <w:rsid w:val="00FF111A"/>
    <w:rsid w:val="00FF2F13"/>
    <w:rsid w:val="00FF451B"/>
    <w:rsid w:val="00FF4FE9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B5E353-6736-4930-AE8C-0362A4FF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Standard-GmbH"/>
    <w:qFormat/>
    <w:rsid w:val="00B43595"/>
    <w:rPr>
      <w:rFonts w:ascii="Franklin Gothic Book" w:hAnsi="Franklin Gothic Book"/>
      <w:sz w:val="22"/>
      <w:lang w:val="de-DE" w:eastAsia="de-DE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701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273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Zkladntext"/>
    <w:link w:val="Nadpis4Char"/>
    <w:uiPriority w:val="9"/>
    <w:qFormat/>
    <w:rsid w:val="00EC1852"/>
    <w:pPr>
      <w:numPr>
        <w:ilvl w:val="3"/>
        <w:numId w:val="1"/>
      </w:numPr>
      <w:suppressAutoHyphens/>
      <w:spacing w:line="100" w:lineRule="atLeas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BA41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uiPriority w:val="99"/>
    <w:rsid w:val="001507BB"/>
    <w:pPr>
      <w:spacing w:after="120"/>
    </w:pPr>
    <w:rPr>
      <w:sz w:val="20"/>
    </w:rPr>
  </w:style>
  <w:style w:type="paragraph" w:customStyle="1" w:styleId="Formatvorlage1">
    <w:name w:val="Formatvorlage1"/>
    <w:basedOn w:val="Normlny"/>
    <w:autoRedefine/>
    <w:uiPriority w:val="99"/>
    <w:pPr>
      <w:spacing w:before="120" w:after="120" w:line="360" w:lineRule="auto"/>
    </w:pPr>
    <w:rPr>
      <w:sz w:val="24"/>
    </w:rPr>
  </w:style>
  <w:style w:type="table" w:styleId="Mriekatabuky">
    <w:name w:val="Table Grid"/>
    <w:basedOn w:val="Normlnatabuka"/>
    <w:uiPriority w:val="99"/>
    <w:rsid w:val="00D6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27347E"/>
    <w:pPr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link w:val="Hlavika"/>
    <w:uiPriority w:val="99"/>
    <w:rPr>
      <w:rFonts w:ascii="Franklin Gothic Book" w:hAnsi="Franklin Gothic Book"/>
      <w:szCs w:val="20"/>
      <w:lang w:val="de-DE" w:eastAsia="de-DE"/>
    </w:rPr>
  </w:style>
  <w:style w:type="character" w:styleId="slostrany">
    <w:name w:val="page number"/>
    <w:uiPriority w:val="99"/>
    <w:rsid w:val="0027347E"/>
    <w:rPr>
      <w:rFonts w:cs="Times New Roman"/>
    </w:rPr>
  </w:style>
  <w:style w:type="paragraph" w:customStyle="1" w:styleId="Musterberschrift112">
    <w:name w:val="Muster_Überschrift1_12"/>
    <w:basedOn w:val="Normlny"/>
    <w:uiPriority w:val="99"/>
    <w:rsid w:val="0070637C"/>
    <w:pPr>
      <w:tabs>
        <w:tab w:val="left" w:pos="567"/>
      </w:tabs>
      <w:spacing w:before="240" w:after="240"/>
      <w:ind w:left="567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MusterHinweis">
    <w:name w:val="Muster_Hinweis"/>
    <w:basedOn w:val="Normlny"/>
    <w:next w:val="Normlny"/>
    <w:uiPriority w:val="99"/>
    <w:rsid w:val="0070637C"/>
    <w:pPr>
      <w:spacing w:before="120" w:after="120"/>
      <w:ind w:left="1134"/>
    </w:pPr>
    <w:rPr>
      <w:rFonts w:ascii="Arial" w:hAnsi="Arial" w:cs="Arial"/>
      <w:sz w:val="18"/>
      <w:szCs w:val="18"/>
      <w:lang w:eastAsia="ar-SA"/>
    </w:rPr>
  </w:style>
  <w:style w:type="paragraph" w:customStyle="1" w:styleId="Aufzhlung1-2-3-4-5-6">
    <w:name w:val="Aufzählung_1-2-3-4-5-6..."/>
    <w:basedOn w:val="Normlny"/>
    <w:uiPriority w:val="99"/>
    <w:rsid w:val="00BA4122"/>
    <w:pPr>
      <w:numPr>
        <w:numId w:val="2"/>
      </w:numPr>
      <w:suppressAutoHyphens/>
      <w:autoSpaceDE w:val="0"/>
      <w:autoSpaceDN w:val="0"/>
      <w:spacing w:after="120"/>
    </w:pPr>
    <w:rPr>
      <w:rFonts w:ascii="Arial" w:hAnsi="Arial" w:cs="Arial"/>
      <w:szCs w:val="22"/>
    </w:rPr>
  </w:style>
  <w:style w:type="paragraph" w:styleId="Nzov">
    <w:name w:val="Title"/>
    <w:basedOn w:val="Normlny"/>
    <w:next w:val="Podtitul"/>
    <w:link w:val="NzovChar"/>
    <w:uiPriority w:val="10"/>
    <w:qFormat/>
    <w:rsid w:val="00BA4122"/>
    <w:pPr>
      <w:suppressAutoHyphens/>
      <w:autoSpaceDE w:val="0"/>
      <w:autoSpaceDN w:val="0"/>
      <w:spacing w:before="480" w:after="480"/>
      <w:ind w:left="1701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customStyle="1" w:styleId="Abs06">
    <w:name w:val="__Abs. /06"/>
    <w:uiPriority w:val="99"/>
    <w:rsid w:val="00BA4122"/>
    <w:pPr>
      <w:suppressAutoHyphens/>
      <w:autoSpaceDE w:val="0"/>
      <w:autoSpaceDN w:val="0"/>
      <w:spacing w:after="120" w:line="260" w:lineRule="exact"/>
      <w:jc w:val="both"/>
    </w:pPr>
    <w:rPr>
      <w:rFonts w:ascii="Arial" w:hAnsi="Arial" w:cs="Arial"/>
      <w:noProof/>
      <w:lang w:val="en-US" w:eastAsia="de-DE"/>
    </w:rPr>
  </w:style>
  <w:style w:type="paragraph" w:styleId="Podtitul">
    <w:name w:val="Subtitle"/>
    <w:basedOn w:val="Normlny"/>
    <w:link w:val="PodtitulChar"/>
    <w:uiPriority w:val="11"/>
    <w:qFormat/>
    <w:rsid w:val="00BA412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MusterSpiegelstrich-Aufzhlung">
    <w:name w:val="Muster_Spiegelstrich-Aufzählung"/>
    <w:basedOn w:val="Normlny"/>
    <w:uiPriority w:val="99"/>
    <w:rsid w:val="00BA4122"/>
    <w:pPr>
      <w:numPr>
        <w:numId w:val="4"/>
      </w:numPr>
      <w:suppressAutoHyphens/>
      <w:autoSpaceDE w:val="0"/>
      <w:autoSpaceDN w:val="0"/>
      <w:spacing w:after="120"/>
    </w:pPr>
    <w:rPr>
      <w:rFonts w:ascii="Arial" w:hAnsi="Arial" w:cs="Arial"/>
      <w:szCs w:val="22"/>
    </w:rPr>
  </w:style>
  <w:style w:type="paragraph" w:customStyle="1" w:styleId="knZulassung02">
    <w:name w:val="knZulassung02"/>
    <w:basedOn w:val="Normlny"/>
    <w:uiPriority w:val="99"/>
    <w:rsid w:val="00BA4122"/>
    <w:pPr>
      <w:suppressAutoHyphens/>
      <w:autoSpaceDE w:val="0"/>
      <w:autoSpaceDN w:val="0"/>
      <w:spacing w:after="120"/>
      <w:ind w:left="1843" w:right="284"/>
    </w:pPr>
    <w:rPr>
      <w:rFonts w:ascii="Courier" w:hAnsi="Courier" w:cs="Courier"/>
      <w:sz w:val="24"/>
      <w:szCs w:val="24"/>
    </w:rPr>
  </w:style>
  <w:style w:type="paragraph" w:customStyle="1" w:styleId="MusterTitel">
    <w:name w:val="Muster_Titel"/>
    <w:basedOn w:val="Nzov"/>
    <w:uiPriority w:val="99"/>
    <w:rsid w:val="006F1DE4"/>
    <w:pPr>
      <w:suppressAutoHyphens w:val="0"/>
      <w:autoSpaceDE/>
      <w:autoSpaceDN/>
      <w:ind w:left="567"/>
      <w:jc w:val="center"/>
    </w:pPr>
    <w:rPr>
      <w:b w:val="0"/>
      <w:bCs w:val="0"/>
      <w:lang w:eastAsia="ar-SA"/>
    </w:rPr>
  </w:style>
  <w:style w:type="paragraph" w:customStyle="1" w:styleId="MusterTitelspcde">
    <w:name w:val="Muster_Titel_spcde"/>
    <w:basedOn w:val="MusterTitel"/>
    <w:uiPriority w:val="99"/>
    <w:rsid w:val="006F1DE4"/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rsid w:val="00EC1852"/>
    <w:pPr>
      <w:suppressAutoHyphens/>
      <w:spacing w:line="100" w:lineRule="atLeast"/>
    </w:pPr>
    <w:rPr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rPr>
      <w:rFonts w:ascii="Franklin Gothic Book" w:hAnsi="Franklin Gothic Book"/>
      <w:szCs w:val="20"/>
      <w:lang w:val="de-DE" w:eastAsia="de-DE"/>
    </w:rPr>
  </w:style>
  <w:style w:type="paragraph" w:styleId="Zarkazkladnhotextu">
    <w:name w:val="Body Text Indent"/>
    <w:basedOn w:val="Normlny"/>
    <w:link w:val="ZarkazkladnhotextuChar"/>
    <w:uiPriority w:val="99"/>
    <w:rsid w:val="007018F9"/>
    <w:pPr>
      <w:spacing w:after="120"/>
      <w:ind w:left="283"/>
    </w:pPr>
    <w:rPr>
      <w:sz w:val="20"/>
    </w:rPr>
  </w:style>
  <w:style w:type="character" w:customStyle="1" w:styleId="ZarkazkladnhotextuChar">
    <w:name w:val="Zarážka základného textu Char"/>
    <w:link w:val="Zarkazkladnhotextu"/>
    <w:uiPriority w:val="99"/>
    <w:semiHidden/>
    <w:rPr>
      <w:rFonts w:ascii="Franklin Gothic Book" w:hAnsi="Franklin Gothic Book"/>
      <w:szCs w:val="20"/>
      <w:lang w:val="de-DE" w:eastAsia="de-DE"/>
    </w:rPr>
  </w:style>
  <w:style w:type="paragraph" w:customStyle="1" w:styleId="Default">
    <w:name w:val="Default"/>
    <w:uiPriority w:val="99"/>
    <w:rsid w:val="00AF57CB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Style2">
    <w:name w:val="Style 2"/>
    <w:basedOn w:val="Normlny"/>
    <w:uiPriority w:val="99"/>
    <w:rsid w:val="00AF57C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">
    <w:name w:val="Style 1"/>
    <w:basedOn w:val="Normlny"/>
    <w:uiPriority w:val="99"/>
    <w:rsid w:val="00AF57C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Normlny"/>
    <w:link w:val="TextChar1"/>
    <w:rsid w:val="00740E39"/>
    <w:pPr>
      <w:spacing w:line="240" w:lineRule="atLeast"/>
    </w:pPr>
    <w:rPr>
      <w:rFonts w:ascii="Arial" w:hAnsi="Arial" w:cs="Arial"/>
      <w:sz w:val="20"/>
    </w:rPr>
  </w:style>
  <w:style w:type="paragraph" w:styleId="Zkladntext3">
    <w:name w:val="Body Text 3"/>
    <w:basedOn w:val="Normlny"/>
    <w:link w:val="Zkladntext3Char"/>
    <w:uiPriority w:val="99"/>
    <w:rsid w:val="000B68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rPr>
      <w:rFonts w:ascii="Franklin Gothic Book" w:hAnsi="Franklin Gothic Book"/>
      <w:sz w:val="16"/>
      <w:szCs w:val="16"/>
      <w:lang w:val="de-DE" w:eastAsia="de-DE"/>
    </w:rPr>
  </w:style>
  <w:style w:type="paragraph" w:customStyle="1" w:styleId="Bezmezer1">
    <w:name w:val="Bez mezer1"/>
    <w:uiPriority w:val="99"/>
    <w:qFormat/>
    <w:rsid w:val="001507BB"/>
    <w:rPr>
      <w:rFonts w:ascii="Calibri" w:hAnsi="Calibri"/>
      <w:sz w:val="22"/>
      <w:szCs w:val="22"/>
      <w:lang w:val="en-US" w:eastAsia="en-US"/>
    </w:rPr>
  </w:style>
  <w:style w:type="character" w:customStyle="1" w:styleId="contents-child-label1">
    <w:name w:val="contents-child-label1"/>
    <w:uiPriority w:val="99"/>
    <w:rsid w:val="001507BB"/>
    <w:rPr>
      <w:rFonts w:ascii="Verdana" w:hAnsi="Verdana" w:cs="Times New Roman"/>
      <w:sz w:val="20"/>
      <w:szCs w:val="20"/>
    </w:rPr>
  </w:style>
  <w:style w:type="character" w:styleId="Hypertextovprepojenie">
    <w:name w:val="Hyperlink"/>
    <w:uiPriority w:val="99"/>
    <w:rsid w:val="001507BB"/>
    <w:rPr>
      <w:rFonts w:ascii="Arial" w:hAnsi="Arial"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507BB"/>
    <w:pPr>
      <w:ind w:left="-284"/>
    </w:pPr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rFonts w:ascii="Franklin Gothic Book" w:hAnsi="Franklin Gothic Book"/>
      <w:sz w:val="20"/>
      <w:szCs w:val="20"/>
      <w:lang w:val="de-DE" w:eastAsia="de-DE"/>
    </w:rPr>
  </w:style>
  <w:style w:type="character" w:customStyle="1" w:styleId="PtaChar">
    <w:name w:val="Päta Char"/>
    <w:link w:val="Pta"/>
    <w:uiPriority w:val="99"/>
    <w:locked/>
    <w:rsid w:val="001507BB"/>
    <w:rPr>
      <w:rFonts w:ascii="Franklin Gothic Book" w:hAnsi="Franklin Gothic Book" w:cs="Times New Roman"/>
      <w:sz w:val="22"/>
      <w:lang w:val="de-DE" w:eastAsia="de-DE" w:bidi="ar-SA"/>
    </w:rPr>
  </w:style>
  <w:style w:type="character" w:customStyle="1" w:styleId="ZkladntextChar">
    <w:name w:val="Základný text Char"/>
    <w:link w:val="Zkladntext"/>
    <w:uiPriority w:val="99"/>
    <w:semiHidden/>
    <w:rPr>
      <w:rFonts w:ascii="Franklin Gothic Book" w:hAnsi="Franklin Gothic Book"/>
      <w:szCs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E83A1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customStyle="1" w:styleId="paragraph">
    <w:name w:val="paragraph"/>
    <w:basedOn w:val="Normlny"/>
    <w:uiPriority w:val="99"/>
    <w:rsid w:val="008B64C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rsid w:val="008B64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byajntext">
    <w:name w:val="Plain Text"/>
    <w:basedOn w:val="Normlny"/>
    <w:link w:val="ObyajntextChar"/>
    <w:uiPriority w:val="99"/>
    <w:rsid w:val="008B64C0"/>
    <w:rPr>
      <w:rFonts w:ascii="Courier New" w:hAnsi="Courier New"/>
      <w:sz w:val="20"/>
    </w:rPr>
  </w:style>
  <w:style w:type="character" w:customStyle="1" w:styleId="ObyajntextChar">
    <w:name w:val="Obyčajný text Char"/>
    <w:link w:val="Obyajntext"/>
    <w:uiPriority w:val="99"/>
    <w:semiHidden/>
    <w:rPr>
      <w:rFonts w:ascii="Courier New" w:hAnsi="Courier New" w:cs="Courier New"/>
      <w:sz w:val="20"/>
      <w:szCs w:val="20"/>
      <w:lang w:val="de-DE" w:eastAsia="de-DE"/>
    </w:rPr>
  </w:style>
  <w:style w:type="paragraph" w:customStyle="1" w:styleId="BodySingle">
    <w:name w:val="Body Single"/>
    <w:uiPriority w:val="99"/>
    <w:rsid w:val="00667BE6"/>
    <w:rPr>
      <w:color w:val="000000"/>
      <w:sz w:val="24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667BE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rFonts w:ascii="Franklin Gothic Book" w:hAnsi="Franklin Gothic Book"/>
      <w:sz w:val="16"/>
      <w:szCs w:val="16"/>
      <w:lang w:val="de-DE" w:eastAsia="de-DE"/>
    </w:rPr>
  </w:style>
  <w:style w:type="character" w:styleId="Odkaznakomentr">
    <w:name w:val="annotation reference"/>
    <w:uiPriority w:val="99"/>
    <w:semiHidden/>
    <w:rsid w:val="008E411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E4111"/>
    <w:rPr>
      <w:sz w:val="20"/>
    </w:rPr>
  </w:style>
  <w:style w:type="character" w:customStyle="1" w:styleId="WW8Num2z0">
    <w:name w:val="WW8Num2z0"/>
    <w:uiPriority w:val="99"/>
    <w:rsid w:val="00EC1852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E411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rFonts w:ascii="Franklin Gothic Book" w:hAnsi="Franklin Gothic Book"/>
      <w:b/>
      <w:bCs/>
      <w:sz w:val="20"/>
      <w:szCs w:val="20"/>
      <w:lang w:val="de-DE" w:eastAsia="de-DE"/>
    </w:rPr>
  </w:style>
  <w:style w:type="character" w:styleId="Siln">
    <w:name w:val="Strong"/>
    <w:uiPriority w:val="99"/>
    <w:qFormat/>
    <w:rsid w:val="00FB50C9"/>
    <w:rPr>
      <w:rFonts w:cs="Times New Roman"/>
      <w:b/>
      <w:bCs/>
    </w:rPr>
  </w:style>
  <w:style w:type="paragraph" w:customStyle="1" w:styleId="Odstavecseseznamem1">
    <w:name w:val="Odstavec se seznamem1"/>
    <w:basedOn w:val="Normlny"/>
    <w:uiPriority w:val="99"/>
    <w:qFormat/>
    <w:rsid w:val="002A2940"/>
    <w:pPr>
      <w:ind w:left="720"/>
      <w:contextualSpacing/>
    </w:pPr>
    <w:rPr>
      <w:rFonts w:ascii="Arial" w:hAnsi="Arial"/>
      <w:color w:val="000000"/>
      <w:sz w:val="24"/>
      <w:lang w:val="en-IE" w:eastAsia="en-US"/>
    </w:rPr>
  </w:style>
  <w:style w:type="character" w:customStyle="1" w:styleId="TextkomentraChar">
    <w:name w:val="Text komentára Char"/>
    <w:link w:val="Textkomentra"/>
    <w:uiPriority w:val="99"/>
    <w:semiHidden/>
    <w:locked/>
    <w:rsid w:val="00613D6A"/>
    <w:rPr>
      <w:rFonts w:ascii="Franklin Gothic Book" w:hAnsi="Franklin Gothic Book" w:cs="Times New Roman"/>
      <w:lang w:val="de-DE" w:eastAsia="de-DE" w:bidi="ar-SA"/>
    </w:rPr>
  </w:style>
  <w:style w:type="character" w:customStyle="1" w:styleId="WW8Num2z1">
    <w:name w:val="WW8Num2z1"/>
    <w:uiPriority w:val="99"/>
    <w:rsid w:val="00EC1852"/>
    <w:rPr>
      <w:rFonts w:ascii="Arial" w:hAnsi="Arial"/>
      <w:b/>
    </w:rPr>
  </w:style>
  <w:style w:type="character" w:customStyle="1" w:styleId="WW8Num2z2">
    <w:name w:val="WW8Num2z2"/>
    <w:uiPriority w:val="99"/>
    <w:rsid w:val="00EC1852"/>
    <w:rPr>
      <w:rFonts w:ascii="Wingdings" w:hAnsi="Wingdings"/>
    </w:rPr>
  </w:style>
  <w:style w:type="character" w:customStyle="1" w:styleId="WW8Num2z3">
    <w:name w:val="WW8Num2z3"/>
    <w:uiPriority w:val="99"/>
    <w:rsid w:val="00EC1852"/>
    <w:rPr>
      <w:rFonts w:ascii="Symbol" w:hAnsi="Symbol"/>
    </w:rPr>
  </w:style>
  <w:style w:type="character" w:customStyle="1" w:styleId="WW8Num2z4">
    <w:name w:val="WW8Num2z4"/>
    <w:uiPriority w:val="99"/>
    <w:rsid w:val="00EC1852"/>
    <w:rPr>
      <w:rFonts w:ascii="Courier New" w:hAnsi="Courier New"/>
    </w:rPr>
  </w:style>
  <w:style w:type="character" w:customStyle="1" w:styleId="WW8Num3z0">
    <w:name w:val="WW8Num3z0"/>
    <w:uiPriority w:val="99"/>
    <w:rsid w:val="00EC1852"/>
  </w:style>
  <w:style w:type="character" w:customStyle="1" w:styleId="WW8Num4z0">
    <w:name w:val="WW8Num4z0"/>
    <w:uiPriority w:val="99"/>
    <w:rsid w:val="00EC1852"/>
    <w:rPr>
      <w:rFonts w:ascii="Arial" w:hAnsi="Arial"/>
    </w:rPr>
  </w:style>
  <w:style w:type="character" w:customStyle="1" w:styleId="WW8Num4z2">
    <w:name w:val="WW8Num4z2"/>
    <w:uiPriority w:val="99"/>
    <w:rsid w:val="00EC1852"/>
    <w:rPr>
      <w:rFonts w:ascii="Wingdings" w:hAnsi="Wingdings"/>
    </w:rPr>
  </w:style>
  <w:style w:type="character" w:customStyle="1" w:styleId="WW8Num4z3">
    <w:name w:val="WW8Num4z3"/>
    <w:uiPriority w:val="99"/>
    <w:rsid w:val="00EC1852"/>
    <w:rPr>
      <w:rFonts w:ascii="Symbol" w:hAnsi="Symbol"/>
    </w:rPr>
  </w:style>
  <w:style w:type="character" w:customStyle="1" w:styleId="WW8Num4z4">
    <w:name w:val="WW8Num4z4"/>
    <w:uiPriority w:val="99"/>
    <w:rsid w:val="00EC1852"/>
    <w:rPr>
      <w:rFonts w:ascii="Courier New" w:hAnsi="Courier New"/>
    </w:rPr>
  </w:style>
  <w:style w:type="character" w:customStyle="1" w:styleId="WW8Num5z0">
    <w:name w:val="WW8Num5z0"/>
    <w:uiPriority w:val="99"/>
    <w:rsid w:val="00EC1852"/>
    <w:rPr>
      <w:rFonts w:ascii="Arial" w:hAnsi="Arial"/>
    </w:rPr>
  </w:style>
  <w:style w:type="character" w:customStyle="1" w:styleId="WW8Num5z2">
    <w:name w:val="WW8Num5z2"/>
    <w:uiPriority w:val="99"/>
    <w:rsid w:val="00EC1852"/>
    <w:rPr>
      <w:rFonts w:ascii="Wingdings" w:hAnsi="Wingdings"/>
    </w:rPr>
  </w:style>
  <w:style w:type="character" w:customStyle="1" w:styleId="WW8Num5z3">
    <w:name w:val="WW8Num5z3"/>
    <w:uiPriority w:val="99"/>
    <w:rsid w:val="00EC1852"/>
    <w:rPr>
      <w:rFonts w:ascii="Symbol" w:hAnsi="Symbol"/>
    </w:rPr>
  </w:style>
  <w:style w:type="character" w:customStyle="1" w:styleId="WW8Num5z4">
    <w:name w:val="WW8Num5z4"/>
    <w:uiPriority w:val="99"/>
    <w:rsid w:val="00EC1852"/>
    <w:rPr>
      <w:rFonts w:ascii="Courier New" w:hAnsi="Courier New"/>
    </w:rPr>
  </w:style>
  <w:style w:type="character" w:customStyle="1" w:styleId="WW8Num6z0">
    <w:name w:val="WW8Num6z0"/>
    <w:uiPriority w:val="99"/>
    <w:rsid w:val="00EC1852"/>
  </w:style>
  <w:style w:type="character" w:customStyle="1" w:styleId="Absatz-Standardschriftart2">
    <w:name w:val="Absatz-Standardschriftart2"/>
    <w:uiPriority w:val="99"/>
    <w:rsid w:val="00EC1852"/>
  </w:style>
  <w:style w:type="character" w:customStyle="1" w:styleId="WW-Absatz-Standardschriftart">
    <w:name w:val="WW-Absatz-Standardschriftart"/>
    <w:uiPriority w:val="99"/>
    <w:rsid w:val="00EC1852"/>
  </w:style>
  <w:style w:type="character" w:customStyle="1" w:styleId="WW8Num7z0">
    <w:name w:val="WW8Num7z0"/>
    <w:uiPriority w:val="99"/>
    <w:rsid w:val="00EC1852"/>
    <w:rPr>
      <w:rFonts w:ascii="Wingdings 2" w:hAnsi="Wingdings 2"/>
    </w:rPr>
  </w:style>
  <w:style w:type="character" w:customStyle="1" w:styleId="WW8Num7z1">
    <w:name w:val="WW8Num7z1"/>
    <w:uiPriority w:val="99"/>
    <w:rsid w:val="00EC1852"/>
    <w:rPr>
      <w:rFonts w:ascii="OpenSymbol" w:eastAsia="OpenSymbol"/>
    </w:rPr>
  </w:style>
  <w:style w:type="character" w:customStyle="1" w:styleId="WW-Absatz-Standardschriftart1">
    <w:name w:val="WW-Absatz-Standardschriftart1"/>
    <w:uiPriority w:val="99"/>
    <w:rsid w:val="00EC1852"/>
  </w:style>
  <w:style w:type="character" w:customStyle="1" w:styleId="Absatz-Standardschriftart1">
    <w:name w:val="Absatz-Standardschriftart1"/>
    <w:uiPriority w:val="99"/>
    <w:rsid w:val="00EC1852"/>
  </w:style>
  <w:style w:type="character" w:customStyle="1" w:styleId="Textkrper-Einzug2Zchn">
    <w:name w:val="Textkörper-Einzug 2 Zchn"/>
    <w:uiPriority w:val="99"/>
    <w:rsid w:val="00EC1852"/>
    <w:rPr>
      <w:rFonts w:ascii="Arial" w:hAnsi="Arial"/>
      <w:sz w:val="24"/>
    </w:rPr>
  </w:style>
  <w:style w:type="character" w:customStyle="1" w:styleId="ListLabel1">
    <w:name w:val="ListLabel 1"/>
    <w:uiPriority w:val="99"/>
    <w:rsid w:val="00EC1852"/>
    <w:rPr>
      <w:rFonts w:eastAsia="Times New Roman"/>
      <w:b/>
    </w:rPr>
  </w:style>
  <w:style w:type="character" w:customStyle="1" w:styleId="ListLabel2">
    <w:name w:val="ListLabel 2"/>
    <w:uiPriority w:val="99"/>
    <w:rsid w:val="00EC1852"/>
  </w:style>
  <w:style w:type="character" w:customStyle="1" w:styleId="Bullets">
    <w:name w:val="Bullets"/>
    <w:uiPriority w:val="99"/>
    <w:rsid w:val="00EC1852"/>
    <w:rPr>
      <w:rFonts w:ascii="OpenSymbol" w:eastAsia="OpenSymbol" w:hAnsi="OpenSymbol"/>
    </w:rPr>
  </w:style>
  <w:style w:type="character" w:customStyle="1" w:styleId="SprechblasentextZchn">
    <w:name w:val="Sprechblasentext Zchn"/>
    <w:uiPriority w:val="99"/>
    <w:rsid w:val="00EC1852"/>
    <w:rPr>
      <w:rFonts w:ascii="Tahoma" w:hAnsi="Tahoma"/>
      <w:color w:val="000000"/>
      <w:kern w:val="1"/>
      <w:sz w:val="16"/>
    </w:rPr>
  </w:style>
  <w:style w:type="paragraph" w:customStyle="1" w:styleId="Heading">
    <w:name w:val="Heading"/>
    <w:basedOn w:val="Normlny"/>
    <w:next w:val="Zkladntext"/>
    <w:uiPriority w:val="99"/>
    <w:rsid w:val="00EC1852"/>
    <w:pPr>
      <w:keepNext/>
      <w:suppressAutoHyphens/>
      <w:spacing w:before="240" w:after="120" w:line="100" w:lineRule="atLeast"/>
    </w:pPr>
    <w:rPr>
      <w:rFonts w:ascii="FreeSans" w:eastAsia="AR PL UMing HK" w:hAnsi="FreeSans" w:cs="Lohit Hindi"/>
      <w:color w:val="000000"/>
      <w:kern w:val="1"/>
      <w:sz w:val="28"/>
      <w:szCs w:val="28"/>
      <w:lang w:eastAsia="zh-CN"/>
    </w:rPr>
  </w:style>
  <w:style w:type="paragraph" w:styleId="Zoznam">
    <w:name w:val="List"/>
    <w:basedOn w:val="Zkladntext"/>
    <w:uiPriority w:val="99"/>
    <w:rsid w:val="00EC1852"/>
    <w:pPr>
      <w:suppressAutoHyphens/>
      <w:spacing w:line="100" w:lineRule="atLeast"/>
    </w:pPr>
    <w:rPr>
      <w:rFonts w:ascii="FreeSans" w:eastAsia="FreeSans" w:hAnsi="Times New Roman" w:cs="Lohit Hindi"/>
      <w:color w:val="000000"/>
      <w:kern w:val="1"/>
      <w:sz w:val="24"/>
      <w:szCs w:val="24"/>
      <w:lang w:eastAsia="zh-CN"/>
    </w:rPr>
  </w:style>
  <w:style w:type="paragraph" w:styleId="Popis">
    <w:name w:val="caption"/>
    <w:basedOn w:val="Normlny"/>
    <w:uiPriority w:val="99"/>
    <w:qFormat/>
    <w:rsid w:val="00EC1852"/>
    <w:pPr>
      <w:suppressLineNumbers/>
      <w:suppressAutoHyphens/>
      <w:spacing w:before="120" w:after="120" w:line="100" w:lineRule="atLeast"/>
    </w:pPr>
    <w:rPr>
      <w:rFonts w:ascii="FreeSans" w:eastAsia="FreeSans" w:hAnsi="Times New Roman" w:cs="Lohit Hindi"/>
      <w:i/>
      <w:iCs/>
      <w:color w:val="000000"/>
      <w:kern w:val="1"/>
      <w:sz w:val="24"/>
      <w:szCs w:val="24"/>
      <w:lang w:eastAsia="zh-CN"/>
    </w:rPr>
  </w:style>
  <w:style w:type="paragraph" w:customStyle="1" w:styleId="Index">
    <w:name w:val="Index"/>
    <w:basedOn w:val="Normlny"/>
    <w:uiPriority w:val="99"/>
    <w:rsid w:val="00EC1852"/>
    <w:pPr>
      <w:suppressLineNumbers/>
      <w:suppressAutoHyphens/>
      <w:spacing w:line="100" w:lineRule="atLeast"/>
    </w:pPr>
    <w:rPr>
      <w:rFonts w:ascii="FreeSans" w:eastAsia="FreeSans" w:hAnsi="Times New Roman" w:cs="Lohit Hindi"/>
      <w:color w:val="000000"/>
      <w:kern w:val="1"/>
      <w:sz w:val="24"/>
      <w:szCs w:val="24"/>
      <w:lang w:eastAsia="zh-CN"/>
    </w:rPr>
  </w:style>
  <w:style w:type="paragraph" w:customStyle="1" w:styleId="Beschriftung1">
    <w:name w:val="Beschriftung1"/>
    <w:basedOn w:val="Normlny"/>
    <w:uiPriority w:val="99"/>
    <w:rsid w:val="00EC1852"/>
    <w:pPr>
      <w:suppressLineNumbers/>
      <w:suppressAutoHyphens/>
      <w:spacing w:before="120" w:after="120" w:line="100" w:lineRule="atLeast"/>
    </w:pPr>
    <w:rPr>
      <w:rFonts w:ascii="FreeSans" w:eastAsia="FreeSans" w:hAnsi="Times New Roman" w:cs="Lohit Hindi"/>
      <w:i/>
      <w:iCs/>
      <w:color w:val="000000"/>
      <w:kern w:val="1"/>
      <w:sz w:val="24"/>
      <w:szCs w:val="24"/>
      <w:lang w:eastAsia="zh-CN"/>
    </w:rPr>
  </w:style>
  <w:style w:type="paragraph" w:customStyle="1" w:styleId="berarbeitung">
    <w:name w:val="Überarbeitung"/>
    <w:uiPriority w:val="99"/>
    <w:rsid w:val="00EC1852"/>
    <w:pPr>
      <w:suppressAutoHyphens/>
    </w:pPr>
    <w:rPr>
      <w:rFonts w:ascii="Arial" w:hAnsi="Arial" w:cs="Arial"/>
      <w:color w:val="000000"/>
      <w:kern w:val="1"/>
      <w:sz w:val="24"/>
      <w:szCs w:val="24"/>
      <w:lang w:val="de-DE" w:eastAsia="zh-CN"/>
    </w:rPr>
  </w:style>
  <w:style w:type="character" w:customStyle="1" w:styleId="ZchnZchn1">
    <w:name w:val="Zchn Zchn1"/>
    <w:uiPriority w:val="99"/>
    <w:rsid w:val="00EC1852"/>
    <w:rPr>
      <w:rFonts w:ascii="Arial" w:hAnsi="Arial"/>
      <w:color w:val="000000"/>
      <w:kern w:val="1"/>
      <w:lang w:val="de-DE" w:eastAsia="zh-CN"/>
    </w:rPr>
  </w:style>
  <w:style w:type="character" w:styleId="Odkaznapoznmkupodiarou">
    <w:name w:val="footnote reference"/>
    <w:uiPriority w:val="99"/>
    <w:semiHidden/>
    <w:rsid w:val="00766558"/>
    <w:rPr>
      <w:rFonts w:ascii="Arial" w:hAnsi="Arial" w:cs="Times New Roman"/>
      <w:vertAlign w:val="superscript"/>
    </w:rPr>
  </w:style>
  <w:style w:type="paragraph" w:customStyle="1" w:styleId="paragraph1">
    <w:name w:val="paragraph1"/>
    <w:basedOn w:val="Normlny"/>
    <w:uiPriority w:val="99"/>
    <w:rsid w:val="00572A88"/>
    <w:rPr>
      <w:rFonts w:ascii="Times New Roman" w:hAnsi="Times New Roman"/>
      <w:sz w:val="24"/>
      <w:szCs w:val="24"/>
    </w:rPr>
  </w:style>
  <w:style w:type="character" w:customStyle="1" w:styleId="FooterChar">
    <w:name w:val="Footer Char"/>
    <w:uiPriority w:val="99"/>
    <w:locked/>
    <w:rsid w:val="00206352"/>
    <w:rPr>
      <w:rFonts w:ascii="Calibri" w:hAnsi="Calibri" w:cs="Times New Roman"/>
      <w:sz w:val="22"/>
      <w:szCs w:val="22"/>
      <w:lang w:val="en-US" w:eastAsia="en-US" w:bidi="ar-SA"/>
    </w:rPr>
  </w:style>
  <w:style w:type="paragraph" w:styleId="Revzia">
    <w:name w:val="Revision"/>
    <w:hidden/>
    <w:uiPriority w:val="99"/>
    <w:semiHidden/>
    <w:rsid w:val="00DF6CD1"/>
    <w:rPr>
      <w:rFonts w:ascii="Franklin Gothic Book" w:hAnsi="Franklin Gothic Book"/>
      <w:sz w:val="22"/>
      <w:lang w:val="de-DE" w:eastAsia="de-DE"/>
    </w:rPr>
  </w:style>
  <w:style w:type="character" w:customStyle="1" w:styleId="TextChar1">
    <w:name w:val="Text Char1"/>
    <w:link w:val="Text"/>
    <w:locked/>
    <w:rsid w:val="00224E66"/>
    <w:rPr>
      <w:rFonts w:ascii="Arial" w:hAnsi="Arial" w:cs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08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37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13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26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30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24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4533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15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40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29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3007</Words>
  <Characters>17143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Module 1 (Part I)</vt:lpstr>
      <vt:lpstr>Module 1 (Part I)</vt:lpstr>
    </vt:vector>
  </TitlesOfParts>
  <Company>Kappler Pharma Consult</Company>
  <LinksUpToDate>false</LinksUpToDate>
  <CharactersWithSpaces>20110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(Part I)</dc:title>
  <dc:creator>Regpharm</dc:creator>
  <cp:lastModifiedBy>zuzana molnarova</cp:lastModifiedBy>
  <cp:revision>3</cp:revision>
  <cp:lastPrinted>2020-08-11T12:16:00Z</cp:lastPrinted>
  <dcterms:created xsi:type="dcterms:W3CDTF">2020-08-11T12:16:00Z</dcterms:created>
  <dcterms:modified xsi:type="dcterms:W3CDTF">2020-08-11T12:16:00Z</dcterms:modified>
</cp:coreProperties>
</file>