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217B9" w14:textId="77777777" w:rsidR="00780926" w:rsidRPr="00D369C9" w:rsidRDefault="00386B19">
      <w:pPr>
        <w:jc w:val="center"/>
        <w:rPr>
          <w:b/>
          <w:szCs w:val="22"/>
        </w:rPr>
      </w:pPr>
      <w:r w:rsidRPr="00D369C9">
        <w:rPr>
          <w:b/>
        </w:rPr>
        <w:t>SÚHRN CHARAKTERISTICKÝCH VLASTNOSTÍ LIEKU</w:t>
      </w:r>
    </w:p>
    <w:p w14:paraId="6D550665" w14:textId="77777777" w:rsidR="00B06E24" w:rsidRDefault="00B06E24">
      <w:pPr>
        <w:rPr>
          <w:szCs w:val="22"/>
        </w:rPr>
      </w:pPr>
    </w:p>
    <w:p w14:paraId="0D8B7AA2" w14:textId="77777777" w:rsidR="007A090E" w:rsidRPr="00D369C9" w:rsidRDefault="007A090E">
      <w:pPr>
        <w:rPr>
          <w:szCs w:val="22"/>
        </w:rPr>
      </w:pPr>
    </w:p>
    <w:p w14:paraId="71E349FF" w14:textId="77777777" w:rsidR="00780926" w:rsidRPr="00D369C9" w:rsidRDefault="00386B19" w:rsidP="00E41B3F">
      <w:pPr>
        <w:rPr>
          <w:szCs w:val="22"/>
        </w:rPr>
      </w:pPr>
      <w:r w:rsidRPr="00D369C9">
        <w:rPr>
          <w:b/>
          <w:szCs w:val="22"/>
        </w:rPr>
        <w:t>1.</w:t>
      </w:r>
      <w:r w:rsidRPr="00D369C9">
        <w:rPr>
          <w:b/>
          <w:szCs w:val="22"/>
        </w:rPr>
        <w:tab/>
        <w:t>NÁZOV LIEKU</w:t>
      </w:r>
    </w:p>
    <w:p w14:paraId="379ABED6" w14:textId="77777777" w:rsidR="00780926" w:rsidRPr="00D369C9" w:rsidRDefault="00780926" w:rsidP="00E41B3F">
      <w:pPr>
        <w:rPr>
          <w:szCs w:val="22"/>
        </w:rPr>
      </w:pPr>
    </w:p>
    <w:p w14:paraId="4697F3AE" w14:textId="77777777" w:rsidR="00780926" w:rsidRDefault="00F85745" w:rsidP="00F85745">
      <w:pPr>
        <w:jc w:val="both"/>
        <w:rPr>
          <w:szCs w:val="22"/>
        </w:rPr>
      </w:pPr>
      <w:proofErr w:type="spellStart"/>
      <w:r w:rsidRPr="00D369C9">
        <w:rPr>
          <w:szCs w:val="22"/>
        </w:rPr>
        <w:t>Micafungin</w:t>
      </w:r>
      <w:proofErr w:type="spellEnd"/>
      <w:r w:rsidRPr="00D369C9">
        <w:rPr>
          <w:szCs w:val="22"/>
        </w:rPr>
        <w:t xml:space="preserve"> </w:t>
      </w:r>
      <w:proofErr w:type="spellStart"/>
      <w:r w:rsidRPr="00D369C9">
        <w:rPr>
          <w:szCs w:val="22"/>
        </w:rPr>
        <w:t>Olikla</w:t>
      </w:r>
      <w:proofErr w:type="spellEnd"/>
      <w:r w:rsidR="00386B19" w:rsidRPr="00D369C9">
        <w:rPr>
          <w:szCs w:val="22"/>
        </w:rPr>
        <w:t xml:space="preserve"> 100 mg prášok na infúzny koncentrát</w:t>
      </w:r>
    </w:p>
    <w:p w14:paraId="4E6C2F2E" w14:textId="77777777" w:rsidR="00693B8A" w:rsidRPr="00D369C9" w:rsidRDefault="00693B8A" w:rsidP="00F85745">
      <w:pPr>
        <w:jc w:val="both"/>
        <w:rPr>
          <w:szCs w:val="22"/>
        </w:rPr>
      </w:pPr>
    </w:p>
    <w:p w14:paraId="275AD0CD" w14:textId="77777777" w:rsidR="00386B19" w:rsidRPr="00D369C9" w:rsidRDefault="00386B19" w:rsidP="00E41B3F">
      <w:pPr>
        <w:rPr>
          <w:szCs w:val="22"/>
        </w:rPr>
      </w:pPr>
    </w:p>
    <w:p w14:paraId="62092130" w14:textId="77777777" w:rsidR="00780926" w:rsidRPr="00D369C9" w:rsidRDefault="00386B19" w:rsidP="00E41B3F">
      <w:pPr>
        <w:rPr>
          <w:szCs w:val="22"/>
        </w:rPr>
      </w:pPr>
      <w:r w:rsidRPr="00D369C9">
        <w:rPr>
          <w:b/>
          <w:szCs w:val="22"/>
        </w:rPr>
        <w:t>2.</w:t>
      </w:r>
      <w:r w:rsidRPr="00D369C9">
        <w:rPr>
          <w:b/>
          <w:szCs w:val="22"/>
        </w:rPr>
        <w:tab/>
        <w:t>KVALITATÍVNE A</w:t>
      </w:r>
      <w:r w:rsidR="00A236CF" w:rsidRPr="00D369C9">
        <w:rPr>
          <w:b/>
          <w:szCs w:val="22"/>
        </w:rPr>
        <w:t> </w:t>
      </w:r>
      <w:r w:rsidRPr="00D369C9">
        <w:rPr>
          <w:b/>
          <w:szCs w:val="22"/>
        </w:rPr>
        <w:t>KVANTITATÍVNE ZLOŽENIE</w:t>
      </w:r>
    </w:p>
    <w:p w14:paraId="134B0AAD" w14:textId="77777777" w:rsidR="00780926" w:rsidRPr="00D369C9" w:rsidRDefault="00780926" w:rsidP="00E41B3F">
      <w:pPr>
        <w:ind w:left="0" w:firstLine="0"/>
      </w:pPr>
    </w:p>
    <w:p w14:paraId="40E55954" w14:textId="03828755" w:rsidR="00386B19" w:rsidRPr="00D369C9" w:rsidRDefault="00386B19" w:rsidP="00F8574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Každá injekčná liekovka obsahuje 100 mg mikafungínu</w:t>
      </w:r>
      <w:r w:rsidR="00DC4AD3">
        <w:rPr>
          <w:sz w:val="22"/>
          <w:szCs w:val="22"/>
          <w:lang w:val="sk-SK"/>
        </w:rPr>
        <w:t xml:space="preserve"> </w:t>
      </w:r>
      <w:r w:rsidR="006A6F5F">
        <w:rPr>
          <w:sz w:val="22"/>
          <w:szCs w:val="22"/>
          <w:lang w:val="sk-SK"/>
        </w:rPr>
        <w:t xml:space="preserve">vo forme </w:t>
      </w:r>
      <w:r w:rsidR="00693B8A">
        <w:rPr>
          <w:sz w:val="22"/>
          <w:szCs w:val="22"/>
          <w:lang w:val="sk-SK"/>
        </w:rPr>
        <w:t>sodnej soli mikafungínu.</w:t>
      </w:r>
    </w:p>
    <w:p w14:paraId="39A0B41F" w14:textId="0FEBBD15" w:rsidR="00386B19" w:rsidRPr="00D369C9" w:rsidRDefault="00386B19" w:rsidP="00F8574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Po rekonštitúcii obsahuje každý ml 20 mg mikafungínu</w:t>
      </w:r>
      <w:r w:rsidR="00DC4AD3">
        <w:rPr>
          <w:sz w:val="22"/>
          <w:szCs w:val="22"/>
          <w:lang w:val="sk-SK"/>
        </w:rPr>
        <w:t xml:space="preserve"> </w:t>
      </w:r>
      <w:r w:rsidR="006A6F5F">
        <w:rPr>
          <w:sz w:val="22"/>
          <w:szCs w:val="22"/>
          <w:lang w:val="sk-SK"/>
        </w:rPr>
        <w:t>vo forme</w:t>
      </w:r>
      <w:r w:rsidR="00693B8A">
        <w:rPr>
          <w:sz w:val="22"/>
          <w:szCs w:val="22"/>
          <w:lang w:val="sk-SK"/>
        </w:rPr>
        <w:t xml:space="preserve"> sodnej soli mikafungínu.</w:t>
      </w:r>
      <w:r w:rsidRPr="00D369C9">
        <w:rPr>
          <w:sz w:val="22"/>
          <w:szCs w:val="22"/>
          <w:lang w:val="sk-SK"/>
        </w:rPr>
        <w:t xml:space="preserve"> </w:t>
      </w:r>
    </w:p>
    <w:p w14:paraId="652AE379" w14:textId="77777777" w:rsidR="00F85745" w:rsidRPr="00D369C9" w:rsidRDefault="00F85745" w:rsidP="00F85745">
      <w:pPr>
        <w:jc w:val="both"/>
        <w:rPr>
          <w:szCs w:val="22"/>
        </w:rPr>
      </w:pPr>
      <w:bookmarkStart w:id="0" w:name="_GoBack"/>
      <w:bookmarkEnd w:id="0"/>
    </w:p>
    <w:p w14:paraId="39658D79" w14:textId="77777777" w:rsidR="00780926" w:rsidRPr="00D369C9" w:rsidRDefault="00386B19" w:rsidP="00F85745">
      <w:pPr>
        <w:jc w:val="both"/>
        <w:rPr>
          <w:szCs w:val="22"/>
        </w:rPr>
      </w:pPr>
      <w:r w:rsidRPr="00D369C9">
        <w:rPr>
          <w:szCs w:val="22"/>
        </w:rPr>
        <w:t>Úplný zoznam pomocných látok, pozri časť 6.1.</w:t>
      </w:r>
    </w:p>
    <w:p w14:paraId="07F11FBF" w14:textId="77777777" w:rsidR="00386B19" w:rsidRDefault="00386B19" w:rsidP="00E41B3F">
      <w:pPr>
        <w:rPr>
          <w:szCs w:val="22"/>
        </w:rPr>
      </w:pPr>
    </w:p>
    <w:p w14:paraId="7CE70EF1" w14:textId="77777777" w:rsidR="007A090E" w:rsidRPr="00D369C9" w:rsidRDefault="007A090E" w:rsidP="00E41B3F">
      <w:pPr>
        <w:rPr>
          <w:szCs w:val="22"/>
        </w:rPr>
      </w:pPr>
    </w:p>
    <w:p w14:paraId="485B8C1F" w14:textId="77777777" w:rsidR="00780926" w:rsidRPr="00D369C9" w:rsidRDefault="00386B19" w:rsidP="00E41B3F">
      <w:pPr>
        <w:rPr>
          <w:caps/>
          <w:szCs w:val="22"/>
        </w:rPr>
      </w:pPr>
      <w:r w:rsidRPr="00D369C9">
        <w:rPr>
          <w:b/>
          <w:szCs w:val="22"/>
        </w:rPr>
        <w:t>3.</w:t>
      </w:r>
      <w:r w:rsidRPr="00D369C9">
        <w:rPr>
          <w:b/>
          <w:szCs w:val="22"/>
        </w:rPr>
        <w:tab/>
        <w:t>LIEKOVÁ FORMA</w:t>
      </w:r>
    </w:p>
    <w:p w14:paraId="7B1B61C4" w14:textId="77777777" w:rsidR="00780926" w:rsidRPr="00D369C9" w:rsidRDefault="00780926" w:rsidP="00E41B3F"/>
    <w:p w14:paraId="64829A9B" w14:textId="77777777" w:rsidR="00386B19" w:rsidRPr="00D369C9" w:rsidRDefault="00386B19" w:rsidP="00F8574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Prášok na infúzny koncentrát</w:t>
      </w:r>
      <w:r w:rsidR="00B73FDE">
        <w:rPr>
          <w:sz w:val="22"/>
          <w:szCs w:val="22"/>
          <w:lang w:val="sk-SK"/>
        </w:rPr>
        <w:t>.</w:t>
      </w:r>
      <w:r w:rsidRPr="00D369C9">
        <w:rPr>
          <w:sz w:val="22"/>
          <w:szCs w:val="22"/>
          <w:lang w:val="sk-SK"/>
        </w:rPr>
        <w:t xml:space="preserve"> </w:t>
      </w:r>
    </w:p>
    <w:p w14:paraId="017216A3" w14:textId="77777777" w:rsidR="00780926" w:rsidRPr="00D369C9" w:rsidRDefault="00F85745" w:rsidP="00F85745">
      <w:pPr>
        <w:jc w:val="both"/>
        <w:rPr>
          <w:szCs w:val="22"/>
        </w:rPr>
      </w:pPr>
      <w:proofErr w:type="spellStart"/>
      <w:r w:rsidRPr="00D369C9">
        <w:rPr>
          <w:szCs w:val="22"/>
        </w:rPr>
        <w:t>Lyofilizovaný</w:t>
      </w:r>
      <w:proofErr w:type="spellEnd"/>
      <w:r w:rsidRPr="00D369C9">
        <w:rPr>
          <w:szCs w:val="22"/>
        </w:rPr>
        <w:t xml:space="preserve"> biely až takmer biely prášok</w:t>
      </w:r>
      <w:r w:rsidR="00B73FDE">
        <w:rPr>
          <w:szCs w:val="22"/>
        </w:rPr>
        <w:t>.</w:t>
      </w:r>
    </w:p>
    <w:p w14:paraId="10DB1507" w14:textId="77777777" w:rsidR="00780926" w:rsidRDefault="00780926" w:rsidP="00E41B3F">
      <w:pPr>
        <w:rPr>
          <w:szCs w:val="22"/>
        </w:rPr>
      </w:pPr>
    </w:p>
    <w:p w14:paraId="47353241" w14:textId="77777777" w:rsidR="007A090E" w:rsidRPr="00D369C9" w:rsidRDefault="007A090E" w:rsidP="00E41B3F">
      <w:pPr>
        <w:rPr>
          <w:szCs w:val="22"/>
        </w:rPr>
      </w:pPr>
    </w:p>
    <w:p w14:paraId="3FC26EA8" w14:textId="77777777" w:rsidR="00780926" w:rsidRPr="00D369C9" w:rsidRDefault="00386B19" w:rsidP="00E41B3F">
      <w:pPr>
        <w:rPr>
          <w:caps/>
          <w:szCs w:val="22"/>
        </w:rPr>
      </w:pPr>
      <w:r w:rsidRPr="00D369C9">
        <w:rPr>
          <w:b/>
          <w:caps/>
          <w:szCs w:val="22"/>
        </w:rPr>
        <w:t>4.</w:t>
      </w:r>
      <w:r w:rsidRPr="00D369C9">
        <w:rPr>
          <w:b/>
          <w:caps/>
          <w:szCs w:val="22"/>
        </w:rPr>
        <w:tab/>
        <w:t>KLINICKÉ ÚDAJE</w:t>
      </w:r>
    </w:p>
    <w:p w14:paraId="211C0274" w14:textId="77777777" w:rsidR="00780926" w:rsidRPr="00D369C9" w:rsidRDefault="00780926" w:rsidP="00E41B3F">
      <w:pPr>
        <w:rPr>
          <w:szCs w:val="22"/>
        </w:rPr>
      </w:pPr>
    </w:p>
    <w:p w14:paraId="4A96EF03" w14:textId="77777777" w:rsidR="00780926" w:rsidRPr="00D369C9" w:rsidRDefault="00386B19" w:rsidP="00E41B3F">
      <w:pPr>
        <w:rPr>
          <w:szCs w:val="22"/>
        </w:rPr>
      </w:pPr>
      <w:r w:rsidRPr="00D369C9">
        <w:rPr>
          <w:b/>
          <w:szCs w:val="22"/>
        </w:rPr>
        <w:t>4.1</w:t>
      </w:r>
      <w:r w:rsidRPr="00D369C9">
        <w:rPr>
          <w:b/>
          <w:szCs w:val="22"/>
        </w:rPr>
        <w:tab/>
        <w:t>Terapeutické indikácie</w:t>
      </w:r>
    </w:p>
    <w:p w14:paraId="1B5C1BE3" w14:textId="77777777" w:rsidR="00780926" w:rsidRPr="00D369C9" w:rsidRDefault="00780926" w:rsidP="00E41B3F">
      <w:pPr>
        <w:rPr>
          <w:szCs w:val="22"/>
        </w:rPr>
      </w:pPr>
    </w:p>
    <w:p w14:paraId="37A6861E" w14:textId="77777777" w:rsidR="00386B19" w:rsidRPr="00D369C9" w:rsidRDefault="00F85745" w:rsidP="00F85745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lang w:val="sk-SK"/>
        </w:rPr>
        <w:t>Micafungin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Olikla</w:t>
      </w:r>
      <w:proofErr w:type="spellEnd"/>
      <w:r w:rsidR="00386B19" w:rsidRPr="00D369C9">
        <w:rPr>
          <w:sz w:val="22"/>
          <w:szCs w:val="22"/>
          <w:lang w:val="sk-SK"/>
        </w:rPr>
        <w:t xml:space="preserve"> je indikovaný pre: </w:t>
      </w:r>
    </w:p>
    <w:p w14:paraId="0A73FEA6" w14:textId="77777777" w:rsidR="00F85745" w:rsidRPr="00D369C9" w:rsidRDefault="00F85745" w:rsidP="00F85745">
      <w:pPr>
        <w:pStyle w:val="Default"/>
        <w:jc w:val="both"/>
        <w:rPr>
          <w:sz w:val="22"/>
          <w:szCs w:val="22"/>
          <w:lang w:val="sk-SK"/>
        </w:rPr>
      </w:pPr>
    </w:p>
    <w:p w14:paraId="1EFCE04D" w14:textId="77777777" w:rsidR="00386B19" w:rsidRPr="00D369C9" w:rsidRDefault="00386B19" w:rsidP="00F8574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u w:val="single"/>
          <w:lang w:val="sk-SK"/>
        </w:rPr>
        <w:t xml:space="preserve">Dospelých, dospievajúcich vo veku ≥ 16 rokov a starších: </w:t>
      </w:r>
    </w:p>
    <w:p w14:paraId="6635B413" w14:textId="77777777" w:rsidR="00F85745" w:rsidRPr="00D369C9" w:rsidRDefault="00386B19" w:rsidP="00F85745">
      <w:pPr>
        <w:pStyle w:val="Default"/>
        <w:numPr>
          <w:ilvl w:val="0"/>
          <w:numId w:val="13"/>
        </w:numPr>
        <w:ind w:left="426" w:hanging="426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Liečba invazívnej </w:t>
      </w:r>
      <w:proofErr w:type="spellStart"/>
      <w:r w:rsidRPr="00D369C9">
        <w:rPr>
          <w:sz w:val="22"/>
          <w:szCs w:val="22"/>
          <w:lang w:val="sk-SK"/>
        </w:rPr>
        <w:t>kandidózy</w:t>
      </w:r>
      <w:proofErr w:type="spellEnd"/>
      <w:r w:rsidRPr="00D369C9">
        <w:rPr>
          <w:sz w:val="22"/>
          <w:szCs w:val="22"/>
          <w:lang w:val="sk-SK"/>
        </w:rPr>
        <w:t>.</w:t>
      </w:r>
    </w:p>
    <w:p w14:paraId="354A2F65" w14:textId="77777777" w:rsidR="00F85745" w:rsidRPr="00D369C9" w:rsidRDefault="00386B19" w:rsidP="00F85745">
      <w:pPr>
        <w:pStyle w:val="Default"/>
        <w:numPr>
          <w:ilvl w:val="0"/>
          <w:numId w:val="13"/>
        </w:numPr>
        <w:ind w:left="426" w:hanging="426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Liečba </w:t>
      </w:r>
      <w:proofErr w:type="spellStart"/>
      <w:r w:rsidRPr="00D369C9">
        <w:rPr>
          <w:sz w:val="22"/>
          <w:szCs w:val="22"/>
          <w:lang w:val="sk-SK"/>
        </w:rPr>
        <w:t>kandidózy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ezofágu</w:t>
      </w:r>
      <w:proofErr w:type="spellEnd"/>
      <w:r w:rsidRPr="00D369C9">
        <w:rPr>
          <w:sz w:val="22"/>
          <w:szCs w:val="22"/>
          <w:lang w:val="sk-SK"/>
        </w:rPr>
        <w:t xml:space="preserve"> u pacientov, pre ktorých je vhodná intravenózna terapia.</w:t>
      </w:r>
    </w:p>
    <w:p w14:paraId="7A08FE25" w14:textId="77777777" w:rsidR="00386B19" w:rsidRPr="00D369C9" w:rsidRDefault="00386B19" w:rsidP="00F85745">
      <w:pPr>
        <w:pStyle w:val="Default"/>
        <w:numPr>
          <w:ilvl w:val="0"/>
          <w:numId w:val="13"/>
        </w:numPr>
        <w:ind w:left="426" w:hanging="426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Profylaxia infekcie vyvolanej rodom </w:t>
      </w:r>
      <w:proofErr w:type="spellStart"/>
      <w:r w:rsidRPr="00D369C9">
        <w:rPr>
          <w:i/>
          <w:iCs/>
          <w:sz w:val="22"/>
          <w:szCs w:val="22"/>
          <w:lang w:val="sk-SK"/>
        </w:rPr>
        <w:t>Candida</w:t>
      </w:r>
      <w:proofErr w:type="spellEnd"/>
      <w:r w:rsidRPr="00D369C9">
        <w:rPr>
          <w:i/>
          <w:iCs/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u pacientov, ktorí podstúpili </w:t>
      </w:r>
      <w:proofErr w:type="spellStart"/>
      <w:r w:rsidRPr="00D369C9">
        <w:rPr>
          <w:sz w:val="22"/>
          <w:szCs w:val="22"/>
          <w:lang w:val="sk-SK"/>
        </w:rPr>
        <w:t>alogénnu</w:t>
      </w:r>
      <w:proofErr w:type="spellEnd"/>
      <w:r w:rsidR="00F85745" w:rsidRPr="00D369C9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transplantáciu </w:t>
      </w:r>
      <w:proofErr w:type="spellStart"/>
      <w:r w:rsidRPr="00D369C9">
        <w:rPr>
          <w:sz w:val="22"/>
          <w:szCs w:val="22"/>
          <w:lang w:val="sk-SK"/>
        </w:rPr>
        <w:t>hematopoetických</w:t>
      </w:r>
      <w:proofErr w:type="spellEnd"/>
      <w:r w:rsidRPr="00D369C9">
        <w:rPr>
          <w:sz w:val="22"/>
          <w:szCs w:val="22"/>
          <w:lang w:val="sk-SK"/>
        </w:rPr>
        <w:t xml:space="preserve"> kmeňových buniek, alebo u pacientov s</w:t>
      </w:r>
      <w:r w:rsidR="00F85745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očakávanou</w:t>
      </w:r>
      <w:r w:rsidR="00F85745"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neutropéniou</w:t>
      </w:r>
      <w:proofErr w:type="spellEnd"/>
      <w:r w:rsidRPr="00D369C9">
        <w:rPr>
          <w:sz w:val="22"/>
          <w:szCs w:val="22"/>
          <w:lang w:val="sk-SK"/>
        </w:rPr>
        <w:t xml:space="preserve"> (absolútny počet </w:t>
      </w:r>
      <w:proofErr w:type="spellStart"/>
      <w:r w:rsidRPr="00D369C9">
        <w:rPr>
          <w:sz w:val="22"/>
          <w:szCs w:val="22"/>
          <w:lang w:val="sk-SK"/>
        </w:rPr>
        <w:t>neutrofilov</w:t>
      </w:r>
      <w:proofErr w:type="spellEnd"/>
      <w:r w:rsidRPr="00D369C9">
        <w:rPr>
          <w:sz w:val="22"/>
          <w:szCs w:val="22"/>
          <w:lang w:val="sk-SK"/>
        </w:rPr>
        <w:t xml:space="preserve"> &lt; 500 buniek/</w:t>
      </w:r>
      <w:proofErr w:type="spellStart"/>
      <w:r w:rsidRPr="00D369C9">
        <w:rPr>
          <w:sz w:val="22"/>
          <w:szCs w:val="22"/>
          <w:lang w:val="sk-SK"/>
        </w:rPr>
        <w:t>μl</w:t>
      </w:r>
      <w:proofErr w:type="spellEnd"/>
      <w:r w:rsidRPr="00D369C9">
        <w:rPr>
          <w:sz w:val="22"/>
          <w:szCs w:val="22"/>
          <w:lang w:val="sk-SK"/>
        </w:rPr>
        <w:t>) trvajúcou 10 alebo viac dní</w:t>
      </w:r>
      <w:r w:rsidRPr="00D369C9">
        <w:rPr>
          <w:i/>
          <w:iCs/>
          <w:sz w:val="22"/>
          <w:szCs w:val="22"/>
          <w:lang w:val="sk-SK"/>
        </w:rPr>
        <w:t>.</w:t>
      </w:r>
    </w:p>
    <w:p w14:paraId="460AC415" w14:textId="77777777" w:rsidR="00386B19" w:rsidRPr="00D369C9" w:rsidRDefault="00386B19" w:rsidP="00F85745">
      <w:pPr>
        <w:pStyle w:val="Default"/>
        <w:jc w:val="both"/>
        <w:rPr>
          <w:sz w:val="22"/>
          <w:szCs w:val="22"/>
          <w:lang w:val="sk-SK"/>
        </w:rPr>
      </w:pPr>
    </w:p>
    <w:p w14:paraId="2611302C" w14:textId="77777777" w:rsidR="00386B19" w:rsidRPr="00D369C9" w:rsidRDefault="00386B19" w:rsidP="00F8574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u w:val="single"/>
          <w:lang w:val="sk-SK"/>
        </w:rPr>
        <w:t xml:space="preserve">Deti (vrátane novorodencov) a dospievajúcich vo veku &lt; 16 rokov: </w:t>
      </w:r>
    </w:p>
    <w:p w14:paraId="7C71D9F4" w14:textId="77777777" w:rsidR="00F85745" w:rsidRPr="00D369C9" w:rsidRDefault="00386B19" w:rsidP="00F85745">
      <w:pPr>
        <w:pStyle w:val="Default"/>
        <w:numPr>
          <w:ilvl w:val="0"/>
          <w:numId w:val="15"/>
        </w:numPr>
        <w:ind w:left="426" w:hanging="426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Liečba invazívnej </w:t>
      </w:r>
      <w:proofErr w:type="spellStart"/>
      <w:r w:rsidRPr="00D369C9">
        <w:rPr>
          <w:sz w:val="22"/>
          <w:szCs w:val="22"/>
          <w:lang w:val="sk-SK"/>
        </w:rPr>
        <w:t>kandidózy</w:t>
      </w:r>
      <w:proofErr w:type="spellEnd"/>
      <w:r w:rsidRPr="00D369C9">
        <w:rPr>
          <w:sz w:val="22"/>
          <w:szCs w:val="22"/>
          <w:lang w:val="sk-SK"/>
        </w:rPr>
        <w:t>.</w:t>
      </w:r>
    </w:p>
    <w:p w14:paraId="36C35AE7" w14:textId="77777777" w:rsidR="00386B19" w:rsidRPr="00D369C9" w:rsidRDefault="00386B19" w:rsidP="00F85745">
      <w:pPr>
        <w:pStyle w:val="Default"/>
        <w:numPr>
          <w:ilvl w:val="0"/>
          <w:numId w:val="15"/>
        </w:numPr>
        <w:ind w:left="426" w:hanging="426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Profylaxia infekcie vyvolanej rodom </w:t>
      </w:r>
      <w:proofErr w:type="spellStart"/>
      <w:r w:rsidRPr="00D369C9">
        <w:rPr>
          <w:i/>
          <w:iCs/>
          <w:sz w:val="22"/>
          <w:szCs w:val="22"/>
          <w:lang w:val="sk-SK"/>
        </w:rPr>
        <w:t>Candida</w:t>
      </w:r>
      <w:proofErr w:type="spellEnd"/>
      <w:r w:rsidRPr="00D369C9">
        <w:rPr>
          <w:i/>
          <w:iCs/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u pacientov, ktorí podstúpili </w:t>
      </w:r>
      <w:proofErr w:type="spellStart"/>
      <w:r w:rsidRPr="00D369C9">
        <w:rPr>
          <w:sz w:val="22"/>
          <w:szCs w:val="22"/>
          <w:lang w:val="sk-SK"/>
        </w:rPr>
        <w:t>alogénnu</w:t>
      </w:r>
      <w:proofErr w:type="spellEnd"/>
      <w:r w:rsidR="00F85745" w:rsidRPr="00D369C9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transplantáciu </w:t>
      </w:r>
      <w:proofErr w:type="spellStart"/>
      <w:r w:rsidRPr="00D369C9">
        <w:rPr>
          <w:sz w:val="22"/>
          <w:szCs w:val="22"/>
          <w:lang w:val="sk-SK"/>
        </w:rPr>
        <w:t>hematopoetických</w:t>
      </w:r>
      <w:proofErr w:type="spellEnd"/>
      <w:r w:rsidRPr="00D369C9">
        <w:rPr>
          <w:sz w:val="22"/>
          <w:szCs w:val="22"/>
          <w:lang w:val="sk-SK"/>
        </w:rPr>
        <w:t xml:space="preserve"> kmeňových buniek, alebo u pacientov s</w:t>
      </w:r>
      <w:r w:rsidR="00F85745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očakávanou</w:t>
      </w:r>
      <w:r w:rsidR="00F85745"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neutropéniou</w:t>
      </w:r>
      <w:proofErr w:type="spellEnd"/>
      <w:r w:rsidRPr="00D369C9">
        <w:rPr>
          <w:sz w:val="22"/>
          <w:szCs w:val="22"/>
          <w:lang w:val="sk-SK"/>
        </w:rPr>
        <w:t xml:space="preserve"> (absolútny počet </w:t>
      </w:r>
      <w:proofErr w:type="spellStart"/>
      <w:r w:rsidRPr="00D369C9">
        <w:rPr>
          <w:sz w:val="22"/>
          <w:szCs w:val="22"/>
          <w:lang w:val="sk-SK"/>
        </w:rPr>
        <w:t>neutrofilov</w:t>
      </w:r>
      <w:proofErr w:type="spellEnd"/>
      <w:r w:rsidRPr="00D369C9">
        <w:rPr>
          <w:sz w:val="22"/>
          <w:szCs w:val="22"/>
          <w:lang w:val="sk-SK"/>
        </w:rPr>
        <w:t xml:space="preserve"> &lt; 500 buniek/</w:t>
      </w:r>
      <w:proofErr w:type="spellStart"/>
      <w:r w:rsidRPr="00D369C9">
        <w:rPr>
          <w:sz w:val="22"/>
          <w:szCs w:val="22"/>
          <w:lang w:val="sk-SK"/>
        </w:rPr>
        <w:t>μl</w:t>
      </w:r>
      <w:proofErr w:type="spellEnd"/>
      <w:r w:rsidRPr="00D369C9">
        <w:rPr>
          <w:sz w:val="22"/>
          <w:szCs w:val="22"/>
          <w:lang w:val="sk-SK"/>
        </w:rPr>
        <w:t>) trvajúcou 10 alebo viac dní.</w:t>
      </w:r>
    </w:p>
    <w:p w14:paraId="7F833418" w14:textId="77777777" w:rsidR="00386B19" w:rsidRPr="00D369C9" w:rsidRDefault="00386B19" w:rsidP="00F85745">
      <w:pPr>
        <w:pStyle w:val="Default"/>
        <w:jc w:val="both"/>
        <w:rPr>
          <w:sz w:val="22"/>
          <w:szCs w:val="22"/>
          <w:lang w:val="sk-SK"/>
        </w:rPr>
      </w:pPr>
    </w:p>
    <w:p w14:paraId="6772774D" w14:textId="77777777" w:rsidR="00386B19" w:rsidRPr="00D369C9" w:rsidRDefault="00386B19" w:rsidP="00F8574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Pri rozhodovaní o používaní lieku </w:t>
      </w:r>
      <w:proofErr w:type="spellStart"/>
      <w:r w:rsidR="00F85745" w:rsidRPr="00D369C9">
        <w:rPr>
          <w:sz w:val="22"/>
          <w:szCs w:val="22"/>
          <w:lang w:val="sk-SK"/>
        </w:rPr>
        <w:t>Micafungin</w:t>
      </w:r>
      <w:proofErr w:type="spellEnd"/>
      <w:r w:rsidR="00F85745" w:rsidRPr="00D369C9">
        <w:rPr>
          <w:sz w:val="22"/>
          <w:szCs w:val="22"/>
          <w:lang w:val="sk-SK"/>
        </w:rPr>
        <w:t xml:space="preserve"> </w:t>
      </w:r>
      <w:proofErr w:type="spellStart"/>
      <w:r w:rsidR="00F85745" w:rsidRPr="00D369C9">
        <w:rPr>
          <w:sz w:val="22"/>
          <w:szCs w:val="22"/>
          <w:lang w:val="sk-SK"/>
        </w:rPr>
        <w:t>Olikla</w:t>
      </w:r>
      <w:proofErr w:type="spellEnd"/>
      <w:r w:rsidRPr="00D369C9">
        <w:rPr>
          <w:sz w:val="22"/>
          <w:szCs w:val="22"/>
          <w:lang w:val="sk-SK"/>
        </w:rPr>
        <w:t xml:space="preserve"> sa má vziať do úvahy možné riziko vzniku nádorov pečene (pozri časť 4.4). Z tohto dôvodu sa má </w:t>
      </w:r>
      <w:proofErr w:type="spellStart"/>
      <w:r w:rsidR="00F85745" w:rsidRPr="00D369C9">
        <w:rPr>
          <w:sz w:val="22"/>
          <w:szCs w:val="22"/>
          <w:lang w:val="sk-SK"/>
        </w:rPr>
        <w:t>Micafungin</w:t>
      </w:r>
      <w:proofErr w:type="spellEnd"/>
      <w:r w:rsidR="00F85745" w:rsidRPr="00D369C9">
        <w:rPr>
          <w:sz w:val="22"/>
          <w:szCs w:val="22"/>
          <w:lang w:val="sk-SK"/>
        </w:rPr>
        <w:t xml:space="preserve"> </w:t>
      </w:r>
      <w:proofErr w:type="spellStart"/>
      <w:r w:rsidR="00F85745" w:rsidRPr="00D369C9">
        <w:rPr>
          <w:sz w:val="22"/>
          <w:szCs w:val="22"/>
          <w:lang w:val="sk-SK"/>
        </w:rPr>
        <w:t>Olikla</w:t>
      </w:r>
      <w:proofErr w:type="spellEnd"/>
      <w:r w:rsidRPr="00D369C9">
        <w:rPr>
          <w:sz w:val="22"/>
          <w:szCs w:val="22"/>
          <w:lang w:val="sk-SK"/>
        </w:rPr>
        <w:t xml:space="preserve"> používať iba v prípade, ak </w:t>
      </w:r>
      <w:r w:rsidR="00F85745" w:rsidRPr="00D369C9">
        <w:rPr>
          <w:sz w:val="22"/>
          <w:szCs w:val="22"/>
          <w:lang w:val="sk-SK"/>
        </w:rPr>
        <w:t>iné antimykotiká nie sú vhodné.</w:t>
      </w:r>
    </w:p>
    <w:p w14:paraId="2D57A51B" w14:textId="77777777" w:rsidR="00F85745" w:rsidRPr="00D369C9" w:rsidRDefault="00F85745" w:rsidP="00F85745">
      <w:pPr>
        <w:pStyle w:val="Default"/>
        <w:jc w:val="both"/>
        <w:rPr>
          <w:sz w:val="22"/>
          <w:szCs w:val="22"/>
          <w:lang w:val="sk-SK"/>
        </w:rPr>
      </w:pPr>
    </w:p>
    <w:p w14:paraId="1665D860" w14:textId="77777777" w:rsidR="00780926" w:rsidRPr="00D369C9" w:rsidRDefault="00386B19" w:rsidP="00F85745">
      <w:pPr>
        <w:jc w:val="both"/>
        <w:rPr>
          <w:szCs w:val="22"/>
        </w:rPr>
      </w:pPr>
      <w:r w:rsidRPr="00D369C9">
        <w:rPr>
          <w:szCs w:val="22"/>
        </w:rPr>
        <w:t>Do úvahy sa má vziať aj oficiálne/národné usmernenie týkajúce sa vhodného použitia antimykotík.</w:t>
      </w:r>
    </w:p>
    <w:p w14:paraId="5C2A8D00" w14:textId="77777777" w:rsidR="00386B19" w:rsidRPr="00D369C9" w:rsidRDefault="00386B19" w:rsidP="00386B19">
      <w:pPr>
        <w:rPr>
          <w:szCs w:val="22"/>
        </w:rPr>
      </w:pPr>
    </w:p>
    <w:p w14:paraId="677026B1" w14:textId="77777777" w:rsidR="00780926" w:rsidRPr="00D369C9" w:rsidRDefault="00386B19">
      <w:pPr>
        <w:rPr>
          <w:b/>
          <w:szCs w:val="22"/>
        </w:rPr>
      </w:pPr>
      <w:r w:rsidRPr="00D369C9">
        <w:rPr>
          <w:b/>
          <w:szCs w:val="22"/>
        </w:rPr>
        <w:t>4.2</w:t>
      </w:r>
      <w:r w:rsidRPr="00D369C9">
        <w:rPr>
          <w:b/>
          <w:szCs w:val="22"/>
        </w:rPr>
        <w:tab/>
        <w:t>Dávkovanie a</w:t>
      </w:r>
      <w:r w:rsidR="00BD7004" w:rsidRPr="00D369C9">
        <w:rPr>
          <w:b/>
          <w:szCs w:val="22"/>
        </w:rPr>
        <w:t> </w:t>
      </w:r>
      <w:r w:rsidRPr="00D369C9">
        <w:rPr>
          <w:b/>
          <w:szCs w:val="22"/>
        </w:rPr>
        <w:t>spôsob podávania</w:t>
      </w:r>
    </w:p>
    <w:p w14:paraId="54895181" w14:textId="77777777" w:rsidR="00780926" w:rsidRPr="00D369C9" w:rsidRDefault="00780926">
      <w:pPr>
        <w:rPr>
          <w:szCs w:val="22"/>
        </w:rPr>
      </w:pPr>
    </w:p>
    <w:p w14:paraId="3308AFB6" w14:textId="77777777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Liečbu liekom </w:t>
      </w:r>
      <w:proofErr w:type="spellStart"/>
      <w:r w:rsidR="00F85745" w:rsidRPr="00D369C9">
        <w:rPr>
          <w:sz w:val="22"/>
          <w:szCs w:val="22"/>
          <w:lang w:val="sk-SK"/>
        </w:rPr>
        <w:t>Micafungin</w:t>
      </w:r>
      <w:proofErr w:type="spellEnd"/>
      <w:r w:rsidR="00F85745" w:rsidRPr="00D369C9">
        <w:rPr>
          <w:sz w:val="22"/>
          <w:szCs w:val="22"/>
          <w:lang w:val="sk-SK"/>
        </w:rPr>
        <w:t xml:space="preserve"> </w:t>
      </w:r>
      <w:proofErr w:type="spellStart"/>
      <w:r w:rsidR="00F85745" w:rsidRPr="00D369C9">
        <w:rPr>
          <w:sz w:val="22"/>
          <w:szCs w:val="22"/>
          <w:lang w:val="sk-SK"/>
        </w:rPr>
        <w:t>Olikla</w:t>
      </w:r>
      <w:proofErr w:type="spellEnd"/>
      <w:r w:rsidRPr="00D369C9">
        <w:rPr>
          <w:sz w:val="22"/>
          <w:szCs w:val="22"/>
          <w:lang w:val="sk-SK"/>
        </w:rPr>
        <w:t xml:space="preserve"> má začať lekár so skúsenosťami</w:t>
      </w:r>
      <w:r w:rsidR="00F85745" w:rsidRPr="00D369C9">
        <w:rPr>
          <w:sz w:val="22"/>
          <w:szCs w:val="22"/>
          <w:lang w:val="sk-SK"/>
        </w:rPr>
        <w:t xml:space="preserve"> v liečbe </w:t>
      </w:r>
      <w:proofErr w:type="spellStart"/>
      <w:r w:rsidR="00F85745" w:rsidRPr="00D369C9">
        <w:rPr>
          <w:sz w:val="22"/>
          <w:szCs w:val="22"/>
          <w:lang w:val="sk-SK"/>
        </w:rPr>
        <w:t>mykotických</w:t>
      </w:r>
      <w:proofErr w:type="spellEnd"/>
      <w:r w:rsidR="00F85745" w:rsidRPr="00D369C9">
        <w:rPr>
          <w:sz w:val="22"/>
          <w:szCs w:val="22"/>
          <w:lang w:val="sk-SK"/>
        </w:rPr>
        <w:t xml:space="preserve"> infekcií.</w:t>
      </w:r>
    </w:p>
    <w:p w14:paraId="6F499788" w14:textId="77777777" w:rsidR="00F85745" w:rsidRPr="00D369C9" w:rsidRDefault="00F85745" w:rsidP="00102087">
      <w:pPr>
        <w:pStyle w:val="Default"/>
        <w:jc w:val="both"/>
        <w:rPr>
          <w:sz w:val="22"/>
          <w:szCs w:val="22"/>
          <w:lang w:val="sk-SK"/>
        </w:rPr>
      </w:pPr>
    </w:p>
    <w:p w14:paraId="75472202" w14:textId="77777777" w:rsidR="00780926" w:rsidRPr="00D369C9" w:rsidRDefault="00386B19" w:rsidP="00102087">
      <w:pPr>
        <w:jc w:val="both"/>
        <w:rPr>
          <w:szCs w:val="22"/>
          <w:u w:val="single"/>
        </w:rPr>
      </w:pPr>
      <w:r w:rsidRPr="00D369C9">
        <w:rPr>
          <w:szCs w:val="22"/>
          <w:u w:val="single"/>
        </w:rPr>
        <w:t>Dávkovanie</w:t>
      </w:r>
    </w:p>
    <w:p w14:paraId="44F08C41" w14:textId="3F035B31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Odber vzoriek na mykologické kultivačné vyšetrenie a na ďalšie relevantné laboratórne vyšetrenia (vrátane </w:t>
      </w:r>
      <w:proofErr w:type="spellStart"/>
      <w:r w:rsidRPr="00D369C9">
        <w:rPr>
          <w:sz w:val="22"/>
          <w:szCs w:val="22"/>
          <w:lang w:val="sk-SK"/>
        </w:rPr>
        <w:t>histopatológie</w:t>
      </w:r>
      <w:proofErr w:type="spellEnd"/>
      <w:r w:rsidRPr="00D369C9">
        <w:rPr>
          <w:sz w:val="22"/>
          <w:szCs w:val="22"/>
          <w:lang w:val="sk-SK"/>
        </w:rPr>
        <w:t>) sa majú vykonať ešte pred začiatkom liečby s cieľom izolovať a identifikovať pôvodcu(</w:t>
      </w:r>
      <w:proofErr w:type="spellStart"/>
      <w:r w:rsidRPr="00D369C9">
        <w:rPr>
          <w:sz w:val="22"/>
          <w:szCs w:val="22"/>
          <w:lang w:val="sk-SK"/>
        </w:rPr>
        <w:t>ov</w:t>
      </w:r>
      <w:proofErr w:type="spellEnd"/>
      <w:r w:rsidRPr="00D369C9">
        <w:rPr>
          <w:sz w:val="22"/>
          <w:szCs w:val="22"/>
          <w:lang w:val="sk-SK"/>
        </w:rPr>
        <w:t xml:space="preserve">) infekcie. Liečba sa môže začať aj skôr, ako sú známe výsledky kultivácií a ďalších laboratórnych vyšetrení. Hneď ako budú tieto výsledky k dispozícií, </w:t>
      </w:r>
      <w:proofErr w:type="spellStart"/>
      <w:r w:rsidRPr="00D369C9">
        <w:rPr>
          <w:sz w:val="22"/>
          <w:szCs w:val="22"/>
          <w:lang w:val="sk-SK"/>
        </w:rPr>
        <w:t>antimykotická</w:t>
      </w:r>
      <w:proofErr w:type="spellEnd"/>
      <w:r w:rsidRPr="00D369C9">
        <w:rPr>
          <w:sz w:val="22"/>
          <w:szCs w:val="22"/>
          <w:lang w:val="sk-SK"/>
        </w:rPr>
        <w:t xml:space="preserve"> liečba sa má</w:t>
      </w:r>
      <w:r w:rsidR="00B4320A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 podľa nich</w:t>
      </w:r>
      <w:r w:rsidR="00B4320A">
        <w:rPr>
          <w:sz w:val="22"/>
          <w:szCs w:val="22"/>
          <w:lang w:val="sk-SK"/>
        </w:rPr>
        <w:t xml:space="preserve"> upraviť</w:t>
      </w:r>
      <w:r w:rsidRPr="00D369C9">
        <w:rPr>
          <w:sz w:val="22"/>
          <w:szCs w:val="22"/>
          <w:lang w:val="sk-SK"/>
        </w:rPr>
        <w:t xml:space="preserve">. </w:t>
      </w:r>
    </w:p>
    <w:p w14:paraId="5B41783F" w14:textId="77777777" w:rsidR="00F85745" w:rsidRPr="00D369C9" w:rsidRDefault="00F85745" w:rsidP="00102087">
      <w:pPr>
        <w:pStyle w:val="Default"/>
        <w:jc w:val="both"/>
        <w:rPr>
          <w:sz w:val="22"/>
          <w:szCs w:val="22"/>
          <w:lang w:val="sk-SK"/>
        </w:rPr>
      </w:pPr>
    </w:p>
    <w:p w14:paraId="79AEF288" w14:textId="77777777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Dávkovací režim mikafungínu závisí od telesnej hmotnosti pacienta, ako je uvedené v nasledujúcich tabuľkách: </w:t>
      </w:r>
    </w:p>
    <w:p w14:paraId="479B4FF4" w14:textId="77777777" w:rsidR="00F85745" w:rsidRPr="00D369C9" w:rsidRDefault="00F85745" w:rsidP="00102087">
      <w:pPr>
        <w:jc w:val="both"/>
        <w:rPr>
          <w:i/>
          <w:iCs/>
          <w:szCs w:val="22"/>
        </w:rPr>
      </w:pPr>
    </w:p>
    <w:p w14:paraId="2C5729EB" w14:textId="7ECE340C" w:rsidR="00386B19" w:rsidRPr="00D369C9" w:rsidRDefault="00386B19" w:rsidP="00102087">
      <w:pPr>
        <w:jc w:val="both"/>
        <w:rPr>
          <w:i/>
          <w:iCs/>
          <w:szCs w:val="22"/>
        </w:rPr>
      </w:pPr>
      <w:r w:rsidRPr="00D369C9">
        <w:rPr>
          <w:i/>
          <w:iCs/>
          <w:szCs w:val="22"/>
        </w:rPr>
        <w:t xml:space="preserve">Použitie u dospelých, dospievajúcich vo veku ≥ 16 rokov a starších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551"/>
        <w:gridCol w:w="2552"/>
      </w:tblGrid>
      <w:tr w:rsidR="00102087" w:rsidRPr="00D369C9" w14:paraId="217B845F" w14:textId="77777777" w:rsidTr="00B37E54">
        <w:trPr>
          <w:trHeight w:val="148"/>
        </w:trPr>
        <w:tc>
          <w:tcPr>
            <w:tcW w:w="3794" w:type="dxa"/>
          </w:tcPr>
          <w:p w14:paraId="26EFF3E4" w14:textId="77777777" w:rsidR="00102087" w:rsidRPr="00D369C9" w:rsidRDefault="00B37E54">
            <w:pPr>
              <w:pStyle w:val="Default"/>
              <w:jc w:val="both"/>
              <w:rPr>
                <w:sz w:val="22"/>
                <w:szCs w:val="22"/>
                <w:u w:val="single"/>
                <w:lang w:val="sk-SK"/>
              </w:rPr>
            </w:pPr>
            <w:r w:rsidRPr="00D369C9">
              <w:rPr>
                <w:sz w:val="22"/>
                <w:szCs w:val="22"/>
                <w:u w:val="single"/>
                <w:lang w:val="sk-SK"/>
              </w:rPr>
              <w:t>Indikácia</w:t>
            </w:r>
          </w:p>
        </w:tc>
        <w:tc>
          <w:tcPr>
            <w:tcW w:w="2551" w:type="dxa"/>
          </w:tcPr>
          <w:p w14:paraId="5E6C2B4C" w14:textId="77777777" w:rsidR="00102087" w:rsidRPr="00D369C9" w:rsidRDefault="00102087">
            <w:pPr>
              <w:pStyle w:val="Default"/>
              <w:jc w:val="both"/>
              <w:rPr>
                <w:sz w:val="22"/>
                <w:szCs w:val="22"/>
                <w:u w:val="single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>Telesná hmotnosť &gt; 40 kg</w:t>
            </w:r>
          </w:p>
        </w:tc>
        <w:tc>
          <w:tcPr>
            <w:tcW w:w="2552" w:type="dxa"/>
          </w:tcPr>
          <w:p w14:paraId="76C5E8A9" w14:textId="77777777" w:rsidR="00102087" w:rsidRPr="00D369C9" w:rsidRDefault="00102087" w:rsidP="00102087">
            <w:pPr>
              <w:pStyle w:val="Default"/>
              <w:jc w:val="both"/>
              <w:rPr>
                <w:sz w:val="22"/>
                <w:szCs w:val="22"/>
                <w:u w:val="single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>Telesná hmotnosť ≤ 40 kg</w:t>
            </w:r>
          </w:p>
        </w:tc>
      </w:tr>
      <w:tr w:rsidR="00386B19" w:rsidRPr="00D369C9" w14:paraId="4600697F" w14:textId="77777777" w:rsidTr="00B37E54">
        <w:trPr>
          <w:trHeight w:val="148"/>
        </w:trPr>
        <w:tc>
          <w:tcPr>
            <w:tcW w:w="3794" w:type="dxa"/>
          </w:tcPr>
          <w:p w14:paraId="1A91F66C" w14:textId="77777777" w:rsidR="00386B19" w:rsidRPr="00D369C9" w:rsidRDefault="00386B19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Liečba invazívnej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kandidózy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551" w:type="dxa"/>
          </w:tcPr>
          <w:p w14:paraId="6CA752C4" w14:textId="77777777" w:rsidR="00386B19" w:rsidRPr="00D369C9" w:rsidRDefault="00386B19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100 mg/deň* </w:t>
            </w:r>
          </w:p>
        </w:tc>
        <w:tc>
          <w:tcPr>
            <w:tcW w:w="2552" w:type="dxa"/>
          </w:tcPr>
          <w:p w14:paraId="6A1F189F" w14:textId="77777777" w:rsidR="00386B19" w:rsidRPr="00D369C9" w:rsidRDefault="00386B19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2 mg/kg/deň* </w:t>
            </w:r>
          </w:p>
        </w:tc>
      </w:tr>
      <w:tr w:rsidR="00386B19" w:rsidRPr="00D369C9" w14:paraId="3873F69D" w14:textId="77777777" w:rsidTr="00B37E54">
        <w:trPr>
          <w:trHeight w:val="148"/>
        </w:trPr>
        <w:tc>
          <w:tcPr>
            <w:tcW w:w="3794" w:type="dxa"/>
          </w:tcPr>
          <w:p w14:paraId="18DC0FE5" w14:textId="77777777" w:rsidR="00386B19" w:rsidRPr="00D369C9" w:rsidRDefault="00386B19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Liečba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kandidózy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ezofágu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551" w:type="dxa"/>
          </w:tcPr>
          <w:p w14:paraId="4D5A871A" w14:textId="77777777" w:rsidR="00386B19" w:rsidRPr="00D369C9" w:rsidRDefault="00386B19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150 mg/deň </w:t>
            </w:r>
          </w:p>
        </w:tc>
        <w:tc>
          <w:tcPr>
            <w:tcW w:w="2552" w:type="dxa"/>
          </w:tcPr>
          <w:p w14:paraId="24FDD227" w14:textId="77777777" w:rsidR="00386B19" w:rsidRPr="00D369C9" w:rsidRDefault="00386B19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3 mg/kg/deň </w:t>
            </w:r>
          </w:p>
        </w:tc>
      </w:tr>
      <w:tr w:rsidR="00386B19" w:rsidRPr="00D369C9" w14:paraId="356D47C4" w14:textId="77777777" w:rsidTr="00B37E54">
        <w:trPr>
          <w:trHeight w:val="148"/>
        </w:trPr>
        <w:tc>
          <w:tcPr>
            <w:tcW w:w="3794" w:type="dxa"/>
          </w:tcPr>
          <w:p w14:paraId="53C8B3B5" w14:textId="77777777" w:rsidR="00386B19" w:rsidRPr="00D369C9" w:rsidRDefault="00386B19" w:rsidP="00102087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Profylaxia infekcie vyvolanej rodom </w:t>
            </w:r>
            <w:proofErr w:type="spellStart"/>
            <w:r w:rsidRPr="00D369C9">
              <w:rPr>
                <w:i/>
                <w:iCs/>
                <w:sz w:val="22"/>
                <w:szCs w:val="22"/>
                <w:lang w:val="sk-SK"/>
              </w:rPr>
              <w:t>Candida</w:t>
            </w:r>
            <w:proofErr w:type="spellEnd"/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551" w:type="dxa"/>
          </w:tcPr>
          <w:p w14:paraId="55A31C51" w14:textId="77777777" w:rsidR="00386B19" w:rsidRPr="00B11FF5" w:rsidRDefault="00386B19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B11FF5">
              <w:rPr>
                <w:sz w:val="22"/>
                <w:szCs w:val="22"/>
                <w:lang w:val="sk-SK"/>
              </w:rPr>
              <w:t xml:space="preserve">50 mg/deň </w:t>
            </w:r>
          </w:p>
        </w:tc>
        <w:tc>
          <w:tcPr>
            <w:tcW w:w="2552" w:type="dxa"/>
          </w:tcPr>
          <w:p w14:paraId="6D82290A" w14:textId="77777777" w:rsidR="00386B19" w:rsidRPr="00D369C9" w:rsidRDefault="00386B19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1 mg/kg/deň </w:t>
            </w:r>
          </w:p>
        </w:tc>
      </w:tr>
    </w:tbl>
    <w:p w14:paraId="3C66E9AB" w14:textId="77777777" w:rsidR="00386B19" w:rsidRPr="00D369C9" w:rsidRDefault="00386B19" w:rsidP="00102087">
      <w:pPr>
        <w:pStyle w:val="Default"/>
        <w:jc w:val="both"/>
        <w:rPr>
          <w:sz w:val="20"/>
          <w:szCs w:val="20"/>
          <w:lang w:val="sk-SK"/>
        </w:rPr>
      </w:pPr>
      <w:r w:rsidRPr="00D369C9">
        <w:rPr>
          <w:sz w:val="20"/>
          <w:szCs w:val="20"/>
          <w:lang w:val="sk-SK"/>
        </w:rPr>
        <w:t xml:space="preserve">*V prípade, že terapeutická odpoveď zo strany pacienta nie je adekvátna, napr. pretrváva kultivačný nález, alebo nedochádza k zlepšeniu klinického stavu, dávku možno zvýšiť na 200 mg/deň u pacientov s telesnou hmotnosťou &gt; 40 kg alebo na 4 mg/kg/deň u pacientov s telesnou hmotnosťou ≤ 40 kg. </w:t>
      </w:r>
    </w:p>
    <w:p w14:paraId="531F1931" w14:textId="77777777" w:rsidR="00102087" w:rsidRPr="00D369C9" w:rsidRDefault="00102087" w:rsidP="00386B19">
      <w:pPr>
        <w:pStyle w:val="Default"/>
        <w:rPr>
          <w:i/>
          <w:iCs/>
          <w:sz w:val="22"/>
          <w:szCs w:val="22"/>
          <w:lang w:val="sk-SK"/>
        </w:rPr>
      </w:pPr>
    </w:p>
    <w:p w14:paraId="6B163EFF" w14:textId="77777777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i/>
          <w:iCs/>
          <w:sz w:val="22"/>
          <w:szCs w:val="22"/>
          <w:lang w:val="sk-SK"/>
        </w:rPr>
        <w:t xml:space="preserve">Dĺžka liečby </w:t>
      </w:r>
    </w:p>
    <w:p w14:paraId="4F7BA071" w14:textId="77777777" w:rsidR="00386B19" w:rsidRPr="00D369C9" w:rsidRDefault="00386B19" w:rsidP="00102087">
      <w:pPr>
        <w:pStyle w:val="Default"/>
        <w:ind w:right="-1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Invazívna </w:t>
      </w:r>
      <w:proofErr w:type="spellStart"/>
      <w:r w:rsidRPr="00D369C9">
        <w:rPr>
          <w:sz w:val="22"/>
          <w:szCs w:val="22"/>
          <w:lang w:val="sk-SK"/>
        </w:rPr>
        <w:t>kandidóza</w:t>
      </w:r>
      <w:proofErr w:type="spellEnd"/>
      <w:r w:rsidRPr="00D369C9">
        <w:rPr>
          <w:sz w:val="22"/>
          <w:szCs w:val="22"/>
          <w:lang w:val="sk-SK"/>
        </w:rPr>
        <w:t xml:space="preserve">: Dĺžka liečby infekcie vyvolanej rodom </w:t>
      </w:r>
      <w:proofErr w:type="spellStart"/>
      <w:r w:rsidRPr="00D369C9">
        <w:rPr>
          <w:i/>
          <w:iCs/>
          <w:sz w:val="22"/>
          <w:szCs w:val="22"/>
          <w:lang w:val="sk-SK"/>
        </w:rPr>
        <w:t>Candida</w:t>
      </w:r>
      <w:proofErr w:type="spellEnd"/>
      <w:r w:rsidRPr="00D369C9">
        <w:rPr>
          <w:i/>
          <w:iCs/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má trvať minimálne 14 dní. </w:t>
      </w:r>
      <w:proofErr w:type="spellStart"/>
      <w:r w:rsidRPr="00D369C9">
        <w:rPr>
          <w:sz w:val="22"/>
          <w:szCs w:val="22"/>
          <w:lang w:val="sk-SK"/>
        </w:rPr>
        <w:t>Antimykotická</w:t>
      </w:r>
      <w:proofErr w:type="spellEnd"/>
      <w:r w:rsidRPr="00D369C9">
        <w:rPr>
          <w:sz w:val="22"/>
          <w:szCs w:val="22"/>
          <w:lang w:val="sk-SK"/>
        </w:rPr>
        <w:t xml:space="preserve"> liečba má pokračovať najmenej </w:t>
      </w:r>
      <w:r w:rsidR="00D7577A">
        <w:rPr>
          <w:sz w:val="22"/>
          <w:szCs w:val="22"/>
          <w:lang w:val="sk-SK"/>
        </w:rPr>
        <w:t xml:space="preserve">jeden </w:t>
      </w:r>
      <w:r w:rsidRPr="00D369C9">
        <w:rPr>
          <w:sz w:val="22"/>
          <w:szCs w:val="22"/>
          <w:lang w:val="sk-SK"/>
        </w:rPr>
        <w:t xml:space="preserve">týždeň po získaní dvoch po sebe nasledujúcich negatívnych </w:t>
      </w:r>
      <w:proofErr w:type="spellStart"/>
      <w:r w:rsidRPr="00D369C9">
        <w:rPr>
          <w:sz w:val="22"/>
          <w:szCs w:val="22"/>
          <w:lang w:val="sk-SK"/>
        </w:rPr>
        <w:t>hemokultúr</w:t>
      </w:r>
      <w:proofErr w:type="spellEnd"/>
      <w:r w:rsidRPr="00D369C9">
        <w:rPr>
          <w:sz w:val="22"/>
          <w:szCs w:val="22"/>
          <w:lang w:val="sk-SK"/>
        </w:rPr>
        <w:t xml:space="preserve"> a </w:t>
      </w:r>
      <w:r w:rsidRPr="00D369C9">
        <w:rPr>
          <w:b/>
          <w:bCs/>
          <w:i/>
          <w:iCs/>
          <w:sz w:val="22"/>
          <w:szCs w:val="22"/>
          <w:lang w:val="sk-SK"/>
        </w:rPr>
        <w:t xml:space="preserve">po </w:t>
      </w:r>
      <w:r w:rsidRPr="00D369C9">
        <w:rPr>
          <w:sz w:val="22"/>
          <w:szCs w:val="22"/>
          <w:lang w:val="sk-SK"/>
        </w:rPr>
        <w:t>ústupe klinických prejavov a p</w:t>
      </w:r>
      <w:r w:rsidR="00102087" w:rsidRPr="00D369C9">
        <w:rPr>
          <w:sz w:val="22"/>
          <w:szCs w:val="22"/>
          <w:lang w:val="sk-SK"/>
        </w:rPr>
        <w:t>ríznakov infekcie.</w:t>
      </w:r>
    </w:p>
    <w:p w14:paraId="54C6E6CA" w14:textId="77777777" w:rsidR="00102087" w:rsidRPr="00D369C9" w:rsidRDefault="00102087" w:rsidP="00102087">
      <w:pPr>
        <w:pStyle w:val="Default"/>
        <w:ind w:right="-1"/>
        <w:jc w:val="both"/>
        <w:rPr>
          <w:sz w:val="22"/>
          <w:szCs w:val="22"/>
          <w:lang w:val="sk-SK"/>
        </w:rPr>
      </w:pPr>
    </w:p>
    <w:p w14:paraId="6D90C81E" w14:textId="77777777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lang w:val="sk-SK"/>
        </w:rPr>
        <w:t>Kandidóza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ezofágu</w:t>
      </w:r>
      <w:proofErr w:type="spellEnd"/>
      <w:r w:rsidRPr="00D369C9">
        <w:rPr>
          <w:sz w:val="22"/>
          <w:szCs w:val="22"/>
          <w:lang w:val="sk-SK"/>
        </w:rPr>
        <w:t xml:space="preserve">: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sa má podávať ešte najmenej </w:t>
      </w:r>
      <w:r w:rsidR="00D7577A">
        <w:rPr>
          <w:sz w:val="22"/>
          <w:szCs w:val="22"/>
          <w:lang w:val="sk-SK"/>
        </w:rPr>
        <w:t xml:space="preserve">jeden </w:t>
      </w:r>
      <w:r w:rsidRPr="00D369C9">
        <w:rPr>
          <w:sz w:val="22"/>
          <w:szCs w:val="22"/>
          <w:lang w:val="sk-SK"/>
        </w:rPr>
        <w:t>týždeň po ústupe k</w:t>
      </w:r>
      <w:r w:rsidR="00102087" w:rsidRPr="00D369C9">
        <w:rPr>
          <w:sz w:val="22"/>
          <w:szCs w:val="22"/>
          <w:lang w:val="sk-SK"/>
        </w:rPr>
        <w:t>linických prejavov a príznakov.</w:t>
      </w:r>
    </w:p>
    <w:p w14:paraId="665A26F3" w14:textId="77777777" w:rsidR="00102087" w:rsidRPr="00D369C9" w:rsidRDefault="00102087" w:rsidP="00102087">
      <w:pPr>
        <w:pStyle w:val="Default"/>
        <w:jc w:val="both"/>
        <w:rPr>
          <w:sz w:val="22"/>
          <w:szCs w:val="22"/>
          <w:lang w:val="sk-SK"/>
        </w:rPr>
      </w:pPr>
    </w:p>
    <w:p w14:paraId="2B952274" w14:textId="77777777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Profylaxia infekcie vyvolanej rodom </w:t>
      </w:r>
      <w:proofErr w:type="spellStart"/>
      <w:r w:rsidRPr="00D369C9">
        <w:rPr>
          <w:i/>
          <w:iCs/>
          <w:sz w:val="22"/>
          <w:szCs w:val="22"/>
          <w:lang w:val="sk-SK"/>
        </w:rPr>
        <w:t>Candida</w:t>
      </w:r>
      <w:proofErr w:type="spellEnd"/>
      <w:r w:rsidRPr="00D369C9">
        <w:rPr>
          <w:sz w:val="22"/>
          <w:szCs w:val="22"/>
          <w:lang w:val="sk-SK"/>
        </w:rPr>
        <w:t xml:space="preserve">: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sa má podávať ešte najmenej </w:t>
      </w:r>
      <w:r w:rsidR="00D7577A">
        <w:rPr>
          <w:sz w:val="22"/>
          <w:szCs w:val="22"/>
          <w:lang w:val="sk-SK"/>
        </w:rPr>
        <w:t xml:space="preserve">jeden </w:t>
      </w:r>
      <w:r w:rsidRPr="00D369C9">
        <w:rPr>
          <w:sz w:val="22"/>
          <w:szCs w:val="22"/>
          <w:lang w:val="sk-SK"/>
        </w:rPr>
        <w:t xml:space="preserve">týždeň po dosiahnutí normálnych hodnôt </w:t>
      </w:r>
      <w:proofErr w:type="spellStart"/>
      <w:r w:rsidRPr="00D369C9">
        <w:rPr>
          <w:sz w:val="22"/>
          <w:szCs w:val="22"/>
          <w:lang w:val="sk-SK"/>
        </w:rPr>
        <w:t>neutrofilov</w:t>
      </w:r>
      <w:proofErr w:type="spellEnd"/>
      <w:r w:rsidRPr="00D369C9">
        <w:rPr>
          <w:sz w:val="22"/>
          <w:szCs w:val="22"/>
          <w:lang w:val="sk-SK"/>
        </w:rPr>
        <w:t xml:space="preserve">. </w:t>
      </w:r>
    </w:p>
    <w:p w14:paraId="13577E61" w14:textId="77777777" w:rsidR="00102087" w:rsidRPr="00D369C9" w:rsidRDefault="00102087" w:rsidP="00102087">
      <w:pPr>
        <w:pStyle w:val="Default"/>
        <w:jc w:val="both"/>
        <w:rPr>
          <w:sz w:val="22"/>
          <w:szCs w:val="22"/>
          <w:lang w:val="sk-SK"/>
        </w:rPr>
      </w:pPr>
    </w:p>
    <w:p w14:paraId="1E981898" w14:textId="52D8EE77" w:rsidR="00386B19" w:rsidRPr="00D369C9" w:rsidRDefault="00386B19" w:rsidP="00102087">
      <w:pPr>
        <w:jc w:val="both"/>
        <w:rPr>
          <w:i/>
          <w:iCs/>
          <w:szCs w:val="22"/>
        </w:rPr>
      </w:pPr>
      <w:r w:rsidRPr="00D369C9">
        <w:rPr>
          <w:i/>
          <w:iCs/>
          <w:szCs w:val="22"/>
        </w:rPr>
        <w:t>Použitie u detí vo veku ≥ 4 mesiace a dospievajúcich až do veku &lt; 16</w:t>
      </w:r>
      <w:r w:rsidR="0094023A">
        <w:rPr>
          <w:i/>
          <w:iCs/>
          <w:szCs w:val="22"/>
        </w:rPr>
        <w:t xml:space="preserve"> rokov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9"/>
        <w:gridCol w:w="2916"/>
        <w:gridCol w:w="2552"/>
      </w:tblGrid>
      <w:tr w:rsidR="00102087" w:rsidRPr="00D369C9" w14:paraId="2D5BCED9" w14:textId="77777777" w:rsidTr="00102087">
        <w:trPr>
          <w:trHeight w:val="148"/>
        </w:trPr>
        <w:tc>
          <w:tcPr>
            <w:tcW w:w="3429" w:type="dxa"/>
          </w:tcPr>
          <w:p w14:paraId="4BF45264" w14:textId="77777777" w:rsidR="00102087" w:rsidRPr="00D369C9" w:rsidRDefault="00B37E54" w:rsidP="00102087">
            <w:pPr>
              <w:pStyle w:val="Default"/>
              <w:jc w:val="both"/>
              <w:rPr>
                <w:sz w:val="22"/>
                <w:szCs w:val="22"/>
                <w:u w:val="single"/>
                <w:lang w:val="sk-SK"/>
              </w:rPr>
            </w:pPr>
            <w:r w:rsidRPr="00D369C9">
              <w:rPr>
                <w:sz w:val="22"/>
                <w:szCs w:val="22"/>
                <w:u w:val="single"/>
                <w:lang w:val="sk-SK"/>
              </w:rPr>
              <w:t>Indikácia</w:t>
            </w:r>
          </w:p>
        </w:tc>
        <w:tc>
          <w:tcPr>
            <w:tcW w:w="2916" w:type="dxa"/>
          </w:tcPr>
          <w:p w14:paraId="770991A1" w14:textId="77777777" w:rsidR="00102087" w:rsidRPr="00D369C9" w:rsidRDefault="00102087" w:rsidP="00102087">
            <w:pPr>
              <w:pStyle w:val="Default"/>
              <w:jc w:val="both"/>
              <w:rPr>
                <w:sz w:val="22"/>
                <w:szCs w:val="22"/>
                <w:u w:val="single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>Telesná hmotnosť &gt; 40 kg</w:t>
            </w:r>
          </w:p>
        </w:tc>
        <w:tc>
          <w:tcPr>
            <w:tcW w:w="2552" w:type="dxa"/>
          </w:tcPr>
          <w:p w14:paraId="4524BC62" w14:textId="77777777" w:rsidR="00102087" w:rsidRPr="00D369C9" w:rsidRDefault="00102087" w:rsidP="00102087">
            <w:pPr>
              <w:pStyle w:val="Default"/>
              <w:jc w:val="both"/>
              <w:rPr>
                <w:sz w:val="22"/>
                <w:szCs w:val="22"/>
                <w:u w:val="single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>Telesná hmotnosť ≤ 40 kg</w:t>
            </w:r>
          </w:p>
        </w:tc>
      </w:tr>
      <w:tr w:rsidR="00102087" w:rsidRPr="00D369C9" w14:paraId="5283FE7B" w14:textId="77777777" w:rsidTr="00102087">
        <w:trPr>
          <w:trHeight w:val="148"/>
        </w:trPr>
        <w:tc>
          <w:tcPr>
            <w:tcW w:w="3429" w:type="dxa"/>
          </w:tcPr>
          <w:p w14:paraId="361B2D1B" w14:textId="77777777" w:rsidR="00102087" w:rsidRPr="00D369C9" w:rsidRDefault="00102087" w:rsidP="00102087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Liečba invazívnej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kandidózy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916" w:type="dxa"/>
          </w:tcPr>
          <w:p w14:paraId="4B9E2938" w14:textId="77777777" w:rsidR="00102087" w:rsidRPr="00D369C9" w:rsidRDefault="00102087" w:rsidP="00102087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100 mg/deň* </w:t>
            </w:r>
          </w:p>
        </w:tc>
        <w:tc>
          <w:tcPr>
            <w:tcW w:w="2552" w:type="dxa"/>
          </w:tcPr>
          <w:p w14:paraId="0DA01CF8" w14:textId="77777777" w:rsidR="00102087" w:rsidRPr="00D369C9" w:rsidRDefault="00102087" w:rsidP="00102087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2 mg/kg/deň* </w:t>
            </w:r>
          </w:p>
        </w:tc>
      </w:tr>
      <w:tr w:rsidR="00102087" w:rsidRPr="00D369C9" w14:paraId="743D5A47" w14:textId="77777777" w:rsidTr="00102087">
        <w:trPr>
          <w:trHeight w:val="148"/>
        </w:trPr>
        <w:tc>
          <w:tcPr>
            <w:tcW w:w="3429" w:type="dxa"/>
          </w:tcPr>
          <w:p w14:paraId="2CC68ADA" w14:textId="77777777" w:rsidR="00102087" w:rsidRPr="00D369C9" w:rsidRDefault="00102087" w:rsidP="00102087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Profylaxia infekcie vyvolanej rodom </w:t>
            </w:r>
            <w:proofErr w:type="spellStart"/>
            <w:r w:rsidRPr="00D369C9">
              <w:rPr>
                <w:i/>
                <w:iCs/>
                <w:sz w:val="22"/>
                <w:szCs w:val="22"/>
                <w:lang w:val="sk-SK"/>
              </w:rPr>
              <w:t>Candida</w:t>
            </w:r>
            <w:proofErr w:type="spellEnd"/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916" w:type="dxa"/>
          </w:tcPr>
          <w:p w14:paraId="57C9A2B0" w14:textId="77777777" w:rsidR="00102087" w:rsidRPr="00D369C9" w:rsidRDefault="00102087" w:rsidP="00102087">
            <w:pPr>
              <w:pStyle w:val="Default"/>
              <w:jc w:val="both"/>
              <w:rPr>
                <w:lang w:val="sk-SK"/>
              </w:rPr>
            </w:pPr>
            <w:r w:rsidRPr="00B11FF5">
              <w:rPr>
                <w:sz w:val="22"/>
                <w:szCs w:val="22"/>
                <w:lang w:val="sk-SK"/>
              </w:rPr>
              <w:t xml:space="preserve">50 mg/deň </w:t>
            </w:r>
          </w:p>
        </w:tc>
        <w:tc>
          <w:tcPr>
            <w:tcW w:w="2552" w:type="dxa"/>
          </w:tcPr>
          <w:p w14:paraId="6D731D71" w14:textId="77777777" w:rsidR="00102087" w:rsidRPr="00D369C9" w:rsidRDefault="00102087" w:rsidP="00102087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1 mg/kg/deň </w:t>
            </w:r>
          </w:p>
        </w:tc>
      </w:tr>
    </w:tbl>
    <w:p w14:paraId="70BD5B16" w14:textId="77777777" w:rsidR="00386B19" w:rsidRPr="00D369C9" w:rsidRDefault="00386B19" w:rsidP="00102087">
      <w:pPr>
        <w:pStyle w:val="Default"/>
        <w:jc w:val="both"/>
        <w:rPr>
          <w:sz w:val="20"/>
          <w:szCs w:val="20"/>
          <w:lang w:val="sk-SK"/>
        </w:rPr>
      </w:pPr>
      <w:r w:rsidRPr="00D369C9">
        <w:rPr>
          <w:sz w:val="20"/>
          <w:szCs w:val="20"/>
          <w:lang w:val="sk-SK"/>
        </w:rPr>
        <w:t xml:space="preserve">*V prípade, že terapeutická odpoveď zo strany pacienta nie je adekvátna, napr. pretrváva kultivačný nález, alebo nedochádza k zlepšeniu klinického stavu, dávku možno zvýšiť na 200 mg/deň u pacientov s telesnou hmotnosťou &gt; 40 kg alebo na 4 mg/kg/deň u pacientov s telesnou hmotnosťou ≤ 40 kg. </w:t>
      </w:r>
    </w:p>
    <w:p w14:paraId="2B5C6097" w14:textId="77777777" w:rsidR="00102087" w:rsidRPr="00D369C9" w:rsidRDefault="00102087" w:rsidP="00102087">
      <w:pPr>
        <w:pStyle w:val="Default"/>
        <w:jc w:val="both"/>
        <w:rPr>
          <w:sz w:val="20"/>
          <w:szCs w:val="20"/>
          <w:lang w:val="sk-SK"/>
        </w:rPr>
      </w:pPr>
    </w:p>
    <w:p w14:paraId="11F2559A" w14:textId="77777777" w:rsidR="00386B19" w:rsidRPr="00D369C9" w:rsidRDefault="00386B19" w:rsidP="00102087">
      <w:pPr>
        <w:jc w:val="both"/>
        <w:rPr>
          <w:i/>
          <w:iCs/>
          <w:szCs w:val="22"/>
        </w:rPr>
      </w:pPr>
      <w:r w:rsidRPr="00D369C9">
        <w:rPr>
          <w:i/>
          <w:iCs/>
          <w:szCs w:val="22"/>
        </w:rPr>
        <w:t>Použitie u detí (vrátane novorodencov) vo veku &lt; 4 mesiace</w:t>
      </w: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842"/>
      </w:tblGrid>
      <w:tr w:rsidR="00102087" w:rsidRPr="00D369C9" w14:paraId="3F34C34A" w14:textId="77777777" w:rsidTr="00102087">
        <w:trPr>
          <w:trHeight w:val="148"/>
        </w:trPr>
        <w:tc>
          <w:tcPr>
            <w:tcW w:w="4503" w:type="dxa"/>
          </w:tcPr>
          <w:p w14:paraId="18CAB922" w14:textId="77777777" w:rsidR="00102087" w:rsidRPr="00D369C9" w:rsidRDefault="00102087" w:rsidP="00102087">
            <w:pPr>
              <w:pStyle w:val="Default"/>
              <w:jc w:val="both"/>
              <w:rPr>
                <w:sz w:val="22"/>
                <w:szCs w:val="22"/>
                <w:u w:val="single"/>
                <w:lang w:val="sk-SK"/>
              </w:rPr>
            </w:pPr>
            <w:r w:rsidRPr="00D369C9">
              <w:rPr>
                <w:sz w:val="22"/>
                <w:szCs w:val="22"/>
                <w:u w:val="single"/>
                <w:lang w:val="sk-SK"/>
              </w:rPr>
              <w:t>Indikácia</w:t>
            </w:r>
          </w:p>
        </w:tc>
        <w:tc>
          <w:tcPr>
            <w:tcW w:w="1842" w:type="dxa"/>
          </w:tcPr>
          <w:p w14:paraId="342D0C11" w14:textId="77777777" w:rsidR="00102087" w:rsidRPr="00D369C9" w:rsidRDefault="00102087" w:rsidP="00102087">
            <w:pPr>
              <w:pStyle w:val="Default"/>
              <w:jc w:val="both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102087" w:rsidRPr="00D369C9" w14:paraId="1B257921" w14:textId="77777777" w:rsidTr="00102087">
        <w:trPr>
          <w:trHeight w:val="148"/>
        </w:trPr>
        <w:tc>
          <w:tcPr>
            <w:tcW w:w="4503" w:type="dxa"/>
          </w:tcPr>
          <w:p w14:paraId="6634C2ED" w14:textId="77777777" w:rsidR="00102087" w:rsidRPr="00D369C9" w:rsidRDefault="00102087" w:rsidP="00102087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Liečba invazívnej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kandidózy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842" w:type="dxa"/>
          </w:tcPr>
          <w:p w14:paraId="1126DE29" w14:textId="77777777" w:rsidR="00102087" w:rsidRPr="00D369C9" w:rsidRDefault="00102087" w:rsidP="00102087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>4</w:t>
            </w:r>
            <w:r w:rsidR="00B11FF5">
              <w:rPr>
                <w:sz w:val="22"/>
                <w:szCs w:val="22"/>
                <w:lang w:val="sk-SK"/>
              </w:rPr>
              <w:t>–</w:t>
            </w:r>
            <w:r w:rsidRPr="00D369C9">
              <w:rPr>
                <w:sz w:val="22"/>
                <w:szCs w:val="22"/>
                <w:lang w:val="sk-SK"/>
              </w:rPr>
              <w:t>10 mg/kg/deň*</w:t>
            </w:r>
          </w:p>
        </w:tc>
      </w:tr>
      <w:tr w:rsidR="00102087" w:rsidRPr="00D369C9" w14:paraId="5E11FD43" w14:textId="77777777" w:rsidTr="00102087">
        <w:trPr>
          <w:trHeight w:val="148"/>
        </w:trPr>
        <w:tc>
          <w:tcPr>
            <w:tcW w:w="4503" w:type="dxa"/>
          </w:tcPr>
          <w:p w14:paraId="07A49D3D" w14:textId="77777777" w:rsidR="00102087" w:rsidRPr="00D369C9" w:rsidRDefault="00102087" w:rsidP="00102087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Profylaxia infekcie vyvolanej rodom </w:t>
            </w:r>
            <w:proofErr w:type="spellStart"/>
            <w:r w:rsidRPr="00D369C9">
              <w:rPr>
                <w:i/>
                <w:iCs/>
                <w:sz w:val="22"/>
                <w:szCs w:val="22"/>
                <w:lang w:val="sk-SK"/>
              </w:rPr>
              <w:t>Candida</w:t>
            </w:r>
            <w:proofErr w:type="spellEnd"/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842" w:type="dxa"/>
          </w:tcPr>
          <w:p w14:paraId="5130F41E" w14:textId="77777777" w:rsidR="00102087" w:rsidRPr="00D369C9" w:rsidRDefault="00102087" w:rsidP="00102087">
            <w:pPr>
              <w:pStyle w:val="Default"/>
              <w:jc w:val="both"/>
              <w:rPr>
                <w:lang w:val="sk-SK"/>
              </w:rPr>
            </w:pPr>
            <w:r w:rsidRPr="00B11FF5">
              <w:rPr>
                <w:sz w:val="22"/>
                <w:szCs w:val="22"/>
                <w:lang w:val="sk-SK"/>
              </w:rPr>
              <w:t>2 mg/kg/deň</w:t>
            </w:r>
            <w:r w:rsidRPr="00D369C9">
              <w:rPr>
                <w:lang w:val="sk-SK"/>
              </w:rPr>
              <w:t xml:space="preserve"> </w:t>
            </w:r>
          </w:p>
        </w:tc>
      </w:tr>
    </w:tbl>
    <w:p w14:paraId="732DCF6D" w14:textId="77777777" w:rsidR="00386B19" w:rsidRPr="00D369C9" w:rsidRDefault="00386B19" w:rsidP="00102087">
      <w:pPr>
        <w:pStyle w:val="Default"/>
        <w:jc w:val="both"/>
        <w:rPr>
          <w:sz w:val="20"/>
          <w:szCs w:val="20"/>
          <w:lang w:val="sk-SK"/>
        </w:rPr>
      </w:pPr>
      <w:r w:rsidRPr="00D369C9">
        <w:rPr>
          <w:sz w:val="20"/>
          <w:szCs w:val="20"/>
          <w:lang w:val="sk-SK"/>
        </w:rPr>
        <w:t xml:space="preserve">*U detí mladších ako 4 mesiace sa </w:t>
      </w:r>
      <w:proofErr w:type="spellStart"/>
      <w:r w:rsidRPr="00D369C9">
        <w:rPr>
          <w:sz w:val="20"/>
          <w:szCs w:val="20"/>
          <w:lang w:val="sk-SK"/>
        </w:rPr>
        <w:t>mikafungín</w:t>
      </w:r>
      <w:proofErr w:type="spellEnd"/>
      <w:r w:rsidRPr="00D369C9">
        <w:rPr>
          <w:sz w:val="20"/>
          <w:szCs w:val="20"/>
          <w:lang w:val="sk-SK"/>
        </w:rPr>
        <w:t xml:space="preserve"> v dávke 4 mg/kg približuje expozícii liekom, ktorá sa dosiahne pri liečbe invazívnej </w:t>
      </w:r>
      <w:proofErr w:type="spellStart"/>
      <w:r w:rsidRPr="00D369C9">
        <w:rPr>
          <w:sz w:val="20"/>
          <w:szCs w:val="20"/>
          <w:lang w:val="sk-SK"/>
        </w:rPr>
        <w:t>kandidózy</w:t>
      </w:r>
      <w:proofErr w:type="spellEnd"/>
      <w:r w:rsidRPr="00D369C9">
        <w:rPr>
          <w:sz w:val="20"/>
          <w:szCs w:val="20"/>
          <w:lang w:val="sk-SK"/>
        </w:rPr>
        <w:t xml:space="preserve"> u dospelých dostávajúcich 100 mg/deň. V prípade podozrenia na infekciu centrálneho nervového systému (CNS), sa má použiť vyššia dávka (napr. 10 mg/kg) vzhľadom na </w:t>
      </w:r>
      <w:proofErr w:type="spellStart"/>
      <w:r w:rsidRPr="00D369C9">
        <w:rPr>
          <w:sz w:val="20"/>
          <w:szCs w:val="20"/>
          <w:lang w:val="sk-SK"/>
        </w:rPr>
        <w:t>penetráciu</w:t>
      </w:r>
      <w:proofErr w:type="spellEnd"/>
      <w:r w:rsidRPr="00D369C9">
        <w:rPr>
          <w:sz w:val="20"/>
          <w:szCs w:val="20"/>
          <w:lang w:val="sk-SK"/>
        </w:rPr>
        <w:t xml:space="preserve"> mikafungínu do CNS, ktorá je závislá od dávky (pozri časť 5.2). </w:t>
      </w:r>
    </w:p>
    <w:p w14:paraId="3F7B6B81" w14:textId="77777777" w:rsidR="00102087" w:rsidRPr="00D369C9" w:rsidRDefault="00102087" w:rsidP="00386B19">
      <w:pPr>
        <w:pStyle w:val="Default"/>
        <w:rPr>
          <w:sz w:val="20"/>
          <w:szCs w:val="20"/>
          <w:lang w:val="sk-SK"/>
        </w:rPr>
      </w:pPr>
    </w:p>
    <w:p w14:paraId="7CD804B5" w14:textId="77777777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i/>
          <w:iCs/>
          <w:sz w:val="22"/>
          <w:szCs w:val="22"/>
          <w:lang w:val="sk-SK"/>
        </w:rPr>
        <w:t xml:space="preserve">Dĺžka liečby </w:t>
      </w:r>
    </w:p>
    <w:p w14:paraId="06399396" w14:textId="77777777" w:rsidR="00386B19" w:rsidRPr="00D369C9" w:rsidRDefault="00386B19" w:rsidP="00102087">
      <w:pPr>
        <w:ind w:left="0" w:firstLine="0"/>
        <w:jc w:val="both"/>
        <w:rPr>
          <w:szCs w:val="22"/>
        </w:rPr>
      </w:pPr>
      <w:r w:rsidRPr="00D369C9">
        <w:rPr>
          <w:szCs w:val="22"/>
        </w:rPr>
        <w:t xml:space="preserve">Invazívna </w:t>
      </w:r>
      <w:proofErr w:type="spellStart"/>
      <w:r w:rsidRPr="00D369C9">
        <w:rPr>
          <w:szCs w:val="22"/>
        </w:rPr>
        <w:t>kandidóza</w:t>
      </w:r>
      <w:proofErr w:type="spellEnd"/>
      <w:r w:rsidRPr="00D369C9">
        <w:rPr>
          <w:szCs w:val="22"/>
        </w:rPr>
        <w:t xml:space="preserve">: Dĺžka liečby infekcie vyvolanej rodom </w:t>
      </w:r>
      <w:proofErr w:type="spellStart"/>
      <w:r w:rsidRPr="00D369C9">
        <w:rPr>
          <w:i/>
          <w:iCs/>
          <w:szCs w:val="22"/>
        </w:rPr>
        <w:t>Candida</w:t>
      </w:r>
      <w:proofErr w:type="spellEnd"/>
      <w:r w:rsidRPr="00D369C9">
        <w:rPr>
          <w:i/>
          <w:iCs/>
          <w:szCs w:val="22"/>
        </w:rPr>
        <w:t xml:space="preserve"> </w:t>
      </w:r>
      <w:r w:rsidR="00102087" w:rsidRPr="00D369C9">
        <w:rPr>
          <w:szCs w:val="22"/>
        </w:rPr>
        <w:t xml:space="preserve">má trvať minimálne 14 dní. </w:t>
      </w:r>
      <w:proofErr w:type="spellStart"/>
      <w:r w:rsidRPr="00D369C9">
        <w:rPr>
          <w:szCs w:val="22"/>
        </w:rPr>
        <w:t>Antimykotická</w:t>
      </w:r>
      <w:proofErr w:type="spellEnd"/>
      <w:r w:rsidRPr="00D369C9">
        <w:rPr>
          <w:szCs w:val="22"/>
        </w:rPr>
        <w:t xml:space="preserve"> liečba má pokračovať najmenej </w:t>
      </w:r>
      <w:r w:rsidR="00041F5F">
        <w:rPr>
          <w:szCs w:val="22"/>
        </w:rPr>
        <w:t xml:space="preserve">jeden </w:t>
      </w:r>
      <w:r w:rsidRPr="00D369C9">
        <w:rPr>
          <w:szCs w:val="22"/>
        </w:rPr>
        <w:t xml:space="preserve">týždeň po získaní dvoch po sebe nasledujúcich negatívnych </w:t>
      </w:r>
      <w:proofErr w:type="spellStart"/>
      <w:r w:rsidRPr="00D369C9">
        <w:rPr>
          <w:szCs w:val="22"/>
        </w:rPr>
        <w:t>hemokultúr</w:t>
      </w:r>
      <w:proofErr w:type="spellEnd"/>
      <w:r w:rsidRPr="00D369C9">
        <w:rPr>
          <w:szCs w:val="22"/>
        </w:rPr>
        <w:t xml:space="preserve"> a </w:t>
      </w:r>
      <w:r w:rsidRPr="00D369C9">
        <w:rPr>
          <w:bCs/>
          <w:i/>
          <w:iCs/>
          <w:szCs w:val="22"/>
        </w:rPr>
        <w:t>po</w:t>
      </w:r>
      <w:r w:rsidRPr="00D369C9">
        <w:rPr>
          <w:b/>
          <w:bCs/>
          <w:i/>
          <w:iCs/>
          <w:szCs w:val="22"/>
        </w:rPr>
        <w:t xml:space="preserve"> </w:t>
      </w:r>
      <w:r w:rsidRPr="00D369C9">
        <w:rPr>
          <w:szCs w:val="22"/>
        </w:rPr>
        <w:t>ústupe klinických prejavov a príznakov infekcie.</w:t>
      </w:r>
    </w:p>
    <w:p w14:paraId="69DF9078" w14:textId="77777777" w:rsidR="00041F5F" w:rsidRDefault="00041F5F" w:rsidP="00102087">
      <w:pPr>
        <w:pStyle w:val="Default"/>
        <w:jc w:val="both"/>
        <w:rPr>
          <w:sz w:val="22"/>
          <w:szCs w:val="22"/>
          <w:lang w:val="sk-SK"/>
        </w:rPr>
      </w:pPr>
    </w:p>
    <w:p w14:paraId="40B64787" w14:textId="77777777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Profylaxia infekcie vyvolanej rodom </w:t>
      </w:r>
      <w:proofErr w:type="spellStart"/>
      <w:r w:rsidRPr="00D369C9">
        <w:rPr>
          <w:i/>
          <w:iCs/>
          <w:sz w:val="22"/>
          <w:szCs w:val="22"/>
          <w:lang w:val="sk-SK"/>
        </w:rPr>
        <w:t>Candida</w:t>
      </w:r>
      <w:proofErr w:type="spellEnd"/>
      <w:r w:rsidRPr="00D369C9">
        <w:rPr>
          <w:sz w:val="22"/>
          <w:szCs w:val="22"/>
          <w:lang w:val="sk-SK"/>
        </w:rPr>
        <w:t xml:space="preserve">: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sa má podávať ešte najmenej </w:t>
      </w:r>
      <w:r w:rsidR="00041F5F">
        <w:rPr>
          <w:sz w:val="22"/>
          <w:szCs w:val="22"/>
          <w:lang w:val="sk-SK"/>
        </w:rPr>
        <w:t xml:space="preserve">jeden </w:t>
      </w:r>
      <w:r w:rsidRPr="00D369C9">
        <w:rPr>
          <w:sz w:val="22"/>
          <w:szCs w:val="22"/>
          <w:lang w:val="sk-SK"/>
        </w:rPr>
        <w:t xml:space="preserve">týždeň po dosiahnutí normálnych hodnôt </w:t>
      </w:r>
      <w:proofErr w:type="spellStart"/>
      <w:r w:rsidRPr="00D369C9">
        <w:rPr>
          <w:sz w:val="22"/>
          <w:szCs w:val="22"/>
          <w:lang w:val="sk-SK"/>
        </w:rPr>
        <w:t>ne</w:t>
      </w:r>
      <w:r w:rsidR="00041F5F">
        <w:rPr>
          <w:sz w:val="22"/>
          <w:szCs w:val="22"/>
          <w:lang w:val="sk-SK"/>
        </w:rPr>
        <w:t>u</w:t>
      </w:r>
      <w:r w:rsidRPr="00D369C9">
        <w:rPr>
          <w:sz w:val="22"/>
          <w:szCs w:val="22"/>
          <w:lang w:val="sk-SK"/>
        </w:rPr>
        <w:t>trofilov</w:t>
      </w:r>
      <w:proofErr w:type="spellEnd"/>
      <w:r w:rsidRPr="00D369C9">
        <w:rPr>
          <w:sz w:val="22"/>
          <w:szCs w:val="22"/>
          <w:lang w:val="sk-SK"/>
        </w:rPr>
        <w:t xml:space="preserve">. Skúsenosti s liekom </w:t>
      </w:r>
      <w:proofErr w:type="spellStart"/>
      <w:r w:rsidR="00F85745" w:rsidRPr="00D369C9">
        <w:rPr>
          <w:sz w:val="22"/>
          <w:szCs w:val="22"/>
          <w:lang w:val="sk-SK"/>
        </w:rPr>
        <w:t>Micafungin</w:t>
      </w:r>
      <w:proofErr w:type="spellEnd"/>
      <w:r w:rsidR="00F85745" w:rsidRPr="00D369C9">
        <w:rPr>
          <w:sz w:val="22"/>
          <w:szCs w:val="22"/>
          <w:lang w:val="sk-SK"/>
        </w:rPr>
        <w:t xml:space="preserve"> </w:t>
      </w:r>
      <w:proofErr w:type="spellStart"/>
      <w:r w:rsidR="00F85745" w:rsidRPr="00D369C9">
        <w:rPr>
          <w:sz w:val="22"/>
          <w:szCs w:val="22"/>
          <w:lang w:val="sk-SK"/>
        </w:rPr>
        <w:t>Olikla</w:t>
      </w:r>
      <w:proofErr w:type="spellEnd"/>
      <w:r w:rsidRPr="00D369C9">
        <w:rPr>
          <w:sz w:val="22"/>
          <w:szCs w:val="22"/>
          <w:lang w:val="sk-SK"/>
        </w:rPr>
        <w:t xml:space="preserve"> u pacientov mladších ako 2 roky sú obmedzené. </w:t>
      </w:r>
    </w:p>
    <w:p w14:paraId="2BE2CA28" w14:textId="77777777" w:rsidR="00102087" w:rsidRPr="00D369C9" w:rsidRDefault="00102087" w:rsidP="00102087">
      <w:pPr>
        <w:pStyle w:val="Default"/>
        <w:jc w:val="both"/>
        <w:rPr>
          <w:sz w:val="22"/>
          <w:szCs w:val="22"/>
          <w:lang w:val="sk-SK"/>
        </w:rPr>
      </w:pPr>
    </w:p>
    <w:p w14:paraId="36721847" w14:textId="77777777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i/>
          <w:iCs/>
          <w:sz w:val="22"/>
          <w:szCs w:val="22"/>
          <w:lang w:val="sk-SK"/>
        </w:rPr>
        <w:t xml:space="preserve">Porucha funkcie pečene </w:t>
      </w:r>
    </w:p>
    <w:p w14:paraId="521A3B07" w14:textId="3BA4E429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U pacientov s miernou alebo stredne </w:t>
      </w:r>
      <w:r w:rsidR="00041F5F">
        <w:rPr>
          <w:sz w:val="22"/>
          <w:szCs w:val="22"/>
          <w:lang w:val="sk-SK"/>
        </w:rPr>
        <w:t>závažnou</w:t>
      </w:r>
      <w:r w:rsidRPr="00D369C9">
        <w:rPr>
          <w:sz w:val="22"/>
          <w:szCs w:val="22"/>
          <w:lang w:val="sk-SK"/>
        </w:rPr>
        <w:t xml:space="preserve"> poruchou funkcie pečene nie je potrebná žiadna úprava dávkovania (pozri časť 5.2). V súčasnosti nie sú k dispozícii dostačujúce údaje o použití mikafungínu u pacientov s</w:t>
      </w:r>
      <w:r w:rsidR="00041F5F">
        <w:rPr>
          <w:sz w:val="22"/>
          <w:szCs w:val="22"/>
          <w:lang w:val="sk-SK"/>
        </w:rPr>
        <w:t>o závažnou</w:t>
      </w:r>
      <w:r w:rsidRPr="00D369C9">
        <w:rPr>
          <w:sz w:val="22"/>
          <w:szCs w:val="22"/>
          <w:lang w:val="sk-SK"/>
        </w:rPr>
        <w:t xml:space="preserve"> poruchou funkcie pečene, jeho použitie u týchto pacientov sa neod</w:t>
      </w:r>
      <w:r w:rsidR="00102087" w:rsidRPr="00D369C9">
        <w:rPr>
          <w:sz w:val="22"/>
          <w:szCs w:val="22"/>
          <w:lang w:val="sk-SK"/>
        </w:rPr>
        <w:t>porúča (pozri časti 4.4 a 5.2).</w:t>
      </w:r>
    </w:p>
    <w:p w14:paraId="53575036" w14:textId="77777777" w:rsidR="00102087" w:rsidRPr="00D369C9" w:rsidRDefault="00102087" w:rsidP="00102087">
      <w:pPr>
        <w:pStyle w:val="Default"/>
        <w:jc w:val="both"/>
        <w:rPr>
          <w:sz w:val="22"/>
          <w:szCs w:val="22"/>
          <w:lang w:val="sk-SK"/>
        </w:rPr>
      </w:pPr>
    </w:p>
    <w:p w14:paraId="57AD0B32" w14:textId="77777777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i/>
          <w:iCs/>
          <w:sz w:val="22"/>
          <w:szCs w:val="22"/>
          <w:lang w:val="sk-SK"/>
        </w:rPr>
        <w:lastRenderedPageBreak/>
        <w:t xml:space="preserve">Porucha funkcie obličiek </w:t>
      </w:r>
    </w:p>
    <w:p w14:paraId="2493665E" w14:textId="77777777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U pacientov s poruchou funkcie obličiek nie je potrebná žiadna úprava dáv</w:t>
      </w:r>
      <w:r w:rsidR="00102087" w:rsidRPr="00D369C9">
        <w:rPr>
          <w:sz w:val="22"/>
          <w:szCs w:val="22"/>
          <w:lang w:val="sk-SK"/>
        </w:rPr>
        <w:t>kovania (pozri časť 5.2).</w:t>
      </w:r>
    </w:p>
    <w:p w14:paraId="45CAD886" w14:textId="77777777" w:rsidR="00102087" w:rsidRPr="00D369C9" w:rsidRDefault="00102087" w:rsidP="00102087">
      <w:pPr>
        <w:pStyle w:val="Default"/>
        <w:jc w:val="both"/>
        <w:rPr>
          <w:sz w:val="22"/>
          <w:szCs w:val="22"/>
          <w:lang w:val="sk-SK"/>
        </w:rPr>
      </w:pPr>
    </w:p>
    <w:p w14:paraId="11E16540" w14:textId="77777777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i/>
          <w:iCs/>
          <w:sz w:val="22"/>
          <w:szCs w:val="22"/>
          <w:lang w:val="sk-SK"/>
        </w:rPr>
        <w:t xml:space="preserve">Pediatrická populácia </w:t>
      </w:r>
    </w:p>
    <w:p w14:paraId="0EF5F031" w14:textId="6C388E60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Bezpečnosť a účinnosť dávok 4</w:t>
      </w:r>
      <w:r w:rsidR="002B51FA">
        <w:rPr>
          <w:sz w:val="22"/>
          <w:szCs w:val="22"/>
          <w:lang w:val="sk-SK"/>
        </w:rPr>
        <w:t xml:space="preserve"> a </w:t>
      </w:r>
      <w:r w:rsidRPr="00D369C9">
        <w:rPr>
          <w:sz w:val="22"/>
          <w:szCs w:val="22"/>
          <w:lang w:val="sk-SK"/>
        </w:rPr>
        <w:t>10 mg/kg</w:t>
      </w:r>
      <w:r w:rsidR="00B73FDE">
        <w:rPr>
          <w:sz w:val="22"/>
          <w:szCs w:val="22"/>
          <w:lang w:val="sk-SK"/>
        </w:rPr>
        <w:t>/deň</w:t>
      </w:r>
      <w:r w:rsidRPr="00D369C9">
        <w:rPr>
          <w:sz w:val="22"/>
          <w:szCs w:val="22"/>
          <w:lang w:val="sk-SK"/>
        </w:rPr>
        <w:t xml:space="preserve"> na liečbu invazívnej </w:t>
      </w:r>
      <w:proofErr w:type="spellStart"/>
      <w:r w:rsidRPr="00D369C9">
        <w:rPr>
          <w:sz w:val="22"/>
          <w:szCs w:val="22"/>
          <w:lang w:val="sk-SK"/>
        </w:rPr>
        <w:t>kandidózy</w:t>
      </w:r>
      <w:proofErr w:type="spellEnd"/>
      <w:r w:rsidRPr="00D369C9">
        <w:rPr>
          <w:sz w:val="22"/>
          <w:szCs w:val="22"/>
          <w:lang w:val="sk-SK"/>
        </w:rPr>
        <w:t xml:space="preserve"> postihujúcej CNS u detí (vrátane novorodencov) mladších ako 4 mesiace neboli adekvátne stanovené. Aktuálne dostupné údaje sú</w:t>
      </w:r>
      <w:r w:rsidR="00102087" w:rsidRPr="00D369C9">
        <w:rPr>
          <w:sz w:val="22"/>
          <w:szCs w:val="22"/>
          <w:lang w:val="sk-SK"/>
        </w:rPr>
        <w:t xml:space="preserve"> uvedené v časti 4.8, 5.1, 5.2.</w:t>
      </w:r>
    </w:p>
    <w:p w14:paraId="0C0C3429" w14:textId="77777777" w:rsidR="00102087" w:rsidRPr="00D369C9" w:rsidRDefault="00102087" w:rsidP="00102087">
      <w:pPr>
        <w:pStyle w:val="Default"/>
        <w:jc w:val="both"/>
        <w:rPr>
          <w:sz w:val="22"/>
          <w:szCs w:val="22"/>
          <w:lang w:val="sk-SK"/>
        </w:rPr>
      </w:pPr>
    </w:p>
    <w:p w14:paraId="4B39D0C0" w14:textId="77777777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u w:val="single"/>
          <w:lang w:val="sk-SK"/>
        </w:rPr>
        <w:t>Spôsob pod</w:t>
      </w:r>
      <w:r w:rsidR="002B51FA">
        <w:rPr>
          <w:sz w:val="22"/>
          <w:szCs w:val="22"/>
          <w:u w:val="single"/>
          <w:lang w:val="sk-SK"/>
        </w:rPr>
        <w:t>áv</w:t>
      </w:r>
      <w:r w:rsidRPr="00D369C9">
        <w:rPr>
          <w:sz w:val="22"/>
          <w:szCs w:val="22"/>
          <w:u w:val="single"/>
          <w:lang w:val="sk-SK"/>
        </w:rPr>
        <w:t xml:space="preserve">ania </w:t>
      </w:r>
    </w:p>
    <w:p w14:paraId="040A3703" w14:textId="77777777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Na intravenózne použitie. </w:t>
      </w:r>
    </w:p>
    <w:p w14:paraId="16ED18BA" w14:textId="50BAF4F5" w:rsidR="00386B19" w:rsidRPr="00D369C9" w:rsidRDefault="00386B19" w:rsidP="0010208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Po rekonštitúcii a riedení sa roztok podáva formou intravenóznej infúzie v priebehu približne 1 hodiny. Pri rýchlejšom podávaní infúzie sa môžu častejšie vyskytnúť hist</w:t>
      </w:r>
      <w:r w:rsidR="00102087" w:rsidRPr="00D369C9">
        <w:rPr>
          <w:sz w:val="22"/>
          <w:szCs w:val="22"/>
          <w:lang w:val="sk-SK"/>
        </w:rPr>
        <w:t>amínom sprostredkované reakcie.</w:t>
      </w:r>
    </w:p>
    <w:p w14:paraId="20DA589C" w14:textId="77777777" w:rsidR="00102087" w:rsidRPr="00D369C9" w:rsidRDefault="00102087" w:rsidP="00102087">
      <w:pPr>
        <w:pStyle w:val="Default"/>
        <w:jc w:val="both"/>
        <w:rPr>
          <w:sz w:val="22"/>
          <w:szCs w:val="22"/>
          <w:lang w:val="sk-SK"/>
        </w:rPr>
      </w:pPr>
    </w:p>
    <w:p w14:paraId="7386259F" w14:textId="071986A0" w:rsidR="00386B19" w:rsidRPr="00D369C9" w:rsidRDefault="002B51FA" w:rsidP="00102087">
      <w:pPr>
        <w:jc w:val="both"/>
        <w:rPr>
          <w:szCs w:val="22"/>
          <w:u w:val="single"/>
        </w:rPr>
      </w:pPr>
      <w:r>
        <w:rPr>
          <w:szCs w:val="22"/>
        </w:rPr>
        <w:t xml:space="preserve">Pokyny </w:t>
      </w:r>
      <w:r w:rsidR="00386B19" w:rsidRPr="00D369C9">
        <w:rPr>
          <w:szCs w:val="22"/>
        </w:rPr>
        <w:t>na rekonštitúciu</w:t>
      </w:r>
      <w:r w:rsidR="0001416F" w:rsidRPr="00D369C9">
        <w:rPr>
          <w:szCs w:val="22"/>
        </w:rPr>
        <w:t>/riedenie lieku pred podaním</w:t>
      </w:r>
      <w:r>
        <w:rPr>
          <w:szCs w:val="22"/>
        </w:rPr>
        <w:t>, pozri</w:t>
      </w:r>
      <w:r w:rsidR="00386B19" w:rsidRPr="00D369C9">
        <w:rPr>
          <w:szCs w:val="22"/>
        </w:rPr>
        <w:t xml:space="preserve"> čas</w:t>
      </w:r>
      <w:r>
        <w:rPr>
          <w:szCs w:val="22"/>
        </w:rPr>
        <w:t>ť</w:t>
      </w:r>
      <w:r w:rsidR="00386B19" w:rsidRPr="00D369C9">
        <w:rPr>
          <w:szCs w:val="22"/>
        </w:rPr>
        <w:t xml:space="preserve"> 6.6.</w:t>
      </w:r>
    </w:p>
    <w:p w14:paraId="7C5E3381" w14:textId="77777777" w:rsidR="00386B19" w:rsidRPr="00D369C9" w:rsidRDefault="00386B19" w:rsidP="00386B19">
      <w:pPr>
        <w:rPr>
          <w:szCs w:val="22"/>
        </w:rPr>
      </w:pPr>
    </w:p>
    <w:p w14:paraId="44EAC7AF" w14:textId="77777777" w:rsidR="00780926" w:rsidRPr="00D369C9" w:rsidRDefault="00386B19" w:rsidP="00E41B3F">
      <w:pPr>
        <w:rPr>
          <w:szCs w:val="22"/>
        </w:rPr>
      </w:pPr>
      <w:r w:rsidRPr="00D369C9">
        <w:rPr>
          <w:b/>
          <w:szCs w:val="22"/>
        </w:rPr>
        <w:t>4.3</w:t>
      </w:r>
      <w:r w:rsidRPr="00D369C9">
        <w:rPr>
          <w:b/>
          <w:szCs w:val="22"/>
        </w:rPr>
        <w:tab/>
        <w:t>Kontraindikácie</w:t>
      </w:r>
    </w:p>
    <w:p w14:paraId="7DFB6D19" w14:textId="77777777" w:rsidR="00780926" w:rsidRPr="00D369C9" w:rsidRDefault="00780926" w:rsidP="00E41B3F">
      <w:pPr>
        <w:rPr>
          <w:szCs w:val="22"/>
        </w:rPr>
      </w:pPr>
    </w:p>
    <w:p w14:paraId="319540D5" w14:textId="77777777" w:rsidR="00780926" w:rsidRPr="00D369C9" w:rsidRDefault="00386B19" w:rsidP="0001416F">
      <w:pPr>
        <w:ind w:left="0" w:firstLine="0"/>
        <w:rPr>
          <w:szCs w:val="22"/>
        </w:rPr>
      </w:pPr>
      <w:r w:rsidRPr="00D369C9">
        <w:rPr>
          <w:szCs w:val="22"/>
        </w:rPr>
        <w:t xml:space="preserve">Precitlivenosť na liečivo, na iné </w:t>
      </w:r>
      <w:proofErr w:type="spellStart"/>
      <w:r w:rsidRPr="00D369C9">
        <w:rPr>
          <w:szCs w:val="22"/>
        </w:rPr>
        <w:t>echinokandíny</w:t>
      </w:r>
      <w:proofErr w:type="spellEnd"/>
      <w:r w:rsidRPr="00D369C9">
        <w:rPr>
          <w:szCs w:val="22"/>
        </w:rPr>
        <w:t xml:space="preserve"> alebo na ktorúkoľvek z pomocných látok uvedených v časti 6.1.</w:t>
      </w:r>
    </w:p>
    <w:p w14:paraId="45E502D2" w14:textId="77777777" w:rsidR="00386B19" w:rsidRPr="00D369C9" w:rsidRDefault="00386B19" w:rsidP="00E41B3F">
      <w:pPr>
        <w:rPr>
          <w:szCs w:val="22"/>
        </w:rPr>
      </w:pPr>
    </w:p>
    <w:p w14:paraId="7DAA0B27" w14:textId="77777777" w:rsidR="00780926" w:rsidRPr="00D369C9" w:rsidRDefault="00386B19" w:rsidP="00E41B3F">
      <w:pPr>
        <w:rPr>
          <w:b/>
          <w:szCs w:val="22"/>
        </w:rPr>
      </w:pPr>
      <w:r w:rsidRPr="00D369C9">
        <w:rPr>
          <w:b/>
          <w:szCs w:val="22"/>
        </w:rPr>
        <w:t>4.4</w:t>
      </w:r>
      <w:r w:rsidRPr="00D369C9">
        <w:rPr>
          <w:b/>
          <w:szCs w:val="22"/>
        </w:rPr>
        <w:tab/>
        <w:t>Osobitné upozornenia a opatrenia pri používaní</w:t>
      </w:r>
    </w:p>
    <w:p w14:paraId="7F7AC156" w14:textId="77777777" w:rsidR="0001416F" w:rsidRPr="00D369C9" w:rsidRDefault="0001416F" w:rsidP="0001416F">
      <w:pPr>
        <w:widowControl w:val="0"/>
        <w:autoSpaceDE w:val="0"/>
        <w:autoSpaceDN w:val="0"/>
        <w:adjustRightInd w:val="0"/>
        <w:jc w:val="both"/>
      </w:pPr>
    </w:p>
    <w:p w14:paraId="23580F48" w14:textId="77777777" w:rsidR="0001416F" w:rsidRPr="00D369C9" w:rsidRDefault="0001416F" w:rsidP="00014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  <w:bCs/>
          <w:szCs w:val="22"/>
        </w:rPr>
      </w:pPr>
      <w:r w:rsidRPr="00D369C9">
        <w:rPr>
          <w:b/>
          <w:bCs/>
          <w:szCs w:val="22"/>
        </w:rPr>
        <w:t>Účinky na pečeň:</w:t>
      </w:r>
    </w:p>
    <w:p w14:paraId="044F0D8F" w14:textId="3AFEDCAB" w:rsidR="0001416F" w:rsidRPr="00D369C9" w:rsidRDefault="0001416F" w:rsidP="00014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  <w:r w:rsidRPr="00D369C9">
        <w:rPr>
          <w:b/>
          <w:bCs/>
          <w:szCs w:val="22"/>
        </w:rPr>
        <w:t xml:space="preserve">Vznik ložísk zmenených </w:t>
      </w:r>
      <w:proofErr w:type="spellStart"/>
      <w:r w:rsidRPr="00D369C9">
        <w:rPr>
          <w:b/>
          <w:bCs/>
          <w:szCs w:val="22"/>
        </w:rPr>
        <w:t>hepatocytov</w:t>
      </w:r>
      <w:proofErr w:type="spellEnd"/>
      <w:r w:rsidRPr="00D369C9">
        <w:rPr>
          <w:b/>
          <w:bCs/>
          <w:szCs w:val="22"/>
        </w:rPr>
        <w:t xml:space="preserve"> (FAH) a </w:t>
      </w:r>
      <w:proofErr w:type="spellStart"/>
      <w:r w:rsidRPr="00D369C9">
        <w:rPr>
          <w:b/>
          <w:bCs/>
          <w:szCs w:val="22"/>
        </w:rPr>
        <w:t>hepatocelulárnych</w:t>
      </w:r>
      <w:proofErr w:type="spellEnd"/>
      <w:r w:rsidRPr="00D369C9">
        <w:rPr>
          <w:b/>
          <w:bCs/>
          <w:szCs w:val="22"/>
        </w:rPr>
        <w:t xml:space="preserve"> nádorov po liečbe trvajúcej 3 mesiace alebo dlhšie bol pozorovaný u potkanov. Predpokladaný prah pre vznik nádoru u potkanov je približne v rozmedzí klinickej expozície. Klinický význam tohto nálezu nie je známy. Počas liečby </w:t>
      </w:r>
      <w:proofErr w:type="spellStart"/>
      <w:r w:rsidRPr="00D369C9">
        <w:rPr>
          <w:b/>
          <w:bCs/>
          <w:szCs w:val="22"/>
        </w:rPr>
        <w:t>mikafungínom</w:t>
      </w:r>
      <w:proofErr w:type="spellEnd"/>
      <w:r w:rsidRPr="00D369C9">
        <w:rPr>
          <w:b/>
          <w:bCs/>
          <w:szCs w:val="22"/>
        </w:rPr>
        <w:t xml:space="preserve"> sa má dôkladne monitorovať funkcia pečene. Na minimalizáciu rizika adaptívnej regenerácie a potenciálneho následného vzniku nádoru pečene sa odporúča v prípade signifikantného a pretrvávajúceho zvýšenia ALT/AST včasné prerušenie liečby. Liečba </w:t>
      </w:r>
      <w:proofErr w:type="spellStart"/>
      <w:r w:rsidRPr="00D369C9">
        <w:rPr>
          <w:b/>
          <w:bCs/>
          <w:szCs w:val="22"/>
        </w:rPr>
        <w:t>mikafungínom</w:t>
      </w:r>
      <w:proofErr w:type="spellEnd"/>
      <w:r w:rsidRPr="00D369C9">
        <w:rPr>
          <w:b/>
          <w:bCs/>
          <w:szCs w:val="22"/>
        </w:rPr>
        <w:t xml:space="preserve"> má byť nasadená po starostlivom zvážení pomeru rizika a prínosu, predovšetkým u pacientov s</w:t>
      </w:r>
      <w:r w:rsidR="00D7209E">
        <w:rPr>
          <w:b/>
          <w:bCs/>
          <w:szCs w:val="22"/>
        </w:rPr>
        <w:t>o závažnou poruchou</w:t>
      </w:r>
      <w:r w:rsidRPr="00D369C9">
        <w:rPr>
          <w:b/>
          <w:bCs/>
          <w:szCs w:val="22"/>
        </w:rPr>
        <w:t xml:space="preserve"> pečeňových funkcií alebo chronickými chorobami pečene, ktoré sú známe ako </w:t>
      </w:r>
      <w:proofErr w:type="spellStart"/>
      <w:r w:rsidRPr="00D369C9">
        <w:rPr>
          <w:b/>
          <w:bCs/>
          <w:szCs w:val="22"/>
        </w:rPr>
        <w:t>preneoplastické</w:t>
      </w:r>
      <w:proofErr w:type="spellEnd"/>
      <w:r w:rsidRPr="00D369C9">
        <w:rPr>
          <w:b/>
          <w:bCs/>
          <w:szCs w:val="22"/>
        </w:rPr>
        <w:t xml:space="preserve"> stavy, napríklad pokročilá </w:t>
      </w:r>
      <w:proofErr w:type="spellStart"/>
      <w:r w:rsidRPr="00D369C9">
        <w:rPr>
          <w:b/>
          <w:bCs/>
          <w:szCs w:val="22"/>
        </w:rPr>
        <w:t>fibróza</w:t>
      </w:r>
      <w:proofErr w:type="spellEnd"/>
      <w:r w:rsidRPr="00D369C9">
        <w:rPr>
          <w:b/>
          <w:bCs/>
          <w:szCs w:val="22"/>
        </w:rPr>
        <w:t xml:space="preserve"> pečene, cirhóza, vírusová hepatitída, novorodenecká žltačka alebo vrodené enzýmové poruchy, alebo u pacientov so súbežnou liečbou, ktorá má </w:t>
      </w:r>
      <w:proofErr w:type="spellStart"/>
      <w:r w:rsidRPr="00D369C9">
        <w:rPr>
          <w:b/>
          <w:bCs/>
          <w:szCs w:val="22"/>
        </w:rPr>
        <w:t>hepatotoxické</w:t>
      </w:r>
      <w:proofErr w:type="spellEnd"/>
      <w:r w:rsidRPr="00D369C9">
        <w:rPr>
          <w:b/>
          <w:bCs/>
          <w:szCs w:val="22"/>
        </w:rPr>
        <w:t xml:space="preserve"> a/alebo </w:t>
      </w:r>
      <w:proofErr w:type="spellStart"/>
      <w:r w:rsidRPr="00D369C9">
        <w:rPr>
          <w:b/>
          <w:bCs/>
          <w:szCs w:val="22"/>
        </w:rPr>
        <w:t>genotoxické</w:t>
      </w:r>
      <w:proofErr w:type="spellEnd"/>
      <w:r w:rsidRPr="00D369C9">
        <w:rPr>
          <w:b/>
          <w:bCs/>
          <w:szCs w:val="22"/>
        </w:rPr>
        <w:t xml:space="preserve"> účinky.</w:t>
      </w:r>
    </w:p>
    <w:p w14:paraId="67C7D69A" w14:textId="77777777" w:rsidR="00386B19" w:rsidRPr="00D369C9" w:rsidRDefault="00386B19" w:rsidP="0001416F">
      <w:pPr>
        <w:jc w:val="both"/>
        <w:rPr>
          <w:b/>
          <w:bCs/>
          <w:szCs w:val="22"/>
        </w:rPr>
      </w:pPr>
    </w:p>
    <w:p w14:paraId="7880BFDD" w14:textId="5E6469B4" w:rsidR="00386B19" w:rsidRPr="00D369C9" w:rsidRDefault="00386B19" w:rsidP="0001416F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Liečba </w:t>
      </w:r>
      <w:proofErr w:type="spellStart"/>
      <w:r w:rsidRPr="00D369C9">
        <w:rPr>
          <w:sz w:val="22"/>
          <w:szCs w:val="22"/>
          <w:lang w:val="sk-SK"/>
        </w:rPr>
        <w:t>mikafungínom</w:t>
      </w:r>
      <w:proofErr w:type="spellEnd"/>
      <w:r w:rsidRPr="00D369C9">
        <w:rPr>
          <w:sz w:val="22"/>
          <w:szCs w:val="22"/>
          <w:lang w:val="sk-SK"/>
        </w:rPr>
        <w:t xml:space="preserve"> bola spojená so signifikantným zhoršením </w:t>
      </w:r>
      <w:r w:rsidR="002F1444">
        <w:rPr>
          <w:sz w:val="22"/>
          <w:szCs w:val="22"/>
          <w:lang w:val="sk-SK"/>
        </w:rPr>
        <w:t xml:space="preserve">poruchy </w:t>
      </w:r>
      <w:r w:rsidRPr="00D369C9">
        <w:rPr>
          <w:sz w:val="22"/>
          <w:szCs w:val="22"/>
          <w:lang w:val="sk-SK"/>
        </w:rPr>
        <w:t xml:space="preserve">funkcie pečene (zvýšenie ALT, AST alebo celkového </w:t>
      </w:r>
      <w:proofErr w:type="spellStart"/>
      <w:r w:rsidRPr="00D369C9">
        <w:rPr>
          <w:sz w:val="22"/>
          <w:szCs w:val="22"/>
          <w:lang w:val="sk-SK"/>
        </w:rPr>
        <w:t>bilirubínu</w:t>
      </w:r>
      <w:proofErr w:type="spellEnd"/>
      <w:r w:rsidR="0002279D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&gt; 3-násobok hornej hranice normálnych hodnôt) u zdravých dobrovoľníkov a pacientov. U niektorých pacientov bola hlásená </w:t>
      </w:r>
      <w:r w:rsidR="002F1444">
        <w:rPr>
          <w:sz w:val="22"/>
          <w:szCs w:val="22"/>
          <w:lang w:val="sk-SK"/>
        </w:rPr>
        <w:t>závažná</w:t>
      </w:r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hepatálna</w:t>
      </w:r>
      <w:proofErr w:type="spellEnd"/>
      <w:r w:rsidRPr="00D369C9">
        <w:rPr>
          <w:sz w:val="22"/>
          <w:szCs w:val="22"/>
          <w:lang w:val="sk-SK"/>
        </w:rPr>
        <w:t xml:space="preserve"> dysfunkcia, hepatitída alebo zlyhanie pečene, vrátane smrteľných prípadov. U pediatrických pacientov vo veku &lt; 1 rok môže byť tendencia k poškodeniu pečene vyššia (pozri ča</w:t>
      </w:r>
      <w:r w:rsidR="0001416F" w:rsidRPr="00D369C9">
        <w:rPr>
          <w:sz w:val="22"/>
          <w:szCs w:val="22"/>
          <w:lang w:val="sk-SK"/>
        </w:rPr>
        <w:t>sť 4.8).</w:t>
      </w:r>
    </w:p>
    <w:p w14:paraId="7E4D6D07" w14:textId="77777777" w:rsidR="0001416F" w:rsidRPr="00D369C9" w:rsidRDefault="0001416F" w:rsidP="0001416F">
      <w:pPr>
        <w:pStyle w:val="Default"/>
        <w:jc w:val="both"/>
        <w:rPr>
          <w:sz w:val="22"/>
          <w:szCs w:val="22"/>
          <w:lang w:val="sk-SK"/>
        </w:rPr>
      </w:pPr>
    </w:p>
    <w:p w14:paraId="7B5CAD89" w14:textId="77777777" w:rsidR="00386B19" w:rsidRPr="00D369C9" w:rsidRDefault="00386B19" w:rsidP="0001416F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u w:val="single"/>
          <w:lang w:val="sk-SK"/>
        </w:rPr>
        <w:t>Anafylaktické</w:t>
      </w:r>
      <w:proofErr w:type="spellEnd"/>
      <w:r w:rsidRPr="00D369C9">
        <w:rPr>
          <w:sz w:val="22"/>
          <w:szCs w:val="22"/>
          <w:u w:val="single"/>
          <w:lang w:val="sk-SK"/>
        </w:rPr>
        <w:t xml:space="preserve"> reakcie</w:t>
      </w:r>
    </w:p>
    <w:p w14:paraId="2D7A54AF" w14:textId="77777777" w:rsidR="00386B19" w:rsidRPr="00D369C9" w:rsidRDefault="00386B19" w:rsidP="0001416F">
      <w:pPr>
        <w:ind w:left="0" w:firstLine="0"/>
        <w:jc w:val="both"/>
        <w:rPr>
          <w:szCs w:val="22"/>
        </w:rPr>
      </w:pPr>
      <w:r w:rsidRPr="00D369C9">
        <w:rPr>
          <w:szCs w:val="22"/>
        </w:rPr>
        <w:t xml:space="preserve">Počas podávania mikafungínu sa môžu vyskytnúť </w:t>
      </w:r>
      <w:proofErr w:type="spellStart"/>
      <w:r w:rsidRPr="00D369C9">
        <w:rPr>
          <w:szCs w:val="22"/>
        </w:rPr>
        <w:t>anafylaktické</w:t>
      </w:r>
      <w:proofErr w:type="spellEnd"/>
      <w:r w:rsidRPr="00D369C9">
        <w:rPr>
          <w:szCs w:val="22"/>
        </w:rPr>
        <w:t>/</w:t>
      </w:r>
      <w:proofErr w:type="spellStart"/>
      <w:r w:rsidRPr="00D369C9">
        <w:rPr>
          <w:szCs w:val="22"/>
        </w:rPr>
        <w:t>anafylaktoidné</w:t>
      </w:r>
      <w:proofErr w:type="spellEnd"/>
      <w:r w:rsidRPr="00D369C9">
        <w:rPr>
          <w:szCs w:val="22"/>
        </w:rPr>
        <w:t xml:space="preserve"> reakcie, vrátane šoku. Ak sa takéto reakcie objavia, má sa prerušiť infúzia s </w:t>
      </w:r>
      <w:proofErr w:type="spellStart"/>
      <w:r w:rsidRPr="00D369C9">
        <w:rPr>
          <w:szCs w:val="22"/>
        </w:rPr>
        <w:t>mikafungínom</w:t>
      </w:r>
      <w:proofErr w:type="spellEnd"/>
      <w:r w:rsidRPr="00D369C9">
        <w:rPr>
          <w:szCs w:val="22"/>
        </w:rPr>
        <w:t xml:space="preserve"> a poskytnúť náležitá liečba.</w:t>
      </w:r>
    </w:p>
    <w:p w14:paraId="490F976A" w14:textId="77777777" w:rsidR="00386B19" w:rsidRPr="00D369C9" w:rsidRDefault="00386B19" w:rsidP="0001416F">
      <w:pPr>
        <w:jc w:val="both"/>
        <w:rPr>
          <w:szCs w:val="22"/>
        </w:rPr>
      </w:pPr>
    </w:p>
    <w:p w14:paraId="76308F2D" w14:textId="77777777" w:rsidR="00386B19" w:rsidRPr="00D369C9" w:rsidRDefault="00386B19" w:rsidP="0001416F">
      <w:pPr>
        <w:pStyle w:val="Default"/>
        <w:jc w:val="both"/>
        <w:rPr>
          <w:lang w:val="sk-SK"/>
        </w:rPr>
      </w:pPr>
      <w:r w:rsidRPr="00D369C9">
        <w:rPr>
          <w:sz w:val="22"/>
          <w:szCs w:val="22"/>
          <w:u w:val="single"/>
          <w:lang w:val="sk-SK"/>
        </w:rPr>
        <w:t>Kožné reakcie</w:t>
      </w:r>
    </w:p>
    <w:p w14:paraId="3FF1B11A" w14:textId="7C39E78D" w:rsidR="00386B19" w:rsidRPr="00D369C9" w:rsidRDefault="00386B19" w:rsidP="0001416F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Boli hlásené </w:t>
      </w:r>
      <w:proofErr w:type="spellStart"/>
      <w:r w:rsidRPr="00D369C9">
        <w:rPr>
          <w:sz w:val="22"/>
          <w:szCs w:val="22"/>
          <w:lang w:val="sk-SK"/>
        </w:rPr>
        <w:t>exfoliatívne</w:t>
      </w:r>
      <w:proofErr w:type="spellEnd"/>
      <w:r w:rsidRPr="00D369C9">
        <w:rPr>
          <w:sz w:val="22"/>
          <w:szCs w:val="22"/>
          <w:lang w:val="sk-SK"/>
        </w:rPr>
        <w:t xml:space="preserve"> kožné reakcie, ako je </w:t>
      </w:r>
      <w:proofErr w:type="spellStart"/>
      <w:r w:rsidRPr="00D369C9">
        <w:rPr>
          <w:sz w:val="22"/>
          <w:szCs w:val="22"/>
          <w:lang w:val="sk-SK"/>
        </w:rPr>
        <w:t>Stevensov-Johnsonov</w:t>
      </w:r>
      <w:proofErr w:type="spellEnd"/>
      <w:r w:rsidRPr="00D369C9">
        <w:rPr>
          <w:sz w:val="22"/>
          <w:szCs w:val="22"/>
          <w:lang w:val="sk-SK"/>
        </w:rPr>
        <w:t xml:space="preserve"> syndróm a toxická </w:t>
      </w:r>
      <w:proofErr w:type="spellStart"/>
      <w:r w:rsidRPr="00D369C9">
        <w:rPr>
          <w:sz w:val="22"/>
          <w:szCs w:val="22"/>
          <w:lang w:val="sk-SK"/>
        </w:rPr>
        <w:t>epidermálna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nekrolýza</w:t>
      </w:r>
      <w:proofErr w:type="spellEnd"/>
      <w:r w:rsidRPr="00D369C9">
        <w:rPr>
          <w:sz w:val="22"/>
          <w:szCs w:val="22"/>
          <w:lang w:val="sk-SK"/>
        </w:rPr>
        <w:t>. Ak sa u</w:t>
      </w:r>
      <w:r w:rsidR="00B73FDE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pacien</w:t>
      </w:r>
      <w:r w:rsidR="00B73FDE">
        <w:rPr>
          <w:sz w:val="22"/>
          <w:szCs w:val="22"/>
          <w:lang w:val="sk-SK"/>
        </w:rPr>
        <w:t>ta</w:t>
      </w:r>
      <w:r w:rsidRPr="00D369C9">
        <w:rPr>
          <w:sz w:val="22"/>
          <w:szCs w:val="22"/>
          <w:lang w:val="sk-SK"/>
        </w:rPr>
        <w:t xml:space="preserve"> objavia vyrážky, m</w:t>
      </w:r>
      <w:r w:rsidR="002F1444">
        <w:rPr>
          <w:sz w:val="22"/>
          <w:szCs w:val="22"/>
          <w:lang w:val="sk-SK"/>
        </w:rPr>
        <w:t>á</w:t>
      </w:r>
      <w:r w:rsidRPr="00D369C9">
        <w:rPr>
          <w:sz w:val="22"/>
          <w:szCs w:val="22"/>
          <w:lang w:val="sk-SK"/>
        </w:rPr>
        <w:t xml:space="preserve"> byť dôsledne sledov</w:t>
      </w:r>
      <w:r w:rsidR="002F1444">
        <w:rPr>
          <w:sz w:val="22"/>
          <w:szCs w:val="22"/>
          <w:lang w:val="sk-SK"/>
        </w:rPr>
        <w:t>aný</w:t>
      </w:r>
      <w:r w:rsidRPr="00D369C9">
        <w:rPr>
          <w:sz w:val="22"/>
          <w:szCs w:val="22"/>
          <w:lang w:val="sk-SK"/>
        </w:rPr>
        <w:t xml:space="preserve"> a pri progresii lézií sa má</w:t>
      </w:r>
      <w:r w:rsidR="0001416F" w:rsidRPr="00D369C9">
        <w:rPr>
          <w:sz w:val="22"/>
          <w:szCs w:val="22"/>
          <w:lang w:val="sk-SK"/>
        </w:rPr>
        <w:t xml:space="preserve"> podávanie mikafungínu ukončiť.</w:t>
      </w:r>
    </w:p>
    <w:p w14:paraId="362400BF" w14:textId="77777777" w:rsidR="0001416F" w:rsidRPr="00D369C9" w:rsidRDefault="0001416F" w:rsidP="0001416F">
      <w:pPr>
        <w:pStyle w:val="Default"/>
        <w:jc w:val="both"/>
        <w:rPr>
          <w:sz w:val="22"/>
          <w:szCs w:val="22"/>
          <w:lang w:val="sk-SK"/>
        </w:rPr>
      </w:pPr>
    </w:p>
    <w:p w14:paraId="1E3D721C" w14:textId="77777777" w:rsidR="00386B19" w:rsidRPr="00D369C9" w:rsidRDefault="00386B19" w:rsidP="0001416F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u w:val="single"/>
          <w:lang w:val="sk-SK"/>
        </w:rPr>
        <w:t>Hemolýza</w:t>
      </w:r>
      <w:proofErr w:type="spellEnd"/>
      <w:r w:rsidRPr="00D369C9">
        <w:rPr>
          <w:sz w:val="22"/>
          <w:szCs w:val="22"/>
          <w:u w:val="single"/>
          <w:lang w:val="sk-SK"/>
        </w:rPr>
        <w:t xml:space="preserve"> </w:t>
      </w:r>
    </w:p>
    <w:p w14:paraId="364F6407" w14:textId="5475138B" w:rsidR="00386B19" w:rsidRPr="00D369C9" w:rsidRDefault="00386B19" w:rsidP="0001416F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U pacientov liečených </w:t>
      </w:r>
      <w:proofErr w:type="spellStart"/>
      <w:r w:rsidRPr="00D369C9">
        <w:rPr>
          <w:sz w:val="22"/>
          <w:szCs w:val="22"/>
          <w:lang w:val="sk-SK"/>
        </w:rPr>
        <w:t>mikafungínom</w:t>
      </w:r>
      <w:proofErr w:type="spellEnd"/>
      <w:r w:rsidRPr="00D369C9">
        <w:rPr>
          <w:sz w:val="22"/>
          <w:szCs w:val="22"/>
          <w:lang w:val="sk-SK"/>
        </w:rPr>
        <w:t xml:space="preserve"> boli hlásené zriedkavé prípady </w:t>
      </w:r>
      <w:proofErr w:type="spellStart"/>
      <w:r w:rsidRPr="00D369C9">
        <w:rPr>
          <w:sz w:val="22"/>
          <w:szCs w:val="22"/>
          <w:lang w:val="sk-SK"/>
        </w:rPr>
        <w:t>hemolýzy</w:t>
      </w:r>
      <w:proofErr w:type="spellEnd"/>
      <w:r w:rsidRPr="00D369C9">
        <w:rPr>
          <w:sz w:val="22"/>
          <w:szCs w:val="22"/>
          <w:lang w:val="sk-SK"/>
        </w:rPr>
        <w:t xml:space="preserve">, vrátane akútnej </w:t>
      </w:r>
      <w:proofErr w:type="spellStart"/>
      <w:r w:rsidRPr="00D369C9">
        <w:rPr>
          <w:sz w:val="22"/>
          <w:szCs w:val="22"/>
          <w:lang w:val="sk-SK"/>
        </w:rPr>
        <w:t>intravaskulárnej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hemolýzy</w:t>
      </w:r>
      <w:proofErr w:type="spellEnd"/>
      <w:r w:rsidRPr="00D369C9">
        <w:rPr>
          <w:sz w:val="22"/>
          <w:szCs w:val="22"/>
          <w:lang w:val="sk-SK"/>
        </w:rPr>
        <w:t xml:space="preserve"> alebo </w:t>
      </w:r>
      <w:proofErr w:type="spellStart"/>
      <w:r w:rsidRPr="00D369C9">
        <w:rPr>
          <w:sz w:val="22"/>
          <w:szCs w:val="22"/>
          <w:lang w:val="sk-SK"/>
        </w:rPr>
        <w:t>hemolytickej</w:t>
      </w:r>
      <w:proofErr w:type="spellEnd"/>
      <w:r w:rsidRPr="00D369C9">
        <w:rPr>
          <w:sz w:val="22"/>
          <w:szCs w:val="22"/>
          <w:lang w:val="sk-SK"/>
        </w:rPr>
        <w:t xml:space="preserve"> anémie. Pacienti, u ktorých sa počas liečby </w:t>
      </w:r>
      <w:proofErr w:type="spellStart"/>
      <w:r w:rsidRPr="00D369C9">
        <w:rPr>
          <w:sz w:val="22"/>
          <w:szCs w:val="22"/>
          <w:lang w:val="sk-SK"/>
        </w:rPr>
        <w:t>mikafungínom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r w:rsidR="002F1444">
        <w:rPr>
          <w:sz w:val="22"/>
          <w:szCs w:val="22"/>
          <w:lang w:val="sk-SK"/>
        </w:rPr>
        <w:t>vy</w:t>
      </w:r>
      <w:r w:rsidRPr="00D369C9">
        <w:rPr>
          <w:sz w:val="22"/>
          <w:szCs w:val="22"/>
          <w:lang w:val="sk-SK"/>
        </w:rPr>
        <w:t xml:space="preserve">vinú laboratórne alebo klinické prejavy </w:t>
      </w:r>
      <w:proofErr w:type="spellStart"/>
      <w:r w:rsidRPr="00D369C9">
        <w:rPr>
          <w:sz w:val="22"/>
          <w:szCs w:val="22"/>
          <w:lang w:val="sk-SK"/>
        </w:rPr>
        <w:t>hemolýzy</w:t>
      </w:r>
      <w:proofErr w:type="spellEnd"/>
      <w:r w:rsidRPr="00D369C9">
        <w:rPr>
          <w:sz w:val="22"/>
          <w:szCs w:val="22"/>
          <w:lang w:val="sk-SK"/>
        </w:rPr>
        <w:t>, sa majú starostlivo sledovať, aby nedošlo k zhoršeniu stavu, a má sa zvážiť pomer rizika/prínosu pri pok</w:t>
      </w:r>
      <w:r w:rsidR="0001416F" w:rsidRPr="00D369C9">
        <w:rPr>
          <w:sz w:val="22"/>
          <w:szCs w:val="22"/>
          <w:lang w:val="sk-SK"/>
        </w:rPr>
        <w:t xml:space="preserve">račovaní v liečbe </w:t>
      </w:r>
      <w:proofErr w:type="spellStart"/>
      <w:r w:rsidR="0001416F" w:rsidRPr="00D369C9">
        <w:rPr>
          <w:sz w:val="22"/>
          <w:szCs w:val="22"/>
          <w:lang w:val="sk-SK"/>
        </w:rPr>
        <w:t>mikafungínom</w:t>
      </w:r>
      <w:proofErr w:type="spellEnd"/>
      <w:r w:rsidR="0001416F" w:rsidRPr="00D369C9">
        <w:rPr>
          <w:sz w:val="22"/>
          <w:szCs w:val="22"/>
          <w:lang w:val="sk-SK"/>
        </w:rPr>
        <w:t>.</w:t>
      </w:r>
    </w:p>
    <w:p w14:paraId="1EBD41CD" w14:textId="77777777" w:rsidR="0001416F" w:rsidRPr="00D369C9" w:rsidRDefault="0001416F" w:rsidP="0001416F">
      <w:pPr>
        <w:pStyle w:val="Default"/>
        <w:jc w:val="both"/>
        <w:rPr>
          <w:sz w:val="22"/>
          <w:szCs w:val="22"/>
          <w:lang w:val="sk-SK"/>
        </w:rPr>
      </w:pPr>
    </w:p>
    <w:p w14:paraId="5D922678" w14:textId="77777777" w:rsidR="00386B19" w:rsidRPr="00D369C9" w:rsidRDefault="00386B19" w:rsidP="0001416F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8501F3">
        <w:rPr>
          <w:sz w:val="22"/>
          <w:szCs w:val="22"/>
          <w:u w:val="single"/>
          <w:lang w:val="sk-SK"/>
        </w:rPr>
        <w:t>Renálne</w:t>
      </w:r>
      <w:proofErr w:type="spellEnd"/>
      <w:r w:rsidRPr="008501F3">
        <w:rPr>
          <w:sz w:val="22"/>
          <w:szCs w:val="22"/>
          <w:u w:val="single"/>
          <w:lang w:val="sk-SK"/>
        </w:rPr>
        <w:t xml:space="preserve"> účinky</w:t>
      </w:r>
    </w:p>
    <w:p w14:paraId="4ADAB0FF" w14:textId="77777777" w:rsidR="00386B19" w:rsidRPr="00D369C9" w:rsidRDefault="00386B19" w:rsidP="0001416F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môže spôsobiť problémy s obličkami, zlyhanie obličiek a</w:t>
      </w:r>
      <w:r w:rsidR="004E3D14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>výsledky testu funkcie obličiek mimo normy. Pacienti majú byť starostlivo sledovaní, aby nedošl</w:t>
      </w:r>
      <w:r w:rsidR="0001416F" w:rsidRPr="00D369C9">
        <w:rPr>
          <w:sz w:val="22"/>
          <w:szCs w:val="22"/>
          <w:lang w:val="sk-SK"/>
        </w:rPr>
        <w:t>o k zhoršeniu funkcie obličiek.</w:t>
      </w:r>
    </w:p>
    <w:p w14:paraId="42C4F397" w14:textId="77777777" w:rsidR="0001416F" w:rsidRPr="00D369C9" w:rsidRDefault="0001416F" w:rsidP="0001416F">
      <w:pPr>
        <w:pStyle w:val="Default"/>
        <w:jc w:val="both"/>
        <w:rPr>
          <w:sz w:val="22"/>
          <w:szCs w:val="22"/>
          <w:lang w:val="sk-SK"/>
        </w:rPr>
      </w:pPr>
    </w:p>
    <w:p w14:paraId="18C1B03D" w14:textId="77777777" w:rsidR="00386B19" w:rsidRPr="00D369C9" w:rsidRDefault="00386B19" w:rsidP="0001416F">
      <w:pPr>
        <w:pStyle w:val="Default"/>
        <w:jc w:val="both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Interakcie s inými liekmi</w:t>
      </w:r>
    </w:p>
    <w:p w14:paraId="5992D978" w14:textId="77777777" w:rsidR="0001416F" w:rsidRPr="00D369C9" w:rsidRDefault="0001416F" w:rsidP="0001416F">
      <w:pPr>
        <w:pStyle w:val="Default"/>
        <w:jc w:val="both"/>
        <w:rPr>
          <w:sz w:val="22"/>
          <w:szCs w:val="22"/>
          <w:lang w:val="sk-SK"/>
        </w:rPr>
      </w:pPr>
    </w:p>
    <w:p w14:paraId="71ADAB1B" w14:textId="77777777" w:rsidR="00386B19" w:rsidRPr="00D369C9" w:rsidRDefault="00386B19" w:rsidP="0001416F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Súbežné podávanie mikafungínu a </w:t>
      </w:r>
      <w:proofErr w:type="spellStart"/>
      <w:r w:rsidRPr="00D369C9">
        <w:rPr>
          <w:sz w:val="22"/>
          <w:szCs w:val="22"/>
          <w:lang w:val="sk-SK"/>
        </w:rPr>
        <w:t>amfotericín</w:t>
      </w:r>
      <w:proofErr w:type="spellEnd"/>
      <w:r w:rsidRPr="00D369C9">
        <w:rPr>
          <w:sz w:val="22"/>
          <w:szCs w:val="22"/>
          <w:lang w:val="sk-SK"/>
        </w:rPr>
        <w:t xml:space="preserve"> B </w:t>
      </w:r>
      <w:proofErr w:type="spellStart"/>
      <w:r w:rsidRPr="00D369C9">
        <w:rPr>
          <w:sz w:val="22"/>
          <w:szCs w:val="22"/>
          <w:lang w:val="sk-SK"/>
        </w:rPr>
        <w:t>deoxycholátu</w:t>
      </w:r>
      <w:proofErr w:type="spellEnd"/>
      <w:r w:rsidRPr="00D369C9">
        <w:rPr>
          <w:sz w:val="22"/>
          <w:szCs w:val="22"/>
          <w:lang w:val="sk-SK"/>
        </w:rPr>
        <w:t xml:space="preserve"> sa má použiť len vtedy, ak prínos jasne prevyšuje riziko, pričom sa má dôkladne sledovať toxicita </w:t>
      </w:r>
      <w:proofErr w:type="spellStart"/>
      <w:r w:rsidRPr="00D369C9">
        <w:rPr>
          <w:sz w:val="22"/>
          <w:szCs w:val="22"/>
          <w:lang w:val="sk-SK"/>
        </w:rPr>
        <w:t>amfotericín</w:t>
      </w:r>
      <w:proofErr w:type="spellEnd"/>
      <w:r w:rsidRPr="00D369C9">
        <w:rPr>
          <w:sz w:val="22"/>
          <w:szCs w:val="22"/>
          <w:lang w:val="sk-SK"/>
        </w:rPr>
        <w:t xml:space="preserve"> B </w:t>
      </w:r>
      <w:proofErr w:type="spellStart"/>
      <w:r w:rsidRPr="00D369C9">
        <w:rPr>
          <w:sz w:val="22"/>
          <w:szCs w:val="22"/>
          <w:lang w:val="sk-SK"/>
        </w:rPr>
        <w:t>d</w:t>
      </w:r>
      <w:r w:rsidR="0001416F" w:rsidRPr="00D369C9">
        <w:rPr>
          <w:sz w:val="22"/>
          <w:szCs w:val="22"/>
          <w:lang w:val="sk-SK"/>
        </w:rPr>
        <w:t>eoxycholátu</w:t>
      </w:r>
      <w:proofErr w:type="spellEnd"/>
      <w:r w:rsidR="0001416F" w:rsidRPr="00D369C9">
        <w:rPr>
          <w:sz w:val="22"/>
          <w:szCs w:val="22"/>
          <w:lang w:val="sk-SK"/>
        </w:rPr>
        <w:t xml:space="preserve"> (pozri časť 4.5).</w:t>
      </w:r>
    </w:p>
    <w:p w14:paraId="2E8A14D5" w14:textId="77777777" w:rsidR="0001416F" w:rsidRPr="00D369C9" w:rsidRDefault="0001416F" w:rsidP="0001416F">
      <w:pPr>
        <w:pStyle w:val="Default"/>
        <w:jc w:val="both"/>
        <w:rPr>
          <w:sz w:val="22"/>
          <w:szCs w:val="22"/>
          <w:lang w:val="sk-SK"/>
        </w:rPr>
      </w:pPr>
    </w:p>
    <w:p w14:paraId="024E0A1F" w14:textId="77777777" w:rsidR="00386B19" w:rsidRPr="00D369C9" w:rsidRDefault="00386B19" w:rsidP="0001416F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Pacienti liečení </w:t>
      </w:r>
      <w:proofErr w:type="spellStart"/>
      <w:r w:rsidRPr="00D369C9">
        <w:rPr>
          <w:sz w:val="22"/>
          <w:szCs w:val="22"/>
          <w:lang w:val="sk-SK"/>
        </w:rPr>
        <w:t>sirolimom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nifedipínom</w:t>
      </w:r>
      <w:proofErr w:type="spellEnd"/>
      <w:r w:rsidRPr="00D369C9">
        <w:rPr>
          <w:sz w:val="22"/>
          <w:szCs w:val="22"/>
          <w:lang w:val="sk-SK"/>
        </w:rPr>
        <w:t xml:space="preserve"> alebo </w:t>
      </w:r>
      <w:proofErr w:type="spellStart"/>
      <w:r w:rsidRPr="00D369C9">
        <w:rPr>
          <w:sz w:val="22"/>
          <w:szCs w:val="22"/>
          <w:lang w:val="sk-SK"/>
        </w:rPr>
        <w:t>itrakonazolom</w:t>
      </w:r>
      <w:proofErr w:type="spellEnd"/>
      <w:r w:rsidRPr="00D369C9">
        <w:rPr>
          <w:sz w:val="22"/>
          <w:szCs w:val="22"/>
          <w:lang w:val="sk-SK"/>
        </w:rPr>
        <w:t xml:space="preserve"> v kombinácii s </w:t>
      </w:r>
      <w:proofErr w:type="spellStart"/>
      <w:r w:rsidRPr="00D369C9">
        <w:rPr>
          <w:sz w:val="22"/>
          <w:szCs w:val="22"/>
          <w:lang w:val="sk-SK"/>
        </w:rPr>
        <w:t>mikafungínom</w:t>
      </w:r>
      <w:proofErr w:type="spellEnd"/>
      <w:r w:rsidRPr="00D369C9">
        <w:rPr>
          <w:sz w:val="22"/>
          <w:szCs w:val="22"/>
          <w:lang w:val="sk-SK"/>
        </w:rPr>
        <w:t xml:space="preserve"> musia byť monitorovaní pre toxicitu </w:t>
      </w:r>
      <w:proofErr w:type="spellStart"/>
      <w:r w:rsidRPr="00D369C9">
        <w:rPr>
          <w:sz w:val="22"/>
          <w:szCs w:val="22"/>
          <w:lang w:val="sk-SK"/>
        </w:rPr>
        <w:t>sirolimu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nifedipínu</w:t>
      </w:r>
      <w:proofErr w:type="spellEnd"/>
      <w:r w:rsidRPr="00D369C9">
        <w:rPr>
          <w:sz w:val="22"/>
          <w:szCs w:val="22"/>
          <w:lang w:val="sk-SK"/>
        </w:rPr>
        <w:t xml:space="preserve"> alebo </w:t>
      </w:r>
      <w:proofErr w:type="spellStart"/>
      <w:r w:rsidRPr="00D369C9">
        <w:rPr>
          <w:sz w:val="22"/>
          <w:szCs w:val="22"/>
          <w:lang w:val="sk-SK"/>
        </w:rPr>
        <w:t>itrakonazolu</w:t>
      </w:r>
      <w:proofErr w:type="spellEnd"/>
      <w:r w:rsidRPr="00D369C9">
        <w:rPr>
          <w:sz w:val="22"/>
          <w:szCs w:val="22"/>
          <w:lang w:val="sk-SK"/>
        </w:rPr>
        <w:t xml:space="preserve"> a dávkovanie </w:t>
      </w:r>
      <w:proofErr w:type="spellStart"/>
      <w:r w:rsidRPr="00D369C9">
        <w:rPr>
          <w:sz w:val="22"/>
          <w:szCs w:val="22"/>
          <w:lang w:val="sk-SK"/>
        </w:rPr>
        <w:t>sirolimu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nifedipínu</w:t>
      </w:r>
      <w:proofErr w:type="spellEnd"/>
      <w:r w:rsidRPr="00D369C9">
        <w:rPr>
          <w:sz w:val="22"/>
          <w:szCs w:val="22"/>
          <w:lang w:val="sk-SK"/>
        </w:rPr>
        <w:t xml:space="preserve"> alebo </w:t>
      </w:r>
      <w:proofErr w:type="spellStart"/>
      <w:r w:rsidRPr="00D369C9">
        <w:rPr>
          <w:sz w:val="22"/>
          <w:szCs w:val="22"/>
          <w:lang w:val="sk-SK"/>
        </w:rPr>
        <w:t>itrakonazolu</w:t>
      </w:r>
      <w:proofErr w:type="spellEnd"/>
      <w:r w:rsidRPr="00D369C9">
        <w:rPr>
          <w:sz w:val="22"/>
          <w:szCs w:val="22"/>
          <w:lang w:val="sk-SK"/>
        </w:rPr>
        <w:t xml:space="preserve"> sa má v prípade p</w:t>
      </w:r>
      <w:r w:rsidR="0001416F" w:rsidRPr="00D369C9">
        <w:rPr>
          <w:sz w:val="22"/>
          <w:szCs w:val="22"/>
          <w:lang w:val="sk-SK"/>
        </w:rPr>
        <w:t>otreby znížiť (pozri časť 4.5).</w:t>
      </w:r>
    </w:p>
    <w:p w14:paraId="06E6F978" w14:textId="77777777" w:rsidR="0001416F" w:rsidRPr="00D369C9" w:rsidRDefault="0001416F" w:rsidP="0001416F">
      <w:pPr>
        <w:pStyle w:val="Default"/>
        <w:jc w:val="both"/>
        <w:rPr>
          <w:sz w:val="22"/>
          <w:szCs w:val="22"/>
          <w:lang w:val="sk-SK"/>
        </w:rPr>
      </w:pPr>
    </w:p>
    <w:p w14:paraId="65FD1888" w14:textId="77777777" w:rsidR="00386B19" w:rsidRPr="00D369C9" w:rsidRDefault="00386B19" w:rsidP="0001416F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u w:val="single"/>
          <w:lang w:val="sk-SK"/>
        </w:rPr>
        <w:t>Pediatrická populácia</w:t>
      </w:r>
    </w:p>
    <w:p w14:paraId="39A3031F" w14:textId="77777777" w:rsidR="00386B19" w:rsidRPr="00D369C9" w:rsidRDefault="00386B19" w:rsidP="0001416F">
      <w:pPr>
        <w:ind w:left="0" w:firstLine="0"/>
        <w:jc w:val="both"/>
        <w:rPr>
          <w:szCs w:val="22"/>
        </w:rPr>
      </w:pPr>
      <w:proofErr w:type="spellStart"/>
      <w:r w:rsidRPr="00D369C9">
        <w:rPr>
          <w:szCs w:val="22"/>
        </w:rPr>
        <w:t>Incidencia</w:t>
      </w:r>
      <w:proofErr w:type="spellEnd"/>
      <w:r w:rsidRPr="00D369C9">
        <w:rPr>
          <w:szCs w:val="22"/>
        </w:rPr>
        <w:t xml:space="preserve"> niektorých nežiaducich reakcií bola vyššia u pediatrických pacientov ako u dospelých pacientov (pozri časť 4.8).</w:t>
      </w:r>
    </w:p>
    <w:p w14:paraId="3DBB9221" w14:textId="77777777" w:rsidR="0001416F" w:rsidRPr="00D369C9" w:rsidRDefault="0001416F" w:rsidP="0001416F">
      <w:pPr>
        <w:ind w:left="0" w:firstLine="0"/>
        <w:rPr>
          <w:szCs w:val="22"/>
        </w:rPr>
      </w:pPr>
    </w:p>
    <w:p w14:paraId="5FE1DBF8" w14:textId="77777777" w:rsidR="0001416F" w:rsidRPr="00D369C9" w:rsidRDefault="003D1767" w:rsidP="005C2BAB">
      <w:pPr>
        <w:ind w:left="0" w:firstLine="0"/>
        <w:jc w:val="both"/>
        <w:rPr>
          <w:szCs w:val="22"/>
        </w:rPr>
      </w:pPr>
      <w:r w:rsidRPr="00D369C9">
        <w:rPr>
          <w:szCs w:val="22"/>
          <w:u w:val="single"/>
        </w:rPr>
        <w:t>Pomocná látka so známym účinkom:</w:t>
      </w:r>
    </w:p>
    <w:p w14:paraId="76C0AD14" w14:textId="77777777" w:rsidR="003D1767" w:rsidRPr="00D369C9" w:rsidRDefault="003D1767" w:rsidP="005C2BAB">
      <w:pPr>
        <w:ind w:left="0" w:firstLine="0"/>
        <w:jc w:val="both"/>
        <w:rPr>
          <w:bCs/>
          <w:iCs/>
          <w:szCs w:val="22"/>
          <w:highlight w:val="yellow"/>
        </w:rPr>
      </w:pPr>
      <w:r w:rsidRPr="00D369C9">
        <w:rPr>
          <w:szCs w:val="22"/>
        </w:rPr>
        <w:t>Tento liek obsahuje menej ako 1 mmol sodíka (23 mg)</w:t>
      </w:r>
      <w:r w:rsidR="005C2BAB" w:rsidRPr="00D369C9">
        <w:rPr>
          <w:szCs w:val="22"/>
        </w:rPr>
        <w:t xml:space="preserve"> na dávku, </w:t>
      </w:r>
      <w:proofErr w:type="spellStart"/>
      <w:r w:rsidR="005C2BAB" w:rsidRPr="00D369C9">
        <w:rPr>
          <w:szCs w:val="22"/>
        </w:rPr>
        <w:t>t.j</w:t>
      </w:r>
      <w:proofErr w:type="spellEnd"/>
      <w:r w:rsidR="005C2BAB" w:rsidRPr="00D369C9">
        <w:rPr>
          <w:szCs w:val="22"/>
        </w:rPr>
        <w:t>. v podstate zanedbateľné množstvo sodíka.</w:t>
      </w:r>
    </w:p>
    <w:p w14:paraId="58BCDF5C" w14:textId="77777777" w:rsidR="00386B19" w:rsidRPr="00D369C9" w:rsidRDefault="00386B19" w:rsidP="00386B19">
      <w:pPr>
        <w:rPr>
          <w:szCs w:val="22"/>
        </w:rPr>
      </w:pPr>
    </w:p>
    <w:p w14:paraId="60D1B971" w14:textId="77777777" w:rsidR="00780926" w:rsidRPr="00D369C9" w:rsidRDefault="00386B19" w:rsidP="00E41B3F">
      <w:pPr>
        <w:rPr>
          <w:b/>
          <w:szCs w:val="22"/>
        </w:rPr>
      </w:pPr>
      <w:r w:rsidRPr="00D369C9">
        <w:rPr>
          <w:b/>
          <w:szCs w:val="22"/>
        </w:rPr>
        <w:t>4.5</w:t>
      </w:r>
      <w:r w:rsidRPr="00D369C9">
        <w:rPr>
          <w:b/>
          <w:szCs w:val="22"/>
        </w:rPr>
        <w:tab/>
        <w:t>Liekové a</w:t>
      </w:r>
      <w:r w:rsidR="00A236CF" w:rsidRPr="00D369C9">
        <w:rPr>
          <w:b/>
          <w:szCs w:val="22"/>
        </w:rPr>
        <w:t> </w:t>
      </w:r>
      <w:r w:rsidRPr="00D369C9">
        <w:rPr>
          <w:b/>
          <w:szCs w:val="22"/>
        </w:rPr>
        <w:t>iné interakcie</w:t>
      </w:r>
    </w:p>
    <w:p w14:paraId="68C408E7" w14:textId="77777777" w:rsidR="00780926" w:rsidRPr="00D369C9" w:rsidRDefault="00780926" w:rsidP="005C2BAB">
      <w:pPr>
        <w:jc w:val="both"/>
        <w:rPr>
          <w:szCs w:val="22"/>
        </w:rPr>
      </w:pPr>
    </w:p>
    <w:p w14:paraId="4396727D" w14:textId="77777777" w:rsidR="00386B19" w:rsidRPr="00D369C9" w:rsidRDefault="00386B19" w:rsidP="005C2BAB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má malý potenciál na interakciu s liekmi metabolizovanými p</w:t>
      </w:r>
      <w:r w:rsidR="005C2BAB" w:rsidRPr="00D369C9">
        <w:rPr>
          <w:sz w:val="22"/>
          <w:szCs w:val="22"/>
          <w:lang w:val="sk-SK"/>
        </w:rPr>
        <w:t xml:space="preserve">rostredníctvom </w:t>
      </w:r>
      <w:proofErr w:type="spellStart"/>
      <w:r w:rsidR="005C2BAB" w:rsidRPr="00D369C9">
        <w:rPr>
          <w:sz w:val="22"/>
          <w:szCs w:val="22"/>
          <w:lang w:val="sk-SK"/>
        </w:rPr>
        <w:t>izoenzýmu</w:t>
      </w:r>
      <w:proofErr w:type="spellEnd"/>
      <w:r w:rsidR="005C2BAB" w:rsidRPr="00D369C9">
        <w:rPr>
          <w:sz w:val="22"/>
          <w:szCs w:val="22"/>
          <w:lang w:val="sk-SK"/>
        </w:rPr>
        <w:t xml:space="preserve"> CYP3A.</w:t>
      </w:r>
    </w:p>
    <w:p w14:paraId="7DB306D0" w14:textId="77777777" w:rsidR="005C2BAB" w:rsidRPr="00D369C9" w:rsidRDefault="005C2BAB" w:rsidP="005C2BAB">
      <w:pPr>
        <w:pStyle w:val="Default"/>
        <w:jc w:val="both"/>
        <w:rPr>
          <w:sz w:val="22"/>
          <w:szCs w:val="22"/>
          <w:lang w:val="sk-SK"/>
        </w:rPr>
      </w:pPr>
    </w:p>
    <w:p w14:paraId="58195EDC" w14:textId="6261D2CF" w:rsidR="00386B19" w:rsidRPr="00D369C9" w:rsidRDefault="00386B19" w:rsidP="005C2BAB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Interakčné štúdie u zdravých dobrovoľníkov boli uskutočnené s cieľom zhodnotiť potenciál interakcie medzi </w:t>
      </w:r>
      <w:proofErr w:type="spellStart"/>
      <w:r w:rsidRPr="00D369C9">
        <w:rPr>
          <w:sz w:val="22"/>
          <w:szCs w:val="22"/>
          <w:lang w:val="sk-SK"/>
        </w:rPr>
        <w:t>mikafungínom</w:t>
      </w:r>
      <w:proofErr w:type="spellEnd"/>
      <w:r w:rsidRPr="00D369C9">
        <w:rPr>
          <w:sz w:val="22"/>
          <w:szCs w:val="22"/>
          <w:lang w:val="sk-SK"/>
        </w:rPr>
        <w:t xml:space="preserve"> a </w:t>
      </w:r>
      <w:proofErr w:type="spellStart"/>
      <w:r w:rsidRPr="00D369C9">
        <w:rPr>
          <w:sz w:val="22"/>
          <w:szCs w:val="22"/>
          <w:lang w:val="sk-SK"/>
        </w:rPr>
        <w:t>mykofenolát</w:t>
      </w:r>
      <w:r w:rsidR="001E5F62">
        <w:rPr>
          <w:sz w:val="22"/>
          <w:szCs w:val="22"/>
          <w:lang w:val="sk-SK"/>
        </w:rPr>
        <w:t>mofetil</w:t>
      </w:r>
      <w:r w:rsidRPr="00D369C9">
        <w:rPr>
          <w:sz w:val="22"/>
          <w:szCs w:val="22"/>
          <w:lang w:val="sk-SK"/>
        </w:rPr>
        <w:t>om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cyklosporínom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takrolimom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prednizolónom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sirolimom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nifedipínom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flukonazolom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ritonavirom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rifampicínom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itrakonazolom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vorikonazolom</w:t>
      </w:r>
      <w:proofErr w:type="spellEnd"/>
      <w:r w:rsidRPr="00D369C9">
        <w:rPr>
          <w:sz w:val="22"/>
          <w:szCs w:val="22"/>
          <w:lang w:val="sk-SK"/>
        </w:rPr>
        <w:t xml:space="preserve"> a </w:t>
      </w:r>
      <w:proofErr w:type="spellStart"/>
      <w:r w:rsidRPr="00D369C9">
        <w:rPr>
          <w:sz w:val="22"/>
          <w:szCs w:val="22"/>
          <w:lang w:val="sk-SK"/>
        </w:rPr>
        <w:t>amfotericínom</w:t>
      </w:r>
      <w:proofErr w:type="spellEnd"/>
      <w:r w:rsidRPr="00D369C9">
        <w:rPr>
          <w:sz w:val="22"/>
          <w:szCs w:val="22"/>
          <w:lang w:val="sk-SK"/>
        </w:rPr>
        <w:t xml:space="preserve"> B. Tieto štúdie nepriniesli údaje o zmene </w:t>
      </w:r>
      <w:proofErr w:type="spellStart"/>
      <w:r w:rsidRPr="00D369C9">
        <w:rPr>
          <w:sz w:val="22"/>
          <w:szCs w:val="22"/>
          <w:lang w:val="sk-SK"/>
        </w:rPr>
        <w:t>farmakokinetiky</w:t>
      </w:r>
      <w:proofErr w:type="spellEnd"/>
      <w:r w:rsidRPr="00D369C9">
        <w:rPr>
          <w:sz w:val="22"/>
          <w:szCs w:val="22"/>
          <w:lang w:val="sk-SK"/>
        </w:rPr>
        <w:t xml:space="preserve"> mikafungínu. Pri </w:t>
      </w:r>
      <w:proofErr w:type="spellStart"/>
      <w:r w:rsidRPr="00D369C9">
        <w:rPr>
          <w:sz w:val="22"/>
          <w:szCs w:val="22"/>
          <w:lang w:val="sk-SK"/>
        </w:rPr>
        <w:t>súbežom</w:t>
      </w:r>
      <w:proofErr w:type="spellEnd"/>
      <w:r w:rsidRPr="00D369C9">
        <w:rPr>
          <w:sz w:val="22"/>
          <w:szCs w:val="22"/>
          <w:lang w:val="sk-SK"/>
        </w:rPr>
        <w:t xml:space="preserve"> podávaní týchto liekov nie je potrebné upravovať dávkovanie mikafungínu. Pri podávaní mikafungínu sa mierne zvyšuje expozícia (AUC) </w:t>
      </w:r>
      <w:proofErr w:type="spellStart"/>
      <w:r w:rsidRPr="00D369C9">
        <w:rPr>
          <w:sz w:val="22"/>
          <w:szCs w:val="22"/>
          <w:lang w:val="sk-SK"/>
        </w:rPr>
        <w:t>itrakonazolu</w:t>
      </w:r>
      <w:proofErr w:type="spellEnd"/>
      <w:r w:rsidRPr="00D369C9">
        <w:rPr>
          <w:sz w:val="22"/>
          <w:szCs w:val="22"/>
          <w:lang w:val="sk-SK"/>
        </w:rPr>
        <w:t xml:space="preserve">, </w:t>
      </w:r>
      <w:proofErr w:type="spellStart"/>
      <w:r w:rsidRPr="00D369C9">
        <w:rPr>
          <w:sz w:val="22"/>
          <w:szCs w:val="22"/>
          <w:lang w:val="sk-SK"/>
        </w:rPr>
        <w:t>sirolimu</w:t>
      </w:r>
      <w:proofErr w:type="spellEnd"/>
      <w:r w:rsidRPr="00D369C9">
        <w:rPr>
          <w:sz w:val="22"/>
          <w:szCs w:val="22"/>
          <w:lang w:val="sk-SK"/>
        </w:rPr>
        <w:t xml:space="preserve"> a </w:t>
      </w:r>
      <w:proofErr w:type="spellStart"/>
      <w:r w:rsidRPr="00D369C9">
        <w:rPr>
          <w:sz w:val="22"/>
          <w:szCs w:val="22"/>
          <w:lang w:val="sk-SK"/>
        </w:rPr>
        <w:t>nifedipínu</w:t>
      </w:r>
      <w:proofErr w:type="spellEnd"/>
      <w:r w:rsidRPr="00D369C9">
        <w:rPr>
          <w:sz w:val="22"/>
          <w:szCs w:val="22"/>
          <w:lang w:val="sk-SK"/>
        </w:rPr>
        <w:t xml:space="preserve"> (22</w:t>
      </w:r>
      <w:r w:rsidR="001E5F62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>%, 21</w:t>
      </w:r>
      <w:r w:rsidR="001E5F62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% </w:t>
      </w:r>
      <w:r w:rsidR="005C2BAB" w:rsidRPr="00D369C9">
        <w:rPr>
          <w:sz w:val="22"/>
          <w:szCs w:val="22"/>
          <w:lang w:val="sk-SK"/>
        </w:rPr>
        <w:t>a</w:t>
      </w:r>
      <w:r w:rsidR="001E5F62">
        <w:rPr>
          <w:sz w:val="22"/>
          <w:szCs w:val="22"/>
          <w:lang w:val="sk-SK"/>
        </w:rPr>
        <w:t> </w:t>
      </w:r>
      <w:r w:rsidR="005C2BAB" w:rsidRPr="00D369C9">
        <w:rPr>
          <w:sz w:val="22"/>
          <w:szCs w:val="22"/>
          <w:lang w:val="sk-SK"/>
        </w:rPr>
        <w:t>18</w:t>
      </w:r>
      <w:r w:rsidR="001E5F62">
        <w:rPr>
          <w:sz w:val="22"/>
          <w:szCs w:val="22"/>
          <w:lang w:val="sk-SK"/>
        </w:rPr>
        <w:t xml:space="preserve"> </w:t>
      </w:r>
      <w:r w:rsidR="005C2BAB" w:rsidRPr="00D369C9">
        <w:rPr>
          <w:sz w:val="22"/>
          <w:szCs w:val="22"/>
          <w:lang w:val="sk-SK"/>
        </w:rPr>
        <w:t>% podľa uvedeného poradia).</w:t>
      </w:r>
    </w:p>
    <w:p w14:paraId="6058FD27" w14:textId="77777777" w:rsidR="005C2BAB" w:rsidRPr="00D369C9" w:rsidRDefault="005C2BAB" w:rsidP="005C2BAB">
      <w:pPr>
        <w:pStyle w:val="Default"/>
        <w:jc w:val="both"/>
        <w:rPr>
          <w:sz w:val="22"/>
          <w:szCs w:val="22"/>
          <w:lang w:val="sk-SK"/>
        </w:rPr>
      </w:pPr>
    </w:p>
    <w:p w14:paraId="50F4BC33" w14:textId="77777777" w:rsidR="00386B19" w:rsidRPr="00D369C9" w:rsidRDefault="00386B19" w:rsidP="005C2BAB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Súbežné podávanie mikafungínu a </w:t>
      </w:r>
      <w:proofErr w:type="spellStart"/>
      <w:r w:rsidRPr="00D369C9">
        <w:rPr>
          <w:sz w:val="22"/>
          <w:szCs w:val="22"/>
          <w:lang w:val="sk-SK"/>
        </w:rPr>
        <w:t>amfotericín</w:t>
      </w:r>
      <w:proofErr w:type="spellEnd"/>
      <w:r w:rsidRPr="00D369C9">
        <w:rPr>
          <w:sz w:val="22"/>
          <w:szCs w:val="22"/>
          <w:lang w:val="sk-SK"/>
        </w:rPr>
        <w:t xml:space="preserve"> B </w:t>
      </w:r>
      <w:proofErr w:type="spellStart"/>
      <w:r w:rsidRPr="00D369C9">
        <w:rPr>
          <w:sz w:val="22"/>
          <w:szCs w:val="22"/>
          <w:lang w:val="sk-SK"/>
        </w:rPr>
        <w:t>deoxycholátu</w:t>
      </w:r>
      <w:proofErr w:type="spellEnd"/>
      <w:r w:rsidRPr="00D369C9">
        <w:rPr>
          <w:sz w:val="22"/>
          <w:szCs w:val="22"/>
          <w:lang w:val="sk-SK"/>
        </w:rPr>
        <w:t xml:space="preserve"> bolo spojené s 30 % zvýšením expozície </w:t>
      </w:r>
      <w:proofErr w:type="spellStart"/>
      <w:r w:rsidRPr="00D369C9">
        <w:rPr>
          <w:sz w:val="22"/>
          <w:szCs w:val="22"/>
          <w:lang w:val="sk-SK"/>
        </w:rPr>
        <w:t>amfotericín</w:t>
      </w:r>
      <w:proofErr w:type="spellEnd"/>
      <w:r w:rsidRPr="00D369C9">
        <w:rPr>
          <w:sz w:val="22"/>
          <w:szCs w:val="22"/>
          <w:lang w:val="sk-SK"/>
        </w:rPr>
        <w:t xml:space="preserve"> B </w:t>
      </w:r>
      <w:proofErr w:type="spellStart"/>
      <w:r w:rsidRPr="00D369C9">
        <w:rPr>
          <w:sz w:val="22"/>
          <w:szCs w:val="22"/>
          <w:lang w:val="sk-SK"/>
        </w:rPr>
        <w:t>deoxycholátu</w:t>
      </w:r>
      <w:proofErr w:type="spellEnd"/>
      <w:r w:rsidRPr="00D369C9">
        <w:rPr>
          <w:sz w:val="22"/>
          <w:szCs w:val="22"/>
          <w:lang w:val="sk-SK"/>
        </w:rPr>
        <w:t xml:space="preserve">. Vzhľadom na možný klinický význam sa má súbežné podávanie použiť len vtedy, ak prínos jasne prevyšuje riziko, pričom sa má dôkladne sledovať toxicita </w:t>
      </w:r>
      <w:proofErr w:type="spellStart"/>
      <w:r w:rsidRPr="00D369C9">
        <w:rPr>
          <w:sz w:val="22"/>
          <w:szCs w:val="22"/>
          <w:lang w:val="sk-SK"/>
        </w:rPr>
        <w:t>amfotericín</w:t>
      </w:r>
      <w:proofErr w:type="spellEnd"/>
      <w:r w:rsidRPr="00D369C9">
        <w:rPr>
          <w:sz w:val="22"/>
          <w:szCs w:val="22"/>
          <w:lang w:val="sk-SK"/>
        </w:rPr>
        <w:t xml:space="preserve"> B</w:t>
      </w:r>
      <w:r w:rsidR="005C2BAB" w:rsidRPr="00D369C9">
        <w:rPr>
          <w:sz w:val="22"/>
          <w:szCs w:val="22"/>
          <w:lang w:val="sk-SK"/>
        </w:rPr>
        <w:t xml:space="preserve"> </w:t>
      </w:r>
      <w:proofErr w:type="spellStart"/>
      <w:r w:rsidR="005C2BAB" w:rsidRPr="00D369C9">
        <w:rPr>
          <w:sz w:val="22"/>
          <w:szCs w:val="22"/>
          <w:lang w:val="sk-SK"/>
        </w:rPr>
        <w:t>deoxycholátu</w:t>
      </w:r>
      <w:proofErr w:type="spellEnd"/>
      <w:r w:rsidR="005C2BAB" w:rsidRPr="00D369C9">
        <w:rPr>
          <w:sz w:val="22"/>
          <w:szCs w:val="22"/>
          <w:lang w:val="sk-SK"/>
        </w:rPr>
        <w:t xml:space="preserve"> (pozri časť 4.4).</w:t>
      </w:r>
    </w:p>
    <w:p w14:paraId="57E4D41B" w14:textId="77777777" w:rsidR="005C2BAB" w:rsidRPr="00D369C9" w:rsidRDefault="005C2BAB" w:rsidP="005C2BAB">
      <w:pPr>
        <w:pStyle w:val="Default"/>
        <w:jc w:val="both"/>
        <w:rPr>
          <w:sz w:val="22"/>
          <w:szCs w:val="22"/>
          <w:lang w:val="sk-SK"/>
        </w:rPr>
      </w:pPr>
    </w:p>
    <w:p w14:paraId="00A9F903" w14:textId="77777777" w:rsidR="00780926" w:rsidRPr="00D369C9" w:rsidRDefault="00386B19" w:rsidP="005C2BAB">
      <w:pPr>
        <w:ind w:left="0" w:firstLine="0"/>
        <w:jc w:val="both"/>
        <w:rPr>
          <w:szCs w:val="22"/>
        </w:rPr>
      </w:pPr>
      <w:r w:rsidRPr="00D369C9">
        <w:rPr>
          <w:szCs w:val="22"/>
        </w:rPr>
        <w:t xml:space="preserve">Pacienti liečení </w:t>
      </w:r>
      <w:proofErr w:type="spellStart"/>
      <w:r w:rsidRPr="00D369C9">
        <w:rPr>
          <w:szCs w:val="22"/>
        </w:rPr>
        <w:t>sirolimom</w:t>
      </w:r>
      <w:proofErr w:type="spellEnd"/>
      <w:r w:rsidRPr="00D369C9">
        <w:rPr>
          <w:szCs w:val="22"/>
        </w:rPr>
        <w:t xml:space="preserve">, </w:t>
      </w:r>
      <w:proofErr w:type="spellStart"/>
      <w:r w:rsidRPr="00D369C9">
        <w:rPr>
          <w:szCs w:val="22"/>
        </w:rPr>
        <w:t>nifedipínom</w:t>
      </w:r>
      <w:proofErr w:type="spellEnd"/>
      <w:r w:rsidRPr="00D369C9">
        <w:rPr>
          <w:szCs w:val="22"/>
        </w:rPr>
        <w:t xml:space="preserve"> alebo </w:t>
      </w:r>
      <w:proofErr w:type="spellStart"/>
      <w:r w:rsidRPr="00D369C9">
        <w:rPr>
          <w:szCs w:val="22"/>
        </w:rPr>
        <w:t>itrakonazolom</w:t>
      </w:r>
      <w:proofErr w:type="spellEnd"/>
      <w:r w:rsidRPr="00D369C9">
        <w:rPr>
          <w:szCs w:val="22"/>
        </w:rPr>
        <w:t xml:space="preserve"> v kombinácii s </w:t>
      </w:r>
      <w:proofErr w:type="spellStart"/>
      <w:r w:rsidRPr="00D369C9">
        <w:rPr>
          <w:szCs w:val="22"/>
        </w:rPr>
        <w:t>mikafungínom</w:t>
      </w:r>
      <w:proofErr w:type="spellEnd"/>
      <w:r w:rsidRPr="00D369C9">
        <w:rPr>
          <w:szCs w:val="22"/>
        </w:rPr>
        <w:t xml:space="preserve"> musia byť monitorovaní pre toxicitu </w:t>
      </w:r>
      <w:proofErr w:type="spellStart"/>
      <w:r w:rsidRPr="00D369C9">
        <w:rPr>
          <w:szCs w:val="22"/>
        </w:rPr>
        <w:t>sirolimu</w:t>
      </w:r>
      <w:proofErr w:type="spellEnd"/>
      <w:r w:rsidRPr="00D369C9">
        <w:rPr>
          <w:szCs w:val="22"/>
        </w:rPr>
        <w:t xml:space="preserve">, </w:t>
      </w:r>
      <w:proofErr w:type="spellStart"/>
      <w:r w:rsidRPr="00D369C9">
        <w:rPr>
          <w:szCs w:val="22"/>
        </w:rPr>
        <w:t>nifedipínu</w:t>
      </w:r>
      <w:proofErr w:type="spellEnd"/>
      <w:r w:rsidRPr="00D369C9">
        <w:rPr>
          <w:szCs w:val="22"/>
        </w:rPr>
        <w:t xml:space="preserve"> alebo </w:t>
      </w:r>
      <w:proofErr w:type="spellStart"/>
      <w:r w:rsidRPr="00D369C9">
        <w:rPr>
          <w:szCs w:val="22"/>
        </w:rPr>
        <w:t>itrakonazolu</w:t>
      </w:r>
      <w:proofErr w:type="spellEnd"/>
      <w:r w:rsidRPr="00D369C9">
        <w:rPr>
          <w:szCs w:val="22"/>
        </w:rPr>
        <w:t xml:space="preserve"> a dávkovanie </w:t>
      </w:r>
      <w:proofErr w:type="spellStart"/>
      <w:r w:rsidRPr="00D369C9">
        <w:rPr>
          <w:szCs w:val="22"/>
        </w:rPr>
        <w:t>sirolimu</w:t>
      </w:r>
      <w:proofErr w:type="spellEnd"/>
      <w:r w:rsidRPr="00D369C9">
        <w:rPr>
          <w:szCs w:val="22"/>
        </w:rPr>
        <w:t xml:space="preserve">, </w:t>
      </w:r>
      <w:proofErr w:type="spellStart"/>
      <w:r w:rsidRPr="00D369C9">
        <w:rPr>
          <w:szCs w:val="22"/>
        </w:rPr>
        <w:t>nifedipínu</w:t>
      </w:r>
      <w:proofErr w:type="spellEnd"/>
      <w:r w:rsidRPr="00D369C9">
        <w:rPr>
          <w:szCs w:val="22"/>
        </w:rPr>
        <w:t xml:space="preserve"> alebo </w:t>
      </w:r>
      <w:proofErr w:type="spellStart"/>
      <w:r w:rsidRPr="00D369C9">
        <w:rPr>
          <w:szCs w:val="22"/>
        </w:rPr>
        <w:t>itrakonazolu</w:t>
      </w:r>
      <w:proofErr w:type="spellEnd"/>
      <w:r w:rsidRPr="00D369C9">
        <w:rPr>
          <w:szCs w:val="22"/>
        </w:rPr>
        <w:t xml:space="preserve"> sa má v prípade potreby znížiť (pozri časť 4.4).</w:t>
      </w:r>
    </w:p>
    <w:p w14:paraId="13C29C78" w14:textId="77777777" w:rsidR="00386B19" w:rsidRPr="00D369C9" w:rsidRDefault="00386B19" w:rsidP="00386B19">
      <w:pPr>
        <w:rPr>
          <w:szCs w:val="22"/>
        </w:rPr>
      </w:pPr>
    </w:p>
    <w:p w14:paraId="2BF959CC" w14:textId="77777777" w:rsidR="00780926" w:rsidRPr="00D369C9" w:rsidRDefault="00386B19" w:rsidP="00E41B3F">
      <w:pPr>
        <w:rPr>
          <w:szCs w:val="22"/>
        </w:rPr>
      </w:pPr>
      <w:r w:rsidRPr="00D369C9">
        <w:rPr>
          <w:b/>
          <w:szCs w:val="22"/>
        </w:rPr>
        <w:t>4.6</w:t>
      </w:r>
      <w:r w:rsidRPr="00D369C9">
        <w:rPr>
          <w:b/>
          <w:szCs w:val="22"/>
        </w:rPr>
        <w:tab/>
      </w:r>
      <w:r w:rsidR="00E1698A" w:rsidRPr="00D369C9">
        <w:rPr>
          <w:b/>
          <w:noProof/>
          <w:szCs w:val="22"/>
        </w:rPr>
        <w:t>Fertilita, g</w:t>
      </w:r>
      <w:r w:rsidRPr="00D369C9">
        <w:rPr>
          <w:b/>
          <w:szCs w:val="22"/>
        </w:rPr>
        <w:t>ravidita a</w:t>
      </w:r>
      <w:r w:rsidR="00BD7004" w:rsidRPr="00D369C9">
        <w:rPr>
          <w:b/>
          <w:szCs w:val="22"/>
        </w:rPr>
        <w:t> </w:t>
      </w:r>
      <w:r w:rsidRPr="00D369C9">
        <w:rPr>
          <w:b/>
          <w:szCs w:val="22"/>
        </w:rPr>
        <w:t>laktácia</w:t>
      </w:r>
    </w:p>
    <w:p w14:paraId="17F6C0EA" w14:textId="77777777" w:rsidR="00E1698A" w:rsidRPr="00D369C9" w:rsidRDefault="00E1698A" w:rsidP="005C2BAB">
      <w:pPr>
        <w:jc w:val="both"/>
      </w:pPr>
    </w:p>
    <w:p w14:paraId="70538C03" w14:textId="77777777" w:rsidR="00386B19" w:rsidRPr="00D369C9" w:rsidRDefault="00386B19" w:rsidP="005C2BAB">
      <w:pPr>
        <w:pStyle w:val="Default"/>
        <w:ind w:left="567" w:hanging="568"/>
        <w:jc w:val="both"/>
        <w:rPr>
          <w:lang w:val="sk-SK"/>
        </w:rPr>
      </w:pPr>
      <w:r w:rsidRPr="00D369C9">
        <w:rPr>
          <w:sz w:val="22"/>
          <w:szCs w:val="22"/>
          <w:u w:val="single"/>
          <w:lang w:val="sk-SK"/>
        </w:rPr>
        <w:t xml:space="preserve">Gravidita </w:t>
      </w:r>
    </w:p>
    <w:p w14:paraId="502F3DB9" w14:textId="5DE138C6" w:rsidR="00386B19" w:rsidRPr="00D369C9" w:rsidRDefault="00386B19" w:rsidP="005C2BAB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Nie sú k dispozícii údaje o použití mikafungínu u gravidných žien. V štúdiách na zvieratách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pre</w:t>
      </w:r>
      <w:r w:rsidR="008D1ACE">
        <w:rPr>
          <w:sz w:val="22"/>
          <w:szCs w:val="22"/>
          <w:lang w:val="sk-SK"/>
        </w:rPr>
        <w:t>chádzal</w:t>
      </w:r>
      <w:r w:rsidRPr="00D369C9">
        <w:rPr>
          <w:sz w:val="22"/>
          <w:szCs w:val="22"/>
          <w:lang w:val="sk-SK"/>
        </w:rPr>
        <w:t xml:space="preserve"> placentárnou bariérou a bola pozorovaná reprodukčná toxicita (pozri časť 5.3). Nie je zná</w:t>
      </w:r>
      <w:r w:rsidR="005C2BAB" w:rsidRPr="00D369C9">
        <w:rPr>
          <w:sz w:val="22"/>
          <w:szCs w:val="22"/>
          <w:lang w:val="sk-SK"/>
        </w:rPr>
        <w:t>me potenciálne riziko pre ľudí.</w:t>
      </w:r>
    </w:p>
    <w:p w14:paraId="3F5FB05C" w14:textId="244BDB26" w:rsidR="00386B19" w:rsidRPr="00D369C9" w:rsidRDefault="00F85745" w:rsidP="005C2BAB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lang w:val="sk-SK"/>
        </w:rPr>
        <w:t>Mi</w:t>
      </w:r>
      <w:r w:rsidR="007F544E">
        <w:rPr>
          <w:sz w:val="22"/>
          <w:szCs w:val="22"/>
          <w:lang w:val="sk-SK"/>
        </w:rPr>
        <w:t>kafungín</w:t>
      </w:r>
      <w:proofErr w:type="spellEnd"/>
      <w:r w:rsidR="00386B19" w:rsidRPr="00D369C9">
        <w:rPr>
          <w:sz w:val="22"/>
          <w:szCs w:val="22"/>
          <w:lang w:val="sk-SK"/>
        </w:rPr>
        <w:t xml:space="preserve"> má byť používaný počas gravidit</w:t>
      </w:r>
      <w:r w:rsidR="005C2BAB" w:rsidRPr="00D369C9">
        <w:rPr>
          <w:sz w:val="22"/>
          <w:szCs w:val="22"/>
          <w:lang w:val="sk-SK"/>
        </w:rPr>
        <w:t>y iba v nevyhnutných prípadoch.</w:t>
      </w:r>
    </w:p>
    <w:p w14:paraId="54FD7E35" w14:textId="77777777" w:rsidR="005C2BAB" w:rsidRPr="00D369C9" w:rsidRDefault="005C2BAB" w:rsidP="005C2BAB">
      <w:pPr>
        <w:pStyle w:val="Default"/>
        <w:jc w:val="both"/>
        <w:rPr>
          <w:sz w:val="22"/>
          <w:szCs w:val="22"/>
          <w:lang w:val="sk-SK"/>
        </w:rPr>
      </w:pPr>
    </w:p>
    <w:p w14:paraId="1BDF875B" w14:textId="77777777" w:rsidR="00386B19" w:rsidRPr="00D369C9" w:rsidRDefault="00386B19" w:rsidP="005C2BAB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u w:val="single"/>
          <w:lang w:val="sk-SK"/>
        </w:rPr>
        <w:t>Dojčenie</w:t>
      </w:r>
    </w:p>
    <w:p w14:paraId="69586833" w14:textId="474CF16E" w:rsidR="00386B19" w:rsidRPr="00D369C9" w:rsidRDefault="00386B19" w:rsidP="005C2BAB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Nie je známe, či sa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vylučuje do ľudského materského mlieka. Štúdie na zvieratách preukázali vylučovanie mikafungínu do materského mlieka. Pri rozhodovaní o tom, či </w:t>
      </w:r>
      <w:r w:rsidRPr="00D369C9">
        <w:rPr>
          <w:sz w:val="22"/>
          <w:szCs w:val="22"/>
          <w:lang w:val="sk-SK"/>
        </w:rPr>
        <w:lastRenderedPageBreak/>
        <w:t>pokračovať/</w:t>
      </w:r>
      <w:r w:rsidR="007C3AA6">
        <w:rPr>
          <w:sz w:val="22"/>
          <w:szCs w:val="22"/>
          <w:lang w:val="sk-SK"/>
        </w:rPr>
        <w:t>prerušiť dojčenie</w:t>
      </w:r>
      <w:r w:rsidRPr="00D369C9">
        <w:rPr>
          <w:sz w:val="22"/>
          <w:szCs w:val="22"/>
          <w:lang w:val="sk-SK"/>
        </w:rPr>
        <w:t>, alebo či pokračovať/</w:t>
      </w:r>
      <w:r w:rsidR="007C3AA6">
        <w:rPr>
          <w:sz w:val="22"/>
          <w:szCs w:val="22"/>
          <w:lang w:val="sk-SK"/>
        </w:rPr>
        <w:t xml:space="preserve">prerušiť liečbu  </w:t>
      </w:r>
      <w:proofErr w:type="spellStart"/>
      <w:r w:rsidR="007C3AA6">
        <w:rPr>
          <w:sz w:val="22"/>
          <w:szCs w:val="22"/>
          <w:lang w:val="sk-SK"/>
        </w:rPr>
        <w:t>mikafungínom</w:t>
      </w:r>
      <w:proofErr w:type="spellEnd"/>
      <w:r w:rsidRPr="00D369C9">
        <w:rPr>
          <w:sz w:val="22"/>
          <w:szCs w:val="22"/>
          <w:lang w:val="sk-SK"/>
        </w:rPr>
        <w:t xml:space="preserve">, sa musí zvážiť prínos dojčenia pre dieťa a prínos liečby </w:t>
      </w:r>
      <w:proofErr w:type="spellStart"/>
      <w:r w:rsidR="007C3AA6">
        <w:rPr>
          <w:sz w:val="22"/>
          <w:szCs w:val="22"/>
          <w:lang w:val="sk-SK"/>
        </w:rPr>
        <w:t>mikafungínom</w:t>
      </w:r>
      <w:proofErr w:type="spellEnd"/>
      <w:r w:rsidR="005C2BAB" w:rsidRPr="00D369C9">
        <w:rPr>
          <w:sz w:val="22"/>
          <w:szCs w:val="22"/>
          <w:lang w:val="sk-SK"/>
        </w:rPr>
        <w:t xml:space="preserve"> pre matku.</w:t>
      </w:r>
    </w:p>
    <w:p w14:paraId="14ED16B6" w14:textId="77777777" w:rsidR="00386B19" w:rsidRPr="00D369C9" w:rsidRDefault="00386B19" w:rsidP="005C2BAB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u w:val="single"/>
          <w:lang w:val="sk-SK"/>
        </w:rPr>
        <w:t>Fertilita</w:t>
      </w:r>
      <w:proofErr w:type="spellEnd"/>
    </w:p>
    <w:p w14:paraId="668D0D78" w14:textId="77777777" w:rsidR="005C2BAB" w:rsidRPr="00D369C9" w:rsidRDefault="005C2BAB" w:rsidP="005C2BAB">
      <w:pPr>
        <w:jc w:val="both"/>
        <w:rPr>
          <w:szCs w:val="22"/>
        </w:rPr>
      </w:pPr>
    </w:p>
    <w:p w14:paraId="4C4AAE21" w14:textId="77777777" w:rsidR="00780926" w:rsidRPr="00D369C9" w:rsidRDefault="00386B19" w:rsidP="005C2BAB">
      <w:pPr>
        <w:ind w:left="0" w:firstLine="0"/>
        <w:jc w:val="both"/>
        <w:rPr>
          <w:szCs w:val="22"/>
        </w:rPr>
      </w:pPr>
      <w:r w:rsidRPr="00D369C9">
        <w:rPr>
          <w:szCs w:val="22"/>
        </w:rPr>
        <w:t xml:space="preserve">V štúdiách na zvieratách bola pozorovaná </w:t>
      </w:r>
      <w:proofErr w:type="spellStart"/>
      <w:r w:rsidRPr="00D369C9">
        <w:rPr>
          <w:szCs w:val="22"/>
        </w:rPr>
        <w:t>testikulárna</w:t>
      </w:r>
      <w:proofErr w:type="spellEnd"/>
      <w:r w:rsidRPr="00D369C9">
        <w:rPr>
          <w:szCs w:val="22"/>
        </w:rPr>
        <w:t xml:space="preserve"> toxicita (pozri časť 5.3). </w:t>
      </w:r>
      <w:proofErr w:type="spellStart"/>
      <w:r w:rsidRPr="00D369C9">
        <w:rPr>
          <w:szCs w:val="22"/>
        </w:rPr>
        <w:t>Mikafungín</w:t>
      </w:r>
      <w:proofErr w:type="spellEnd"/>
      <w:r w:rsidRPr="00D369C9">
        <w:rPr>
          <w:szCs w:val="22"/>
        </w:rPr>
        <w:t xml:space="preserve"> môže potenciálne ovplyvniť mužskú </w:t>
      </w:r>
      <w:proofErr w:type="spellStart"/>
      <w:r w:rsidRPr="00D369C9">
        <w:rPr>
          <w:szCs w:val="22"/>
        </w:rPr>
        <w:t>fertilitu</w:t>
      </w:r>
      <w:proofErr w:type="spellEnd"/>
      <w:r w:rsidRPr="00D369C9">
        <w:rPr>
          <w:szCs w:val="22"/>
        </w:rPr>
        <w:t xml:space="preserve"> u ľudí.</w:t>
      </w:r>
    </w:p>
    <w:p w14:paraId="6806F34A" w14:textId="77777777" w:rsidR="00386B19" w:rsidRPr="00D369C9" w:rsidRDefault="00386B19" w:rsidP="00386B19">
      <w:pPr>
        <w:rPr>
          <w:szCs w:val="22"/>
        </w:rPr>
      </w:pPr>
    </w:p>
    <w:p w14:paraId="6DB04CC6" w14:textId="77777777" w:rsidR="00780926" w:rsidRPr="00D369C9" w:rsidRDefault="00386B19" w:rsidP="00E41B3F">
      <w:pPr>
        <w:rPr>
          <w:szCs w:val="22"/>
        </w:rPr>
      </w:pPr>
      <w:r w:rsidRPr="00D369C9">
        <w:rPr>
          <w:b/>
          <w:szCs w:val="22"/>
        </w:rPr>
        <w:t>4.7</w:t>
      </w:r>
      <w:r w:rsidRPr="00D369C9">
        <w:rPr>
          <w:b/>
          <w:szCs w:val="22"/>
        </w:rPr>
        <w:tab/>
        <w:t>Ovplyvnenie schopnosti viesť vozidlá a</w:t>
      </w:r>
      <w:r w:rsidR="00F9666C" w:rsidRPr="00D369C9">
        <w:rPr>
          <w:b/>
          <w:szCs w:val="22"/>
        </w:rPr>
        <w:t> </w:t>
      </w:r>
      <w:r w:rsidRPr="00D369C9">
        <w:rPr>
          <w:b/>
          <w:szCs w:val="22"/>
        </w:rPr>
        <w:t>obsluhovať stroje</w:t>
      </w:r>
    </w:p>
    <w:p w14:paraId="1F7E418A" w14:textId="77777777" w:rsidR="00780926" w:rsidRPr="00D369C9" w:rsidRDefault="00780926" w:rsidP="00E41B3F">
      <w:pPr>
        <w:rPr>
          <w:szCs w:val="22"/>
        </w:rPr>
      </w:pPr>
    </w:p>
    <w:p w14:paraId="49A51D7B" w14:textId="6DD6EBCA" w:rsidR="00780926" w:rsidRPr="00D369C9" w:rsidRDefault="00386B19" w:rsidP="005C2BAB">
      <w:pPr>
        <w:ind w:left="0" w:firstLine="0"/>
        <w:jc w:val="both"/>
        <w:rPr>
          <w:szCs w:val="22"/>
        </w:rPr>
      </w:pPr>
      <w:proofErr w:type="spellStart"/>
      <w:r w:rsidRPr="00D369C9">
        <w:rPr>
          <w:szCs w:val="22"/>
        </w:rPr>
        <w:t>Mi</w:t>
      </w:r>
      <w:r w:rsidR="00CF45CA">
        <w:rPr>
          <w:szCs w:val="22"/>
        </w:rPr>
        <w:t>ka</w:t>
      </w:r>
      <w:r w:rsidRPr="00D369C9">
        <w:rPr>
          <w:szCs w:val="22"/>
        </w:rPr>
        <w:t>fungín</w:t>
      </w:r>
      <w:proofErr w:type="spellEnd"/>
      <w:r w:rsidRPr="00D369C9">
        <w:rPr>
          <w:szCs w:val="22"/>
        </w:rPr>
        <w:t xml:space="preserve"> nemá žiadny alebo má zanedbateľný vplyv na schopnosť viesť vozidlá a obsluhovať stroje. Pacienti však majú byť informovaní, že počas liečby </w:t>
      </w:r>
      <w:proofErr w:type="spellStart"/>
      <w:r w:rsidRPr="00D369C9">
        <w:rPr>
          <w:szCs w:val="22"/>
        </w:rPr>
        <w:t>mikafungínom</w:t>
      </w:r>
      <w:proofErr w:type="spellEnd"/>
      <w:r w:rsidRPr="00D369C9">
        <w:rPr>
          <w:szCs w:val="22"/>
        </w:rPr>
        <w:t xml:space="preserve"> boli hlásené závraty (pozri časť 4.8).</w:t>
      </w:r>
    </w:p>
    <w:p w14:paraId="5E68C30F" w14:textId="77777777" w:rsidR="00386B19" w:rsidRPr="00D369C9" w:rsidRDefault="00386B19" w:rsidP="00A75ECC">
      <w:pPr>
        <w:rPr>
          <w:szCs w:val="22"/>
        </w:rPr>
      </w:pPr>
    </w:p>
    <w:p w14:paraId="74100C4F" w14:textId="77777777" w:rsidR="00780926" w:rsidRPr="00D369C9" w:rsidRDefault="00386B19" w:rsidP="00D513D2">
      <w:pPr>
        <w:rPr>
          <w:b/>
          <w:szCs w:val="22"/>
        </w:rPr>
      </w:pPr>
      <w:r w:rsidRPr="00D369C9">
        <w:rPr>
          <w:b/>
          <w:szCs w:val="22"/>
        </w:rPr>
        <w:t>4.8</w:t>
      </w:r>
      <w:r w:rsidRPr="00D369C9">
        <w:rPr>
          <w:b/>
          <w:szCs w:val="22"/>
        </w:rPr>
        <w:tab/>
        <w:t>Nežiaduce účinky</w:t>
      </w:r>
    </w:p>
    <w:p w14:paraId="26B52830" w14:textId="77777777" w:rsidR="00780926" w:rsidRPr="00D369C9" w:rsidRDefault="00780926" w:rsidP="00D513D2"/>
    <w:p w14:paraId="0ED38C16" w14:textId="77777777" w:rsidR="00386B19" w:rsidRPr="00D369C9" w:rsidRDefault="00386B19" w:rsidP="00386B19">
      <w:pPr>
        <w:pStyle w:val="Default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Zhrnutie profilu bezpečnosti</w:t>
      </w:r>
    </w:p>
    <w:p w14:paraId="64B1E8E1" w14:textId="77777777" w:rsidR="00386B19" w:rsidRPr="00D369C9" w:rsidRDefault="00386B19" w:rsidP="00386B19">
      <w:pPr>
        <w:pStyle w:val="Default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Na základe skúseností z klinického skúšania sa nežiaduce účinky vyskytli celkovo u 32,2</w:t>
      </w:r>
      <w:r w:rsidR="00E62BB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% pacientov. Najčastejšie hlásenými nežiaducimi účinkami boli nauzea (2,8</w:t>
      </w:r>
      <w:r w:rsidR="00E62BB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%), zvýšená alkalická </w:t>
      </w:r>
      <w:proofErr w:type="spellStart"/>
      <w:r w:rsidRPr="00D369C9">
        <w:rPr>
          <w:sz w:val="22"/>
          <w:szCs w:val="22"/>
          <w:lang w:val="sk-SK"/>
        </w:rPr>
        <w:t>fosfatáza</w:t>
      </w:r>
      <w:proofErr w:type="spellEnd"/>
      <w:r w:rsidRPr="00D369C9">
        <w:rPr>
          <w:sz w:val="22"/>
          <w:szCs w:val="22"/>
          <w:lang w:val="sk-SK"/>
        </w:rPr>
        <w:t xml:space="preserve"> v krvi (2,7</w:t>
      </w:r>
      <w:r w:rsidR="00E62BB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%), </w:t>
      </w:r>
      <w:proofErr w:type="spellStart"/>
      <w:r w:rsidRPr="00D369C9">
        <w:rPr>
          <w:sz w:val="22"/>
          <w:szCs w:val="22"/>
          <w:lang w:val="sk-SK"/>
        </w:rPr>
        <w:t>flebitída</w:t>
      </w:r>
      <w:proofErr w:type="spellEnd"/>
      <w:r w:rsidRPr="00D369C9">
        <w:rPr>
          <w:sz w:val="22"/>
          <w:szCs w:val="22"/>
          <w:lang w:val="sk-SK"/>
        </w:rPr>
        <w:t xml:space="preserve"> (2,5</w:t>
      </w:r>
      <w:r w:rsidR="00E62BB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%, najmä u pacientov infikovaných HIV s periférnym </w:t>
      </w:r>
      <w:proofErr w:type="spellStart"/>
      <w:r w:rsidRPr="00D369C9">
        <w:rPr>
          <w:sz w:val="22"/>
          <w:szCs w:val="22"/>
          <w:lang w:val="sk-SK"/>
        </w:rPr>
        <w:t>venóznym</w:t>
      </w:r>
      <w:proofErr w:type="spellEnd"/>
      <w:r w:rsidRPr="00D369C9">
        <w:rPr>
          <w:sz w:val="22"/>
          <w:szCs w:val="22"/>
          <w:lang w:val="sk-SK"/>
        </w:rPr>
        <w:t xml:space="preserve"> prístupom), vracanie (2,5</w:t>
      </w:r>
      <w:r w:rsidR="00E62BB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%) a zvýšená </w:t>
      </w:r>
      <w:proofErr w:type="spellStart"/>
      <w:r w:rsidRPr="00D369C9">
        <w:rPr>
          <w:sz w:val="22"/>
          <w:szCs w:val="22"/>
          <w:lang w:val="sk-SK"/>
        </w:rPr>
        <w:t>a</w:t>
      </w:r>
      <w:r w:rsidR="00E62BB2" w:rsidRPr="00D369C9">
        <w:rPr>
          <w:sz w:val="22"/>
          <w:szCs w:val="22"/>
          <w:lang w:val="sk-SK"/>
        </w:rPr>
        <w:t>spartátaminotransferáza</w:t>
      </w:r>
      <w:proofErr w:type="spellEnd"/>
      <w:r w:rsidR="00E62BB2" w:rsidRPr="00D369C9">
        <w:rPr>
          <w:sz w:val="22"/>
          <w:szCs w:val="22"/>
          <w:lang w:val="sk-SK"/>
        </w:rPr>
        <w:t xml:space="preserve"> (2,3 %).</w:t>
      </w:r>
    </w:p>
    <w:p w14:paraId="183FE51E" w14:textId="77777777" w:rsidR="00E62BB2" w:rsidRPr="00D369C9" w:rsidRDefault="00E62BB2" w:rsidP="00386B19">
      <w:pPr>
        <w:pStyle w:val="Default"/>
        <w:rPr>
          <w:sz w:val="22"/>
          <w:szCs w:val="22"/>
          <w:lang w:val="sk-SK"/>
        </w:rPr>
      </w:pPr>
    </w:p>
    <w:p w14:paraId="66458085" w14:textId="77777777" w:rsidR="00386B19" w:rsidRPr="00D369C9" w:rsidRDefault="00386B19" w:rsidP="00386B19">
      <w:pPr>
        <w:pStyle w:val="Default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Zoznam nežiaducich účinkov vo forme tabuľky</w:t>
      </w:r>
    </w:p>
    <w:p w14:paraId="1360593E" w14:textId="77777777" w:rsidR="00780926" w:rsidRPr="00D369C9" w:rsidRDefault="00386B19" w:rsidP="00E62BB2">
      <w:pPr>
        <w:ind w:left="0" w:firstLine="0"/>
        <w:rPr>
          <w:szCs w:val="22"/>
        </w:rPr>
      </w:pPr>
      <w:r w:rsidRPr="00D369C9">
        <w:rPr>
          <w:szCs w:val="22"/>
        </w:rPr>
        <w:t xml:space="preserve">V nasledujúcej tabuľke sú uvedené nežiaduce účinky usporiadané podľa tried orgánových systémov a terminológie databázy </w:t>
      </w:r>
      <w:proofErr w:type="spellStart"/>
      <w:r w:rsidRPr="00D369C9">
        <w:rPr>
          <w:szCs w:val="22"/>
        </w:rPr>
        <w:t>MedDRA</w:t>
      </w:r>
      <w:proofErr w:type="spellEnd"/>
      <w:r w:rsidRPr="00D369C9">
        <w:rPr>
          <w:szCs w:val="22"/>
        </w:rPr>
        <w:t>. V rámci jednotlivých skupín frekvencií sú nežiaduce účinky usporiadané v poradí klesajúcej závažnosti.</w:t>
      </w:r>
    </w:p>
    <w:p w14:paraId="724C5AB7" w14:textId="77777777" w:rsidR="00E62BB2" w:rsidRPr="00D369C9" w:rsidRDefault="00E62BB2" w:rsidP="00E62BB2">
      <w:pPr>
        <w:ind w:left="0" w:firstLine="0"/>
        <w:rPr>
          <w:szCs w:val="22"/>
        </w:rPr>
      </w:pPr>
    </w:p>
    <w:tbl>
      <w:tblPr>
        <w:tblStyle w:val="Mriekatabu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790"/>
        <w:gridCol w:w="1719"/>
      </w:tblGrid>
      <w:tr w:rsidR="00A72726" w:rsidRPr="00D369C9" w14:paraId="21CFB831" w14:textId="77777777" w:rsidTr="0002279D">
        <w:trPr>
          <w:tblHeader/>
        </w:trPr>
        <w:tc>
          <w:tcPr>
            <w:tcW w:w="1701" w:type="dxa"/>
            <w:vAlign w:val="center"/>
          </w:tcPr>
          <w:p w14:paraId="76410B59" w14:textId="77777777" w:rsidR="00E62BB2" w:rsidRPr="00D369C9" w:rsidRDefault="00E62BB2" w:rsidP="0002279D">
            <w:pPr>
              <w:ind w:left="0" w:firstLine="0"/>
              <w:jc w:val="center"/>
              <w:rPr>
                <w:b/>
                <w:szCs w:val="22"/>
              </w:rPr>
            </w:pPr>
            <w:r w:rsidRPr="00D369C9">
              <w:rPr>
                <w:b/>
                <w:szCs w:val="22"/>
              </w:rPr>
              <w:t>Trieda orgánových systémov</w:t>
            </w:r>
          </w:p>
        </w:tc>
        <w:tc>
          <w:tcPr>
            <w:tcW w:w="1843" w:type="dxa"/>
            <w:vAlign w:val="center"/>
          </w:tcPr>
          <w:p w14:paraId="385D52B0" w14:textId="77777777" w:rsidR="00E62BB2" w:rsidRPr="00D369C9" w:rsidRDefault="00E62BB2" w:rsidP="0002279D">
            <w:pPr>
              <w:ind w:left="0" w:firstLine="0"/>
              <w:jc w:val="center"/>
              <w:rPr>
                <w:szCs w:val="22"/>
              </w:rPr>
            </w:pPr>
            <w:r w:rsidRPr="00D369C9">
              <w:rPr>
                <w:b/>
                <w:szCs w:val="22"/>
              </w:rPr>
              <w:t>Časté</w:t>
            </w:r>
          </w:p>
          <w:p w14:paraId="6F39FF6E" w14:textId="77777777" w:rsidR="00E62BB2" w:rsidRPr="00D369C9" w:rsidRDefault="00E62BB2" w:rsidP="0002279D">
            <w:pPr>
              <w:ind w:left="0" w:firstLine="0"/>
              <w:jc w:val="center"/>
              <w:rPr>
                <w:szCs w:val="22"/>
              </w:rPr>
            </w:pPr>
            <w:r w:rsidRPr="00D369C9">
              <w:rPr>
                <w:szCs w:val="22"/>
              </w:rPr>
              <w:t>≥ 1/100 až &lt; 1/10</w:t>
            </w:r>
          </w:p>
        </w:tc>
        <w:tc>
          <w:tcPr>
            <w:tcW w:w="2126" w:type="dxa"/>
            <w:vAlign w:val="center"/>
          </w:tcPr>
          <w:p w14:paraId="1F090278" w14:textId="77777777" w:rsidR="00E62BB2" w:rsidRPr="00D369C9" w:rsidRDefault="00E62BB2" w:rsidP="0002279D">
            <w:pPr>
              <w:ind w:left="0" w:firstLine="0"/>
              <w:jc w:val="center"/>
              <w:rPr>
                <w:szCs w:val="22"/>
              </w:rPr>
            </w:pPr>
            <w:r w:rsidRPr="00D369C9">
              <w:rPr>
                <w:b/>
                <w:szCs w:val="22"/>
              </w:rPr>
              <w:t>Menej časté</w:t>
            </w:r>
          </w:p>
          <w:p w14:paraId="37B07176" w14:textId="77777777" w:rsidR="00E62BB2" w:rsidRPr="00D369C9" w:rsidRDefault="00E62BB2" w:rsidP="0002279D">
            <w:pPr>
              <w:ind w:left="0" w:firstLine="0"/>
              <w:jc w:val="center"/>
              <w:rPr>
                <w:b/>
                <w:szCs w:val="22"/>
              </w:rPr>
            </w:pPr>
            <w:r w:rsidRPr="00D369C9">
              <w:rPr>
                <w:szCs w:val="22"/>
              </w:rPr>
              <w:t>≥ 1/1 000 až &lt; 1/100</w:t>
            </w:r>
          </w:p>
        </w:tc>
        <w:tc>
          <w:tcPr>
            <w:tcW w:w="1790" w:type="dxa"/>
            <w:vAlign w:val="center"/>
          </w:tcPr>
          <w:p w14:paraId="06FD9ABB" w14:textId="77777777" w:rsidR="00E62BB2" w:rsidRPr="00D369C9" w:rsidRDefault="00E62BB2" w:rsidP="0002279D">
            <w:pPr>
              <w:ind w:left="0" w:firstLine="0"/>
              <w:jc w:val="center"/>
              <w:rPr>
                <w:szCs w:val="22"/>
              </w:rPr>
            </w:pPr>
            <w:r w:rsidRPr="00D369C9">
              <w:rPr>
                <w:b/>
                <w:szCs w:val="22"/>
              </w:rPr>
              <w:t>Zriedkavé</w:t>
            </w:r>
          </w:p>
          <w:p w14:paraId="4A25A9C3" w14:textId="77777777" w:rsidR="00E62BB2" w:rsidRPr="00D369C9" w:rsidRDefault="00E62BB2" w:rsidP="0002279D">
            <w:pPr>
              <w:ind w:left="0" w:firstLine="0"/>
              <w:jc w:val="center"/>
              <w:rPr>
                <w:b/>
                <w:szCs w:val="22"/>
              </w:rPr>
            </w:pPr>
            <w:r w:rsidRPr="00D369C9">
              <w:rPr>
                <w:szCs w:val="22"/>
              </w:rPr>
              <w:t>≥ 1/10 000 až &lt; 1/1 000</w:t>
            </w:r>
          </w:p>
        </w:tc>
        <w:tc>
          <w:tcPr>
            <w:tcW w:w="1719" w:type="dxa"/>
            <w:vAlign w:val="center"/>
          </w:tcPr>
          <w:p w14:paraId="21EE6FAA" w14:textId="77777777" w:rsidR="00E62BB2" w:rsidRPr="00D369C9" w:rsidRDefault="00E62BB2" w:rsidP="0002279D">
            <w:pPr>
              <w:ind w:left="0" w:firstLine="0"/>
              <w:jc w:val="center"/>
              <w:rPr>
                <w:szCs w:val="22"/>
              </w:rPr>
            </w:pPr>
            <w:r w:rsidRPr="00D369C9">
              <w:rPr>
                <w:b/>
                <w:szCs w:val="22"/>
              </w:rPr>
              <w:t>Neznáme</w:t>
            </w:r>
          </w:p>
          <w:p w14:paraId="533E8DB8" w14:textId="77777777" w:rsidR="00E62BB2" w:rsidRPr="00D369C9" w:rsidRDefault="00E62BB2" w:rsidP="0002279D">
            <w:pPr>
              <w:ind w:left="0" w:firstLine="0"/>
              <w:jc w:val="center"/>
              <w:rPr>
                <w:szCs w:val="22"/>
              </w:rPr>
            </w:pPr>
            <w:r w:rsidRPr="00D369C9">
              <w:rPr>
                <w:szCs w:val="22"/>
              </w:rPr>
              <w:t>(frekvencia sa nedá odhadnúť z dostupných údajov)</w:t>
            </w:r>
          </w:p>
        </w:tc>
      </w:tr>
      <w:tr w:rsidR="00A72726" w:rsidRPr="00D369C9" w14:paraId="78A8CC7C" w14:textId="77777777" w:rsidTr="0002279D">
        <w:tc>
          <w:tcPr>
            <w:tcW w:w="1701" w:type="dxa"/>
          </w:tcPr>
          <w:p w14:paraId="38D9FC4E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Poruchy krvi a lymfatického systému</w:t>
            </w:r>
          </w:p>
        </w:tc>
        <w:tc>
          <w:tcPr>
            <w:tcW w:w="1843" w:type="dxa"/>
          </w:tcPr>
          <w:p w14:paraId="1DB10146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leukopénia</w:t>
            </w:r>
            <w:proofErr w:type="spellEnd"/>
            <w:r w:rsidRPr="00D369C9">
              <w:rPr>
                <w:szCs w:val="22"/>
              </w:rPr>
              <w:t xml:space="preserve">, </w:t>
            </w:r>
            <w:proofErr w:type="spellStart"/>
            <w:r w:rsidRPr="00D369C9">
              <w:rPr>
                <w:szCs w:val="22"/>
              </w:rPr>
              <w:t>neutropénia</w:t>
            </w:r>
            <w:proofErr w:type="spellEnd"/>
            <w:r w:rsidRPr="00D369C9">
              <w:rPr>
                <w:szCs w:val="22"/>
              </w:rPr>
              <w:t>, anémia</w:t>
            </w:r>
          </w:p>
        </w:tc>
        <w:tc>
          <w:tcPr>
            <w:tcW w:w="2126" w:type="dxa"/>
          </w:tcPr>
          <w:p w14:paraId="2A8A921A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pancytopénia</w:t>
            </w:r>
            <w:proofErr w:type="spellEnd"/>
            <w:r w:rsidRPr="00D369C9">
              <w:rPr>
                <w:szCs w:val="22"/>
              </w:rPr>
              <w:t xml:space="preserve">, </w:t>
            </w:r>
            <w:proofErr w:type="spellStart"/>
            <w:r w:rsidRPr="00D369C9">
              <w:rPr>
                <w:szCs w:val="22"/>
              </w:rPr>
              <w:t>trombocytopénia</w:t>
            </w:r>
            <w:proofErr w:type="spellEnd"/>
            <w:r w:rsidRPr="00D369C9">
              <w:rPr>
                <w:szCs w:val="22"/>
              </w:rPr>
              <w:t xml:space="preserve">, </w:t>
            </w:r>
            <w:proofErr w:type="spellStart"/>
            <w:r w:rsidRPr="00D369C9">
              <w:rPr>
                <w:szCs w:val="22"/>
              </w:rPr>
              <w:t>eozinofília</w:t>
            </w:r>
            <w:proofErr w:type="spellEnd"/>
            <w:r w:rsidRPr="00D369C9">
              <w:rPr>
                <w:szCs w:val="22"/>
              </w:rPr>
              <w:t xml:space="preserve">, </w:t>
            </w:r>
            <w:proofErr w:type="spellStart"/>
            <w:r w:rsidRPr="00D369C9">
              <w:rPr>
                <w:szCs w:val="22"/>
              </w:rPr>
              <w:t>hypoalbuminémia</w:t>
            </w:r>
            <w:proofErr w:type="spellEnd"/>
          </w:p>
        </w:tc>
        <w:tc>
          <w:tcPr>
            <w:tcW w:w="1790" w:type="dxa"/>
          </w:tcPr>
          <w:p w14:paraId="2113C7B7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hemolytická</w:t>
            </w:r>
            <w:proofErr w:type="spellEnd"/>
            <w:r w:rsidRPr="00D369C9">
              <w:rPr>
                <w:szCs w:val="22"/>
              </w:rPr>
              <w:t xml:space="preserve"> anémia, </w:t>
            </w:r>
            <w:proofErr w:type="spellStart"/>
            <w:r w:rsidRPr="00D369C9">
              <w:rPr>
                <w:szCs w:val="22"/>
              </w:rPr>
              <w:t>hemolýza</w:t>
            </w:r>
            <w:proofErr w:type="spellEnd"/>
            <w:r w:rsidRPr="00D369C9">
              <w:rPr>
                <w:szCs w:val="22"/>
              </w:rPr>
              <w:t xml:space="preserve"> (pozri časť 4.4)</w:t>
            </w:r>
          </w:p>
        </w:tc>
        <w:tc>
          <w:tcPr>
            <w:tcW w:w="1719" w:type="dxa"/>
          </w:tcPr>
          <w:p w14:paraId="0EE169E9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diseminovaná</w:t>
            </w:r>
            <w:proofErr w:type="spellEnd"/>
            <w:r w:rsidRPr="00D369C9">
              <w:rPr>
                <w:szCs w:val="22"/>
              </w:rPr>
              <w:t xml:space="preserve"> </w:t>
            </w:r>
            <w:proofErr w:type="spellStart"/>
            <w:r w:rsidRPr="00D369C9">
              <w:rPr>
                <w:szCs w:val="22"/>
              </w:rPr>
              <w:t>intravaskulárna</w:t>
            </w:r>
            <w:proofErr w:type="spellEnd"/>
            <w:r w:rsidRPr="00D369C9">
              <w:rPr>
                <w:szCs w:val="22"/>
              </w:rPr>
              <w:t xml:space="preserve"> koagulácia</w:t>
            </w:r>
          </w:p>
        </w:tc>
      </w:tr>
      <w:tr w:rsidR="00A72726" w:rsidRPr="00D369C9" w14:paraId="2CBA1D65" w14:textId="77777777" w:rsidTr="0002279D">
        <w:tc>
          <w:tcPr>
            <w:tcW w:w="1701" w:type="dxa"/>
          </w:tcPr>
          <w:p w14:paraId="7EB99DC4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Poruchy imunitného systému</w:t>
            </w:r>
          </w:p>
        </w:tc>
        <w:tc>
          <w:tcPr>
            <w:tcW w:w="1843" w:type="dxa"/>
          </w:tcPr>
          <w:p w14:paraId="31E6579F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2126" w:type="dxa"/>
          </w:tcPr>
          <w:p w14:paraId="6CBC4C7F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anafylaktická</w:t>
            </w:r>
            <w:proofErr w:type="spellEnd"/>
            <w:r w:rsidRPr="00D369C9">
              <w:rPr>
                <w:szCs w:val="22"/>
              </w:rPr>
              <w:t>/</w:t>
            </w:r>
          </w:p>
          <w:p w14:paraId="0ECF86E5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anafylaktoidná</w:t>
            </w:r>
            <w:proofErr w:type="spellEnd"/>
            <w:r w:rsidRPr="00D369C9">
              <w:rPr>
                <w:szCs w:val="22"/>
              </w:rPr>
              <w:t xml:space="preserve"> reakcia (pozri časť 4.4), </w:t>
            </w:r>
            <w:proofErr w:type="spellStart"/>
            <w:r w:rsidRPr="00D369C9">
              <w:rPr>
                <w:szCs w:val="22"/>
              </w:rPr>
              <w:t>hypersenzitivita</w:t>
            </w:r>
            <w:proofErr w:type="spellEnd"/>
          </w:p>
        </w:tc>
        <w:tc>
          <w:tcPr>
            <w:tcW w:w="1790" w:type="dxa"/>
          </w:tcPr>
          <w:p w14:paraId="4A76C240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490700E5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anafylaktický</w:t>
            </w:r>
            <w:proofErr w:type="spellEnd"/>
            <w:r w:rsidRPr="00D369C9">
              <w:rPr>
                <w:szCs w:val="22"/>
              </w:rPr>
              <w:t xml:space="preserve"> a </w:t>
            </w:r>
            <w:proofErr w:type="spellStart"/>
            <w:r w:rsidRPr="00D369C9">
              <w:rPr>
                <w:szCs w:val="22"/>
              </w:rPr>
              <w:t>anafylaktoidný</w:t>
            </w:r>
            <w:proofErr w:type="spellEnd"/>
            <w:r w:rsidRPr="00D369C9">
              <w:rPr>
                <w:szCs w:val="22"/>
              </w:rPr>
              <w:t xml:space="preserve"> šok (pozri časť 4.4)</w:t>
            </w:r>
          </w:p>
        </w:tc>
      </w:tr>
      <w:tr w:rsidR="00A72726" w:rsidRPr="00D369C9" w14:paraId="0AAB7032" w14:textId="77777777" w:rsidTr="0002279D">
        <w:tc>
          <w:tcPr>
            <w:tcW w:w="1701" w:type="dxa"/>
          </w:tcPr>
          <w:p w14:paraId="7B067B1D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Poruchy endokrinného systému</w:t>
            </w:r>
          </w:p>
        </w:tc>
        <w:tc>
          <w:tcPr>
            <w:tcW w:w="1843" w:type="dxa"/>
          </w:tcPr>
          <w:p w14:paraId="42ADF60E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2126" w:type="dxa"/>
          </w:tcPr>
          <w:p w14:paraId="26C54DEE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hyperhidróza</w:t>
            </w:r>
            <w:proofErr w:type="spellEnd"/>
          </w:p>
        </w:tc>
        <w:tc>
          <w:tcPr>
            <w:tcW w:w="1790" w:type="dxa"/>
          </w:tcPr>
          <w:p w14:paraId="7A4B6AF0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3A528454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</w:p>
        </w:tc>
      </w:tr>
      <w:tr w:rsidR="00A72726" w:rsidRPr="00D369C9" w14:paraId="07C4F781" w14:textId="77777777" w:rsidTr="0002279D">
        <w:tc>
          <w:tcPr>
            <w:tcW w:w="1701" w:type="dxa"/>
          </w:tcPr>
          <w:p w14:paraId="6DFBF44B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Poruchy metabolizmu a výživy</w:t>
            </w:r>
          </w:p>
        </w:tc>
        <w:tc>
          <w:tcPr>
            <w:tcW w:w="1843" w:type="dxa"/>
          </w:tcPr>
          <w:p w14:paraId="75D7E20B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hypokaliémia</w:t>
            </w:r>
            <w:proofErr w:type="spellEnd"/>
            <w:r w:rsidRPr="00D369C9">
              <w:rPr>
                <w:szCs w:val="22"/>
              </w:rPr>
              <w:t xml:space="preserve">, </w:t>
            </w:r>
            <w:proofErr w:type="spellStart"/>
            <w:r w:rsidRPr="00D369C9">
              <w:rPr>
                <w:szCs w:val="22"/>
              </w:rPr>
              <w:t>hypomagneziémia</w:t>
            </w:r>
            <w:proofErr w:type="spellEnd"/>
            <w:r w:rsidRPr="00D369C9">
              <w:rPr>
                <w:szCs w:val="22"/>
              </w:rPr>
              <w:t xml:space="preserve">, </w:t>
            </w:r>
            <w:proofErr w:type="spellStart"/>
            <w:r w:rsidRPr="00D369C9">
              <w:rPr>
                <w:szCs w:val="22"/>
              </w:rPr>
              <w:t>hypokalciémia</w:t>
            </w:r>
            <w:proofErr w:type="spellEnd"/>
          </w:p>
        </w:tc>
        <w:tc>
          <w:tcPr>
            <w:tcW w:w="2126" w:type="dxa"/>
          </w:tcPr>
          <w:p w14:paraId="7607C97D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hyponatriémia</w:t>
            </w:r>
            <w:proofErr w:type="spellEnd"/>
            <w:r w:rsidRPr="00D369C9">
              <w:rPr>
                <w:szCs w:val="22"/>
              </w:rPr>
              <w:t xml:space="preserve">, </w:t>
            </w:r>
            <w:proofErr w:type="spellStart"/>
            <w:r w:rsidRPr="00D369C9">
              <w:rPr>
                <w:szCs w:val="22"/>
              </w:rPr>
              <w:t>hyperkaliémia</w:t>
            </w:r>
            <w:proofErr w:type="spellEnd"/>
            <w:r w:rsidRPr="00D369C9">
              <w:rPr>
                <w:szCs w:val="22"/>
              </w:rPr>
              <w:t xml:space="preserve">, </w:t>
            </w:r>
            <w:proofErr w:type="spellStart"/>
            <w:r w:rsidRPr="00D369C9">
              <w:rPr>
                <w:szCs w:val="22"/>
              </w:rPr>
              <w:t>hypofosfatémia</w:t>
            </w:r>
            <w:proofErr w:type="spellEnd"/>
            <w:r w:rsidRPr="00D369C9">
              <w:rPr>
                <w:szCs w:val="22"/>
              </w:rPr>
              <w:t xml:space="preserve">, </w:t>
            </w:r>
            <w:proofErr w:type="spellStart"/>
            <w:r w:rsidRPr="00D369C9">
              <w:rPr>
                <w:szCs w:val="22"/>
              </w:rPr>
              <w:t>anorexia</w:t>
            </w:r>
            <w:proofErr w:type="spellEnd"/>
          </w:p>
        </w:tc>
        <w:tc>
          <w:tcPr>
            <w:tcW w:w="1790" w:type="dxa"/>
          </w:tcPr>
          <w:p w14:paraId="23C9A63D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09FB464F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</w:p>
        </w:tc>
      </w:tr>
      <w:tr w:rsidR="00A72726" w:rsidRPr="00D369C9" w14:paraId="6F5A133F" w14:textId="77777777" w:rsidTr="0002279D">
        <w:tc>
          <w:tcPr>
            <w:tcW w:w="1701" w:type="dxa"/>
          </w:tcPr>
          <w:p w14:paraId="2A57C92F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Psychiatrické poruchy</w:t>
            </w:r>
          </w:p>
        </w:tc>
        <w:tc>
          <w:tcPr>
            <w:tcW w:w="1843" w:type="dxa"/>
          </w:tcPr>
          <w:p w14:paraId="04CDE832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2126" w:type="dxa"/>
          </w:tcPr>
          <w:p w14:paraId="6A516AA7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insomnia</w:t>
            </w:r>
            <w:proofErr w:type="spellEnd"/>
            <w:r w:rsidRPr="00D369C9">
              <w:rPr>
                <w:szCs w:val="22"/>
              </w:rPr>
              <w:t>, úzkosť, zmätenosť</w:t>
            </w:r>
          </w:p>
        </w:tc>
        <w:tc>
          <w:tcPr>
            <w:tcW w:w="1790" w:type="dxa"/>
          </w:tcPr>
          <w:p w14:paraId="5075741D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44F46882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</w:p>
        </w:tc>
      </w:tr>
      <w:tr w:rsidR="00E62BB2" w:rsidRPr="00D369C9" w14:paraId="776741FB" w14:textId="77777777" w:rsidTr="0002279D">
        <w:tc>
          <w:tcPr>
            <w:tcW w:w="1701" w:type="dxa"/>
          </w:tcPr>
          <w:p w14:paraId="6DA157C9" w14:textId="77777777" w:rsidR="00E62BB2" w:rsidRPr="00D369C9" w:rsidRDefault="00A72726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Poruchy nervového systému</w:t>
            </w:r>
          </w:p>
        </w:tc>
        <w:tc>
          <w:tcPr>
            <w:tcW w:w="1843" w:type="dxa"/>
          </w:tcPr>
          <w:p w14:paraId="61B1BC9E" w14:textId="77777777" w:rsidR="00E62BB2" w:rsidRPr="00D369C9" w:rsidRDefault="00A72726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bolesť hlavy</w:t>
            </w:r>
          </w:p>
        </w:tc>
        <w:tc>
          <w:tcPr>
            <w:tcW w:w="2126" w:type="dxa"/>
          </w:tcPr>
          <w:p w14:paraId="7A9DEA50" w14:textId="77777777" w:rsidR="00E62BB2" w:rsidRPr="00D369C9" w:rsidRDefault="00A72726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somnolencia</w:t>
            </w:r>
            <w:proofErr w:type="spellEnd"/>
            <w:r w:rsidRPr="00D369C9">
              <w:rPr>
                <w:szCs w:val="22"/>
              </w:rPr>
              <w:t>, triaška, závraty, porucha vnímania chuti</w:t>
            </w:r>
          </w:p>
        </w:tc>
        <w:tc>
          <w:tcPr>
            <w:tcW w:w="1790" w:type="dxa"/>
          </w:tcPr>
          <w:p w14:paraId="1732F501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18EDD73F" w14:textId="77777777" w:rsidR="00E62BB2" w:rsidRPr="00D369C9" w:rsidRDefault="00E62BB2" w:rsidP="00E62BB2">
            <w:pPr>
              <w:ind w:left="0" w:firstLine="0"/>
              <w:rPr>
                <w:szCs w:val="22"/>
              </w:rPr>
            </w:pPr>
          </w:p>
        </w:tc>
      </w:tr>
      <w:tr w:rsidR="00A72726" w:rsidRPr="00D369C9" w14:paraId="1A2BE51B" w14:textId="77777777" w:rsidTr="0002279D">
        <w:tc>
          <w:tcPr>
            <w:tcW w:w="1701" w:type="dxa"/>
          </w:tcPr>
          <w:p w14:paraId="4F5B3FEE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Poruchy srdca a srdcovej činnosti</w:t>
            </w:r>
          </w:p>
        </w:tc>
        <w:tc>
          <w:tcPr>
            <w:tcW w:w="1843" w:type="dxa"/>
          </w:tcPr>
          <w:p w14:paraId="7AB07023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2126" w:type="dxa"/>
          </w:tcPr>
          <w:p w14:paraId="5DCAF762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tachykardia</w:t>
            </w:r>
            <w:proofErr w:type="spellEnd"/>
            <w:r w:rsidRPr="00D369C9">
              <w:rPr>
                <w:szCs w:val="22"/>
              </w:rPr>
              <w:t xml:space="preserve">, </w:t>
            </w:r>
            <w:proofErr w:type="spellStart"/>
            <w:r w:rsidRPr="00D369C9">
              <w:rPr>
                <w:szCs w:val="22"/>
              </w:rPr>
              <w:t>palpitácie</w:t>
            </w:r>
            <w:proofErr w:type="spellEnd"/>
            <w:r w:rsidRPr="00D369C9">
              <w:rPr>
                <w:szCs w:val="22"/>
              </w:rPr>
              <w:t>, bradykardia</w:t>
            </w:r>
          </w:p>
        </w:tc>
        <w:tc>
          <w:tcPr>
            <w:tcW w:w="1790" w:type="dxa"/>
          </w:tcPr>
          <w:p w14:paraId="4E81506E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51F76008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</w:p>
        </w:tc>
      </w:tr>
      <w:tr w:rsidR="00A72726" w:rsidRPr="00D369C9" w14:paraId="1371A704" w14:textId="77777777" w:rsidTr="0002279D">
        <w:tc>
          <w:tcPr>
            <w:tcW w:w="1701" w:type="dxa"/>
          </w:tcPr>
          <w:p w14:paraId="2100FA41" w14:textId="692094A0" w:rsidR="00A72726" w:rsidRPr="00D369C9" w:rsidRDefault="00606388" w:rsidP="00E62BB2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A72726" w:rsidRPr="00D369C9">
              <w:rPr>
                <w:szCs w:val="22"/>
              </w:rPr>
              <w:t>oruchy</w:t>
            </w:r>
            <w:r>
              <w:rPr>
                <w:szCs w:val="22"/>
              </w:rPr>
              <w:t xml:space="preserve"> ciev</w:t>
            </w:r>
          </w:p>
        </w:tc>
        <w:tc>
          <w:tcPr>
            <w:tcW w:w="1843" w:type="dxa"/>
          </w:tcPr>
          <w:p w14:paraId="3D8D40FE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flebitída</w:t>
            </w:r>
            <w:proofErr w:type="spellEnd"/>
          </w:p>
        </w:tc>
        <w:tc>
          <w:tcPr>
            <w:tcW w:w="2126" w:type="dxa"/>
          </w:tcPr>
          <w:p w14:paraId="6F031EA5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hypotenzia, hypertenzia, začervenanie</w:t>
            </w:r>
          </w:p>
        </w:tc>
        <w:tc>
          <w:tcPr>
            <w:tcW w:w="1790" w:type="dxa"/>
          </w:tcPr>
          <w:p w14:paraId="65BB9FFE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69F5BD72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šok</w:t>
            </w:r>
          </w:p>
        </w:tc>
      </w:tr>
      <w:tr w:rsidR="00A72726" w:rsidRPr="00D369C9" w14:paraId="7A5C9505" w14:textId="77777777" w:rsidTr="0002279D">
        <w:tc>
          <w:tcPr>
            <w:tcW w:w="1701" w:type="dxa"/>
          </w:tcPr>
          <w:p w14:paraId="0A210DD0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lastRenderedPageBreak/>
              <w:t xml:space="preserve">Poruchy dýchacej sústavy, hrudníka a </w:t>
            </w:r>
            <w:proofErr w:type="spellStart"/>
            <w:r w:rsidRPr="00D369C9">
              <w:rPr>
                <w:szCs w:val="22"/>
              </w:rPr>
              <w:t>mediastína</w:t>
            </w:r>
            <w:proofErr w:type="spellEnd"/>
            <w:r w:rsidRPr="00D369C9">
              <w:rPr>
                <w:szCs w:val="22"/>
              </w:rPr>
              <w:t xml:space="preserve">, </w:t>
            </w:r>
          </w:p>
        </w:tc>
        <w:tc>
          <w:tcPr>
            <w:tcW w:w="1843" w:type="dxa"/>
          </w:tcPr>
          <w:p w14:paraId="311B915F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2126" w:type="dxa"/>
          </w:tcPr>
          <w:p w14:paraId="09A4B4D1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dyspnoe</w:t>
            </w:r>
            <w:proofErr w:type="spellEnd"/>
          </w:p>
        </w:tc>
        <w:tc>
          <w:tcPr>
            <w:tcW w:w="1790" w:type="dxa"/>
          </w:tcPr>
          <w:p w14:paraId="0EB97E76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7D3521BF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</w:p>
        </w:tc>
      </w:tr>
      <w:tr w:rsidR="00A72726" w:rsidRPr="00D369C9" w14:paraId="14C99094" w14:textId="77777777" w:rsidTr="0002279D">
        <w:tc>
          <w:tcPr>
            <w:tcW w:w="1701" w:type="dxa"/>
          </w:tcPr>
          <w:p w14:paraId="4CCDCBBD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 xml:space="preserve">Poruchy </w:t>
            </w:r>
            <w:proofErr w:type="spellStart"/>
            <w:r w:rsidRPr="00D369C9">
              <w:rPr>
                <w:szCs w:val="22"/>
              </w:rPr>
              <w:t>gastrointesti</w:t>
            </w:r>
            <w:r w:rsidR="00606388">
              <w:rPr>
                <w:szCs w:val="22"/>
              </w:rPr>
              <w:t>-</w:t>
            </w:r>
            <w:r w:rsidRPr="00D369C9">
              <w:rPr>
                <w:szCs w:val="22"/>
              </w:rPr>
              <w:t>nálneho</w:t>
            </w:r>
            <w:proofErr w:type="spellEnd"/>
            <w:r w:rsidRPr="00D369C9">
              <w:rPr>
                <w:szCs w:val="22"/>
              </w:rPr>
              <w:t xml:space="preserve"> traktu</w:t>
            </w:r>
          </w:p>
        </w:tc>
        <w:tc>
          <w:tcPr>
            <w:tcW w:w="1843" w:type="dxa"/>
          </w:tcPr>
          <w:p w14:paraId="0E0DF34C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nauzea, vracanie, hnačka, bolesť brucha</w:t>
            </w:r>
          </w:p>
        </w:tc>
        <w:tc>
          <w:tcPr>
            <w:tcW w:w="2126" w:type="dxa"/>
          </w:tcPr>
          <w:p w14:paraId="483B51B9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  <w:proofErr w:type="spellStart"/>
            <w:r w:rsidRPr="00D369C9">
              <w:rPr>
                <w:szCs w:val="22"/>
              </w:rPr>
              <w:t>dyspepsia</w:t>
            </w:r>
            <w:proofErr w:type="spellEnd"/>
            <w:r w:rsidRPr="00D369C9">
              <w:rPr>
                <w:szCs w:val="22"/>
              </w:rPr>
              <w:t>, zápcha</w:t>
            </w:r>
          </w:p>
        </w:tc>
        <w:tc>
          <w:tcPr>
            <w:tcW w:w="1790" w:type="dxa"/>
          </w:tcPr>
          <w:p w14:paraId="26BAF901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6DEF6A2F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</w:p>
        </w:tc>
      </w:tr>
      <w:tr w:rsidR="00A72726" w:rsidRPr="00D369C9" w14:paraId="6025CDE1" w14:textId="77777777" w:rsidTr="0002279D">
        <w:tc>
          <w:tcPr>
            <w:tcW w:w="1701" w:type="dxa"/>
          </w:tcPr>
          <w:p w14:paraId="13BC28DA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Poruchy pečene a žlčových ciest</w:t>
            </w:r>
          </w:p>
        </w:tc>
        <w:tc>
          <w:tcPr>
            <w:tcW w:w="1843" w:type="dxa"/>
          </w:tcPr>
          <w:p w14:paraId="3477F7AE" w14:textId="77777777" w:rsidR="00A72726" w:rsidRPr="00D369C9" w:rsidRDefault="00A72726" w:rsidP="006604F7">
            <w:pPr>
              <w:pStyle w:val="Default"/>
              <w:rPr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zvýšená alkalická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fosfatáza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v krvi, zvýšená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aspartátamino-transferáza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, zvýšená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alanínamino-transferáza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, zvýšený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bilirubín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v krvi (vrátane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hyperbilirubi</w:t>
            </w:r>
            <w:r w:rsidR="00606388">
              <w:rPr>
                <w:sz w:val="22"/>
                <w:szCs w:val="22"/>
                <w:lang w:val="sk-SK"/>
              </w:rPr>
              <w:t>-</w:t>
            </w:r>
            <w:r w:rsidRPr="00D369C9">
              <w:rPr>
                <w:sz w:val="22"/>
                <w:szCs w:val="22"/>
                <w:lang w:val="sk-SK"/>
              </w:rPr>
              <w:t>némie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>), pečeňové funkčné testy mimo normy</w:t>
            </w:r>
          </w:p>
        </w:tc>
        <w:tc>
          <w:tcPr>
            <w:tcW w:w="2126" w:type="dxa"/>
          </w:tcPr>
          <w:p w14:paraId="7965A8CC" w14:textId="77777777" w:rsidR="00A72726" w:rsidRPr="00D369C9" w:rsidRDefault="006604F7" w:rsidP="006604F7">
            <w:pPr>
              <w:pStyle w:val="Default"/>
              <w:rPr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zlyhanie pečene (pozri časť 4.4), zvýšená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gamaglutamyltransfe-ráza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, žltačka,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cholestáza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hepatomegália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>, hepatitída</w:t>
            </w:r>
          </w:p>
        </w:tc>
        <w:tc>
          <w:tcPr>
            <w:tcW w:w="1790" w:type="dxa"/>
          </w:tcPr>
          <w:p w14:paraId="4C098B1A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252A3AFD" w14:textId="77777777" w:rsidR="00A72726" w:rsidRPr="00D369C9" w:rsidRDefault="006604F7" w:rsidP="006604F7">
            <w:pPr>
              <w:pStyle w:val="Default"/>
              <w:rPr>
                <w:szCs w:val="22"/>
                <w:lang w:val="sk-SK"/>
              </w:rPr>
            </w:pPr>
            <w:proofErr w:type="spellStart"/>
            <w:r w:rsidRPr="00D369C9">
              <w:rPr>
                <w:sz w:val="22"/>
                <w:szCs w:val="22"/>
                <w:lang w:val="sk-SK"/>
              </w:rPr>
              <w:t>hepatocelulárne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poškodenie, vrátane fatálnych prípadov (pozri časť 4.4)</w:t>
            </w:r>
          </w:p>
        </w:tc>
      </w:tr>
      <w:tr w:rsidR="00A72726" w:rsidRPr="00D369C9" w14:paraId="5E6E17C7" w14:textId="77777777" w:rsidTr="0002279D">
        <w:tc>
          <w:tcPr>
            <w:tcW w:w="1701" w:type="dxa"/>
          </w:tcPr>
          <w:p w14:paraId="25582601" w14:textId="77777777" w:rsidR="00A72726" w:rsidRPr="00D369C9" w:rsidRDefault="006604F7" w:rsidP="006604F7">
            <w:pPr>
              <w:pStyle w:val="Default"/>
              <w:rPr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843" w:type="dxa"/>
          </w:tcPr>
          <w:p w14:paraId="41B6B21B" w14:textId="77777777" w:rsidR="00A72726" w:rsidRPr="00D369C9" w:rsidRDefault="006604F7" w:rsidP="00E62BB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vyrážka</w:t>
            </w:r>
          </w:p>
        </w:tc>
        <w:tc>
          <w:tcPr>
            <w:tcW w:w="2126" w:type="dxa"/>
          </w:tcPr>
          <w:p w14:paraId="18DB8310" w14:textId="77777777" w:rsidR="00A72726" w:rsidRPr="00D369C9" w:rsidRDefault="006604F7" w:rsidP="006604F7">
            <w:pPr>
              <w:pStyle w:val="Default"/>
              <w:rPr>
                <w:szCs w:val="22"/>
                <w:lang w:val="sk-SK"/>
              </w:rPr>
            </w:pPr>
            <w:proofErr w:type="spellStart"/>
            <w:r w:rsidRPr="00D369C9">
              <w:rPr>
                <w:sz w:val="22"/>
                <w:szCs w:val="22"/>
                <w:lang w:val="sk-SK"/>
              </w:rPr>
              <w:t>urtikária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erytém</w:t>
            </w:r>
            <w:proofErr w:type="spellEnd"/>
          </w:p>
        </w:tc>
        <w:tc>
          <w:tcPr>
            <w:tcW w:w="1790" w:type="dxa"/>
          </w:tcPr>
          <w:p w14:paraId="383FBAB4" w14:textId="77777777" w:rsidR="00A72726" w:rsidRPr="00D369C9" w:rsidRDefault="00A72726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7FEA6693" w14:textId="77777777" w:rsidR="00A72726" w:rsidRPr="00D369C9" w:rsidRDefault="006604F7" w:rsidP="006604F7">
            <w:pPr>
              <w:pStyle w:val="Default"/>
              <w:rPr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toxická kožná vyrážka,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multiformný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erytém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Stevensov-Johnsonov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syndróm, toxická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epidermálna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nekrolýza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(pozri časť 4.4)</w:t>
            </w:r>
          </w:p>
        </w:tc>
      </w:tr>
      <w:tr w:rsidR="006604F7" w:rsidRPr="00D369C9" w14:paraId="0501D8DE" w14:textId="77777777" w:rsidTr="0002279D">
        <w:tc>
          <w:tcPr>
            <w:tcW w:w="1701" w:type="dxa"/>
          </w:tcPr>
          <w:p w14:paraId="4093093B" w14:textId="735229AD" w:rsidR="006604F7" w:rsidRPr="00D369C9" w:rsidRDefault="006604F7" w:rsidP="006604F7">
            <w:pPr>
              <w:pStyle w:val="Default"/>
              <w:rPr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>Poruchy obličiek a</w:t>
            </w:r>
            <w:r w:rsidR="005506A4">
              <w:rPr>
                <w:sz w:val="22"/>
                <w:szCs w:val="22"/>
                <w:lang w:val="sk-SK"/>
              </w:rPr>
              <w:t> </w:t>
            </w:r>
            <w:r w:rsidRPr="00D369C9">
              <w:rPr>
                <w:sz w:val="22"/>
                <w:szCs w:val="22"/>
                <w:lang w:val="sk-SK"/>
              </w:rPr>
              <w:t>močov</w:t>
            </w:r>
            <w:r w:rsidR="005506A4">
              <w:rPr>
                <w:sz w:val="22"/>
                <w:szCs w:val="22"/>
                <w:lang w:val="sk-SK"/>
              </w:rPr>
              <w:t>ých ciest</w:t>
            </w:r>
          </w:p>
        </w:tc>
        <w:tc>
          <w:tcPr>
            <w:tcW w:w="1843" w:type="dxa"/>
          </w:tcPr>
          <w:p w14:paraId="63D5F167" w14:textId="77777777" w:rsidR="006604F7" w:rsidRPr="00D369C9" w:rsidRDefault="006604F7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2126" w:type="dxa"/>
          </w:tcPr>
          <w:p w14:paraId="219AD583" w14:textId="77777777" w:rsidR="006604F7" w:rsidRPr="00D369C9" w:rsidRDefault="006604F7" w:rsidP="006604F7">
            <w:pPr>
              <w:pStyle w:val="Default"/>
              <w:rPr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zvýšený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kreatinín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v krvi, zvýšená močovina v krvi, zhoršenie obličkového zlyhávania</w:t>
            </w:r>
          </w:p>
        </w:tc>
        <w:tc>
          <w:tcPr>
            <w:tcW w:w="1790" w:type="dxa"/>
          </w:tcPr>
          <w:p w14:paraId="4BFDB4F1" w14:textId="77777777" w:rsidR="006604F7" w:rsidRPr="00D369C9" w:rsidRDefault="006604F7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5F135DC9" w14:textId="77777777" w:rsidR="006604F7" w:rsidRPr="00D369C9" w:rsidRDefault="006604F7" w:rsidP="006604F7">
            <w:pPr>
              <w:pStyle w:val="Default"/>
              <w:rPr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poškodenie obličiek (pozri časť 4.4), akútne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renálne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zlyhanie</w:t>
            </w:r>
          </w:p>
        </w:tc>
      </w:tr>
      <w:tr w:rsidR="006604F7" w:rsidRPr="00D369C9" w14:paraId="37B02626" w14:textId="77777777" w:rsidTr="0002279D">
        <w:tc>
          <w:tcPr>
            <w:tcW w:w="1701" w:type="dxa"/>
          </w:tcPr>
          <w:p w14:paraId="32E95EE4" w14:textId="77777777" w:rsidR="006604F7" w:rsidRPr="00D369C9" w:rsidRDefault="006604F7" w:rsidP="006604F7">
            <w:pPr>
              <w:pStyle w:val="Default"/>
              <w:rPr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1843" w:type="dxa"/>
          </w:tcPr>
          <w:p w14:paraId="3DEA2B0B" w14:textId="77777777" w:rsidR="006604F7" w:rsidRPr="00D369C9" w:rsidRDefault="006604F7" w:rsidP="006604F7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horúčka, zimnica</w:t>
            </w:r>
          </w:p>
        </w:tc>
        <w:tc>
          <w:tcPr>
            <w:tcW w:w="2126" w:type="dxa"/>
          </w:tcPr>
          <w:p w14:paraId="5B821325" w14:textId="6D955F68" w:rsidR="006604F7" w:rsidRPr="00D369C9" w:rsidRDefault="006604F7" w:rsidP="006604F7">
            <w:pPr>
              <w:pStyle w:val="Default"/>
              <w:rPr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>trombóza v</w:t>
            </w:r>
            <w:r w:rsidR="00D61191">
              <w:rPr>
                <w:sz w:val="22"/>
                <w:szCs w:val="22"/>
                <w:lang w:val="sk-SK"/>
              </w:rPr>
              <w:t> </w:t>
            </w:r>
            <w:r w:rsidRPr="00D369C9">
              <w:rPr>
                <w:sz w:val="22"/>
                <w:szCs w:val="22"/>
                <w:lang w:val="sk-SK"/>
              </w:rPr>
              <w:t>mieste</w:t>
            </w:r>
            <w:r w:rsidR="00D61191">
              <w:rPr>
                <w:sz w:val="22"/>
                <w:szCs w:val="22"/>
                <w:lang w:val="sk-SK"/>
              </w:rPr>
              <w:t xml:space="preserve"> podania injekcie</w:t>
            </w:r>
            <w:r w:rsidRPr="00D369C9">
              <w:rPr>
                <w:sz w:val="22"/>
                <w:szCs w:val="22"/>
                <w:lang w:val="sk-SK"/>
              </w:rPr>
              <w:t>, zápal v mieste podania infúzie, bolesť v mieste podania injekcie, periférny edém</w:t>
            </w:r>
          </w:p>
        </w:tc>
        <w:tc>
          <w:tcPr>
            <w:tcW w:w="1790" w:type="dxa"/>
          </w:tcPr>
          <w:p w14:paraId="28255D97" w14:textId="77777777" w:rsidR="006604F7" w:rsidRPr="00D369C9" w:rsidRDefault="006604F7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3C8439F4" w14:textId="77777777" w:rsidR="006604F7" w:rsidRPr="00D369C9" w:rsidRDefault="006604F7" w:rsidP="00E62BB2">
            <w:pPr>
              <w:ind w:left="0" w:firstLine="0"/>
              <w:rPr>
                <w:szCs w:val="22"/>
              </w:rPr>
            </w:pPr>
          </w:p>
        </w:tc>
      </w:tr>
      <w:tr w:rsidR="006604F7" w:rsidRPr="00D369C9" w14:paraId="6550797C" w14:textId="77777777" w:rsidTr="0002279D">
        <w:tc>
          <w:tcPr>
            <w:tcW w:w="1701" w:type="dxa"/>
          </w:tcPr>
          <w:p w14:paraId="7BB457D8" w14:textId="167A09B3" w:rsidR="006604F7" w:rsidRPr="00D369C9" w:rsidRDefault="00D61191" w:rsidP="006604F7">
            <w:pPr>
              <w:pStyle w:val="Default"/>
              <w:rPr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L</w:t>
            </w:r>
            <w:r w:rsidR="006604F7" w:rsidRPr="00D369C9">
              <w:rPr>
                <w:sz w:val="22"/>
                <w:szCs w:val="22"/>
                <w:lang w:val="sk-SK"/>
              </w:rPr>
              <w:t>aboratórne a funkčné vyšetrenia</w:t>
            </w:r>
          </w:p>
        </w:tc>
        <w:tc>
          <w:tcPr>
            <w:tcW w:w="1843" w:type="dxa"/>
          </w:tcPr>
          <w:p w14:paraId="509AE3B7" w14:textId="77777777" w:rsidR="006604F7" w:rsidRPr="00D369C9" w:rsidRDefault="006604F7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2126" w:type="dxa"/>
          </w:tcPr>
          <w:p w14:paraId="611ED332" w14:textId="77777777" w:rsidR="006604F7" w:rsidRPr="00D369C9" w:rsidRDefault="006604F7" w:rsidP="006604F7">
            <w:pPr>
              <w:pStyle w:val="Default"/>
              <w:rPr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zvýšená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laktátdehydrogenáza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v krvi</w:t>
            </w:r>
          </w:p>
        </w:tc>
        <w:tc>
          <w:tcPr>
            <w:tcW w:w="1790" w:type="dxa"/>
          </w:tcPr>
          <w:p w14:paraId="76991EB2" w14:textId="77777777" w:rsidR="006604F7" w:rsidRPr="00D369C9" w:rsidRDefault="006604F7" w:rsidP="00E62BB2">
            <w:pPr>
              <w:ind w:left="0" w:firstLine="0"/>
              <w:rPr>
                <w:szCs w:val="22"/>
              </w:rPr>
            </w:pPr>
          </w:p>
        </w:tc>
        <w:tc>
          <w:tcPr>
            <w:tcW w:w="1719" w:type="dxa"/>
          </w:tcPr>
          <w:p w14:paraId="6B3B8454" w14:textId="77777777" w:rsidR="006604F7" w:rsidRPr="00D369C9" w:rsidRDefault="006604F7" w:rsidP="00E62BB2">
            <w:pPr>
              <w:ind w:left="0" w:firstLine="0"/>
              <w:rPr>
                <w:szCs w:val="22"/>
              </w:rPr>
            </w:pPr>
          </w:p>
        </w:tc>
      </w:tr>
    </w:tbl>
    <w:p w14:paraId="5B516456" w14:textId="77777777" w:rsidR="00386B19" w:rsidRPr="00D369C9" w:rsidRDefault="00386B19" w:rsidP="006604F7">
      <w:pPr>
        <w:ind w:left="0" w:firstLine="0"/>
        <w:jc w:val="both"/>
        <w:rPr>
          <w:szCs w:val="22"/>
        </w:rPr>
      </w:pPr>
    </w:p>
    <w:p w14:paraId="5C830C5C" w14:textId="77777777" w:rsidR="00386B19" w:rsidRPr="00D369C9" w:rsidRDefault="00386B19" w:rsidP="006604F7">
      <w:pPr>
        <w:pStyle w:val="Default"/>
        <w:jc w:val="both"/>
        <w:rPr>
          <w:lang w:val="sk-SK"/>
        </w:rPr>
      </w:pPr>
      <w:r w:rsidRPr="006670C3">
        <w:rPr>
          <w:sz w:val="22"/>
          <w:szCs w:val="22"/>
          <w:u w:val="single"/>
          <w:lang w:val="sk-SK"/>
        </w:rPr>
        <w:t>Popis vybraných nežiaducich účinkov</w:t>
      </w:r>
    </w:p>
    <w:p w14:paraId="2A7E0C73" w14:textId="77777777" w:rsidR="00386B19" w:rsidRPr="00D369C9" w:rsidRDefault="00386B19" w:rsidP="006604F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i/>
          <w:iCs/>
          <w:sz w:val="22"/>
          <w:szCs w:val="22"/>
          <w:lang w:val="sk-SK"/>
        </w:rPr>
        <w:t>Možné symptómy pripomínajúce alergiu</w:t>
      </w:r>
    </w:p>
    <w:p w14:paraId="40B06840" w14:textId="77777777" w:rsidR="00386B19" w:rsidRPr="00D369C9" w:rsidRDefault="00386B19" w:rsidP="006604F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lastRenderedPageBreak/>
        <w:t xml:space="preserve">Počas klinických štúdií boli hlásené symptómy ako vyrážka a zimnica. Väčšina z nich mala miernu alebo strednú intenzitu a neobmedzovala ďalšiu liečbu. Hlásenia o závažných reakciách (napríklad </w:t>
      </w:r>
      <w:proofErr w:type="spellStart"/>
      <w:r w:rsidRPr="00D369C9">
        <w:rPr>
          <w:sz w:val="22"/>
          <w:szCs w:val="22"/>
          <w:lang w:val="sk-SK"/>
        </w:rPr>
        <w:t>anafylaktoidná</w:t>
      </w:r>
      <w:proofErr w:type="spellEnd"/>
      <w:r w:rsidRPr="00D369C9">
        <w:rPr>
          <w:sz w:val="22"/>
          <w:szCs w:val="22"/>
          <w:lang w:val="sk-SK"/>
        </w:rPr>
        <w:t xml:space="preserve"> reakcia 0,2</w:t>
      </w:r>
      <w:r w:rsidR="006604F7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%, 6/3</w:t>
      </w:r>
      <w:r w:rsidR="006604F7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028) boli počas liečby </w:t>
      </w:r>
      <w:proofErr w:type="spellStart"/>
      <w:r w:rsidRPr="00D369C9">
        <w:rPr>
          <w:sz w:val="22"/>
          <w:szCs w:val="22"/>
          <w:lang w:val="sk-SK"/>
        </w:rPr>
        <w:t>mikafungínom</w:t>
      </w:r>
      <w:proofErr w:type="spellEnd"/>
      <w:r w:rsidRPr="00D369C9">
        <w:rPr>
          <w:sz w:val="22"/>
          <w:szCs w:val="22"/>
          <w:lang w:val="sk-SK"/>
        </w:rPr>
        <w:t xml:space="preserve"> menej časté a vyskytli sa len u pacientov so závažnými základnými ochoreniami (napr. pokročilý AIDS, malignity), ktorí vyžadovali súbežnú liečbu v</w:t>
      </w:r>
      <w:r w:rsidR="006604F7" w:rsidRPr="00D369C9">
        <w:rPr>
          <w:sz w:val="22"/>
          <w:szCs w:val="22"/>
          <w:lang w:val="sk-SK"/>
        </w:rPr>
        <w:t>iacerými liekmi.</w:t>
      </w:r>
    </w:p>
    <w:p w14:paraId="4A9C3C3C" w14:textId="77777777" w:rsidR="006604F7" w:rsidRPr="00D369C9" w:rsidRDefault="006604F7" w:rsidP="006604F7">
      <w:pPr>
        <w:pStyle w:val="Default"/>
        <w:jc w:val="both"/>
        <w:rPr>
          <w:sz w:val="22"/>
          <w:szCs w:val="22"/>
          <w:lang w:val="sk-SK"/>
        </w:rPr>
      </w:pPr>
    </w:p>
    <w:p w14:paraId="66BFB398" w14:textId="77777777" w:rsidR="00386B19" w:rsidRPr="00D369C9" w:rsidRDefault="00386B19" w:rsidP="006604F7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i/>
          <w:iCs/>
          <w:sz w:val="22"/>
          <w:szCs w:val="22"/>
          <w:lang w:val="sk-SK"/>
        </w:rPr>
        <w:t>Hepatálne</w:t>
      </w:r>
      <w:proofErr w:type="spellEnd"/>
      <w:r w:rsidRPr="00D369C9">
        <w:rPr>
          <w:i/>
          <w:iCs/>
          <w:sz w:val="22"/>
          <w:szCs w:val="22"/>
          <w:lang w:val="sk-SK"/>
        </w:rPr>
        <w:t xml:space="preserve"> nežiaduce účinky</w:t>
      </w:r>
    </w:p>
    <w:p w14:paraId="6359BA57" w14:textId="77777777" w:rsidR="00386B19" w:rsidRPr="00D369C9" w:rsidRDefault="00386B19" w:rsidP="006604F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V klinických štúdiách predstavovala celková </w:t>
      </w:r>
      <w:proofErr w:type="spellStart"/>
      <w:r w:rsidRPr="00D369C9">
        <w:rPr>
          <w:sz w:val="22"/>
          <w:szCs w:val="22"/>
          <w:lang w:val="sk-SK"/>
        </w:rPr>
        <w:t>incidencia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hepatálnych</w:t>
      </w:r>
      <w:proofErr w:type="spellEnd"/>
      <w:r w:rsidRPr="00D369C9">
        <w:rPr>
          <w:sz w:val="22"/>
          <w:szCs w:val="22"/>
          <w:lang w:val="sk-SK"/>
        </w:rPr>
        <w:t xml:space="preserve"> nežiaducich reakcií u pacientov liečených </w:t>
      </w:r>
      <w:proofErr w:type="spellStart"/>
      <w:r w:rsidRPr="00D369C9">
        <w:rPr>
          <w:sz w:val="22"/>
          <w:szCs w:val="22"/>
          <w:lang w:val="sk-SK"/>
        </w:rPr>
        <w:t>mikafungínom</w:t>
      </w:r>
      <w:proofErr w:type="spellEnd"/>
      <w:r w:rsidRPr="00D369C9">
        <w:rPr>
          <w:sz w:val="22"/>
          <w:szCs w:val="22"/>
          <w:lang w:val="sk-SK"/>
        </w:rPr>
        <w:t xml:space="preserve"> 8,6</w:t>
      </w:r>
      <w:r w:rsidR="00B8797B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% (260/3 028). Väčšina </w:t>
      </w:r>
      <w:proofErr w:type="spellStart"/>
      <w:r w:rsidRPr="00D369C9">
        <w:rPr>
          <w:sz w:val="22"/>
          <w:szCs w:val="22"/>
          <w:lang w:val="sk-SK"/>
        </w:rPr>
        <w:t>hepatálnych</w:t>
      </w:r>
      <w:proofErr w:type="spellEnd"/>
      <w:r w:rsidRPr="00D369C9">
        <w:rPr>
          <w:sz w:val="22"/>
          <w:szCs w:val="22"/>
          <w:lang w:val="sk-SK"/>
        </w:rPr>
        <w:t xml:space="preserve"> nežiaducich reakcií mala miernu alebo strednú intenzitu. Najčastejšími reakciami boli zvýšená alkalická </w:t>
      </w:r>
      <w:proofErr w:type="spellStart"/>
      <w:r w:rsidRPr="00D369C9">
        <w:rPr>
          <w:sz w:val="22"/>
          <w:szCs w:val="22"/>
          <w:lang w:val="sk-SK"/>
        </w:rPr>
        <w:t>fosfatáza</w:t>
      </w:r>
      <w:proofErr w:type="spellEnd"/>
      <w:r w:rsidRPr="00D369C9">
        <w:rPr>
          <w:sz w:val="22"/>
          <w:szCs w:val="22"/>
          <w:lang w:val="sk-SK"/>
        </w:rPr>
        <w:t xml:space="preserve"> AP (2,7</w:t>
      </w:r>
      <w:r w:rsidR="00B8797B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%), </w:t>
      </w:r>
      <w:proofErr w:type="spellStart"/>
      <w:r w:rsidRPr="00D369C9">
        <w:rPr>
          <w:sz w:val="22"/>
          <w:szCs w:val="22"/>
          <w:lang w:val="sk-SK"/>
        </w:rPr>
        <w:t>aspartátaminotransferáza</w:t>
      </w:r>
      <w:proofErr w:type="spellEnd"/>
      <w:r w:rsidRPr="00D369C9">
        <w:rPr>
          <w:sz w:val="22"/>
          <w:szCs w:val="22"/>
          <w:lang w:val="sk-SK"/>
        </w:rPr>
        <w:t xml:space="preserve"> AST (2,3</w:t>
      </w:r>
      <w:r w:rsidR="00B8797B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%), </w:t>
      </w:r>
      <w:proofErr w:type="spellStart"/>
      <w:r w:rsidRPr="00D369C9">
        <w:rPr>
          <w:sz w:val="22"/>
          <w:szCs w:val="22"/>
          <w:lang w:val="sk-SK"/>
        </w:rPr>
        <w:t>alanínaminotransferáza</w:t>
      </w:r>
      <w:proofErr w:type="spellEnd"/>
      <w:r w:rsidRPr="00D369C9">
        <w:rPr>
          <w:sz w:val="22"/>
          <w:szCs w:val="22"/>
          <w:lang w:val="sk-SK"/>
        </w:rPr>
        <w:t xml:space="preserve"> ALT (2,0</w:t>
      </w:r>
      <w:r w:rsidR="00B8797B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%), </w:t>
      </w:r>
      <w:proofErr w:type="spellStart"/>
      <w:r w:rsidRPr="00D369C9">
        <w:rPr>
          <w:sz w:val="22"/>
          <w:szCs w:val="22"/>
          <w:lang w:val="sk-SK"/>
        </w:rPr>
        <w:t>bilirubín</w:t>
      </w:r>
      <w:proofErr w:type="spellEnd"/>
      <w:r w:rsidRPr="00D369C9">
        <w:rPr>
          <w:sz w:val="22"/>
          <w:szCs w:val="22"/>
          <w:lang w:val="sk-SK"/>
        </w:rPr>
        <w:t xml:space="preserve"> v krvi (1,6</w:t>
      </w:r>
      <w:r w:rsidR="00B8797B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>%) a pečeňové funkčné testy mimo normy (1,5</w:t>
      </w:r>
      <w:r w:rsidR="00247BB2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>%). Z dôvodu nežiaducej udalosti týkajúcej sa pečene prerušilo liečbu niekoľko pacientov (1,1</w:t>
      </w:r>
      <w:r w:rsidR="00247BB2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>%; 0,4</w:t>
      </w:r>
      <w:r w:rsidR="00247BB2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>% závažných). Prípady závažnej pečeňovej dysfunkcie bol</w:t>
      </w:r>
      <w:r w:rsidR="006604F7" w:rsidRPr="00D369C9">
        <w:rPr>
          <w:sz w:val="22"/>
          <w:szCs w:val="22"/>
          <w:lang w:val="sk-SK"/>
        </w:rPr>
        <w:t>i menej časté (pozri časť 4.4).</w:t>
      </w:r>
    </w:p>
    <w:p w14:paraId="044E7992" w14:textId="77777777" w:rsidR="006604F7" w:rsidRPr="00D369C9" w:rsidRDefault="006604F7" w:rsidP="006604F7">
      <w:pPr>
        <w:pStyle w:val="Default"/>
        <w:jc w:val="both"/>
        <w:rPr>
          <w:sz w:val="22"/>
          <w:szCs w:val="22"/>
          <w:lang w:val="sk-SK"/>
        </w:rPr>
      </w:pPr>
    </w:p>
    <w:p w14:paraId="519A80F9" w14:textId="62D2E7AD" w:rsidR="00386B19" w:rsidRPr="00D369C9" w:rsidRDefault="00386B19" w:rsidP="006604F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i/>
          <w:iCs/>
          <w:sz w:val="22"/>
          <w:szCs w:val="22"/>
          <w:lang w:val="sk-SK"/>
        </w:rPr>
        <w:t>Reakcie v mieste podania</w:t>
      </w:r>
      <w:r w:rsidR="00247BB2">
        <w:rPr>
          <w:i/>
          <w:iCs/>
          <w:sz w:val="22"/>
          <w:szCs w:val="22"/>
          <w:lang w:val="sk-SK"/>
        </w:rPr>
        <w:t xml:space="preserve"> injekcie</w:t>
      </w:r>
    </w:p>
    <w:p w14:paraId="2F52AD5F" w14:textId="77777777" w:rsidR="00386B19" w:rsidRPr="00D369C9" w:rsidRDefault="00386B19" w:rsidP="006604F7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Žiadna z nežiaducich reakcií v mieste pod</w:t>
      </w:r>
      <w:r w:rsidR="006604F7" w:rsidRPr="00D369C9">
        <w:rPr>
          <w:sz w:val="22"/>
          <w:szCs w:val="22"/>
          <w:lang w:val="sk-SK"/>
        </w:rPr>
        <w:t xml:space="preserve">ania </w:t>
      </w:r>
      <w:r w:rsidR="00B350AA">
        <w:rPr>
          <w:sz w:val="22"/>
          <w:szCs w:val="22"/>
          <w:lang w:val="sk-SK"/>
        </w:rPr>
        <w:t xml:space="preserve">injekcie </w:t>
      </w:r>
      <w:r w:rsidR="006604F7" w:rsidRPr="00D369C9">
        <w:rPr>
          <w:sz w:val="22"/>
          <w:szCs w:val="22"/>
          <w:lang w:val="sk-SK"/>
        </w:rPr>
        <w:t>neobmedzila ďalšiu liečbu.</w:t>
      </w:r>
    </w:p>
    <w:p w14:paraId="11D1D1FB" w14:textId="77777777" w:rsidR="006604F7" w:rsidRPr="00D369C9" w:rsidRDefault="006604F7" w:rsidP="00141600">
      <w:pPr>
        <w:pStyle w:val="Default"/>
        <w:jc w:val="both"/>
        <w:rPr>
          <w:sz w:val="22"/>
          <w:szCs w:val="22"/>
          <w:lang w:val="sk-SK"/>
        </w:rPr>
      </w:pPr>
    </w:p>
    <w:p w14:paraId="39715410" w14:textId="77777777" w:rsidR="00386B19" w:rsidRPr="00D369C9" w:rsidRDefault="00386B19" w:rsidP="00141600">
      <w:pPr>
        <w:pStyle w:val="Default"/>
        <w:jc w:val="both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Pediatrická populácia</w:t>
      </w:r>
    </w:p>
    <w:p w14:paraId="4BB2C766" w14:textId="500EB4E8" w:rsidR="00141600" w:rsidRPr="00D369C9" w:rsidRDefault="006604F7" w:rsidP="00141600">
      <w:pPr>
        <w:pStyle w:val="Default"/>
        <w:ind w:right="-108"/>
        <w:jc w:val="both"/>
        <w:rPr>
          <w:sz w:val="22"/>
          <w:szCs w:val="22"/>
          <w:lang w:val="sk-SK"/>
        </w:rPr>
      </w:pPr>
      <w:r w:rsidRPr="00D369C9">
        <w:rPr>
          <w:noProof/>
          <w:color w:val="auto"/>
          <w:sz w:val="22"/>
          <w:szCs w:val="22"/>
          <w:lang w:val="sk-SK" w:eastAsia="sk-SK"/>
        </w:rPr>
        <w:t xml:space="preserve">Incidencia niektorých nežiaducich reakcií (uvedených v tabuľke nižšie) bola vyššia u pediatrických pacientov ako u dospelých pacientov. Okrem toho došlo u pediatrických pacientov vo veku &lt; 1 rok približne dvakrát častejšie k zvýšeniu ALT, AST a AP ako u starších pediatrických pacientov (pozri časť 4.4). Najpravdepodobnejším dôvodom týchto rozdielov boli rozdielne základné ochorenia v porovnaní s dospelými pacientmi alebo staršími pediatrickými pacientmi sledovanými v klinických štúdiách. V čase zaradenia do štúdie bol podiel pediatrických pacientov s neutropéniou niekoľkonásobne vyšší ako </w:t>
      </w:r>
      <w:r w:rsidR="001B6A6D">
        <w:rPr>
          <w:noProof/>
          <w:color w:val="auto"/>
          <w:sz w:val="22"/>
          <w:szCs w:val="22"/>
          <w:lang w:val="sk-SK" w:eastAsia="sk-SK"/>
        </w:rPr>
        <w:t xml:space="preserve">u </w:t>
      </w:r>
      <w:r w:rsidRPr="00D369C9">
        <w:rPr>
          <w:noProof/>
          <w:color w:val="auto"/>
          <w:sz w:val="22"/>
          <w:szCs w:val="22"/>
          <w:lang w:val="sk-SK" w:eastAsia="sk-SK"/>
        </w:rPr>
        <w:t xml:space="preserve">dospelých pacientov (40,2 % detí a 7,3 % dospelých), rovnako ako alogénnych </w:t>
      </w:r>
      <w:r w:rsidR="001B6A6D" w:rsidRPr="00D369C9">
        <w:rPr>
          <w:noProof/>
          <w:color w:val="auto"/>
          <w:sz w:val="22"/>
          <w:szCs w:val="22"/>
          <w:lang w:val="sk-SK" w:eastAsia="sk-SK"/>
        </w:rPr>
        <w:t xml:space="preserve">transplantácií </w:t>
      </w:r>
      <w:r w:rsidRPr="00D369C9">
        <w:rPr>
          <w:noProof/>
          <w:color w:val="auto"/>
          <w:sz w:val="22"/>
          <w:szCs w:val="22"/>
          <w:lang w:val="sk-SK" w:eastAsia="sk-SK"/>
        </w:rPr>
        <w:t>hematopoetických kmeňových buniek (29,4 % detí a 13,4 % dospelých) a hematologických malignít (29,1 %</w:t>
      </w:r>
      <w:r w:rsidRPr="00D369C9">
        <w:rPr>
          <w:sz w:val="22"/>
          <w:szCs w:val="22"/>
          <w:lang w:val="sk-SK"/>
        </w:rPr>
        <w:t xml:space="preserve"> detí a 8,7 % dospelých).</w:t>
      </w:r>
    </w:p>
    <w:p w14:paraId="249868E0" w14:textId="77777777" w:rsidR="006604F7" w:rsidRPr="00D369C9" w:rsidRDefault="006604F7" w:rsidP="00386B19">
      <w:pPr>
        <w:pStyle w:val="Default"/>
        <w:rPr>
          <w:sz w:val="22"/>
          <w:szCs w:val="22"/>
          <w:lang w:val="sk-SK"/>
        </w:rPr>
      </w:pPr>
    </w:p>
    <w:tbl>
      <w:tblPr>
        <w:tblW w:w="9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371"/>
      </w:tblGrid>
      <w:tr w:rsidR="00AB4AE7" w:rsidRPr="00D369C9" w14:paraId="35123000" w14:textId="77777777" w:rsidTr="002F1444">
        <w:trPr>
          <w:trHeight w:val="148"/>
        </w:trPr>
        <w:tc>
          <w:tcPr>
            <w:tcW w:w="9180" w:type="dxa"/>
            <w:gridSpan w:val="2"/>
          </w:tcPr>
          <w:p w14:paraId="05FC2488" w14:textId="77777777" w:rsidR="00AB4AE7" w:rsidRPr="00D369C9" w:rsidRDefault="00AB4AE7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iCs/>
                <w:sz w:val="22"/>
                <w:szCs w:val="22"/>
                <w:lang w:val="sk-SK"/>
              </w:rPr>
              <w:t>Poruchy krvi a lymfatického systému</w:t>
            </w:r>
          </w:p>
        </w:tc>
      </w:tr>
      <w:tr w:rsidR="00386B19" w:rsidRPr="00D369C9" w14:paraId="13105B48" w14:textId="77777777" w:rsidTr="00AB4AE7">
        <w:trPr>
          <w:trHeight w:val="148"/>
        </w:trPr>
        <w:tc>
          <w:tcPr>
            <w:tcW w:w="1809" w:type="dxa"/>
          </w:tcPr>
          <w:p w14:paraId="15C84B7E" w14:textId="77777777" w:rsidR="00386B19" w:rsidRPr="00D369C9" w:rsidRDefault="00386B19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7371" w:type="dxa"/>
          </w:tcPr>
          <w:p w14:paraId="4004CBEF" w14:textId="77777777" w:rsidR="00386B19" w:rsidRPr="00D369C9" w:rsidRDefault="00141600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D369C9">
              <w:rPr>
                <w:sz w:val="22"/>
                <w:szCs w:val="22"/>
                <w:lang w:val="sk-SK"/>
              </w:rPr>
              <w:t>trombocytopénia</w:t>
            </w:r>
            <w:proofErr w:type="spellEnd"/>
          </w:p>
        </w:tc>
      </w:tr>
      <w:tr w:rsidR="00141600" w:rsidRPr="00D369C9" w14:paraId="1DEDF511" w14:textId="77777777" w:rsidTr="00AB4AE7">
        <w:trPr>
          <w:trHeight w:val="148"/>
        </w:trPr>
        <w:tc>
          <w:tcPr>
            <w:tcW w:w="1809" w:type="dxa"/>
          </w:tcPr>
          <w:p w14:paraId="758A8942" w14:textId="77777777" w:rsidR="00141600" w:rsidRPr="00D369C9" w:rsidRDefault="00141600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7371" w:type="dxa"/>
          </w:tcPr>
          <w:p w14:paraId="5EC09A57" w14:textId="77777777" w:rsidR="00141600" w:rsidRPr="00D369C9" w:rsidRDefault="00141600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</w:tr>
      <w:tr w:rsidR="00386B19" w:rsidRPr="00D369C9" w14:paraId="2E46DB3E" w14:textId="77777777" w:rsidTr="00141600">
        <w:trPr>
          <w:trHeight w:val="148"/>
        </w:trPr>
        <w:tc>
          <w:tcPr>
            <w:tcW w:w="9180" w:type="dxa"/>
            <w:gridSpan w:val="2"/>
          </w:tcPr>
          <w:p w14:paraId="4CDF5183" w14:textId="5F3F190C" w:rsidR="00386B19" w:rsidRPr="00D369C9" w:rsidRDefault="00386B19" w:rsidP="00A0424C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Poruchy srdca srdcovej činnosti </w:t>
            </w:r>
          </w:p>
        </w:tc>
      </w:tr>
      <w:tr w:rsidR="00386B19" w:rsidRPr="00D369C9" w14:paraId="19589224" w14:textId="77777777" w:rsidTr="00AB4AE7">
        <w:trPr>
          <w:trHeight w:val="148"/>
        </w:trPr>
        <w:tc>
          <w:tcPr>
            <w:tcW w:w="1809" w:type="dxa"/>
          </w:tcPr>
          <w:p w14:paraId="6F55AC64" w14:textId="77777777" w:rsidR="00386B19" w:rsidRPr="00D369C9" w:rsidRDefault="00386B19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7371" w:type="dxa"/>
          </w:tcPr>
          <w:p w14:paraId="44C3747C" w14:textId="77777777" w:rsidR="00386B19" w:rsidRPr="00D369C9" w:rsidRDefault="00141600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D369C9">
              <w:rPr>
                <w:sz w:val="22"/>
                <w:szCs w:val="22"/>
                <w:lang w:val="sk-SK"/>
              </w:rPr>
              <w:t>tachykardia</w:t>
            </w:r>
            <w:proofErr w:type="spellEnd"/>
          </w:p>
        </w:tc>
      </w:tr>
      <w:tr w:rsidR="00141600" w:rsidRPr="00D369C9" w14:paraId="1BC75015" w14:textId="77777777" w:rsidTr="00AB4AE7">
        <w:trPr>
          <w:trHeight w:val="148"/>
        </w:trPr>
        <w:tc>
          <w:tcPr>
            <w:tcW w:w="1809" w:type="dxa"/>
          </w:tcPr>
          <w:p w14:paraId="75EB216D" w14:textId="77777777" w:rsidR="00141600" w:rsidRPr="00D369C9" w:rsidRDefault="00141600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7371" w:type="dxa"/>
          </w:tcPr>
          <w:p w14:paraId="586E5532" w14:textId="77777777" w:rsidR="00141600" w:rsidRPr="00D369C9" w:rsidRDefault="00141600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</w:tr>
      <w:tr w:rsidR="00386B19" w:rsidRPr="00D369C9" w14:paraId="73CC71FB" w14:textId="77777777" w:rsidTr="00141600">
        <w:trPr>
          <w:trHeight w:val="148"/>
        </w:trPr>
        <w:tc>
          <w:tcPr>
            <w:tcW w:w="9180" w:type="dxa"/>
            <w:gridSpan w:val="2"/>
          </w:tcPr>
          <w:p w14:paraId="48580534" w14:textId="12B0C95D" w:rsidR="00386B19" w:rsidRPr="00D369C9" w:rsidRDefault="00A0424C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386B19" w:rsidRPr="00D369C9">
              <w:rPr>
                <w:sz w:val="22"/>
                <w:szCs w:val="22"/>
                <w:lang w:val="sk-SK"/>
              </w:rPr>
              <w:t>oruchy</w:t>
            </w:r>
            <w:r>
              <w:rPr>
                <w:sz w:val="22"/>
                <w:szCs w:val="22"/>
                <w:lang w:val="sk-SK"/>
              </w:rPr>
              <w:t xml:space="preserve"> ciev</w:t>
            </w:r>
            <w:r w:rsidR="00386B19" w:rsidRPr="00D369C9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386B19" w:rsidRPr="00D369C9" w14:paraId="7D5EF61C" w14:textId="77777777" w:rsidTr="00AB4AE7">
        <w:trPr>
          <w:trHeight w:val="148"/>
        </w:trPr>
        <w:tc>
          <w:tcPr>
            <w:tcW w:w="1809" w:type="dxa"/>
          </w:tcPr>
          <w:p w14:paraId="053D9F13" w14:textId="77777777" w:rsidR="00386B19" w:rsidRPr="00D369C9" w:rsidRDefault="00386B19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7371" w:type="dxa"/>
          </w:tcPr>
          <w:p w14:paraId="280C5D2B" w14:textId="77777777" w:rsidR="00386B19" w:rsidRPr="00D369C9" w:rsidRDefault="00386B19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>hypertenzia, hypotenzia</w:t>
            </w:r>
          </w:p>
        </w:tc>
      </w:tr>
      <w:tr w:rsidR="00141600" w:rsidRPr="00D369C9" w14:paraId="3E8ECFA8" w14:textId="77777777" w:rsidTr="00AB4AE7">
        <w:trPr>
          <w:trHeight w:val="148"/>
        </w:trPr>
        <w:tc>
          <w:tcPr>
            <w:tcW w:w="1809" w:type="dxa"/>
          </w:tcPr>
          <w:p w14:paraId="3F1498EB" w14:textId="77777777" w:rsidR="00141600" w:rsidRPr="00D369C9" w:rsidRDefault="00141600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7371" w:type="dxa"/>
          </w:tcPr>
          <w:p w14:paraId="143B35E2" w14:textId="77777777" w:rsidR="00141600" w:rsidRPr="00D369C9" w:rsidRDefault="00141600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</w:tr>
      <w:tr w:rsidR="003A6469" w:rsidRPr="00D369C9" w14:paraId="19210558" w14:textId="77777777" w:rsidTr="00141600">
        <w:trPr>
          <w:trHeight w:val="148"/>
        </w:trPr>
        <w:tc>
          <w:tcPr>
            <w:tcW w:w="9180" w:type="dxa"/>
            <w:gridSpan w:val="2"/>
          </w:tcPr>
          <w:p w14:paraId="07C12E7C" w14:textId="77777777" w:rsidR="003A6469" w:rsidRPr="00D369C9" w:rsidRDefault="003A6469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Poruchy pečene a žlčových ciest </w:t>
            </w:r>
          </w:p>
        </w:tc>
      </w:tr>
      <w:tr w:rsidR="003A6469" w:rsidRPr="00D369C9" w14:paraId="573D66AB" w14:textId="77777777" w:rsidTr="00AB4AE7">
        <w:trPr>
          <w:trHeight w:val="148"/>
        </w:trPr>
        <w:tc>
          <w:tcPr>
            <w:tcW w:w="1809" w:type="dxa"/>
          </w:tcPr>
          <w:p w14:paraId="22D6C096" w14:textId="77777777" w:rsidR="003A6469" w:rsidRPr="00D369C9" w:rsidRDefault="003A6469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7371" w:type="dxa"/>
          </w:tcPr>
          <w:p w14:paraId="23A6F623" w14:textId="77777777" w:rsidR="00141600" w:rsidRPr="00D369C9" w:rsidRDefault="003A6469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D369C9">
              <w:rPr>
                <w:sz w:val="22"/>
                <w:szCs w:val="22"/>
                <w:lang w:val="sk-SK"/>
              </w:rPr>
              <w:t>hy</w:t>
            </w:r>
            <w:r w:rsidR="00141600" w:rsidRPr="00D369C9">
              <w:rPr>
                <w:sz w:val="22"/>
                <w:szCs w:val="22"/>
                <w:lang w:val="sk-SK"/>
              </w:rPr>
              <w:t>perbilirubinémia</w:t>
            </w:r>
            <w:proofErr w:type="spellEnd"/>
            <w:r w:rsidR="00141600" w:rsidRPr="00D369C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141600" w:rsidRPr="00D369C9">
              <w:rPr>
                <w:sz w:val="22"/>
                <w:szCs w:val="22"/>
                <w:lang w:val="sk-SK"/>
              </w:rPr>
              <w:t>hepatomegália</w:t>
            </w:r>
            <w:proofErr w:type="spellEnd"/>
          </w:p>
        </w:tc>
      </w:tr>
      <w:tr w:rsidR="00141600" w:rsidRPr="00D369C9" w14:paraId="32D71163" w14:textId="77777777" w:rsidTr="00AB4AE7">
        <w:trPr>
          <w:trHeight w:val="148"/>
        </w:trPr>
        <w:tc>
          <w:tcPr>
            <w:tcW w:w="1809" w:type="dxa"/>
          </w:tcPr>
          <w:p w14:paraId="699892AC" w14:textId="77777777" w:rsidR="00141600" w:rsidRPr="00D369C9" w:rsidRDefault="00141600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7371" w:type="dxa"/>
          </w:tcPr>
          <w:p w14:paraId="1D3FC78C" w14:textId="77777777" w:rsidR="00141600" w:rsidRPr="00D369C9" w:rsidRDefault="00141600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</w:tr>
      <w:tr w:rsidR="003A6469" w:rsidRPr="00D369C9" w14:paraId="7227964C" w14:textId="77777777" w:rsidTr="00141600">
        <w:trPr>
          <w:trHeight w:val="148"/>
        </w:trPr>
        <w:tc>
          <w:tcPr>
            <w:tcW w:w="9180" w:type="dxa"/>
            <w:gridSpan w:val="2"/>
          </w:tcPr>
          <w:p w14:paraId="7FC2E066" w14:textId="10D55C41" w:rsidR="003A6469" w:rsidRPr="00D369C9" w:rsidRDefault="003A6469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>Poruchy obličiek a</w:t>
            </w:r>
            <w:r w:rsidR="00A0424C">
              <w:rPr>
                <w:sz w:val="22"/>
                <w:szCs w:val="22"/>
                <w:lang w:val="sk-SK"/>
              </w:rPr>
              <w:t> </w:t>
            </w:r>
            <w:r w:rsidRPr="00D369C9">
              <w:rPr>
                <w:sz w:val="22"/>
                <w:szCs w:val="22"/>
                <w:lang w:val="sk-SK"/>
              </w:rPr>
              <w:t>močov</w:t>
            </w:r>
            <w:r w:rsidR="00A0424C">
              <w:rPr>
                <w:sz w:val="22"/>
                <w:szCs w:val="22"/>
                <w:lang w:val="sk-SK"/>
              </w:rPr>
              <w:t>ých ciest</w:t>
            </w:r>
            <w:r w:rsidRPr="00D369C9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3A6469" w:rsidRPr="00D369C9" w14:paraId="40B98A51" w14:textId="77777777" w:rsidTr="00AB4AE7">
        <w:trPr>
          <w:trHeight w:val="148"/>
        </w:trPr>
        <w:tc>
          <w:tcPr>
            <w:tcW w:w="1809" w:type="dxa"/>
          </w:tcPr>
          <w:p w14:paraId="73BDDB84" w14:textId="77777777" w:rsidR="003A6469" w:rsidRPr="00D369C9" w:rsidRDefault="003A6469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7371" w:type="dxa"/>
          </w:tcPr>
          <w:p w14:paraId="559B452C" w14:textId="77777777" w:rsidR="003A6469" w:rsidRPr="00D369C9" w:rsidRDefault="003A6469">
            <w:pPr>
              <w:pStyle w:val="Default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akútne </w:t>
            </w:r>
            <w:proofErr w:type="spellStart"/>
            <w:r w:rsidRPr="00D369C9">
              <w:rPr>
                <w:sz w:val="22"/>
                <w:szCs w:val="22"/>
                <w:lang w:val="sk-SK"/>
              </w:rPr>
              <w:t>renálne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 zlyhanie, zvýšená močovina v krvi </w:t>
            </w:r>
          </w:p>
        </w:tc>
      </w:tr>
    </w:tbl>
    <w:p w14:paraId="28FC1D65" w14:textId="77777777" w:rsidR="00386B19" w:rsidRPr="00D369C9" w:rsidRDefault="00386B19" w:rsidP="00141600">
      <w:pPr>
        <w:ind w:left="0" w:firstLine="0"/>
        <w:rPr>
          <w:szCs w:val="22"/>
        </w:rPr>
      </w:pPr>
    </w:p>
    <w:p w14:paraId="6B00689B" w14:textId="77777777" w:rsidR="007E5956" w:rsidRPr="00D369C9" w:rsidRDefault="00386B19" w:rsidP="00141600">
      <w:pPr>
        <w:suppressLineNumbers/>
        <w:autoSpaceDE w:val="0"/>
        <w:autoSpaceDN w:val="0"/>
        <w:adjustRightInd w:val="0"/>
        <w:jc w:val="both"/>
        <w:rPr>
          <w:szCs w:val="22"/>
          <w:u w:val="single"/>
        </w:rPr>
      </w:pPr>
      <w:r w:rsidRPr="00D369C9">
        <w:rPr>
          <w:noProof/>
          <w:szCs w:val="22"/>
          <w:u w:val="single"/>
        </w:rPr>
        <w:t>Hlásenie podozrení na nežiaduce reakcie</w:t>
      </w:r>
    </w:p>
    <w:p w14:paraId="09B9F600" w14:textId="6440F1EB" w:rsidR="007E5956" w:rsidRPr="00D369C9" w:rsidRDefault="00386B19" w:rsidP="00141600">
      <w:pPr>
        <w:suppressLineNumbers/>
        <w:autoSpaceDE w:val="0"/>
        <w:autoSpaceDN w:val="0"/>
        <w:adjustRightInd w:val="0"/>
        <w:ind w:left="0" w:firstLine="0"/>
        <w:jc w:val="both"/>
        <w:rPr>
          <w:noProof/>
          <w:szCs w:val="22"/>
        </w:rPr>
      </w:pPr>
      <w:r w:rsidRPr="00D369C9">
        <w:rPr>
          <w:noProof/>
          <w:szCs w:val="22"/>
        </w:rPr>
        <w:t>Hlásenie podozrení na nežiaduce reakcie po registrácii lieku je dôležité.</w:t>
      </w:r>
      <w:r w:rsidRPr="00D369C9">
        <w:rPr>
          <w:szCs w:val="22"/>
        </w:rPr>
        <w:t xml:space="preserve"> </w:t>
      </w:r>
      <w:r w:rsidRPr="00D369C9">
        <w:rPr>
          <w:noProof/>
          <w:szCs w:val="22"/>
        </w:rPr>
        <w:t>Umožňuje priebežné monitorovanie pomeru prínosu a rizika lieku.</w:t>
      </w:r>
      <w:r w:rsidRPr="00D369C9">
        <w:rPr>
          <w:szCs w:val="22"/>
        </w:rPr>
        <w:t xml:space="preserve"> Od </w:t>
      </w:r>
      <w:r w:rsidRPr="00D369C9">
        <w:rPr>
          <w:noProof/>
          <w:szCs w:val="22"/>
        </w:rPr>
        <w:t xml:space="preserve">zdravotníckych pracovníkov sa vyžaduje, aby hlásili akékoľvek podozrenia na nežiaduce reakcie </w:t>
      </w:r>
      <w:r w:rsidR="00F66A28" w:rsidRPr="00D369C9">
        <w:rPr>
          <w:noProof/>
          <w:szCs w:val="22"/>
        </w:rPr>
        <w:t xml:space="preserve">na </w:t>
      </w:r>
      <w:r w:rsidRPr="00D369C9">
        <w:rPr>
          <w:noProof/>
          <w:szCs w:val="22"/>
          <w:highlight w:val="lightGray"/>
        </w:rPr>
        <w:t xml:space="preserve">národné </w:t>
      </w:r>
      <w:r w:rsidR="00F66A28" w:rsidRPr="00D369C9">
        <w:rPr>
          <w:noProof/>
          <w:szCs w:val="22"/>
          <w:highlight w:val="lightGray"/>
        </w:rPr>
        <w:t xml:space="preserve">centrum </w:t>
      </w:r>
      <w:r w:rsidRPr="00D369C9">
        <w:rPr>
          <w:noProof/>
          <w:szCs w:val="22"/>
          <w:highlight w:val="lightGray"/>
        </w:rPr>
        <w:t>hlásenia uvedené v </w:t>
      </w:r>
      <w:hyperlink r:id="rId8" w:history="1">
        <w:r w:rsidRPr="00D369C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D369C9">
        <w:rPr>
          <w:noProof/>
          <w:szCs w:val="22"/>
        </w:rPr>
        <w:t>.</w:t>
      </w:r>
    </w:p>
    <w:p w14:paraId="3E1F22DC" w14:textId="77777777" w:rsidR="007E5956" w:rsidRPr="00D369C9" w:rsidRDefault="007E5956" w:rsidP="00B13F68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4B8928FD" w14:textId="77777777" w:rsidR="00780926" w:rsidRPr="00D369C9" w:rsidRDefault="00386B19" w:rsidP="00223E9F">
      <w:pPr>
        <w:keepNext/>
        <w:rPr>
          <w:szCs w:val="22"/>
        </w:rPr>
      </w:pPr>
      <w:r w:rsidRPr="001B1DB0">
        <w:rPr>
          <w:b/>
          <w:szCs w:val="22"/>
        </w:rPr>
        <w:t>4.9</w:t>
      </w:r>
      <w:r w:rsidRPr="001B1DB0">
        <w:rPr>
          <w:b/>
          <w:szCs w:val="22"/>
        </w:rPr>
        <w:tab/>
        <w:t>Predávkovanie</w:t>
      </w:r>
    </w:p>
    <w:p w14:paraId="67F64E4B" w14:textId="77777777" w:rsidR="00780926" w:rsidRPr="00D369C9" w:rsidRDefault="00780926" w:rsidP="00223E9F">
      <w:pPr>
        <w:keepNext/>
        <w:rPr>
          <w:szCs w:val="22"/>
        </w:rPr>
      </w:pPr>
    </w:p>
    <w:p w14:paraId="6F269206" w14:textId="77777777" w:rsidR="00780926" w:rsidRPr="00D369C9" w:rsidRDefault="003A6469" w:rsidP="00141600">
      <w:pPr>
        <w:ind w:left="0" w:firstLine="0"/>
        <w:jc w:val="both"/>
        <w:rPr>
          <w:szCs w:val="22"/>
        </w:rPr>
      </w:pPr>
      <w:r w:rsidRPr="00D369C9">
        <w:rPr>
          <w:szCs w:val="22"/>
        </w:rPr>
        <w:t xml:space="preserve">V klinických štúdiách bola dospelým pacientom opakovane podávaná denná dávka až do 8 mg/kg (maximálna celková dávka 896 mg) bez hlásenia o toxicite obmedzujúcej dávku. V jednom prípade bolo spontánne hlásené podanie dávky 16 mg/kg/deň u novorodenca. Neboli zaznamenané žiadne nežiaduce reakcie v súvislosti s týmito vysokými dávkami. Nie sú žiadne skúsenosti s predávkovaním </w:t>
      </w:r>
      <w:proofErr w:type="spellStart"/>
      <w:r w:rsidRPr="00D369C9">
        <w:rPr>
          <w:szCs w:val="22"/>
        </w:rPr>
        <w:t>mikafungínom</w:t>
      </w:r>
      <w:proofErr w:type="spellEnd"/>
      <w:r w:rsidRPr="00D369C9">
        <w:rPr>
          <w:szCs w:val="22"/>
        </w:rPr>
        <w:t xml:space="preserve">. V prípade predávkovania sa majú uplatniť všeobecné podporné opatrenia a má sa </w:t>
      </w:r>
      <w:r w:rsidRPr="00D369C9">
        <w:rPr>
          <w:szCs w:val="22"/>
        </w:rPr>
        <w:lastRenderedPageBreak/>
        <w:t xml:space="preserve">podať symptomatická liečba. </w:t>
      </w:r>
      <w:proofErr w:type="spellStart"/>
      <w:r w:rsidRPr="00D369C9">
        <w:rPr>
          <w:szCs w:val="22"/>
        </w:rPr>
        <w:t>Mikafungín</w:t>
      </w:r>
      <w:proofErr w:type="spellEnd"/>
      <w:r w:rsidRPr="00D369C9">
        <w:rPr>
          <w:szCs w:val="22"/>
        </w:rPr>
        <w:t xml:space="preserve"> sa vyznačuje vysokou väzbou na bielkoviny a nie je </w:t>
      </w:r>
      <w:proofErr w:type="spellStart"/>
      <w:r w:rsidRPr="00D369C9">
        <w:rPr>
          <w:szCs w:val="22"/>
        </w:rPr>
        <w:t>dialyzovateľný</w:t>
      </w:r>
      <w:proofErr w:type="spellEnd"/>
      <w:r w:rsidRPr="00D369C9">
        <w:rPr>
          <w:szCs w:val="22"/>
        </w:rPr>
        <w:t>.</w:t>
      </w:r>
    </w:p>
    <w:p w14:paraId="35BCD6E8" w14:textId="77777777" w:rsidR="00780926" w:rsidRDefault="00780926" w:rsidP="00E41B3F">
      <w:pPr>
        <w:rPr>
          <w:szCs w:val="22"/>
        </w:rPr>
      </w:pPr>
    </w:p>
    <w:p w14:paraId="5ED5C772" w14:textId="77777777" w:rsidR="007A090E" w:rsidRPr="00D369C9" w:rsidRDefault="007A090E" w:rsidP="00E41B3F">
      <w:pPr>
        <w:rPr>
          <w:szCs w:val="22"/>
        </w:rPr>
      </w:pPr>
    </w:p>
    <w:p w14:paraId="5241E0DD" w14:textId="77777777" w:rsidR="00780926" w:rsidRPr="00D369C9" w:rsidRDefault="00386B19" w:rsidP="00E41B3F">
      <w:pPr>
        <w:rPr>
          <w:szCs w:val="22"/>
        </w:rPr>
      </w:pPr>
      <w:r w:rsidRPr="00D369C9">
        <w:rPr>
          <w:b/>
          <w:szCs w:val="22"/>
        </w:rPr>
        <w:t>5.</w:t>
      </w:r>
      <w:r w:rsidRPr="00D369C9">
        <w:rPr>
          <w:b/>
          <w:szCs w:val="22"/>
        </w:rPr>
        <w:tab/>
        <w:t>FARMAKOLOGICKÉ VLASTNOSTI</w:t>
      </w:r>
    </w:p>
    <w:p w14:paraId="445C6277" w14:textId="77777777" w:rsidR="00780926" w:rsidRPr="00D369C9" w:rsidRDefault="00780926" w:rsidP="00E41B3F">
      <w:pPr>
        <w:rPr>
          <w:bCs/>
          <w:szCs w:val="22"/>
        </w:rPr>
      </w:pPr>
    </w:p>
    <w:p w14:paraId="273A4374" w14:textId="77777777" w:rsidR="00780926" w:rsidRPr="00D369C9" w:rsidRDefault="00386B19" w:rsidP="00E41B3F">
      <w:pPr>
        <w:rPr>
          <w:szCs w:val="22"/>
        </w:rPr>
      </w:pPr>
      <w:r w:rsidRPr="00D369C9">
        <w:rPr>
          <w:b/>
          <w:szCs w:val="22"/>
        </w:rPr>
        <w:t>5.1</w:t>
      </w:r>
      <w:r w:rsidRPr="00D369C9">
        <w:rPr>
          <w:b/>
          <w:szCs w:val="22"/>
        </w:rPr>
        <w:tab/>
      </w:r>
      <w:proofErr w:type="spellStart"/>
      <w:r w:rsidRPr="00D369C9">
        <w:rPr>
          <w:b/>
          <w:szCs w:val="22"/>
        </w:rPr>
        <w:t>Farmakodynamické</w:t>
      </w:r>
      <w:proofErr w:type="spellEnd"/>
      <w:r w:rsidRPr="00D369C9">
        <w:rPr>
          <w:b/>
          <w:szCs w:val="22"/>
        </w:rPr>
        <w:t xml:space="preserve"> vlastnosti</w:t>
      </w:r>
    </w:p>
    <w:p w14:paraId="013A72EA" w14:textId="77777777" w:rsidR="00780926" w:rsidRPr="00D369C9" w:rsidRDefault="00780926" w:rsidP="00E41B3F">
      <w:pPr>
        <w:rPr>
          <w:szCs w:val="22"/>
        </w:rPr>
      </w:pPr>
    </w:p>
    <w:p w14:paraId="3A573035" w14:textId="77777777" w:rsidR="003A6469" w:rsidRPr="00D369C9" w:rsidRDefault="003A6469" w:rsidP="00141600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lang w:val="sk-SK"/>
        </w:rPr>
        <w:t>Farmakoterapeutická</w:t>
      </w:r>
      <w:proofErr w:type="spellEnd"/>
      <w:r w:rsidRPr="00D369C9">
        <w:rPr>
          <w:sz w:val="22"/>
          <w:szCs w:val="22"/>
          <w:lang w:val="sk-SK"/>
        </w:rPr>
        <w:t xml:space="preserve"> skupina: Antimykotiká na systémové použitie, iné antimykotiká na systémové použitie, ATC kód: J02AX</w:t>
      </w:r>
      <w:r w:rsidR="00141600" w:rsidRPr="00D369C9">
        <w:rPr>
          <w:sz w:val="22"/>
          <w:szCs w:val="22"/>
          <w:lang w:val="sk-SK"/>
        </w:rPr>
        <w:t>05</w:t>
      </w:r>
    </w:p>
    <w:p w14:paraId="3DE139BF" w14:textId="77777777" w:rsidR="00141600" w:rsidRPr="00D369C9" w:rsidRDefault="00141600" w:rsidP="00141600">
      <w:pPr>
        <w:pStyle w:val="Default"/>
        <w:jc w:val="both"/>
        <w:rPr>
          <w:sz w:val="22"/>
          <w:szCs w:val="22"/>
          <w:lang w:val="sk-SK"/>
        </w:rPr>
      </w:pPr>
    </w:p>
    <w:p w14:paraId="04712730" w14:textId="77777777" w:rsidR="003A6469" w:rsidRPr="00D369C9" w:rsidRDefault="00141600" w:rsidP="00141600">
      <w:pPr>
        <w:pStyle w:val="Default"/>
        <w:jc w:val="both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Spôsob účinku</w:t>
      </w:r>
    </w:p>
    <w:p w14:paraId="03F904E7" w14:textId="77777777" w:rsidR="003A6469" w:rsidRPr="00D369C9" w:rsidRDefault="003A6469" w:rsidP="00141600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nekompetitívne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inhibuje</w:t>
      </w:r>
      <w:proofErr w:type="spellEnd"/>
      <w:r w:rsidRPr="00D369C9">
        <w:rPr>
          <w:sz w:val="22"/>
          <w:szCs w:val="22"/>
          <w:lang w:val="sk-SK"/>
        </w:rPr>
        <w:t xml:space="preserve"> syntézu 1,3-β-D-</w:t>
      </w:r>
      <w:proofErr w:type="spellStart"/>
      <w:r w:rsidRPr="00D369C9">
        <w:rPr>
          <w:sz w:val="22"/>
          <w:szCs w:val="22"/>
          <w:lang w:val="sk-SK"/>
        </w:rPr>
        <w:t>glukánu</w:t>
      </w:r>
      <w:proofErr w:type="spellEnd"/>
      <w:r w:rsidRPr="00D369C9">
        <w:rPr>
          <w:sz w:val="22"/>
          <w:szCs w:val="22"/>
          <w:lang w:val="sk-SK"/>
        </w:rPr>
        <w:t>, ktorý je esenciálnou zložkou bunkovej steny húb. 1,3-β-D-</w:t>
      </w:r>
      <w:proofErr w:type="spellStart"/>
      <w:r w:rsidRPr="00D369C9">
        <w:rPr>
          <w:sz w:val="22"/>
          <w:szCs w:val="22"/>
          <w:lang w:val="sk-SK"/>
        </w:rPr>
        <w:t>glukán</w:t>
      </w:r>
      <w:proofErr w:type="spellEnd"/>
      <w:r w:rsidRPr="00D369C9">
        <w:rPr>
          <w:sz w:val="22"/>
          <w:szCs w:val="22"/>
          <w:lang w:val="sk-SK"/>
        </w:rPr>
        <w:t xml:space="preserve"> sa nevyskytuje v bunkách cicavcov. </w:t>
      </w:r>
    </w:p>
    <w:p w14:paraId="033DC8B2" w14:textId="77777777" w:rsidR="003A6469" w:rsidRPr="00D369C9" w:rsidRDefault="003A6469" w:rsidP="00141600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preukazuje </w:t>
      </w:r>
      <w:proofErr w:type="spellStart"/>
      <w:r w:rsidRPr="00D369C9">
        <w:rPr>
          <w:sz w:val="22"/>
          <w:szCs w:val="22"/>
          <w:lang w:val="sk-SK"/>
        </w:rPr>
        <w:t>fungicídnu</w:t>
      </w:r>
      <w:proofErr w:type="spellEnd"/>
      <w:r w:rsidRPr="00D369C9">
        <w:rPr>
          <w:sz w:val="22"/>
          <w:szCs w:val="22"/>
          <w:lang w:val="sk-SK"/>
        </w:rPr>
        <w:t xml:space="preserve"> aktivitu proti väčšine druhov </w:t>
      </w:r>
      <w:proofErr w:type="spellStart"/>
      <w:r w:rsidRPr="00D369C9">
        <w:rPr>
          <w:i/>
          <w:iCs/>
          <w:sz w:val="22"/>
          <w:szCs w:val="22"/>
          <w:lang w:val="sk-SK"/>
        </w:rPr>
        <w:t>Candida</w:t>
      </w:r>
      <w:proofErr w:type="spellEnd"/>
      <w:r w:rsidRPr="00D369C9">
        <w:rPr>
          <w:i/>
          <w:iCs/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a významne </w:t>
      </w:r>
      <w:proofErr w:type="spellStart"/>
      <w:r w:rsidRPr="00D369C9">
        <w:rPr>
          <w:sz w:val="22"/>
          <w:szCs w:val="22"/>
          <w:lang w:val="sk-SK"/>
        </w:rPr>
        <w:t>inhibuje</w:t>
      </w:r>
      <w:proofErr w:type="spellEnd"/>
      <w:r w:rsidRPr="00D369C9">
        <w:rPr>
          <w:sz w:val="22"/>
          <w:szCs w:val="22"/>
          <w:lang w:val="sk-SK"/>
        </w:rPr>
        <w:t xml:space="preserve"> aktívne rastúce </w:t>
      </w:r>
      <w:proofErr w:type="spellStart"/>
      <w:r w:rsidRPr="00D369C9">
        <w:rPr>
          <w:sz w:val="22"/>
          <w:szCs w:val="22"/>
          <w:lang w:val="sk-SK"/>
        </w:rPr>
        <w:t>hýfy</w:t>
      </w:r>
      <w:proofErr w:type="spellEnd"/>
      <w:r w:rsidRPr="00D369C9">
        <w:rPr>
          <w:sz w:val="22"/>
          <w:szCs w:val="22"/>
          <w:lang w:val="sk-SK"/>
        </w:rPr>
        <w:t xml:space="preserve"> druhov </w:t>
      </w:r>
      <w:proofErr w:type="spellStart"/>
      <w:r w:rsidRPr="00D369C9">
        <w:rPr>
          <w:i/>
          <w:iCs/>
          <w:sz w:val="22"/>
          <w:szCs w:val="22"/>
          <w:lang w:val="sk-SK"/>
        </w:rPr>
        <w:t>Aspergillus</w:t>
      </w:r>
      <w:proofErr w:type="spellEnd"/>
      <w:r w:rsidRPr="00D369C9">
        <w:rPr>
          <w:sz w:val="22"/>
          <w:szCs w:val="22"/>
          <w:lang w:val="sk-SK"/>
        </w:rPr>
        <w:t xml:space="preserve">. </w:t>
      </w:r>
    </w:p>
    <w:p w14:paraId="7448FFAC" w14:textId="77777777" w:rsidR="00141600" w:rsidRPr="00D369C9" w:rsidRDefault="00141600" w:rsidP="00141600">
      <w:pPr>
        <w:pStyle w:val="Default"/>
        <w:jc w:val="both"/>
        <w:rPr>
          <w:sz w:val="22"/>
          <w:szCs w:val="22"/>
          <w:lang w:val="sk-SK"/>
        </w:rPr>
      </w:pPr>
    </w:p>
    <w:p w14:paraId="2F854D5E" w14:textId="77777777" w:rsidR="003A6469" w:rsidRPr="00D369C9" w:rsidRDefault="00141600" w:rsidP="00141600">
      <w:pPr>
        <w:pStyle w:val="Default"/>
        <w:jc w:val="both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Vzťah PK/PD</w:t>
      </w:r>
    </w:p>
    <w:p w14:paraId="27F5DE80" w14:textId="2A8DA914" w:rsidR="003A6469" w:rsidRPr="00D369C9" w:rsidRDefault="003A6469" w:rsidP="00141600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Na zvieracích modeloch </w:t>
      </w:r>
      <w:proofErr w:type="spellStart"/>
      <w:r w:rsidRPr="00D369C9">
        <w:rPr>
          <w:sz w:val="22"/>
          <w:szCs w:val="22"/>
          <w:lang w:val="sk-SK"/>
        </w:rPr>
        <w:t>kandidózy</w:t>
      </w:r>
      <w:proofErr w:type="spellEnd"/>
      <w:r w:rsidRPr="00D369C9">
        <w:rPr>
          <w:sz w:val="22"/>
          <w:szCs w:val="22"/>
          <w:lang w:val="sk-SK"/>
        </w:rPr>
        <w:t xml:space="preserve"> bola pozorovaná korelácia medzi expozíciou mikafungínu delenou minimálnou inhibičnou koncentráciou MIC (AUC</w:t>
      </w:r>
      <w:r w:rsidR="00CC7110">
        <w:rPr>
          <w:sz w:val="22"/>
          <w:szCs w:val="22"/>
          <w:lang w:val="sk-SK"/>
        </w:rPr>
        <w:t>/MIC</w:t>
      </w:r>
      <w:r w:rsidRPr="00D369C9">
        <w:rPr>
          <w:sz w:val="22"/>
          <w:szCs w:val="22"/>
          <w:lang w:val="sk-SK"/>
        </w:rPr>
        <w:t xml:space="preserve">) a účinnosťou, ktorá je definovaná ako pomer požadovaný na dosiahnutie prevencie progresie rastu kvasiniek. V týchto modeloch boli požadované pomery ~2 400 pre </w:t>
      </w:r>
      <w:r w:rsidRPr="00D369C9">
        <w:rPr>
          <w:i/>
          <w:iCs/>
          <w:sz w:val="22"/>
          <w:szCs w:val="22"/>
          <w:lang w:val="sk-SK"/>
        </w:rPr>
        <w:t>C.</w:t>
      </w:r>
      <w:r w:rsidR="00CC7110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D369C9">
        <w:rPr>
          <w:i/>
          <w:iCs/>
          <w:sz w:val="22"/>
          <w:szCs w:val="22"/>
          <w:lang w:val="sk-SK"/>
        </w:rPr>
        <w:t>albicans</w:t>
      </w:r>
      <w:proofErr w:type="spellEnd"/>
      <w:r w:rsidRPr="00D369C9">
        <w:rPr>
          <w:i/>
          <w:iCs/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a ~ 1 300 pre </w:t>
      </w:r>
      <w:r w:rsidRPr="00D369C9">
        <w:rPr>
          <w:i/>
          <w:iCs/>
          <w:sz w:val="22"/>
          <w:szCs w:val="22"/>
          <w:lang w:val="sk-SK"/>
        </w:rPr>
        <w:t xml:space="preserve">C. </w:t>
      </w:r>
      <w:proofErr w:type="spellStart"/>
      <w:r w:rsidRPr="00D369C9">
        <w:rPr>
          <w:i/>
          <w:iCs/>
          <w:sz w:val="22"/>
          <w:szCs w:val="22"/>
          <w:lang w:val="sk-SK"/>
        </w:rPr>
        <w:t>glabrata</w:t>
      </w:r>
      <w:proofErr w:type="spellEnd"/>
      <w:r w:rsidRPr="00D369C9">
        <w:rPr>
          <w:sz w:val="22"/>
          <w:szCs w:val="22"/>
          <w:lang w:val="sk-SK"/>
        </w:rPr>
        <w:t xml:space="preserve">. Tieto pomery sú dosiahnuteľné pri odporúčaných terapeutických dávkach lieku </w:t>
      </w:r>
      <w:proofErr w:type="spellStart"/>
      <w:r w:rsidR="00F85745" w:rsidRPr="00D369C9">
        <w:rPr>
          <w:sz w:val="22"/>
          <w:szCs w:val="22"/>
          <w:lang w:val="sk-SK"/>
        </w:rPr>
        <w:t>Micafungin</w:t>
      </w:r>
      <w:proofErr w:type="spellEnd"/>
      <w:r w:rsidR="00F85745" w:rsidRPr="00D369C9">
        <w:rPr>
          <w:sz w:val="22"/>
          <w:szCs w:val="22"/>
          <w:lang w:val="sk-SK"/>
        </w:rPr>
        <w:t xml:space="preserve"> </w:t>
      </w:r>
      <w:proofErr w:type="spellStart"/>
      <w:r w:rsidR="00F85745" w:rsidRPr="00D369C9">
        <w:rPr>
          <w:sz w:val="22"/>
          <w:szCs w:val="22"/>
          <w:lang w:val="sk-SK"/>
        </w:rPr>
        <w:t>Olikla</w:t>
      </w:r>
      <w:proofErr w:type="spellEnd"/>
      <w:r w:rsidRPr="00D369C9">
        <w:rPr>
          <w:sz w:val="22"/>
          <w:szCs w:val="22"/>
          <w:lang w:val="sk-SK"/>
        </w:rPr>
        <w:t xml:space="preserve"> pre bežné rozloženie divokých druhov </w:t>
      </w:r>
      <w:proofErr w:type="spellStart"/>
      <w:r w:rsidRPr="00D369C9">
        <w:rPr>
          <w:i/>
          <w:iCs/>
          <w:sz w:val="22"/>
          <w:szCs w:val="22"/>
          <w:lang w:val="sk-SK"/>
        </w:rPr>
        <w:t>Candida</w:t>
      </w:r>
      <w:proofErr w:type="spellEnd"/>
      <w:r w:rsidRPr="00D369C9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spp</w:t>
      </w:r>
      <w:proofErr w:type="spellEnd"/>
      <w:r w:rsidRPr="00D369C9">
        <w:rPr>
          <w:sz w:val="22"/>
          <w:szCs w:val="22"/>
          <w:lang w:val="sk-SK"/>
        </w:rPr>
        <w:t xml:space="preserve">. </w:t>
      </w:r>
    </w:p>
    <w:p w14:paraId="1E6595B1" w14:textId="77777777" w:rsidR="00141600" w:rsidRPr="00D369C9" w:rsidRDefault="00141600" w:rsidP="00141600">
      <w:pPr>
        <w:pStyle w:val="Default"/>
        <w:jc w:val="both"/>
        <w:rPr>
          <w:sz w:val="22"/>
          <w:szCs w:val="22"/>
          <w:lang w:val="sk-SK"/>
        </w:rPr>
      </w:pPr>
    </w:p>
    <w:p w14:paraId="3A2C5BD4" w14:textId="77777777" w:rsidR="003A6469" w:rsidRPr="00D369C9" w:rsidRDefault="003A6469" w:rsidP="00141600">
      <w:pPr>
        <w:pStyle w:val="Default"/>
        <w:jc w:val="both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Mecha</w:t>
      </w:r>
      <w:r w:rsidR="00141600" w:rsidRPr="00D369C9">
        <w:rPr>
          <w:sz w:val="22"/>
          <w:szCs w:val="22"/>
          <w:u w:val="single"/>
          <w:lang w:val="sk-SK"/>
        </w:rPr>
        <w:t>nizmus (mechanizmy) rezistencie</w:t>
      </w:r>
    </w:p>
    <w:p w14:paraId="52CB9427" w14:textId="77777777" w:rsidR="003A6469" w:rsidRPr="00D369C9" w:rsidRDefault="003A6469" w:rsidP="00141600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Rovnako ako pri všetkých </w:t>
      </w:r>
      <w:proofErr w:type="spellStart"/>
      <w:r w:rsidRPr="00D369C9">
        <w:rPr>
          <w:sz w:val="22"/>
          <w:szCs w:val="22"/>
          <w:lang w:val="sk-SK"/>
        </w:rPr>
        <w:t>antimikrobiálnych</w:t>
      </w:r>
      <w:proofErr w:type="spellEnd"/>
      <w:r w:rsidRPr="00D369C9">
        <w:rPr>
          <w:sz w:val="22"/>
          <w:szCs w:val="22"/>
          <w:lang w:val="sk-SK"/>
        </w:rPr>
        <w:t xml:space="preserve"> liečivách boli hlásené prípady zníženej citlivosti a rezistencie a nie je možné vylúčiť skríženú rezistenciu s ostatnými </w:t>
      </w:r>
      <w:proofErr w:type="spellStart"/>
      <w:r w:rsidRPr="00D369C9">
        <w:rPr>
          <w:sz w:val="22"/>
          <w:szCs w:val="22"/>
          <w:lang w:val="sk-SK"/>
        </w:rPr>
        <w:t>echinokandínmi</w:t>
      </w:r>
      <w:proofErr w:type="spellEnd"/>
      <w:r w:rsidRPr="00D369C9">
        <w:rPr>
          <w:sz w:val="22"/>
          <w:szCs w:val="22"/>
          <w:lang w:val="sk-SK"/>
        </w:rPr>
        <w:t xml:space="preserve">. Znížená citlivosť k </w:t>
      </w:r>
      <w:proofErr w:type="spellStart"/>
      <w:r w:rsidRPr="00D369C9">
        <w:rPr>
          <w:sz w:val="22"/>
          <w:szCs w:val="22"/>
          <w:lang w:val="sk-SK"/>
        </w:rPr>
        <w:t>echinokandínom</w:t>
      </w:r>
      <w:proofErr w:type="spellEnd"/>
      <w:r w:rsidRPr="00D369C9">
        <w:rPr>
          <w:sz w:val="22"/>
          <w:szCs w:val="22"/>
          <w:lang w:val="sk-SK"/>
        </w:rPr>
        <w:t xml:space="preserve"> býva spájaná s mutáciou na génoch Fks1 a Fks2, ktoré kódujú hl</w:t>
      </w:r>
      <w:r w:rsidR="00141600" w:rsidRPr="00D369C9">
        <w:rPr>
          <w:sz w:val="22"/>
          <w:szCs w:val="22"/>
          <w:lang w:val="sk-SK"/>
        </w:rPr>
        <w:t xml:space="preserve">avnú </w:t>
      </w:r>
      <w:proofErr w:type="spellStart"/>
      <w:r w:rsidR="00141600" w:rsidRPr="00D369C9">
        <w:rPr>
          <w:sz w:val="22"/>
          <w:szCs w:val="22"/>
          <w:lang w:val="sk-SK"/>
        </w:rPr>
        <w:t>podjednotku</w:t>
      </w:r>
      <w:proofErr w:type="spellEnd"/>
      <w:r w:rsidR="00141600" w:rsidRPr="00D369C9">
        <w:rPr>
          <w:sz w:val="22"/>
          <w:szCs w:val="22"/>
          <w:lang w:val="sk-SK"/>
        </w:rPr>
        <w:t xml:space="preserve"> </w:t>
      </w:r>
      <w:proofErr w:type="spellStart"/>
      <w:r w:rsidR="00141600" w:rsidRPr="00D369C9">
        <w:rPr>
          <w:sz w:val="22"/>
          <w:szCs w:val="22"/>
          <w:lang w:val="sk-SK"/>
        </w:rPr>
        <w:t>glukánsyntázy</w:t>
      </w:r>
      <w:proofErr w:type="spellEnd"/>
      <w:r w:rsidR="00141600" w:rsidRPr="00D369C9">
        <w:rPr>
          <w:sz w:val="22"/>
          <w:szCs w:val="22"/>
          <w:lang w:val="sk-SK"/>
        </w:rPr>
        <w:t>.</w:t>
      </w:r>
    </w:p>
    <w:p w14:paraId="66FF8896" w14:textId="77777777" w:rsidR="00141600" w:rsidRPr="00D369C9" w:rsidRDefault="00141600" w:rsidP="00141600">
      <w:pPr>
        <w:pStyle w:val="Default"/>
        <w:jc w:val="both"/>
        <w:rPr>
          <w:sz w:val="22"/>
          <w:szCs w:val="22"/>
          <w:lang w:val="sk-SK"/>
        </w:rPr>
      </w:pPr>
    </w:p>
    <w:p w14:paraId="7427DC53" w14:textId="77777777" w:rsidR="003A6469" w:rsidRPr="00D369C9" w:rsidRDefault="00141600" w:rsidP="003A6469">
      <w:pPr>
        <w:pStyle w:val="Default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Hraničné hodnoty</w:t>
      </w:r>
    </w:p>
    <w:p w14:paraId="383C4354" w14:textId="77777777" w:rsidR="0049191E" w:rsidRPr="00D369C9" w:rsidRDefault="003A6469" w:rsidP="003A6469">
      <w:pPr>
        <w:rPr>
          <w:szCs w:val="22"/>
        </w:rPr>
      </w:pPr>
      <w:r w:rsidRPr="00D369C9">
        <w:rPr>
          <w:szCs w:val="22"/>
        </w:rPr>
        <w:t>EUCAST hraničné hodnoty</w:t>
      </w:r>
    </w:p>
    <w:p w14:paraId="7AEFCBFF" w14:textId="77777777" w:rsidR="003A6469" w:rsidRPr="00D369C9" w:rsidRDefault="003A6469" w:rsidP="003A6469">
      <w:pPr>
        <w:rPr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2180"/>
        <w:gridCol w:w="2180"/>
      </w:tblGrid>
      <w:tr w:rsidR="00141600" w:rsidRPr="00D369C9" w14:paraId="7117A4F2" w14:textId="77777777" w:rsidTr="00B11FF5">
        <w:tc>
          <w:tcPr>
            <w:tcW w:w="4819" w:type="dxa"/>
            <w:vMerge w:val="restart"/>
            <w:vAlign w:val="center"/>
          </w:tcPr>
          <w:p w14:paraId="5C71F7B6" w14:textId="77777777" w:rsidR="00141600" w:rsidRPr="00D369C9" w:rsidRDefault="00141600" w:rsidP="00141600">
            <w:pPr>
              <w:ind w:left="0" w:firstLine="0"/>
              <w:rPr>
                <w:i/>
                <w:szCs w:val="22"/>
              </w:rPr>
            </w:pPr>
            <w:r w:rsidRPr="00D369C9">
              <w:rPr>
                <w:i/>
                <w:szCs w:val="22"/>
              </w:rPr>
              <w:t xml:space="preserve">Druhy </w:t>
            </w:r>
            <w:proofErr w:type="spellStart"/>
            <w:r w:rsidRPr="00D369C9">
              <w:rPr>
                <w:i/>
                <w:szCs w:val="22"/>
              </w:rPr>
              <w:t>Candida</w:t>
            </w:r>
            <w:proofErr w:type="spellEnd"/>
          </w:p>
        </w:tc>
        <w:tc>
          <w:tcPr>
            <w:tcW w:w="4360" w:type="dxa"/>
            <w:gridSpan w:val="2"/>
          </w:tcPr>
          <w:p w14:paraId="1B38E78C" w14:textId="77777777" w:rsidR="00141600" w:rsidRPr="00D369C9" w:rsidRDefault="00141600" w:rsidP="003A6469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MIC hraničné hodnoty (mg/l)</w:t>
            </w:r>
          </w:p>
        </w:tc>
      </w:tr>
      <w:tr w:rsidR="00141600" w:rsidRPr="00D369C9" w14:paraId="4AB2E7FE" w14:textId="77777777" w:rsidTr="00B11FF5">
        <w:tc>
          <w:tcPr>
            <w:tcW w:w="4819" w:type="dxa"/>
            <w:vMerge/>
          </w:tcPr>
          <w:p w14:paraId="331FD5DF" w14:textId="77777777" w:rsidR="00141600" w:rsidRPr="00D369C9" w:rsidRDefault="00141600" w:rsidP="003A6469">
            <w:pPr>
              <w:ind w:left="0" w:firstLine="0"/>
              <w:rPr>
                <w:i/>
                <w:szCs w:val="22"/>
              </w:rPr>
            </w:pPr>
          </w:p>
        </w:tc>
        <w:tc>
          <w:tcPr>
            <w:tcW w:w="2180" w:type="dxa"/>
          </w:tcPr>
          <w:p w14:paraId="675C8C86" w14:textId="77777777" w:rsidR="00141600" w:rsidRPr="00D369C9" w:rsidRDefault="00141600" w:rsidP="00D93ACB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≤ </w:t>
            </w:r>
            <w:r w:rsidR="00D93ACB" w:rsidRPr="00D369C9">
              <w:rPr>
                <w:szCs w:val="22"/>
              </w:rPr>
              <w:t>C</w:t>
            </w:r>
            <w:r w:rsidRPr="00D369C9">
              <w:rPr>
                <w:szCs w:val="22"/>
              </w:rPr>
              <w:t xml:space="preserve"> (citlivý)</w:t>
            </w:r>
          </w:p>
        </w:tc>
        <w:tc>
          <w:tcPr>
            <w:tcW w:w="2180" w:type="dxa"/>
          </w:tcPr>
          <w:p w14:paraId="6487D994" w14:textId="77777777" w:rsidR="00141600" w:rsidRPr="00D369C9" w:rsidRDefault="00141600" w:rsidP="00D93ACB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&gt; R (</w:t>
            </w:r>
            <w:r w:rsidR="00D93ACB" w:rsidRPr="00D369C9">
              <w:rPr>
                <w:szCs w:val="22"/>
              </w:rPr>
              <w:t>rezistentný</w:t>
            </w:r>
            <w:r w:rsidRPr="00D369C9">
              <w:rPr>
                <w:szCs w:val="22"/>
              </w:rPr>
              <w:t>)</w:t>
            </w:r>
          </w:p>
        </w:tc>
      </w:tr>
      <w:tr w:rsidR="00141600" w:rsidRPr="00D369C9" w14:paraId="6B7CA653" w14:textId="77777777" w:rsidTr="00B11FF5">
        <w:tc>
          <w:tcPr>
            <w:tcW w:w="4819" w:type="dxa"/>
            <w:vMerge w:val="restart"/>
            <w:vAlign w:val="center"/>
          </w:tcPr>
          <w:p w14:paraId="4C7AE453" w14:textId="77777777" w:rsidR="00141600" w:rsidRPr="00D369C9" w:rsidRDefault="00141600" w:rsidP="00141600">
            <w:pPr>
              <w:ind w:left="0" w:firstLine="0"/>
              <w:rPr>
                <w:i/>
                <w:szCs w:val="22"/>
              </w:rPr>
            </w:pPr>
            <w:proofErr w:type="spellStart"/>
            <w:r w:rsidRPr="00D369C9">
              <w:rPr>
                <w:i/>
                <w:szCs w:val="22"/>
              </w:rPr>
              <w:t>Candida</w:t>
            </w:r>
            <w:proofErr w:type="spellEnd"/>
            <w:r w:rsidRPr="00D369C9">
              <w:rPr>
                <w:i/>
                <w:szCs w:val="22"/>
              </w:rPr>
              <w:t xml:space="preserve"> </w:t>
            </w:r>
            <w:proofErr w:type="spellStart"/>
            <w:r w:rsidRPr="00D369C9">
              <w:rPr>
                <w:i/>
                <w:szCs w:val="22"/>
              </w:rPr>
              <w:t>albicans</w:t>
            </w:r>
            <w:proofErr w:type="spellEnd"/>
          </w:p>
        </w:tc>
        <w:tc>
          <w:tcPr>
            <w:tcW w:w="2180" w:type="dxa"/>
          </w:tcPr>
          <w:p w14:paraId="219610F5" w14:textId="77777777" w:rsidR="00141600" w:rsidRPr="00D369C9" w:rsidRDefault="00141600" w:rsidP="003A6469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0,016</w:t>
            </w:r>
          </w:p>
        </w:tc>
        <w:tc>
          <w:tcPr>
            <w:tcW w:w="2180" w:type="dxa"/>
          </w:tcPr>
          <w:p w14:paraId="15154173" w14:textId="77777777" w:rsidR="00141600" w:rsidRPr="00D369C9" w:rsidRDefault="00141600" w:rsidP="003A6469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0,016</w:t>
            </w:r>
          </w:p>
        </w:tc>
      </w:tr>
      <w:tr w:rsidR="00141600" w:rsidRPr="00D369C9" w14:paraId="1D428F1C" w14:textId="77777777" w:rsidTr="00B11FF5">
        <w:tc>
          <w:tcPr>
            <w:tcW w:w="4819" w:type="dxa"/>
            <w:vMerge/>
          </w:tcPr>
          <w:p w14:paraId="2805BE48" w14:textId="77777777" w:rsidR="00141600" w:rsidRPr="00D369C9" w:rsidRDefault="00141600" w:rsidP="003A6469">
            <w:pPr>
              <w:ind w:left="0" w:firstLine="0"/>
              <w:rPr>
                <w:i/>
                <w:szCs w:val="22"/>
              </w:rPr>
            </w:pPr>
          </w:p>
        </w:tc>
        <w:tc>
          <w:tcPr>
            <w:tcW w:w="2180" w:type="dxa"/>
          </w:tcPr>
          <w:p w14:paraId="7F619B02" w14:textId="77777777" w:rsidR="00141600" w:rsidRPr="00D369C9" w:rsidRDefault="00141600" w:rsidP="003A6469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ATU: 0,03</w:t>
            </w:r>
          </w:p>
        </w:tc>
        <w:tc>
          <w:tcPr>
            <w:tcW w:w="2180" w:type="dxa"/>
          </w:tcPr>
          <w:p w14:paraId="5E84872C" w14:textId="77777777" w:rsidR="00141600" w:rsidRPr="00D369C9" w:rsidRDefault="00141600" w:rsidP="003A6469">
            <w:pPr>
              <w:ind w:left="0" w:firstLine="0"/>
              <w:rPr>
                <w:szCs w:val="22"/>
              </w:rPr>
            </w:pPr>
          </w:p>
        </w:tc>
      </w:tr>
      <w:tr w:rsidR="00141600" w:rsidRPr="00D369C9" w14:paraId="610261FE" w14:textId="77777777" w:rsidTr="00B11FF5">
        <w:tc>
          <w:tcPr>
            <w:tcW w:w="4819" w:type="dxa"/>
          </w:tcPr>
          <w:p w14:paraId="1D78DCC5" w14:textId="77777777" w:rsidR="00141600" w:rsidRPr="00D369C9" w:rsidRDefault="00141600" w:rsidP="003A6469">
            <w:pPr>
              <w:ind w:left="0" w:firstLine="0"/>
              <w:rPr>
                <w:i/>
                <w:szCs w:val="22"/>
              </w:rPr>
            </w:pPr>
            <w:proofErr w:type="spellStart"/>
            <w:r w:rsidRPr="00D369C9">
              <w:rPr>
                <w:i/>
                <w:szCs w:val="22"/>
              </w:rPr>
              <w:t>Candida</w:t>
            </w:r>
            <w:proofErr w:type="spellEnd"/>
            <w:r w:rsidRPr="00D369C9">
              <w:rPr>
                <w:i/>
                <w:szCs w:val="22"/>
              </w:rPr>
              <w:t xml:space="preserve"> </w:t>
            </w:r>
            <w:proofErr w:type="spellStart"/>
            <w:r w:rsidRPr="00D369C9">
              <w:rPr>
                <w:i/>
                <w:szCs w:val="22"/>
              </w:rPr>
              <w:t>glabrata</w:t>
            </w:r>
            <w:proofErr w:type="spellEnd"/>
          </w:p>
        </w:tc>
        <w:tc>
          <w:tcPr>
            <w:tcW w:w="2180" w:type="dxa"/>
          </w:tcPr>
          <w:p w14:paraId="40BA42DD" w14:textId="77777777" w:rsidR="00141600" w:rsidRPr="00D369C9" w:rsidRDefault="00141600" w:rsidP="003A6469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0,03</w:t>
            </w:r>
          </w:p>
        </w:tc>
        <w:tc>
          <w:tcPr>
            <w:tcW w:w="2180" w:type="dxa"/>
          </w:tcPr>
          <w:p w14:paraId="44A3F532" w14:textId="77777777" w:rsidR="00141600" w:rsidRPr="00D369C9" w:rsidRDefault="00141600" w:rsidP="003A6469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0,03</w:t>
            </w:r>
          </w:p>
        </w:tc>
      </w:tr>
      <w:tr w:rsidR="00141600" w:rsidRPr="00D369C9" w14:paraId="191353CC" w14:textId="77777777" w:rsidTr="00B11FF5">
        <w:tc>
          <w:tcPr>
            <w:tcW w:w="4819" w:type="dxa"/>
          </w:tcPr>
          <w:p w14:paraId="33763D84" w14:textId="77777777" w:rsidR="00141600" w:rsidRPr="00D369C9" w:rsidRDefault="00141600" w:rsidP="003A6469">
            <w:pPr>
              <w:ind w:left="0" w:firstLine="0"/>
              <w:rPr>
                <w:i/>
                <w:szCs w:val="22"/>
              </w:rPr>
            </w:pPr>
            <w:proofErr w:type="spellStart"/>
            <w:r w:rsidRPr="00D369C9">
              <w:rPr>
                <w:i/>
                <w:szCs w:val="22"/>
              </w:rPr>
              <w:t>Candida</w:t>
            </w:r>
            <w:proofErr w:type="spellEnd"/>
            <w:r w:rsidRPr="00D369C9">
              <w:rPr>
                <w:i/>
                <w:szCs w:val="22"/>
              </w:rPr>
              <w:t xml:space="preserve"> </w:t>
            </w:r>
            <w:proofErr w:type="spellStart"/>
            <w:r w:rsidRPr="00D369C9">
              <w:rPr>
                <w:i/>
                <w:szCs w:val="22"/>
              </w:rPr>
              <w:t>parapsilosis</w:t>
            </w:r>
            <w:proofErr w:type="spellEnd"/>
          </w:p>
        </w:tc>
        <w:tc>
          <w:tcPr>
            <w:tcW w:w="2180" w:type="dxa"/>
          </w:tcPr>
          <w:p w14:paraId="5A22CE8A" w14:textId="77777777" w:rsidR="00141600" w:rsidRPr="00D369C9" w:rsidRDefault="00141600" w:rsidP="003A6469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2</w:t>
            </w:r>
          </w:p>
        </w:tc>
        <w:tc>
          <w:tcPr>
            <w:tcW w:w="2180" w:type="dxa"/>
          </w:tcPr>
          <w:p w14:paraId="045A58F5" w14:textId="77777777" w:rsidR="00141600" w:rsidRPr="00D369C9" w:rsidRDefault="00141600" w:rsidP="003A6469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2</w:t>
            </w:r>
          </w:p>
        </w:tc>
      </w:tr>
      <w:tr w:rsidR="00141600" w:rsidRPr="00D369C9" w14:paraId="6171D842" w14:textId="77777777" w:rsidTr="00B11FF5">
        <w:tc>
          <w:tcPr>
            <w:tcW w:w="4819" w:type="dxa"/>
          </w:tcPr>
          <w:p w14:paraId="158273B5" w14:textId="77777777" w:rsidR="00141600" w:rsidRPr="00D369C9" w:rsidRDefault="00141600" w:rsidP="003A6469">
            <w:pPr>
              <w:ind w:left="0" w:firstLine="0"/>
              <w:rPr>
                <w:i/>
                <w:szCs w:val="22"/>
              </w:rPr>
            </w:pPr>
            <w:proofErr w:type="spellStart"/>
            <w:r w:rsidRPr="00D369C9">
              <w:rPr>
                <w:i/>
                <w:szCs w:val="22"/>
              </w:rPr>
              <w:t>Candida</w:t>
            </w:r>
            <w:proofErr w:type="spellEnd"/>
            <w:r w:rsidRPr="00D369C9">
              <w:rPr>
                <w:i/>
                <w:szCs w:val="22"/>
              </w:rPr>
              <w:t xml:space="preserve"> tropicalis</w:t>
            </w:r>
            <w:r w:rsidR="00D93ACB" w:rsidRPr="00D369C9">
              <w:rPr>
                <w:i/>
                <w:szCs w:val="22"/>
                <w:vertAlign w:val="superscript"/>
              </w:rPr>
              <w:t>1</w:t>
            </w:r>
          </w:p>
        </w:tc>
        <w:tc>
          <w:tcPr>
            <w:tcW w:w="4360" w:type="dxa"/>
            <w:gridSpan w:val="2"/>
          </w:tcPr>
          <w:p w14:paraId="489D9BE1" w14:textId="77777777" w:rsidR="00141600" w:rsidRPr="00D369C9" w:rsidRDefault="00D93ACB" w:rsidP="003A6469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Nie je dostatok dôkazov</w:t>
            </w:r>
          </w:p>
        </w:tc>
      </w:tr>
      <w:tr w:rsidR="00D93ACB" w:rsidRPr="00D369C9" w14:paraId="50BF77FC" w14:textId="77777777" w:rsidTr="00B11FF5">
        <w:tc>
          <w:tcPr>
            <w:tcW w:w="4819" w:type="dxa"/>
          </w:tcPr>
          <w:p w14:paraId="67824DCA" w14:textId="77777777" w:rsidR="00D93ACB" w:rsidRPr="00D369C9" w:rsidRDefault="00D93ACB" w:rsidP="003A6469">
            <w:pPr>
              <w:ind w:left="0" w:firstLine="0"/>
              <w:rPr>
                <w:i/>
                <w:szCs w:val="22"/>
              </w:rPr>
            </w:pPr>
            <w:proofErr w:type="spellStart"/>
            <w:r w:rsidRPr="00D369C9">
              <w:rPr>
                <w:i/>
                <w:szCs w:val="22"/>
              </w:rPr>
              <w:t>Candida</w:t>
            </w:r>
            <w:proofErr w:type="spellEnd"/>
            <w:r w:rsidRPr="00D369C9">
              <w:rPr>
                <w:i/>
                <w:szCs w:val="22"/>
              </w:rPr>
              <w:t xml:space="preserve"> krusei</w:t>
            </w:r>
            <w:r w:rsidRPr="00D369C9">
              <w:rPr>
                <w:i/>
                <w:szCs w:val="22"/>
                <w:vertAlign w:val="superscript"/>
              </w:rPr>
              <w:t>1</w:t>
            </w:r>
          </w:p>
        </w:tc>
        <w:tc>
          <w:tcPr>
            <w:tcW w:w="4360" w:type="dxa"/>
            <w:gridSpan w:val="2"/>
          </w:tcPr>
          <w:p w14:paraId="0CEF3B37" w14:textId="77777777" w:rsidR="00D93ACB" w:rsidRPr="00D369C9" w:rsidRDefault="00D93ACB" w:rsidP="00535D1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Nie je dostatok dôkazov</w:t>
            </w:r>
          </w:p>
        </w:tc>
      </w:tr>
      <w:tr w:rsidR="00D93ACB" w:rsidRPr="00D369C9" w14:paraId="754EE58D" w14:textId="77777777" w:rsidTr="00B11FF5">
        <w:tc>
          <w:tcPr>
            <w:tcW w:w="4819" w:type="dxa"/>
          </w:tcPr>
          <w:p w14:paraId="5C6AD191" w14:textId="77777777" w:rsidR="00D93ACB" w:rsidRPr="00D369C9" w:rsidRDefault="00D93ACB" w:rsidP="003A6469">
            <w:pPr>
              <w:ind w:left="0" w:firstLine="0"/>
              <w:rPr>
                <w:i/>
                <w:szCs w:val="22"/>
              </w:rPr>
            </w:pPr>
            <w:proofErr w:type="spellStart"/>
            <w:r w:rsidRPr="00D369C9">
              <w:rPr>
                <w:i/>
                <w:szCs w:val="22"/>
              </w:rPr>
              <w:t>Candida</w:t>
            </w:r>
            <w:proofErr w:type="spellEnd"/>
            <w:r w:rsidRPr="00D369C9">
              <w:rPr>
                <w:i/>
                <w:szCs w:val="22"/>
              </w:rPr>
              <w:t xml:space="preserve"> guilliermondii</w:t>
            </w:r>
            <w:r w:rsidRPr="00D369C9">
              <w:rPr>
                <w:i/>
                <w:szCs w:val="22"/>
                <w:vertAlign w:val="superscript"/>
              </w:rPr>
              <w:t>1</w:t>
            </w:r>
          </w:p>
        </w:tc>
        <w:tc>
          <w:tcPr>
            <w:tcW w:w="4360" w:type="dxa"/>
            <w:gridSpan w:val="2"/>
          </w:tcPr>
          <w:p w14:paraId="08F68B69" w14:textId="77777777" w:rsidR="00D93ACB" w:rsidRPr="00D369C9" w:rsidRDefault="00D93ACB" w:rsidP="00535D1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Nie je dostatok dôkazov</w:t>
            </w:r>
          </w:p>
        </w:tc>
      </w:tr>
      <w:tr w:rsidR="00D93ACB" w:rsidRPr="00D369C9" w14:paraId="5D22141D" w14:textId="77777777" w:rsidTr="00B11FF5">
        <w:tc>
          <w:tcPr>
            <w:tcW w:w="4819" w:type="dxa"/>
          </w:tcPr>
          <w:p w14:paraId="6EC94B14" w14:textId="77777777" w:rsidR="00D93ACB" w:rsidRPr="00D369C9" w:rsidRDefault="00D93ACB" w:rsidP="003A6469">
            <w:pPr>
              <w:ind w:left="0" w:firstLine="0"/>
              <w:rPr>
                <w:i/>
                <w:szCs w:val="22"/>
              </w:rPr>
            </w:pPr>
            <w:r w:rsidRPr="00D369C9">
              <w:rPr>
                <w:szCs w:val="22"/>
              </w:rPr>
              <w:t xml:space="preserve">Ďalšie </w:t>
            </w:r>
            <w:proofErr w:type="spellStart"/>
            <w:r w:rsidRPr="00D369C9">
              <w:rPr>
                <w:i/>
                <w:szCs w:val="22"/>
              </w:rPr>
              <w:t>Candida</w:t>
            </w:r>
            <w:proofErr w:type="spellEnd"/>
            <w:r w:rsidRPr="00D369C9">
              <w:rPr>
                <w:i/>
                <w:szCs w:val="22"/>
              </w:rPr>
              <w:t xml:space="preserve"> </w:t>
            </w:r>
            <w:proofErr w:type="spellStart"/>
            <w:r w:rsidRPr="00D369C9">
              <w:rPr>
                <w:i/>
                <w:szCs w:val="22"/>
              </w:rPr>
              <w:t>spp</w:t>
            </w:r>
            <w:proofErr w:type="spellEnd"/>
            <w:r w:rsidRPr="00D369C9">
              <w:rPr>
                <w:i/>
                <w:szCs w:val="22"/>
              </w:rPr>
              <w:t>.</w:t>
            </w:r>
          </w:p>
        </w:tc>
        <w:tc>
          <w:tcPr>
            <w:tcW w:w="4360" w:type="dxa"/>
            <w:gridSpan w:val="2"/>
          </w:tcPr>
          <w:p w14:paraId="3B523E05" w14:textId="77777777" w:rsidR="00D93ACB" w:rsidRPr="00D369C9" w:rsidRDefault="00D93ACB" w:rsidP="00535D12">
            <w:pPr>
              <w:ind w:left="0" w:firstLine="0"/>
              <w:rPr>
                <w:szCs w:val="22"/>
              </w:rPr>
            </w:pPr>
            <w:r w:rsidRPr="00D369C9">
              <w:rPr>
                <w:szCs w:val="22"/>
              </w:rPr>
              <w:t>Nie je dostatok dôkazov</w:t>
            </w:r>
          </w:p>
        </w:tc>
      </w:tr>
      <w:tr w:rsidR="00D93ACB" w:rsidRPr="00D369C9" w14:paraId="3368DD03" w14:textId="77777777" w:rsidTr="00B11FF5">
        <w:tc>
          <w:tcPr>
            <w:tcW w:w="9179" w:type="dxa"/>
            <w:gridSpan w:val="3"/>
          </w:tcPr>
          <w:p w14:paraId="7F6A959E" w14:textId="77777777" w:rsidR="00D93ACB" w:rsidRPr="00D369C9" w:rsidRDefault="00D93ACB" w:rsidP="00D93ACB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position w:val="8"/>
                <w:sz w:val="14"/>
                <w:szCs w:val="14"/>
                <w:vertAlign w:val="superscript"/>
                <w:lang w:val="sk-SK"/>
              </w:rPr>
              <w:t>1</w:t>
            </w:r>
            <w:r w:rsidRPr="00D369C9">
              <w:rPr>
                <w:sz w:val="22"/>
                <w:szCs w:val="22"/>
                <w:lang w:val="sk-SK"/>
              </w:rPr>
              <w:t xml:space="preserve">MIC sú pre </w:t>
            </w:r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C. </w:t>
            </w:r>
            <w:proofErr w:type="spellStart"/>
            <w:r w:rsidRPr="00D369C9">
              <w:rPr>
                <w:i/>
                <w:iCs/>
                <w:sz w:val="22"/>
                <w:szCs w:val="22"/>
                <w:lang w:val="sk-SK"/>
              </w:rPr>
              <w:t>tropicalis</w:t>
            </w:r>
            <w:proofErr w:type="spellEnd"/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D369C9">
              <w:rPr>
                <w:sz w:val="22"/>
                <w:szCs w:val="22"/>
                <w:lang w:val="sk-SK"/>
              </w:rPr>
              <w:t>o</w:t>
            </w:r>
            <w:r w:rsidR="00B11FF5">
              <w:rPr>
                <w:sz w:val="22"/>
                <w:szCs w:val="22"/>
                <w:lang w:val="sk-SK"/>
              </w:rPr>
              <w:t> </w:t>
            </w:r>
            <w:r w:rsidRPr="00D369C9">
              <w:rPr>
                <w:sz w:val="22"/>
                <w:szCs w:val="22"/>
                <w:lang w:val="sk-SK"/>
              </w:rPr>
              <w:t>1</w:t>
            </w:r>
            <w:r w:rsidR="00B11FF5">
              <w:rPr>
                <w:sz w:val="22"/>
                <w:szCs w:val="22"/>
                <w:lang w:val="sk-SK"/>
              </w:rPr>
              <w:t>–</w:t>
            </w:r>
            <w:r w:rsidRPr="00D369C9">
              <w:rPr>
                <w:sz w:val="22"/>
                <w:szCs w:val="22"/>
                <w:lang w:val="sk-SK"/>
              </w:rPr>
              <w:t xml:space="preserve">2 stupne dvojnásobného riedenia vyššie ako pre </w:t>
            </w:r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C. </w:t>
            </w:r>
            <w:proofErr w:type="spellStart"/>
            <w:r w:rsidRPr="00D369C9">
              <w:rPr>
                <w:i/>
                <w:iCs/>
                <w:sz w:val="22"/>
                <w:szCs w:val="22"/>
                <w:lang w:val="sk-SK"/>
              </w:rPr>
              <w:t>albicans</w:t>
            </w:r>
            <w:proofErr w:type="spellEnd"/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D369C9">
              <w:rPr>
                <w:sz w:val="22"/>
                <w:szCs w:val="22"/>
                <w:lang w:val="sk-SK"/>
              </w:rPr>
              <w:t xml:space="preserve">a </w:t>
            </w:r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C. </w:t>
            </w:r>
            <w:proofErr w:type="spellStart"/>
            <w:r w:rsidRPr="00D369C9">
              <w:rPr>
                <w:i/>
                <w:iCs/>
                <w:sz w:val="22"/>
                <w:szCs w:val="22"/>
                <w:lang w:val="sk-SK"/>
              </w:rPr>
              <w:t>glabrata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. Úspešný výsledok bol v klinických štúdiách číselne mierne nižší pre </w:t>
            </w:r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C. </w:t>
            </w:r>
            <w:proofErr w:type="spellStart"/>
            <w:r w:rsidRPr="00D369C9">
              <w:rPr>
                <w:i/>
                <w:iCs/>
                <w:sz w:val="22"/>
                <w:szCs w:val="22"/>
                <w:lang w:val="sk-SK"/>
              </w:rPr>
              <w:t>tropicalis</w:t>
            </w:r>
            <w:proofErr w:type="spellEnd"/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D369C9">
              <w:rPr>
                <w:sz w:val="22"/>
                <w:szCs w:val="22"/>
                <w:lang w:val="sk-SK"/>
              </w:rPr>
              <w:t xml:space="preserve">ako pre </w:t>
            </w:r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C. </w:t>
            </w:r>
            <w:proofErr w:type="spellStart"/>
            <w:r w:rsidRPr="00D369C9">
              <w:rPr>
                <w:i/>
                <w:iCs/>
                <w:sz w:val="22"/>
                <w:szCs w:val="22"/>
                <w:lang w:val="sk-SK"/>
              </w:rPr>
              <w:t>albicans</w:t>
            </w:r>
            <w:proofErr w:type="spellEnd"/>
            <w:r w:rsidRPr="00D369C9">
              <w:rPr>
                <w:sz w:val="22"/>
                <w:szCs w:val="22"/>
                <w:lang w:val="sk-SK"/>
              </w:rPr>
              <w:t xml:space="preserve">, čo platí pre obe dávky (100 a 150 mg na deň). Tento rozdiel však nebol signifikantný a nie je známe, či má relevantný klinický význam. </w:t>
            </w:r>
          </w:p>
          <w:p w14:paraId="36FABC9E" w14:textId="77777777" w:rsidR="00D93ACB" w:rsidRPr="00D369C9" w:rsidRDefault="00D93ACB" w:rsidP="00D93ACB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D369C9">
              <w:rPr>
                <w:sz w:val="22"/>
                <w:szCs w:val="22"/>
                <w:lang w:val="sk-SK"/>
              </w:rPr>
              <w:t xml:space="preserve">MIC pre </w:t>
            </w:r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C. </w:t>
            </w:r>
            <w:proofErr w:type="spellStart"/>
            <w:r w:rsidRPr="00D369C9">
              <w:rPr>
                <w:i/>
                <w:iCs/>
                <w:sz w:val="22"/>
                <w:szCs w:val="22"/>
                <w:lang w:val="sk-SK"/>
              </w:rPr>
              <w:t>krusei</w:t>
            </w:r>
            <w:proofErr w:type="spellEnd"/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D369C9">
              <w:rPr>
                <w:sz w:val="22"/>
                <w:szCs w:val="22"/>
                <w:lang w:val="sk-SK"/>
              </w:rPr>
              <w:t xml:space="preserve">sú približne o tri stupne dvojnásobného riedenia vyššie ako pre </w:t>
            </w:r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C. </w:t>
            </w:r>
            <w:proofErr w:type="spellStart"/>
            <w:r w:rsidRPr="00D369C9">
              <w:rPr>
                <w:i/>
                <w:iCs/>
                <w:sz w:val="22"/>
                <w:szCs w:val="22"/>
                <w:lang w:val="sk-SK"/>
              </w:rPr>
              <w:t>albicans</w:t>
            </w:r>
            <w:proofErr w:type="spellEnd"/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D369C9">
              <w:rPr>
                <w:sz w:val="22"/>
                <w:szCs w:val="22"/>
                <w:lang w:val="sk-SK"/>
              </w:rPr>
              <w:t xml:space="preserve">a podobne pre </w:t>
            </w:r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C. </w:t>
            </w:r>
            <w:proofErr w:type="spellStart"/>
            <w:r w:rsidRPr="00D369C9">
              <w:rPr>
                <w:i/>
                <w:iCs/>
                <w:sz w:val="22"/>
                <w:szCs w:val="22"/>
                <w:lang w:val="sk-SK"/>
              </w:rPr>
              <w:t>guilliermondii</w:t>
            </w:r>
            <w:proofErr w:type="spellEnd"/>
            <w:r w:rsidRPr="00D369C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D369C9">
              <w:rPr>
                <w:sz w:val="22"/>
                <w:szCs w:val="22"/>
                <w:lang w:val="sk-SK"/>
              </w:rPr>
              <w:t xml:space="preserve">sú MIC o osem stupňov dvojnásobného riedenia vyššie. </w:t>
            </w:r>
          </w:p>
          <w:p w14:paraId="4C22DABB" w14:textId="77777777" w:rsidR="00D93ACB" w:rsidRPr="00D369C9" w:rsidRDefault="00D93ACB" w:rsidP="00D93ACB">
            <w:pPr>
              <w:ind w:left="0" w:firstLine="0"/>
              <w:jc w:val="both"/>
              <w:rPr>
                <w:szCs w:val="22"/>
              </w:rPr>
            </w:pPr>
            <w:r w:rsidRPr="00D369C9">
              <w:rPr>
                <w:szCs w:val="22"/>
              </w:rPr>
              <w:t xml:space="preserve">Navyše v klinických štúdiách len malé množstvo klinických prípadov zahŕňalo tieto druhy. To znamená, že nie je dostatok dôkazov na to, aby divoké rody týchto patogénov mohli byť považované za citlivé na </w:t>
            </w:r>
            <w:proofErr w:type="spellStart"/>
            <w:r w:rsidRPr="00D369C9">
              <w:rPr>
                <w:szCs w:val="22"/>
              </w:rPr>
              <w:t>mikafungín</w:t>
            </w:r>
            <w:proofErr w:type="spellEnd"/>
            <w:r w:rsidRPr="00D369C9">
              <w:rPr>
                <w:szCs w:val="22"/>
              </w:rPr>
              <w:t>.</w:t>
            </w:r>
          </w:p>
          <w:p w14:paraId="702E0FE6" w14:textId="77777777" w:rsidR="00D93ACB" w:rsidRPr="00D369C9" w:rsidRDefault="00D93ACB" w:rsidP="00D93ACB">
            <w:pPr>
              <w:ind w:left="0" w:firstLine="0"/>
              <w:jc w:val="both"/>
              <w:rPr>
                <w:szCs w:val="22"/>
              </w:rPr>
            </w:pPr>
          </w:p>
          <w:p w14:paraId="3224CDD6" w14:textId="77777777" w:rsidR="00D93ACB" w:rsidRPr="00D369C9" w:rsidRDefault="00D93ACB" w:rsidP="00D93ACB">
            <w:pPr>
              <w:ind w:left="0" w:firstLine="0"/>
              <w:jc w:val="both"/>
              <w:rPr>
                <w:szCs w:val="22"/>
              </w:rPr>
            </w:pPr>
            <w:r w:rsidRPr="00D369C9">
              <w:rPr>
                <w:szCs w:val="22"/>
              </w:rPr>
              <w:t>Poznámka k ATU</w:t>
            </w:r>
          </w:p>
          <w:p w14:paraId="48F95825" w14:textId="77777777" w:rsidR="00D93ACB" w:rsidRPr="00D369C9" w:rsidRDefault="00D93ACB" w:rsidP="00D93ACB">
            <w:pPr>
              <w:ind w:left="0" w:firstLine="0"/>
              <w:jc w:val="both"/>
              <w:rPr>
                <w:szCs w:val="22"/>
              </w:rPr>
            </w:pPr>
          </w:p>
          <w:p w14:paraId="20B74F45" w14:textId="179C1C8A" w:rsidR="00D93ACB" w:rsidRPr="00D369C9" w:rsidRDefault="00D93ACB" w:rsidP="00D93ACB">
            <w:pPr>
              <w:ind w:left="0" w:firstLine="0"/>
              <w:jc w:val="both"/>
              <w:rPr>
                <w:szCs w:val="22"/>
              </w:rPr>
            </w:pPr>
            <w:r w:rsidRPr="00D369C9">
              <w:rPr>
                <w:szCs w:val="22"/>
              </w:rPr>
              <w:lastRenderedPageBreak/>
              <w:t xml:space="preserve">Ak je citlivá na </w:t>
            </w:r>
            <w:proofErr w:type="spellStart"/>
            <w:r w:rsidRPr="00D369C9">
              <w:rPr>
                <w:szCs w:val="22"/>
              </w:rPr>
              <w:t>anidulafungín</w:t>
            </w:r>
            <w:proofErr w:type="spellEnd"/>
            <w:r w:rsidRPr="00D369C9">
              <w:rPr>
                <w:szCs w:val="22"/>
              </w:rPr>
              <w:t>, nahláste ho ako C a doplňte nasledujúcu poznámku: „</w:t>
            </w:r>
            <w:proofErr w:type="spellStart"/>
            <w:r w:rsidRPr="00D369C9">
              <w:rPr>
                <w:szCs w:val="22"/>
              </w:rPr>
              <w:t>Izoláty</w:t>
            </w:r>
            <w:proofErr w:type="spellEnd"/>
            <w:r w:rsidRPr="00D369C9">
              <w:rPr>
                <w:szCs w:val="22"/>
              </w:rPr>
              <w:t xml:space="preserve"> citlivé na </w:t>
            </w:r>
            <w:proofErr w:type="spellStart"/>
            <w:r w:rsidRPr="00D369C9">
              <w:rPr>
                <w:szCs w:val="22"/>
              </w:rPr>
              <w:t>anidulafungín</w:t>
            </w:r>
            <w:proofErr w:type="spellEnd"/>
            <w:r w:rsidRPr="00D369C9">
              <w:rPr>
                <w:szCs w:val="22"/>
              </w:rPr>
              <w:t xml:space="preserve"> s MIC mikafungínu 0,03 mg/l neobsahujú mutáciu </w:t>
            </w:r>
            <w:proofErr w:type="spellStart"/>
            <w:r w:rsidRPr="00D369C9">
              <w:rPr>
                <w:szCs w:val="22"/>
              </w:rPr>
              <w:t>fks</w:t>
            </w:r>
            <w:proofErr w:type="spellEnd"/>
            <w:r w:rsidRPr="00D369C9">
              <w:rPr>
                <w:szCs w:val="22"/>
              </w:rPr>
              <w:t xml:space="preserve">, ktorá udeľuje rezistenciu na </w:t>
            </w:r>
            <w:proofErr w:type="spellStart"/>
            <w:r w:rsidRPr="00D369C9">
              <w:rPr>
                <w:szCs w:val="22"/>
              </w:rPr>
              <w:t>echinokandíny</w:t>
            </w:r>
            <w:proofErr w:type="spellEnd"/>
            <w:r w:rsidRPr="00D369C9">
              <w:rPr>
                <w:szCs w:val="22"/>
              </w:rPr>
              <w:t xml:space="preserve">“. Ak nie je citlivá na </w:t>
            </w:r>
            <w:proofErr w:type="spellStart"/>
            <w:r w:rsidRPr="00D369C9">
              <w:rPr>
                <w:szCs w:val="22"/>
              </w:rPr>
              <w:t>anidulafungín</w:t>
            </w:r>
            <w:proofErr w:type="spellEnd"/>
            <w:r w:rsidRPr="00D369C9">
              <w:rPr>
                <w:szCs w:val="22"/>
              </w:rPr>
              <w:t>, nahláste ako R a pozrite si referenčné laboratórium, kde sa sledujú a potvrdzujú MIC.</w:t>
            </w:r>
          </w:p>
        </w:tc>
      </w:tr>
    </w:tbl>
    <w:p w14:paraId="143BB818" w14:textId="77777777" w:rsidR="003A6469" w:rsidRPr="00D369C9" w:rsidRDefault="00D93ACB" w:rsidP="00D93ACB">
      <w:pPr>
        <w:pStyle w:val="Default"/>
        <w:jc w:val="both"/>
        <w:rPr>
          <w:sz w:val="22"/>
          <w:szCs w:val="22"/>
          <w:u w:val="single"/>
          <w:lang w:val="sk-SK"/>
        </w:rPr>
      </w:pPr>
      <w:r w:rsidRPr="00FD4061">
        <w:rPr>
          <w:sz w:val="22"/>
          <w:szCs w:val="22"/>
          <w:u w:val="single"/>
          <w:lang w:val="sk-SK"/>
        </w:rPr>
        <w:lastRenderedPageBreak/>
        <w:t>Informácie z kl</w:t>
      </w:r>
      <w:r w:rsidRPr="00376340">
        <w:rPr>
          <w:sz w:val="22"/>
          <w:szCs w:val="22"/>
          <w:u w:val="single"/>
          <w:lang w:val="sk-SK"/>
        </w:rPr>
        <w:t>inických štúdií</w:t>
      </w:r>
    </w:p>
    <w:p w14:paraId="52121C7A" w14:textId="77777777" w:rsidR="00D93ACB" w:rsidRPr="00D369C9" w:rsidRDefault="00D93ACB" w:rsidP="00D93ACB">
      <w:pPr>
        <w:pStyle w:val="Default"/>
        <w:jc w:val="both"/>
        <w:rPr>
          <w:sz w:val="22"/>
          <w:szCs w:val="22"/>
          <w:lang w:val="sk-SK"/>
        </w:rPr>
      </w:pPr>
    </w:p>
    <w:p w14:paraId="1BDB5129" w14:textId="77777777" w:rsidR="003A6469" w:rsidRPr="00D369C9" w:rsidRDefault="003A6469" w:rsidP="00D93ACB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i/>
          <w:iCs/>
          <w:sz w:val="22"/>
          <w:szCs w:val="22"/>
          <w:lang w:val="sk-SK"/>
        </w:rPr>
        <w:t>Kandidémia</w:t>
      </w:r>
      <w:proofErr w:type="spellEnd"/>
      <w:r w:rsidRPr="00D369C9">
        <w:rPr>
          <w:i/>
          <w:iCs/>
          <w:sz w:val="22"/>
          <w:szCs w:val="22"/>
          <w:lang w:val="sk-SK"/>
        </w:rPr>
        <w:t xml:space="preserve"> a invazívna </w:t>
      </w:r>
      <w:proofErr w:type="spellStart"/>
      <w:r w:rsidRPr="00D369C9">
        <w:rPr>
          <w:i/>
          <w:iCs/>
          <w:sz w:val="22"/>
          <w:szCs w:val="22"/>
          <w:lang w:val="sk-SK"/>
        </w:rPr>
        <w:t>kandidóza</w:t>
      </w:r>
      <w:proofErr w:type="spellEnd"/>
      <w:r w:rsidRPr="00D369C9">
        <w:rPr>
          <w:i/>
          <w:iCs/>
          <w:sz w:val="22"/>
          <w:szCs w:val="22"/>
          <w:lang w:val="sk-SK"/>
        </w:rPr>
        <w:t xml:space="preserve">: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(100 mg/deň alebo 2 mg/kg/deň) bol rovnako účinný a lepšie tolerovaný ako </w:t>
      </w:r>
      <w:proofErr w:type="spellStart"/>
      <w:r w:rsidRPr="00D369C9">
        <w:rPr>
          <w:sz w:val="22"/>
          <w:szCs w:val="22"/>
          <w:lang w:val="sk-SK"/>
        </w:rPr>
        <w:t>lipozomálny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amfotericín</w:t>
      </w:r>
      <w:proofErr w:type="spellEnd"/>
      <w:r w:rsidRPr="00D369C9">
        <w:rPr>
          <w:sz w:val="22"/>
          <w:szCs w:val="22"/>
          <w:lang w:val="sk-SK"/>
        </w:rPr>
        <w:t xml:space="preserve"> B (3 mg/kg), keď bol podávaný ako liek prvej voľby pri </w:t>
      </w:r>
      <w:proofErr w:type="spellStart"/>
      <w:r w:rsidRPr="00D369C9">
        <w:rPr>
          <w:sz w:val="22"/>
          <w:szCs w:val="22"/>
          <w:lang w:val="sk-SK"/>
        </w:rPr>
        <w:t>kandidémii</w:t>
      </w:r>
      <w:proofErr w:type="spellEnd"/>
      <w:r w:rsidRPr="00D369C9">
        <w:rPr>
          <w:sz w:val="22"/>
          <w:szCs w:val="22"/>
          <w:lang w:val="sk-SK"/>
        </w:rPr>
        <w:t xml:space="preserve"> a invazívnej </w:t>
      </w:r>
      <w:proofErr w:type="spellStart"/>
      <w:r w:rsidRPr="00D369C9">
        <w:rPr>
          <w:sz w:val="22"/>
          <w:szCs w:val="22"/>
          <w:lang w:val="sk-SK"/>
        </w:rPr>
        <w:t>kandidóze</w:t>
      </w:r>
      <w:proofErr w:type="spellEnd"/>
      <w:r w:rsidRPr="00D369C9">
        <w:rPr>
          <w:sz w:val="22"/>
          <w:szCs w:val="22"/>
          <w:lang w:val="sk-SK"/>
        </w:rPr>
        <w:t xml:space="preserve"> v </w:t>
      </w:r>
      <w:proofErr w:type="spellStart"/>
      <w:r w:rsidRPr="00D369C9">
        <w:rPr>
          <w:sz w:val="22"/>
          <w:szCs w:val="22"/>
          <w:lang w:val="sk-SK"/>
        </w:rPr>
        <w:t>randomizovanej</w:t>
      </w:r>
      <w:proofErr w:type="spellEnd"/>
      <w:r w:rsidRPr="00D369C9">
        <w:rPr>
          <w:sz w:val="22"/>
          <w:szCs w:val="22"/>
          <w:lang w:val="sk-SK"/>
        </w:rPr>
        <w:t xml:space="preserve">, dvojito-zaslepenej, medzinárodnej, </w:t>
      </w:r>
      <w:proofErr w:type="spellStart"/>
      <w:r w:rsidRPr="00D369C9">
        <w:rPr>
          <w:sz w:val="22"/>
          <w:szCs w:val="22"/>
          <w:lang w:val="sk-SK"/>
        </w:rPr>
        <w:t>non-inferioritnej</w:t>
      </w:r>
      <w:proofErr w:type="spellEnd"/>
      <w:r w:rsidRPr="00D369C9">
        <w:rPr>
          <w:sz w:val="22"/>
          <w:szCs w:val="22"/>
          <w:lang w:val="sk-SK"/>
        </w:rPr>
        <w:t xml:space="preserve"> štúdii.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a </w:t>
      </w:r>
      <w:proofErr w:type="spellStart"/>
      <w:r w:rsidRPr="00D369C9">
        <w:rPr>
          <w:sz w:val="22"/>
          <w:szCs w:val="22"/>
          <w:lang w:val="sk-SK"/>
        </w:rPr>
        <w:t>lipozomálny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amfotericín</w:t>
      </w:r>
      <w:proofErr w:type="spellEnd"/>
      <w:r w:rsidRPr="00D369C9">
        <w:rPr>
          <w:sz w:val="22"/>
          <w:szCs w:val="22"/>
          <w:lang w:val="sk-SK"/>
        </w:rPr>
        <w:t xml:space="preserve"> B sa podávali s mediánom trvania 15 dní (v rozmedzí 4 až 42 dní u d</w:t>
      </w:r>
      <w:r w:rsidR="00D93ACB" w:rsidRPr="00D369C9">
        <w:rPr>
          <w:sz w:val="22"/>
          <w:szCs w:val="22"/>
          <w:lang w:val="sk-SK"/>
        </w:rPr>
        <w:t>ospelých; 12 až 42 dní u detí).</w:t>
      </w:r>
    </w:p>
    <w:p w14:paraId="47C54765" w14:textId="77777777" w:rsidR="003A6469" w:rsidRPr="00D369C9" w:rsidRDefault="003A6469" w:rsidP="00D93ACB">
      <w:pPr>
        <w:ind w:left="0" w:firstLine="0"/>
        <w:jc w:val="both"/>
        <w:rPr>
          <w:szCs w:val="22"/>
        </w:rPr>
      </w:pPr>
      <w:proofErr w:type="spellStart"/>
      <w:r w:rsidRPr="00D369C9">
        <w:rPr>
          <w:szCs w:val="22"/>
        </w:rPr>
        <w:t>Non-inferiorita</w:t>
      </w:r>
      <w:proofErr w:type="spellEnd"/>
      <w:r w:rsidRPr="00D369C9">
        <w:rPr>
          <w:szCs w:val="22"/>
        </w:rPr>
        <w:t xml:space="preserve"> bolo potvrdená pri dospelých pacientoch a podobné výsledky boli preukázané aj pri pediatrickej </w:t>
      </w:r>
      <w:proofErr w:type="spellStart"/>
      <w:r w:rsidRPr="00D369C9">
        <w:rPr>
          <w:szCs w:val="22"/>
        </w:rPr>
        <w:t>subpopulácii</w:t>
      </w:r>
      <w:proofErr w:type="spellEnd"/>
      <w:r w:rsidRPr="00D369C9">
        <w:rPr>
          <w:szCs w:val="22"/>
        </w:rPr>
        <w:t xml:space="preserve"> (vrátane novorodencov a predčasne narodených detí). Závery o účinnosti boli konzistentné, bez závislosti od infikujúcich druhov </w:t>
      </w:r>
      <w:proofErr w:type="spellStart"/>
      <w:r w:rsidRPr="00D369C9">
        <w:rPr>
          <w:i/>
          <w:iCs/>
          <w:szCs w:val="22"/>
        </w:rPr>
        <w:t>Candida</w:t>
      </w:r>
      <w:proofErr w:type="spellEnd"/>
      <w:r w:rsidRPr="00D369C9">
        <w:rPr>
          <w:szCs w:val="22"/>
        </w:rPr>
        <w:t xml:space="preserve">, primárneho miesta infekcie a </w:t>
      </w:r>
      <w:proofErr w:type="spellStart"/>
      <w:r w:rsidRPr="00D369C9">
        <w:rPr>
          <w:szCs w:val="22"/>
        </w:rPr>
        <w:t>neutropénie</w:t>
      </w:r>
      <w:proofErr w:type="spellEnd"/>
      <w:r w:rsidRPr="00D369C9">
        <w:rPr>
          <w:szCs w:val="22"/>
        </w:rPr>
        <w:t xml:space="preserve"> (pozri tabuľku). </w:t>
      </w:r>
      <w:proofErr w:type="spellStart"/>
      <w:r w:rsidRPr="00D369C9">
        <w:rPr>
          <w:szCs w:val="22"/>
        </w:rPr>
        <w:t>Mikafungín</w:t>
      </w:r>
      <w:proofErr w:type="spellEnd"/>
      <w:r w:rsidRPr="00D369C9">
        <w:rPr>
          <w:szCs w:val="22"/>
        </w:rPr>
        <w:t xml:space="preserve"> preukázal počas liečby menší priemerný pokles v očakávanej </w:t>
      </w:r>
      <w:proofErr w:type="spellStart"/>
      <w:r w:rsidRPr="00D369C9">
        <w:rPr>
          <w:szCs w:val="22"/>
        </w:rPr>
        <w:t>glomerulárnej</w:t>
      </w:r>
      <w:proofErr w:type="spellEnd"/>
      <w:r w:rsidRPr="00D369C9">
        <w:rPr>
          <w:szCs w:val="22"/>
        </w:rPr>
        <w:t xml:space="preserve"> filtrácii (p&lt;0,001) a nižší výskyt reakcií vo vzťahu k infúznemu podaniu (p=0,001) ako </w:t>
      </w:r>
      <w:proofErr w:type="spellStart"/>
      <w:r w:rsidRPr="00D369C9">
        <w:rPr>
          <w:szCs w:val="22"/>
        </w:rPr>
        <w:t>lipozomálny</w:t>
      </w:r>
      <w:proofErr w:type="spellEnd"/>
      <w:r w:rsidRPr="00D369C9">
        <w:rPr>
          <w:szCs w:val="22"/>
        </w:rPr>
        <w:t xml:space="preserve"> </w:t>
      </w:r>
      <w:proofErr w:type="spellStart"/>
      <w:r w:rsidRPr="00D369C9">
        <w:rPr>
          <w:szCs w:val="22"/>
        </w:rPr>
        <w:t>amfotericín</w:t>
      </w:r>
      <w:proofErr w:type="spellEnd"/>
      <w:r w:rsidRPr="00D369C9">
        <w:rPr>
          <w:szCs w:val="22"/>
        </w:rPr>
        <w:t xml:space="preserve"> B.</w:t>
      </w:r>
    </w:p>
    <w:p w14:paraId="7650BBB0" w14:textId="77777777" w:rsidR="003F2EE9" w:rsidRPr="00D369C9" w:rsidRDefault="003F2EE9">
      <w:pPr>
        <w:ind w:left="0" w:firstLine="0"/>
        <w:rPr>
          <w:noProof/>
          <w:szCs w:val="22"/>
          <w:lang w:eastAsia="en-GB"/>
        </w:rPr>
      </w:pPr>
      <w:r w:rsidRPr="00D369C9">
        <w:rPr>
          <w:noProof/>
          <w:szCs w:val="22"/>
          <w:lang w:eastAsia="en-GB"/>
        </w:rPr>
        <w:br w:type="page"/>
      </w:r>
    </w:p>
    <w:p w14:paraId="559343EE" w14:textId="77777777" w:rsidR="00D93ACB" w:rsidRPr="00D369C9" w:rsidRDefault="00D93ACB" w:rsidP="003A6469">
      <w:pPr>
        <w:rPr>
          <w:noProof/>
          <w:szCs w:val="22"/>
          <w:lang w:eastAsia="en-GB"/>
        </w:rPr>
      </w:pPr>
      <w:r w:rsidRPr="00D369C9">
        <w:rPr>
          <w:b/>
          <w:noProof/>
          <w:szCs w:val="22"/>
          <w:lang w:eastAsia="en-GB"/>
        </w:rPr>
        <w:lastRenderedPageBreak/>
        <w:t>Celková úspešnosť liečby v skupinách protokolu, štúdia na liečbu invazívnej kandidózy</w:t>
      </w:r>
    </w:p>
    <w:tbl>
      <w:tblPr>
        <w:tblStyle w:val="Mriekatabuky"/>
        <w:tblW w:w="87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932"/>
        <w:gridCol w:w="1194"/>
        <w:gridCol w:w="567"/>
        <w:gridCol w:w="284"/>
        <w:gridCol w:w="850"/>
        <w:gridCol w:w="2093"/>
      </w:tblGrid>
      <w:tr w:rsidR="003F2EE9" w:rsidRPr="00D369C9" w14:paraId="3476C9B6" w14:textId="77777777" w:rsidTr="00B11FF5">
        <w:tc>
          <w:tcPr>
            <w:tcW w:w="2835" w:type="dxa"/>
            <w:vMerge w:val="restart"/>
          </w:tcPr>
          <w:p w14:paraId="0DA1E139" w14:textId="77777777" w:rsidR="003F2EE9" w:rsidRPr="00D369C9" w:rsidRDefault="003F2EE9" w:rsidP="003F2EE9">
            <w:pPr>
              <w:ind w:left="-250" w:firstLine="0"/>
              <w:rPr>
                <w:noProof/>
                <w:szCs w:val="22"/>
                <w:lang w:eastAsia="en-GB"/>
              </w:rPr>
            </w:pPr>
          </w:p>
        </w:tc>
        <w:tc>
          <w:tcPr>
            <w:tcW w:w="2126" w:type="dxa"/>
            <w:gridSpan w:val="2"/>
          </w:tcPr>
          <w:p w14:paraId="164A006E" w14:textId="77777777" w:rsidR="003F2EE9" w:rsidRPr="00D369C9" w:rsidRDefault="003F2EE9" w:rsidP="003A6469">
            <w:pPr>
              <w:ind w:left="0" w:firstLine="0"/>
              <w:rPr>
                <w:b/>
                <w:noProof/>
                <w:szCs w:val="22"/>
                <w:lang w:eastAsia="en-GB"/>
              </w:rPr>
            </w:pPr>
            <w:r w:rsidRPr="00D369C9">
              <w:rPr>
                <w:b/>
                <w:noProof/>
                <w:szCs w:val="22"/>
                <w:lang w:eastAsia="en-GB"/>
              </w:rPr>
              <w:t>Mikafungín</w:t>
            </w:r>
          </w:p>
        </w:tc>
        <w:tc>
          <w:tcPr>
            <w:tcW w:w="1701" w:type="dxa"/>
            <w:gridSpan w:val="3"/>
          </w:tcPr>
          <w:p w14:paraId="2FFF42B2" w14:textId="77777777" w:rsidR="003F2EE9" w:rsidRPr="00D369C9" w:rsidRDefault="003F2EE9" w:rsidP="003A6469">
            <w:pPr>
              <w:ind w:left="0" w:firstLine="0"/>
              <w:rPr>
                <w:b/>
                <w:noProof/>
                <w:szCs w:val="22"/>
                <w:lang w:eastAsia="en-GB"/>
              </w:rPr>
            </w:pPr>
            <w:r w:rsidRPr="00D369C9">
              <w:rPr>
                <w:b/>
                <w:noProof/>
                <w:szCs w:val="22"/>
                <w:lang w:eastAsia="en-GB"/>
              </w:rPr>
              <w:t>Lipozomálny amfotericín B</w:t>
            </w:r>
          </w:p>
        </w:tc>
        <w:tc>
          <w:tcPr>
            <w:tcW w:w="2093" w:type="dxa"/>
          </w:tcPr>
          <w:p w14:paraId="6EAE6C1F" w14:textId="77777777" w:rsidR="003F2EE9" w:rsidRPr="00D369C9" w:rsidRDefault="003F2EE9" w:rsidP="003A6469">
            <w:pPr>
              <w:ind w:left="0" w:firstLine="0"/>
              <w:rPr>
                <w:b/>
                <w:noProof/>
                <w:szCs w:val="22"/>
                <w:lang w:eastAsia="en-GB"/>
              </w:rPr>
            </w:pPr>
            <w:r w:rsidRPr="00D369C9">
              <w:rPr>
                <w:b/>
                <w:noProof/>
                <w:szCs w:val="22"/>
                <w:lang w:eastAsia="en-GB"/>
              </w:rPr>
              <w:t>% rozdiel [95 % Cl]</w:t>
            </w:r>
          </w:p>
        </w:tc>
      </w:tr>
      <w:tr w:rsidR="003F2EE9" w:rsidRPr="00D369C9" w14:paraId="2584C4DB" w14:textId="77777777" w:rsidTr="00B11FF5">
        <w:tc>
          <w:tcPr>
            <w:tcW w:w="2835" w:type="dxa"/>
            <w:vMerge/>
          </w:tcPr>
          <w:p w14:paraId="4C252D0C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</w:p>
        </w:tc>
        <w:tc>
          <w:tcPr>
            <w:tcW w:w="932" w:type="dxa"/>
          </w:tcPr>
          <w:p w14:paraId="493E0EB5" w14:textId="77777777" w:rsidR="003F2EE9" w:rsidRPr="00D369C9" w:rsidRDefault="003F2EE9" w:rsidP="003A6469">
            <w:pPr>
              <w:ind w:left="0" w:firstLine="0"/>
              <w:rPr>
                <w:b/>
                <w:noProof/>
                <w:szCs w:val="22"/>
                <w:lang w:eastAsia="en-GB"/>
              </w:rPr>
            </w:pPr>
            <w:r w:rsidRPr="00D369C9">
              <w:rPr>
                <w:b/>
                <w:noProof/>
                <w:szCs w:val="22"/>
                <w:lang w:eastAsia="en-GB"/>
              </w:rPr>
              <w:t>N</w:t>
            </w:r>
          </w:p>
        </w:tc>
        <w:tc>
          <w:tcPr>
            <w:tcW w:w="1194" w:type="dxa"/>
          </w:tcPr>
          <w:p w14:paraId="6CC71E6D" w14:textId="77777777" w:rsidR="003F2EE9" w:rsidRPr="00D369C9" w:rsidRDefault="003F2EE9" w:rsidP="003A6469">
            <w:pPr>
              <w:ind w:left="0" w:firstLine="0"/>
              <w:rPr>
                <w:b/>
                <w:noProof/>
                <w:szCs w:val="22"/>
                <w:lang w:eastAsia="en-GB"/>
              </w:rPr>
            </w:pPr>
            <w:r w:rsidRPr="00D369C9">
              <w:rPr>
                <w:b/>
                <w:noProof/>
                <w:szCs w:val="22"/>
                <w:lang w:eastAsia="en-GB"/>
              </w:rPr>
              <w:t>n (%)</w:t>
            </w:r>
          </w:p>
        </w:tc>
        <w:tc>
          <w:tcPr>
            <w:tcW w:w="851" w:type="dxa"/>
            <w:gridSpan w:val="2"/>
          </w:tcPr>
          <w:p w14:paraId="2DE73249" w14:textId="77777777" w:rsidR="003F2EE9" w:rsidRPr="00D369C9" w:rsidRDefault="003F2EE9" w:rsidP="00535D12">
            <w:pPr>
              <w:ind w:left="0" w:firstLine="0"/>
              <w:rPr>
                <w:b/>
                <w:noProof/>
                <w:szCs w:val="22"/>
                <w:lang w:eastAsia="en-GB"/>
              </w:rPr>
            </w:pPr>
            <w:r w:rsidRPr="00D369C9">
              <w:rPr>
                <w:b/>
                <w:noProof/>
                <w:szCs w:val="22"/>
                <w:lang w:eastAsia="en-GB"/>
              </w:rPr>
              <w:t>N</w:t>
            </w:r>
          </w:p>
        </w:tc>
        <w:tc>
          <w:tcPr>
            <w:tcW w:w="850" w:type="dxa"/>
          </w:tcPr>
          <w:p w14:paraId="1980E992" w14:textId="77777777" w:rsidR="003F2EE9" w:rsidRPr="00D369C9" w:rsidRDefault="003F2EE9" w:rsidP="00535D12">
            <w:pPr>
              <w:ind w:left="0" w:firstLine="0"/>
              <w:rPr>
                <w:b/>
                <w:noProof/>
                <w:szCs w:val="22"/>
                <w:lang w:eastAsia="en-GB"/>
              </w:rPr>
            </w:pPr>
            <w:r w:rsidRPr="00D369C9">
              <w:rPr>
                <w:b/>
                <w:noProof/>
                <w:szCs w:val="22"/>
                <w:lang w:eastAsia="en-GB"/>
              </w:rPr>
              <w:t>n (%)</w:t>
            </w:r>
          </w:p>
        </w:tc>
        <w:tc>
          <w:tcPr>
            <w:tcW w:w="2093" w:type="dxa"/>
          </w:tcPr>
          <w:p w14:paraId="018D51B9" w14:textId="77777777" w:rsidR="003F2EE9" w:rsidRPr="00D369C9" w:rsidRDefault="003F2EE9" w:rsidP="003A6469">
            <w:pPr>
              <w:ind w:left="0" w:firstLine="0"/>
              <w:rPr>
                <w:b/>
                <w:noProof/>
                <w:szCs w:val="22"/>
                <w:lang w:eastAsia="en-GB"/>
              </w:rPr>
            </w:pPr>
          </w:p>
        </w:tc>
      </w:tr>
      <w:tr w:rsidR="003F2EE9" w:rsidRPr="00D369C9" w14:paraId="73F3B82C" w14:textId="77777777" w:rsidTr="002D53FE">
        <w:tc>
          <w:tcPr>
            <w:tcW w:w="8755" w:type="dxa"/>
            <w:gridSpan w:val="7"/>
          </w:tcPr>
          <w:p w14:paraId="7180C432" w14:textId="77777777" w:rsidR="003F2EE9" w:rsidRPr="00D369C9" w:rsidRDefault="003F2EE9" w:rsidP="003A6469">
            <w:pPr>
              <w:ind w:left="0" w:firstLine="0"/>
              <w:rPr>
                <w:b/>
                <w:noProof/>
                <w:szCs w:val="22"/>
                <w:lang w:eastAsia="en-GB"/>
              </w:rPr>
            </w:pPr>
            <w:r w:rsidRPr="00D369C9">
              <w:rPr>
                <w:b/>
                <w:noProof/>
                <w:szCs w:val="22"/>
                <w:lang w:eastAsia="en-GB"/>
              </w:rPr>
              <w:t>Dospelí pacienti</w:t>
            </w:r>
          </w:p>
        </w:tc>
      </w:tr>
      <w:tr w:rsidR="003F2EE9" w:rsidRPr="00D369C9" w14:paraId="483D0DCC" w14:textId="77777777" w:rsidTr="00B11FF5">
        <w:tc>
          <w:tcPr>
            <w:tcW w:w="2835" w:type="dxa"/>
          </w:tcPr>
          <w:p w14:paraId="67ED57E8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celková úspešnosť liečby</w:t>
            </w:r>
          </w:p>
        </w:tc>
        <w:tc>
          <w:tcPr>
            <w:tcW w:w="932" w:type="dxa"/>
          </w:tcPr>
          <w:p w14:paraId="17525D17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202</w:t>
            </w:r>
          </w:p>
        </w:tc>
        <w:tc>
          <w:tcPr>
            <w:tcW w:w="1194" w:type="dxa"/>
          </w:tcPr>
          <w:p w14:paraId="4DC9EDDB" w14:textId="77777777" w:rsidR="003F2EE9" w:rsidRPr="00D369C9" w:rsidRDefault="003F2EE9" w:rsidP="00B11FF5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 xml:space="preserve">181 </w:t>
            </w:r>
            <w:r w:rsidR="00B11FF5">
              <w:rPr>
                <w:noProof/>
                <w:szCs w:val="22"/>
                <w:lang w:eastAsia="en-GB"/>
              </w:rPr>
              <w:t>(</w:t>
            </w:r>
            <w:r w:rsidRPr="00D369C9">
              <w:rPr>
                <w:noProof/>
                <w:szCs w:val="22"/>
                <w:lang w:eastAsia="en-GB"/>
              </w:rPr>
              <w:t>89,6)</w:t>
            </w:r>
          </w:p>
        </w:tc>
        <w:tc>
          <w:tcPr>
            <w:tcW w:w="567" w:type="dxa"/>
          </w:tcPr>
          <w:p w14:paraId="56B6D4BB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190</w:t>
            </w:r>
          </w:p>
        </w:tc>
        <w:tc>
          <w:tcPr>
            <w:tcW w:w="1134" w:type="dxa"/>
            <w:gridSpan w:val="2"/>
          </w:tcPr>
          <w:p w14:paraId="3F0BF289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170 (89,5)</w:t>
            </w:r>
          </w:p>
        </w:tc>
        <w:tc>
          <w:tcPr>
            <w:tcW w:w="2093" w:type="dxa"/>
          </w:tcPr>
          <w:p w14:paraId="48643B20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0,1 [- 5,9; 6,1]</w:t>
            </w:r>
            <w:r w:rsidRPr="00D369C9">
              <w:rPr>
                <w:sz w:val="20"/>
                <w:szCs w:val="20"/>
              </w:rPr>
              <w:t xml:space="preserve"> †</w:t>
            </w:r>
          </w:p>
        </w:tc>
      </w:tr>
      <w:tr w:rsidR="003F2EE9" w:rsidRPr="00D369C9" w14:paraId="6733A909" w14:textId="77777777" w:rsidTr="002D53FE">
        <w:tc>
          <w:tcPr>
            <w:tcW w:w="8755" w:type="dxa"/>
            <w:gridSpan w:val="7"/>
          </w:tcPr>
          <w:p w14:paraId="69471669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celková úspešnosť liečby pri neutropénii</w:t>
            </w:r>
          </w:p>
        </w:tc>
      </w:tr>
      <w:tr w:rsidR="003F2EE9" w:rsidRPr="00D369C9" w14:paraId="7A0AE477" w14:textId="77777777" w:rsidTr="00B11FF5">
        <w:tc>
          <w:tcPr>
            <w:tcW w:w="2835" w:type="dxa"/>
          </w:tcPr>
          <w:p w14:paraId="43E8B7E1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netropénia na začiatku</w:t>
            </w:r>
          </w:p>
        </w:tc>
        <w:tc>
          <w:tcPr>
            <w:tcW w:w="932" w:type="dxa"/>
          </w:tcPr>
          <w:p w14:paraId="51E30502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24</w:t>
            </w:r>
          </w:p>
        </w:tc>
        <w:tc>
          <w:tcPr>
            <w:tcW w:w="1194" w:type="dxa"/>
          </w:tcPr>
          <w:p w14:paraId="0D440881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18 (75)</w:t>
            </w:r>
          </w:p>
        </w:tc>
        <w:tc>
          <w:tcPr>
            <w:tcW w:w="567" w:type="dxa"/>
          </w:tcPr>
          <w:p w14:paraId="0606EA20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15</w:t>
            </w:r>
          </w:p>
        </w:tc>
        <w:tc>
          <w:tcPr>
            <w:tcW w:w="1134" w:type="dxa"/>
            <w:gridSpan w:val="2"/>
          </w:tcPr>
          <w:p w14:paraId="52507603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12 (80)</w:t>
            </w:r>
          </w:p>
        </w:tc>
        <w:tc>
          <w:tcPr>
            <w:tcW w:w="2093" w:type="dxa"/>
            <w:vMerge w:val="restart"/>
          </w:tcPr>
          <w:p w14:paraId="73CC2741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0,7 [- 5,3; 6,7]</w:t>
            </w:r>
            <w:r w:rsidRPr="00D369C9">
              <w:rPr>
                <w:sz w:val="20"/>
                <w:szCs w:val="20"/>
              </w:rPr>
              <w:t xml:space="preserve"> ‡</w:t>
            </w:r>
          </w:p>
        </w:tc>
      </w:tr>
      <w:tr w:rsidR="003F2EE9" w:rsidRPr="00D369C9" w14:paraId="1C8C9782" w14:textId="77777777" w:rsidTr="00B11FF5">
        <w:tc>
          <w:tcPr>
            <w:tcW w:w="2835" w:type="dxa"/>
          </w:tcPr>
          <w:p w14:paraId="0EEBB32D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bez neutropénie na začiatku</w:t>
            </w:r>
          </w:p>
        </w:tc>
        <w:tc>
          <w:tcPr>
            <w:tcW w:w="932" w:type="dxa"/>
          </w:tcPr>
          <w:p w14:paraId="03458843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178</w:t>
            </w:r>
          </w:p>
        </w:tc>
        <w:tc>
          <w:tcPr>
            <w:tcW w:w="1194" w:type="dxa"/>
          </w:tcPr>
          <w:p w14:paraId="1D892DAF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163 (91,6)</w:t>
            </w:r>
          </w:p>
        </w:tc>
        <w:tc>
          <w:tcPr>
            <w:tcW w:w="567" w:type="dxa"/>
          </w:tcPr>
          <w:p w14:paraId="32AA6706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175</w:t>
            </w:r>
          </w:p>
        </w:tc>
        <w:tc>
          <w:tcPr>
            <w:tcW w:w="1134" w:type="dxa"/>
            <w:gridSpan w:val="2"/>
          </w:tcPr>
          <w:p w14:paraId="4E3F107E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158 (90,3)</w:t>
            </w:r>
          </w:p>
        </w:tc>
        <w:tc>
          <w:tcPr>
            <w:tcW w:w="2093" w:type="dxa"/>
            <w:vMerge/>
          </w:tcPr>
          <w:p w14:paraId="64689E45" w14:textId="77777777" w:rsidR="003F2EE9" w:rsidRPr="00D369C9" w:rsidRDefault="003F2EE9" w:rsidP="003A6469">
            <w:pPr>
              <w:ind w:left="0" w:firstLine="0"/>
              <w:rPr>
                <w:noProof/>
                <w:szCs w:val="22"/>
                <w:lang w:eastAsia="en-GB"/>
              </w:rPr>
            </w:pPr>
          </w:p>
        </w:tc>
      </w:tr>
      <w:tr w:rsidR="003F2EE9" w:rsidRPr="00D369C9" w14:paraId="1CEBA028" w14:textId="77777777" w:rsidTr="002D53FE">
        <w:tc>
          <w:tcPr>
            <w:tcW w:w="8755" w:type="dxa"/>
            <w:gridSpan w:val="7"/>
          </w:tcPr>
          <w:p w14:paraId="589D12EB" w14:textId="77777777" w:rsidR="003F2EE9" w:rsidRPr="00D369C9" w:rsidRDefault="003F2EE9" w:rsidP="003A6469">
            <w:pPr>
              <w:ind w:left="0" w:firstLine="0"/>
              <w:rPr>
                <w:b/>
                <w:noProof/>
                <w:szCs w:val="22"/>
                <w:lang w:eastAsia="en-GB"/>
              </w:rPr>
            </w:pPr>
            <w:r w:rsidRPr="00D369C9">
              <w:rPr>
                <w:b/>
                <w:noProof/>
                <w:szCs w:val="22"/>
                <w:lang w:eastAsia="en-GB"/>
              </w:rPr>
              <w:t>Pediatrickí pacienti</w:t>
            </w:r>
          </w:p>
        </w:tc>
      </w:tr>
      <w:tr w:rsidR="002D53FE" w:rsidRPr="00D369C9" w14:paraId="093427C4" w14:textId="77777777" w:rsidTr="00B11FF5">
        <w:tc>
          <w:tcPr>
            <w:tcW w:w="2835" w:type="dxa"/>
          </w:tcPr>
          <w:p w14:paraId="166BEFC2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celková úspešnosť liečby</w:t>
            </w:r>
          </w:p>
        </w:tc>
        <w:tc>
          <w:tcPr>
            <w:tcW w:w="932" w:type="dxa"/>
          </w:tcPr>
          <w:p w14:paraId="45D9950E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48</w:t>
            </w:r>
          </w:p>
        </w:tc>
        <w:tc>
          <w:tcPr>
            <w:tcW w:w="1194" w:type="dxa"/>
          </w:tcPr>
          <w:p w14:paraId="4738210A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35 (72,9)</w:t>
            </w:r>
          </w:p>
        </w:tc>
        <w:tc>
          <w:tcPr>
            <w:tcW w:w="567" w:type="dxa"/>
          </w:tcPr>
          <w:p w14:paraId="4F584623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50</w:t>
            </w:r>
          </w:p>
        </w:tc>
        <w:tc>
          <w:tcPr>
            <w:tcW w:w="1134" w:type="dxa"/>
            <w:gridSpan w:val="2"/>
          </w:tcPr>
          <w:p w14:paraId="08878DD3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38 (76)</w:t>
            </w:r>
          </w:p>
        </w:tc>
        <w:tc>
          <w:tcPr>
            <w:tcW w:w="2093" w:type="dxa"/>
            <w:vMerge w:val="restart"/>
          </w:tcPr>
          <w:p w14:paraId="53589AB6" w14:textId="77777777" w:rsidR="002D53FE" w:rsidRPr="00D369C9" w:rsidRDefault="002D53FE" w:rsidP="00677985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- 2,7 [- 17,3; 11,9]</w:t>
            </w:r>
            <w:r w:rsidRPr="00D369C9">
              <w:rPr>
                <w:sz w:val="20"/>
                <w:szCs w:val="20"/>
              </w:rPr>
              <w:t xml:space="preserve"> §</w:t>
            </w:r>
          </w:p>
        </w:tc>
      </w:tr>
      <w:tr w:rsidR="002D53FE" w:rsidRPr="00D369C9" w14:paraId="3711D221" w14:textId="77777777" w:rsidTr="00B11FF5">
        <w:tc>
          <w:tcPr>
            <w:tcW w:w="2835" w:type="dxa"/>
          </w:tcPr>
          <w:p w14:paraId="30E6300B" w14:textId="77777777" w:rsidR="002D53FE" w:rsidRPr="00D369C9" w:rsidRDefault="002D53FE" w:rsidP="00B11FF5">
            <w:pPr>
              <w:ind w:left="39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&lt; 2 roky</w:t>
            </w:r>
          </w:p>
        </w:tc>
        <w:tc>
          <w:tcPr>
            <w:tcW w:w="932" w:type="dxa"/>
          </w:tcPr>
          <w:p w14:paraId="09CDE56C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26</w:t>
            </w:r>
          </w:p>
        </w:tc>
        <w:tc>
          <w:tcPr>
            <w:tcW w:w="1194" w:type="dxa"/>
          </w:tcPr>
          <w:p w14:paraId="3AE72864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21 (80,8)</w:t>
            </w:r>
          </w:p>
        </w:tc>
        <w:tc>
          <w:tcPr>
            <w:tcW w:w="567" w:type="dxa"/>
          </w:tcPr>
          <w:p w14:paraId="51055B18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31</w:t>
            </w:r>
          </w:p>
        </w:tc>
        <w:tc>
          <w:tcPr>
            <w:tcW w:w="1134" w:type="dxa"/>
            <w:gridSpan w:val="2"/>
          </w:tcPr>
          <w:p w14:paraId="55848E98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24 (77,4)</w:t>
            </w:r>
          </w:p>
        </w:tc>
        <w:tc>
          <w:tcPr>
            <w:tcW w:w="2093" w:type="dxa"/>
            <w:vMerge/>
          </w:tcPr>
          <w:p w14:paraId="595F461E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</w:p>
        </w:tc>
      </w:tr>
      <w:tr w:rsidR="002D53FE" w:rsidRPr="00D369C9" w14:paraId="7DCEE442" w14:textId="77777777" w:rsidTr="00B11FF5">
        <w:tc>
          <w:tcPr>
            <w:tcW w:w="2835" w:type="dxa"/>
          </w:tcPr>
          <w:p w14:paraId="41B6FEAD" w14:textId="77777777" w:rsidR="002D53FE" w:rsidRPr="00D369C9" w:rsidRDefault="002D53FE" w:rsidP="00B11FF5">
            <w:pPr>
              <w:ind w:left="39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predčasne narodené deti</w:t>
            </w:r>
          </w:p>
        </w:tc>
        <w:tc>
          <w:tcPr>
            <w:tcW w:w="932" w:type="dxa"/>
          </w:tcPr>
          <w:p w14:paraId="2454FFA7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10</w:t>
            </w:r>
          </w:p>
        </w:tc>
        <w:tc>
          <w:tcPr>
            <w:tcW w:w="1194" w:type="dxa"/>
          </w:tcPr>
          <w:p w14:paraId="6BE0641C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7 (70)</w:t>
            </w:r>
          </w:p>
        </w:tc>
        <w:tc>
          <w:tcPr>
            <w:tcW w:w="567" w:type="dxa"/>
          </w:tcPr>
          <w:p w14:paraId="1A6D7A17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9</w:t>
            </w:r>
          </w:p>
        </w:tc>
        <w:tc>
          <w:tcPr>
            <w:tcW w:w="1134" w:type="dxa"/>
            <w:gridSpan w:val="2"/>
          </w:tcPr>
          <w:p w14:paraId="74F177D4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6 (66,7)</w:t>
            </w:r>
          </w:p>
        </w:tc>
        <w:tc>
          <w:tcPr>
            <w:tcW w:w="2093" w:type="dxa"/>
            <w:vMerge/>
          </w:tcPr>
          <w:p w14:paraId="6E8EF80C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</w:p>
        </w:tc>
      </w:tr>
      <w:tr w:rsidR="002D53FE" w:rsidRPr="00D369C9" w14:paraId="688CB6E2" w14:textId="77777777" w:rsidTr="00B11FF5">
        <w:tc>
          <w:tcPr>
            <w:tcW w:w="2835" w:type="dxa"/>
          </w:tcPr>
          <w:p w14:paraId="0517BA95" w14:textId="77777777" w:rsidR="002D53FE" w:rsidRPr="00D369C9" w:rsidRDefault="002D53FE" w:rsidP="00B11FF5">
            <w:pPr>
              <w:ind w:left="39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novorodenci (0 dní až &lt; 4 týždne)</w:t>
            </w:r>
          </w:p>
        </w:tc>
        <w:tc>
          <w:tcPr>
            <w:tcW w:w="932" w:type="dxa"/>
          </w:tcPr>
          <w:p w14:paraId="7A5D8A51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7</w:t>
            </w:r>
          </w:p>
        </w:tc>
        <w:tc>
          <w:tcPr>
            <w:tcW w:w="1194" w:type="dxa"/>
          </w:tcPr>
          <w:p w14:paraId="71903B5C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7 (100)</w:t>
            </w:r>
          </w:p>
        </w:tc>
        <w:tc>
          <w:tcPr>
            <w:tcW w:w="567" w:type="dxa"/>
          </w:tcPr>
          <w:p w14:paraId="45423507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5</w:t>
            </w:r>
          </w:p>
        </w:tc>
        <w:tc>
          <w:tcPr>
            <w:tcW w:w="1134" w:type="dxa"/>
            <w:gridSpan w:val="2"/>
          </w:tcPr>
          <w:p w14:paraId="17F92A15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4 (80)</w:t>
            </w:r>
          </w:p>
        </w:tc>
        <w:tc>
          <w:tcPr>
            <w:tcW w:w="2093" w:type="dxa"/>
            <w:vMerge/>
          </w:tcPr>
          <w:p w14:paraId="4CD0279E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</w:p>
        </w:tc>
      </w:tr>
      <w:tr w:rsidR="002D53FE" w:rsidRPr="00D369C9" w14:paraId="70685802" w14:textId="77777777" w:rsidTr="00B11FF5">
        <w:tc>
          <w:tcPr>
            <w:tcW w:w="2835" w:type="dxa"/>
          </w:tcPr>
          <w:p w14:paraId="7950D7D0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od 2 do 15 rokov</w:t>
            </w:r>
          </w:p>
        </w:tc>
        <w:tc>
          <w:tcPr>
            <w:tcW w:w="932" w:type="dxa"/>
          </w:tcPr>
          <w:p w14:paraId="2D742CFE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22</w:t>
            </w:r>
          </w:p>
        </w:tc>
        <w:tc>
          <w:tcPr>
            <w:tcW w:w="1194" w:type="dxa"/>
          </w:tcPr>
          <w:p w14:paraId="5CEECB70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14 (63,6)</w:t>
            </w:r>
          </w:p>
        </w:tc>
        <w:tc>
          <w:tcPr>
            <w:tcW w:w="567" w:type="dxa"/>
          </w:tcPr>
          <w:p w14:paraId="4FFF663F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19</w:t>
            </w:r>
          </w:p>
        </w:tc>
        <w:tc>
          <w:tcPr>
            <w:tcW w:w="1134" w:type="dxa"/>
            <w:gridSpan w:val="2"/>
          </w:tcPr>
          <w:p w14:paraId="14026192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14 (73,7)</w:t>
            </w:r>
          </w:p>
        </w:tc>
        <w:tc>
          <w:tcPr>
            <w:tcW w:w="2093" w:type="dxa"/>
            <w:vMerge/>
          </w:tcPr>
          <w:p w14:paraId="3A65D9FB" w14:textId="77777777" w:rsidR="002D53FE" w:rsidRPr="00D369C9" w:rsidRDefault="002D53FE" w:rsidP="003A6469">
            <w:pPr>
              <w:ind w:left="0" w:firstLine="0"/>
              <w:rPr>
                <w:noProof/>
                <w:szCs w:val="22"/>
                <w:lang w:eastAsia="en-GB"/>
              </w:rPr>
            </w:pPr>
          </w:p>
        </w:tc>
      </w:tr>
      <w:tr w:rsidR="003F2EE9" w:rsidRPr="00D369C9" w14:paraId="5A54DA3D" w14:textId="77777777" w:rsidTr="002D53FE">
        <w:tc>
          <w:tcPr>
            <w:tcW w:w="8755" w:type="dxa"/>
            <w:gridSpan w:val="7"/>
          </w:tcPr>
          <w:p w14:paraId="6E053F28" w14:textId="77777777" w:rsidR="003F2EE9" w:rsidRPr="00D369C9" w:rsidRDefault="002D53FE" w:rsidP="003A6469">
            <w:pPr>
              <w:ind w:left="0" w:firstLine="0"/>
              <w:rPr>
                <w:b/>
                <w:i/>
                <w:noProof/>
                <w:szCs w:val="22"/>
                <w:lang w:eastAsia="en-GB"/>
              </w:rPr>
            </w:pPr>
            <w:r w:rsidRPr="00D369C9">
              <w:rPr>
                <w:b/>
                <w:noProof/>
                <w:szCs w:val="22"/>
                <w:lang w:eastAsia="en-GB"/>
              </w:rPr>
              <w:t xml:space="preserve">Dospelí a deti spolu, celková úspešnosť liečby pri ochoreniach spôsobených druhmi </w:t>
            </w:r>
            <w:r w:rsidRPr="00D369C9">
              <w:rPr>
                <w:b/>
                <w:i/>
                <w:noProof/>
                <w:szCs w:val="22"/>
                <w:lang w:eastAsia="en-GB"/>
              </w:rPr>
              <w:t>Candida</w:t>
            </w:r>
          </w:p>
        </w:tc>
      </w:tr>
      <w:tr w:rsidR="00535D12" w:rsidRPr="00D369C9" w14:paraId="0917A3C5" w14:textId="77777777" w:rsidTr="00B11FF5">
        <w:tc>
          <w:tcPr>
            <w:tcW w:w="2835" w:type="dxa"/>
          </w:tcPr>
          <w:p w14:paraId="044547FB" w14:textId="77777777" w:rsidR="00535D12" w:rsidRPr="00D369C9" w:rsidRDefault="00535D12" w:rsidP="003A6469">
            <w:pPr>
              <w:ind w:left="0" w:firstLine="0"/>
              <w:rPr>
                <w:i/>
                <w:noProof/>
                <w:szCs w:val="22"/>
                <w:lang w:eastAsia="en-GB"/>
              </w:rPr>
            </w:pPr>
            <w:r w:rsidRPr="00D369C9">
              <w:rPr>
                <w:i/>
                <w:noProof/>
                <w:szCs w:val="22"/>
                <w:lang w:eastAsia="en-GB"/>
              </w:rPr>
              <w:t>Candida albicans</w:t>
            </w:r>
          </w:p>
        </w:tc>
        <w:tc>
          <w:tcPr>
            <w:tcW w:w="932" w:type="dxa"/>
          </w:tcPr>
          <w:p w14:paraId="70E71849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102</w:t>
            </w:r>
          </w:p>
        </w:tc>
        <w:tc>
          <w:tcPr>
            <w:tcW w:w="1194" w:type="dxa"/>
          </w:tcPr>
          <w:p w14:paraId="6C9B99E2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91 (89,2)</w:t>
            </w:r>
          </w:p>
        </w:tc>
        <w:tc>
          <w:tcPr>
            <w:tcW w:w="567" w:type="dxa"/>
          </w:tcPr>
          <w:p w14:paraId="286B6C90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98</w:t>
            </w:r>
          </w:p>
        </w:tc>
        <w:tc>
          <w:tcPr>
            <w:tcW w:w="1134" w:type="dxa"/>
            <w:gridSpan w:val="2"/>
          </w:tcPr>
          <w:p w14:paraId="3C3094B9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89 (90,8)</w:t>
            </w:r>
          </w:p>
        </w:tc>
        <w:tc>
          <w:tcPr>
            <w:tcW w:w="2093" w:type="dxa"/>
            <w:vMerge w:val="restart"/>
          </w:tcPr>
          <w:p w14:paraId="2EC650D4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</w:p>
        </w:tc>
      </w:tr>
      <w:tr w:rsidR="00535D12" w:rsidRPr="00D369C9" w14:paraId="7B7AB336" w14:textId="77777777" w:rsidTr="00B11FF5">
        <w:tc>
          <w:tcPr>
            <w:tcW w:w="2835" w:type="dxa"/>
          </w:tcPr>
          <w:p w14:paraId="6AF26C5E" w14:textId="77777777" w:rsidR="00535D12" w:rsidRPr="00D369C9" w:rsidRDefault="00535D12" w:rsidP="00677985">
            <w:pPr>
              <w:ind w:left="0" w:firstLine="0"/>
              <w:rPr>
                <w:i/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 xml:space="preserve">Iné ako druhy </w:t>
            </w:r>
            <w:r w:rsidRPr="00D369C9">
              <w:rPr>
                <w:i/>
                <w:noProof/>
                <w:szCs w:val="22"/>
                <w:lang w:eastAsia="en-GB"/>
              </w:rPr>
              <w:t xml:space="preserve">C. albicans </w:t>
            </w:r>
            <w:r w:rsidRPr="00D369C9">
              <w:rPr>
                <w:i/>
                <w:iCs/>
                <w:sz w:val="20"/>
                <w:szCs w:val="20"/>
              </w:rPr>
              <w:t>¶</w:t>
            </w:r>
            <w:r w:rsidRPr="00D369C9">
              <w:rPr>
                <w:iCs/>
                <w:sz w:val="20"/>
                <w:szCs w:val="20"/>
              </w:rPr>
              <w:t xml:space="preserve">: </w:t>
            </w:r>
            <w:r w:rsidRPr="00770398">
              <w:rPr>
                <w:iCs/>
                <w:szCs w:val="22"/>
              </w:rPr>
              <w:t>všetky</w:t>
            </w:r>
          </w:p>
        </w:tc>
        <w:tc>
          <w:tcPr>
            <w:tcW w:w="932" w:type="dxa"/>
          </w:tcPr>
          <w:p w14:paraId="71344E01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151</w:t>
            </w:r>
          </w:p>
        </w:tc>
        <w:tc>
          <w:tcPr>
            <w:tcW w:w="1194" w:type="dxa"/>
          </w:tcPr>
          <w:p w14:paraId="7EA15FF1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133 (88,1)</w:t>
            </w:r>
          </w:p>
        </w:tc>
        <w:tc>
          <w:tcPr>
            <w:tcW w:w="567" w:type="dxa"/>
          </w:tcPr>
          <w:p w14:paraId="0FEA89D4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140</w:t>
            </w:r>
          </w:p>
        </w:tc>
        <w:tc>
          <w:tcPr>
            <w:tcW w:w="1134" w:type="dxa"/>
            <w:gridSpan w:val="2"/>
          </w:tcPr>
          <w:p w14:paraId="33B6456F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123 (87,9)</w:t>
            </w:r>
          </w:p>
        </w:tc>
        <w:tc>
          <w:tcPr>
            <w:tcW w:w="2093" w:type="dxa"/>
            <w:vMerge/>
          </w:tcPr>
          <w:p w14:paraId="72928EBC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</w:p>
        </w:tc>
      </w:tr>
      <w:tr w:rsidR="00535D12" w:rsidRPr="00D369C9" w14:paraId="1004D8A8" w14:textId="77777777" w:rsidTr="00B11FF5">
        <w:tc>
          <w:tcPr>
            <w:tcW w:w="2835" w:type="dxa"/>
          </w:tcPr>
          <w:p w14:paraId="2D3A14A1" w14:textId="77777777" w:rsidR="00535D12" w:rsidRPr="00D369C9" w:rsidRDefault="00535D12" w:rsidP="00B11FF5">
            <w:pPr>
              <w:ind w:left="39" w:firstLine="0"/>
              <w:rPr>
                <w:i/>
                <w:noProof/>
                <w:szCs w:val="22"/>
                <w:lang w:eastAsia="en-GB"/>
              </w:rPr>
            </w:pPr>
            <w:r w:rsidRPr="00D369C9">
              <w:rPr>
                <w:i/>
                <w:noProof/>
                <w:szCs w:val="22"/>
                <w:lang w:eastAsia="en-GB"/>
              </w:rPr>
              <w:t>C. tropicalis</w:t>
            </w:r>
          </w:p>
        </w:tc>
        <w:tc>
          <w:tcPr>
            <w:tcW w:w="932" w:type="dxa"/>
          </w:tcPr>
          <w:p w14:paraId="283641A0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59</w:t>
            </w:r>
          </w:p>
        </w:tc>
        <w:tc>
          <w:tcPr>
            <w:tcW w:w="1194" w:type="dxa"/>
          </w:tcPr>
          <w:p w14:paraId="4480687F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54 (91,5)</w:t>
            </w:r>
          </w:p>
        </w:tc>
        <w:tc>
          <w:tcPr>
            <w:tcW w:w="567" w:type="dxa"/>
          </w:tcPr>
          <w:p w14:paraId="0D35B405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51</w:t>
            </w:r>
          </w:p>
        </w:tc>
        <w:tc>
          <w:tcPr>
            <w:tcW w:w="1134" w:type="dxa"/>
            <w:gridSpan w:val="2"/>
          </w:tcPr>
          <w:p w14:paraId="6047DC29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49 (96,1)</w:t>
            </w:r>
          </w:p>
        </w:tc>
        <w:tc>
          <w:tcPr>
            <w:tcW w:w="2093" w:type="dxa"/>
            <w:vMerge/>
          </w:tcPr>
          <w:p w14:paraId="3FD60183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</w:p>
        </w:tc>
      </w:tr>
      <w:tr w:rsidR="00535D12" w:rsidRPr="00D369C9" w14:paraId="5F4EE732" w14:textId="77777777" w:rsidTr="00B11FF5">
        <w:tc>
          <w:tcPr>
            <w:tcW w:w="2835" w:type="dxa"/>
          </w:tcPr>
          <w:p w14:paraId="24F8653F" w14:textId="77777777" w:rsidR="00535D12" w:rsidRPr="00D369C9" w:rsidRDefault="00535D12" w:rsidP="00B11FF5">
            <w:pPr>
              <w:ind w:left="39" w:firstLine="0"/>
              <w:rPr>
                <w:i/>
                <w:noProof/>
                <w:szCs w:val="22"/>
                <w:lang w:eastAsia="en-GB"/>
              </w:rPr>
            </w:pPr>
            <w:r w:rsidRPr="00D369C9">
              <w:rPr>
                <w:i/>
                <w:noProof/>
                <w:szCs w:val="22"/>
                <w:lang w:eastAsia="en-GB"/>
              </w:rPr>
              <w:t>C. parapsilosis</w:t>
            </w:r>
          </w:p>
        </w:tc>
        <w:tc>
          <w:tcPr>
            <w:tcW w:w="932" w:type="dxa"/>
          </w:tcPr>
          <w:p w14:paraId="6850EEE9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48</w:t>
            </w:r>
          </w:p>
        </w:tc>
        <w:tc>
          <w:tcPr>
            <w:tcW w:w="1194" w:type="dxa"/>
          </w:tcPr>
          <w:p w14:paraId="03EA565C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41 (85,4)</w:t>
            </w:r>
          </w:p>
        </w:tc>
        <w:tc>
          <w:tcPr>
            <w:tcW w:w="567" w:type="dxa"/>
          </w:tcPr>
          <w:p w14:paraId="4FFFC89C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44</w:t>
            </w:r>
          </w:p>
        </w:tc>
        <w:tc>
          <w:tcPr>
            <w:tcW w:w="1134" w:type="dxa"/>
            <w:gridSpan w:val="2"/>
          </w:tcPr>
          <w:p w14:paraId="22BFE390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35 (79,5)</w:t>
            </w:r>
          </w:p>
        </w:tc>
        <w:tc>
          <w:tcPr>
            <w:tcW w:w="2093" w:type="dxa"/>
            <w:vMerge/>
          </w:tcPr>
          <w:p w14:paraId="3689CB74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</w:p>
        </w:tc>
      </w:tr>
      <w:tr w:rsidR="00535D12" w:rsidRPr="00D369C9" w14:paraId="59D4BCAA" w14:textId="77777777" w:rsidTr="00B11FF5">
        <w:tc>
          <w:tcPr>
            <w:tcW w:w="2835" w:type="dxa"/>
          </w:tcPr>
          <w:p w14:paraId="710862FF" w14:textId="77777777" w:rsidR="00535D12" w:rsidRPr="00D369C9" w:rsidRDefault="00535D12" w:rsidP="00B11FF5">
            <w:pPr>
              <w:ind w:left="39" w:firstLine="0"/>
              <w:rPr>
                <w:i/>
                <w:noProof/>
                <w:szCs w:val="22"/>
                <w:lang w:eastAsia="en-GB"/>
              </w:rPr>
            </w:pPr>
            <w:r w:rsidRPr="00D369C9">
              <w:rPr>
                <w:i/>
                <w:noProof/>
                <w:szCs w:val="22"/>
                <w:lang w:eastAsia="en-GB"/>
              </w:rPr>
              <w:t>C. glabrata</w:t>
            </w:r>
          </w:p>
        </w:tc>
        <w:tc>
          <w:tcPr>
            <w:tcW w:w="932" w:type="dxa"/>
          </w:tcPr>
          <w:p w14:paraId="69CAB7D0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23</w:t>
            </w:r>
          </w:p>
        </w:tc>
        <w:tc>
          <w:tcPr>
            <w:tcW w:w="1194" w:type="dxa"/>
          </w:tcPr>
          <w:p w14:paraId="20FA850D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19 (82,6)</w:t>
            </w:r>
          </w:p>
        </w:tc>
        <w:tc>
          <w:tcPr>
            <w:tcW w:w="567" w:type="dxa"/>
          </w:tcPr>
          <w:p w14:paraId="45CEF912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17</w:t>
            </w:r>
          </w:p>
        </w:tc>
        <w:tc>
          <w:tcPr>
            <w:tcW w:w="1134" w:type="dxa"/>
            <w:gridSpan w:val="2"/>
          </w:tcPr>
          <w:p w14:paraId="30360DF8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14 (82,4)</w:t>
            </w:r>
          </w:p>
        </w:tc>
        <w:tc>
          <w:tcPr>
            <w:tcW w:w="2093" w:type="dxa"/>
            <w:vMerge/>
          </w:tcPr>
          <w:p w14:paraId="24C2A22F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</w:p>
        </w:tc>
      </w:tr>
      <w:tr w:rsidR="00535D12" w:rsidRPr="00D369C9" w14:paraId="0277C8FD" w14:textId="77777777" w:rsidTr="00B11FF5">
        <w:tc>
          <w:tcPr>
            <w:tcW w:w="2835" w:type="dxa"/>
          </w:tcPr>
          <w:p w14:paraId="5156AC8F" w14:textId="77777777" w:rsidR="00535D12" w:rsidRPr="00D369C9" w:rsidRDefault="00535D12" w:rsidP="00B11FF5">
            <w:pPr>
              <w:ind w:left="39" w:firstLine="0"/>
              <w:rPr>
                <w:i/>
                <w:noProof/>
                <w:szCs w:val="22"/>
                <w:lang w:eastAsia="en-GB"/>
              </w:rPr>
            </w:pPr>
            <w:r w:rsidRPr="00D369C9">
              <w:rPr>
                <w:i/>
                <w:noProof/>
                <w:szCs w:val="22"/>
                <w:lang w:eastAsia="en-GB"/>
              </w:rPr>
              <w:t>C. krusei</w:t>
            </w:r>
          </w:p>
        </w:tc>
        <w:tc>
          <w:tcPr>
            <w:tcW w:w="932" w:type="dxa"/>
          </w:tcPr>
          <w:p w14:paraId="0526CBE2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9</w:t>
            </w:r>
          </w:p>
        </w:tc>
        <w:tc>
          <w:tcPr>
            <w:tcW w:w="1194" w:type="dxa"/>
          </w:tcPr>
          <w:p w14:paraId="3C686017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8 (88,9)</w:t>
            </w:r>
          </w:p>
        </w:tc>
        <w:tc>
          <w:tcPr>
            <w:tcW w:w="567" w:type="dxa"/>
          </w:tcPr>
          <w:p w14:paraId="0B3B14AC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7</w:t>
            </w:r>
          </w:p>
        </w:tc>
        <w:tc>
          <w:tcPr>
            <w:tcW w:w="1134" w:type="dxa"/>
            <w:gridSpan w:val="2"/>
          </w:tcPr>
          <w:p w14:paraId="7494B471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  <w:r w:rsidRPr="00D369C9">
              <w:rPr>
                <w:noProof/>
                <w:szCs w:val="22"/>
                <w:lang w:eastAsia="en-GB"/>
              </w:rPr>
              <w:t>6 (85,7)</w:t>
            </w:r>
          </w:p>
        </w:tc>
        <w:tc>
          <w:tcPr>
            <w:tcW w:w="2093" w:type="dxa"/>
            <w:vMerge/>
          </w:tcPr>
          <w:p w14:paraId="07DB4878" w14:textId="77777777" w:rsidR="00535D12" w:rsidRPr="00D369C9" w:rsidRDefault="00535D12" w:rsidP="003A6469">
            <w:pPr>
              <w:ind w:left="0" w:firstLine="0"/>
              <w:rPr>
                <w:noProof/>
                <w:szCs w:val="22"/>
                <w:lang w:eastAsia="en-GB"/>
              </w:rPr>
            </w:pPr>
          </w:p>
        </w:tc>
      </w:tr>
    </w:tbl>
    <w:p w14:paraId="48663786" w14:textId="77777777" w:rsidR="003A6469" w:rsidRPr="00D369C9" w:rsidRDefault="003A6469" w:rsidP="00535D12">
      <w:pPr>
        <w:pStyle w:val="Default"/>
        <w:jc w:val="both"/>
        <w:rPr>
          <w:sz w:val="20"/>
          <w:szCs w:val="20"/>
          <w:lang w:val="sk-SK"/>
        </w:rPr>
      </w:pPr>
      <w:r w:rsidRPr="00D369C9">
        <w:rPr>
          <w:sz w:val="20"/>
          <w:szCs w:val="20"/>
          <w:lang w:val="sk-SK"/>
        </w:rPr>
        <w:t xml:space="preserve">† Účinnosť mikafungínu mínus účinnosť </w:t>
      </w:r>
      <w:proofErr w:type="spellStart"/>
      <w:r w:rsidRPr="00D369C9">
        <w:rPr>
          <w:sz w:val="20"/>
          <w:szCs w:val="20"/>
          <w:lang w:val="sk-SK"/>
        </w:rPr>
        <w:t>lipozomálneho</w:t>
      </w:r>
      <w:proofErr w:type="spellEnd"/>
      <w:r w:rsidRPr="00D369C9">
        <w:rPr>
          <w:sz w:val="20"/>
          <w:szCs w:val="20"/>
          <w:lang w:val="sk-SK"/>
        </w:rPr>
        <w:t xml:space="preserve"> </w:t>
      </w:r>
      <w:proofErr w:type="spellStart"/>
      <w:r w:rsidRPr="00D369C9">
        <w:rPr>
          <w:sz w:val="20"/>
          <w:szCs w:val="20"/>
          <w:lang w:val="sk-SK"/>
        </w:rPr>
        <w:t>amfotericínu</w:t>
      </w:r>
      <w:proofErr w:type="spellEnd"/>
      <w:r w:rsidRPr="00D369C9">
        <w:rPr>
          <w:sz w:val="20"/>
          <w:szCs w:val="20"/>
          <w:lang w:val="sk-SK"/>
        </w:rPr>
        <w:t xml:space="preserve"> B a obojstranne ohraničený 95</w:t>
      </w:r>
      <w:r w:rsidR="00535D12" w:rsidRPr="00D369C9">
        <w:rPr>
          <w:sz w:val="20"/>
          <w:szCs w:val="20"/>
          <w:lang w:val="sk-SK"/>
        </w:rPr>
        <w:t> </w:t>
      </w:r>
      <w:r w:rsidRPr="00D369C9">
        <w:rPr>
          <w:sz w:val="20"/>
          <w:szCs w:val="20"/>
          <w:lang w:val="sk-SK"/>
        </w:rPr>
        <w:t xml:space="preserve">% interval spoľahlivosti na stanovenie rozdielu v celkovej miere úspešnosti založený na normálnej aproximácii veľkej vzorky. </w:t>
      </w:r>
    </w:p>
    <w:p w14:paraId="146CF091" w14:textId="77777777" w:rsidR="003A6469" w:rsidRPr="00D369C9" w:rsidRDefault="003A6469" w:rsidP="00535D12">
      <w:pPr>
        <w:pStyle w:val="Default"/>
        <w:jc w:val="both"/>
        <w:rPr>
          <w:sz w:val="20"/>
          <w:szCs w:val="20"/>
          <w:lang w:val="sk-SK"/>
        </w:rPr>
      </w:pPr>
      <w:r w:rsidRPr="00D369C9">
        <w:rPr>
          <w:sz w:val="20"/>
          <w:szCs w:val="20"/>
          <w:lang w:val="sk-SK"/>
        </w:rPr>
        <w:t xml:space="preserve">‡ Korigované na pacientov s </w:t>
      </w:r>
      <w:proofErr w:type="spellStart"/>
      <w:r w:rsidRPr="00D369C9">
        <w:rPr>
          <w:sz w:val="20"/>
          <w:szCs w:val="20"/>
          <w:lang w:val="sk-SK"/>
        </w:rPr>
        <w:t>neutropéniou</w:t>
      </w:r>
      <w:proofErr w:type="spellEnd"/>
      <w:r w:rsidRPr="00D369C9">
        <w:rPr>
          <w:sz w:val="20"/>
          <w:szCs w:val="20"/>
          <w:lang w:val="sk-SK"/>
        </w:rPr>
        <w:t xml:space="preserve">; primárny cieľový ukazovateľ. </w:t>
      </w:r>
    </w:p>
    <w:p w14:paraId="3255AFD6" w14:textId="77777777" w:rsidR="003A6469" w:rsidRPr="00D369C9" w:rsidRDefault="003A6469" w:rsidP="00535D12">
      <w:pPr>
        <w:pStyle w:val="Default"/>
        <w:jc w:val="both"/>
        <w:rPr>
          <w:sz w:val="20"/>
          <w:szCs w:val="20"/>
          <w:lang w:val="sk-SK"/>
        </w:rPr>
      </w:pPr>
      <w:r w:rsidRPr="00D369C9">
        <w:rPr>
          <w:sz w:val="20"/>
          <w:szCs w:val="20"/>
          <w:lang w:val="sk-SK"/>
        </w:rPr>
        <w:t xml:space="preserve">§ Počet pacientov v pediatrickej populácii nepostačoval na testovanie </w:t>
      </w:r>
      <w:proofErr w:type="spellStart"/>
      <w:r w:rsidRPr="00D369C9">
        <w:rPr>
          <w:sz w:val="20"/>
          <w:szCs w:val="20"/>
          <w:lang w:val="sk-SK"/>
        </w:rPr>
        <w:t>non-inferiority</w:t>
      </w:r>
      <w:proofErr w:type="spellEnd"/>
      <w:r w:rsidRPr="00D369C9">
        <w:rPr>
          <w:sz w:val="20"/>
          <w:szCs w:val="20"/>
          <w:lang w:val="sk-SK"/>
        </w:rPr>
        <w:t xml:space="preserve">. </w:t>
      </w:r>
    </w:p>
    <w:p w14:paraId="1C477152" w14:textId="77777777" w:rsidR="003A6469" w:rsidRPr="00D369C9" w:rsidRDefault="003A6469" w:rsidP="00535D12">
      <w:pPr>
        <w:pStyle w:val="Default"/>
        <w:jc w:val="both"/>
        <w:rPr>
          <w:sz w:val="20"/>
          <w:szCs w:val="20"/>
          <w:lang w:val="sk-SK"/>
        </w:rPr>
      </w:pPr>
      <w:r w:rsidRPr="00D369C9">
        <w:rPr>
          <w:i/>
          <w:iCs/>
          <w:sz w:val="20"/>
          <w:szCs w:val="20"/>
          <w:lang w:val="sk-SK"/>
        </w:rPr>
        <w:t>¶</w:t>
      </w:r>
      <w:r w:rsidRPr="00D369C9">
        <w:rPr>
          <w:sz w:val="20"/>
          <w:szCs w:val="20"/>
          <w:lang w:val="sk-SK"/>
        </w:rPr>
        <w:t xml:space="preserve">: Klinická úspešnosť bola tiež pozorovaná (&lt; 5 pacientov) u nasledujúcich druhov </w:t>
      </w:r>
      <w:proofErr w:type="spellStart"/>
      <w:r w:rsidRPr="00D369C9">
        <w:rPr>
          <w:i/>
          <w:iCs/>
          <w:sz w:val="20"/>
          <w:szCs w:val="20"/>
          <w:lang w:val="sk-SK"/>
        </w:rPr>
        <w:t>Candida</w:t>
      </w:r>
      <w:proofErr w:type="spellEnd"/>
      <w:r w:rsidRPr="00D369C9">
        <w:rPr>
          <w:i/>
          <w:iCs/>
          <w:sz w:val="20"/>
          <w:szCs w:val="20"/>
          <w:lang w:val="sk-SK"/>
        </w:rPr>
        <w:t xml:space="preserve">: C. </w:t>
      </w:r>
      <w:proofErr w:type="spellStart"/>
      <w:r w:rsidRPr="00D369C9">
        <w:rPr>
          <w:i/>
          <w:iCs/>
          <w:sz w:val="20"/>
          <w:szCs w:val="20"/>
          <w:lang w:val="sk-SK"/>
        </w:rPr>
        <w:t>guilliermondii</w:t>
      </w:r>
      <w:proofErr w:type="spellEnd"/>
      <w:r w:rsidRPr="00D369C9">
        <w:rPr>
          <w:sz w:val="20"/>
          <w:szCs w:val="20"/>
          <w:lang w:val="sk-SK"/>
        </w:rPr>
        <w:t xml:space="preserve">, </w:t>
      </w:r>
      <w:r w:rsidRPr="00D369C9">
        <w:rPr>
          <w:i/>
          <w:iCs/>
          <w:sz w:val="20"/>
          <w:szCs w:val="20"/>
          <w:lang w:val="sk-SK"/>
        </w:rPr>
        <w:t xml:space="preserve">C. </w:t>
      </w:r>
      <w:proofErr w:type="spellStart"/>
      <w:r w:rsidRPr="00D369C9">
        <w:rPr>
          <w:i/>
          <w:iCs/>
          <w:sz w:val="20"/>
          <w:szCs w:val="20"/>
          <w:lang w:val="sk-SK"/>
        </w:rPr>
        <w:t>famata</w:t>
      </w:r>
      <w:proofErr w:type="spellEnd"/>
      <w:r w:rsidRPr="00D369C9">
        <w:rPr>
          <w:sz w:val="20"/>
          <w:szCs w:val="20"/>
          <w:lang w:val="sk-SK"/>
        </w:rPr>
        <w:t xml:space="preserve">, </w:t>
      </w:r>
      <w:r w:rsidRPr="00D369C9">
        <w:rPr>
          <w:i/>
          <w:iCs/>
          <w:sz w:val="20"/>
          <w:szCs w:val="20"/>
          <w:lang w:val="sk-SK"/>
        </w:rPr>
        <w:t xml:space="preserve">C. </w:t>
      </w:r>
      <w:proofErr w:type="spellStart"/>
      <w:r w:rsidRPr="00D369C9">
        <w:rPr>
          <w:i/>
          <w:iCs/>
          <w:sz w:val="20"/>
          <w:szCs w:val="20"/>
          <w:lang w:val="sk-SK"/>
        </w:rPr>
        <w:t>lusitaniae</w:t>
      </w:r>
      <w:proofErr w:type="spellEnd"/>
      <w:r w:rsidRPr="00D369C9">
        <w:rPr>
          <w:sz w:val="20"/>
          <w:szCs w:val="20"/>
          <w:lang w:val="sk-SK"/>
        </w:rPr>
        <w:t xml:space="preserve">, </w:t>
      </w:r>
      <w:r w:rsidRPr="00D369C9">
        <w:rPr>
          <w:i/>
          <w:iCs/>
          <w:sz w:val="20"/>
          <w:szCs w:val="20"/>
          <w:lang w:val="sk-SK"/>
        </w:rPr>
        <w:t xml:space="preserve">C. </w:t>
      </w:r>
      <w:proofErr w:type="spellStart"/>
      <w:r w:rsidRPr="00D369C9">
        <w:rPr>
          <w:i/>
          <w:iCs/>
          <w:sz w:val="20"/>
          <w:szCs w:val="20"/>
          <w:lang w:val="sk-SK"/>
        </w:rPr>
        <w:t>utilis</w:t>
      </w:r>
      <w:proofErr w:type="spellEnd"/>
      <w:r w:rsidRPr="00D369C9">
        <w:rPr>
          <w:sz w:val="20"/>
          <w:szCs w:val="20"/>
          <w:lang w:val="sk-SK"/>
        </w:rPr>
        <w:t xml:space="preserve">, </w:t>
      </w:r>
      <w:r w:rsidRPr="00D369C9">
        <w:rPr>
          <w:i/>
          <w:iCs/>
          <w:sz w:val="20"/>
          <w:szCs w:val="20"/>
          <w:lang w:val="sk-SK"/>
        </w:rPr>
        <w:t xml:space="preserve">C. </w:t>
      </w:r>
      <w:proofErr w:type="spellStart"/>
      <w:r w:rsidRPr="00D369C9">
        <w:rPr>
          <w:i/>
          <w:iCs/>
          <w:sz w:val="20"/>
          <w:szCs w:val="20"/>
          <w:lang w:val="sk-SK"/>
        </w:rPr>
        <w:t>inconspicua</w:t>
      </w:r>
      <w:proofErr w:type="spellEnd"/>
      <w:r w:rsidRPr="00D369C9">
        <w:rPr>
          <w:i/>
          <w:iCs/>
          <w:sz w:val="20"/>
          <w:szCs w:val="20"/>
          <w:lang w:val="sk-SK"/>
        </w:rPr>
        <w:t xml:space="preserve"> </w:t>
      </w:r>
      <w:r w:rsidRPr="00D369C9">
        <w:rPr>
          <w:sz w:val="20"/>
          <w:szCs w:val="20"/>
          <w:lang w:val="sk-SK"/>
        </w:rPr>
        <w:t xml:space="preserve">a </w:t>
      </w:r>
      <w:r w:rsidRPr="00D369C9">
        <w:rPr>
          <w:i/>
          <w:iCs/>
          <w:sz w:val="20"/>
          <w:szCs w:val="20"/>
          <w:lang w:val="sk-SK"/>
        </w:rPr>
        <w:t xml:space="preserve">C. </w:t>
      </w:r>
      <w:proofErr w:type="spellStart"/>
      <w:r w:rsidRPr="00D369C9">
        <w:rPr>
          <w:i/>
          <w:iCs/>
          <w:sz w:val="20"/>
          <w:szCs w:val="20"/>
          <w:lang w:val="sk-SK"/>
        </w:rPr>
        <w:t>dubliniensis</w:t>
      </w:r>
      <w:proofErr w:type="spellEnd"/>
      <w:r w:rsidRPr="00D369C9">
        <w:rPr>
          <w:sz w:val="20"/>
          <w:szCs w:val="20"/>
          <w:lang w:val="sk-SK"/>
        </w:rPr>
        <w:t xml:space="preserve">. </w:t>
      </w:r>
    </w:p>
    <w:p w14:paraId="7BD322B0" w14:textId="77777777" w:rsidR="00535D12" w:rsidRPr="00D369C9" w:rsidRDefault="00535D12" w:rsidP="00535D12">
      <w:pPr>
        <w:pStyle w:val="Default"/>
        <w:jc w:val="both"/>
        <w:rPr>
          <w:i/>
          <w:iCs/>
          <w:sz w:val="22"/>
          <w:szCs w:val="22"/>
          <w:lang w:val="sk-SK"/>
        </w:rPr>
      </w:pPr>
    </w:p>
    <w:p w14:paraId="6DE6BA36" w14:textId="77777777" w:rsidR="003A6469" w:rsidRPr="00D369C9" w:rsidRDefault="003A6469" w:rsidP="00535D12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i/>
          <w:iCs/>
          <w:sz w:val="22"/>
          <w:szCs w:val="22"/>
          <w:lang w:val="sk-SK"/>
        </w:rPr>
        <w:t>Kandidóza</w:t>
      </w:r>
      <w:proofErr w:type="spellEnd"/>
      <w:r w:rsidRPr="00D369C9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D369C9">
        <w:rPr>
          <w:i/>
          <w:iCs/>
          <w:sz w:val="22"/>
          <w:szCs w:val="22"/>
          <w:lang w:val="sk-SK"/>
        </w:rPr>
        <w:t>ezofágu</w:t>
      </w:r>
      <w:proofErr w:type="spellEnd"/>
      <w:r w:rsidRPr="00D369C9">
        <w:rPr>
          <w:i/>
          <w:iCs/>
          <w:sz w:val="22"/>
          <w:szCs w:val="22"/>
          <w:lang w:val="sk-SK"/>
        </w:rPr>
        <w:t xml:space="preserve">: </w:t>
      </w:r>
      <w:r w:rsidRPr="00D369C9">
        <w:rPr>
          <w:sz w:val="22"/>
          <w:szCs w:val="22"/>
          <w:lang w:val="sk-SK"/>
        </w:rPr>
        <w:t xml:space="preserve">V </w:t>
      </w:r>
      <w:proofErr w:type="spellStart"/>
      <w:r w:rsidRPr="00D369C9">
        <w:rPr>
          <w:sz w:val="22"/>
          <w:szCs w:val="22"/>
          <w:lang w:val="sk-SK"/>
        </w:rPr>
        <w:t>randomizovanej</w:t>
      </w:r>
      <w:proofErr w:type="spellEnd"/>
      <w:r w:rsidRPr="00D369C9">
        <w:rPr>
          <w:sz w:val="22"/>
          <w:szCs w:val="22"/>
          <w:lang w:val="sk-SK"/>
        </w:rPr>
        <w:t xml:space="preserve">, dvojito-zaslepenej klinickej štúdii porovnávajúcej liečbu prvej voľby </w:t>
      </w:r>
      <w:proofErr w:type="spellStart"/>
      <w:r w:rsidRPr="00D369C9">
        <w:rPr>
          <w:sz w:val="22"/>
          <w:szCs w:val="22"/>
          <w:lang w:val="sk-SK"/>
        </w:rPr>
        <w:t>mikafungínom</w:t>
      </w:r>
      <w:proofErr w:type="spellEnd"/>
      <w:r w:rsidRPr="00D369C9">
        <w:rPr>
          <w:sz w:val="22"/>
          <w:szCs w:val="22"/>
          <w:lang w:val="sk-SK"/>
        </w:rPr>
        <w:t xml:space="preserve"> a </w:t>
      </w:r>
      <w:proofErr w:type="spellStart"/>
      <w:r w:rsidRPr="00D369C9">
        <w:rPr>
          <w:sz w:val="22"/>
          <w:szCs w:val="22"/>
          <w:lang w:val="sk-SK"/>
        </w:rPr>
        <w:t>flukonazolom</w:t>
      </w:r>
      <w:proofErr w:type="spellEnd"/>
      <w:r w:rsidRPr="00D369C9">
        <w:rPr>
          <w:sz w:val="22"/>
          <w:szCs w:val="22"/>
          <w:lang w:val="sk-SK"/>
        </w:rPr>
        <w:t xml:space="preserve"> pri </w:t>
      </w:r>
      <w:proofErr w:type="spellStart"/>
      <w:r w:rsidRPr="00D369C9">
        <w:rPr>
          <w:sz w:val="22"/>
          <w:szCs w:val="22"/>
          <w:lang w:val="sk-SK"/>
        </w:rPr>
        <w:t>kandidóze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ezofágu</w:t>
      </w:r>
      <w:proofErr w:type="spellEnd"/>
      <w:r w:rsidRPr="00D369C9">
        <w:rPr>
          <w:sz w:val="22"/>
          <w:szCs w:val="22"/>
          <w:lang w:val="sk-SK"/>
        </w:rPr>
        <w:t xml:space="preserve"> bola 518 pacientom podaná minimálne jedna dávka skúšaného lieku. Medián trvania liečby bol 14 dní a medián priemernej dennej dávky bol 150 mg pre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(N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=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260) a 200 mg pre </w:t>
      </w:r>
      <w:proofErr w:type="spellStart"/>
      <w:r w:rsidRPr="00D369C9">
        <w:rPr>
          <w:sz w:val="22"/>
          <w:szCs w:val="22"/>
          <w:lang w:val="sk-SK"/>
        </w:rPr>
        <w:t>flukonazol</w:t>
      </w:r>
      <w:proofErr w:type="spellEnd"/>
      <w:r w:rsidRPr="00D369C9">
        <w:rPr>
          <w:sz w:val="22"/>
          <w:szCs w:val="22"/>
          <w:lang w:val="sk-SK"/>
        </w:rPr>
        <w:t xml:space="preserve"> (N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=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258). </w:t>
      </w:r>
      <w:proofErr w:type="spellStart"/>
      <w:r w:rsidRPr="00D369C9">
        <w:rPr>
          <w:sz w:val="22"/>
          <w:szCs w:val="22"/>
          <w:lang w:val="sk-SK"/>
        </w:rPr>
        <w:t>Endoskopický</w:t>
      </w:r>
      <w:proofErr w:type="spellEnd"/>
      <w:r w:rsidRPr="00D369C9">
        <w:rPr>
          <w:sz w:val="22"/>
          <w:szCs w:val="22"/>
          <w:lang w:val="sk-SK"/>
        </w:rPr>
        <w:t xml:space="preserve"> nález stupňa 0 (</w:t>
      </w:r>
      <w:proofErr w:type="spellStart"/>
      <w:r w:rsidRPr="00D369C9">
        <w:rPr>
          <w:sz w:val="22"/>
          <w:szCs w:val="22"/>
          <w:lang w:val="sk-SK"/>
        </w:rPr>
        <w:t>endoskopická</w:t>
      </w:r>
      <w:proofErr w:type="spellEnd"/>
      <w:r w:rsidRPr="00D369C9">
        <w:rPr>
          <w:sz w:val="22"/>
          <w:szCs w:val="22"/>
          <w:lang w:val="sk-SK"/>
        </w:rPr>
        <w:t xml:space="preserve"> liečba) bol na konci liečby pozorovaný u 87,7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% (228/260) pacientov užívajúcich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a u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88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% (227/258) pacientov užívajúcich </w:t>
      </w:r>
      <w:proofErr w:type="spellStart"/>
      <w:r w:rsidRPr="00D369C9">
        <w:rPr>
          <w:sz w:val="22"/>
          <w:szCs w:val="22"/>
          <w:lang w:val="sk-SK"/>
        </w:rPr>
        <w:t>flukonazol</w:t>
      </w:r>
      <w:proofErr w:type="spellEnd"/>
      <w:r w:rsidRPr="00D369C9">
        <w:rPr>
          <w:sz w:val="22"/>
          <w:szCs w:val="22"/>
          <w:lang w:val="sk-SK"/>
        </w:rPr>
        <w:t xml:space="preserve"> (95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% CI na stanovenie r</w:t>
      </w:r>
      <w:r w:rsidR="00535D12" w:rsidRPr="00D369C9">
        <w:rPr>
          <w:sz w:val="22"/>
          <w:szCs w:val="22"/>
          <w:lang w:val="sk-SK"/>
        </w:rPr>
        <w:t xml:space="preserve">ozdielu: </w:t>
      </w:r>
      <w:r w:rsidR="00535D12" w:rsidRPr="00D369C9">
        <w:rPr>
          <w:sz w:val="22"/>
          <w:szCs w:val="22"/>
          <w:lang w:val="sk-SK"/>
        </w:rPr>
        <w:br/>
        <w:t>[-</w:t>
      </w:r>
      <w:r w:rsidRPr="00D369C9">
        <w:rPr>
          <w:sz w:val="22"/>
          <w:szCs w:val="22"/>
          <w:lang w:val="sk-SK"/>
        </w:rPr>
        <w:t>5,9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%, 5,3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%]). Dolná hranica 95</w:t>
      </w:r>
      <w:r w:rsidR="00693075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% intervalu spoľahlivosti bola nad preddefinovanou hranicou </w:t>
      </w:r>
      <w:proofErr w:type="spellStart"/>
      <w:r w:rsidRPr="00D369C9">
        <w:rPr>
          <w:sz w:val="22"/>
          <w:szCs w:val="22"/>
          <w:lang w:val="sk-SK"/>
        </w:rPr>
        <w:t>non-inferiority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r w:rsidR="00535D12" w:rsidRPr="00D369C9">
        <w:rPr>
          <w:sz w:val="22"/>
          <w:szCs w:val="22"/>
          <w:lang w:val="sk-SK"/>
        </w:rPr>
        <w:t>– </w:t>
      </w:r>
      <w:r w:rsidRPr="00D369C9">
        <w:rPr>
          <w:sz w:val="22"/>
          <w:szCs w:val="22"/>
          <w:lang w:val="sk-SK"/>
        </w:rPr>
        <w:t>10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%, čo potvrdilo </w:t>
      </w:r>
      <w:proofErr w:type="spellStart"/>
      <w:r w:rsidRPr="00D369C9">
        <w:rPr>
          <w:sz w:val="22"/>
          <w:szCs w:val="22"/>
          <w:lang w:val="sk-SK"/>
        </w:rPr>
        <w:t>non-inferioritu</w:t>
      </w:r>
      <w:proofErr w:type="spellEnd"/>
      <w:r w:rsidRPr="00D369C9">
        <w:rPr>
          <w:sz w:val="22"/>
          <w:szCs w:val="22"/>
          <w:lang w:val="sk-SK"/>
        </w:rPr>
        <w:t xml:space="preserve"> testu. Charakter a </w:t>
      </w:r>
      <w:proofErr w:type="spellStart"/>
      <w:r w:rsidRPr="00D369C9">
        <w:rPr>
          <w:sz w:val="22"/>
          <w:szCs w:val="22"/>
          <w:lang w:val="sk-SK"/>
        </w:rPr>
        <w:t>incidencia</w:t>
      </w:r>
      <w:proofErr w:type="spellEnd"/>
      <w:r w:rsidRPr="00D369C9">
        <w:rPr>
          <w:sz w:val="22"/>
          <w:szCs w:val="22"/>
          <w:lang w:val="sk-SK"/>
        </w:rPr>
        <w:t xml:space="preserve"> nežiaducich udalostí boli podobné v oboch liečených skupinách. </w:t>
      </w:r>
    </w:p>
    <w:p w14:paraId="4782A89F" w14:textId="77777777" w:rsidR="00535D12" w:rsidRPr="00D369C9" w:rsidRDefault="00535D12" w:rsidP="003A6469">
      <w:pPr>
        <w:pStyle w:val="Default"/>
        <w:rPr>
          <w:i/>
          <w:iCs/>
          <w:sz w:val="22"/>
          <w:szCs w:val="22"/>
          <w:lang w:val="sk-SK"/>
        </w:rPr>
      </w:pPr>
    </w:p>
    <w:p w14:paraId="7A8BB11A" w14:textId="77777777" w:rsidR="003A6469" w:rsidRPr="00D369C9" w:rsidRDefault="003A6469" w:rsidP="00535D12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i/>
          <w:iCs/>
          <w:sz w:val="22"/>
          <w:szCs w:val="22"/>
          <w:lang w:val="sk-SK"/>
        </w:rPr>
        <w:t xml:space="preserve">Profylaxia: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bol účinnejší ako </w:t>
      </w:r>
      <w:proofErr w:type="spellStart"/>
      <w:r w:rsidRPr="00D369C9">
        <w:rPr>
          <w:sz w:val="22"/>
          <w:szCs w:val="22"/>
          <w:lang w:val="sk-SK"/>
        </w:rPr>
        <w:t>flukonazol</w:t>
      </w:r>
      <w:proofErr w:type="spellEnd"/>
      <w:r w:rsidRPr="00D369C9">
        <w:rPr>
          <w:sz w:val="22"/>
          <w:szCs w:val="22"/>
          <w:lang w:val="sk-SK"/>
        </w:rPr>
        <w:t xml:space="preserve"> v prevencii invazívnych </w:t>
      </w:r>
      <w:proofErr w:type="spellStart"/>
      <w:r w:rsidRPr="00D369C9">
        <w:rPr>
          <w:sz w:val="22"/>
          <w:szCs w:val="22"/>
          <w:lang w:val="sk-SK"/>
        </w:rPr>
        <w:t>mykotických</w:t>
      </w:r>
      <w:proofErr w:type="spellEnd"/>
      <w:r w:rsidRPr="00D369C9">
        <w:rPr>
          <w:sz w:val="22"/>
          <w:szCs w:val="22"/>
          <w:lang w:val="sk-SK"/>
        </w:rPr>
        <w:t xml:space="preserve"> infekcií v populácii pacientov s vysokým rizikom rozvoja systémovej </w:t>
      </w:r>
      <w:proofErr w:type="spellStart"/>
      <w:r w:rsidRPr="00D369C9">
        <w:rPr>
          <w:sz w:val="22"/>
          <w:szCs w:val="22"/>
          <w:lang w:val="sk-SK"/>
        </w:rPr>
        <w:t>mykotickej</w:t>
      </w:r>
      <w:proofErr w:type="spellEnd"/>
      <w:r w:rsidRPr="00D369C9">
        <w:rPr>
          <w:sz w:val="22"/>
          <w:szCs w:val="22"/>
          <w:lang w:val="sk-SK"/>
        </w:rPr>
        <w:t xml:space="preserve"> infekcie (pacienti podstupujúci transplantáciu </w:t>
      </w:r>
      <w:proofErr w:type="spellStart"/>
      <w:r w:rsidRPr="00D369C9">
        <w:rPr>
          <w:sz w:val="22"/>
          <w:szCs w:val="22"/>
          <w:lang w:val="sk-SK"/>
        </w:rPr>
        <w:t>hematopoetických</w:t>
      </w:r>
      <w:proofErr w:type="spellEnd"/>
      <w:r w:rsidRPr="00D369C9">
        <w:rPr>
          <w:sz w:val="22"/>
          <w:szCs w:val="22"/>
          <w:lang w:val="sk-SK"/>
        </w:rPr>
        <w:t xml:space="preserve"> kmeňových buniek [HSCT] v </w:t>
      </w:r>
      <w:proofErr w:type="spellStart"/>
      <w:r w:rsidRPr="00D369C9">
        <w:rPr>
          <w:sz w:val="22"/>
          <w:szCs w:val="22"/>
          <w:lang w:val="sk-SK"/>
        </w:rPr>
        <w:t>randomizovanej</w:t>
      </w:r>
      <w:proofErr w:type="spellEnd"/>
      <w:r w:rsidRPr="00D369C9">
        <w:rPr>
          <w:sz w:val="22"/>
          <w:szCs w:val="22"/>
          <w:lang w:val="sk-SK"/>
        </w:rPr>
        <w:t xml:space="preserve">, dvojito zaslepenej, </w:t>
      </w:r>
      <w:proofErr w:type="spellStart"/>
      <w:r w:rsidRPr="00D369C9">
        <w:rPr>
          <w:sz w:val="22"/>
          <w:szCs w:val="22"/>
          <w:lang w:val="sk-SK"/>
        </w:rPr>
        <w:t>multicentrickej</w:t>
      </w:r>
      <w:proofErr w:type="spellEnd"/>
      <w:r w:rsidRPr="00D369C9">
        <w:rPr>
          <w:sz w:val="22"/>
          <w:szCs w:val="22"/>
          <w:lang w:val="sk-SK"/>
        </w:rPr>
        <w:t xml:space="preserve"> štúdii). Úspešnosť liečby bola definovaná ako absencia potvrdenej, pravdepodobnej alebo </w:t>
      </w:r>
      <w:proofErr w:type="spellStart"/>
      <w:r w:rsidRPr="00D369C9">
        <w:rPr>
          <w:sz w:val="22"/>
          <w:szCs w:val="22"/>
          <w:lang w:val="sk-SK"/>
        </w:rPr>
        <w:t>suspektnej</w:t>
      </w:r>
      <w:proofErr w:type="spellEnd"/>
      <w:r w:rsidRPr="00D369C9">
        <w:rPr>
          <w:sz w:val="22"/>
          <w:szCs w:val="22"/>
          <w:lang w:val="sk-SK"/>
        </w:rPr>
        <w:t xml:space="preserve"> systémovej </w:t>
      </w:r>
      <w:proofErr w:type="spellStart"/>
      <w:r w:rsidRPr="00D369C9">
        <w:rPr>
          <w:sz w:val="22"/>
          <w:szCs w:val="22"/>
          <w:lang w:val="sk-SK"/>
        </w:rPr>
        <w:t>mykotickej</w:t>
      </w:r>
      <w:proofErr w:type="spellEnd"/>
      <w:r w:rsidRPr="00D369C9">
        <w:rPr>
          <w:sz w:val="22"/>
          <w:szCs w:val="22"/>
          <w:lang w:val="sk-SK"/>
        </w:rPr>
        <w:t xml:space="preserve"> infekcie v období do ukončenia liečby a absencia potvrdenej alebo pravdepodobnej systémovej </w:t>
      </w:r>
      <w:proofErr w:type="spellStart"/>
      <w:r w:rsidRPr="00D369C9">
        <w:rPr>
          <w:sz w:val="22"/>
          <w:szCs w:val="22"/>
          <w:lang w:val="sk-SK"/>
        </w:rPr>
        <w:t>mykotickej</w:t>
      </w:r>
      <w:proofErr w:type="spellEnd"/>
      <w:r w:rsidRPr="00D369C9">
        <w:rPr>
          <w:sz w:val="22"/>
          <w:szCs w:val="22"/>
          <w:lang w:val="sk-SK"/>
        </w:rPr>
        <w:t xml:space="preserve"> infekcie v čase ukončenia štúdie. Väčšina pacientov (97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%, N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=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882) mala na začiatku </w:t>
      </w:r>
      <w:proofErr w:type="spellStart"/>
      <w:r w:rsidRPr="00D369C9">
        <w:rPr>
          <w:sz w:val="22"/>
          <w:szCs w:val="22"/>
          <w:lang w:val="sk-SK"/>
        </w:rPr>
        <w:t>neutropéniu</w:t>
      </w:r>
      <w:proofErr w:type="spellEnd"/>
      <w:r w:rsidRPr="00D369C9">
        <w:rPr>
          <w:sz w:val="22"/>
          <w:szCs w:val="22"/>
          <w:lang w:val="sk-SK"/>
        </w:rPr>
        <w:t xml:space="preserve"> (&lt; 200 </w:t>
      </w:r>
      <w:proofErr w:type="spellStart"/>
      <w:r w:rsidRPr="00D369C9">
        <w:rPr>
          <w:sz w:val="22"/>
          <w:szCs w:val="22"/>
          <w:lang w:val="sk-SK"/>
        </w:rPr>
        <w:t>neutrofilov</w:t>
      </w:r>
      <w:proofErr w:type="spellEnd"/>
      <w:r w:rsidRPr="00D369C9">
        <w:rPr>
          <w:sz w:val="22"/>
          <w:szCs w:val="22"/>
          <w:lang w:val="sk-SK"/>
        </w:rPr>
        <w:t>/</w:t>
      </w:r>
      <w:proofErr w:type="spellStart"/>
      <w:r w:rsidRPr="00D369C9">
        <w:rPr>
          <w:sz w:val="22"/>
          <w:szCs w:val="22"/>
          <w:lang w:val="sk-SK"/>
        </w:rPr>
        <w:t>μl</w:t>
      </w:r>
      <w:proofErr w:type="spellEnd"/>
      <w:r w:rsidRPr="00D369C9">
        <w:rPr>
          <w:sz w:val="22"/>
          <w:szCs w:val="22"/>
          <w:lang w:val="sk-SK"/>
        </w:rPr>
        <w:t xml:space="preserve">). Medián trvania </w:t>
      </w:r>
      <w:proofErr w:type="spellStart"/>
      <w:r w:rsidRPr="00D369C9">
        <w:rPr>
          <w:sz w:val="22"/>
          <w:szCs w:val="22"/>
          <w:lang w:val="sk-SK"/>
        </w:rPr>
        <w:t>neutropénie</w:t>
      </w:r>
      <w:proofErr w:type="spellEnd"/>
      <w:r w:rsidRPr="00D369C9">
        <w:rPr>
          <w:sz w:val="22"/>
          <w:szCs w:val="22"/>
          <w:lang w:val="sk-SK"/>
        </w:rPr>
        <w:t xml:space="preserve"> bol 13 dní. Pevne stanovená denná dávka bola pre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50 mg (1,0 mg/kg) a pre </w:t>
      </w:r>
      <w:proofErr w:type="spellStart"/>
      <w:r w:rsidRPr="00D369C9">
        <w:rPr>
          <w:sz w:val="22"/>
          <w:szCs w:val="22"/>
          <w:lang w:val="sk-SK"/>
        </w:rPr>
        <w:t>flukonazol</w:t>
      </w:r>
      <w:proofErr w:type="spellEnd"/>
      <w:r w:rsidRPr="00D369C9">
        <w:rPr>
          <w:sz w:val="22"/>
          <w:szCs w:val="22"/>
          <w:lang w:val="sk-SK"/>
        </w:rPr>
        <w:t xml:space="preserve"> 400 mg (8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mg/kg). Priemerný čas liečby bol v dospelej populácii (N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=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798) pre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19 dní a pre </w:t>
      </w:r>
      <w:proofErr w:type="spellStart"/>
      <w:r w:rsidRPr="00D369C9">
        <w:rPr>
          <w:sz w:val="22"/>
          <w:szCs w:val="22"/>
          <w:lang w:val="sk-SK"/>
        </w:rPr>
        <w:t>flukonazol</w:t>
      </w:r>
      <w:proofErr w:type="spellEnd"/>
      <w:r w:rsidRPr="00D369C9">
        <w:rPr>
          <w:sz w:val="22"/>
          <w:szCs w:val="22"/>
          <w:lang w:val="sk-SK"/>
        </w:rPr>
        <w:t xml:space="preserve"> 18 dní, v pediatrickej </w:t>
      </w:r>
      <w:proofErr w:type="spellStart"/>
      <w:r w:rsidRPr="00D369C9">
        <w:rPr>
          <w:sz w:val="22"/>
          <w:szCs w:val="22"/>
          <w:lang w:val="sk-SK"/>
        </w:rPr>
        <w:t>populáci</w:t>
      </w:r>
      <w:proofErr w:type="spellEnd"/>
      <w:r w:rsidRPr="00D369C9">
        <w:rPr>
          <w:sz w:val="22"/>
          <w:szCs w:val="22"/>
          <w:lang w:val="sk-SK"/>
        </w:rPr>
        <w:t xml:space="preserve"> (N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=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84) 23 dní v oboch liečebných skupinách. </w:t>
      </w:r>
    </w:p>
    <w:p w14:paraId="5C162E60" w14:textId="0B742F4B" w:rsidR="003A6469" w:rsidRPr="00D369C9" w:rsidRDefault="003A6469" w:rsidP="00535D12">
      <w:pPr>
        <w:ind w:left="0" w:firstLine="0"/>
        <w:jc w:val="both"/>
        <w:rPr>
          <w:szCs w:val="22"/>
        </w:rPr>
      </w:pPr>
      <w:r w:rsidRPr="00D369C9">
        <w:rPr>
          <w:szCs w:val="22"/>
        </w:rPr>
        <w:t xml:space="preserve">Miera úspešnosti liečby bola štatisticky signifikantne vyššia pre </w:t>
      </w:r>
      <w:proofErr w:type="spellStart"/>
      <w:r w:rsidRPr="00D369C9">
        <w:rPr>
          <w:szCs w:val="22"/>
        </w:rPr>
        <w:t>mikafungín</w:t>
      </w:r>
      <w:proofErr w:type="spellEnd"/>
      <w:r w:rsidRPr="00D369C9">
        <w:rPr>
          <w:szCs w:val="22"/>
        </w:rPr>
        <w:t xml:space="preserve"> ako pre </w:t>
      </w:r>
      <w:proofErr w:type="spellStart"/>
      <w:r w:rsidRPr="00D369C9">
        <w:rPr>
          <w:szCs w:val="22"/>
        </w:rPr>
        <w:t>flukonazol</w:t>
      </w:r>
      <w:proofErr w:type="spellEnd"/>
      <w:r w:rsidRPr="00D369C9">
        <w:rPr>
          <w:szCs w:val="22"/>
        </w:rPr>
        <w:t xml:space="preserve"> (1,6</w:t>
      </w:r>
      <w:r w:rsidR="00535D12" w:rsidRPr="00D369C9">
        <w:rPr>
          <w:szCs w:val="22"/>
        </w:rPr>
        <w:t> </w:t>
      </w:r>
      <w:r w:rsidRPr="00D369C9">
        <w:rPr>
          <w:szCs w:val="22"/>
        </w:rPr>
        <w:t>% oproti 2,4</w:t>
      </w:r>
      <w:r w:rsidR="00535D12" w:rsidRPr="00D369C9">
        <w:rPr>
          <w:szCs w:val="22"/>
        </w:rPr>
        <w:t> </w:t>
      </w:r>
      <w:r w:rsidRPr="00D369C9">
        <w:rPr>
          <w:szCs w:val="22"/>
        </w:rPr>
        <w:t xml:space="preserve">% vzplanutiu infekcií). Vzplanutie infekcií rodom </w:t>
      </w:r>
      <w:proofErr w:type="spellStart"/>
      <w:r w:rsidRPr="00D369C9">
        <w:rPr>
          <w:i/>
          <w:iCs/>
          <w:szCs w:val="22"/>
        </w:rPr>
        <w:t>Aspergillus</w:t>
      </w:r>
      <w:proofErr w:type="spellEnd"/>
      <w:r w:rsidRPr="00D369C9">
        <w:rPr>
          <w:i/>
          <w:iCs/>
          <w:szCs w:val="22"/>
        </w:rPr>
        <w:t xml:space="preserve"> </w:t>
      </w:r>
      <w:r w:rsidRPr="00D369C9">
        <w:rPr>
          <w:szCs w:val="22"/>
        </w:rPr>
        <w:t xml:space="preserve">bolo pozorované u 1 </w:t>
      </w:r>
      <w:r w:rsidR="00DF5674">
        <w:rPr>
          <w:szCs w:val="22"/>
        </w:rPr>
        <w:t xml:space="preserve">oproti </w:t>
      </w:r>
      <w:r w:rsidRPr="00D369C9">
        <w:rPr>
          <w:szCs w:val="22"/>
        </w:rPr>
        <w:t xml:space="preserve"> 7 pacient</w:t>
      </w:r>
      <w:r w:rsidR="00DF5674">
        <w:rPr>
          <w:szCs w:val="22"/>
        </w:rPr>
        <w:t>om</w:t>
      </w:r>
      <w:r w:rsidRPr="00D369C9">
        <w:rPr>
          <w:szCs w:val="22"/>
        </w:rPr>
        <w:t xml:space="preserve"> a potvrdené alebo pravdepodobné vzplanutie infekcií rodom </w:t>
      </w:r>
      <w:proofErr w:type="spellStart"/>
      <w:r w:rsidRPr="00D369C9">
        <w:rPr>
          <w:i/>
          <w:iCs/>
          <w:szCs w:val="22"/>
        </w:rPr>
        <w:t>Candida</w:t>
      </w:r>
      <w:proofErr w:type="spellEnd"/>
      <w:r w:rsidRPr="00D369C9">
        <w:rPr>
          <w:i/>
          <w:iCs/>
          <w:szCs w:val="22"/>
        </w:rPr>
        <w:t xml:space="preserve"> </w:t>
      </w:r>
      <w:r w:rsidRPr="00D369C9">
        <w:rPr>
          <w:szCs w:val="22"/>
        </w:rPr>
        <w:t>bolo pozorované u 4 oproti 2 pacientom</w:t>
      </w:r>
      <w:r w:rsidR="00A335E9">
        <w:rPr>
          <w:szCs w:val="22"/>
        </w:rPr>
        <w:t xml:space="preserve"> v skupine s </w:t>
      </w:r>
      <w:proofErr w:type="spellStart"/>
      <w:r w:rsidR="00A335E9">
        <w:rPr>
          <w:szCs w:val="22"/>
        </w:rPr>
        <w:t>mikafungínom</w:t>
      </w:r>
      <w:proofErr w:type="spellEnd"/>
      <w:r w:rsidR="00A335E9">
        <w:rPr>
          <w:szCs w:val="22"/>
        </w:rPr>
        <w:t xml:space="preserve"> a </w:t>
      </w:r>
      <w:proofErr w:type="spellStart"/>
      <w:r w:rsidR="00A335E9">
        <w:rPr>
          <w:szCs w:val="22"/>
        </w:rPr>
        <w:t>flukonazolom</w:t>
      </w:r>
      <w:proofErr w:type="spellEnd"/>
      <w:r w:rsidRPr="00D369C9">
        <w:rPr>
          <w:szCs w:val="22"/>
        </w:rPr>
        <w:t xml:space="preserve">, v uvedenom poradí. Ďalšie vzplanutie </w:t>
      </w:r>
      <w:r w:rsidRPr="00D369C9">
        <w:rPr>
          <w:szCs w:val="22"/>
        </w:rPr>
        <w:lastRenderedPageBreak/>
        <w:t xml:space="preserve">infekcií bolo spôsobené rodmi </w:t>
      </w:r>
      <w:proofErr w:type="spellStart"/>
      <w:r w:rsidRPr="00D369C9">
        <w:rPr>
          <w:i/>
          <w:iCs/>
          <w:szCs w:val="22"/>
        </w:rPr>
        <w:t>Fusarium</w:t>
      </w:r>
      <w:proofErr w:type="spellEnd"/>
      <w:r w:rsidRPr="00D369C9">
        <w:rPr>
          <w:i/>
          <w:iCs/>
          <w:szCs w:val="22"/>
        </w:rPr>
        <w:t xml:space="preserve"> </w:t>
      </w:r>
      <w:r w:rsidRPr="00D369C9">
        <w:rPr>
          <w:szCs w:val="22"/>
        </w:rPr>
        <w:t xml:space="preserve">(1 pacient v </w:t>
      </w:r>
      <w:proofErr w:type="spellStart"/>
      <w:r w:rsidRPr="00D369C9">
        <w:rPr>
          <w:szCs w:val="22"/>
        </w:rPr>
        <w:t>mikafungínovej</w:t>
      </w:r>
      <w:proofErr w:type="spellEnd"/>
      <w:r w:rsidRPr="00D369C9">
        <w:rPr>
          <w:szCs w:val="22"/>
        </w:rPr>
        <w:t xml:space="preserve"> a 2 pacienti vo </w:t>
      </w:r>
      <w:proofErr w:type="spellStart"/>
      <w:r w:rsidRPr="00D369C9">
        <w:rPr>
          <w:szCs w:val="22"/>
        </w:rPr>
        <w:t>flukonazolovej</w:t>
      </w:r>
      <w:proofErr w:type="spellEnd"/>
      <w:r w:rsidRPr="00D369C9">
        <w:rPr>
          <w:szCs w:val="22"/>
        </w:rPr>
        <w:t xml:space="preserve"> skupine) a </w:t>
      </w:r>
      <w:proofErr w:type="spellStart"/>
      <w:r w:rsidRPr="00D369C9">
        <w:rPr>
          <w:i/>
          <w:iCs/>
          <w:szCs w:val="22"/>
        </w:rPr>
        <w:t>Zygomycetes</w:t>
      </w:r>
      <w:proofErr w:type="spellEnd"/>
      <w:r w:rsidRPr="00D369C9">
        <w:rPr>
          <w:i/>
          <w:iCs/>
          <w:szCs w:val="22"/>
        </w:rPr>
        <w:t xml:space="preserve"> </w:t>
      </w:r>
      <w:r w:rsidRPr="00D369C9">
        <w:rPr>
          <w:szCs w:val="22"/>
        </w:rPr>
        <w:t xml:space="preserve">(1 pacient v </w:t>
      </w:r>
      <w:proofErr w:type="spellStart"/>
      <w:r w:rsidRPr="00D369C9">
        <w:rPr>
          <w:szCs w:val="22"/>
        </w:rPr>
        <w:t>mikafungínovej</w:t>
      </w:r>
      <w:proofErr w:type="spellEnd"/>
      <w:r w:rsidRPr="00D369C9">
        <w:rPr>
          <w:szCs w:val="22"/>
        </w:rPr>
        <w:t xml:space="preserve"> a 0 pacientov vo </w:t>
      </w:r>
      <w:proofErr w:type="spellStart"/>
      <w:r w:rsidRPr="00D369C9">
        <w:rPr>
          <w:szCs w:val="22"/>
        </w:rPr>
        <w:t>flukonazolovej</w:t>
      </w:r>
      <w:proofErr w:type="spellEnd"/>
      <w:r w:rsidRPr="00D369C9">
        <w:rPr>
          <w:szCs w:val="22"/>
        </w:rPr>
        <w:t xml:space="preserve"> skupine). Charakter a </w:t>
      </w:r>
      <w:proofErr w:type="spellStart"/>
      <w:r w:rsidRPr="00D369C9">
        <w:rPr>
          <w:szCs w:val="22"/>
        </w:rPr>
        <w:t>incidencia</w:t>
      </w:r>
      <w:proofErr w:type="spellEnd"/>
      <w:r w:rsidRPr="00D369C9">
        <w:rPr>
          <w:szCs w:val="22"/>
        </w:rPr>
        <w:t xml:space="preserve"> nežiaducich reakcií boli podobné v oboch liečebných skupinách.</w:t>
      </w:r>
    </w:p>
    <w:p w14:paraId="59FE037F" w14:textId="77777777" w:rsidR="003A6469" w:rsidRPr="00D369C9" w:rsidRDefault="003A6469" w:rsidP="003A6469">
      <w:pPr>
        <w:rPr>
          <w:szCs w:val="22"/>
        </w:rPr>
      </w:pPr>
    </w:p>
    <w:p w14:paraId="00D90B30" w14:textId="77777777" w:rsidR="00780926" w:rsidRPr="00D369C9" w:rsidRDefault="00386B19" w:rsidP="00E41B3F">
      <w:pPr>
        <w:rPr>
          <w:b/>
          <w:szCs w:val="22"/>
        </w:rPr>
      </w:pPr>
      <w:r w:rsidRPr="00D369C9">
        <w:rPr>
          <w:b/>
          <w:szCs w:val="22"/>
        </w:rPr>
        <w:t>5.2</w:t>
      </w:r>
      <w:r w:rsidRPr="00D369C9">
        <w:rPr>
          <w:b/>
          <w:szCs w:val="22"/>
        </w:rPr>
        <w:tab/>
      </w:r>
      <w:proofErr w:type="spellStart"/>
      <w:r w:rsidRPr="00D369C9">
        <w:rPr>
          <w:b/>
          <w:szCs w:val="22"/>
        </w:rPr>
        <w:t>Farmakokinetické</w:t>
      </w:r>
      <w:proofErr w:type="spellEnd"/>
      <w:r w:rsidRPr="00D369C9">
        <w:rPr>
          <w:b/>
          <w:szCs w:val="22"/>
        </w:rPr>
        <w:t xml:space="preserve"> vlastnosti</w:t>
      </w:r>
    </w:p>
    <w:p w14:paraId="218EE111" w14:textId="77777777" w:rsidR="00E1698A" w:rsidRPr="00D369C9" w:rsidRDefault="00E1698A" w:rsidP="00E41B3F">
      <w:pPr>
        <w:rPr>
          <w:szCs w:val="22"/>
        </w:rPr>
      </w:pPr>
    </w:p>
    <w:p w14:paraId="015D1E99" w14:textId="77777777" w:rsidR="003A6469" w:rsidRPr="00D369C9" w:rsidRDefault="00535D12" w:rsidP="00535D12">
      <w:pPr>
        <w:pStyle w:val="Default"/>
        <w:jc w:val="both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Absorpcia</w:t>
      </w:r>
    </w:p>
    <w:p w14:paraId="6C6B9541" w14:textId="77777777" w:rsidR="00535D12" w:rsidRPr="00D369C9" w:rsidRDefault="00535D12" w:rsidP="00535D12">
      <w:pPr>
        <w:pStyle w:val="Default"/>
        <w:jc w:val="both"/>
        <w:rPr>
          <w:sz w:val="22"/>
          <w:szCs w:val="22"/>
          <w:lang w:val="sk-SK"/>
        </w:rPr>
      </w:pPr>
    </w:p>
    <w:p w14:paraId="7649D39D" w14:textId="77777777" w:rsidR="003A6469" w:rsidRPr="00D369C9" w:rsidRDefault="003A6469" w:rsidP="00535D12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Pri dennom dávkovaní v rozpätí od 12,5 mg do 200 mg a od 3 mg/kg do 8 mg/kg je </w:t>
      </w:r>
      <w:proofErr w:type="spellStart"/>
      <w:r w:rsidRPr="00D369C9">
        <w:rPr>
          <w:sz w:val="22"/>
          <w:szCs w:val="22"/>
          <w:lang w:val="sk-SK"/>
        </w:rPr>
        <w:t>farmakokinetika</w:t>
      </w:r>
      <w:proofErr w:type="spellEnd"/>
      <w:r w:rsidRPr="00D369C9">
        <w:rPr>
          <w:sz w:val="22"/>
          <w:szCs w:val="22"/>
          <w:lang w:val="sk-SK"/>
        </w:rPr>
        <w:t xml:space="preserve"> mikafungínu lineárna. Pri opakovanom podávaní nedochádza k systémovej akumulácii a rovnovážny stav sa dosiahne spravidla počas 4 až 5 dní. </w:t>
      </w:r>
    </w:p>
    <w:p w14:paraId="09481883" w14:textId="77777777" w:rsidR="00535D12" w:rsidRPr="00D369C9" w:rsidRDefault="00535D12" w:rsidP="00535D12">
      <w:pPr>
        <w:pStyle w:val="Default"/>
        <w:jc w:val="both"/>
        <w:rPr>
          <w:sz w:val="22"/>
          <w:szCs w:val="22"/>
          <w:lang w:val="sk-SK"/>
        </w:rPr>
      </w:pPr>
    </w:p>
    <w:p w14:paraId="2DE1116A" w14:textId="77777777" w:rsidR="003A6469" w:rsidRPr="00D369C9" w:rsidRDefault="00535D12" w:rsidP="00535D12">
      <w:pPr>
        <w:pStyle w:val="Default"/>
        <w:jc w:val="both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Distribúcia</w:t>
      </w:r>
    </w:p>
    <w:p w14:paraId="2E65CF59" w14:textId="77777777" w:rsidR="00535D12" w:rsidRPr="00D369C9" w:rsidRDefault="00535D12" w:rsidP="00535D12">
      <w:pPr>
        <w:pStyle w:val="Default"/>
        <w:jc w:val="both"/>
        <w:rPr>
          <w:sz w:val="22"/>
          <w:szCs w:val="22"/>
          <w:lang w:val="sk-SK"/>
        </w:rPr>
      </w:pPr>
    </w:p>
    <w:p w14:paraId="12D059E2" w14:textId="0346FA6F" w:rsidR="003A6469" w:rsidRPr="00D369C9" w:rsidRDefault="003A6469" w:rsidP="00535D12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Po intravenóznom podaní vykazuje koncentrácia mikafungínu </w:t>
      </w:r>
      <w:proofErr w:type="spellStart"/>
      <w:r w:rsidRPr="00D369C9">
        <w:rPr>
          <w:sz w:val="22"/>
          <w:szCs w:val="22"/>
          <w:lang w:val="sk-SK"/>
        </w:rPr>
        <w:t>biexponenciálny</w:t>
      </w:r>
      <w:proofErr w:type="spellEnd"/>
      <w:r w:rsidRPr="00D369C9">
        <w:rPr>
          <w:sz w:val="22"/>
          <w:szCs w:val="22"/>
          <w:lang w:val="sk-SK"/>
        </w:rPr>
        <w:t xml:space="preserve"> pokles. Liečivo sa</w:t>
      </w:r>
      <w:r w:rsidR="00A203FD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 rýchlo distribuuje do tkanív. </w:t>
      </w:r>
    </w:p>
    <w:p w14:paraId="5E14F0B1" w14:textId="77777777" w:rsidR="003A6469" w:rsidRPr="00D369C9" w:rsidRDefault="003A6469" w:rsidP="00535D12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V systémovej cirkulácii sa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silno viaže na plazmatické bielkoviny (&gt; 99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%), hlavne na albumín. Väzba na albumín je nezávislá od koncentrácie mikafungínu (10–100 </w:t>
      </w:r>
      <w:proofErr w:type="spellStart"/>
      <w:r w:rsidRPr="00D369C9">
        <w:rPr>
          <w:sz w:val="22"/>
          <w:szCs w:val="22"/>
          <w:lang w:val="sk-SK"/>
        </w:rPr>
        <w:t>μg</w:t>
      </w:r>
      <w:proofErr w:type="spellEnd"/>
      <w:r w:rsidRPr="00D369C9">
        <w:rPr>
          <w:sz w:val="22"/>
          <w:szCs w:val="22"/>
          <w:lang w:val="sk-SK"/>
        </w:rPr>
        <w:t xml:space="preserve">/ml). </w:t>
      </w:r>
    </w:p>
    <w:p w14:paraId="64629BFA" w14:textId="77777777" w:rsidR="003A6469" w:rsidRPr="00D369C9" w:rsidRDefault="003A6469" w:rsidP="00535D12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Distribučný objem v rovnovážnom stave (</w:t>
      </w:r>
      <w:proofErr w:type="spellStart"/>
      <w:r w:rsidRPr="00D369C9">
        <w:rPr>
          <w:sz w:val="22"/>
          <w:szCs w:val="22"/>
          <w:lang w:val="sk-SK"/>
        </w:rPr>
        <w:t>Vss</w:t>
      </w:r>
      <w:proofErr w:type="spellEnd"/>
      <w:r w:rsidRPr="00D369C9">
        <w:rPr>
          <w:sz w:val="22"/>
          <w:szCs w:val="22"/>
          <w:lang w:val="sk-SK"/>
        </w:rPr>
        <w:t xml:space="preserve">) predstavuje približne 18-19 litrov. </w:t>
      </w:r>
    </w:p>
    <w:p w14:paraId="3606B251" w14:textId="77777777" w:rsidR="00535D12" w:rsidRPr="00D369C9" w:rsidRDefault="00535D12" w:rsidP="00535D12">
      <w:pPr>
        <w:pStyle w:val="Default"/>
        <w:jc w:val="both"/>
        <w:rPr>
          <w:sz w:val="22"/>
          <w:szCs w:val="22"/>
          <w:lang w:val="sk-SK"/>
        </w:rPr>
      </w:pPr>
    </w:p>
    <w:p w14:paraId="39F3A7DD" w14:textId="77777777" w:rsidR="003A6469" w:rsidRPr="00D369C9" w:rsidRDefault="00535D12" w:rsidP="00535D12">
      <w:pPr>
        <w:pStyle w:val="Default"/>
        <w:jc w:val="both"/>
        <w:rPr>
          <w:sz w:val="22"/>
          <w:szCs w:val="22"/>
          <w:u w:val="single"/>
          <w:lang w:val="sk-SK"/>
        </w:rPr>
      </w:pPr>
      <w:proofErr w:type="spellStart"/>
      <w:r w:rsidRPr="00D369C9">
        <w:rPr>
          <w:sz w:val="22"/>
          <w:szCs w:val="22"/>
          <w:u w:val="single"/>
          <w:lang w:val="sk-SK"/>
        </w:rPr>
        <w:t>Biotransformácia</w:t>
      </w:r>
      <w:proofErr w:type="spellEnd"/>
    </w:p>
    <w:p w14:paraId="537BAC57" w14:textId="77777777" w:rsidR="00535D12" w:rsidRPr="00D369C9" w:rsidRDefault="00535D12" w:rsidP="00535D12">
      <w:pPr>
        <w:ind w:left="0" w:firstLine="0"/>
        <w:jc w:val="both"/>
        <w:rPr>
          <w:szCs w:val="22"/>
        </w:rPr>
      </w:pPr>
    </w:p>
    <w:p w14:paraId="4A8F6464" w14:textId="5041C3B0" w:rsidR="003A6469" w:rsidRPr="00D369C9" w:rsidRDefault="003A6469" w:rsidP="00535D12">
      <w:pPr>
        <w:ind w:left="0" w:firstLine="0"/>
        <w:jc w:val="both"/>
        <w:rPr>
          <w:szCs w:val="22"/>
        </w:rPr>
      </w:pPr>
      <w:r w:rsidRPr="00D369C9">
        <w:rPr>
          <w:szCs w:val="22"/>
        </w:rPr>
        <w:t xml:space="preserve">Hlavnou cirkulujúcou zložkou v systémovej cirkulácii je nezmenený </w:t>
      </w:r>
      <w:proofErr w:type="spellStart"/>
      <w:r w:rsidRPr="00D369C9">
        <w:rPr>
          <w:szCs w:val="22"/>
        </w:rPr>
        <w:t>mikafungín</w:t>
      </w:r>
      <w:proofErr w:type="spellEnd"/>
      <w:r w:rsidRPr="00D369C9">
        <w:rPr>
          <w:szCs w:val="22"/>
        </w:rPr>
        <w:t xml:space="preserve">. </w:t>
      </w:r>
      <w:proofErr w:type="spellStart"/>
      <w:r w:rsidRPr="00D369C9">
        <w:rPr>
          <w:szCs w:val="22"/>
        </w:rPr>
        <w:t>Mikafungín</w:t>
      </w:r>
      <w:proofErr w:type="spellEnd"/>
      <w:r w:rsidRPr="00D369C9">
        <w:rPr>
          <w:szCs w:val="22"/>
        </w:rPr>
        <w:t xml:space="preserve"> sa metabolizuje na viacero zlúčenín; z nich boli v systémovej cirkulácii detegované M-1 (</w:t>
      </w:r>
      <w:proofErr w:type="spellStart"/>
      <w:r w:rsidRPr="00D369C9">
        <w:rPr>
          <w:szCs w:val="22"/>
        </w:rPr>
        <w:t>katecholová</w:t>
      </w:r>
      <w:proofErr w:type="spellEnd"/>
      <w:r w:rsidR="00535D12" w:rsidRPr="00D369C9">
        <w:rPr>
          <w:szCs w:val="22"/>
        </w:rPr>
        <w:t xml:space="preserve"> </w:t>
      </w:r>
      <w:r w:rsidRPr="00D369C9">
        <w:rPr>
          <w:szCs w:val="22"/>
        </w:rPr>
        <w:t>forma), M-2 (</w:t>
      </w:r>
      <w:proofErr w:type="spellStart"/>
      <w:r w:rsidRPr="00D369C9">
        <w:rPr>
          <w:szCs w:val="22"/>
        </w:rPr>
        <w:t>metoxyforma</w:t>
      </w:r>
      <w:proofErr w:type="spellEnd"/>
      <w:r w:rsidRPr="00D369C9">
        <w:rPr>
          <w:szCs w:val="22"/>
        </w:rPr>
        <w:t xml:space="preserve"> M-1) a M-5 (</w:t>
      </w:r>
      <w:proofErr w:type="spellStart"/>
      <w:r w:rsidRPr="00D369C9">
        <w:rPr>
          <w:szCs w:val="22"/>
        </w:rPr>
        <w:t>hydroxylácia</w:t>
      </w:r>
      <w:proofErr w:type="spellEnd"/>
      <w:r w:rsidRPr="00D369C9">
        <w:rPr>
          <w:szCs w:val="22"/>
        </w:rPr>
        <w:t xml:space="preserve"> na bočnom reťazci). Expozícia týmto </w:t>
      </w:r>
      <w:proofErr w:type="spellStart"/>
      <w:r w:rsidRPr="00D369C9">
        <w:rPr>
          <w:szCs w:val="22"/>
        </w:rPr>
        <w:t>metabolit</w:t>
      </w:r>
      <w:r w:rsidR="00A203FD">
        <w:rPr>
          <w:szCs w:val="22"/>
        </w:rPr>
        <w:t>o</w:t>
      </w:r>
      <w:r w:rsidRPr="00D369C9">
        <w:rPr>
          <w:szCs w:val="22"/>
        </w:rPr>
        <w:t>m</w:t>
      </w:r>
      <w:proofErr w:type="spellEnd"/>
      <w:r w:rsidRPr="00D369C9">
        <w:rPr>
          <w:szCs w:val="22"/>
        </w:rPr>
        <w:t xml:space="preserve"> je nízka a </w:t>
      </w:r>
      <w:proofErr w:type="spellStart"/>
      <w:r w:rsidRPr="00D369C9">
        <w:rPr>
          <w:szCs w:val="22"/>
        </w:rPr>
        <w:t>metabolity</w:t>
      </w:r>
      <w:proofErr w:type="spellEnd"/>
      <w:r w:rsidRPr="00D369C9">
        <w:rPr>
          <w:szCs w:val="22"/>
        </w:rPr>
        <w:t xml:space="preserve"> neprispievajú k celkovému účinku mikafungínu. </w:t>
      </w:r>
    </w:p>
    <w:p w14:paraId="7A0B218C" w14:textId="77777777" w:rsidR="003A6469" w:rsidRPr="00D369C9" w:rsidRDefault="003A6469" w:rsidP="00535D12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Hoci je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r w:rsidRPr="00D369C9">
        <w:rPr>
          <w:i/>
          <w:iCs/>
          <w:sz w:val="22"/>
          <w:szCs w:val="22"/>
          <w:lang w:val="sk-SK"/>
        </w:rPr>
        <w:t xml:space="preserve">in vitro </w:t>
      </w:r>
      <w:r w:rsidRPr="00D369C9">
        <w:rPr>
          <w:sz w:val="22"/>
          <w:szCs w:val="22"/>
          <w:lang w:val="sk-SK"/>
        </w:rPr>
        <w:t xml:space="preserve">substrátom pre CYP3A, </w:t>
      </w:r>
      <w:proofErr w:type="spellStart"/>
      <w:r w:rsidRPr="00D369C9">
        <w:rPr>
          <w:sz w:val="22"/>
          <w:szCs w:val="22"/>
          <w:lang w:val="sk-SK"/>
        </w:rPr>
        <w:t>hydroxylácia</w:t>
      </w:r>
      <w:proofErr w:type="spellEnd"/>
      <w:r w:rsidRPr="00D369C9">
        <w:rPr>
          <w:sz w:val="22"/>
          <w:szCs w:val="22"/>
          <w:lang w:val="sk-SK"/>
        </w:rPr>
        <w:t xml:space="preserve"> prostredníctvom CYP3A nie je hlavnou metabolickou cestou pre </w:t>
      </w:r>
      <w:proofErr w:type="spellStart"/>
      <w:r w:rsidR="00B2357B">
        <w:rPr>
          <w:sz w:val="22"/>
          <w:szCs w:val="22"/>
          <w:lang w:val="sk-SK"/>
        </w:rPr>
        <w:t>metabolizáciu</w:t>
      </w:r>
      <w:proofErr w:type="spellEnd"/>
      <w:r w:rsidR="00B2357B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>mikafungín</w:t>
      </w:r>
      <w:r w:rsidR="00B2357B">
        <w:rPr>
          <w:sz w:val="22"/>
          <w:szCs w:val="22"/>
          <w:lang w:val="sk-SK"/>
        </w:rPr>
        <w:t>u</w:t>
      </w:r>
      <w:r w:rsidRPr="00D369C9">
        <w:rPr>
          <w:sz w:val="22"/>
          <w:szCs w:val="22"/>
          <w:lang w:val="sk-SK"/>
        </w:rPr>
        <w:t xml:space="preserve"> </w:t>
      </w:r>
      <w:r w:rsidRPr="00D369C9">
        <w:rPr>
          <w:i/>
          <w:iCs/>
          <w:sz w:val="22"/>
          <w:szCs w:val="22"/>
          <w:lang w:val="sk-SK"/>
        </w:rPr>
        <w:t xml:space="preserve">in </w:t>
      </w:r>
      <w:proofErr w:type="spellStart"/>
      <w:r w:rsidRPr="00D369C9">
        <w:rPr>
          <w:i/>
          <w:iCs/>
          <w:sz w:val="22"/>
          <w:szCs w:val="22"/>
          <w:lang w:val="sk-SK"/>
        </w:rPr>
        <w:t>vivo</w:t>
      </w:r>
      <w:proofErr w:type="spellEnd"/>
      <w:r w:rsidR="00535D12" w:rsidRPr="00D369C9">
        <w:rPr>
          <w:sz w:val="22"/>
          <w:szCs w:val="22"/>
          <w:lang w:val="sk-SK"/>
        </w:rPr>
        <w:t>.</w:t>
      </w:r>
    </w:p>
    <w:p w14:paraId="1812F42B" w14:textId="77777777" w:rsidR="00535D12" w:rsidRPr="00D369C9" w:rsidRDefault="00535D12" w:rsidP="00535D12">
      <w:pPr>
        <w:pStyle w:val="Default"/>
        <w:jc w:val="both"/>
        <w:rPr>
          <w:sz w:val="22"/>
          <w:szCs w:val="22"/>
          <w:lang w:val="sk-SK"/>
        </w:rPr>
      </w:pPr>
    </w:p>
    <w:p w14:paraId="2A2DD649" w14:textId="77777777" w:rsidR="003A6469" w:rsidRPr="00D369C9" w:rsidRDefault="003A6469" w:rsidP="00535D12">
      <w:pPr>
        <w:pStyle w:val="Default"/>
        <w:jc w:val="both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Eliminácia a exkréci</w:t>
      </w:r>
      <w:r w:rsidR="00535D12" w:rsidRPr="00D369C9">
        <w:rPr>
          <w:sz w:val="22"/>
          <w:szCs w:val="22"/>
          <w:u w:val="single"/>
          <w:lang w:val="sk-SK"/>
        </w:rPr>
        <w:t>a</w:t>
      </w:r>
    </w:p>
    <w:p w14:paraId="3B827EFE" w14:textId="77777777" w:rsidR="00535D12" w:rsidRPr="00D369C9" w:rsidRDefault="00535D12" w:rsidP="00535D12">
      <w:pPr>
        <w:pStyle w:val="Default"/>
        <w:jc w:val="both"/>
        <w:rPr>
          <w:sz w:val="22"/>
          <w:szCs w:val="22"/>
          <w:lang w:val="sk-SK"/>
        </w:rPr>
      </w:pPr>
    </w:p>
    <w:p w14:paraId="184EB343" w14:textId="58F7EE46" w:rsidR="00535D12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Priemerný terminálny eliminačný polčas je približne 10-17 hodín a zostáva rovnaký pri dávkach až do 8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mg/kg po jednorazovom aj opakovanom podaní. Celkový </w:t>
      </w:r>
      <w:proofErr w:type="spellStart"/>
      <w:r w:rsidRPr="00D369C9">
        <w:rPr>
          <w:sz w:val="22"/>
          <w:szCs w:val="22"/>
          <w:lang w:val="sk-SK"/>
        </w:rPr>
        <w:t>klírens</w:t>
      </w:r>
      <w:proofErr w:type="spellEnd"/>
      <w:r w:rsidRPr="00D369C9">
        <w:rPr>
          <w:sz w:val="22"/>
          <w:szCs w:val="22"/>
          <w:lang w:val="sk-SK"/>
        </w:rPr>
        <w:t xml:space="preserve"> u zdravých jedincov a dospelých pacientov bol 0,15-0,3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ml/min/kg a je nezávislý od dávky po jednorazovom a opakovanom podaní. Po podaní jednorazovej intravenóznej dávky </w:t>
      </w:r>
      <w:r w:rsidRPr="00D369C9">
        <w:rPr>
          <w:position w:val="8"/>
          <w:sz w:val="14"/>
          <w:szCs w:val="14"/>
          <w:vertAlign w:val="superscript"/>
          <w:lang w:val="sk-SK"/>
        </w:rPr>
        <w:t>14</w:t>
      </w:r>
      <w:r w:rsidRPr="00D369C9">
        <w:rPr>
          <w:sz w:val="22"/>
          <w:szCs w:val="22"/>
          <w:lang w:val="sk-SK"/>
        </w:rPr>
        <w:t>C-mikafungínu (25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mg) zdravým dobrovoľníkom sa počas 28 dní zachytilo 11,6</w:t>
      </w:r>
      <w:r w:rsidR="00973104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>% rádioaktivity v moči a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71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% rádioaktivity v stolici. Tieto údaje naznačujú, že eliminácia mikafungínu prebieha primárne iným spôsobom ako obličkami. V plazme sa podarilo detegovať </w:t>
      </w:r>
      <w:proofErr w:type="spellStart"/>
      <w:r w:rsidRPr="00D369C9">
        <w:rPr>
          <w:sz w:val="22"/>
          <w:szCs w:val="22"/>
          <w:lang w:val="sk-SK"/>
        </w:rPr>
        <w:t>metabolity</w:t>
      </w:r>
      <w:proofErr w:type="spellEnd"/>
      <w:r w:rsidRPr="00D369C9">
        <w:rPr>
          <w:sz w:val="22"/>
          <w:szCs w:val="22"/>
          <w:lang w:val="sk-SK"/>
        </w:rPr>
        <w:t xml:space="preserve"> M-1 a M-2 len v stopových koncentráciách a </w:t>
      </w:r>
      <w:proofErr w:type="spellStart"/>
      <w:r w:rsidRPr="00D369C9">
        <w:rPr>
          <w:sz w:val="22"/>
          <w:szCs w:val="22"/>
          <w:lang w:val="sk-SK"/>
        </w:rPr>
        <w:t>metabolit</w:t>
      </w:r>
      <w:proofErr w:type="spellEnd"/>
      <w:r w:rsidRPr="00D369C9">
        <w:rPr>
          <w:sz w:val="22"/>
          <w:szCs w:val="22"/>
          <w:lang w:val="sk-SK"/>
        </w:rPr>
        <w:t xml:space="preserve"> M-5, ktorý sa vyskytoval v najväčšej miere, predstavoval celkovo 6,5</w:t>
      </w:r>
      <w:r w:rsidR="00535D12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% z materskej zlúčeniny. </w:t>
      </w:r>
    </w:p>
    <w:p w14:paraId="1E3FD4C7" w14:textId="77777777" w:rsidR="00535D12" w:rsidRPr="00D369C9" w:rsidRDefault="00535D12" w:rsidP="00A71865">
      <w:pPr>
        <w:pStyle w:val="Default"/>
        <w:jc w:val="both"/>
        <w:rPr>
          <w:sz w:val="22"/>
          <w:szCs w:val="22"/>
          <w:lang w:val="sk-SK"/>
        </w:rPr>
      </w:pPr>
    </w:p>
    <w:p w14:paraId="11D29C0E" w14:textId="77777777" w:rsidR="003A6469" w:rsidRPr="00D369C9" w:rsidRDefault="003A6469" w:rsidP="00A71865">
      <w:pPr>
        <w:pStyle w:val="Default"/>
        <w:jc w:val="both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Osobitné skup</w:t>
      </w:r>
      <w:r w:rsidR="00535D12" w:rsidRPr="00D369C9">
        <w:rPr>
          <w:sz w:val="22"/>
          <w:szCs w:val="22"/>
          <w:u w:val="single"/>
          <w:lang w:val="sk-SK"/>
        </w:rPr>
        <w:t>iny pacientov</w:t>
      </w:r>
    </w:p>
    <w:p w14:paraId="57B97CAE" w14:textId="77777777" w:rsidR="00535D12" w:rsidRPr="00D369C9" w:rsidRDefault="00535D12" w:rsidP="00A71865">
      <w:pPr>
        <w:pStyle w:val="Default"/>
        <w:jc w:val="both"/>
        <w:rPr>
          <w:sz w:val="22"/>
          <w:szCs w:val="22"/>
          <w:lang w:val="sk-SK"/>
        </w:rPr>
      </w:pPr>
    </w:p>
    <w:p w14:paraId="01F116E0" w14:textId="77777777" w:rsidR="00535D12" w:rsidRPr="00D369C9" w:rsidRDefault="00535D12" w:rsidP="00A71865">
      <w:pPr>
        <w:pStyle w:val="Default"/>
        <w:jc w:val="both"/>
        <w:rPr>
          <w:i/>
          <w:sz w:val="22"/>
          <w:szCs w:val="22"/>
          <w:lang w:val="sk-SK"/>
        </w:rPr>
      </w:pPr>
      <w:r w:rsidRPr="00D369C9">
        <w:rPr>
          <w:i/>
          <w:sz w:val="22"/>
          <w:szCs w:val="22"/>
          <w:lang w:val="sk-SK"/>
        </w:rPr>
        <w:t>Pediatrickí pacienti:</w:t>
      </w:r>
    </w:p>
    <w:p w14:paraId="190745ED" w14:textId="1DB41667" w:rsidR="003A6469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U pediatrických pacientov boli hodnoty AUC priamo</w:t>
      </w:r>
      <w:r w:rsidR="000561FD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úmerné dávkovaniu v rozmedzí dávok od 0,5 do 4 mg/kg. </w:t>
      </w:r>
      <w:proofErr w:type="spellStart"/>
      <w:r w:rsidRPr="00D369C9">
        <w:rPr>
          <w:sz w:val="22"/>
          <w:szCs w:val="22"/>
          <w:lang w:val="sk-SK"/>
        </w:rPr>
        <w:t>Klírens</w:t>
      </w:r>
      <w:proofErr w:type="spellEnd"/>
      <w:r w:rsidRPr="00D369C9">
        <w:rPr>
          <w:sz w:val="22"/>
          <w:szCs w:val="22"/>
          <w:lang w:val="sk-SK"/>
        </w:rPr>
        <w:t xml:space="preserve"> bol ovplyvnený hmotnosťou, priemerná hodnota </w:t>
      </w:r>
      <w:proofErr w:type="spellStart"/>
      <w:r w:rsidRPr="00D369C9">
        <w:rPr>
          <w:sz w:val="22"/>
          <w:szCs w:val="22"/>
          <w:lang w:val="sk-SK"/>
        </w:rPr>
        <w:t>klírensu</w:t>
      </w:r>
      <w:proofErr w:type="spellEnd"/>
      <w:r w:rsidRPr="00D369C9">
        <w:rPr>
          <w:sz w:val="22"/>
          <w:szCs w:val="22"/>
          <w:lang w:val="sk-SK"/>
        </w:rPr>
        <w:t xml:space="preserve"> podľa hmotnosti bola 1,35-krát vyššia u mladších detí (4 mesiace</w:t>
      </w:r>
      <w:r w:rsidR="000561FD">
        <w:rPr>
          <w:sz w:val="22"/>
          <w:szCs w:val="22"/>
          <w:lang w:val="sk-SK"/>
        </w:rPr>
        <w:t xml:space="preserve"> až </w:t>
      </w:r>
      <w:r w:rsidRPr="00D369C9">
        <w:rPr>
          <w:sz w:val="22"/>
          <w:szCs w:val="22"/>
          <w:lang w:val="sk-SK"/>
        </w:rPr>
        <w:t xml:space="preserve">5 rokov) a 1,14-krát vyššia u pediatrických pacientov vo veku 6 až 11 rokov. Staršie deti (12-16 rokov) mali podobné priemerné hodnoty </w:t>
      </w:r>
      <w:proofErr w:type="spellStart"/>
      <w:r w:rsidRPr="00D369C9">
        <w:rPr>
          <w:sz w:val="22"/>
          <w:szCs w:val="22"/>
          <w:lang w:val="sk-SK"/>
        </w:rPr>
        <w:t>klírensu</w:t>
      </w:r>
      <w:proofErr w:type="spellEnd"/>
      <w:r w:rsidRPr="00D369C9">
        <w:rPr>
          <w:sz w:val="22"/>
          <w:szCs w:val="22"/>
          <w:lang w:val="sk-SK"/>
        </w:rPr>
        <w:t xml:space="preserve"> ako tie, ktoré boli zistené u dospelých pacientov. Priemerný </w:t>
      </w:r>
      <w:proofErr w:type="spellStart"/>
      <w:r w:rsidRPr="00D369C9">
        <w:rPr>
          <w:sz w:val="22"/>
          <w:szCs w:val="22"/>
          <w:lang w:val="sk-SK"/>
        </w:rPr>
        <w:t>klírens</w:t>
      </w:r>
      <w:proofErr w:type="spellEnd"/>
      <w:r w:rsidRPr="00D369C9">
        <w:rPr>
          <w:sz w:val="22"/>
          <w:szCs w:val="22"/>
          <w:lang w:val="sk-SK"/>
        </w:rPr>
        <w:t xml:space="preserve"> korigovaný na hmotnosť u detí mladších ako 4 mesiace je približne 2,6</w:t>
      </w:r>
      <w:r w:rsidR="000561FD">
        <w:rPr>
          <w:sz w:val="22"/>
          <w:szCs w:val="22"/>
          <w:lang w:val="sk-SK"/>
        </w:rPr>
        <w:t>-</w:t>
      </w:r>
      <w:r w:rsidRPr="00D369C9">
        <w:rPr>
          <w:sz w:val="22"/>
          <w:szCs w:val="22"/>
          <w:lang w:val="sk-SK"/>
        </w:rPr>
        <w:t>násobne vyšší ako u starších detí (12</w:t>
      </w:r>
      <w:r w:rsidR="00AB4AE7">
        <w:rPr>
          <w:sz w:val="22"/>
          <w:szCs w:val="22"/>
          <w:lang w:val="sk-SK"/>
        </w:rPr>
        <w:t>–</w:t>
      </w:r>
      <w:r w:rsidRPr="00D369C9">
        <w:rPr>
          <w:sz w:val="22"/>
          <w:szCs w:val="22"/>
          <w:lang w:val="sk-SK"/>
        </w:rPr>
        <w:t>16 rokov) a 2,3</w:t>
      </w:r>
      <w:r w:rsidR="000561FD">
        <w:rPr>
          <w:sz w:val="22"/>
          <w:szCs w:val="22"/>
          <w:lang w:val="sk-SK"/>
        </w:rPr>
        <w:t>-</w:t>
      </w:r>
      <w:r w:rsidR="00A71865" w:rsidRPr="00D369C9">
        <w:rPr>
          <w:sz w:val="22"/>
          <w:szCs w:val="22"/>
          <w:lang w:val="sk-SK"/>
        </w:rPr>
        <w:t>násobne vyšší ako u dospelých.</w:t>
      </w:r>
    </w:p>
    <w:p w14:paraId="47125191" w14:textId="77777777" w:rsidR="00A71865" w:rsidRPr="00D369C9" w:rsidRDefault="00A71865" w:rsidP="00A71865">
      <w:pPr>
        <w:pStyle w:val="Default"/>
        <w:jc w:val="both"/>
        <w:rPr>
          <w:sz w:val="22"/>
          <w:szCs w:val="22"/>
          <w:lang w:val="sk-SK"/>
        </w:rPr>
      </w:pPr>
    </w:p>
    <w:p w14:paraId="24D0088F" w14:textId="77777777" w:rsidR="003A6469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PK/PD premosťujúce (</w:t>
      </w:r>
      <w:proofErr w:type="spellStart"/>
      <w:r w:rsidRPr="00D369C9">
        <w:rPr>
          <w:sz w:val="22"/>
          <w:szCs w:val="22"/>
          <w:lang w:val="sk-SK"/>
        </w:rPr>
        <w:t>bridging</w:t>
      </w:r>
      <w:proofErr w:type="spellEnd"/>
      <w:r w:rsidRPr="00D369C9">
        <w:rPr>
          <w:sz w:val="22"/>
          <w:szCs w:val="22"/>
          <w:lang w:val="sk-SK"/>
        </w:rPr>
        <w:t xml:space="preserve">) štúdie preukázali od dávky závislú </w:t>
      </w:r>
      <w:proofErr w:type="spellStart"/>
      <w:r w:rsidRPr="00D369C9">
        <w:rPr>
          <w:sz w:val="22"/>
          <w:szCs w:val="22"/>
          <w:lang w:val="sk-SK"/>
        </w:rPr>
        <w:t>penetráciu</w:t>
      </w:r>
      <w:proofErr w:type="spellEnd"/>
      <w:r w:rsidRPr="00D369C9">
        <w:rPr>
          <w:sz w:val="22"/>
          <w:szCs w:val="22"/>
          <w:lang w:val="sk-SK"/>
        </w:rPr>
        <w:t xml:space="preserve"> mikafungínu do CNS s minimálnou AUC 170 </w:t>
      </w:r>
      <w:proofErr w:type="spellStart"/>
      <w:r w:rsidRPr="00D369C9">
        <w:rPr>
          <w:sz w:val="22"/>
          <w:szCs w:val="22"/>
          <w:lang w:val="sk-SK"/>
        </w:rPr>
        <w:t>μg.h</w:t>
      </w:r>
      <w:proofErr w:type="spellEnd"/>
      <w:r w:rsidRPr="00D369C9">
        <w:rPr>
          <w:sz w:val="22"/>
          <w:szCs w:val="22"/>
          <w:lang w:val="sk-SK"/>
        </w:rPr>
        <w:t xml:space="preserve">/l potrebnou na dosiahnutie maximálneho odstránenia </w:t>
      </w:r>
      <w:proofErr w:type="spellStart"/>
      <w:r w:rsidRPr="00D369C9">
        <w:rPr>
          <w:sz w:val="22"/>
          <w:szCs w:val="22"/>
          <w:lang w:val="sk-SK"/>
        </w:rPr>
        <w:t>mykotického</w:t>
      </w:r>
      <w:proofErr w:type="spellEnd"/>
      <w:r w:rsidRPr="00D369C9">
        <w:rPr>
          <w:sz w:val="22"/>
          <w:szCs w:val="22"/>
          <w:lang w:val="sk-SK"/>
        </w:rPr>
        <w:t xml:space="preserve"> ložiska v tkanivách CNS. Populačné PK modelovanie ukázalo, že dávka 10 mg/kg u detí mladších ako 4 mesiace by mala byť dostačujúca na dosiahnutie cieľovej expozície na liečbu </w:t>
      </w:r>
      <w:proofErr w:type="spellStart"/>
      <w:r w:rsidRPr="00D369C9">
        <w:rPr>
          <w:sz w:val="22"/>
          <w:szCs w:val="22"/>
          <w:lang w:val="sk-SK"/>
        </w:rPr>
        <w:t>kandidových</w:t>
      </w:r>
      <w:proofErr w:type="spellEnd"/>
      <w:r w:rsidRPr="00D369C9">
        <w:rPr>
          <w:sz w:val="22"/>
          <w:szCs w:val="22"/>
          <w:lang w:val="sk-SK"/>
        </w:rPr>
        <w:t xml:space="preserve"> infekcií CNS</w:t>
      </w:r>
      <w:r w:rsidRPr="00D369C9">
        <w:rPr>
          <w:i/>
          <w:iCs/>
          <w:sz w:val="22"/>
          <w:szCs w:val="22"/>
          <w:lang w:val="sk-SK"/>
        </w:rPr>
        <w:t xml:space="preserve">. </w:t>
      </w:r>
    </w:p>
    <w:p w14:paraId="5BE52A78" w14:textId="77777777" w:rsidR="00A71865" w:rsidRPr="00D369C9" w:rsidRDefault="00A71865" w:rsidP="00A71865">
      <w:pPr>
        <w:pStyle w:val="Default"/>
        <w:jc w:val="both"/>
        <w:rPr>
          <w:sz w:val="22"/>
          <w:szCs w:val="22"/>
          <w:lang w:val="sk-SK"/>
        </w:rPr>
      </w:pPr>
    </w:p>
    <w:p w14:paraId="019B133E" w14:textId="77777777" w:rsidR="00A71865" w:rsidRPr="00D369C9" w:rsidRDefault="00A71865" w:rsidP="00A71865">
      <w:pPr>
        <w:pStyle w:val="Default"/>
        <w:jc w:val="both"/>
        <w:rPr>
          <w:i/>
          <w:sz w:val="22"/>
          <w:szCs w:val="22"/>
          <w:lang w:val="sk-SK"/>
        </w:rPr>
      </w:pPr>
      <w:r w:rsidRPr="00137205">
        <w:rPr>
          <w:i/>
          <w:sz w:val="22"/>
          <w:szCs w:val="22"/>
          <w:lang w:val="sk-SK"/>
        </w:rPr>
        <w:lastRenderedPageBreak/>
        <w:t>Starší pacienti:</w:t>
      </w:r>
    </w:p>
    <w:p w14:paraId="353DD63D" w14:textId="20CC211F" w:rsidR="003A6469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Keď sa jednorazovo podala infúzia s 50 mg mikafungínu v trvaní 1 hodiny starším pacientom (vo veku 66</w:t>
      </w:r>
      <w:r w:rsidR="00AB4AE7">
        <w:rPr>
          <w:sz w:val="22"/>
          <w:szCs w:val="22"/>
          <w:lang w:val="sk-SK"/>
        </w:rPr>
        <w:t>–</w:t>
      </w:r>
      <w:r w:rsidRPr="00D369C9">
        <w:rPr>
          <w:sz w:val="22"/>
          <w:szCs w:val="22"/>
          <w:lang w:val="sk-SK"/>
        </w:rPr>
        <w:t xml:space="preserve">78 rokov), bola </w:t>
      </w:r>
      <w:proofErr w:type="spellStart"/>
      <w:r w:rsidRPr="00D369C9">
        <w:rPr>
          <w:sz w:val="22"/>
          <w:szCs w:val="22"/>
          <w:lang w:val="sk-SK"/>
        </w:rPr>
        <w:t>farmakokinetika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r w:rsidR="001F6391">
        <w:rPr>
          <w:sz w:val="22"/>
          <w:szCs w:val="22"/>
          <w:lang w:val="sk-SK"/>
        </w:rPr>
        <w:t xml:space="preserve">mikafungínu </w:t>
      </w:r>
      <w:r w:rsidRPr="00D369C9">
        <w:rPr>
          <w:sz w:val="22"/>
          <w:szCs w:val="22"/>
          <w:lang w:val="sk-SK"/>
        </w:rPr>
        <w:t>podobná mladším jedincom (20</w:t>
      </w:r>
      <w:r w:rsidR="00AB4AE7">
        <w:rPr>
          <w:sz w:val="22"/>
          <w:szCs w:val="22"/>
          <w:lang w:val="sk-SK"/>
        </w:rPr>
        <w:t>–</w:t>
      </w:r>
      <w:r w:rsidRPr="00D369C9">
        <w:rPr>
          <w:sz w:val="22"/>
          <w:szCs w:val="22"/>
          <w:lang w:val="sk-SK"/>
        </w:rPr>
        <w:t>24 rokov). Starší pacienti nevyž</w:t>
      </w:r>
      <w:r w:rsidR="00A71865" w:rsidRPr="00D369C9">
        <w:rPr>
          <w:sz w:val="22"/>
          <w:szCs w:val="22"/>
          <w:lang w:val="sk-SK"/>
        </w:rPr>
        <w:t>adujú žiadnu úpravu dávkovania.</w:t>
      </w:r>
    </w:p>
    <w:p w14:paraId="2050BC27" w14:textId="77777777" w:rsidR="00A71865" w:rsidRPr="00D369C9" w:rsidRDefault="00A71865" w:rsidP="00A71865">
      <w:pPr>
        <w:pStyle w:val="Default"/>
        <w:jc w:val="both"/>
        <w:rPr>
          <w:sz w:val="22"/>
          <w:szCs w:val="22"/>
          <w:lang w:val="sk-SK"/>
        </w:rPr>
      </w:pPr>
    </w:p>
    <w:p w14:paraId="544EE8EA" w14:textId="77777777" w:rsidR="00A71865" w:rsidRPr="00D369C9" w:rsidRDefault="00A71865" w:rsidP="00A71865">
      <w:pPr>
        <w:pStyle w:val="Default"/>
        <w:jc w:val="both"/>
        <w:rPr>
          <w:i/>
          <w:sz w:val="22"/>
          <w:szCs w:val="22"/>
          <w:lang w:val="sk-SK"/>
        </w:rPr>
      </w:pPr>
      <w:r w:rsidRPr="00D369C9">
        <w:rPr>
          <w:i/>
          <w:sz w:val="22"/>
          <w:szCs w:val="22"/>
          <w:lang w:val="sk-SK"/>
        </w:rPr>
        <w:t>Pacienti s poškodením pečene:</w:t>
      </w:r>
    </w:p>
    <w:p w14:paraId="724A38CD" w14:textId="098491F7" w:rsidR="003A6469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V štúdii </w:t>
      </w:r>
      <w:r w:rsidR="001F6391">
        <w:rPr>
          <w:sz w:val="22"/>
          <w:szCs w:val="22"/>
          <w:lang w:val="sk-SK"/>
        </w:rPr>
        <w:t>s pacientmi</w:t>
      </w:r>
      <w:r w:rsidRPr="00D369C9">
        <w:rPr>
          <w:sz w:val="22"/>
          <w:szCs w:val="22"/>
          <w:lang w:val="sk-SK"/>
        </w:rPr>
        <w:t xml:space="preserve"> so stredne </w:t>
      </w:r>
      <w:r w:rsidR="00805154">
        <w:rPr>
          <w:sz w:val="22"/>
          <w:szCs w:val="22"/>
          <w:lang w:val="sk-SK"/>
        </w:rPr>
        <w:t>závažným</w:t>
      </w:r>
      <w:r w:rsidRPr="00D369C9">
        <w:rPr>
          <w:sz w:val="22"/>
          <w:szCs w:val="22"/>
          <w:lang w:val="sk-SK"/>
        </w:rPr>
        <w:t xml:space="preserve"> poškodením pečene (</w:t>
      </w:r>
      <w:proofErr w:type="spellStart"/>
      <w:r w:rsidRPr="00D369C9">
        <w:rPr>
          <w:sz w:val="22"/>
          <w:szCs w:val="22"/>
          <w:lang w:val="sk-SK"/>
        </w:rPr>
        <w:t>Childovo-Pughovo</w:t>
      </w:r>
      <w:proofErr w:type="spellEnd"/>
      <w:r w:rsidRPr="00D369C9">
        <w:rPr>
          <w:sz w:val="22"/>
          <w:szCs w:val="22"/>
          <w:lang w:val="sk-SK"/>
        </w:rPr>
        <w:t xml:space="preserve"> skóre 7</w:t>
      </w:r>
      <w:r w:rsidR="00B73FDE">
        <w:rPr>
          <w:sz w:val="22"/>
          <w:szCs w:val="22"/>
          <w:lang w:val="sk-SK"/>
        </w:rPr>
        <w:t>–</w:t>
      </w:r>
      <w:r w:rsidRPr="00D369C9">
        <w:rPr>
          <w:sz w:val="22"/>
          <w:szCs w:val="22"/>
          <w:lang w:val="sk-SK"/>
        </w:rPr>
        <w:t>9), (</w:t>
      </w:r>
      <w:r w:rsidR="00B73FDE">
        <w:rPr>
          <w:sz w:val="22"/>
          <w:szCs w:val="22"/>
          <w:lang w:val="sk-SK"/>
        </w:rPr>
        <w:t>N</w:t>
      </w:r>
      <w:r w:rsidR="00A71865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=</w:t>
      </w:r>
      <w:r w:rsidR="00A71865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8), sa </w:t>
      </w:r>
      <w:proofErr w:type="spellStart"/>
      <w:r w:rsidRPr="00D369C9">
        <w:rPr>
          <w:sz w:val="22"/>
          <w:szCs w:val="22"/>
          <w:lang w:val="sk-SK"/>
        </w:rPr>
        <w:t>farmakokinetika</w:t>
      </w:r>
      <w:proofErr w:type="spellEnd"/>
      <w:r w:rsidRPr="00D369C9">
        <w:rPr>
          <w:sz w:val="22"/>
          <w:szCs w:val="22"/>
          <w:lang w:val="sk-SK"/>
        </w:rPr>
        <w:t xml:space="preserve"> mikafungínu signifikantne nelíšila od </w:t>
      </w:r>
      <w:proofErr w:type="spellStart"/>
      <w:r w:rsidRPr="00D369C9">
        <w:rPr>
          <w:sz w:val="22"/>
          <w:szCs w:val="22"/>
          <w:lang w:val="sk-SK"/>
        </w:rPr>
        <w:t>farmakokinetiky</w:t>
      </w:r>
      <w:proofErr w:type="spellEnd"/>
      <w:r w:rsidRPr="00D369C9">
        <w:rPr>
          <w:sz w:val="22"/>
          <w:szCs w:val="22"/>
          <w:lang w:val="sk-SK"/>
        </w:rPr>
        <w:t xml:space="preserve"> u zdravých jedincov (</w:t>
      </w:r>
      <w:r w:rsidR="00B73FDE">
        <w:rPr>
          <w:sz w:val="22"/>
          <w:szCs w:val="22"/>
          <w:lang w:val="sk-SK"/>
        </w:rPr>
        <w:t>N</w:t>
      </w:r>
      <w:r w:rsidR="00A71865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=</w:t>
      </w:r>
      <w:r w:rsidR="00A71865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8). Z tohto dôvodu pacienti s miernym a stredne </w:t>
      </w:r>
      <w:r w:rsidR="00805154">
        <w:rPr>
          <w:sz w:val="22"/>
          <w:szCs w:val="22"/>
          <w:lang w:val="sk-SK"/>
        </w:rPr>
        <w:t>závažným</w:t>
      </w:r>
      <w:r w:rsidRPr="00D369C9">
        <w:rPr>
          <w:sz w:val="22"/>
          <w:szCs w:val="22"/>
          <w:lang w:val="sk-SK"/>
        </w:rPr>
        <w:t xml:space="preserve"> poškodením pečene nevyžadujú žiadnu úpravu dávkovania. V štúdii </w:t>
      </w:r>
      <w:r w:rsidR="00805154">
        <w:rPr>
          <w:sz w:val="22"/>
          <w:szCs w:val="22"/>
          <w:lang w:val="sk-SK"/>
        </w:rPr>
        <w:t xml:space="preserve">s pacientmi </w:t>
      </w:r>
      <w:r w:rsidRPr="00D369C9">
        <w:rPr>
          <w:sz w:val="22"/>
          <w:szCs w:val="22"/>
          <w:lang w:val="sk-SK"/>
        </w:rPr>
        <w:t xml:space="preserve"> s</w:t>
      </w:r>
      <w:r w:rsidR="00805154">
        <w:rPr>
          <w:sz w:val="22"/>
          <w:szCs w:val="22"/>
          <w:lang w:val="sk-SK"/>
        </w:rPr>
        <w:t>o závažným</w:t>
      </w:r>
      <w:r w:rsidRPr="00D369C9">
        <w:rPr>
          <w:sz w:val="22"/>
          <w:szCs w:val="22"/>
          <w:lang w:val="sk-SK"/>
        </w:rPr>
        <w:t xml:space="preserve"> poškodením pečene (</w:t>
      </w:r>
      <w:proofErr w:type="spellStart"/>
      <w:r w:rsidRPr="00D369C9">
        <w:rPr>
          <w:sz w:val="22"/>
          <w:szCs w:val="22"/>
          <w:lang w:val="sk-SK"/>
        </w:rPr>
        <w:t>Childovo-Pughovo</w:t>
      </w:r>
      <w:proofErr w:type="spellEnd"/>
      <w:r w:rsidRPr="00D369C9">
        <w:rPr>
          <w:sz w:val="22"/>
          <w:szCs w:val="22"/>
          <w:lang w:val="sk-SK"/>
        </w:rPr>
        <w:t xml:space="preserve"> skóre 10</w:t>
      </w:r>
      <w:r w:rsidR="00AB4AE7">
        <w:rPr>
          <w:sz w:val="22"/>
          <w:szCs w:val="22"/>
          <w:lang w:val="sk-SK"/>
        </w:rPr>
        <w:t>–</w:t>
      </w:r>
      <w:r w:rsidRPr="00D369C9">
        <w:rPr>
          <w:sz w:val="22"/>
          <w:szCs w:val="22"/>
          <w:lang w:val="sk-SK"/>
        </w:rPr>
        <w:t>12), (</w:t>
      </w:r>
      <w:r w:rsidR="00B73FDE">
        <w:rPr>
          <w:sz w:val="22"/>
          <w:szCs w:val="22"/>
          <w:lang w:val="sk-SK"/>
        </w:rPr>
        <w:t>N</w:t>
      </w:r>
      <w:r w:rsidR="00A71865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=</w:t>
      </w:r>
      <w:r w:rsidR="00A71865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8) v porovnaní so zdravými jedincami (</w:t>
      </w:r>
      <w:r w:rsidR="00B73FDE">
        <w:rPr>
          <w:sz w:val="22"/>
          <w:szCs w:val="22"/>
          <w:lang w:val="sk-SK"/>
        </w:rPr>
        <w:t xml:space="preserve">N </w:t>
      </w:r>
      <w:r w:rsidRPr="00D369C9">
        <w:rPr>
          <w:sz w:val="22"/>
          <w:szCs w:val="22"/>
          <w:lang w:val="sk-SK"/>
        </w:rPr>
        <w:t>=</w:t>
      </w:r>
      <w:r w:rsidR="00B73FDE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8) boli zistené nižšie plazmatické koncentrácie mikafungínu a vyššie plazmatické koncentrácie </w:t>
      </w:r>
      <w:proofErr w:type="spellStart"/>
      <w:r w:rsidRPr="00D369C9">
        <w:rPr>
          <w:sz w:val="22"/>
          <w:szCs w:val="22"/>
          <w:lang w:val="sk-SK"/>
        </w:rPr>
        <w:t>hydroxylového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metabolitu</w:t>
      </w:r>
      <w:proofErr w:type="spellEnd"/>
      <w:r w:rsidRPr="00D369C9">
        <w:rPr>
          <w:sz w:val="22"/>
          <w:szCs w:val="22"/>
          <w:lang w:val="sk-SK"/>
        </w:rPr>
        <w:t xml:space="preserve"> (M-5). Tieto údaje sú nedostačujúce na odporúčanie dávkovania u pacientov s</w:t>
      </w:r>
      <w:r w:rsidR="00163E45">
        <w:rPr>
          <w:sz w:val="22"/>
          <w:szCs w:val="22"/>
          <w:lang w:val="sk-SK"/>
        </w:rPr>
        <w:t>o závažným</w:t>
      </w:r>
      <w:r w:rsidRPr="00D369C9">
        <w:rPr>
          <w:sz w:val="22"/>
          <w:szCs w:val="22"/>
          <w:lang w:val="sk-SK"/>
        </w:rPr>
        <w:t xml:space="preserve"> poškodením pečene. </w:t>
      </w:r>
    </w:p>
    <w:p w14:paraId="24720643" w14:textId="77777777" w:rsidR="00A71865" w:rsidRPr="00D369C9" w:rsidRDefault="00A71865" w:rsidP="00A71865">
      <w:pPr>
        <w:pStyle w:val="Default"/>
        <w:jc w:val="both"/>
        <w:rPr>
          <w:sz w:val="22"/>
          <w:szCs w:val="22"/>
          <w:lang w:val="sk-SK"/>
        </w:rPr>
      </w:pPr>
    </w:p>
    <w:p w14:paraId="4567007F" w14:textId="77777777" w:rsidR="00A71865" w:rsidRPr="00D369C9" w:rsidRDefault="00A71865" w:rsidP="00A71865">
      <w:pPr>
        <w:pStyle w:val="Default"/>
        <w:jc w:val="both"/>
        <w:rPr>
          <w:i/>
          <w:sz w:val="22"/>
          <w:szCs w:val="22"/>
          <w:lang w:val="sk-SK"/>
        </w:rPr>
      </w:pPr>
      <w:r w:rsidRPr="00D369C9">
        <w:rPr>
          <w:i/>
          <w:sz w:val="22"/>
          <w:szCs w:val="22"/>
          <w:lang w:val="sk-SK"/>
        </w:rPr>
        <w:t>Pacienti s poškodením obličiek:</w:t>
      </w:r>
    </w:p>
    <w:p w14:paraId="1B8ADEE8" w14:textId="442832C8" w:rsidR="003A6469" w:rsidRPr="00D369C9" w:rsidRDefault="00864D05" w:rsidP="00A71865">
      <w:pPr>
        <w:pStyle w:val="Default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Závažné</w:t>
      </w:r>
      <w:r w:rsidR="003A6469" w:rsidRPr="00D369C9">
        <w:rPr>
          <w:sz w:val="22"/>
          <w:szCs w:val="22"/>
          <w:lang w:val="sk-SK"/>
        </w:rPr>
        <w:t xml:space="preserve"> poškodenie obličiek (</w:t>
      </w:r>
      <w:r>
        <w:rPr>
          <w:sz w:val="22"/>
          <w:szCs w:val="22"/>
          <w:lang w:val="sk-SK"/>
        </w:rPr>
        <w:t xml:space="preserve">rýchlosť </w:t>
      </w:r>
      <w:proofErr w:type="spellStart"/>
      <w:r w:rsidR="003A6469" w:rsidRPr="00D369C9">
        <w:rPr>
          <w:sz w:val="22"/>
          <w:szCs w:val="22"/>
          <w:lang w:val="sk-SK"/>
        </w:rPr>
        <w:t>glomerulárn</w:t>
      </w:r>
      <w:r>
        <w:rPr>
          <w:sz w:val="22"/>
          <w:szCs w:val="22"/>
          <w:lang w:val="sk-SK"/>
        </w:rPr>
        <w:t>ej</w:t>
      </w:r>
      <w:proofErr w:type="spellEnd"/>
      <w:r w:rsidR="003A6469" w:rsidRPr="00D369C9">
        <w:rPr>
          <w:sz w:val="22"/>
          <w:szCs w:val="22"/>
          <w:lang w:val="sk-SK"/>
        </w:rPr>
        <w:t xml:space="preserve"> filtráci</w:t>
      </w:r>
      <w:r>
        <w:rPr>
          <w:sz w:val="22"/>
          <w:szCs w:val="22"/>
          <w:lang w:val="sk-SK"/>
        </w:rPr>
        <w:t>e</w:t>
      </w:r>
      <w:r w:rsidR="003A6469" w:rsidRPr="00D369C9">
        <w:rPr>
          <w:sz w:val="22"/>
          <w:szCs w:val="22"/>
          <w:lang w:val="sk-SK"/>
        </w:rPr>
        <w:t xml:space="preserve"> [GFR] &lt; 30 ml/min) neovplyvňuje signifikantne </w:t>
      </w:r>
      <w:proofErr w:type="spellStart"/>
      <w:r w:rsidR="003A6469" w:rsidRPr="00D369C9">
        <w:rPr>
          <w:sz w:val="22"/>
          <w:szCs w:val="22"/>
          <w:lang w:val="sk-SK"/>
        </w:rPr>
        <w:t>farmakokinetiku</w:t>
      </w:r>
      <w:proofErr w:type="spellEnd"/>
      <w:r w:rsidR="003A6469" w:rsidRPr="00D369C9">
        <w:rPr>
          <w:sz w:val="22"/>
          <w:szCs w:val="22"/>
          <w:lang w:val="sk-SK"/>
        </w:rPr>
        <w:t xml:space="preserve"> mikafungínu. Pacienti s poškodením obličiek nevyž</w:t>
      </w:r>
      <w:r w:rsidR="00A71865" w:rsidRPr="00D369C9">
        <w:rPr>
          <w:sz w:val="22"/>
          <w:szCs w:val="22"/>
          <w:lang w:val="sk-SK"/>
        </w:rPr>
        <w:t>adujú žiadnu úpravu dávkovania.</w:t>
      </w:r>
    </w:p>
    <w:p w14:paraId="39962ACC" w14:textId="77777777" w:rsidR="00A71865" w:rsidRPr="00D369C9" w:rsidRDefault="00A71865" w:rsidP="00A71865">
      <w:pPr>
        <w:pStyle w:val="Default"/>
        <w:jc w:val="both"/>
        <w:rPr>
          <w:sz w:val="22"/>
          <w:szCs w:val="22"/>
          <w:lang w:val="sk-SK"/>
        </w:rPr>
      </w:pPr>
    </w:p>
    <w:p w14:paraId="50F496A5" w14:textId="77777777" w:rsidR="00A71865" w:rsidRPr="00D369C9" w:rsidRDefault="00A71865" w:rsidP="00A71865">
      <w:pPr>
        <w:ind w:left="0" w:firstLine="0"/>
        <w:jc w:val="both"/>
        <w:rPr>
          <w:i/>
          <w:szCs w:val="22"/>
        </w:rPr>
      </w:pPr>
      <w:r w:rsidRPr="00D369C9">
        <w:rPr>
          <w:i/>
          <w:szCs w:val="22"/>
        </w:rPr>
        <w:t>Pohlavie/rasa:</w:t>
      </w:r>
    </w:p>
    <w:p w14:paraId="52441D2B" w14:textId="77777777" w:rsidR="003A6469" w:rsidRPr="00D369C9" w:rsidRDefault="003A6469" w:rsidP="00A71865">
      <w:pPr>
        <w:ind w:left="0" w:firstLine="0"/>
        <w:jc w:val="both"/>
        <w:rPr>
          <w:szCs w:val="22"/>
        </w:rPr>
      </w:pPr>
      <w:r w:rsidRPr="00D369C9">
        <w:rPr>
          <w:szCs w:val="22"/>
        </w:rPr>
        <w:t xml:space="preserve">Pohlavie a rasa (biela, čierna a ázijská) neovplyvňujú signifikantne </w:t>
      </w:r>
      <w:proofErr w:type="spellStart"/>
      <w:r w:rsidRPr="00D369C9">
        <w:rPr>
          <w:szCs w:val="22"/>
        </w:rPr>
        <w:t>farmakokinetické</w:t>
      </w:r>
      <w:proofErr w:type="spellEnd"/>
      <w:r w:rsidRPr="00D369C9">
        <w:rPr>
          <w:szCs w:val="22"/>
        </w:rPr>
        <w:t xml:space="preserve"> parametre mikafungínu. V závislosti od pohlavia a</w:t>
      </w:r>
      <w:r w:rsidR="004E2700">
        <w:rPr>
          <w:szCs w:val="22"/>
        </w:rPr>
        <w:t>lebo</w:t>
      </w:r>
      <w:r w:rsidRPr="00D369C9">
        <w:rPr>
          <w:szCs w:val="22"/>
        </w:rPr>
        <w:t xml:space="preserve"> rasy nie je nutná žiadna úprava dávkovania mikafungínu.</w:t>
      </w:r>
    </w:p>
    <w:p w14:paraId="1A1FE3AC" w14:textId="77777777" w:rsidR="003A6469" w:rsidRPr="00D369C9" w:rsidRDefault="003A6469" w:rsidP="003A6469">
      <w:pPr>
        <w:rPr>
          <w:szCs w:val="22"/>
        </w:rPr>
      </w:pPr>
    </w:p>
    <w:p w14:paraId="546E0A49" w14:textId="77777777" w:rsidR="00780926" w:rsidRPr="00D369C9" w:rsidRDefault="00386B19" w:rsidP="00223E9F">
      <w:pPr>
        <w:keepNext/>
        <w:rPr>
          <w:szCs w:val="22"/>
        </w:rPr>
      </w:pPr>
      <w:r w:rsidRPr="00F03F6B">
        <w:rPr>
          <w:b/>
          <w:szCs w:val="22"/>
        </w:rPr>
        <w:t>5.3</w:t>
      </w:r>
      <w:r w:rsidRPr="00F03F6B">
        <w:rPr>
          <w:b/>
          <w:szCs w:val="22"/>
        </w:rPr>
        <w:tab/>
        <w:t>Predklinické údaje o</w:t>
      </w:r>
      <w:r w:rsidR="00FA099B" w:rsidRPr="00F03F6B">
        <w:rPr>
          <w:b/>
          <w:szCs w:val="22"/>
        </w:rPr>
        <w:t> </w:t>
      </w:r>
      <w:r w:rsidRPr="00F03F6B">
        <w:rPr>
          <w:b/>
          <w:szCs w:val="22"/>
        </w:rPr>
        <w:t>bezpečnosti</w:t>
      </w:r>
    </w:p>
    <w:p w14:paraId="1C8D7354" w14:textId="77777777" w:rsidR="00780926" w:rsidRPr="00D369C9" w:rsidRDefault="00780926" w:rsidP="00A71865">
      <w:pPr>
        <w:keepNext/>
        <w:jc w:val="both"/>
        <w:rPr>
          <w:szCs w:val="22"/>
        </w:rPr>
      </w:pPr>
    </w:p>
    <w:p w14:paraId="798E2B10" w14:textId="77777777" w:rsidR="003A6469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Vznik ložísk zmenených </w:t>
      </w:r>
      <w:proofErr w:type="spellStart"/>
      <w:r w:rsidRPr="00D369C9">
        <w:rPr>
          <w:sz w:val="22"/>
          <w:szCs w:val="22"/>
          <w:lang w:val="sk-SK"/>
        </w:rPr>
        <w:t>hepatocytov</w:t>
      </w:r>
      <w:proofErr w:type="spellEnd"/>
      <w:r w:rsidRPr="00D369C9">
        <w:rPr>
          <w:sz w:val="22"/>
          <w:szCs w:val="22"/>
          <w:lang w:val="sk-SK"/>
        </w:rPr>
        <w:t xml:space="preserve"> (FAH) a </w:t>
      </w:r>
      <w:proofErr w:type="spellStart"/>
      <w:r w:rsidRPr="00D369C9">
        <w:rPr>
          <w:sz w:val="22"/>
          <w:szCs w:val="22"/>
          <w:lang w:val="sk-SK"/>
        </w:rPr>
        <w:t>hepatocelulárnych</w:t>
      </w:r>
      <w:proofErr w:type="spellEnd"/>
      <w:r w:rsidRPr="00D369C9">
        <w:rPr>
          <w:sz w:val="22"/>
          <w:szCs w:val="22"/>
          <w:lang w:val="sk-SK"/>
        </w:rPr>
        <w:t xml:space="preserve"> nádorov u potkanov závisel od dávkovania a trvania liečby </w:t>
      </w:r>
      <w:proofErr w:type="spellStart"/>
      <w:r w:rsidRPr="00D369C9">
        <w:rPr>
          <w:sz w:val="22"/>
          <w:szCs w:val="22"/>
          <w:lang w:val="sk-SK"/>
        </w:rPr>
        <w:t>mikafungínom</w:t>
      </w:r>
      <w:proofErr w:type="spellEnd"/>
      <w:r w:rsidRPr="00D369C9">
        <w:rPr>
          <w:sz w:val="22"/>
          <w:szCs w:val="22"/>
          <w:lang w:val="sk-SK"/>
        </w:rPr>
        <w:t xml:space="preserve">. FAH zaznamenané po liečbe, ktorá trvala 13 týždňov alebo dlhšie, pretrvávali po 13-týždňovom období bez podávania lieku a vyvinuli sa do </w:t>
      </w:r>
      <w:proofErr w:type="spellStart"/>
      <w:r w:rsidRPr="00D369C9">
        <w:rPr>
          <w:sz w:val="22"/>
          <w:szCs w:val="22"/>
          <w:lang w:val="sk-SK"/>
        </w:rPr>
        <w:t>hepatocelulárnych</w:t>
      </w:r>
      <w:proofErr w:type="spellEnd"/>
      <w:r w:rsidRPr="00D369C9">
        <w:rPr>
          <w:sz w:val="22"/>
          <w:szCs w:val="22"/>
          <w:lang w:val="sk-SK"/>
        </w:rPr>
        <w:t xml:space="preserve"> nádorov v období bez liečby, ktorá zodpovedala dĺžke života potkanov. Neboli vykonané žiadne štandardné štúdie karcinogenity, avšak vývoj FAH bol hodnotený u samíc potkanov po uplynutí maximálne 20 a 18 mesiacov od ukončenia 3- a 6-mesačnej liečby v uvedenom poradí. V oboch štúdiách bolo po 18 a 20 mesiacoch bez liečby pozorované zvýšenie výskytu/počtu </w:t>
      </w:r>
      <w:proofErr w:type="spellStart"/>
      <w:r w:rsidRPr="00D369C9">
        <w:rPr>
          <w:sz w:val="22"/>
          <w:szCs w:val="22"/>
          <w:lang w:val="sk-SK"/>
        </w:rPr>
        <w:t>hepatocelulárnych</w:t>
      </w:r>
      <w:proofErr w:type="spellEnd"/>
      <w:r w:rsidRPr="00D369C9">
        <w:rPr>
          <w:sz w:val="22"/>
          <w:szCs w:val="22"/>
          <w:lang w:val="sk-SK"/>
        </w:rPr>
        <w:t xml:space="preserve"> nádorov v skupine užívajúcej vysokú dávku 32 mg/kg/deň ako aj v skupine užívajúcej nižšiu dávku (aj keď štatisticky nevýznamné). Plazmatická expozícia pri predpokladanom prahu pre vznik nádoru u potkanov (teda dávka, pri ktorej neboli zistené žiadne FAH a nádory pečene) bola v rovnakom rozsahu ako klinická expozícia. Závažnosť </w:t>
      </w:r>
      <w:proofErr w:type="spellStart"/>
      <w:r w:rsidRPr="00D369C9">
        <w:rPr>
          <w:sz w:val="22"/>
          <w:szCs w:val="22"/>
          <w:lang w:val="sk-SK"/>
        </w:rPr>
        <w:t>hepatokarcinogénneho</w:t>
      </w:r>
      <w:proofErr w:type="spellEnd"/>
      <w:r w:rsidRPr="00D369C9">
        <w:rPr>
          <w:sz w:val="22"/>
          <w:szCs w:val="22"/>
          <w:lang w:val="sk-SK"/>
        </w:rPr>
        <w:t xml:space="preserve"> potenciálu mikafungínu pre terapeutické použitie u ľudí nie je známa. </w:t>
      </w:r>
    </w:p>
    <w:p w14:paraId="5E1704F0" w14:textId="77777777" w:rsidR="00A71865" w:rsidRPr="00D369C9" w:rsidRDefault="00A71865" w:rsidP="00A71865">
      <w:pPr>
        <w:pStyle w:val="Default"/>
        <w:jc w:val="both"/>
        <w:rPr>
          <w:sz w:val="22"/>
          <w:szCs w:val="22"/>
          <w:lang w:val="sk-SK"/>
        </w:rPr>
      </w:pPr>
    </w:p>
    <w:p w14:paraId="34255C68" w14:textId="528FEE9A" w:rsidR="003A6469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lang w:val="sk-SK"/>
        </w:rPr>
        <w:t>Toxikológia</w:t>
      </w:r>
      <w:proofErr w:type="spellEnd"/>
      <w:r w:rsidRPr="00D369C9">
        <w:rPr>
          <w:sz w:val="22"/>
          <w:szCs w:val="22"/>
          <w:lang w:val="sk-SK"/>
        </w:rPr>
        <w:t xml:space="preserve"> mikafungínu po opakovanom intravenóznom podaní potkanom a</w:t>
      </w:r>
      <w:r w:rsidRPr="00D369C9">
        <w:rPr>
          <w:b/>
          <w:bCs/>
          <w:sz w:val="22"/>
          <w:szCs w:val="22"/>
          <w:lang w:val="sk-SK"/>
        </w:rPr>
        <w:t>/</w:t>
      </w:r>
      <w:r w:rsidRPr="00D369C9">
        <w:rPr>
          <w:sz w:val="22"/>
          <w:szCs w:val="22"/>
          <w:lang w:val="sk-SK"/>
        </w:rPr>
        <w:t xml:space="preserve">alebo psom preukázala nežiaduce reakcie v pečeni, močových cestách, červených krvinkách a v mužských reprodukčných orgánoch. Úrovne expozície bez pozorovaných </w:t>
      </w:r>
      <w:r w:rsidR="00FC0200">
        <w:rPr>
          <w:sz w:val="22"/>
          <w:szCs w:val="22"/>
          <w:lang w:val="sk-SK"/>
        </w:rPr>
        <w:t>nežiaducich</w:t>
      </w:r>
      <w:r w:rsidRPr="00D369C9">
        <w:rPr>
          <w:sz w:val="22"/>
          <w:szCs w:val="22"/>
          <w:lang w:val="sk-SK"/>
        </w:rPr>
        <w:t xml:space="preserve"> účinkov (NOAEL) boli v rovnakom rozpätí ako klinická expozícia alebo nižšie. Preto môžeme očakávať, že sa pri klinickom použití mikafungínu u človeka tieto nežiaduce účinky vyskytnú. </w:t>
      </w:r>
    </w:p>
    <w:p w14:paraId="1856C6DE" w14:textId="77777777" w:rsidR="00A71865" w:rsidRPr="00D369C9" w:rsidRDefault="00A71865" w:rsidP="00A71865">
      <w:pPr>
        <w:pStyle w:val="Default"/>
        <w:jc w:val="both"/>
        <w:rPr>
          <w:sz w:val="22"/>
          <w:szCs w:val="22"/>
          <w:lang w:val="sk-SK"/>
        </w:rPr>
      </w:pPr>
    </w:p>
    <w:p w14:paraId="5417F842" w14:textId="77777777" w:rsidR="003A6469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Počas štandardných farmakologických testov zameraných na bezpečnosť sa objavili kardiovaskulárne účinky mikafungínu a vplyv mikafungínu na uvoľňovanie histamínu, ktoré sa ukázali ako časovo závislé na nadprahových koncentráciách. Predĺženie doby trvania infúzie, ktoré znížilo maximálne plazmatické koncentrácie, viedlo k zmierneniu týchto účinkov. </w:t>
      </w:r>
    </w:p>
    <w:p w14:paraId="369BCC00" w14:textId="77777777" w:rsidR="00A71865" w:rsidRPr="00D369C9" w:rsidRDefault="00A71865" w:rsidP="00A71865">
      <w:pPr>
        <w:pStyle w:val="Default"/>
        <w:jc w:val="both"/>
        <w:rPr>
          <w:sz w:val="22"/>
          <w:szCs w:val="22"/>
          <w:lang w:val="sk-SK"/>
        </w:rPr>
      </w:pPr>
    </w:p>
    <w:p w14:paraId="11EDF58B" w14:textId="76C16F05" w:rsidR="003A6469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V prípade štúdií toxicity po opakovanom podávaní potkanom sa </w:t>
      </w:r>
      <w:proofErr w:type="spellStart"/>
      <w:r w:rsidRPr="00D369C9">
        <w:rPr>
          <w:sz w:val="22"/>
          <w:szCs w:val="22"/>
          <w:lang w:val="sk-SK"/>
        </w:rPr>
        <w:t>hepatotoxicita</w:t>
      </w:r>
      <w:proofErr w:type="spellEnd"/>
      <w:r w:rsidRPr="00D369C9">
        <w:rPr>
          <w:sz w:val="22"/>
          <w:szCs w:val="22"/>
          <w:lang w:val="sk-SK"/>
        </w:rPr>
        <w:t xml:space="preserve"> prejavila ako zvýšenie pečeňových enzýmov a degeneratívne zmeny </w:t>
      </w:r>
      <w:proofErr w:type="spellStart"/>
      <w:r w:rsidRPr="00D369C9">
        <w:rPr>
          <w:sz w:val="22"/>
          <w:szCs w:val="22"/>
          <w:lang w:val="sk-SK"/>
        </w:rPr>
        <w:t>hepatocytov</w:t>
      </w:r>
      <w:proofErr w:type="spellEnd"/>
      <w:r w:rsidRPr="00D369C9">
        <w:rPr>
          <w:sz w:val="22"/>
          <w:szCs w:val="22"/>
          <w:lang w:val="sk-SK"/>
        </w:rPr>
        <w:t xml:space="preserve">, ktoré boli sprevádzané prejavmi kompenzačnej regenerácie. U psov spočívali vplyvy na pečeň v náraste jej hmotnosti a v </w:t>
      </w:r>
      <w:proofErr w:type="spellStart"/>
      <w:r w:rsidRPr="00D369C9">
        <w:rPr>
          <w:sz w:val="22"/>
          <w:szCs w:val="22"/>
          <w:lang w:val="sk-SK"/>
        </w:rPr>
        <w:t>centrilobulárnej</w:t>
      </w:r>
      <w:proofErr w:type="spellEnd"/>
      <w:r w:rsidRPr="00D369C9">
        <w:rPr>
          <w:sz w:val="22"/>
          <w:szCs w:val="22"/>
          <w:lang w:val="sk-SK"/>
        </w:rPr>
        <w:t xml:space="preserve"> hypertrofii, degeneratívne zmeny </w:t>
      </w:r>
      <w:proofErr w:type="spellStart"/>
      <w:r w:rsidRPr="00D369C9">
        <w:rPr>
          <w:sz w:val="22"/>
          <w:szCs w:val="22"/>
          <w:lang w:val="sk-SK"/>
        </w:rPr>
        <w:t>hepatocytov</w:t>
      </w:r>
      <w:proofErr w:type="spellEnd"/>
      <w:r w:rsidRPr="00D369C9">
        <w:rPr>
          <w:sz w:val="22"/>
          <w:szCs w:val="22"/>
          <w:lang w:val="sk-SK"/>
        </w:rPr>
        <w:t xml:space="preserve"> neboli zaznamenané. </w:t>
      </w:r>
    </w:p>
    <w:p w14:paraId="70F18B4B" w14:textId="77777777" w:rsidR="00A71865" w:rsidRPr="00D369C9" w:rsidRDefault="00A71865" w:rsidP="00A71865">
      <w:pPr>
        <w:pStyle w:val="Default"/>
        <w:jc w:val="both"/>
        <w:rPr>
          <w:sz w:val="22"/>
          <w:szCs w:val="22"/>
          <w:lang w:val="sk-SK"/>
        </w:rPr>
      </w:pPr>
    </w:p>
    <w:p w14:paraId="7D79A61E" w14:textId="75CD144A" w:rsidR="003A6469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Počas 26-týždňových štúdií po opakovanom podávaní sa u potkanov pozorovala </w:t>
      </w:r>
      <w:proofErr w:type="spellStart"/>
      <w:r w:rsidRPr="00D369C9">
        <w:rPr>
          <w:sz w:val="22"/>
          <w:szCs w:val="22"/>
          <w:lang w:val="sk-SK"/>
        </w:rPr>
        <w:t>vakuolizácia</w:t>
      </w:r>
      <w:proofErr w:type="spellEnd"/>
      <w:r w:rsidRPr="00D369C9">
        <w:rPr>
          <w:sz w:val="22"/>
          <w:szCs w:val="22"/>
          <w:lang w:val="sk-SK"/>
        </w:rPr>
        <w:t xml:space="preserve"> epitelu obličkových panvičiek, ako aj </w:t>
      </w:r>
      <w:proofErr w:type="spellStart"/>
      <w:r w:rsidRPr="00D369C9">
        <w:rPr>
          <w:sz w:val="22"/>
          <w:szCs w:val="22"/>
          <w:lang w:val="sk-SK"/>
        </w:rPr>
        <w:t>vakuolizácia</w:t>
      </w:r>
      <w:proofErr w:type="spellEnd"/>
      <w:r w:rsidRPr="00D369C9">
        <w:rPr>
          <w:sz w:val="22"/>
          <w:szCs w:val="22"/>
          <w:lang w:val="sk-SK"/>
        </w:rPr>
        <w:t xml:space="preserve"> a zhrubnutie (</w:t>
      </w:r>
      <w:proofErr w:type="spellStart"/>
      <w:r w:rsidRPr="00D369C9">
        <w:rPr>
          <w:sz w:val="22"/>
          <w:szCs w:val="22"/>
          <w:lang w:val="sk-SK"/>
        </w:rPr>
        <w:t>hyperplázia</w:t>
      </w:r>
      <w:proofErr w:type="spellEnd"/>
      <w:r w:rsidRPr="00D369C9">
        <w:rPr>
          <w:sz w:val="22"/>
          <w:szCs w:val="22"/>
          <w:lang w:val="sk-SK"/>
        </w:rPr>
        <w:t xml:space="preserve">) epitelu močového mechúra. V druhej 26-týždňovej štúdii sa </w:t>
      </w:r>
      <w:proofErr w:type="spellStart"/>
      <w:r w:rsidRPr="00D369C9">
        <w:rPr>
          <w:sz w:val="22"/>
          <w:szCs w:val="22"/>
          <w:lang w:val="sk-SK"/>
        </w:rPr>
        <w:t>hyperplázia</w:t>
      </w:r>
      <w:proofErr w:type="spellEnd"/>
      <w:r w:rsidRPr="00D369C9">
        <w:rPr>
          <w:sz w:val="22"/>
          <w:szCs w:val="22"/>
          <w:lang w:val="sk-SK"/>
        </w:rPr>
        <w:t xml:space="preserve"> buniek prechodového epitelu močového mechúra objavila s </w:t>
      </w:r>
      <w:r w:rsidRPr="00D369C9">
        <w:rPr>
          <w:sz w:val="22"/>
          <w:szCs w:val="22"/>
          <w:lang w:val="sk-SK"/>
        </w:rPr>
        <w:lastRenderedPageBreak/>
        <w:t xml:space="preserve">podstatne menšou </w:t>
      </w:r>
      <w:proofErr w:type="spellStart"/>
      <w:r w:rsidRPr="00D369C9">
        <w:rPr>
          <w:sz w:val="22"/>
          <w:szCs w:val="22"/>
          <w:lang w:val="sk-SK"/>
        </w:rPr>
        <w:t>incidenciou</w:t>
      </w:r>
      <w:proofErr w:type="spellEnd"/>
      <w:r w:rsidRPr="00D369C9">
        <w:rPr>
          <w:sz w:val="22"/>
          <w:szCs w:val="22"/>
          <w:lang w:val="sk-SK"/>
        </w:rPr>
        <w:t xml:space="preserve">. Tieto zistenia sa v období následného 18-mesačného sledovania ukázali ako reverzibilné. V týchto štúdiách na potkanoch bol </w:t>
      </w: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podávaný dlhšie (6 mesiacov), ako je zvyčajná dĺžka podávania u pacientov (pozri časť 5.1). </w:t>
      </w:r>
    </w:p>
    <w:p w14:paraId="3EE6C010" w14:textId="77777777" w:rsidR="00A71865" w:rsidRPr="00D369C9" w:rsidRDefault="00A71865" w:rsidP="00A71865">
      <w:pPr>
        <w:pStyle w:val="Default"/>
        <w:jc w:val="both"/>
        <w:rPr>
          <w:sz w:val="22"/>
          <w:szCs w:val="22"/>
          <w:lang w:val="sk-SK"/>
        </w:rPr>
      </w:pPr>
    </w:p>
    <w:p w14:paraId="356306B2" w14:textId="5790564A" w:rsidR="003A6469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lang w:val="sk-SK"/>
        </w:rPr>
        <w:t>Mikafungín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hemolyzoval</w:t>
      </w:r>
      <w:proofErr w:type="spellEnd"/>
      <w:r w:rsidRPr="00D369C9">
        <w:rPr>
          <w:sz w:val="22"/>
          <w:szCs w:val="22"/>
          <w:lang w:val="sk-SK"/>
        </w:rPr>
        <w:t xml:space="preserve"> králičiu krv </w:t>
      </w:r>
      <w:r w:rsidRPr="00D369C9">
        <w:rPr>
          <w:i/>
          <w:iCs/>
          <w:sz w:val="22"/>
          <w:szCs w:val="22"/>
          <w:lang w:val="sk-SK"/>
        </w:rPr>
        <w:t>in vitro</w:t>
      </w:r>
      <w:r w:rsidRPr="00D369C9">
        <w:rPr>
          <w:sz w:val="22"/>
          <w:szCs w:val="22"/>
          <w:lang w:val="sk-SK"/>
        </w:rPr>
        <w:t xml:space="preserve">. Prejavy </w:t>
      </w:r>
      <w:proofErr w:type="spellStart"/>
      <w:r w:rsidRPr="00D369C9">
        <w:rPr>
          <w:sz w:val="22"/>
          <w:szCs w:val="22"/>
          <w:lang w:val="sk-SK"/>
        </w:rPr>
        <w:t>hemolytickej</w:t>
      </w:r>
      <w:proofErr w:type="spellEnd"/>
      <w:r w:rsidRPr="00D369C9">
        <w:rPr>
          <w:sz w:val="22"/>
          <w:szCs w:val="22"/>
          <w:lang w:val="sk-SK"/>
        </w:rPr>
        <w:t xml:space="preserve"> anémie sa pozorovali u potkanov pri opakovanom podaní mikafungínu formou injekčného </w:t>
      </w:r>
      <w:proofErr w:type="spellStart"/>
      <w:r w:rsidRPr="00D369C9">
        <w:rPr>
          <w:sz w:val="22"/>
          <w:szCs w:val="22"/>
          <w:lang w:val="sk-SK"/>
        </w:rPr>
        <w:t>bolusu</w:t>
      </w:r>
      <w:proofErr w:type="spellEnd"/>
      <w:r w:rsidRPr="00D369C9">
        <w:rPr>
          <w:sz w:val="22"/>
          <w:szCs w:val="22"/>
          <w:lang w:val="sk-SK"/>
        </w:rPr>
        <w:t>. V štúdiách s opakovaným pod</w:t>
      </w:r>
      <w:r w:rsidR="00996ECA">
        <w:rPr>
          <w:sz w:val="22"/>
          <w:szCs w:val="22"/>
          <w:lang w:val="sk-SK"/>
        </w:rPr>
        <w:t>áv</w:t>
      </w:r>
      <w:r w:rsidRPr="00D369C9">
        <w:rPr>
          <w:sz w:val="22"/>
          <w:szCs w:val="22"/>
          <w:lang w:val="sk-SK"/>
        </w:rPr>
        <w:t xml:space="preserve">aním u psov sa </w:t>
      </w:r>
      <w:proofErr w:type="spellStart"/>
      <w:r w:rsidRPr="00D369C9">
        <w:rPr>
          <w:sz w:val="22"/>
          <w:szCs w:val="22"/>
          <w:lang w:val="sk-SK"/>
        </w:rPr>
        <w:t>hemolytická</w:t>
      </w:r>
      <w:proofErr w:type="spellEnd"/>
      <w:r w:rsidRPr="00D369C9">
        <w:rPr>
          <w:sz w:val="22"/>
          <w:szCs w:val="22"/>
          <w:lang w:val="sk-SK"/>
        </w:rPr>
        <w:t xml:space="preserve"> anémia nepozorovala. </w:t>
      </w:r>
    </w:p>
    <w:p w14:paraId="3304AF2F" w14:textId="77777777" w:rsidR="00A71865" w:rsidRPr="00D369C9" w:rsidRDefault="00A71865" w:rsidP="00A71865">
      <w:pPr>
        <w:pStyle w:val="Default"/>
        <w:jc w:val="both"/>
        <w:rPr>
          <w:sz w:val="22"/>
          <w:szCs w:val="22"/>
          <w:lang w:val="sk-SK"/>
        </w:rPr>
      </w:pPr>
    </w:p>
    <w:p w14:paraId="55C173B7" w14:textId="7B3DB603" w:rsidR="003A6469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V reprodukčných štúdiách a v štúdiách vývinovej toxicity bola zaznamenaná znížená pôrodná hmotnosť šteniat. U králikov sa vyskytol jeden potrat pri dávke 32 mg/kg/deň. U samcov potkanov liečených intravenózne počas 9 týždňov bola dokázaná </w:t>
      </w:r>
      <w:proofErr w:type="spellStart"/>
      <w:r w:rsidRPr="00D369C9">
        <w:rPr>
          <w:sz w:val="22"/>
          <w:szCs w:val="22"/>
          <w:lang w:val="sk-SK"/>
        </w:rPr>
        <w:t>vakuolizácia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epiteliálnych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duktálnych</w:t>
      </w:r>
      <w:proofErr w:type="spellEnd"/>
      <w:r w:rsidRPr="00D369C9">
        <w:rPr>
          <w:sz w:val="22"/>
          <w:szCs w:val="22"/>
          <w:lang w:val="sk-SK"/>
        </w:rPr>
        <w:t xml:space="preserve"> buniek </w:t>
      </w:r>
      <w:proofErr w:type="spellStart"/>
      <w:r w:rsidRPr="00D369C9">
        <w:rPr>
          <w:sz w:val="22"/>
          <w:szCs w:val="22"/>
          <w:lang w:val="sk-SK"/>
        </w:rPr>
        <w:t>nadsemenníkov</w:t>
      </w:r>
      <w:proofErr w:type="spellEnd"/>
      <w:r w:rsidRPr="00D369C9">
        <w:rPr>
          <w:sz w:val="22"/>
          <w:szCs w:val="22"/>
          <w:lang w:val="sk-SK"/>
        </w:rPr>
        <w:t xml:space="preserve">, zvýšenie hmotnosti </w:t>
      </w:r>
      <w:proofErr w:type="spellStart"/>
      <w:r w:rsidRPr="00D369C9">
        <w:rPr>
          <w:sz w:val="22"/>
          <w:szCs w:val="22"/>
          <w:lang w:val="sk-SK"/>
        </w:rPr>
        <w:t>nadsemenníkov</w:t>
      </w:r>
      <w:proofErr w:type="spellEnd"/>
      <w:r w:rsidRPr="00D369C9">
        <w:rPr>
          <w:sz w:val="22"/>
          <w:szCs w:val="22"/>
          <w:lang w:val="sk-SK"/>
        </w:rPr>
        <w:t xml:space="preserve"> a zníženie počtu spermií (o 15%), hoci v štúdiách trvajúcich 13 a 26 týždňov sa tieto zmeny neobjavili. U dospelých psov sa dokázala atrofia semenovodov s </w:t>
      </w:r>
      <w:proofErr w:type="spellStart"/>
      <w:r w:rsidRPr="00D369C9">
        <w:rPr>
          <w:sz w:val="22"/>
          <w:szCs w:val="22"/>
          <w:lang w:val="sk-SK"/>
        </w:rPr>
        <w:t>vakuolizáciou</w:t>
      </w:r>
      <w:proofErr w:type="spellEnd"/>
      <w:r w:rsidRPr="00D369C9">
        <w:rPr>
          <w:sz w:val="22"/>
          <w:szCs w:val="22"/>
          <w:lang w:val="sk-SK"/>
        </w:rPr>
        <w:t xml:space="preserve"> epitelu semenovodov a zníženie počtu spermií v </w:t>
      </w:r>
      <w:proofErr w:type="spellStart"/>
      <w:r w:rsidRPr="00D369C9">
        <w:rPr>
          <w:sz w:val="22"/>
          <w:szCs w:val="22"/>
          <w:lang w:val="sk-SK"/>
        </w:rPr>
        <w:t>nadsemenníkoch</w:t>
      </w:r>
      <w:proofErr w:type="spellEnd"/>
      <w:r w:rsidRPr="00D369C9">
        <w:rPr>
          <w:sz w:val="22"/>
          <w:szCs w:val="22"/>
          <w:lang w:val="sk-SK"/>
        </w:rPr>
        <w:t xml:space="preserve"> počas predĺženej liečby (39 týždňov), ale nie po 13-týždňovej liečbe. U mladých psov liečba trvajúca 39 týždňov nevyvolala dávkovo závislý vznik lézií v semenníkoch a </w:t>
      </w:r>
      <w:proofErr w:type="spellStart"/>
      <w:r w:rsidRPr="00D369C9">
        <w:rPr>
          <w:sz w:val="22"/>
          <w:szCs w:val="22"/>
          <w:lang w:val="sk-SK"/>
        </w:rPr>
        <w:t>nadsemenníkoch</w:t>
      </w:r>
      <w:proofErr w:type="spellEnd"/>
      <w:r w:rsidRPr="00D369C9">
        <w:rPr>
          <w:sz w:val="22"/>
          <w:szCs w:val="22"/>
          <w:lang w:val="sk-SK"/>
        </w:rPr>
        <w:t xml:space="preserve"> na konci liečby, ale v období bez liečby trvajúcom 13 týždňov bolo v skupine zotavujúcej sa po liečbe pozorované dávkovo závislé zvýšenie počtu lézií. V štúdii </w:t>
      </w:r>
      <w:proofErr w:type="spellStart"/>
      <w:r w:rsidRPr="00D369C9">
        <w:rPr>
          <w:sz w:val="22"/>
          <w:szCs w:val="22"/>
          <w:lang w:val="sk-SK"/>
        </w:rPr>
        <w:t>fertility</w:t>
      </w:r>
      <w:proofErr w:type="spellEnd"/>
      <w:r w:rsidRPr="00D369C9">
        <w:rPr>
          <w:sz w:val="22"/>
          <w:szCs w:val="22"/>
          <w:lang w:val="sk-SK"/>
        </w:rPr>
        <w:t xml:space="preserve"> a skorého embryonálneho vývinu u potkanov nebolo zaznamenané žiadne zhoršenie samčej ani samičej </w:t>
      </w:r>
      <w:proofErr w:type="spellStart"/>
      <w:r w:rsidRPr="00D369C9">
        <w:rPr>
          <w:sz w:val="22"/>
          <w:szCs w:val="22"/>
          <w:lang w:val="sk-SK"/>
        </w:rPr>
        <w:t>fertility</w:t>
      </w:r>
      <w:proofErr w:type="spellEnd"/>
      <w:r w:rsidRPr="00D369C9">
        <w:rPr>
          <w:sz w:val="22"/>
          <w:szCs w:val="22"/>
          <w:lang w:val="sk-SK"/>
        </w:rPr>
        <w:t xml:space="preserve">. </w:t>
      </w:r>
    </w:p>
    <w:p w14:paraId="798124EB" w14:textId="77777777" w:rsidR="00A71865" w:rsidRPr="00D369C9" w:rsidRDefault="00A71865" w:rsidP="00A71865">
      <w:pPr>
        <w:jc w:val="both"/>
        <w:rPr>
          <w:szCs w:val="22"/>
        </w:rPr>
      </w:pPr>
    </w:p>
    <w:p w14:paraId="6A724BB9" w14:textId="097C8FF2" w:rsidR="00780926" w:rsidRPr="00D369C9" w:rsidRDefault="003A6469" w:rsidP="00A71865">
      <w:pPr>
        <w:ind w:left="0" w:firstLine="0"/>
        <w:jc w:val="both"/>
        <w:rPr>
          <w:szCs w:val="22"/>
        </w:rPr>
      </w:pPr>
      <w:r w:rsidRPr="00D369C9">
        <w:rPr>
          <w:szCs w:val="22"/>
        </w:rPr>
        <w:t xml:space="preserve">V štandardnom súbore testov </w:t>
      </w:r>
      <w:r w:rsidRPr="00D369C9">
        <w:rPr>
          <w:i/>
          <w:iCs/>
          <w:szCs w:val="22"/>
        </w:rPr>
        <w:t xml:space="preserve">in vitro </w:t>
      </w:r>
      <w:r w:rsidRPr="00D369C9">
        <w:rPr>
          <w:szCs w:val="22"/>
        </w:rPr>
        <w:t xml:space="preserve">a </w:t>
      </w:r>
      <w:r w:rsidRPr="00D369C9">
        <w:rPr>
          <w:i/>
          <w:iCs/>
          <w:szCs w:val="22"/>
        </w:rPr>
        <w:t xml:space="preserve">in </w:t>
      </w:r>
      <w:proofErr w:type="spellStart"/>
      <w:r w:rsidRPr="00D369C9">
        <w:rPr>
          <w:i/>
          <w:iCs/>
          <w:szCs w:val="22"/>
        </w:rPr>
        <w:t>vivo</w:t>
      </w:r>
      <w:proofErr w:type="spellEnd"/>
      <w:r w:rsidRPr="00D369C9">
        <w:rPr>
          <w:szCs w:val="22"/>
        </w:rPr>
        <w:t xml:space="preserve">, vrátane štúdie </w:t>
      </w:r>
      <w:r w:rsidRPr="00D369C9">
        <w:rPr>
          <w:i/>
          <w:iCs/>
          <w:szCs w:val="22"/>
        </w:rPr>
        <w:t xml:space="preserve">in vitro </w:t>
      </w:r>
      <w:r w:rsidRPr="00D369C9">
        <w:rPr>
          <w:szCs w:val="22"/>
        </w:rPr>
        <w:t xml:space="preserve">zameranej na test neplánovanej syntézy DNA s použitím potkaních </w:t>
      </w:r>
      <w:proofErr w:type="spellStart"/>
      <w:r w:rsidRPr="00D369C9">
        <w:rPr>
          <w:szCs w:val="22"/>
        </w:rPr>
        <w:t>hepatocytov</w:t>
      </w:r>
      <w:proofErr w:type="spellEnd"/>
      <w:r w:rsidRPr="00D369C9">
        <w:rPr>
          <w:szCs w:val="22"/>
        </w:rPr>
        <w:t xml:space="preserve">, nepreukázal </w:t>
      </w:r>
      <w:proofErr w:type="spellStart"/>
      <w:r w:rsidRPr="00D369C9">
        <w:rPr>
          <w:szCs w:val="22"/>
        </w:rPr>
        <w:t>mikafungín</w:t>
      </w:r>
      <w:proofErr w:type="spellEnd"/>
      <w:r w:rsidRPr="00D369C9">
        <w:rPr>
          <w:szCs w:val="22"/>
        </w:rPr>
        <w:t xml:space="preserve"> mutagénny, ani </w:t>
      </w:r>
      <w:proofErr w:type="spellStart"/>
      <w:r w:rsidRPr="00D369C9">
        <w:rPr>
          <w:szCs w:val="22"/>
        </w:rPr>
        <w:t>klastogénny</w:t>
      </w:r>
      <w:proofErr w:type="spellEnd"/>
      <w:r w:rsidRPr="00D369C9">
        <w:rPr>
          <w:szCs w:val="22"/>
        </w:rPr>
        <w:t xml:space="preserve"> potenciál.</w:t>
      </w:r>
    </w:p>
    <w:p w14:paraId="3DCFD7E4" w14:textId="77777777" w:rsidR="00E1698A" w:rsidRDefault="00E1698A" w:rsidP="00E41B3F">
      <w:pPr>
        <w:rPr>
          <w:szCs w:val="22"/>
        </w:rPr>
      </w:pPr>
    </w:p>
    <w:p w14:paraId="2CFCE4EC" w14:textId="77777777" w:rsidR="007A090E" w:rsidRPr="00D369C9" w:rsidRDefault="007A090E" w:rsidP="00E41B3F">
      <w:pPr>
        <w:rPr>
          <w:szCs w:val="22"/>
        </w:rPr>
      </w:pPr>
    </w:p>
    <w:p w14:paraId="699A1DF1" w14:textId="77777777" w:rsidR="00780926" w:rsidRPr="00D369C9" w:rsidRDefault="00386B19" w:rsidP="00E41B3F">
      <w:pPr>
        <w:rPr>
          <w:b/>
          <w:szCs w:val="22"/>
        </w:rPr>
      </w:pPr>
      <w:r w:rsidRPr="00D369C9">
        <w:rPr>
          <w:b/>
          <w:szCs w:val="22"/>
        </w:rPr>
        <w:t>6.</w:t>
      </w:r>
      <w:r w:rsidRPr="00D369C9">
        <w:rPr>
          <w:b/>
          <w:szCs w:val="22"/>
        </w:rPr>
        <w:tab/>
        <w:t>FARMACEUTICKÉ INFORMÁCIE</w:t>
      </w:r>
    </w:p>
    <w:p w14:paraId="587B97C4" w14:textId="77777777" w:rsidR="00780926" w:rsidRPr="00D369C9" w:rsidRDefault="00780926" w:rsidP="00E41B3F">
      <w:pPr>
        <w:rPr>
          <w:szCs w:val="22"/>
        </w:rPr>
      </w:pPr>
    </w:p>
    <w:p w14:paraId="187A25A7" w14:textId="77777777" w:rsidR="00780926" w:rsidRPr="00D369C9" w:rsidRDefault="00386B19" w:rsidP="00E41B3F">
      <w:pPr>
        <w:rPr>
          <w:szCs w:val="22"/>
        </w:rPr>
      </w:pPr>
      <w:r w:rsidRPr="00D369C9">
        <w:rPr>
          <w:b/>
          <w:szCs w:val="22"/>
        </w:rPr>
        <w:t>6.1</w:t>
      </w:r>
      <w:r w:rsidRPr="00D369C9">
        <w:rPr>
          <w:b/>
          <w:szCs w:val="22"/>
        </w:rPr>
        <w:tab/>
        <w:t>Zoznam pomocných látok</w:t>
      </w:r>
    </w:p>
    <w:p w14:paraId="21033D47" w14:textId="77777777" w:rsidR="00780926" w:rsidRPr="00D369C9" w:rsidRDefault="00780926" w:rsidP="00E41B3F"/>
    <w:p w14:paraId="14529CD2" w14:textId="77777777" w:rsidR="003A6469" w:rsidRPr="00D369C9" w:rsidRDefault="003A6469" w:rsidP="00A71865">
      <w:pPr>
        <w:pStyle w:val="Default"/>
        <w:ind w:right="-2"/>
        <w:jc w:val="both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lang w:val="sk-SK"/>
        </w:rPr>
        <w:t>Monohydrát</w:t>
      </w:r>
      <w:proofErr w:type="spellEnd"/>
      <w:r w:rsidRPr="00D369C9">
        <w:rPr>
          <w:sz w:val="22"/>
          <w:szCs w:val="22"/>
          <w:lang w:val="sk-SK"/>
        </w:rPr>
        <w:t xml:space="preserve"> laktózy </w:t>
      </w:r>
    </w:p>
    <w:p w14:paraId="4056D777" w14:textId="77777777" w:rsidR="003A6469" w:rsidRPr="00D369C9" w:rsidRDefault="003A6469" w:rsidP="00A71865">
      <w:pPr>
        <w:pStyle w:val="Default"/>
        <w:ind w:right="-2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Kyselina citrónová</w:t>
      </w:r>
      <w:r w:rsidR="00B11FF5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>(</w:t>
      </w:r>
      <w:r w:rsidR="00A71865" w:rsidRPr="00D369C9">
        <w:rPr>
          <w:sz w:val="22"/>
          <w:szCs w:val="22"/>
          <w:lang w:val="sk-SK"/>
        </w:rPr>
        <w:t xml:space="preserve">na </w:t>
      </w:r>
      <w:r w:rsidRPr="00D369C9">
        <w:rPr>
          <w:sz w:val="22"/>
          <w:szCs w:val="22"/>
          <w:lang w:val="sk-SK"/>
        </w:rPr>
        <w:t>úprav</w:t>
      </w:r>
      <w:r w:rsidR="00A71865" w:rsidRPr="00D369C9">
        <w:rPr>
          <w:sz w:val="22"/>
          <w:szCs w:val="22"/>
          <w:lang w:val="sk-SK"/>
        </w:rPr>
        <w:t>u</w:t>
      </w:r>
      <w:r w:rsidRPr="00D369C9">
        <w:rPr>
          <w:sz w:val="22"/>
          <w:szCs w:val="22"/>
          <w:lang w:val="sk-SK"/>
        </w:rPr>
        <w:t xml:space="preserve"> pH) </w:t>
      </w:r>
    </w:p>
    <w:p w14:paraId="5E94CC64" w14:textId="77777777" w:rsidR="00780926" w:rsidRPr="00D369C9" w:rsidRDefault="003A6469" w:rsidP="00A71865">
      <w:pPr>
        <w:jc w:val="both"/>
        <w:rPr>
          <w:szCs w:val="22"/>
        </w:rPr>
      </w:pPr>
      <w:r w:rsidRPr="00D369C9">
        <w:rPr>
          <w:szCs w:val="22"/>
        </w:rPr>
        <w:t>Hydroxid sodný (</w:t>
      </w:r>
      <w:r w:rsidR="00A71865" w:rsidRPr="00D369C9">
        <w:rPr>
          <w:szCs w:val="22"/>
        </w:rPr>
        <w:t>na úpravu</w:t>
      </w:r>
      <w:r w:rsidRPr="00D369C9">
        <w:rPr>
          <w:szCs w:val="22"/>
        </w:rPr>
        <w:t xml:space="preserve"> pH)</w:t>
      </w:r>
    </w:p>
    <w:p w14:paraId="0D720235" w14:textId="77777777" w:rsidR="003A6469" w:rsidRPr="00D369C9" w:rsidRDefault="003A6469" w:rsidP="003A6469">
      <w:pPr>
        <w:rPr>
          <w:szCs w:val="22"/>
        </w:rPr>
      </w:pPr>
    </w:p>
    <w:p w14:paraId="69CB519D" w14:textId="77777777" w:rsidR="00780926" w:rsidRPr="00D369C9" w:rsidRDefault="00386B19" w:rsidP="00E41B3F">
      <w:pPr>
        <w:rPr>
          <w:szCs w:val="22"/>
        </w:rPr>
      </w:pPr>
      <w:r w:rsidRPr="00D369C9">
        <w:rPr>
          <w:b/>
          <w:szCs w:val="22"/>
        </w:rPr>
        <w:t>6.2</w:t>
      </w:r>
      <w:r w:rsidRPr="00D369C9">
        <w:rPr>
          <w:b/>
          <w:szCs w:val="22"/>
        </w:rPr>
        <w:tab/>
        <w:t>Inkompatibility</w:t>
      </w:r>
    </w:p>
    <w:p w14:paraId="3806F43D" w14:textId="77777777" w:rsidR="00780926" w:rsidRPr="00D369C9" w:rsidRDefault="00780926" w:rsidP="00E41B3F">
      <w:pPr>
        <w:rPr>
          <w:szCs w:val="22"/>
        </w:rPr>
      </w:pPr>
    </w:p>
    <w:p w14:paraId="7DD499D4" w14:textId="0AAAFE53" w:rsidR="00780926" w:rsidRPr="00D369C9" w:rsidRDefault="003A6469" w:rsidP="00A71865">
      <w:pPr>
        <w:ind w:left="0" w:firstLine="0"/>
        <w:jc w:val="both"/>
        <w:rPr>
          <w:szCs w:val="22"/>
        </w:rPr>
      </w:pPr>
      <w:r w:rsidRPr="00D369C9">
        <w:rPr>
          <w:szCs w:val="22"/>
        </w:rPr>
        <w:t xml:space="preserve">Tento liek sa nesmie miešať alebo </w:t>
      </w:r>
      <w:r w:rsidR="000740C0">
        <w:rPr>
          <w:szCs w:val="22"/>
        </w:rPr>
        <w:t xml:space="preserve">súbežne </w:t>
      </w:r>
      <w:r w:rsidRPr="00D369C9">
        <w:rPr>
          <w:szCs w:val="22"/>
        </w:rPr>
        <w:t xml:space="preserve">podávať </w:t>
      </w:r>
      <w:r w:rsidR="000740C0">
        <w:rPr>
          <w:szCs w:val="22"/>
        </w:rPr>
        <w:t xml:space="preserve">v infúzii </w:t>
      </w:r>
      <w:r w:rsidRPr="00D369C9">
        <w:rPr>
          <w:szCs w:val="22"/>
        </w:rPr>
        <w:t>s inými liekmi okrem tých, ktoré sú uvedené v časti 6.6.</w:t>
      </w:r>
    </w:p>
    <w:p w14:paraId="601E59C4" w14:textId="77777777" w:rsidR="003A6469" w:rsidRPr="00D369C9" w:rsidRDefault="003A6469" w:rsidP="00A71865">
      <w:pPr>
        <w:jc w:val="both"/>
        <w:rPr>
          <w:szCs w:val="22"/>
        </w:rPr>
      </w:pPr>
    </w:p>
    <w:p w14:paraId="0766A8DF" w14:textId="77777777" w:rsidR="00780926" w:rsidRPr="00D369C9" w:rsidRDefault="00386B19" w:rsidP="00D513D2">
      <w:pPr>
        <w:rPr>
          <w:szCs w:val="22"/>
        </w:rPr>
      </w:pPr>
      <w:r w:rsidRPr="00D369C9">
        <w:rPr>
          <w:b/>
          <w:szCs w:val="22"/>
        </w:rPr>
        <w:t>6.3</w:t>
      </w:r>
      <w:r w:rsidRPr="00D369C9">
        <w:rPr>
          <w:b/>
          <w:szCs w:val="22"/>
        </w:rPr>
        <w:tab/>
        <w:t>Čas použiteľnosti</w:t>
      </w:r>
    </w:p>
    <w:p w14:paraId="08691F5F" w14:textId="77777777" w:rsidR="00780926" w:rsidRPr="00D369C9" w:rsidRDefault="00780926" w:rsidP="00B13F68">
      <w:pPr>
        <w:rPr>
          <w:szCs w:val="22"/>
        </w:rPr>
      </w:pPr>
    </w:p>
    <w:p w14:paraId="43E5475E" w14:textId="77777777" w:rsidR="003A6469" w:rsidRPr="00D369C9" w:rsidRDefault="003A6469" w:rsidP="00A71865">
      <w:pPr>
        <w:pStyle w:val="Default"/>
        <w:ind w:right="-2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Neotvorená injekčná liekovka: 3</w:t>
      </w:r>
      <w:r w:rsidR="00B11FF5">
        <w:rPr>
          <w:sz w:val="22"/>
          <w:szCs w:val="22"/>
          <w:lang w:val="sk-SK"/>
        </w:rPr>
        <w:t>0</w:t>
      </w:r>
      <w:r w:rsidRPr="00D369C9">
        <w:rPr>
          <w:sz w:val="22"/>
          <w:szCs w:val="22"/>
          <w:lang w:val="sk-SK"/>
        </w:rPr>
        <w:t xml:space="preserve"> </w:t>
      </w:r>
      <w:r w:rsidR="00A71865" w:rsidRPr="00D369C9">
        <w:rPr>
          <w:sz w:val="22"/>
          <w:szCs w:val="22"/>
          <w:lang w:val="sk-SK"/>
        </w:rPr>
        <w:t>mesiacov.</w:t>
      </w:r>
    </w:p>
    <w:p w14:paraId="4DEFC268" w14:textId="77777777" w:rsidR="00A71865" w:rsidRPr="00D369C9" w:rsidRDefault="00A71865" w:rsidP="00A71865">
      <w:pPr>
        <w:pStyle w:val="Default"/>
        <w:ind w:right="-2"/>
        <w:jc w:val="both"/>
        <w:rPr>
          <w:sz w:val="22"/>
          <w:szCs w:val="22"/>
          <w:lang w:val="sk-SK"/>
        </w:rPr>
      </w:pPr>
    </w:p>
    <w:p w14:paraId="0201E0C8" w14:textId="77777777" w:rsidR="003A6469" w:rsidRPr="00D369C9" w:rsidRDefault="003A6469" w:rsidP="00A71865">
      <w:pPr>
        <w:pStyle w:val="Default"/>
        <w:ind w:right="-2"/>
        <w:jc w:val="both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 xml:space="preserve">Rekonštituovaný </w:t>
      </w:r>
      <w:r w:rsidR="00A71865" w:rsidRPr="00D369C9">
        <w:rPr>
          <w:sz w:val="22"/>
          <w:szCs w:val="22"/>
          <w:u w:val="single"/>
          <w:lang w:val="sk-SK"/>
        </w:rPr>
        <w:t>koncentrát v injekčnej liekovke</w:t>
      </w:r>
    </w:p>
    <w:p w14:paraId="1D1919B2" w14:textId="4ED8704E" w:rsidR="003A6469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Chemická a fyzikálna stabilita pripraveného koncentrátu je </w:t>
      </w:r>
      <w:r w:rsidR="00AB4AE7">
        <w:rPr>
          <w:sz w:val="22"/>
          <w:szCs w:val="22"/>
          <w:lang w:val="sk-SK"/>
        </w:rPr>
        <w:t>24</w:t>
      </w:r>
      <w:r w:rsidRPr="00D369C9">
        <w:rPr>
          <w:sz w:val="22"/>
          <w:szCs w:val="22"/>
          <w:lang w:val="sk-SK"/>
        </w:rPr>
        <w:t xml:space="preserve"> hodín pri 25</w:t>
      </w:r>
      <w:r w:rsidR="00A71865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 xml:space="preserve">ºC po rekonštitúcii s infúznym roztokom chloridu sodného </w:t>
      </w:r>
      <w:r w:rsidR="00E9119A">
        <w:rPr>
          <w:sz w:val="22"/>
          <w:szCs w:val="22"/>
          <w:lang w:val="sk-SK"/>
        </w:rPr>
        <w:t xml:space="preserve">9 mg/ml (0,9 %) </w:t>
      </w:r>
      <w:r w:rsidRPr="00D369C9">
        <w:rPr>
          <w:sz w:val="22"/>
          <w:szCs w:val="22"/>
          <w:lang w:val="sk-SK"/>
        </w:rPr>
        <w:t>alebo infúznym roztokom</w:t>
      </w:r>
      <w:r w:rsidR="00AB4AE7">
        <w:rPr>
          <w:sz w:val="22"/>
          <w:szCs w:val="22"/>
          <w:lang w:val="sk-SK"/>
        </w:rPr>
        <w:t xml:space="preserve"> </w:t>
      </w:r>
      <w:r w:rsidR="00AB4AE7" w:rsidRPr="00D369C9">
        <w:rPr>
          <w:sz w:val="22"/>
          <w:szCs w:val="22"/>
          <w:lang w:val="sk-SK"/>
        </w:rPr>
        <w:t>glukózy</w:t>
      </w:r>
      <w:r w:rsidR="00E9119A">
        <w:rPr>
          <w:sz w:val="22"/>
          <w:szCs w:val="22"/>
          <w:lang w:val="sk-SK"/>
        </w:rPr>
        <w:t xml:space="preserve"> 50 mg/ml (5 %)</w:t>
      </w:r>
      <w:r w:rsidRPr="00D369C9">
        <w:rPr>
          <w:sz w:val="22"/>
          <w:szCs w:val="22"/>
          <w:lang w:val="sk-SK"/>
        </w:rPr>
        <w:t xml:space="preserve">. </w:t>
      </w:r>
    </w:p>
    <w:p w14:paraId="66FB8E9E" w14:textId="77777777" w:rsidR="00A71865" w:rsidRPr="00D369C9" w:rsidRDefault="00A71865" w:rsidP="00A71865">
      <w:pPr>
        <w:pStyle w:val="Default"/>
        <w:ind w:right="-2"/>
        <w:jc w:val="both"/>
        <w:rPr>
          <w:sz w:val="22"/>
          <w:szCs w:val="22"/>
          <w:lang w:val="sk-SK"/>
        </w:rPr>
      </w:pPr>
    </w:p>
    <w:p w14:paraId="5B9B22C8" w14:textId="77777777" w:rsidR="003A6469" w:rsidRPr="00D369C9" w:rsidRDefault="00A71865" w:rsidP="00A71865">
      <w:pPr>
        <w:pStyle w:val="Default"/>
        <w:ind w:right="-2"/>
        <w:jc w:val="both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Zriedený infúzny roztok</w:t>
      </w:r>
    </w:p>
    <w:p w14:paraId="69923542" w14:textId="2C93F128" w:rsidR="003A6469" w:rsidRPr="00D369C9" w:rsidRDefault="003A6469" w:rsidP="00A71865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Chemická a fyzikálna stabilita pripraveného koncentrátu je </w:t>
      </w:r>
      <w:r w:rsidR="00B46730">
        <w:rPr>
          <w:sz w:val="22"/>
          <w:szCs w:val="22"/>
          <w:lang w:val="sk-SK"/>
        </w:rPr>
        <w:t>24</w:t>
      </w:r>
      <w:r w:rsidRPr="00D369C9">
        <w:rPr>
          <w:sz w:val="22"/>
          <w:szCs w:val="22"/>
          <w:lang w:val="sk-SK"/>
        </w:rPr>
        <w:t xml:space="preserve"> hodín pri 25</w:t>
      </w:r>
      <w:r w:rsidR="00A71865" w:rsidRP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ºC, ak je chránený pred svetlom po riedení</w:t>
      </w:r>
      <w:r w:rsidR="00B46730" w:rsidRPr="00D369C9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>infúznym roztokom chloridu sodného</w:t>
      </w:r>
      <w:r w:rsidR="00BA246A">
        <w:rPr>
          <w:sz w:val="22"/>
          <w:szCs w:val="22"/>
          <w:lang w:val="sk-SK"/>
        </w:rPr>
        <w:t xml:space="preserve"> 9 mg/ml (0,9 %) </w:t>
      </w:r>
      <w:r w:rsidRPr="00D369C9">
        <w:rPr>
          <w:sz w:val="22"/>
          <w:szCs w:val="22"/>
          <w:lang w:val="sk-SK"/>
        </w:rPr>
        <w:t xml:space="preserve"> alebo</w:t>
      </w:r>
      <w:r w:rsidR="00B46730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>infúznym roztok</w:t>
      </w:r>
      <w:r w:rsidR="00A71865" w:rsidRPr="00D369C9">
        <w:rPr>
          <w:sz w:val="22"/>
          <w:szCs w:val="22"/>
          <w:lang w:val="sk-SK"/>
        </w:rPr>
        <w:t>om glukózy</w:t>
      </w:r>
      <w:r w:rsidR="00BA246A">
        <w:rPr>
          <w:sz w:val="22"/>
          <w:szCs w:val="22"/>
          <w:lang w:val="sk-SK"/>
        </w:rPr>
        <w:t xml:space="preserve"> 50 mg/ml (5 %)</w:t>
      </w:r>
      <w:r w:rsidR="00A71865" w:rsidRPr="00D369C9">
        <w:rPr>
          <w:sz w:val="22"/>
          <w:szCs w:val="22"/>
          <w:lang w:val="sk-SK"/>
        </w:rPr>
        <w:t>.</w:t>
      </w:r>
    </w:p>
    <w:p w14:paraId="291226AE" w14:textId="77777777" w:rsidR="00A71865" w:rsidRPr="00D369C9" w:rsidRDefault="00A71865" w:rsidP="00A71865">
      <w:pPr>
        <w:pStyle w:val="Default"/>
        <w:jc w:val="both"/>
        <w:rPr>
          <w:sz w:val="22"/>
          <w:szCs w:val="22"/>
          <w:lang w:val="sk-SK"/>
        </w:rPr>
      </w:pPr>
    </w:p>
    <w:p w14:paraId="3862A4CC" w14:textId="429753B0" w:rsidR="00780926" w:rsidRPr="00D369C9" w:rsidRDefault="003A6469" w:rsidP="00A71865">
      <w:pPr>
        <w:ind w:left="0" w:firstLine="0"/>
        <w:jc w:val="both"/>
        <w:rPr>
          <w:szCs w:val="22"/>
        </w:rPr>
      </w:pPr>
      <w:r w:rsidRPr="00D369C9">
        <w:rPr>
          <w:szCs w:val="22"/>
        </w:rPr>
        <w:t xml:space="preserve">Z mikrobiologického hľadiska sa má rekonštituovaný a zriedený roztok použiť okamžite. Ak sa nepoužije okamžite, za </w:t>
      </w:r>
      <w:r w:rsidR="00344ECE">
        <w:rPr>
          <w:szCs w:val="22"/>
        </w:rPr>
        <w:t>čas</w:t>
      </w:r>
      <w:r w:rsidRPr="00D369C9">
        <w:rPr>
          <w:szCs w:val="22"/>
        </w:rPr>
        <w:t xml:space="preserve"> a podmienky uchovávania pred použitím zodpovedá používateľ a</w:t>
      </w:r>
      <w:r w:rsidR="00344ECE">
        <w:rPr>
          <w:szCs w:val="22"/>
        </w:rPr>
        <w:t> obvykle</w:t>
      </w:r>
      <w:r w:rsidRPr="00D369C9">
        <w:rPr>
          <w:szCs w:val="22"/>
        </w:rPr>
        <w:t xml:space="preserve"> nemajú byť dlhšie ako 24 hodín pri 2 </w:t>
      </w:r>
      <w:r w:rsidR="00B46730">
        <w:rPr>
          <w:szCs w:val="22"/>
        </w:rPr>
        <w:t>–</w:t>
      </w:r>
      <w:r w:rsidRPr="00D369C9">
        <w:rPr>
          <w:szCs w:val="22"/>
        </w:rPr>
        <w:t xml:space="preserve"> 8</w:t>
      </w:r>
      <w:r w:rsidR="00A71865" w:rsidRPr="00D369C9">
        <w:rPr>
          <w:szCs w:val="22"/>
        </w:rPr>
        <w:t> </w:t>
      </w:r>
      <w:r w:rsidRPr="00D369C9">
        <w:rPr>
          <w:szCs w:val="22"/>
        </w:rPr>
        <w:t>ºC.</w:t>
      </w:r>
    </w:p>
    <w:p w14:paraId="3B58F9CE" w14:textId="77777777" w:rsidR="003A6469" w:rsidRPr="00D369C9" w:rsidRDefault="003A6469" w:rsidP="003A6469"/>
    <w:p w14:paraId="5F74298D" w14:textId="77777777" w:rsidR="00780926" w:rsidRPr="00D369C9" w:rsidRDefault="00386B19" w:rsidP="00B13F68">
      <w:pPr>
        <w:rPr>
          <w:szCs w:val="22"/>
        </w:rPr>
      </w:pPr>
      <w:r w:rsidRPr="00D369C9">
        <w:rPr>
          <w:b/>
          <w:szCs w:val="22"/>
        </w:rPr>
        <w:t>6.4</w:t>
      </w:r>
      <w:r w:rsidRPr="00D369C9">
        <w:rPr>
          <w:b/>
          <w:szCs w:val="22"/>
        </w:rPr>
        <w:tab/>
      </w:r>
      <w:r w:rsidRPr="00091BEB">
        <w:rPr>
          <w:b/>
          <w:szCs w:val="22"/>
        </w:rPr>
        <w:t>Špeciálne upozornenia na uchovávanie</w:t>
      </w:r>
    </w:p>
    <w:p w14:paraId="066AFEA3" w14:textId="77777777" w:rsidR="00780926" w:rsidRPr="00D369C9" w:rsidRDefault="00780926" w:rsidP="002F4F63">
      <w:pPr>
        <w:jc w:val="both"/>
      </w:pPr>
    </w:p>
    <w:p w14:paraId="51B762B8" w14:textId="77777777" w:rsidR="003A6469" w:rsidRPr="00D369C9" w:rsidRDefault="00A71865" w:rsidP="002F4F63">
      <w:pPr>
        <w:pStyle w:val="Default"/>
        <w:jc w:val="both"/>
        <w:rPr>
          <w:sz w:val="22"/>
          <w:szCs w:val="22"/>
          <w:u w:val="single"/>
          <w:lang w:val="sk-SK"/>
        </w:rPr>
      </w:pPr>
      <w:r w:rsidRPr="00D369C9">
        <w:rPr>
          <w:sz w:val="22"/>
          <w:szCs w:val="22"/>
          <w:u w:val="single"/>
          <w:lang w:val="sk-SK"/>
        </w:rPr>
        <w:t>Neotvorené injekčné liekovky</w:t>
      </w:r>
    </w:p>
    <w:p w14:paraId="03530CD5" w14:textId="42725DB4" w:rsidR="001E1409" w:rsidRPr="00D369C9" w:rsidRDefault="001E1409" w:rsidP="002F4F63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Uchovávajte v pôvodnom obale na ochranu pred svetlom. Liek </w:t>
      </w:r>
      <w:proofErr w:type="spellStart"/>
      <w:r w:rsidR="00091BEB" w:rsidRPr="00770398">
        <w:rPr>
          <w:rFonts w:eastAsia="SimSun"/>
          <w:sz w:val="22"/>
          <w:szCs w:val="22"/>
        </w:rPr>
        <w:t>može</w:t>
      </w:r>
      <w:proofErr w:type="spellEnd"/>
      <w:r w:rsidR="00091BEB" w:rsidRPr="00770398">
        <w:rPr>
          <w:rFonts w:eastAsia="SimSun"/>
          <w:sz w:val="22"/>
          <w:szCs w:val="22"/>
        </w:rPr>
        <w:t xml:space="preserve"> </w:t>
      </w:r>
      <w:proofErr w:type="spellStart"/>
      <w:r w:rsidR="00091BEB" w:rsidRPr="00770398">
        <w:rPr>
          <w:rFonts w:eastAsia="SimSun"/>
          <w:sz w:val="22"/>
          <w:szCs w:val="22"/>
        </w:rPr>
        <w:t>byť</w:t>
      </w:r>
      <w:proofErr w:type="spellEnd"/>
      <w:r w:rsidR="00091BEB" w:rsidRPr="00770398">
        <w:rPr>
          <w:rFonts w:eastAsia="SimSun"/>
          <w:sz w:val="22"/>
          <w:szCs w:val="22"/>
        </w:rPr>
        <w:t xml:space="preserve"> </w:t>
      </w:r>
      <w:proofErr w:type="spellStart"/>
      <w:r w:rsidR="00091BEB" w:rsidRPr="00770398">
        <w:rPr>
          <w:rFonts w:eastAsia="SimSun"/>
          <w:sz w:val="22"/>
          <w:szCs w:val="22"/>
        </w:rPr>
        <w:t>vystavený</w:t>
      </w:r>
      <w:proofErr w:type="spellEnd"/>
      <w:r w:rsidR="00091BEB" w:rsidRPr="00770398">
        <w:rPr>
          <w:rFonts w:eastAsia="SimSun"/>
          <w:sz w:val="22"/>
          <w:szCs w:val="22"/>
        </w:rPr>
        <w:t xml:space="preserve"> </w:t>
      </w:r>
      <w:proofErr w:type="spellStart"/>
      <w:r w:rsidR="00091BEB" w:rsidRPr="00770398">
        <w:rPr>
          <w:rFonts w:eastAsia="SimSun"/>
          <w:sz w:val="22"/>
          <w:szCs w:val="22"/>
        </w:rPr>
        <w:t>priamemu</w:t>
      </w:r>
      <w:proofErr w:type="spellEnd"/>
      <w:r w:rsidR="00091BEB" w:rsidRPr="00770398">
        <w:rPr>
          <w:rFonts w:eastAsia="SimSun"/>
          <w:sz w:val="22"/>
          <w:szCs w:val="22"/>
        </w:rPr>
        <w:t xml:space="preserve"> </w:t>
      </w:r>
      <w:proofErr w:type="spellStart"/>
      <w:r w:rsidR="00091BEB" w:rsidRPr="00770398">
        <w:rPr>
          <w:rFonts w:eastAsia="SimSun"/>
          <w:sz w:val="22"/>
          <w:szCs w:val="22"/>
        </w:rPr>
        <w:t>svetlu</w:t>
      </w:r>
      <w:proofErr w:type="spellEnd"/>
      <w:r w:rsidRPr="00D369C9">
        <w:rPr>
          <w:sz w:val="22"/>
          <w:szCs w:val="22"/>
          <w:lang w:val="sk-SK"/>
        </w:rPr>
        <w:t xml:space="preserve"> až 60 dní (2 mesiace).</w:t>
      </w:r>
      <w:r w:rsidR="003A6469" w:rsidRPr="00D369C9">
        <w:rPr>
          <w:sz w:val="22"/>
          <w:szCs w:val="22"/>
          <w:lang w:val="sk-SK"/>
        </w:rPr>
        <w:t xml:space="preserve"> </w:t>
      </w:r>
    </w:p>
    <w:p w14:paraId="241FEEA5" w14:textId="77777777" w:rsidR="001E1409" w:rsidRPr="00D369C9" w:rsidRDefault="001E1409" w:rsidP="002F4F63">
      <w:pPr>
        <w:pStyle w:val="Default"/>
        <w:jc w:val="both"/>
        <w:rPr>
          <w:sz w:val="22"/>
          <w:szCs w:val="22"/>
          <w:lang w:val="sk-SK"/>
        </w:rPr>
      </w:pPr>
    </w:p>
    <w:p w14:paraId="7812EA4F" w14:textId="3881A945" w:rsidR="00780926" w:rsidRPr="00D369C9" w:rsidRDefault="003A6469" w:rsidP="002F4F63">
      <w:pPr>
        <w:pStyle w:val="Default"/>
        <w:jc w:val="both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Podmienky na uchovávanie po rekonštitúci</w:t>
      </w:r>
      <w:r w:rsidR="00091BEB">
        <w:rPr>
          <w:sz w:val="22"/>
          <w:szCs w:val="22"/>
          <w:lang w:val="sk-SK"/>
        </w:rPr>
        <w:t>i</w:t>
      </w:r>
      <w:r w:rsidRPr="00D369C9">
        <w:rPr>
          <w:sz w:val="22"/>
          <w:szCs w:val="22"/>
          <w:lang w:val="sk-SK"/>
        </w:rPr>
        <w:t xml:space="preserve"> a riedení lieku, pozri časť 6.3.</w:t>
      </w:r>
    </w:p>
    <w:p w14:paraId="08B3DCA7" w14:textId="77777777" w:rsidR="003A6469" w:rsidRPr="00D369C9" w:rsidRDefault="003A6469" w:rsidP="003A6469"/>
    <w:p w14:paraId="7724A132" w14:textId="77777777" w:rsidR="00780926" w:rsidRPr="00D369C9" w:rsidRDefault="00386B19" w:rsidP="00B13F68">
      <w:pPr>
        <w:rPr>
          <w:szCs w:val="22"/>
        </w:rPr>
      </w:pPr>
      <w:r w:rsidRPr="00D369C9">
        <w:rPr>
          <w:b/>
          <w:szCs w:val="22"/>
        </w:rPr>
        <w:t>6.5</w:t>
      </w:r>
      <w:r w:rsidRPr="00D369C9">
        <w:rPr>
          <w:b/>
          <w:szCs w:val="22"/>
        </w:rPr>
        <w:tab/>
        <w:t>Druh obalu a obsah balenia</w:t>
      </w:r>
      <w:r w:rsidRPr="00D369C9">
        <w:rPr>
          <w:b/>
          <w:color w:val="0000FF"/>
          <w:szCs w:val="22"/>
        </w:rPr>
        <w:t xml:space="preserve"> </w:t>
      </w:r>
    </w:p>
    <w:p w14:paraId="5348F3A6" w14:textId="77777777" w:rsidR="00780926" w:rsidRPr="00D369C9" w:rsidRDefault="00780926" w:rsidP="00B13F68">
      <w:pPr>
        <w:rPr>
          <w:szCs w:val="22"/>
        </w:rPr>
      </w:pPr>
    </w:p>
    <w:p w14:paraId="30B80424" w14:textId="5B534E8E" w:rsidR="00780926" w:rsidRPr="00D369C9" w:rsidRDefault="003A6469" w:rsidP="002F4F63">
      <w:pPr>
        <w:ind w:left="0" w:firstLine="0"/>
        <w:jc w:val="both"/>
        <w:rPr>
          <w:szCs w:val="22"/>
        </w:rPr>
      </w:pPr>
      <w:r w:rsidRPr="00D369C9">
        <w:rPr>
          <w:szCs w:val="22"/>
        </w:rPr>
        <w:t xml:space="preserve">10 ml injekčná liekovka zo skla </w:t>
      </w:r>
      <w:r w:rsidR="003D3D90">
        <w:rPr>
          <w:szCs w:val="22"/>
        </w:rPr>
        <w:t>(</w:t>
      </w:r>
      <w:r w:rsidRPr="00D369C9">
        <w:rPr>
          <w:szCs w:val="22"/>
        </w:rPr>
        <w:t>typ I</w:t>
      </w:r>
      <w:r w:rsidR="003D3D90">
        <w:rPr>
          <w:szCs w:val="22"/>
        </w:rPr>
        <w:t>)</w:t>
      </w:r>
      <w:r w:rsidR="00F40F3D">
        <w:rPr>
          <w:szCs w:val="22"/>
        </w:rPr>
        <w:t>, číra injekčná liekovka</w:t>
      </w:r>
      <w:r w:rsidRPr="00D369C9">
        <w:rPr>
          <w:szCs w:val="22"/>
        </w:rPr>
        <w:t xml:space="preserve"> </w:t>
      </w:r>
      <w:r w:rsidR="00F40F3D">
        <w:rPr>
          <w:szCs w:val="22"/>
        </w:rPr>
        <w:t>uzatvorená</w:t>
      </w:r>
      <w:r w:rsidR="003D3D90">
        <w:rPr>
          <w:szCs w:val="22"/>
        </w:rPr>
        <w:t xml:space="preserve"> šedou </w:t>
      </w:r>
      <w:r w:rsidRPr="00D369C9">
        <w:rPr>
          <w:szCs w:val="22"/>
        </w:rPr>
        <w:t>gum</w:t>
      </w:r>
      <w:r w:rsidR="001A33A1">
        <w:rPr>
          <w:szCs w:val="22"/>
        </w:rPr>
        <w:t>ovo</w:t>
      </w:r>
      <w:r w:rsidRPr="00D369C9">
        <w:rPr>
          <w:szCs w:val="22"/>
        </w:rPr>
        <w:t xml:space="preserve">u zátkou </w:t>
      </w:r>
      <w:r w:rsidR="001A33A1">
        <w:t xml:space="preserve">z </w:t>
      </w:r>
      <w:proofErr w:type="spellStart"/>
      <w:r w:rsidR="001A33A1">
        <w:t>izobutylén-izopropylénového</w:t>
      </w:r>
      <w:proofErr w:type="spellEnd"/>
      <w:r w:rsidR="001A33A1">
        <w:t xml:space="preserve"> </w:t>
      </w:r>
      <w:proofErr w:type="spellStart"/>
      <w:r w:rsidR="001A33A1">
        <w:t>kopolyméru</w:t>
      </w:r>
      <w:proofErr w:type="spellEnd"/>
      <w:r w:rsidR="001A33A1">
        <w:t xml:space="preserve"> </w:t>
      </w:r>
      <w:r w:rsidRPr="00D369C9">
        <w:rPr>
          <w:szCs w:val="22"/>
        </w:rPr>
        <w:t>a</w:t>
      </w:r>
      <w:r w:rsidR="001E1409" w:rsidRPr="00D369C9">
        <w:rPr>
          <w:szCs w:val="22"/>
        </w:rPr>
        <w:t xml:space="preserve"> hliníkové tesnenie s červeným plastovým </w:t>
      </w:r>
      <w:r w:rsidR="003F6390">
        <w:rPr>
          <w:szCs w:val="22"/>
        </w:rPr>
        <w:t xml:space="preserve">vyklápacím </w:t>
      </w:r>
      <w:r w:rsidR="001E1409" w:rsidRPr="00D369C9">
        <w:rPr>
          <w:szCs w:val="22"/>
        </w:rPr>
        <w:t xml:space="preserve"> viečkom</w:t>
      </w:r>
      <w:r w:rsidRPr="00D369C9">
        <w:rPr>
          <w:szCs w:val="22"/>
        </w:rPr>
        <w:t>. Injekčná liekovka je zabalená do UV-ochranného filmu.</w:t>
      </w:r>
    </w:p>
    <w:p w14:paraId="1E83B4F1" w14:textId="77777777" w:rsidR="001E1409" w:rsidRPr="00D369C9" w:rsidRDefault="001E1409" w:rsidP="002F4F63">
      <w:pPr>
        <w:ind w:left="0" w:firstLine="0"/>
        <w:jc w:val="both"/>
        <w:rPr>
          <w:szCs w:val="22"/>
        </w:rPr>
      </w:pPr>
    </w:p>
    <w:p w14:paraId="3DC14F8D" w14:textId="25F977BA" w:rsidR="001E1409" w:rsidRPr="00D369C9" w:rsidRDefault="002A116E" w:rsidP="002F4F63">
      <w:pPr>
        <w:ind w:left="0" w:firstLine="0"/>
        <w:jc w:val="both"/>
        <w:rPr>
          <w:szCs w:val="22"/>
        </w:rPr>
      </w:pPr>
      <w:r>
        <w:rPr>
          <w:szCs w:val="22"/>
        </w:rPr>
        <w:t>Dodáva sa</w:t>
      </w:r>
      <w:r w:rsidR="001E1409" w:rsidRPr="00D369C9">
        <w:rPr>
          <w:szCs w:val="22"/>
        </w:rPr>
        <w:t xml:space="preserve"> v balení po 1 injekčnej liekovke.</w:t>
      </w:r>
    </w:p>
    <w:p w14:paraId="3C15B16F" w14:textId="77777777" w:rsidR="003A6469" w:rsidRPr="00D369C9" w:rsidRDefault="003A6469" w:rsidP="00B13F68"/>
    <w:p w14:paraId="2744C7AB" w14:textId="77777777" w:rsidR="00780926" w:rsidRPr="00D369C9" w:rsidRDefault="00386B19" w:rsidP="00B13F68">
      <w:pPr>
        <w:rPr>
          <w:b/>
          <w:bCs/>
          <w:noProof/>
        </w:rPr>
      </w:pPr>
      <w:r w:rsidRPr="002A116E">
        <w:rPr>
          <w:b/>
          <w:szCs w:val="22"/>
        </w:rPr>
        <w:t>6.6</w:t>
      </w:r>
      <w:r w:rsidRPr="002A116E">
        <w:rPr>
          <w:b/>
          <w:szCs w:val="22"/>
        </w:rPr>
        <w:tab/>
      </w:r>
      <w:r w:rsidRPr="00FE6B74">
        <w:rPr>
          <w:b/>
          <w:bCs/>
          <w:noProof/>
        </w:rPr>
        <w:t>Špeciálne opatrenia na likvidáciu</w:t>
      </w:r>
      <w:r w:rsidRPr="006344BF">
        <w:rPr>
          <w:b/>
          <w:szCs w:val="22"/>
        </w:rPr>
        <w:t xml:space="preserve"> </w:t>
      </w:r>
      <w:r w:rsidRPr="006344BF">
        <w:rPr>
          <w:b/>
          <w:bCs/>
          <w:noProof/>
        </w:rPr>
        <w:t>a iné zaobchádzanie s</w:t>
      </w:r>
      <w:r w:rsidR="00FA099B" w:rsidRPr="006344BF">
        <w:rPr>
          <w:b/>
          <w:bCs/>
          <w:noProof/>
        </w:rPr>
        <w:t> </w:t>
      </w:r>
      <w:r w:rsidR="001E1409" w:rsidRPr="006344BF">
        <w:rPr>
          <w:b/>
          <w:bCs/>
          <w:noProof/>
        </w:rPr>
        <w:t>liekom</w:t>
      </w:r>
    </w:p>
    <w:p w14:paraId="14ACA485" w14:textId="77777777" w:rsidR="00780926" w:rsidRPr="00D369C9" w:rsidRDefault="00780926" w:rsidP="00B13F68">
      <w:pPr>
        <w:rPr>
          <w:bCs/>
          <w:noProof/>
        </w:rPr>
      </w:pPr>
    </w:p>
    <w:p w14:paraId="3E303B0A" w14:textId="484B7205" w:rsidR="003A6469" w:rsidRDefault="002F4F63" w:rsidP="003A6469">
      <w:pPr>
        <w:pStyle w:val="Default"/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Všetok nepoužitý liek alebo odpad vzniknutý z lieku </w:t>
      </w:r>
      <w:r w:rsidR="006344BF">
        <w:rPr>
          <w:sz w:val="22"/>
          <w:szCs w:val="22"/>
          <w:lang w:val="sk-SK"/>
        </w:rPr>
        <w:t xml:space="preserve">sa </w:t>
      </w:r>
      <w:r w:rsidRPr="00D369C9">
        <w:rPr>
          <w:sz w:val="22"/>
          <w:szCs w:val="22"/>
          <w:lang w:val="sk-SK"/>
        </w:rPr>
        <w:t>má  zlikvidova</w:t>
      </w:r>
      <w:r w:rsidR="006344BF">
        <w:rPr>
          <w:sz w:val="22"/>
          <w:szCs w:val="22"/>
          <w:lang w:val="sk-SK"/>
        </w:rPr>
        <w:t>ť</w:t>
      </w:r>
      <w:r w:rsidRPr="00D369C9">
        <w:rPr>
          <w:sz w:val="22"/>
          <w:szCs w:val="22"/>
          <w:lang w:val="sk-SK"/>
        </w:rPr>
        <w:t xml:space="preserve"> v súlade s národnými </w:t>
      </w:r>
      <w:r w:rsidR="00D369C9">
        <w:rPr>
          <w:sz w:val="22"/>
          <w:szCs w:val="22"/>
          <w:lang w:val="sk-SK"/>
        </w:rPr>
        <w:t>požiadavkami.</w:t>
      </w:r>
    </w:p>
    <w:p w14:paraId="5B55B55D" w14:textId="77777777" w:rsidR="00D369C9" w:rsidRPr="00D369C9" w:rsidRDefault="00D369C9" w:rsidP="003A6469">
      <w:pPr>
        <w:pStyle w:val="Default"/>
        <w:rPr>
          <w:sz w:val="22"/>
          <w:szCs w:val="22"/>
          <w:lang w:val="sk-SK"/>
        </w:rPr>
      </w:pPr>
    </w:p>
    <w:p w14:paraId="021B9C9C" w14:textId="77777777" w:rsidR="003A6469" w:rsidRPr="00D369C9" w:rsidRDefault="00F85745" w:rsidP="00A148BD">
      <w:pPr>
        <w:pStyle w:val="Default"/>
        <w:rPr>
          <w:sz w:val="22"/>
          <w:szCs w:val="22"/>
          <w:lang w:val="sk-SK"/>
        </w:rPr>
      </w:pPr>
      <w:proofErr w:type="spellStart"/>
      <w:r w:rsidRPr="00D369C9">
        <w:rPr>
          <w:sz w:val="22"/>
          <w:szCs w:val="22"/>
          <w:lang w:val="sk-SK"/>
        </w:rPr>
        <w:t>Micafungin</w:t>
      </w:r>
      <w:proofErr w:type="spellEnd"/>
      <w:r w:rsidRPr="00D369C9">
        <w:rPr>
          <w:sz w:val="22"/>
          <w:szCs w:val="22"/>
          <w:lang w:val="sk-SK"/>
        </w:rPr>
        <w:t xml:space="preserve"> </w:t>
      </w:r>
      <w:proofErr w:type="spellStart"/>
      <w:r w:rsidRPr="00D369C9">
        <w:rPr>
          <w:sz w:val="22"/>
          <w:szCs w:val="22"/>
          <w:lang w:val="sk-SK"/>
        </w:rPr>
        <w:t>Olikla</w:t>
      </w:r>
      <w:proofErr w:type="spellEnd"/>
      <w:r w:rsidR="00D369C9">
        <w:rPr>
          <w:sz w:val="22"/>
          <w:szCs w:val="22"/>
          <w:lang w:val="sk-SK"/>
        </w:rPr>
        <w:t xml:space="preserve"> sa</w:t>
      </w:r>
      <w:r w:rsidR="003A6469" w:rsidRPr="00D369C9">
        <w:rPr>
          <w:sz w:val="22"/>
          <w:szCs w:val="22"/>
          <w:lang w:val="sk-SK"/>
        </w:rPr>
        <w:t xml:space="preserve"> re</w:t>
      </w:r>
      <w:r w:rsidR="00D369C9">
        <w:rPr>
          <w:sz w:val="22"/>
          <w:szCs w:val="22"/>
          <w:lang w:val="sk-SK"/>
        </w:rPr>
        <w:t>konštituuje a riedi nasledovne:</w:t>
      </w:r>
    </w:p>
    <w:p w14:paraId="7853CEC1" w14:textId="77777777" w:rsidR="00A148BD" w:rsidRPr="00982BA2" w:rsidRDefault="00A148BD" w:rsidP="00A148BD">
      <w:pPr>
        <w:pStyle w:val="Default"/>
        <w:rPr>
          <w:sz w:val="22"/>
          <w:szCs w:val="16"/>
          <w:lang w:val="sk-SK"/>
        </w:rPr>
      </w:pPr>
    </w:p>
    <w:p w14:paraId="422FCA43" w14:textId="77777777" w:rsidR="003A6469" w:rsidRDefault="003A6469" w:rsidP="00B11FF5">
      <w:pPr>
        <w:pStyle w:val="Default"/>
        <w:numPr>
          <w:ilvl w:val="0"/>
          <w:numId w:val="27"/>
        </w:numPr>
        <w:rPr>
          <w:sz w:val="22"/>
          <w:szCs w:val="22"/>
          <w:lang w:val="sk-SK"/>
        </w:rPr>
      </w:pPr>
      <w:r w:rsidRPr="002B3D0D">
        <w:rPr>
          <w:sz w:val="22"/>
          <w:szCs w:val="22"/>
          <w:lang w:val="sk-SK"/>
        </w:rPr>
        <w:t>Z injekčnej liekovky sa</w:t>
      </w:r>
      <w:r w:rsidRPr="009D0515">
        <w:rPr>
          <w:sz w:val="22"/>
          <w:szCs w:val="22"/>
          <w:lang w:val="sk-SK"/>
        </w:rPr>
        <w:t xml:space="preserve"> musí</w:t>
      </w:r>
      <w:r w:rsidRPr="00D369C9">
        <w:rPr>
          <w:sz w:val="22"/>
          <w:szCs w:val="22"/>
          <w:lang w:val="sk-SK"/>
        </w:rPr>
        <w:t xml:space="preserve"> odstrániť plastové viečko a </w:t>
      </w:r>
      <w:r w:rsidR="00D369C9">
        <w:rPr>
          <w:sz w:val="22"/>
          <w:szCs w:val="22"/>
          <w:lang w:val="sk-SK"/>
        </w:rPr>
        <w:t>zátka vydezinfikovať alkoholom.</w:t>
      </w:r>
    </w:p>
    <w:p w14:paraId="3E6F3864" w14:textId="77777777" w:rsidR="00D369C9" w:rsidRPr="00D369C9" w:rsidRDefault="00D369C9" w:rsidP="003A6469">
      <w:pPr>
        <w:pStyle w:val="Default"/>
        <w:rPr>
          <w:sz w:val="22"/>
          <w:szCs w:val="22"/>
          <w:lang w:val="sk-SK"/>
        </w:rPr>
      </w:pPr>
    </w:p>
    <w:p w14:paraId="4BD33C2E" w14:textId="736C3638" w:rsidR="003A6469" w:rsidRDefault="003A6469" w:rsidP="00B11FF5">
      <w:pPr>
        <w:pStyle w:val="Default"/>
        <w:numPr>
          <w:ilvl w:val="0"/>
          <w:numId w:val="27"/>
        </w:numPr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5 ml</w:t>
      </w:r>
      <w:r w:rsidR="003D3D90">
        <w:rPr>
          <w:sz w:val="22"/>
          <w:szCs w:val="22"/>
          <w:lang w:val="sk-SK"/>
        </w:rPr>
        <w:t xml:space="preserve"> </w:t>
      </w:r>
      <w:r w:rsidRPr="00D369C9">
        <w:rPr>
          <w:sz w:val="22"/>
          <w:szCs w:val="22"/>
          <w:lang w:val="sk-SK"/>
        </w:rPr>
        <w:t xml:space="preserve">infúzneho roztoku chloridu sodného </w:t>
      </w:r>
      <w:r w:rsidR="00DF1294">
        <w:rPr>
          <w:sz w:val="22"/>
          <w:szCs w:val="22"/>
          <w:lang w:val="sk-SK"/>
        </w:rPr>
        <w:t xml:space="preserve">9 mg/ml (0,9 %) </w:t>
      </w:r>
      <w:r w:rsidRPr="00D369C9">
        <w:rPr>
          <w:sz w:val="22"/>
          <w:szCs w:val="22"/>
          <w:lang w:val="sk-SK"/>
        </w:rPr>
        <w:t xml:space="preserve">alebo infúzneho roztoku glukózy </w:t>
      </w:r>
      <w:r w:rsidR="00DF1294">
        <w:rPr>
          <w:sz w:val="22"/>
          <w:szCs w:val="22"/>
          <w:lang w:val="sk-SK"/>
        </w:rPr>
        <w:t xml:space="preserve">50 mg/ml (5 %) </w:t>
      </w:r>
      <w:r w:rsidRPr="00D369C9">
        <w:rPr>
          <w:sz w:val="22"/>
          <w:szCs w:val="22"/>
          <w:lang w:val="sk-SK"/>
        </w:rPr>
        <w:t>(odobraté zo 100 ml fľaše/vaku) sa má asepticky a pomaly vstreknúť do každej injekčnej liekovky po vnútornej stene. Koncentrát môže peniť, snažte sa preto množstvo peny minimalizovať. Aby sa pripravila požadovaná dávka v mg, musí sa</w:t>
      </w:r>
      <w:r w:rsidR="002B2E3C">
        <w:rPr>
          <w:sz w:val="22"/>
          <w:szCs w:val="22"/>
          <w:lang w:val="sk-SK"/>
        </w:rPr>
        <w:t xml:space="preserve"> </w:t>
      </w:r>
      <w:r w:rsidR="00DF1294">
        <w:rPr>
          <w:sz w:val="22"/>
          <w:szCs w:val="22"/>
          <w:lang w:val="sk-SK"/>
        </w:rPr>
        <w:t>rekonštituovať</w:t>
      </w:r>
      <w:r w:rsidRPr="00D369C9">
        <w:rPr>
          <w:sz w:val="22"/>
          <w:szCs w:val="22"/>
          <w:lang w:val="sk-SK"/>
        </w:rPr>
        <w:t xml:space="preserve"> dostatočný počet injekčných liekoviek </w:t>
      </w:r>
      <w:r w:rsidR="00DF1294">
        <w:rPr>
          <w:sz w:val="22"/>
          <w:szCs w:val="22"/>
          <w:lang w:val="sk-SK"/>
        </w:rPr>
        <w:t xml:space="preserve">lieku </w:t>
      </w:r>
      <w:proofErr w:type="spellStart"/>
      <w:r w:rsidR="00F85745" w:rsidRPr="00D369C9">
        <w:rPr>
          <w:sz w:val="22"/>
          <w:szCs w:val="22"/>
          <w:lang w:val="sk-SK"/>
        </w:rPr>
        <w:t>Micafungin</w:t>
      </w:r>
      <w:proofErr w:type="spellEnd"/>
      <w:r w:rsidR="00F85745" w:rsidRPr="00D369C9">
        <w:rPr>
          <w:sz w:val="22"/>
          <w:szCs w:val="22"/>
          <w:lang w:val="sk-SK"/>
        </w:rPr>
        <w:t xml:space="preserve"> </w:t>
      </w:r>
      <w:proofErr w:type="spellStart"/>
      <w:r w:rsidR="00F85745" w:rsidRPr="00D369C9">
        <w:rPr>
          <w:sz w:val="22"/>
          <w:szCs w:val="22"/>
          <w:lang w:val="sk-SK"/>
        </w:rPr>
        <w:t>Olikla</w:t>
      </w:r>
      <w:proofErr w:type="spellEnd"/>
      <w:r w:rsidRPr="00D369C9">
        <w:rPr>
          <w:sz w:val="22"/>
          <w:szCs w:val="22"/>
          <w:lang w:val="sk-SK"/>
        </w:rPr>
        <w:t xml:space="preserve"> (pozri tabuľku </w:t>
      </w:r>
      <w:r w:rsidR="00D369C9">
        <w:rPr>
          <w:sz w:val="22"/>
          <w:szCs w:val="22"/>
          <w:lang w:val="sk-SK"/>
        </w:rPr>
        <w:t>nižšie).</w:t>
      </w:r>
    </w:p>
    <w:p w14:paraId="01B8811D" w14:textId="77777777" w:rsidR="00D369C9" w:rsidRPr="00D369C9" w:rsidRDefault="00D369C9" w:rsidP="00D369C9">
      <w:pPr>
        <w:pStyle w:val="Default"/>
        <w:rPr>
          <w:sz w:val="22"/>
          <w:szCs w:val="22"/>
          <w:lang w:val="sk-SK"/>
        </w:rPr>
      </w:pPr>
    </w:p>
    <w:p w14:paraId="1E3DE531" w14:textId="7E87A5DB" w:rsidR="003A6469" w:rsidRDefault="003A6469" w:rsidP="00B11FF5">
      <w:pPr>
        <w:pStyle w:val="Default"/>
        <w:numPr>
          <w:ilvl w:val="0"/>
          <w:numId w:val="27"/>
        </w:numPr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Obsah injekčnej liekovky sa má premiešať jemným krúživým pohybom. NETR</w:t>
      </w:r>
      <w:r w:rsidR="00202B1B">
        <w:rPr>
          <w:sz w:val="22"/>
          <w:szCs w:val="22"/>
          <w:lang w:val="sk-SK"/>
        </w:rPr>
        <w:t>ASTE</w:t>
      </w:r>
      <w:r w:rsidRPr="00D369C9">
        <w:rPr>
          <w:sz w:val="22"/>
          <w:szCs w:val="22"/>
          <w:lang w:val="sk-SK"/>
        </w:rPr>
        <w:t>. Prášok sa úplne rozpustí. Koncentrát sa má použiť ihneď. Injekčná liekovka je len na jednorazové použitie. Preto sa musí nepoužitý rekonštituovaný koncentrát ihneď zli</w:t>
      </w:r>
      <w:r w:rsidR="00D369C9">
        <w:rPr>
          <w:sz w:val="22"/>
          <w:szCs w:val="22"/>
          <w:lang w:val="sk-SK"/>
        </w:rPr>
        <w:t>kvidovať.</w:t>
      </w:r>
    </w:p>
    <w:p w14:paraId="478E505C" w14:textId="77777777" w:rsidR="00D369C9" w:rsidRPr="00D369C9" w:rsidRDefault="00D369C9" w:rsidP="00D369C9">
      <w:pPr>
        <w:pStyle w:val="Default"/>
        <w:rPr>
          <w:sz w:val="22"/>
          <w:szCs w:val="22"/>
          <w:lang w:val="sk-SK"/>
        </w:rPr>
      </w:pPr>
    </w:p>
    <w:p w14:paraId="39ADB5CF" w14:textId="34F2CB14" w:rsidR="003A6469" w:rsidRDefault="003A6469" w:rsidP="00B11FF5">
      <w:pPr>
        <w:pStyle w:val="Default"/>
        <w:numPr>
          <w:ilvl w:val="0"/>
          <w:numId w:val="27"/>
        </w:numPr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Z každej </w:t>
      </w:r>
      <w:r w:rsidR="004800E7">
        <w:rPr>
          <w:sz w:val="22"/>
          <w:szCs w:val="22"/>
          <w:lang w:val="sk-SK"/>
        </w:rPr>
        <w:t xml:space="preserve">injekčnej </w:t>
      </w:r>
      <w:r w:rsidRPr="00D369C9">
        <w:rPr>
          <w:sz w:val="22"/>
          <w:szCs w:val="22"/>
          <w:lang w:val="sk-SK"/>
        </w:rPr>
        <w:t xml:space="preserve">liekovky sa má odobrať všetok rekonštituovaný koncentrát a vrátiť do infúznej fľaše/vaku, z ktorej bol pôvodne odobratý. Zriedený infúzny roztok sa má použiť ihneď. Chemická a fyzikálna stabilita roztoku po riedení opísanom vyššie je </w:t>
      </w:r>
      <w:r w:rsidR="00B37E54">
        <w:rPr>
          <w:sz w:val="22"/>
          <w:szCs w:val="22"/>
          <w:lang w:val="sk-SK"/>
        </w:rPr>
        <w:t>24</w:t>
      </w:r>
      <w:r w:rsidRPr="00D369C9">
        <w:rPr>
          <w:sz w:val="22"/>
          <w:szCs w:val="22"/>
          <w:lang w:val="sk-SK"/>
        </w:rPr>
        <w:t xml:space="preserve"> hodín pri 25</w:t>
      </w:r>
      <w:r w:rsidR="00D369C9">
        <w:rPr>
          <w:sz w:val="22"/>
          <w:szCs w:val="22"/>
          <w:lang w:val="sk-SK"/>
        </w:rPr>
        <w:t> </w:t>
      </w:r>
      <w:r w:rsidRPr="00D369C9">
        <w:rPr>
          <w:sz w:val="22"/>
          <w:szCs w:val="22"/>
          <w:lang w:val="sk-SK"/>
        </w:rPr>
        <w:t>°</w:t>
      </w:r>
      <w:r w:rsidR="00D369C9">
        <w:rPr>
          <w:sz w:val="22"/>
          <w:szCs w:val="22"/>
          <w:lang w:val="sk-SK"/>
        </w:rPr>
        <w:t>C, ak je chránený pred svetlom.</w:t>
      </w:r>
    </w:p>
    <w:p w14:paraId="58249E9D" w14:textId="77777777" w:rsidR="00D369C9" w:rsidRPr="00D369C9" w:rsidRDefault="00D369C9" w:rsidP="00D369C9">
      <w:pPr>
        <w:pStyle w:val="Default"/>
        <w:rPr>
          <w:sz w:val="22"/>
          <w:szCs w:val="22"/>
          <w:lang w:val="sk-SK"/>
        </w:rPr>
      </w:pPr>
    </w:p>
    <w:p w14:paraId="0FE5D3C4" w14:textId="77777777" w:rsidR="003A6469" w:rsidRDefault="003A6469" w:rsidP="00B11FF5">
      <w:pPr>
        <w:pStyle w:val="Default"/>
        <w:numPr>
          <w:ilvl w:val="0"/>
          <w:numId w:val="27"/>
        </w:numPr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 xml:space="preserve">Na </w:t>
      </w:r>
      <w:proofErr w:type="spellStart"/>
      <w:r w:rsidRPr="00D369C9">
        <w:rPr>
          <w:sz w:val="22"/>
          <w:szCs w:val="22"/>
          <w:lang w:val="sk-SK"/>
        </w:rPr>
        <w:t>dispergovanie</w:t>
      </w:r>
      <w:proofErr w:type="spellEnd"/>
      <w:r w:rsidRPr="00D369C9">
        <w:rPr>
          <w:sz w:val="22"/>
          <w:szCs w:val="22"/>
          <w:lang w:val="sk-SK"/>
        </w:rPr>
        <w:t xml:space="preserve"> zriedeného roztoku sa má infúzna fľaša/vak jemne prevrátiť, </w:t>
      </w:r>
      <w:r w:rsidR="00B52CB4">
        <w:rPr>
          <w:sz w:val="22"/>
          <w:szCs w:val="22"/>
          <w:lang w:val="sk-SK"/>
        </w:rPr>
        <w:t xml:space="preserve">avšak </w:t>
      </w:r>
      <w:r w:rsidRPr="00D369C9">
        <w:rPr>
          <w:sz w:val="22"/>
          <w:szCs w:val="22"/>
          <w:lang w:val="sk-SK"/>
        </w:rPr>
        <w:t>NIE prudko, aby sa predišlo speneniu. Ak je roztok zakalený al</w:t>
      </w:r>
      <w:r w:rsidR="00D369C9">
        <w:rPr>
          <w:sz w:val="22"/>
          <w:szCs w:val="22"/>
          <w:lang w:val="sk-SK"/>
        </w:rPr>
        <w:t>ebo vyzrážaný</w:t>
      </w:r>
      <w:r w:rsidR="00B52CB4">
        <w:rPr>
          <w:sz w:val="22"/>
          <w:szCs w:val="22"/>
          <w:lang w:val="sk-SK"/>
        </w:rPr>
        <w:t>,</w:t>
      </w:r>
      <w:r w:rsidR="00D369C9">
        <w:rPr>
          <w:sz w:val="22"/>
          <w:szCs w:val="22"/>
          <w:lang w:val="sk-SK"/>
        </w:rPr>
        <w:t xml:space="preserve"> nesmie sa použiť.</w:t>
      </w:r>
    </w:p>
    <w:p w14:paraId="7EF9BACD" w14:textId="77777777" w:rsidR="00D369C9" w:rsidRPr="00D369C9" w:rsidRDefault="00D369C9" w:rsidP="00D369C9">
      <w:pPr>
        <w:pStyle w:val="Default"/>
        <w:rPr>
          <w:sz w:val="22"/>
          <w:szCs w:val="22"/>
          <w:lang w:val="sk-SK"/>
        </w:rPr>
      </w:pPr>
    </w:p>
    <w:p w14:paraId="4D8037F1" w14:textId="11441896" w:rsidR="003A6469" w:rsidRPr="00D369C9" w:rsidRDefault="003A6469" w:rsidP="00B11FF5">
      <w:pPr>
        <w:pStyle w:val="Default"/>
        <w:numPr>
          <w:ilvl w:val="0"/>
          <w:numId w:val="27"/>
        </w:numPr>
        <w:rPr>
          <w:sz w:val="22"/>
          <w:szCs w:val="22"/>
          <w:lang w:val="sk-SK"/>
        </w:rPr>
      </w:pPr>
      <w:r w:rsidRPr="00D369C9">
        <w:rPr>
          <w:sz w:val="22"/>
          <w:szCs w:val="22"/>
          <w:lang w:val="sk-SK"/>
        </w:rPr>
        <w:t>Na ochranu pred svetlom sa má infúzna fľaša/vak so zriedeným infúznym roztokom vložiť do uzatv</w:t>
      </w:r>
      <w:r w:rsidR="00456BB1">
        <w:rPr>
          <w:sz w:val="22"/>
          <w:szCs w:val="22"/>
          <w:lang w:val="sk-SK"/>
        </w:rPr>
        <w:t>árateľného</w:t>
      </w:r>
      <w:r w:rsidR="00D369C9">
        <w:rPr>
          <w:sz w:val="22"/>
          <w:szCs w:val="22"/>
          <w:lang w:val="sk-SK"/>
        </w:rPr>
        <w:t xml:space="preserve"> nepriehľadného vaku.</w:t>
      </w:r>
    </w:p>
    <w:p w14:paraId="4AEF00ED" w14:textId="77777777" w:rsidR="00D369C9" w:rsidRDefault="00D369C9">
      <w:pPr>
        <w:ind w:left="0" w:firstLine="0"/>
        <w:rPr>
          <w:szCs w:val="22"/>
          <w:u w:val="single"/>
        </w:rPr>
      </w:pPr>
    </w:p>
    <w:p w14:paraId="4E035EE9" w14:textId="7C6FFBB2" w:rsidR="00780926" w:rsidRDefault="003A6469" w:rsidP="003A6469">
      <w:pPr>
        <w:rPr>
          <w:szCs w:val="22"/>
          <w:u w:val="single"/>
        </w:rPr>
      </w:pPr>
      <w:r w:rsidRPr="00D369C9">
        <w:rPr>
          <w:szCs w:val="22"/>
          <w:u w:val="single"/>
        </w:rPr>
        <w:t xml:space="preserve">Príprava </w:t>
      </w:r>
      <w:r w:rsidR="00456BB1">
        <w:rPr>
          <w:szCs w:val="22"/>
          <w:u w:val="single"/>
        </w:rPr>
        <w:t xml:space="preserve">infúzneho </w:t>
      </w:r>
      <w:r w:rsidRPr="00D369C9">
        <w:rPr>
          <w:szCs w:val="22"/>
          <w:u w:val="single"/>
        </w:rPr>
        <w:t>roztoku</w:t>
      </w:r>
    </w:p>
    <w:p w14:paraId="725CF02D" w14:textId="77777777" w:rsidR="00D369C9" w:rsidRDefault="00D369C9" w:rsidP="003A6469">
      <w:pPr>
        <w:rPr>
          <w:szCs w:val="22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126"/>
        <w:gridCol w:w="2126"/>
        <w:gridCol w:w="1964"/>
        <w:gridCol w:w="1774"/>
      </w:tblGrid>
      <w:tr w:rsidR="00D369C9" w14:paraId="737F415A" w14:textId="77777777" w:rsidTr="00B11FF5">
        <w:trPr>
          <w:trHeight w:val="1388"/>
        </w:trPr>
        <w:tc>
          <w:tcPr>
            <w:tcW w:w="851" w:type="dxa"/>
          </w:tcPr>
          <w:p w14:paraId="7276DEE3" w14:textId="77777777" w:rsidR="00D369C9" w:rsidRDefault="00D369C9" w:rsidP="003A6469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Dávka</w:t>
            </w:r>
          </w:p>
          <w:p w14:paraId="5551A413" w14:textId="77777777" w:rsidR="00D369C9" w:rsidRPr="00D369C9" w:rsidRDefault="00D369C9" w:rsidP="003A6469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(mg)</w:t>
            </w:r>
          </w:p>
        </w:tc>
        <w:tc>
          <w:tcPr>
            <w:tcW w:w="2126" w:type="dxa"/>
          </w:tcPr>
          <w:p w14:paraId="38103F40" w14:textId="6F17C742" w:rsidR="00D369C9" w:rsidRDefault="00D369C9" w:rsidP="003A6469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Použije sa injekčná liekovka</w:t>
            </w:r>
            <w:r w:rsidR="007E57DC">
              <w:rPr>
                <w:b/>
                <w:szCs w:val="22"/>
              </w:rPr>
              <w:t xml:space="preserve"> lieku</w:t>
            </w:r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Micafungin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Olikla</w:t>
            </w:r>
            <w:proofErr w:type="spellEnd"/>
          </w:p>
          <w:p w14:paraId="625745A0" w14:textId="17E15453" w:rsidR="00D369C9" w:rsidRPr="00D369C9" w:rsidRDefault="00D369C9" w:rsidP="003A6469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(mg/injekčn</w:t>
            </w:r>
            <w:r w:rsidR="007E57DC">
              <w:rPr>
                <w:b/>
                <w:szCs w:val="22"/>
              </w:rPr>
              <w:t>á</w:t>
            </w:r>
            <w:r>
              <w:rPr>
                <w:b/>
                <w:szCs w:val="22"/>
              </w:rPr>
              <w:t xml:space="preserve"> liekovk</w:t>
            </w:r>
            <w:r w:rsidR="007E57DC">
              <w:rPr>
                <w:b/>
                <w:szCs w:val="22"/>
              </w:rPr>
              <w:t>a</w:t>
            </w:r>
            <w:r>
              <w:rPr>
                <w:b/>
                <w:szCs w:val="22"/>
              </w:rPr>
              <w:t>)</w:t>
            </w:r>
          </w:p>
        </w:tc>
        <w:tc>
          <w:tcPr>
            <w:tcW w:w="2126" w:type="dxa"/>
          </w:tcPr>
          <w:p w14:paraId="491700FD" w14:textId="3686645A" w:rsidR="00D369C9" w:rsidRPr="00D369C9" w:rsidRDefault="00D369C9" w:rsidP="007E57DC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Objem chloridu sodného </w:t>
            </w:r>
            <w:r w:rsidR="007E57DC" w:rsidRPr="00770398">
              <w:rPr>
                <w:szCs w:val="22"/>
              </w:rPr>
              <w:t>9 mg/ml</w:t>
            </w:r>
            <w:r w:rsidR="007E57DC">
              <w:rPr>
                <w:b/>
                <w:szCs w:val="22"/>
              </w:rPr>
              <w:t xml:space="preserve"> (0,9 %)</w:t>
            </w:r>
            <w:r>
              <w:rPr>
                <w:b/>
                <w:szCs w:val="22"/>
              </w:rPr>
              <w:t xml:space="preserve"> alebo</w:t>
            </w:r>
            <w:r w:rsidR="007E57DC">
              <w:rPr>
                <w:b/>
                <w:szCs w:val="22"/>
              </w:rPr>
              <w:t xml:space="preserve"> </w:t>
            </w:r>
            <w:r w:rsidR="00B11FF5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glukózy </w:t>
            </w:r>
            <w:r w:rsidR="007E57DC" w:rsidRPr="00770398">
              <w:rPr>
                <w:szCs w:val="22"/>
              </w:rPr>
              <w:t>50 mg/ml</w:t>
            </w:r>
            <w:r>
              <w:rPr>
                <w:b/>
                <w:szCs w:val="22"/>
              </w:rPr>
              <w:t xml:space="preserve"> </w:t>
            </w:r>
            <w:r w:rsidR="007E57DC">
              <w:rPr>
                <w:b/>
                <w:szCs w:val="22"/>
              </w:rPr>
              <w:t xml:space="preserve">(5 %) </w:t>
            </w:r>
            <w:r>
              <w:rPr>
                <w:b/>
                <w:szCs w:val="22"/>
              </w:rPr>
              <w:t>pridaný do injekčnej liekovky</w:t>
            </w:r>
          </w:p>
        </w:tc>
        <w:tc>
          <w:tcPr>
            <w:tcW w:w="1964" w:type="dxa"/>
          </w:tcPr>
          <w:p w14:paraId="128DB90A" w14:textId="77777777" w:rsidR="00D369C9" w:rsidRPr="00D369C9" w:rsidRDefault="00D369C9" w:rsidP="003A6469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Objem (koncentrácia) rekonštituovaného prášku</w:t>
            </w:r>
          </w:p>
        </w:tc>
        <w:tc>
          <w:tcPr>
            <w:tcW w:w="1774" w:type="dxa"/>
          </w:tcPr>
          <w:p w14:paraId="620060EA" w14:textId="77777777" w:rsidR="00D369C9" w:rsidRDefault="00D369C9" w:rsidP="003A6469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Štandardná infúzia (pridané do 100 ml)</w:t>
            </w:r>
          </w:p>
          <w:p w14:paraId="4392D842" w14:textId="77777777" w:rsidR="00D369C9" w:rsidRPr="00D369C9" w:rsidRDefault="00B73FDE" w:rsidP="003A6469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k</w:t>
            </w:r>
            <w:r w:rsidR="00D369C9">
              <w:rPr>
                <w:b/>
                <w:szCs w:val="22"/>
              </w:rPr>
              <w:t>onečná koncentrácia</w:t>
            </w:r>
          </w:p>
        </w:tc>
      </w:tr>
      <w:tr w:rsidR="00B11FF5" w14:paraId="62FAF082" w14:textId="77777777" w:rsidTr="00B11FF5">
        <w:tc>
          <w:tcPr>
            <w:tcW w:w="851" w:type="dxa"/>
          </w:tcPr>
          <w:p w14:paraId="73FB10AE" w14:textId="77777777" w:rsidR="00B11FF5" w:rsidRPr="00D369C9" w:rsidRDefault="00B11FF5" w:rsidP="00B11FF5">
            <w:pPr>
              <w:ind w:left="0" w:firstLin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50</w:t>
            </w:r>
          </w:p>
        </w:tc>
        <w:tc>
          <w:tcPr>
            <w:tcW w:w="2126" w:type="dxa"/>
          </w:tcPr>
          <w:p w14:paraId="01BBCE23" w14:textId="77777777" w:rsidR="00B11FF5" w:rsidRPr="00360C80" w:rsidRDefault="00B11FF5" w:rsidP="00B11FF5">
            <w:pPr>
              <w:ind w:left="454"/>
            </w:pPr>
            <w:r>
              <w:rPr>
                <w:lang w:val="cs-CZ"/>
              </w:rPr>
              <w:t xml:space="preserve">  </w:t>
            </w:r>
            <w:r w:rsidRPr="00540D9C">
              <w:rPr>
                <w:lang w:val="cs-CZ"/>
              </w:rPr>
              <w:t xml:space="preserve">1 </w:t>
            </w:r>
            <w:r w:rsidRPr="00360C80">
              <w:rPr>
                <w:lang w:val="cs-CZ"/>
              </w:rPr>
              <w:t>×</w:t>
            </w:r>
            <w:r w:rsidRPr="00540D9C">
              <w:rPr>
                <w:lang w:val="cs-CZ"/>
              </w:rPr>
              <w:t xml:space="preserve"> 50</w:t>
            </w:r>
          </w:p>
        </w:tc>
        <w:tc>
          <w:tcPr>
            <w:tcW w:w="2126" w:type="dxa"/>
          </w:tcPr>
          <w:p w14:paraId="1CDFCFFC" w14:textId="77777777" w:rsidR="00B11FF5" w:rsidRDefault="00B11FF5" w:rsidP="00B11FF5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5 ml</w:t>
            </w:r>
          </w:p>
        </w:tc>
        <w:tc>
          <w:tcPr>
            <w:tcW w:w="1964" w:type="dxa"/>
          </w:tcPr>
          <w:p w14:paraId="513AC406" w14:textId="77777777" w:rsidR="00B11FF5" w:rsidRDefault="00B11FF5" w:rsidP="00B11FF5">
            <w:pPr>
              <w:ind w:left="0" w:firstLine="0"/>
              <w:rPr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pribli</w:t>
            </w:r>
            <w:proofErr w:type="spellEnd"/>
            <w:r>
              <w:rPr>
                <w:szCs w:val="22"/>
              </w:rPr>
              <w:t>žne 5 ml</w:t>
            </w:r>
          </w:p>
          <w:p w14:paraId="567F03FA" w14:textId="77777777" w:rsidR="00B11FF5" w:rsidRPr="00D369C9" w:rsidRDefault="00B11FF5" w:rsidP="00B11FF5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(10 mg/ml)</w:t>
            </w:r>
          </w:p>
        </w:tc>
        <w:tc>
          <w:tcPr>
            <w:tcW w:w="1774" w:type="dxa"/>
          </w:tcPr>
          <w:p w14:paraId="61C879F1" w14:textId="77777777" w:rsidR="00B11FF5" w:rsidRDefault="00B11FF5" w:rsidP="00B11FF5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0,5 mg/ml</w:t>
            </w:r>
          </w:p>
        </w:tc>
      </w:tr>
      <w:tr w:rsidR="00B11FF5" w14:paraId="3DD97440" w14:textId="77777777" w:rsidTr="00B11FF5">
        <w:tc>
          <w:tcPr>
            <w:tcW w:w="851" w:type="dxa"/>
          </w:tcPr>
          <w:p w14:paraId="4FE9A2E3" w14:textId="77777777" w:rsidR="00B11FF5" w:rsidRDefault="00B11FF5" w:rsidP="00B11FF5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100</w:t>
            </w:r>
          </w:p>
        </w:tc>
        <w:tc>
          <w:tcPr>
            <w:tcW w:w="2126" w:type="dxa"/>
          </w:tcPr>
          <w:p w14:paraId="511ABB60" w14:textId="77777777" w:rsidR="00B11FF5" w:rsidRPr="00540D9C" w:rsidRDefault="00B11FF5" w:rsidP="00B11FF5">
            <w:pPr>
              <w:pStyle w:val="TableParagraph"/>
              <w:spacing w:before="1" w:line="238" w:lineRule="exact"/>
              <w:ind w:left="454" w:hanging="425"/>
              <w:rPr>
                <w:lang w:val="cs-CZ"/>
              </w:rPr>
            </w:pPr>
            <w:r w:rsidRPr="00540D9C">
              <w:rPr>
                <w:lang w:val="cs-CZ"/>
              </w:rPr>
              <w:t xml:space="preserve">1 </w:t>
            </w:r>
            <w:r w:rsidRPr="00360C80">
              <w:rPr>
                <w:lang w:val="cs-CZ"/>
              </w:rPr>
              <w:t>×</w:t>
            </w:r>
            <w:r w:rsidRPr="00540D9C">
              <w:rPr>
                <w:lang w:val="cs-CZ"/>
              </w:rPr>
              <w:t xml:space="preserve"> 100</w:t>
            </w:r>
          </w:p>
        </w:tc>
        <w:tc>
          <w:tcPr>
            <w:tcW w:w="2126" w:type="dxa"/>
          </w:tcPr>
          <w:p w14:paraId="099334B6" w14:textId="77777777" w:rsidR="00B11FF5" w:rsidRDefault="00B11FF5" w:rsidP="00B11FF5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5 ml</w:t>
            </w:r>
          </w:p>
        </w:tc>
        <w:tc>
          <w:tcPr>
            <w:tcW w:w="1964" w:type="dxa"/>
          </w:tcPr>
          <w:p w14:paraId="6F59CDA1" w14:textId="77777777" w:rsidR="00B11FF5" w:rsidRDefault="00B11FF5" w:rsidP="00B11FF5">
            <w:pPr>
              <w:ind w:left="0" w:firstLine="0"/>
              <w:rPr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pribli</w:t>
            </w:r>
            <w:proofErr w:type="spellEnd"/>
            <w:r>
              <w:rPr>
                <w:szCs w:val="22"/>
              </w:rPr>
              <w:t>žne 5 ml</w:t>
            </w:r>
          </w:p>
          <w:p w14:paraId="63329D6F" w14:textId="77777777" w:rsidR="00B11FF5" w:rsidRPr="00D369C9" w:rsidRDefault="00B11FF5" w:rsidP="00B11FF5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lastRenderedPageBreak/>
              <w:t>(20 mg/ml)</w:t>
            </w:r>
          </w:p>
        </w:tc>
        <w:tc>
          <w:tcPr>
            <w:tcW w:w="1774" w:type="dxa"/>
          </w:tcPr>
          <w:p w14:paraId="27CEA695" w14:textId="77777777" w:rsidR="00B11FF5" w:rsidRDefault="00B11FF5" w:rsidP="00B11FF5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lastRenderedPageBreak/>
              <w:t>1,0 mg/ml</w:t>
            </w:r>
          </w:p>
        </w:tc>
      </w:tr>
      <w:tr w:rsidR="00B11FF5" w14:paraId="5B919D51" w14:textId="77777777" w:rsidTr="00B11FF5">
        <w:tc>
          <w:tcPr>
            <w:tcW w:w="851" w:type="dxa"/>
          </w:tcPr>
          <w:p w14:paraId="5A4D9816" w14:textId="77777777" w:rsidR="00B11FF5" w:rsidRDefault="00B11FF5" w:rsidP="00B11FF5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150</w:t>
            </w:r>
          </w:p>
        </w:tc>
        <w:tc>
          <w:tcPr>
            <w:tcW w:w="2126" w:type="dxa"/>
          </w:tcPr>
          <w:p w14:paraId="6DD05FDA" w14:textId="77777777" w:rsidR="00B11FF5" w:rsidRPr="00540D9C" w:rsidRDefault="00B11FF5" w:rsidP="00B11FF5">
            <w:pPr>
              <w:pStyle w:val="TableParagraph"/>
              <w:spacing w:line="249" w:lineRule="exact"/>
              <w:ind w:left="454" w:hanging="425"/>
              <w:rPr>
                <w:lang w:val="cs-CZ"/>
              </w:rPr>
            </w:pPr>
            <w:r w:rsidRPr="00540D9C">
              <w:rPr>
                <w:lang w:val="cs-CZ"/>
              </w:rPr>
              <w:t xml:space="preserve">1 </w:t>
            </w:r>
            <w:r w:rsidRPr="00360C80">
              <w:rPr>
                <w:lang w:val="cs-CZ"/>
              </w:rPr>
              <w:t>×</w:t>
            </w:r>
            <w:r w:rsidRPr="00540D9C">
              <w:rPr>
                <w:lang w:val="cs-CZ"/>
              </w:rPr>
              <w:t xml:space="preserve"> 100 + 1 </w:t>
            </w:r>
            <w:r w:rsidRPr="00360C80">
              <w:rPr>
                <w:lang w:val="cs-CZ"/>
              </w:rPr>
              <w:t>×</w:t>
            </w:r>
            <w:r w:rsidRPr="00540D9C">
              <w:rPr>
                <w:lang w:val="cs-CZ"/>
              </w:rPr>
              <w:t xml:space="preserve"> 50</w:t>
            </w:r>
          </w:p>
        </w:tc>
        <w:tc>
          <w:tcPr>
            <w:tcW w:w="2126" w:type="dxa"/>
          </w:tcPr>
          <w:p w14:paraId="6DFA228E" w14:textId="77777777" w:rsidR="00B11FF5" w:rsidRDefault="00B11FF5" w:rsidP="00B11FF5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5 ml</w:t>
            </w:r>
          </w:p>
        </w:tc>
        <w:tc>
          <w:tcPr>
            <w:tcW w:w="1964" w:type="dxa"/>
          </w:tcPr>
          <w:p w14:paraId="300CA53C" w14:textId="77777777" w:rsidR="00B11FF5" w:rsidRPr="00D369C9" w:rsidRDefault="00B11FF5" w:rsidP="00B11FF5">
            <w:pPr>
              <w:ind w:left="0" w:firstLine="0"/>
              <w:rPr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pribli</w:t>
            </w:r>
            <w:proofErr w:type="spellEnd"/>
            <w:r>
              <w:rPr>
                <w:szCs w:val="22"/>
              </w:rPr>
              <w:t>žne 10 ml</w:t>
            </w:r>
          </w:p>
        </w:tc>
        <w:tc>
          <w:tcPr>
            <w:tcW w:w="1774" w:type="dxa"/>
          </w:tcPr>
          <w:p w14:paraId="702BCE2E" w14:textId="77777777" w:rsidR="00B11FF5" w:rsidRDefault="00B11FF5" w:rsidP="00B11FF5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1,5 mg/ml</w:t>
            </w:r>
          </w:p>
        </w:tc>
      </w:tr>
      <w:tr w:rsidR="00B11FF5" w14:paraId="36128C7E" w14:textId="77777777" w:rsidTr="00B11FF5">
        <w:tc>
          <w:tcPr>
            <w:tcW w:w="851" w:type="dxa"/>
          </w:tcPr>
          <w:p w14:paraId="7C4D07C3" w14:textId="77777777" w:rsidR="00B11FF5" w:rsidRDefault="00B11FF5" w:rsidP="00B11FF5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200</w:t>
            </w:r>
          </w:p>
        </w:tc>
        <w:tc>
          <w:tcPr>
            <w:tcW w:w="2126" w:type="dxa"/>
          </w:tcPr>
          <w:p w14:paraId="322FADCA" w14:textId="77777777" w:rsidR="00B11FF5" w:rsidRPr="00540D9C" w:rsidRDefault="00B11FF5" w:rsidP="00B11FF5">
            <w:pPr>
              <w:pStyle w:val="TableParagraph"/>
              <w:spacing w:line="249" w:lineRule="exact"/>
              <w:ind w:left="454" w:hanging="425"/>
              <w:rPr>
                <w:lang w:val="cs-CZ"/>
              </w:rPr>
            </w:pPr>
            <w:r w:rsidRPr="00540D9C">
              <w:rPr>
                <w:lang w:val="cs-CZ"/>
              </w:rPr>
              <w:t xml:space="preserve">2 </w:t>
            </w:r>
            <w:r w:rsidRPr="00360C80">
              <w:rPr>
                <w:lang w:val="cs-CZ"/>
              </w:rPr>
              <w:t>×</w:t>
            </w:r>
            <w:r w:rsidRPr="00540D9C">
              <w:rPr>
                <w:lang w:val="cs-CZ"/>
              </w:rPr>
              <w:t xml:space="preserve"> 100</w:t>
            </w:r>
          </w:p>
        </w:tc>
        <w:tc>
          <w:tcPr>
            <w:tcW w:w="2126" w:type="dxa"/>
          </w:tcPr>
          <w:p w14:paraId="6A2AF23A" w14:textId="77777777" w:rsidR="00B11FF5" w:rsidRDefault="00B11FF5" w:rsidP="00B11FF5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5 ml</w:t>
            </w:r>
          </w:p>
        </w:tc>
        <w:tc>
          <w:tcPr>
            <w:tcW w:w="1964" w:type="dxa"/>
          </w:tcPr>
          <w:p w14:paraId="0C9B7EBA" w14:textId="77777777" w:rsidR="00B11FF5" w:rsidRPr="00D369C9" w:rsidRDefault="00B11FF5" w:rsidP="00B11FF5">
            <w:pPr>
              <w:ind w:left="0" w:firstLine="0"/>
              <w:rPr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pribli</w:t>
            </w:r>
            <w:proofErr w:type="spellEnd"/>
            <w:r>
              <w:rPr>
                <w:szCs w:val="22"/>
              </w:rPr>
              <w:t>žne 10 ml</w:t>
            </w:r>
          </w:p>
        </w:tc>
        <w:tc>
          <w:tcPr>
            <w:tcW w:w="1774" w:type="dxa"/>
          </w:tcPr>
          <w:p w14:paraId="44596F60" w14:textId="77777777" w:rsidR="00B11FF5" w:rsidRDefault="00B11FF5" w:rsidP="00B11FF5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2,0 mg/ml</w:t>
            </w:r>
          </w:p>
        </w:tc>
      </w:tr>
    </w:tbl>
    <w:p w14:paraId="00A496B8" w14:textId="77777777" w:rsidR="00B11FF5" w:rsidRDefault="00B11FF5" w:rsidP="003A6469">
      <w:pPr>
        <w:rPr>
          <w:szCs w:val="22"/>
        </w:rPr>
      </w:pPr>
    </w:p>
    <w:p w14:paraId="4536B542" w14:textId="7DF1F0E8" w:rsidR="00D369C9" w:rsidRPr="00D369C9" w:rsidRDefault="00D369C9" w:rsidP="003A6469">
      <w:pPr>
        <w:rPr>
          <w:szCs w:val="22"/>
        </w:rPr>
      </w:pPr>
      <w:r w:rsidRPr="00D369C9">
        <w:rPr>
          <w:szCs w:val="22"/>
        </w:rPr>
        <w:t xml:space="preserve">Po </w:t>
      </w:r>
      <w:r>
        <w:rPr>
          <w:szCs w:val="22"/>
        </w:rPr>
        <w:t>rekon</w:t>
      </w:r>
      <w:r w:rsidR="00857222">
        <w:rPr>
          <w:szCs w:val="22"/>
        </w:rPr>
        <w:t>štitúcii</w:t>
      </w:r>
      <w:r w:rsidRPr="00D369C9">
        <w:rPr>
          <w:szCs w:val="22"/>
        </w:rPr>
        <w:t xml:space="preserve"> a riedení </w:t>
      </w:r>
      <w:r w:rsidR="007E57DC">
        <w:rPr>
          <w:szCs w:val="22"/>
        </w:rPr>
        <w:t>sa má</w:t>
      </w:r>
      <w:r w:rsidRPr="00D369C9">
        <w:rPr>
          <w:szCs w:val="22"/>
        </w:rPr>
        <w:t xml:space="preserve"> roztok pod</w:t>
      </w:r>
      <w:r w:rsidR="002245D8">
        <w:rPr>
          <w:szCs w:val="22"/>
        </w:rPr>
        <w:t>áv</w:t>
      </w:r>
      <w:r w:rsidRPr="00D369C9">
        <w:rPr>
          <w:szCs w:val="22"/>
        </w:rPr>
        <w:t xml:space="preserve">ať intravenóznou infúziou </w:t>
      </w:r>
      <w:r w:rsidR="00857222">
        <w:rPr>
          <w:szCs w:val="22"/>
        </w:rPr>
        <w:t>približne 1 hodinu</w:t>
      </w:r>
      <w:r w:rsidRPr="00D369C9">
        <w:rPr>
          <w:szCs w:val="22"/>
        </w:rPr>
        <w:t>.</w:t>
      </w:r>
    </w:p>
    <w:p w14:paraId="5ED48974" w14:textId="77777777" w:rsidR="003A6469" w:rsidRDefault="003A6469" w:rsidP="00E41B3F">
      <w:pPr>
        <w:rPr>
          <w:szCs w:val="22"/>
        </w:rPr>
      </w:pPr>
    </w:p>
    <w:p w14:paraId="4A514677" w14:textId="77777777" w:rsidR="007A090E" w:rsidRPr="00D369C9" w:rsidRDefault="007A090E" w:rsidP="00E41B3F">
      <w:pPr>
        <w:rPr>
          <w:szCs w:val="22"/>
        </w:rPr>
      </w:pPr>
    </w:p>
    <w:p w14:paraId="1AAA22B3" w14:textId="77777777" w:rsidR="00780926" w:rsidRPr="00D369C9" w:rsidRDefault="00386B19" w:rsidP="00E41B3F">
      <w:pPr>
        <w:rPr>
          <w:b/>
          <w:szCs w:val="22"/>
        </w:rPr>
      </w:pPr>
      <w:r w:rsidRPr="00D369C9">
        <w:rPr>
          <w:b/>
          <w:szCs w:val="22"/>
        </w:rPr>
        <w:t>7.</w:t>
      </w:r>
      <w:r w:rsidRPr="00D369C9">
        <w:rPr>
          <w:b/>
          <w:szCs w:val="22"/>
        </w:rPr>
        <w:tab/>
        <w:t>DRŽITEĽ ROZHODNUTIA O REGISTRÁCII</w:t>
      </w:r>
    </w:p>
    <w:p w14:paraId="0C01F4AA" w14:textId="77777777" w:rsidR="00780926" w:rsidRPr="00D369C9" w:rsidRDefault="00780926" w:rsidP="00E41B3F">
      <w:pPr>
        <w:rPr>
          <w:szCs w:val="22"/>
        </w:rPr>
      </w:pPr>
    </w:p>
    <w:p w14:paraId="4213C3BF" w14:textId="548E4976" w:rsidR="00B11FF5" w:rsidRPr="00FF6500" w:rsidRDefault="00B11FF5" w:rsidP="002D63CC">
      <w:pPr>
        <w:pStyle w:val="Zkladntext"/>
        <w:ind w:right="424"/>
        <w:rPr>
          <w:lang w:val="cs-CZ"/>
        </w:rPr>
      </w:pPr>
      <w:r w:rsidRPr="00686EEF">
        <w:rPr>
          <w:lang w:val="en-GB"/>
        </w:rPr>
        <w:t xml:space="preserve">CZ Pharma s.r.o., </w:t>
      </w:r>
      <w:proofErr w:type="spellStart"/>
      <w:r w:rsidRPr="00686EEF">
        <w:rPr>
          <w:lang w:val="en-GB"/>
        </w:rPr>
        <w:t>Náměstí</w:t>
      </w:r>
      <w:proofErr w:type="spellEnd"/>
      <w:r w:rsidRPr="00686EEF">
        <w:rPr>
          <w:lang w:val="en-GB"/>
        </w:rPr>
        <w:t xml:space="preserve"> </w:t>
      </w:r>
      <w:proofErr w:type="spellStart"/>
      <w:r w:rsidRPr="00686EEF">
        <w:rPr>
          <w:lang w:val="en-GB"/>
        </w:rPr>
        <w:t>Smiřických</w:t>
      </w:r>
      <w:proofErr w:type="spellEnd"/>
      <w:r w:rsidRPr="00686EEF">
        <w:rPr>
          <w:lang w:val="en-GB"/>
        </w:rPr>
        <w:t xml:space="preserve"> 42, </w:t>
      </w:r>
      <w:r>
        <w:rPr>
          <w:lang w:val="en-GB"/>
        </w:rPr>
        <w:t xml:space="preserve">281 63 </w:t>
      </w:r>
      <w:proofErr w:type="spellStart"/>
      <w:r w:rsidRPr="00686EEF">
        <w:rPr>
          <w:lang w:val="en-GB"/>
        </w:rPr>
        <w:t>Kostelec</w:t>
      </w:r>
      <w:proofErr w:type="spellEnd"/>
      <w:r w:rsidRPr="00686EEF">
        <w:rPr>
          <w:lang w:val="en-GB"/>
        </w:rPr>
        <w:t xml:space="preserve"> </w:t>
      </w:r>
      <w:proofErr w:type="spellStart"/>
      <w:proofErr w:type="gramStart"/>
      <w:r w:rsidRPr="00686EEF">
        <w:rPr>
          <w:lang w:val="en-GB"/>
        </w:rPr>
        <w:t>nad</w:t>
      </w:r>
      <w:proofErr w:type="spellEnd"/>
      <w:proofErr w:type="gramEnd"/>
      <w:r w:rsidRPr="00686EEF">
        <w:rPr>
          <w:lang w:val="en-GB"/>
        </w:rPr>
        <w:t xml:space="preserve"> </w:t>
      </w:r>
      <w:proofErr w:type="spellStart"/>
      <w:r w:rsidRPr="00686EEF">
        <w:rPr>
          <w:lang w:val="en-GB"/>
        </w:rPr>
        <w:t>Černými</w:t>
      </w:r>
      <w:proofErr w:type="spellEnd"/>
      <w:r w:rsidRPr="00686EEF">
        <w:rPr>
          <w:lang w:val="en-GB"/>
        </w:rPr>
        <w:t xml:space="preserve"> </w:t>
      </w:r>
      <w:proofErr w:type="spellStart"/>
      <w:r w:rsidRPr="00686EEF">
        <w:rPr>
          <w:lang w:val="en-GB"/>
        </w:rPr>
        <w:t>lesy</w:t>
      </w:r>
      <w:proofErr w:type="spellEnd"/>
      <w:r w:rsidRPr="00FF6500">
        <w:rPr>
          <w:spacing w:val="-2"/>
          <w:lang w:val="cs-CZ"/>
        </w:rPr>
        <w:t>,</w:t>
      </w:r>
      <w:r w:rsidRPr="00FF6500">
        <w:rPr>
          <w:lang w:val="cs-CZ"/>
        </w:rPr>
        <w:t xml:space="preserve"> </w:t>
      </w:r>
      <w:r w:rsidRPr="00FF6500">
        <w:rPr>
          <w:spacing w:val="-1"/>
          <w:lang w:val="cs-CZ"/>
        </w:rPr>
        <w:t>Česká</w:t>
      </w:r>
      <w:r w:rsidRPr="00FF6500">
        <w:rPr>
          <w:lang w:val="cs-CZ"/>
        </w:rPr>
        <w:t xml:space="preserve"> </w:t>
      </w:r>
      <w:r w:rsidRPr="00FF6500">
        <w:rPr>
          <w:spacing w:val="-1"/>
          <w:lang w:val="cs-CZ"/>
        </w:rPr>
        <w:t>republika</w:t>
      </w:r>
    </w:p>
    <w:p w14:paraId="0B4953C0" w14:textId="77777777" w:rsidR="00780926" w:rsidRPr="00D369C9" w:rsidRDefault="00780926" w:rsidP="00A148BD">
      <w:pPr>
        <w:ind w:left="0" w:firstLine="0"/>
        <w:rPr>
          <w:szCs w:val="22"/>
        </w:rPr>
      </w:pPr>
    </w:p>
    <w:p w14:paraId="171EACAB" w14:textId="77777777" w:rsidR="00780926" w:rsidRPr="00D369C9" w:rsidRDefault="00780926" w:rsidP="00E41B3F">
      <w:pPr>
        <w:rPr>
          <w:szCs w:val="22"/>
        </w:rPr>
      </w:pPr>
    </w:p>
    <w:p w14:paraId="0ED2CD47" w14:textId="77777777" w:rsidR="00780926" w:rsidRPr="00D369C9" w:rsidRDefault="00386B19" w:rsidP="00E41B3F">
      <w:pPr>
        <w:rPr>
          <w:b/>
          <w:szCs w:val="22"/>
        </w:rPr>
      </w:pPr>
      <w:r w:rsidRPr="00D369C9">
        <w:rPr>
          <w:b/>
          <w:szCs w:val="22"/>
        </w:rPr>
        <w:t>8.</w:t>
      </w:r>
      <w:r w:rsidRPr="00D369C9">
        <w:rPr>
          <w:b/>
          <w:szCs w:val="22"/>
        </w:rPr>
        <w:tab/>
        <w:t>REGISTRAČNÉ ČÍSLO</w:t>
      </w:r>
    </w:p>
    <w:p w14:paraId="4819D643" w14:textId="77777777" w:rsidR="00780926" w:rsidRPr="00D369C9" w:rsidRDefault="00780926" w:rsidP="00E41B3F"/>
    <w:p w14:paraId="223DAE65" w14:textId="0483CA6F" w:rsidR="00780926" w:rsidRDefault="009C3FDF" w:rsidP="00A75ECC">
      <w:pPr>
        <w:rPr>
          <w:szCs w:val="22"/>
        </w:rPr>
      </w:pPr>
      <w:r w:rsidRPr="009C3FDF">
        <w:rPr>
          <w:szCs w:val="22"/>
        </w:rPr>
        <w:t>26/0191/20-S</w:t>
      </w:r>
    </w:p>
    <w:p w14:paraId="4EF9B986" w14:textId="77777777" w:rsidR="009C3FDF" w:rsidRPr="00D369C9" w:rsidRDefault="009C3FDF" w:rsidP="00A75ECC">
      <w:pPr>
        <w:rPr>
          <w:szCs w:val="22"/>
        </w:rPr>
      </w:pPr>
    </w:p>
    <w:p w14:paraId="33581B4E" w14:textId="77777777" w:rsidR="00780926" w:rsidRPr="00D369C9" w:rsidRDefault="00780926" w:rsidP="00D513D2">
      <w:pPr>
        <w:rPr>
          <w:szCs w:val="22"/>
        </w:rPr>
      </w:pPr>
    </w:p>
    <w:p w14:paraId="561C452B" w14:textId="77777777" w:rsidR="00780926" w:rsidRPr="00D369C9" w:rsidRDefault="00386B19" w:rsidP="00D513D2">
      <w:pPr>
        <w:rPr>
          <w:b/>
          <w:szCs w:val="22"/>
        </w:rPr>
      </w:pPr>
      <w:r w:rsidRPr="00D369C9">
        <w:rPr>
          <w:b/>
          <w:szCs w:val="22"/>
        </w:rPr>
        <w:t>9.</w:t>
      </w:r>
      <w:r w:rsidRPr="00D369C9">
        <w:rPr>
          <w:b/>
          <w:szCs w:val="22"/>
        </w:rPr>
        <w:tab/>
        <w:t>DÁTUM PRVEJ REGISTRÁCIE/PREDĹŽENIA REGISTRÁCIE</w:t>
      </w:r>
    </w:p>
    <w:p w14:paraId="1596678D" w14:textId="77777777" w:rsidR="00780926" w:rsidRPr="00D369C9" w:rsidRDefault="00780926" w:rsidP="00B13F68">
      <w:pPr>
        <w:rPr>
          <w:szCs w:val="22"/>
        </w:rPr>
      </w:pPr>
    </w:p>
    <w:p w14:paraId="460F5966" w14:textId="77777777" w:rsidR="00780926" w:rsidRPr="00D369C9" w:rsidRDefault="00386B19" w:rsidP="00A148BD">
      <w:pPr>
        <w:rPr>
          <w:i/>
          <w:iCs/>
        </w:rPr>
      </w:pPr>
      <w:r w:rsidRPr="00D369C9">
        <w:rPr>
          <w:noProof/>
        </w:rPr>
        <w:t>Dátum prvej registrácie:</w:t>
      </w:r>
    </w:p>
    <w:p w14:paraId="55E57B57" w14:textId="77777777" w:rsidR="00780926" w:rsidRPr="00D369C9" w:rsidRDefault="00780926" w:rsidP="00B13F68">
      <w:pPr>
        <w:rPr>
          <w:szCs w:val="22"/>
        </w:rPr>
      </w:pPr>
    </w:p>
    <w:p w14:paraId="5FB997EA" w14:textId="77777777" w:rsidR="00780926" w:rsidRPr="00D369C9" w:rsidRDefault="00780926" w:rsidP="00B13F68">
      <w:pPr>
        <w:rPr>
          <w:szCs w:val="22"/>
        </w:rPr>
      </w:pPr>
    </w:p>
    <w:p w14:paraId="6E05C7A5" w14:textId="77777777" w:rsidR="00780926" w:rsidRPr="00D369C9" w:rsidRDefault="00386B19" w:rsidP="00B13F68">
      <w:pPr>
        <w:rPr>
          <w:b/>
          <w:szCs w:val="22"/>
        </w:rPr>
      </w:pPr>
      <w:r w:rsidRPr="00D369C9">
        <w:rPr>
          <w:b/>
          <w:szCs w:val="22"/>
        </w:rPr>
        <w:t>10.</w:t>
      </w:r>
      <w:r w:rsidRPr="00D369C9">
        <w:rPr>
          <w:b/>
          <w:szCs w:val="22"/>
        </w:rPr>
        <w:tab/>
        <w:t>DÁTUM REVÍZIE TEXTU</w:t>
      </w:r>
    </w:p>
    <w:p w14:paraId="6EC8E466" w14:textId="77777777" w:rsidR="00780926" w:rsidRPr="00D369C9" w:rsidRDefault="00780926" w:rsidP="00B13F68">
      <w:pPr>
        <w:rPr>
          <w:szCs w:val="22"/>
        </w:rPr>
      </w:pPr>
    </w:p>
    <w:p w14:paraId="2BEF06C8" w14:textId="77777777" w:rsidR="00780926" w:rsidRPr="00D369C9" w:rsidRDefault="00D70C99" w:rsidP="00B13F68">
      <w:pPr>
        <w:ind w:left="0" w:firstLine="0"/>
        <w:rPr>
          <w:noProof/>
          <w:szCs w:val="22"/>
        </w:rPr>
      </w:pPr>
      <w:r>
        <w:rPr>
          <w:noProof/>
          <w:szCs w:val="22"/>
        </w:rPr>
        <w:t>08/2020</w:t>
      </w:r>
    </w:p>
    <w:sectPr w:rsidR="00780926" w:rsidRPr="00D369C9" w:rsidSect="00F6288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519857" w16cid:durableId="22D7E4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C8876" w14:textId="77777777" w:rsidR="00A15B11" w:rsidRDefault="00A15B11" w:rsidP="009D3B78">
      <w:r>
        <w:separator/>
      </w:r>
    </w:p>
  </w:endnote>
  <w:endnote w:type="continuationSeparator" w:id="0">
    <w:p w14:paraId="385E31FB" w14:textId="77777777" w:rsidR="00A15B11" w:rsidRDefault="00A15B11" w:rsidP="009D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C9EB7" w14:textId="77777777" w:rsidR="00F40F3D" w:rsidRPr="00B13F68" w:rsidRDefault="00F40F3D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770398">
      <w:rPr>
        <w:rStyle w:val="slostrany"/>
        <w:rFonts w:ascii="Times New Roman" w:hAnsi="Times New Roman"/>
        <w:sz w:val="18"/>
        <w:szCs w:val="18"/>
      </w:rPr>
      <w:fldChar w:fldCharType="begin"/>
    </w:r>
    <w:r w:rsidRPr="0077039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70398">
      <w:rPr>
        <w:rStyle w:val="slostrany"/>
        <w:rFonts w:ascii="Times New Roman" w:hAnsi="Times New Roman"/>
        <w:sz w:val="18"/>
        <w:szCs w:val="18"/>
      </w:rPr>
      <w:fldChar w:fldCharType="separate"/>
    </w:r>
    <w:r w:rsidR="003D69CE">
      <w:rPr>
        <w:rStyle w:val="slostrany"/>
        <w:rFonts w:ascii="Times New Roman" w:hAnsi="Times New Roman"/>
        <w:noProof/>
        <w:sz w:val="18"/>
        <w:szCs w:val="18"/>
      </w:rPr>
      <w:t>8</w:t>
    </w:r>
    <w:r w:rsidRPr="00770398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ADC92" w14:textId="77777777" w:rsidR="00F40F3D" w:rsidRDefault="00F40F3D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770398">
      <w:rPr>
        <w:rStyle w:val="slostrany"/>
        <w:rFonts w:ascii="Times New Roman" w:hAnsi="Times New Roman"/>
        <w:sz w:val="18"/>
        <w:szCs w:val="18"/>
      </w:rPr>
      <w:fldChar w:fldCharType="begin"/>
    </w:r>
    <w:r w:rsidRPr="0077039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70398">
      <w:rPr>
        <w:rStyle w:val="slostrany"/>
        <w:rFonts w:ascii="Times New Roman" w:hAnsi="Times New Roman"/>
        <w:sz w:val="18"/>
        <w:szCs w:val="18"/>
      </w:rPr>
      <w:fldChar w:fldCharType="separate"/>
    </w:r>
    <w:r w:rsidR="003D69CE">
      <w:rPr>
        <w:rStyle w:val="slostrany"/>
        <w:rFonts w:ascii="Times New Roman" w:hAnsi="Times New Roman"/>
        <w:noProof/>
        <w:sz w:val="18"/>
        <w:szCs w:val="18"/>
      </w:rPr>
      <w:t>1</w:t>
    </w:r>
    <w:r w:rsidRPr="00770398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F1E34" w14:textId="77777777" w:rsidR="00A15B11" w:rsidRDefault="00A15B11" w:rsidP="009D3B78">
      <w:r>
        <w:separator/>
      </w:r>
    </w:p>
  </w:footnote>
  <w:footnote w:type="continuationSeparator" w:id="0">
    <w:p w14:paraId="31DC8FE8" w14:textId="77777777" w:rsidR="00A15B11" w:rsidRDefault="00A15B11" w:rsidP="009D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F8E6F" w14:textId="77777777" w:rsidR="00512364" w:rsidRPr="00A21F3C" w:rsidRDefault="00512364" w:rsidP="00512364">
    <w:pPr>
      <w:pStyle w:val="Hlavika"/>
      <w:rPr>
        <w:rFonts w:ascii="Times New Roman" w:hAnsi="Times New Roman"/>
        <w:sz w:val="18"/>
        <w:szCs w:val="18"/>
      </w:rPr>
    </w:pPr>
    <w:r w:rsidRPr="00A21F3C">
      <w:rPr>
        <w:rFonts w:ascii="Times New Roman" w:hAnsi="Times New Roman"/>
        <w:sz w:val="18"/>
        <w:szCs w:val="18"/>
      </w:rPr>
      <w:t>Schválený text k </w:t>
    </w:r>
    <w:proofErr w:type="spellStart"/>
    <w:r w:rsidRPr="00A21F3C">
      <w:rPr>
        <w:rFonts w:ascii="Times New Roman" w:hAnsi="Times New Roman"/>
        <w:sz w:val="18"/>
        <w:szCs w:val="18"/>
      </w:rPr>
      <w:t>rozhodnutiu</w:t>
    </w:r>
    <w:proofErr w:type="spellEnd"/>
    <w:r w:rsidRPr="00A21F3C">
      <w:rPr>
        <w:rFonts w:ascii="Times New Roman" w:hAnsi="Times New Roman"/>
        <w:sz w:val="18"/>
        <w:szCs w:val="18"/>
      </w:rPr>
      <w:t xml:space="preserve"> o </w:t>
    </w:r>
    <w:proofErr w:type="spellStart"/>
    <w:r w:rsidRPr="00A21F3C">
      <w:rPr>
        <w:rFonts w:ascii="Times New Roman" w:hAnsi="Times New Roman"/>
        <w:sz w:val="18"/>
        <w:szCs w:val="18"/>
      </w:rPr>
      <w:t>registrácii</w:t>
    </w:r>
    <w:proofErr w:type="spellEnd"/>
    <w:r w:rsidRPr="00A21F3C">
      <w:rPr>
        <w:rFonts w:ascii="Times New Roman" w:hAnsi="Times New Roman"/>
        <w:sz w:val="18"/>
        <w:szCs w:val="18"/>
      </w:rPr>
      <w:t xml:space="preserve">, ev. </w:t>
    </w:r>
    <w:r w:rsidRPr="00A21F3C">
      <w:rPr>
        <w:rFonts w:ascii="Times New Roman" w:hAnsi="Times New Roman" w:hint="eastAsia"/>
        <w:sz w:val="18"/>
        <w:szCs w:val="18"/>
      </w:rPr>
      <w:t>č</w:t>
    </w:r>
    <w:r w:rsidRPr="00A21F3C">
      <w:rPr>
        <w:rFonts w:ascii="Times New Roman" w:hAnsi="Times New Roman"/>
        <w:sz w:val="18"/>
        <w:szCs w:val="18"/>
      </w:rPr>
      <w:t>.:</w:t>
    </w:r>
    <w:r>
      <w:rPr>
        <w:rFonts w:ascii="Times New Roman" w:hAnsi="Times New Roman"/>
        <w:sz w:val="18"/>
        <w:szCs w:val="18"/>
      </w:rPr>
      <w:t xml:space="preserve"> </w:t>
    </w:r>
    <w:r w:rsidRPr="008C7565">
      <w:rPr>
        <w:rFonts w:ascii="Times New Roman" w:hAnsi="Times New Roman"/>
        <w:sz w:val="18"/>
        <w:szCs w:val="18"/>
      </w:rPr>
      <w:t>2019/03225-REG</w:t>
    </w:r>
    <w:r w:rsidRPr="00A21F3C">
      <w:rPr>
        <w:rFonts w:ascii="Times New Roman" w:hAnsi="Times New Roman"/>
        <w:sz w:val="18"/>
        <w:szCs w:val="18"/>
      </w:rPr>
      <w:t xml:space="preserve"> </w:t>
    </w:r>
  </w:p>
  <w:p w14:paraId="10C7FE63" w14:textId="77777777" w:rsidR="00512364" w:rsidRDefault="0051236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BEF92" w14:textId="77777777" w:rsidR="00F40F3D" w:rsidRPr="00770398" w:rsidRDefault="00F40F3D">
    <w:pPr>
      <w:pStyle w:val="Hlavika"/>
      <w:rPr>
        <w:rFonts w:ascii="Times New Roman" w:hAnsi="Times New Roman"/>
        <w:sz w:val="18"/>
        <w:szCs w:val="18"/>
      </w:rPr>
    </w:pPr>
    <w:r w:rsidRPr="00770398">
      <w:rPr>
        <w:rFonts w:ascii="Times New Roman" w:hAnsi="Times New Roman"/>
        <w:sz w:val="18"/>
        <w:szCs w:val="18"/>
      </w:rPr>
      <w:t>Schválený text k </w:t>
    </w:r>
    <w:proofErr w:type="spellStart"/>
    <w:r w:rsidRPr="00770398">
      <w:rPr>
        <w:rFonts w:ascii="Times New Roman" w:hAnsi="Times New Roman"/>
        <w:sz w:val="18"/>
        <w:szCs w:val="18"/>
      </w:rPr>
      <w:t>rozhodnutiu</w:t>
    </w:r>
    <w:proofErr w:type="spellEnd"/>
    <w:r w:rsidRPr="00770398">
      <w:rPr>
        <w:rFonts w:ascii="Times New Roman" w:hAnsi="Times New Roman"/>
        <w:sz w:val="18"/>
        <w:szCs w:val="18"/>
      </w:rPr>
      <w:t xml:space="preserve"> o </w:t>
    </w:r>
    <w:proofErr w:type="spellStart"/>
    <w:r w:rsidRPr="00770398">
      <w:rPr>
        <w:rFonts w:ascii="Times New Roman" w:hAnsi="Times New Roman"/>
        <w:sz w:val="18"/>
        <w:szCs w:val="18"/>
      </w:rPr>
      <w:t>registrácii</w:t>
    </w:r>
    <w:proofErr w:type="spellEnd"/>
    <w:r w:rsidRPr="00770398">
      <w:rPr>
        <w:rFonts w:ascii="Times New Roman" w:hAnsi="Times New Roman"/>
        <w:sz w:val="18"/>
        <w:szCs w:val="18"/>
      </w:rPr>
      <w:t xml:space="preserve">, ev. </w:t>
    </w:r>
    <w:r w:rsidRPr="00770398">
      <w:rPr>
        <w:rFonts w:ascii="Times New Roman" w:hAnsi="Times New Roman" w:hint="eastAsia"/>
        <w:sz w:val="18"/>
        <w:szCs w:val="18"/>
      </w:rPr>
      <w:t>č</w:t>
    </w:r>
    <w:r w:rsidRPr="00770398">
      <w:rPr>
        <w:rFonts w:ascii="Times New Roman" w:hAnsi="Times New Roman"/>
        <w:sz w:val="18"/>
        <w:szCs w:val="18"/>
      </w:rPr>
      <w:t>.:</w:t>
    </w:r>
    <w:r>
      <w:rPr>
        <w:rFonts w:ascii="Times New Roman" w:hAnsi="Times New Roman"/>
        <w:sz w:val="18"/>
        <w:szCs w:val="18"/>
      </w:rPr>
      <w:t xml:space="preserve"> </w:t>
    </w:r>
    <w:r w:rsidRPr="008C7565">
      <w:rPr>
        <w:rFonts w:ascii="Times New Roman" w:hAnsi="Times New Roman"/>
        <w:sz w:val="18"/>
        <w:szCs w:val="18"/>
      </w:rPr>
      <w:t>2019/03225-REG</w:t>
    </w:r>
    <w:r w:rsidRPr="00770398">
      <w:rPr>
        <w:rFonts w:ascii="Times New Roman" w:hAnsi="Times New Roman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57E91"/>
    <w:multiLevelType w:val="hybridMultilevel"/>
    <w:tmpl w:val="9C62EBE0"/>
    <w:lvl w:ilvl="0" w:tplc="788E7FD0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3963ADB"/>
    <w:multiLevelType w:val="hybridMultilevel"/>
    <w:tmpl w:val="3FB677C8"/>
    <w:lvl w:ilvl="0" w:tplc="788E7F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611FA"/>
    <w:multiLevelType w:val="hybridMultilevel"/>
    <w:tmpl w:val="BFFA8E4C"/>
    <w:lvl w:ilvl="0" w:tplc="93A82020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73897"/>
    <w:multiLevelType w:val="hybridMultilevel"/>
    <w:tmpl w:val="80C8162A"/>
    <w:lvl w:ilvl="0" w:tplc="753E6414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B770FC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8AC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25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88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6EC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6E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AA34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0E7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67476"/>
    <w:multiLevelType w:val="hybridMultilevel"/>
    <w:tmpl w:val="321EFD8A"/>
    <w:lvl w:ilvl="0" w:tplc="788E7F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31CC3"/>
    <w:multiLevelType w:val="hybridMultilevel"/>
    <w:tmpl w:val="2B223F32"/>
    <w:lvl w:ilvl="0" w:tplc="788E7F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6574AA"/>
    <w:multiLevelType w:val="hybridMultilevel"/>
    <w:tmpl w:val="E9C27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81A47"/>
    <w:multiLevelType w:val="hybridMultilevel"/>
    <w:tmpl w:val="F5B49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96E4C"/>
    <w:multiLevelType w:val="hybridMultilevel"/>
    <w:tmpl w:val="7818AC5E"/>
    <w:lvl w:ilvl="0" w:tplc="788E7F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BB5"/>
    <w:multiLevelType w:val="hybridMultilevel"/>
    <w:tmpl w:val="2E082D62"/>
    <w:lvl w:ilvl="0" w:tplc="788E7FD0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46543E69"/>
    <w:multiLevelType w:val="hybridMultilevel"/>
    <w:tmpl w:val="0E2E6236"/>
    <w:lvl w:ilvl="0" w:tplc="788E7F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4F0E0F95"/>
    <w:multiLevelType w:val="hybridMultilevel"/>
    <w:tmpl w:val="D8B6503C"/>
    <w:lvl w:ilvl="0" w:tplc="788E7F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E553B"/>
    <w:multiLevelType w:val="hybridMultilevel"/>
    <w:tmpl w:val="B4EA1732"/>
    <w:lvl w:ilvl="0" w:tplc="788E7F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 w15:restartNumberingAfterBreak="0">
    <w:nsid w:val="5D457542"/>
    <w:multiLevelType w:val="hybridMultilevel"/>
    <w:tmpl w:val="717616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900C1"/>
    <w:multiLevelType w:val="hybridMultilevel"/>
    <w:tmpl w:val="16481C2E"/>
    <w:lvl w:ilvl="0" w:tplc="788E7FD0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74FE1093"/>
    <w:multiLevelType w:val="hybridMultilevel"/>
    <w:tmpl w:val="FA2058D8"/>
    <w:lvl w:ilvl="0" w:tplc="93A82020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91BA1"/>
    <w:multiLevelType w:val="hybridMultilevel"/>
    <w:tmpl w:val="549C7F82"/>
    <w:lvl w:ilvl="0" w:tplc="C46024F6">
      <w:numFmt w:val="bullet"/>
      <w:lvlText w:val="-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00D28"/>
    <w:multiLevelType w:val="hybridMultilevel"/>
    <w:tmpl w:val="2F94C0BA"/>
    <w:lvl w:ilvl="0" w:tplc="F30C9E20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DEF4EEBA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3C84138">
      <w:start w:val="1"/>
      <w:numFmt w:val="lowerRoman"/>
      <w:lvlText w:val="%3."/>
      <w:lvlJc w:val="right"/>
      <w:pPr>
        <w:ind w:left="2160" w:hanging="180"/>
      </w:pPr>
    </w:lvl>
    <w:lvl w:ilvl="3" w:tplc="51EAF1E4">
      <w:start w:val="1"/>
      <w:numFmt w:val="decimal"/>
      <w:lvlText w:val="%4."/>
      <w:lvlJc w:val="left"/>
      <w:pPr>
        <w:ind w:left="2880" w:hanging="360"/>
      </w:pPr>
    </w:lvl>
    <w:lvl w:ilvl="4" w:tplc="6E7E4B3A">
      <w:start w:val="1"/>
      <w:numFmt w:val="lowerLetter"/>
      <w:lvlText w:val="%5."/>
      <w:lvlJc w:val="left"/>
      <w:pPr>
        <w:ind w:left="3600" w:hanging="360"/>
      </w:pPr>
    </w:lvl>
    <w:lvl w:ilvl="5" w:tplc="7CC2C1CC">
      <w:start w:val="1"/>
      <w:numFmt w:val="lowerRoman"/>
      <w:lvlText w:val="%6."/>
      <w:lvlJc w:val="right"/>
      <w:pPr>
        <w:ind w:left="4320" w:hanging="180"/>
      </w:pPr>
    </w:lvl>
    <w:lvl w:ilvl="6" w:tplc="5E0453F8">
      <w:start w:val="1"/>
      <w:numFmt w:val="decimal"/>
      <w:lvlText w:val="%7."/>
      <w:lvlJc w:val="left"/>
      <w:pPr>
        <w:ind w:left="5040" w:hanging="360"/>
      </w:pPr>
    </w:lvl>
    <w:lvl w:ilvl="7" w:tplc="C47085C6">
      <w:start w:val="1"/>
      <w:numFmt w:val="lowerLetter"/>
      <w:lvlText w:val="%8."/>
      <w:lvlJc w:val="left"/>
      <w:pPr>
        <w:ind w:left="5760" w:hanging="360"/>
      </w:pPr>
    </w:lvl>
    <w:lvl w:ilvl="8" w:tplc="6FEC31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22"/>
  </w:num>
  <w:num w:numId="5">
    <w:abstractNumId w:val="8"/>
  </w:num>
  <w:num w:numId="6">
    <w:abstractNumId w:val="17"/>
  </w:num>
  <w:num w:numId="7">
    <w:abstractNumId w:val="14"/>
  </w:num>
  <w:num w:numId="8">
    <w:abstractNumId w:val="7"/>
  </w:num>
  <w:num w:numId="9">
    <w:abstractNumId w:val="20"/>
  </w:num>
  <w:num w:numId="10">
    <w:abstractNumId w:val="21"/>
  </w:num>
  <w:num w:numId="11">
    <w:abstractNumId w:val="4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5"/>
  </w:num>
  <w:num w:numId="15">
    <w:abstractNumId w:val="3"/>
  </w:num>
  <w:num w:numId="16">
    <w:abstractNumId w:val="9"/>
  </w:num>
  <w:num w:numId="17">
    <w:abstractNumId w:val="11"/>
  </w:num>
  <w:num w:numId="18">
    <w:abstractNumId w:val="12"/>
  </w:num>
  <w:num w:numId="19">
    <w:abstractNumId w:val="1"/>
  </w:num>
  <w:num w:numId="20">
    <w:abstractNumId w:val="19"/>
  </w:num>
  <w:num w:numId="21">
    <w:abstractNumId w:val="2"/>
  </w:num>
  <w:num w:numId="22">
    <w:abstractNumId w:val="13"/>
  </w:num>
  <w:num w:numId="23">
    <w:abstractNumId w:val="16"/>
  </w:num>
  <w:num w:numId="24">
    <w:abstractNumId w:val="5"/>
  </w:num>
  <w:num w:numId="25">
    <w:abstractNumId w:val="15"/>
  </w:num>
  <w:num w:numId="26">
    <w:abstractNumId w:val="6"/>
  </w:num>
  <w:num w:numId="27">
    <w:abstractNumId w:val="1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Registered" w:val="-1"/>
    <w:docVar w:name="Version" w:val="0"/>
  </w:docVars>
  <w:rsids>
    <w:rsidRoot w:val="00780926"/>
    <w:rsid w:val="00006502"/>
    <w:rsid w:val="0001416F"/>
    <w:rsid w:val="00014749"/>
    <w:rsid w:val="0002279D"/>
    <w:rsid w:val="00032E8D"/>
    <w:rsid w:val="0003322A"/>
    <w:rsid w:val="00033569"/>
    <w:rsid w:val="00034822"/>
    <w:rsid w:val="00040726"/>
    <w:rsid w:val="00041F5F"/>
    <w:rsid w:val="00052EE2"/>
    <w:rsid w:val="00056045"/>
    <w:rsid w:val="000561FD"/>
    <w:rsid w:val="0005682C"/>
    <w:rsid w:val="00061445"/>
    <w:rsid w:val="000740C0"/>
    <w:rsid w:val="00077CF6"/>
    <w:rsid w:val="00085939"/>
    <w:rsid w:val="00085B1F"/>
    <w:rsid w:val="00090230"/>
    <w:rsid w:val="00091BEB"/>
    <w:rsid w:val="00096CAA"/>
    <w:rsid w:val="000B13AD"/>
    <w:rsid w:val="000B6759"/>
    <w:rsid w:val="000C534D"/>
    <w:rsid w:val="000C6D5B"/>
    <w:rsid w:val="000D3B1B"/>
    <w:rsid w:val="000E2174"/>
    <w:rsid w:val="000E3D7D"/>
    <w:rsid w:val="000E7685"/>
    <w:rsid w:val="001001CE"/>
    <w:rsid w:val="001017B1"/>
    <w:rsid w:val="00102087"/>
    <w:rsid w:val="001023F2"/>
    <w:rsid w:val="001026C2"/>
    <w:rsid w:val="001114AF"/>
    <w:rsid w:val="00111E1A"/>
    <w:rsid w:val="001150F2"/>
    <w:rsid w:val="00117A3D"/>
    <w:rsid w:val="00131895"/>
    <w:rsid w:val="001334A2"/>
    <w:rsid w:val="00134037"/>
    <w:rsid w:val="00134B55"/>
    <w:rsid w:val="00134B63"/>
    <w:rsid w:val="00135894"/>
    <w:rsid w:val="00137205"/>
    <w:rsid w:val="001406FE"/>
    <w:rsid w:val="00141412"/>
    <w:rsid w:val="00141600"/>
    <w:rsid w:val="00141BD1"/>
    <w:rsid w:val="00145398"/>
    <w:rsid w:val="0015367B"/>
    <w:rsid w:val="00157A8A"/>
    <w:rsid w:val="00163E45"/>
    <w:rsid w:val="0017245A"/>
    <w:rsid w:val="001765D9"/>
    <w:rsid w:val="00177A4A"/>
    <w:rsid w:val="00185719"/>
    <w:rsid w:val="00185CB1"/>
    <w:rsid w:val="00187569"/>
    <w:rsid w:val="001877DE"/>
    <w:rsid w:val="00187ECC"/>
    <w:rsid w:val="001967D9"/>
    <w:rsid w:val="001A3218"/>
    <w:rsid w:val="001A33A1"/>
    <w:rsid w:val="001B0509"/>
    <w:rsid w:val="001B08B2"/>
    <w:rsid w:val="001B1DB0"/>
    <w:rsid w:val="001B6A6D"/>
    <w:rsid w:val="001B73FD"/>
    <w:rsid w:val="001B797C"/>
    <w:rsid w:val="001C463D"/>
    <w:rsid w:val="001C4F42"/>
    <w:rsid w:val="001C75BB"/>
    <w:rsid w:val="001D1B4B"/>
    <w:rsid w:val="001D3863"/>
    <w:rsid w:val="001D4230"/>
    <w:rsid w:val="001E1409"/>
    <w:rsid w:val="001E5F62"/>
    <w:rsid w:val="001F0B64"/>
    <w:rsid w:val="001F4112"/>
    <w:rsid w:val="001F55F1"/>
    <w:rsid w:val="001F6391"/>
    <w:rsid w:val="001F7CF0"/>
    <w:rsid w:val="002003FB"/>
    <w:rsid w:val="00202B1B"/>
    <w:rsid w:val="00205FC2"/>
    <w:rsid w:val="00211FA8"/>
    <w:rsid w:val="00220A3F"/>
    <w:rsid w:val="002227EB"/>
    <w:rsid w:val="00222D76"/>
    <w:rsid w:val="00223E9F"/>
    <w:rsid w:val="002245D8"/>
    <w:rsid w:val="0022527A"/>
    <w:rsid w:val="00245384"/>
    <w:rsid w:val="00247BB2"/>
    <w:rsid w:val="0025422C"/>
    <w:rsid w:val="0025696C"/>
    <w:rsid w:val="00257987"/>
    <w:rsid w:val="00262E0C"/>
    <w:rsid w:val="002651FD"/>
    <w:rsid w:val="002660C8"/>
    <w:rsid w:val="00270B82"/>
    <w:rsid w:val="002776F1"/>
    <w:rsid w:val="00281C02"/>
    <w:rsid w:val="00282559"/>
    <w:rsid w:val="00284EEF"/>
    <w:rsid w:val="00296D04"/>
    <w:rsid w:val="002A116E"/>
    <w:rsid w:val="002A1D7C"/>
    <w:rsid w:val="002A24BE"/>
    <w:rsid w:val="002A46DA"/>
    <w:rsid w:val="002A6AB5"/>
    <w:rsid w:val="002B2E3C"/>
    <w:rsid w:val="002B3D0D"/>
    <w:rsid w:val="002B51FA"/>
    <w:rsid w:val="002B7838"/>
    <w:rsid w:val="002C428B"/>
    <w:rsid w:val="002C5553"/>
    <w:rsid w:val="002C64A9"/>
    <w:rsid w:val="002D53FE"/>
    <w:rsid w:val="002D5C3E"/>
    <w:rsid w:val="002D63CC"/>
    <w:rsid w:val="002D6730"/>
    <w:rsid w:val="002F1444"/>
    <w:rsid w:val="002F2EDC"/>
    <w:rsid w:val="002F4F63"/>
    <w:rsid w:val="003015F6"/>
    <w:rsid w:val="003021DE"/>
    <w:rsid w:val="00302F2A"/>
    <w:rsid w:val="00304C42"/>
    <w:rsid w:val="00306120"/>
    <w:rsid w:val="0031186C"/>
    <w:rsid w:val="00314AD5"/>
    <w:rsid w:val="00330840"/>
    <w:rsid w:val="00332DC3"/>
    <w:rsid w:val="00340AE2"/>
    <w:rsid w:val="00344ECE"/>
    <w:rsid w:val="00345373"/>
    <w:rsid w:val="003461A9"/>
    <w:rsid w:val="00346633"/>
    <w:rsid w:val="00354BEB"/>
    <w:rsid w:val="00355F02"/>
    <w:rsid w:val="00360BEC"/>
    <w:rsid w:val="003724D2"/>
    <w:rsid w:val="00374CAD"/>
    <w:rsid w:val="00376340"/>
    <w:rsid w:val="00382713"/>
    <w:rsid w:val="00386B19"/>
    <w:rsid w:val="003905CB"/>
    <w:rsid w:val="00390721"/>
    <w:rsid w:val="003A58B8"/>
    <w:rsid w:val="003A6469"/>
    <w:rsid w:val="003A706F"/>
    <w:rsid w:val="003A79B1"/>
    <w:rsid w:val="003C383B"/>
    <w:rsid w:val="003D0304"/>
    <w:rsid w:val="003D1767"/>
    <w:rsid w:val="003D3D90"/>
    <w:rsid w:val="003D69CE"/>
    <w:rsid w:val="003E1ACA"/>
    <w:rsid w:val="003F1419"/>
    <w:rsid w:val="003F2753"/>
    <w:rsid w:val="003F2EE9"/>
    <w:rsid w:val="003F6390"/>
    <w:rsid w:val="003F71DB"/>
    <w:rsid w:val="00405956"/>
    <w:rsid w:val="004104FE"/>
    <w:rsid w:val="00410B86"/>
    <w:rsid w:val="0041172C"/>
    <w:rsid w:val="00411A8F"/>
    <w:rsid w:val="004139F1"/>
    <w:rsid w:val="00414B79"/>
    <w:rsid w:val="004210D4"/>
    <w:rsid w:val="00422A6D"/>
    <w:rsid w:val="0042356B"/>
    <w:rsid w:val="00432830"/>
    <w:rsid w:val="00456BB1"/>
    <w:rsid w:val="0045736B"/>
    <w:rsid w:val="00457BB5"/>
    <w:rsid w:val="004605F8"/>
    <w:rsid w:val="0046323B"/>
    <w:rsid w:val="004713CF"/>
    <w:rsid w:val="004800E7"/>
    <w:rsid w:val="0048412D"/>
    <w:rsid w:val="00486C3D"/>
    <w:rsid w:val="00486CF4"/>
    <w:rsid w:val="0048718C"/>
    <w:rsid w:val="0049191E"/>
    <w:rsid w:val="004A5D40"/>
    <w:rsid w:val="004A7591"/>
    <w:rsid w:val="004C0111"/>
    <w:rsid w:val="004D457B"/>
    <w:rsid w:val="004D69CE"/>
    <w:rsid w:val="004D71F7"/>
    <w:rsid w:val="004E2700"/>
    <w:rsid w:val="004E3D14"/>
    <w:rsid w:val="004E770D"/>
    <w:rsid w:val="004E78AD"/>
    <w:rsid w:val="004F1DC7"/>
    <w:rsid w:val="004F3B6D"/>
    <w:rsid w:val="004F67CF"/>
    <w:rsid w:val="00504C89"/>
    <w:rsid w:val="00510CCB"/>
    <w:rsid w:val="00512364"/>
    <w:rsid w:val="005269F8"/>
    <w:rsid w:val="005279ED"/>
    <w:rsid w:val="00535D12"/>
    <w:rsid w:val="00536B25"/>
    <w:rsid w:val="00537894"/>
    <w:rsid w:val="00540A65"/>
    <w:rsid w:val="005461F2"/>
    <w:rsid w:val="005506A4"/>
    <w:rsid w:val="005529E6"/>
    <w:rsid w:val="00560D93"/>
    <w:rsid w:val="005652B3"/>
    <w:rsid w:val="00571AA5"/>
    <w:rsid w:val="0058262C"/>
    <w:rsid w:val="00582C91"/>
    <w:rsid w:val="00591DD9"/>
    <w:rsid w:val="005971B0"/>
    <w:rsid w:val="005A5717"/>
    <w:rsid w:val="005B56AB"/>
    <w:rsid w:val="005C01F5"/>
    <w:rsid w:val="005C2BAB"/>
    <w:rsid w:val="005C5FB4"/>
    <w:rsid w:val="005D4CBF"/>
    <w:rsid w:val="005E06EF"/>
    <w:rsid w:val="005E4F97"/>
    <w:rsid w:val="005F68C0"/>
    <w:rsid w:val="006036B1"/>
    <w:rsid w:val="00606388"/>
    <w:rsid w:val="00607357"/>
    <w:rsid w:val="00610BC7"/>
    <w:rsid w:val="006114F0"/>
    <w:rsid w:val="00613043"/>
    <w:rsid w:val="006141F4"/>
    <w:rsid w:val="00614ED1"/>
    <w:rsid w:val="00626759"/>
    <w:rsid w:val="006344BF"/>
    <w:rsid w:val="00635C39"/>
    <w:rsid w:val="00650EBD"/>
    <w:rsid w:val="006604F7"/>
    <w:rsid w:val="006635B8"/>
    <w:rsid w:val="00664192"/>
    <w:rsid w:val="00666A5F"/>
    <w:rsid w:val="006670C3"/>
    <w:rsid w:val="00671E24"/>
    <w:rsid w:val="0067386E"/>
    <w:rsid w:val="00677985"/>
    <w:rsid w:val="006864DC"/>
    <w:rsid w:val="00691D3A"/>
    <w:rsid w:val="00693075"/>
    <w:rsid w:val="00693217"/>
    <w:rsid w:val="00693B8A"/>
    <w:rsid w:val="006A0574"/>
    <w:rsid w:val="006A44C5"/>
    <w:rsid w:val="006A4970"/>
    <w:rsid w:val="006A513D"/>
    <w:rsid w:val="006A65F5"/>
    <w:rsid w:val="006A68C6"/>
    <w:rsid w:val="006A6F5F"/>
    <w:rsid w:val="006A7CC5"/>
    <w:rsid w:val="006B1053"/>
    <w:rsid w:val="006B1A3A"/>
    <w:rsid w:val="006C3768"/>
    <w:rsid w:val="006C6631"/>
    <w:rsid w:val="006D7D4F"/>
    <w:rsid w:val="006E41C1"/>
    <w:rsid w:val="006F0A47"/>
    <w:rsid w:val="006F3CD9"/>
    <w:rsid w:val="0070353A"/>
    <w:rsid w:val="007173DF"/>
    <w:rsid w:val="00724E11"/>
    <w:rsid w:val="00725902"/>
    <w:rsid w:val="007262FE"/>
    <w:rsid w:val="0073167B"/>
    <w:rsid w:val="00734C0D"/>
    <w:rsid w:val="00740C03"/>
    <w:rsid w:val="007474B3"/>
    <w:rsid w:val="007476C6"/>
    <w:rsid w:val="00751BAC"/>
    <w:rsid w:val="00752EF3"/>
    <w:rsid w:val="00752FD9"/>
    <w:rsid w:val="0076089C"/>
    <w:rsid w:val="00770398"/>
    <w:rsid w:val="00771E0F"/>
    <w:rsid w:val="00780926"/>
    <w:rsid w:val="00780EE8"/>
    <w:rsid w:val="007824C5"/>
    <w:rsid w:val="00783152"/>
    <w:rsid w:val="007857E9"/>
    <w:rsid w:val="0078730F"/>
    <w:rsid w:val="00791189"/>
    <w:rsid w:val="007A0105"/>
    <w:rsid w:val="007A090E"/>
    <w:rsid w:val="007A4C2E"/>
    <w:rsid w:val="007B49B0"/>
    <w:rsid w:val="007C3776"/>
    <w:rsid w:val="007C3AA6"/>
    <w:rsid w:val="007C71C8"/>
    <w:rsid w:val="007E1CC0"/>
    <w:rsid w:val="007E1F8F"/>
    <w:rsid w:val="007E57DC"/>
    <w:rsid w:val="007E5956"/>
    <w:rsid w:val="007F544E"/>
    <w:rsid w:val="007F570D"/>
    <w:rsid w:val="00803622"/>
    <w:rsid w:val="00803841"/>
    <w:rsid w:val="00805154"/>
    <w:rsid w:val="008052B1"/>
    <w:rsid w:val="00806F1C"/>
    <w:rsid w:val="00820679"/>
    <w:rsid w:val="0082445A"/>
    <w:rsid w:val="0082743C"/>
    <w:rsid w:val="00837096"/>
    <w:rsid w:val="00841F50"/>
    <w:rsid w:val="008501F3"/>
    <w:rsid w:val="00852371"/>
    <w:rsid w:val="0085357F"/>
    <w:rsid w:val="00857222"/>
    <w:rsid w:val="008575F1"/>
    <w:rsid w:val="0086426A"/>
    <w:rsid w:val="00864D05"/>
    <w:rsid w:val="00873520"/>
    <w:rsid w:val="00884AB9"/>
    <w:rsid w:val="008873CC"/>
    <w:rsid w:val="00891D76"/>
    <w:rsid w:val="00893281"/>
    <w:rsid w:val="008C1B51"/>
    <w:rsid w:val="008C7565"/>
    <w:rsid w:val="008D1ACE"/>
    <w:rsid w:val="008E0812"/>
    <w:rsid w:val="008E4CFA"/>
    <w:rsid w:val="008F0FB1"/>
    <w:rsid w:val="008F6BC1"/>
    <w:rsid w:val="009058FE"/>
    <w:rsid w:val="0091185E"/>
    <w:rsid w:val="009149CB"/>
    <w:rsid w:val="0092460D"/>
    <w:rsid w:val="009247BE"/>
    <w:rsid w:val="0093424C"/>
    <w:rsid w:val="009373ED"/>
    <w:rsid w:val="0094023A"/>
    <w:rsid w:val="0094502F"/>
    <w:rsid w:val="00946672"/>
    <w:rsid w:val="00951D3F"/>
    <w:rsid w:val="0095258D"/>
    <w:rsid w:val="009612A3"/>
    <w:rsid w:val="00973104"/>
    <w:rsid w:val="00973AE3"/>
    <w:rsid w:val="00982BA2"/>
    <w:rsid w:val="0098346F"/>
    <w:rsid w:val="00990742"/>
    <w:rsid w:val="00995476"/>
    <w:rsid w:val="00996ECA"/>
    <w:rsid w:val="009976B6"/>
    <w:rsid w:val="009A36A8"/>
    <w:rsid w:val="009A65D6"/>
    <w:rsid w:val="009A7D9D"/>
    <w:rsid w:val="009B0809"/>
    <w:rsid w:val="009B423F"/>
    <w:rsid w:val="009C221B"/>
    <w:rsid w:val="009C3FDF"/>
    <w:rsid w:val="009C5E1E"/>
    <w:rsid w:val="009C7904"/>
    <w:rsid w:val="009C7B23"/>
    <w:rsid w:val="009D0515"/>
    <w:rsid w:val="009D3B78"/>
    <w:rsid w:val="009D46BF"/>
    <w:rsid w:val="009D5E45"/>
    <w:rsid w:val="009D773C"/>
    <w:rsid w:val="009E0561"/>
    <w:rsid w:val="009E0E67"/>
    <w:rsid w:val="009E50E4"/>
    <w:rsid w:val="009E7F43"/>
    <w:rsid w:val="009F1145"/>
    <w:rsid w:val="00A0053E"/>
    <w:rsid w:val="00A0424C"/>
    <w:rsid w:val="00A10438"/>
    <w:rsid w:val="00A105BA"/>
    <w:rsid w:val="00A110C1"/>
    <w:rsid w:val="00A148BD"/>
    <w:rsid w:val="00A15B11"/>
    <w:rsid w:val="00A203FD"/>
    <w:rsid w:val="00A236CF"/>
    <w:rsid w:val="00A2444C"/>
    <w:rsid w:val="00A244BE"/>
    <w:rsid w:val="00A31A9C"/>
    <w:rsid w:val="00A335E9"/>
    <w:rsid w:val="00A35F2D"/>
    <w:rsid w:val="00A37C43"/>
    <w:rsid w:val="00A416B8"/>
    <w:rsid w:val="00A43F3E"/>
    <w:rsid w:val="00A537AA"/>
    <w:rsid w:val="00A63C0B"/>
    <w:rsid w:val="00A71865"/>
    <w:rsid w:val="00A72672"/>
    <w:rsid w:val="00A72726"/>
    <w:rsid w:val="00A737B8"/>
    <w:rsid w:val="00A75ECC"/>
    <w:rsid w:val="00A80F9E"/>
    <w:rsid w:val="00A81EDE"/>
    <w:rsid w:val="00A824EB"/>
    <w:rsid w:val="00A833E5"/>
    <w:rsid w:val="00A85CCE"/>
    <w:rsid w:val="00AB4AE7"/>
    <w:rsid w:val="00AD4F38"/>
    <w:rsid w:val="00AE06DC"/>
    <w:rsid w:val="00AE4D65"/>
    <w:rsid w:val="00AF6900"/>
    <w:rsid w:val="00B00492"/>
    <w:rsid w:val="00B04CE0"/>
    <w:rsid w:val="00B06E24"/>
    <w:rsid w:val="00B07509"/>
    <w:rsid w:val="00B07C83"/>
    <w:rsid w:val="00B07EB7"/>
    <w:rsid w:val="00B11FF5"/>
    <w:rsid w:val="00B1281C"/>
    <w:rsid w:val="00B13F68"/>
    <w:rsid w:val="00B166AF"/>
    <w:rsid w:val="00B21DB7"/>
    <w:rsid w:val="00B2357B"/>
    <w:rsid w:val="00B323B9"/>
    <w:rsid w:val="00B350AA"/>
    <w:rsid w:val="00B36EA3"/>
    <w:rsid w:val="00B37E54"/>
    <w:rsid w:val="00B4320A"/>
    <w:rsid w:val="00B464C1"/>
    <w:rsid w:val="00B46730"/>
    <w:rsid w:val="00B52CB4"/>
    <w:rsid w:val="00B604EF"/>
    <w:rsid w:val="00B61050"/>
    <w:rsid w:val="00B66F6E"/>
    <w:rsid w:val="00B73FDE"/>
    <w:rsid w:val="00B74D45"/>
    <w:rsid w:val="00B77873"/>
    <w:rsid w:val="00B8085A"/>
    <w:rsid w:val="00B83E6D"/>
    <w:rsid w:val="00B8797B"/>
    <w:rsid w:val="00B95A19"/>
    <w:rsid w:val="00B97E79"/>
    <w:rsid w:val="00BA246A"/>
    <w:rsid w:val="00BB6D67"/>
    <w:rsid w:val="00BC4332"/>
    <w:rsid w:val="00BC798A"/>
    <w:rsid w:val="00BD1AC2"/>
    <w:rsid w:val="00BD7004"/>
    <w:rsid w:val="00BE24F8"/>
    <w:rsid w:val="00BE3E86"/>
    <w:rsid w:val="00BF0071"/>
    <w:rsid w:val="00BF5AB0"/>
    <w:rsid w:val="00BF6308"/>
    <w:rsid w:val="00C03EA6"/>
    <w:rsid w:val="00C068DC"/>
    <w:rsid w:val="00C073EF"/>
    <w:rsid w:val="00C07DD0"/>
    <w:rsid w:val="00C11C2E"/>
    <w:rsid w:val="00C12EC8"/>
    <w:rsid w:val="00C213A6"/>
    <w:rsid w:val="00C2249C"/>
    <w:rsid w:val="00C233E9"/>
    <w:rsid w:val="00C26F80"/>
    <w:rsid w:val="00C3762E"/>
    <w:rsid w:val="00C424CA"/>
    <w:rsid w:val="00C45361"/>
    <w:rsid w:val="00C55DBB"/>
    <w:rsid w:val="00C63794"/>
    <w:rsid w:val="00C67A12"/>
    <w:rsid w:val="00C708BA"/>
    <w:rsid w:val="00C82AA0"/>
    <w:rsid w:val="00C85B40"/>
    <w:rsid w:val="00CA1ABB"/>
    <w:rsid w:val="00CA1D03"/>
    <w:rsid w:val="00CA34F6"/>
    <w:rsid w:val="00CB25B2"/>
    <w:rsid w:val="00CC4916"/>
    <w:rsid w:val="00CC4EC3"/>
    <w:rsid w:val="00CC644C"/>
    <w:rsid w:val="00CC7110"/>
    <w:rsid w:val="00CD175A"/>
    <w:rsid w:val="00CD4E48"/>
    <w:rsid w:val="00CE110B"/>
    <w:rsid w:val="00CE7771"/>
    <w:rsid w:val="00CF0244"/>
    <w:rsid w:val="00CF0342"/>
    <w:rsid w:val="00CF28BB"/>
    <w:rsid w:val="00CF45CA"/>
    <w:rsid w:val="00CF76C2"/>
    <w:rsid w:val="00D027AF"/>
    <w:rsid w:val="00D06B2B"/>
    <w:rsid w:val="00D10860"/>
    <w:rsid w:val="00D15C7A"/>
    <w:rsid w:val="00D326E1"/>
    <w:rsid w:val="00D33F2E"/>
    <w:rsid w:val="00D34EF2"/>
    <w:rsid w:val="00D369C9"/>
    <w:rsid w:val="00D513D2"/>
    <w:rsid w:val="00D52196"/>
    <w:rsid w:val="00D537D0"/>
    <w:rsid w:val="00D574B3"/>
    <w:rsid w:val="00D61191"/>
    <w:rsid w:val="00D65473"/>
    <w:rsid w:val="00D66F9C"/>
    <w:rsid w:val="00D67CF2"/>
    <w:rsid w:val="00D70C99"/>
    <w:rsid w:val="00D71CEA"/>
    <w:rsid w:val="00D7209E"/>
    <w:rsid w:val="00D7577A"/>
    <w:rsid w:val="00D75ABE"/>
    <w:rsid w:val="00D92F55"/>
    <w:rsid w:val="00D93ACB"/>
    <w:rsid w:val="00D96D7D"/>
    <w:rsid w:val="00D96DB0"/>
    <w:rsid w:val="00D96F2E"/>
    <w:rsid w:val="00DA4090"/>
    <w:rsid w:val="00DA63C9"/>
    <w:rsid w:val="00DB4037"/>
    <w:rsid w:val="00DC1D8D"/>
    <w:rsid w:val="00DC3DFB"/>
    <w:rsid w:val="00DC4AD3"/>
    <w:rsid w:val="00DC5030"/>
    <w:rsid w:val="00DD354E"/>
    <w:rsid w:val="00DD452B"/>
    <w:rsid w:val="00DE0FD2"/>
    <w:rsid w:val="00DF1294"/>
    <w:rsid w:val="00DF5674"/>
    <w:rsid w:val="00DF67A9"/>
    <w:rsid w:val="00E11024"/>
    <w:rsid w:val="00E13A3E"/>
    <w:rsid w:val="00E1698A"/>
    <w:rsid w:val="00E23A3A"/>
    <w:rsid w:val="00E269B5"/>
    <w:rsid w:val="00E26B6E"/>
    <w:rsid w:val="00E41B3F"/>
    <w:rsid w:val="00E4563B"/>
    <w:rsid w:val="00E5053B"/>
    <w:rsid w:val="00E51134"/>
    <w:rsid w:val="00E53CD7"/>
    <w:rsid w:val="00E62BB2"/>
    <w:rsid w:val="00E65206"/>
    <w:rsid w:val="00E754EC"/>
    <w:rsid w:val="00E877C8"/>
    <w:rsid w:val="00E9119A"/>
    <w:rsid w:val="00EA405A"/>
    <w:rsid w:val="00EC19B3"/>
    <w:rsid w:val="00EC1CF9"/>
    <w:rsid w:val="00EC2CE9"/>
    <w:rsid w:val="00EE1F4B"/>
    <w:rsid w:val="00EE62D2"/>
    <w:rsid w:val="00EE6AC0"/>
    <w:rsid w:val="00F00D87"/>
    <w:rsid w:val="00F02F60"/>
    <w:rsid w:val="00F03F6B"/>
    <w:rsid w:val="00F05B3A"/>
    <w:rsid w:val="00F06F4D"/>
    <w:rsid w:val="00F07529"/>
    <w:rsid w:val="00F11AE3"/>
    <w:rsid w:val="00F145AE"/>
    <w:rsid w:val="00F222AA"/>
    <w:rsid w:val="00F30177"/>
    <w:rsid w:val="00F325ED"/>
    <w:rsid w:val="00F40F3D"/>
    <w:rsid w:val="00F42591"/>
    <w:rsid w:val="00F44613"/>
    <w:rsid w:val="00F500E3"/>
    <w:rsid w:val="00F54EF0"/>
    <w:rsid w:val="00F55076"/>
    <w:rsid w:val="00F6288E"/>
    <w:rsid w:val="00F63DAD"/>
    <w:rsid w:val="00F66A28"/>
    <w:rsid w:val="00F742AC"/>
    <w:rsid w:val="00F75690"/>
    <w:rsid w:val="00F81142"/>
    <w:rsid w:val="00F8384D"/>
    <w:rsid w:val="00F85745"/>
    <w:rsid w:val="00F85EAC"/>
    <w:rsid w:val="00F9666C"/>
    <w:rsid w:val="00FA099B"/>
    <w:rsid w:val="00FA35E8"/>
    <w:rsid w:val="00FB09BB"/>
    <w:rsid w:val="00FB533E"/>
    <w:rsid w:val="00FC0200"/>
    <w:rsid w:val="00FC6918"/>
    <w:rsid w:val="00FD4061"/>
    <w:rsid w:val="00FD5B18"/>
    <w:rsid w:val="00FD6C5D"/>
    <w:rsid w:val="00FE007A"/>
    <w:rsid w:val="00FE6B74"/>
    <w:rsid w:val="00FF25FE"/>
    <w:rsid w:val="00FF2EC0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CF18B8"/>
  <w15:docId w15:val="{397F89FC-3AFB-CA45-891D-7EA7EC72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3B78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9D3B78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9D3B78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9D3B78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9D3B78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9D3B78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9D3B7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9D3B7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9D3B78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9D3B78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9D3B78"/>
  </w:style>
  <w:style w:type="paragraph" w:styleId="Pta">
    <w:name w:val="footer"/>
    <w:basedOn w:val="Normlny"/>
    <w:rsid w:val="009D3B78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9D3B78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9D3B78"/>
    <w:rPr>
      <w:color w:val="0000FF"/>
      <w:u w:val="single"/>
    </w:rPr>
  </w:style>
  <w:style w:type="paragraph" w:customStyle="1" w:styleId="EMEAEnBodyText">
    <w:name w:val="EMEA En Body Text"/>
    <w:basedOn w:val="Normlny"/>
    <w:rsid w:val="009D3B78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9D3B78"/>
    <w:pPr>
      <w:ind w:left="0" w:firstLine="0"/>
    </w:pPr>
  </w:style>
  <w:style w:type="paragraph" w:styleId="Textbubliny">
    <w:name w:val="Balloon Text"/>
    <w:basedOn w:val="Normlny"/>
    <w:semiHidden/>
    <w:rsid w:val="009D3B78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9D3B78"/>
    <w:rPr>
      <w:color w:val="800080"/>
      <w:u w:val="single"/>
    </w:rPr>
  </w:style>
  <w:style w:type="character" w:styleId="Odkaznakomentr">
    <w:name w:val="annotation reference"/>
    <w:uiPriority w:val="99"/>
    <w:rsid w:val="009D3B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D3B7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D3B78"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paragraph" w:customStyle="1" w:styleId="Default">
    <w:name w:val="Default"/>
    <w:rsid w:val="00386B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3D1767"/>
    <w:rPr>
      <w:sz w:val="22"/>
      <w:szCs w:val="24"/>
      <w:lang w:val="sk-SK" w:eastAsia="sk-SK"/>
    </w:rPr>
  </w:style>
  <w:style w:type="table" w:styleId="Mriekatabuky">
    <w:name w:val="Table Grid"/>
    <w:basedOn w:val="Normlnatabuka"/>
    <w:rsid w:val="00E62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D53FE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B11FF5"/>
    <w:pPr>
      <w:widowControl w:val="0"/>
      <w:autoSpaceDE w:val="0"/>
      <w:autoSpaceDN w:val="0"/>
      <w:ind w:left="0" w:firstLine="0"/>
    </w:pPr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DE394-3839-4A40-8F6C-A4BA315E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5858</Words>
  <Characters>33394</Characters>
  <Application>Microsoft Office Word</Application>
  <DocSecurity>0</DocSecurity>
  <Lines>278</Lines>
  <Paragraphs>78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Hreferralspcclean_sk</vt:lpstr>
      <vt:lpstr>Hreferralspcclean_sk</vt:lpstr>
      <vt:lpstr>Hreferralspccleansk rev.1 08-2016</vt:lpstr>
    </vt:vector>
  </TitlesOfParts>
  <Company>EMEA</Company>
  <LinksUpToDate>false</LinksUpToDate>
  <CharactersWithSpaces>39174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Kamila Bezeková</cp:lastModifiedBy>
  <cp:revision>7</cp:revision>
  <cp:lastPrinted>2020-08-20T13:34:00Z</cp:lastPrinted>
  <dcterms:created xsi:type="dcterms:W3CDTF">2020-08-19T12:16:00Z</dcterms:created>
  <dcterms:modified xsi:type="dcterms:W3CDTF">2020-08-20T13:36:00Z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