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47266F" w14:textId="77777777" w:rsidR="00060513" w:rsidRDefault="00060513" w:rsidP="00575A1F">
      <w:pPr>
        <w:jc w:val="center"/>
        <w:rPr>
          <w:b/>
          <w:color w:val="auto"/>
        </w:rPr>
      </w:pPr>
      <w:bookmarkStart w:id="0" w:name="_GoBack"/>
      <w:bookmarkEnd w:id="0"/>
    </w:p>
    <w:p w14:paraId="2C0A46DD" w14:textId="77777777" w:rsidR="00323CDC" w:rsidRPr="009D7C92" w:rsidRDefault="00323CDC" w:rsidP="00575A1F">
      <w:pPr>
        <w:jc w:val="center"/>
        <w:rPr>
          <w:b/>
          <w:color w:val="auto"/>
        </w:rPr>
      </w:pPr>
      <w:r w:rsidRPr="009D7C92">
        <w:rPr>
          <w:b/>
          <w:color w:val="auto"/>
        </w:rPr>
        <w:t>SÚHRN CHARAKTERISTICKÝCH VLASTNOSTÍ LIEKU</w:t>
      </w:r>
    </w:p>
    <w:p w14:paraId="214D66A7" w14:textId="7F4F211F" w:rsidR="00323CDC" w:rsidRPr="009D7C92" w:rsidRDefault="00323CDC" w:rsidP="00EE703D">
      <w:pPr>
        <w:jc w:val="left"/>
        <w:rPr>
          <w:color w:val="auto"/>
        </w:rPr>
      </w:pPr>
    </w:p>
    <w:p w14:paraId="3167CA65" w14:textId="19B68C23" w:rsidR="00323CDC" w:rsidRPr="009D7C92" w:rsidRDefault="00323CDC" w:rsidP="00211D25">
      <w:pPr>
        <w:jc w:val="left"/>
        <w:rPr>
          <w:color w:val="auto"/>
        </w:rPr>
      </w:pPr>
    </w:p>
    <w:p w14:paraId="626B05F3" w14:textId="50BC4141" w:rsidR="00EB25B2" w:rsidRDefault="00323CDC" w:rsidP="00243692">
      <w:pPr>
        <w:ind w:left="567" w:right="0" w:hanging="567"/>
        <w:jc w:val="left"/>
        <w:rPr>
          <w:b/>
          <w:color w:val="auto"/>
        </w:rPr>
      </w:pPr>
      <w:r w:rsidRPr="009D7C92">
        <w:rPr>
          <w:b/>
          <w:color w:val="auto"/>
        </w:rPr>
        <w:t>1.</w:t>
      </w:r>
      <w:r w:rsidRPr="009D7C92">
        <w:rPr>
          <w:b/>
          <w:color w:val="auto"/>
        </w:rPr>
        <w:tab/>
        <w:t xml:space="preserve">NÁZOV </w:t>
      </w:r>
      <w:r w:rsidRPr="009D7C92">
        <w:rPr>
          <w:b/>
          <w:color w:val="auto"/>
          <w:lang w:eastAsia="sk-SK"/>
        </w:rPr>
        <w:t>LIEKU</w:t>
      </w:r>
    </w:p>
    <w:p w14:paraId="37EF6BA5" w14:textId="0B2AE785" w:rsidR="00323CDC" w:rsidRPr="009D7C92" w:rsidRDefault="00323CDC" w:rsidP="00EE703D">
      <w:pPr>
        <w:jc w:val="left"/>
        <w:rPr>
          <w:color w:val="auto"/>
        </w:rPr>
      </w:pPr>
    </w:p>
    <w:p w14:paraId="7701727A" w14:textId="77777777" w:rsidR="00323CDC" w:rsidRPr="009D7C92" w:rsidRDefault="00537DBD">
      <w:pPr>
        <w:jc w:val="left"/>
        <w:rPr>
          <w:color w:val="auto"/>
        </w:rPr>
      </w:pPr>
      <w:r w:rsidRPr="009D7C92">
        <w:rPr>
          <w:color w:val="auto"/>
        </w:rPr>
        <w:t xml:space="preserve">Ramipril/Amlodipín/Hydrochlorotiazid Adamed </w:t>
      </w:r>
      <w:r w:rsidR="00323CDC" w:rsidRPr="009D7C92">
        <w:rPr>
          <w:color w:val="auto"/>
        </w:rPr>
        <w:t>5 mg</w:t>
      </w:r>
      <w:r w:rsidRPr="009D7C92">
        <w:rPr>
          <w:color w:val="auto"/>
        </w:rPr>
        <w:t>/5 mg/12,5 mg</w:t>
      </w:r>
    </w:p>
    <w:p w14:paraId="0D91B4D9" w14:textId="77777777" w:rsidR="00323CDC" w:rsidRPr="009D7C92" w:rsidRDefault="00537DBD">
      <w:pPr>
        <w:jc w:val="left"/>
        <w:rPr>
          <w:color w:val="auto"/>
        </w:rPr>
      </w:pPr>
      <w:r w:rsidRPr="009D7C92">
        <w:rPr>
          <w:color w:val="auto"/>
        </w:rPr>
        <w:t>Ramipril/Amlodipín/Hydrochlorotiazid Adamed</w:t>
      </w:r>
      <w:r w:rsidR="00323CDC" w:rsidRPr="009D7C92">
        <w:rPr>
          <w:color w:val="auto"/>
        </w:rPr>
        <w:t xml:space="preserve"> 5 mg/5 mg/25 mg</w:t>
      </w:r>
    </w:p>
    <w:p w14:paraId="3ED015B7" w14:textId="52F5D80E" w:rsidR="00EB25B2" w:rsidRDefault="00537DBD">
      <w:pPr>
        <w:jc w:val="left"/>
        <w:rPr>
          <w:color w:val="auto"/>
        </w:rPr>
      </w:pPr>
      <w:r w:rsidRPr="009D7C92">
        <w:rPr>
          <w:color w:val="auto"/>
        </w:rPr>
        <w:t>Ramipril/Amlodipín/Hydrochlorotiazid Adamed</w:t>
      </w:r>
      <w:r w:rsidR="00323CDC" w:rsidRPr="009D7C92">
        <w:rPr>
          <w:color w:val="auto"/>
        </w:rPr>
        <w:t xml:space="preserve"> 10 mg/5 mg/25 </w:t>
      </w:r>
      <w:r w:rsidRPr="009D7C92">
        <w:rPr>
          <w:color w:val="auto"/>
        </w:rPr>
        <w:t>mg</w:t>
      </w:r>
    </w:p>
    <w:p w14:paraId="388D3870" w14:textId="77777777" w:rsidR="00537DBD" w:rsidRPr="009D7C92" w:rsidRDefault="00537DBD">
      <w:pPr>
        <w:jc w:val="left"/>
        <w:rPr>
          <w:color w:val="auto"/>
        </w:rPr>
      </w:pPr>
      <w:r w:rsidRPr="009D7C92">
        <w:rPr>
          <w:color w:val="auto"/>
        </w:rPr>
        <w:t>Ramipril/Amlodipín/Hydrochlorotiazid Adamed</w:t>
      </w:r>
      <w:r w:rsidR="00323CDC" w:rsidRPr="009D7C92">
        <w:rPr>
          <w:color w:val="auto"/>
        </w:rPr>
        <w:t xml:space="preserve"> 10 mg/10 mg/25 mg</w:t>
      </w:r>
    </w:p>
    <w:p w14:paraId="1CBAF249" w14:textId="77777777" w:rsidR="00323CDC" w:rsidRPr="009D7C92" w:rsidRDefault="00537DBD">
      <w:pPr>
        <w:jc w:val="left"/>
        <w:rPr>
          <w:color w:val="auto"/>
        </w:rPr>
      </w:pPr>
      <w:r w:rsidRPr="009D7C92">
        <w:rPr>
          <w:color w:val="auto"/>
        </w:rPr>
        <w:t xml:space="preserve">tvrdé </w:t>
      </w:r>
      <w:r w:rsidR="00323CDC" w:rsidRPr="009D7C92">
        <w:rPr>
          <w:color w:val="auto"/>
        </w:rPr>
        <w:t>kapsuly</w:t>
      </w:r>
    </w:p>
    <w:p w14:paraId="4AEDACF1" w14:textId="77777777" w:rsidR="00323CDC" w:rsidRPr="009D7C92" w:rsidRDefault="00323CDC">
      <w:pPr>
        <w:jc w:val="left"/>
        <w:rPr>
          <w:color w:val="auto"/>
          <w:lang w:eastAsia="en-US"/>
        </w:rPr>
      </w:pPr>
    </w:p>
    <w:p w14:paraId="1B106BE6" w14:textId="77777777" w:rsidR="00323CDC" w:rsidRPr="009D7C92" w:rsidRDefault="00323CDC">
      <w:pPr>
        <w:jc w:val="left"/>
        <w:rPr>
          <w:color w:val="auto"/>
          <w:lang w:eastAsia="en-US"/>
        </w:rPr>
      </w:pPr>
    </w:p>
    <w:p w14:paraId="600821EE" w14:textId="6120416A" w:rsidR="00323CDC" w:rsidRPr="009D7C92" w:rsidRDefault="00323CDC" w:rsidP="00243692">
      <w:pPr>
        <w:ind w:left="567" w:right="0" w:hanging="567"/>
        <w:jc w:val="left"/>
        <w:rPr>
          <w:b/>
          <w:color w:val="auto"/>
        </w:rPr>
      </w:pPr>
      <w:r w:rsidRPr="009D7C92">
        <w:rPr>
          <w:b/>
          <w:color w:val="auto"/>
        </w:rPr>
        <w:t>2.</w:t>
      </w:r>
      <w:r w:rsidRPr="009D7C92">
        <w:rPr>
          <w:b/>
          <w:color w:val="auto"/>
        </w:rPr>
        <w:tab/>
      </w:r>
      <w:r w:rsidRPr="009D7C92">
        <w:rPr>
          <w:b/>
          <w:color w:val="auto"/>
          <w:lang w:eastAsia="sk-SK"/>
        </w:rPr>
        <w:t>KVALITATÍVNE</w:t>
      </w:r>
      <w:r w:rsidRPr="009D7C92">
        <w:rPr>
          <w:b/>
          <w:color w:val="auto"/>
        </w:rPr>
        <w:t xml:space="preserve"> A KVANTITATÍVNE ZLOŽENIE</w:t>
      </w:r>
    </w:p>
    <w:p w14:paraId="330A9D53" w14:textId="77777777" w:rsidR="00323CDC" w:rsidRPr="009D7C92" w:rsidRDefault="00323CDC" w:rsidP="00EE703D">
      <w:pPr>
        <w:jc w:val="left"/>
        <w:rPr>
          <w:color w:val="auto"/>
          <w:lang w:eastAsia="en-US"/>
        </w:rPr>
      </w:pPr>
    </w:p>
    <w:p w14:paraId="39424847" w14:textId="080093C4" w:rsidR="00323CDC" w:rsidRPr="009D7C92" w:rsidRDefault="00537DBD">
      <w:pPr>
        <w:jc w:val="left"/>
        <w:rPr>
          <w:color w:val="auto"/>
        </w:rPr>
      </w:pPr>
      <w:r w:rsidRPr="009D7C92">
        <w:rPr>
          <w:color w:val="auto"/>
        </w:rPr>
        <w:t>Ramipril/Amlodipín/Hydrochlorotiazid Adamed</w:t>
      </w:r>
      <w:r w:rsidR="00323CDC" w:rsidRPr="009D7C92">
        <w:rPr>
          <w:color w:val="auto"/>
        </w:rPr>
        <w:t xml:space="preserve"> 5 mg/5 mg/12</w:t>
      </w:r>
      <w:r w:rsidR="00EB2C13" w:rsidRPr="009D7C92">
        <w:rPr>
          <w:color w:val="auto"/>
        </w:rPr>
        <w:t>,</w:t>
      </w:r>
      <w:r w:rsidR="00323CDC" w:rsidRPr="009D7C92">
        <w:rPr>
          <w:color w:val="auto"/>
        </w:rPr>
        <w:t>5 mg</w:t>
      </w:r>
      <w:r w:rsidR="009E0CF7" w:rsidRPr="009D7C92">
        <w:rPr>
          <w:color w:val="auto"/>
        </w:rPr>
        <w:t xml:space="preserve"> tvrdé kapsuly</w:t>
      </w:r>
      <w:r w:rsidR="00EB2C13" w:rsidRPr="009D7C92">
        <w:rPr>
          <w:color w:val="auto"/>
        </w:rPr>
        <w:t>:</w:t>
      </w:r>
    </w:p>
    <w:p w14:paraId="3EDB9E70" w14:textId="2D7A6171" w:rsidR="00323CDC" w:rsidRPr="009D7C92" w:rsidRDefault="00323CDC">
      <w:pPr>
        <w:jc w:val="left"/>
        <w:rPr>
          <w:color w:val="auto"/>
        </w:rPr>
      </w:pPr>
      <w:r w:rsidRPr="009D7C92">
        <w:rPr>
          <w:color w:val="auto"/>
        </w:rPr>
        <w:t>Jedna kapsula obsahuje 5 mg ramiprilu, 5 mg amlodipínu (</w:t>
      </w:r>
      <w:r w:rsidR="00544D3C">
        <w:rPr>
          <w:color w:val="auto"/>
        </w:rPr>
        <w:t xml:space="preserve">6,934 mg </w:t>
      </w:r>
      <w:r w:rsidR="008056B3" w:rsidRPr="009D7C92">
        <w:rPr>
          <w:color w:val="auto"/>
        </w:rPr>
        <w:t>amlodipíniumbesilát</w:t>
      </w:r>
      <w:r w:rsidR="00544D3C">
        <w:rPr>
          <w:color w:val="auto"/>
        </w:rPr>
        <w:t>u</w:t>
      </w:r>
      <w:r w:rsidRPr="009D7C92">
        <w:rPr>
          <w:color w:val="auto"/>
        </w:rPr>
        <w:t>), 12,5 mg hydrochlorotiazidu.</w:t>
      </w:r>
    </w:p>
    <w:p w14:paraId="0A5A15F1" w14:textId="77777777" w:rsidR="00323CDC" w:rsidRPr="009D7C92" w:rsidRDefault="00323CDC">
      <w:pPr>
        <w:jc w:val="left"/>
        <w:rPr>
          <w:color w:val="auto"/>
          <w:lang w:eastAsia="en-US"/>
        </w:rPr>
      </w:pPr>
    </w:p>
    <w:p w14:paraId="3D087D91" w14:textId="77777777" w:rsidR="00323CDC" w:rsidRPr="009D7C92" w:rsidRDefault="00537DBD">
      <w:pPr>
        <w:jc w:val="left"/>
        <w:rPr>
          <w:color w:val="auto"/>
        </w:rPr>
      </w:pPr>
      <w:r w:rsidRPr="009D7C92">
        <w:rPr>
          <w:color w:val="auto"/>
        </w:rPr>
        <w:t>Ramipril/Amlodipín/Hydrochlorotiazid Adamed</w:t>
      </w:r>
      <w:r w:rsidR="00323CDC" w:rsidRPr="009D7C92">
        <w:rPr>
          <w:color w:val="auto"/>
        </w:rPr>
        <w:t xml:space="preserve"> 5 mg/</w:t>
      </w:r>
      <w:r w:rsidR="00EB2C13" w:rsidRPr="009D7C92">
        <w:rPr>
          <w:color w:val="auto"/>
        </w:rPr>
        <w:t>5 mg/</w:t>
      </w:r>
      <w:r w:rsidR="00323CDC" w:rsidRPr="009D7C92">
        <w:rPr>
          <w:color w:val="auto"/>
        </w:rPr>
        <w:t>25 mg</w:t>
      </w:r>
      <w:r w:rsidR="009E0CF7" w:rsidRPr="009D7C92">
        <w:rPr>
          <w:color w:val="auto"/>
        </w:rPr>
        <w:t xml:space="preserve"> tvrdé kapsuly</w:t>
      </w:r>
      <w:r w:rsidR="00323CDC" w:rsidRPr="009D7C92">
        <w:rPr>
          <w:color w:val="auto"/>
        </w:rPr>
        <w:t>:</w:t>
      </w:r>
    </w:p>
    <w:p w14:paraId="09C5F44D" w14:textId="4AF8EF09" w:rsidR="00323CDC" w:rsidRPr="009D7C92" w:rsidRDefault="00323CDC">
      <w:pPr>
        <w:jc w:val="left"/>
        <w:rPr>
          <w:color w:val="auto"/>
        </w:rPr>
      </w:pPr>
      <w:r w:rsidRPr="009D7C92">
        <w:rPr>
          <w:color w:val="auto"/>
        </w:rPr>
        <w:t>Jedna kapsula obsahuje 5 mg ramiprilu, 5 mg amlodipínu (</w:t>
      </w:r>
      <w:r w:rsidR="00544D3C">
        <w:rPr>
          <w:color w:val="auto"/>
        </w:rPr>
        <w:t>6,934 mg</w:t>
      </w:r>
      <w:r w:rsidR="00EB2C13" w:rsidRPr="009D7C92">
        <w:rPr>
          <w:color w:val="auto"/>
        </w:rPr>
        <w:t xml:space="preserve"> amlodipíniumbesilát</w:t>
      </w:r>
      <w:r w:rsidR="00544D3C">
        <w:rPr>
          <w:color w:val="auto"/>
        </w:rPr>
        <w:t>u</w:t>
      </w:r>
      <w:r w:rsidRPr="009D7C92">
        <w:rPr>
          <w:color w:val="auto"/>
        </w:rPr>
        <w:t>), 25 mg hydrochlorotiazidu.</w:t>
      </w:r>
    </w:p>
    <w:p w14:paraId="0A39F289" w14:textId="77777777" w:rsidR="00323CDC" w:rsidRPr="009D7C92" w:rsidRDefault="00323CDC">
      <w:pPr>
        <w:jc w:val="left"/>
        <w:rPr>
          <w:color w:val="auto"/>
          <w:shd w:val="clear" w:color="auto" w:fill="BFBFBF"/>
          <w:lang w:eastAsia="en-US"/>
        </w:rPr>
      </w:pPr>
    </w:p>
    <w:p w14:paraId="4FDDF089" w14:textId="3C6E7F02" w:rsidR="00EB25B2" w:rsidRDefault="00EB2C13">
      <w:pPr>
        <w:jc w:val="left"/>
        <w:rPr>
          <w:color w:val="auto"/>
        </w:rPr>
      </w:pPr>
      <w:r w:rsidRPr="009D7C92">
        <w:rPr>
          <w:color w:val="auto"/>
        </w:rPr>
        <w:t>Ramipril/Amlodipín/Hydrochlorotiazid Adamed 10 mg/5 mg/25 mg</w:t>
      </w:r>
      <w:r w:rsidR="009E0CF7" w:rsidRPr="009D7C92">
        <w:rPr>
          <w:color w:val="auto"/>
        </w:rPr>
        <w:t xml:space="preserve"> tvrdé kapsuly</w:t>
      </w:r>
      <w:r w:rsidRPr="009D7C92">
        <w:rPr>
          <w:color w:val="auto"/>
        </w:rPr>
        <w:t>:</w:t>
      </w:r>
    </w:p>
    <w:p w14:paraId="433BC63D" w14:textId="4AF714F2" w:rsidR="00323CDC" w:rsidRPr="009D7C92" w:rsidRDefault="00323CDC">
      <w:pPr>
        <w:jc w:val="left"/>
        <w:rPr>
          <w:color w:val="auto"/>
        </w:rPr>
      </w:pPr>
      <w:r w:rsidRPr="009D7C92">
        <w:rPr>
          <w:color w:val="auto"/>
        </w:rPr>
        <w:t>Jedna kapsula obsahuje 10 mg ramiprilu, 5 mg amlodipínu (</w:t>
      </w:r>
      <w:r w:rsidR="00544D3C">
        <w:rPr>
          <w:color w:val="auto"/>
        </w:rPr>
        <w:t>6,934 mg</w:t>
      </w:r>
      <w:r w:rsidR="00EB2C13" w:rsidRPr="009D7C92">
        <w:rPr>
          <w:color w:val="auto"/>
        </w:rPr>
        <w:t xml:space="preserve"> amlodipíniumbesilát</w:t>
      </w:r>
      <w:r w:rsidR="00544D3C">
        <w:rPr>
          <w:color w:val="auto"/>
        </w:rPr>
        <w:t>u</w:t>
      </w:r>
      <w:r w:rsidRPr="009D7C92">
        <w:rPr>
          <w:color w:val="auto"/>
        </w:rPr>
        <w:t>), 25 mg hydrochlorotiazidu.</w:t>
      </w:r>
    </w:p>
    <w:p w14:paraId="6730E926" w14:textId="77777777" w:rsidR="00323CDC" w:rsidRPr="009D7C92" w:rsidRDefault="00323CDC">
      <w:pPr>
        <w:jc w:val="left"/>
        <w:rPr>
          <w:color w:val="auto"/>
          <w:lang w:eastAsia="en-US"/>
        </w:rPr>
      </w:pPr>
    </w:p>
    <w:p w14:paraId="5A6D5296" w14:textId="77777777" w:rsidR="00EB2C13" w:rsidRPr="009D7C92" w:rsidRDefault="00EB2C13">
      <w:pPr>
        <w:jc w:val="left"/>
        <w:rPr>
          <w:color w:val="auto"/>
        </w:rPr>
      </w:pPr>
      <w:r w:rsidRPr="009D7C92">
        <w:rPr>
          <w:color w:val="auto"/>
        </w:rPr>
        <w:t>Ramipril/Amlodipín/Hydrochlorotiazid Adamed 10 mg/10 mg/25 mg</w:t>
      </w:r>
      <w:r w:rsidR="009E0CF7" w:rsidRPr="009D7C92">
        <w:rPr>
          <w:color w:val="auto"/>
        </w:rPr>
        <w:t xml:space="preserve"> tvrdé kapsuly</w:t>
      </w:r>
      <w:r w:rsidRPr="009D7C92">
        <w:rPr>
          <w:color w:val="auto"/>
        </w:rPr>
        <w:t>:</w:t>
      </w:r>
    </w:p>
    <w:p w14:paraId="2F062108" w14:textId="76A4EB35" w:rsidR="00323CDC" w:rsidRPr="009D7C92" w:rsidRDefault="00323CDC">
      <w:pPr>
        <w:jc w:val="left"/>
        <w:rPr>
          <w:color w:val="auto"/>
        </w:rPr>
      </w:pPr>
      <w:r w:rsidRPr="009D7C92">
        <w:rPr>
          <w:color w:val="auto"/>
        </w:rPr>
        <w:t>Jedna kapsula obsahuje 10 mg ramiprilu, 10 mg amlodipínu (</w:t>
      </w:r>
      <w:r w:rsidR="00544D3C">
        <w:rPr>
          <w:color w:val="auto"/>
        </w:rPr>
        <w:t>13,</w:t>
      </w:r>
      <w:r w:rsidR="00FC447C">
        <w:rPr>
          <w:color w:val="auto"/>
        </w:rPr>
        <w:t>8</w:t>
      </w:r>
      <w:r w:rsidR="00544D3C">
        <w:rPr>
          <w:color w:val="auto"/>
        </w:rPr>
        <w:t>68 mg</w:t>
      </w:r>
      <w:r w:rsidR="00EB2C13" w:rsidRPr="009D7C92">
        <w:rPr>
          <w:color w:val="auto"/>
        </w:rPr>
        <w:t xml:space="preserve"> amlodipíniumbesilát</w:t>
      </w:r>
      <w:r w:rsidR="00544D3C">
        <w:rPr>
          <w:color w:val="auto"/>
        </w:rPr>
        <w:t>u</w:t>
      </w:r>
      <w:r w:rsidRPr="009D7C92">
        <w:rPr>
          <w:color w:val="auto"/>
        </w:rPr>
        <w:t>), 25 mg hydrochlorotiazidu.</w:t>
      </w:r>
    </w:p>
    <w:p w14:paraId="192DEFE6" w14:textId="77777777" w:rsidR="00323CDC" w:rsidRPr="009D7C92" w:rsidRDefault="00323CDC">
      <w:pPr>
        <w:jc w:val="left"/>
        <w:rPr>
          <w:color w:val="auto"/>
          <w:lang w:eastAsia="en-US"/>
        </w:rPr>
      </w:pPr>
    </w:p>
    <w:p w14:paraId="125902AE" w14:textId="77777777" w:rsidR="00323CDC" w:rsidRPr="009D7C92" w:rsidRDefault="003E4850">
      <w:pPr>
        <w:jc w:val="left"/>
        <w:rPr>
          <w:color w:val="auto"/>
        </w:rPr>
      </w:pPr>
      <w:r w:rsidRPr="009D7C92">
        <w:rPr>
          <w:color w:val="auto"/>
        </w:rPr>
        <w:t>Ú</w:t>
      </w:r>
      <w:r w:rsidR="00323CDC" w:rsidRPr="009D7C92">
        <w:rPr>
          <w:color w:val="auto"/>
        </w:rPr>
        <w:t>plný zoznam pomocných látok, pozri časť 6.1.</w:t>
      </w:r>
    </w:p>
    <w:p w14:paraId="7BC8828E" w14:textId="77777777" w:rsidR="00323CDC" w:rsidRPr="009D7C92" w:rsidRDefault="00323CDC">
      <w:pPr>
        <w:jc w:val="left"/>
        <w:rPr>
          <w:color w:val="auto"/>
          <w:lang w:eastAsia="en-US"/>
        </w:rPr>
      </w:pPr>
    </w:p>
    <w:p w14:paraId="56458E60" w14:textId="77777777" w:rsidR="00323CDC" w:rsidRPr="009D7C92" w:rsidRDefault="00323CDC">
      <w:pPr>
        <w:jc w:val="left"/>
        <w:rPr>
          <w:color w:val="auto"/>
          <w:lang w:eastAsia="en-US"/>
        </w:rPr>
      </w:pPr>
    </w:p>
    <w:p w14:paraId="4573DE67" w14:textId="2FE0424C" w:rsidR="00323CDC" w:rsidRPr="009D7C92" w:rsidRDefault="00323CDC" w:rsidP="00243692">
      <w:pPr>
        <w:ind w:left="567" w:right="0" w:hanging="567"/>
        <w:jc w:val="left"/>
        <w:rPr>
          <w:b/>
          <w:color w:val="auto"/>
        </w:rPr>
      </w:pPr>
      <w:r w:rsidRPr="009D7C92">
        <w:rPr>
          <w:b/>
          <w:color w:val="auto"/>
        </w:rPr>
        <w:t>3.</w:t>
      </w:r>
      <w:r w:rsidRPr="009D7C92">
        <w:rPr>
          <w:b/>
          <w:color w:val="auto"/>
        </w:rPr>
        <w:tab/>
      </w:r>
      <w:r w:rsidRPr="009D7C92">
        <w:rPr>
          <w:b/>
          <w:color w:val="auto"/>
          <w:lang w:eastAsia="sk-SK"/>
        </w:rPr>
        <w:t>LIEKOVÁ</w:t>
      </w:r>
      <w:r w:rsidRPr="009D7C92">
        <w:rPr>
          <w:b/>
          <w:color w:val="auto"/>
        </w:rPr>
        <w:t xml:space="preserve"> FORMA</w:t>
      </w:r>
    </w:p>
    <w:p w14:paraId="0927F3FB" w14:textId="77777777" w:rsidR="00323CDC" w:rsidRPr="009D7C92" w:rsidRDefault="00323CDC" w:rsidP="00EE703D">
      <w:pPr>
        <w:jc w:val="left"/>
        <w:rPr>
          <w:color w:val="auto"/>
          <w:lang w:eastAsia="en-US"/>
        </w:rPr>
      </w:pPr>
    </w:p>
    <w:p w14:paraId="5CC7A080" w14:textId="77777777" w:rsidR="00323CDC" w:rsidRPr="009D7C92" w:rsidRDefault="00EB2C13">
      <w:pPr>
        <w:jc w:val="left"/>
        <w:rPr>
          <w:color w:val="auto"/>
        </w:rPr>
      </w:pPr>
      <w:r w:rsidRPr="009D7C92">
        <w:rPr>
          <w:color w:val="auto"/>
        </w:rPr>
        <w:t>Tvrdá kapsula</w:t>
      </w:r>
    </w:p>
    <w:p w14:paraId="716530CE" w14:textId="77777777" w:rsidR="00323CDC" w:rsidRPr="009D7C92" w:rsidRDefault="00323CDC">
      <w:pPr>
        <w:jc w:val="left"/>
        <w:rPr>
          <w:color w:val="auto"/>
          <w:lang w:eastAsia="en-US"/>
        </w:rPr>
      </w:pPr>
    </w:p>
    <w:p w14:paraId="520E34AA" w14:textId="19316D65" w:rsidR="000908FA" w:rsidRPr="009D7C92" w:rsidRDefault="000908FA">
      <w:pPr>
        <w:jc w:val="left"/>
        <w:rPr>
          <w:color w:val="auto"/>
        </w:rPr>
      </w:pPr>
      <w:r w:rsidRPr="009D7C92">
        <w:rPr>
          <w:color w:val="auto"/>
        </w:rPr>
        <w:t>Ramipril/Amlodipín/Hydrochlorotiazid Adamed 5 mg/5 mg/12,5 mg</w:t>
      </w:r>
      <w:r w:rsidR="009E0CF7" w:rsidRPr="009D7C92">
        <w:rPr>
          <w:color w:val="auto"/>
        </w:rPr>
        <w:t xml:space="preserve"> tvrdé kapsuly</w:t>
      </w:r>
      <w:r w:rsidRPr="009D7C92">
        <w:rPr>
          <w:color w:val="auto"/>
        </w:rPr>
        <w:t>:</w:t>
      </w:r>
    </w:p>
    <w:p w14:paraId="060731E8" w14:textId="50BB2ABF" w:rsidR="00323CDC" w:rsidRPr="009D7C92" w:rsidRDefault="00323CDC">
      <w:pPr>
        <w:jc w:val="left"/>
        <w:rPr>
          <w:color w:val="auto"/>
        </w:rPr>
      </w:pPr>
      <w:r w:rsidRPr="009D7C92">
        <w:rPr>
          <w:color w:val="auto"/>
        </w:rPr>
        <w:t xml:space="preserve">Kapsula s ružovým nepriehľadným </w:t>
      </w:r>
      <w:r w:rsidR="00C75A0B" w:rsidRPr="009D7C92">
        <w:rPr>
          <w:color w:val="auto"/>
        </w:rPr>
        <w:t>v</w:t>
      </w:r>
      <w:r w:rsidR="009E0CF7" w:rsidRPr="009D7C92">
        <w:rPr>
          <w:color w:val="auto"/>
        </w:rPr>
        <w:t>rchnákom</w:t>
      </w:r>
      <w:r w:rsidRPr="009D7C92">
        <w:rPr>
          <w:color w:val="auto"/>
        </w:rPr>
        <w:t xml:space="preserve"> a nepriehľadným telom bledosivej farb</w:t>
      </w:r>
      <w:r w:rsidR="00C06D9C" w:rsidRPr="009D7C92">
        <w:rPr>
          <w:color w:val="auto"/>
        </w:rPr>
        <w:t>y</w:t>
      </w:r>
      <w:r w:rsidR="000908FA" w:rsidRPr="009D7C92">
        <w:rPr>
          <w:color w:val="auto"/>
        </w:rPr>
        <w:t>.</w:t>
      </w:r>
    </w:p>
    <w:p w14:paraId="5D124415" w14:textId="77777777" w:rsidR="00323CDC" w:rsidRPr="009D7C92" w:rsidRDefault="00323CDC">
      <w:pPr>
        <w:jc w:val="left"/>
        <w:rPr>
          <w:color w:val="auto"/>
        </w:rPr>
      </w:pPr>
    </w:p>
    <w:p w14:paraId="20CAB951" w14:textId="77777777" w:rsidR="000908FA" w:rsidRPr="009D7C92" w:rsidRDefault="000908FA">
      <w:pPr>
        <w:jc w:val="left"/>
        <w:rPr>
          <w:color w:val="auto"/>
        </w:rPr>
      </w:pPr>
      <w:r w:rsidRPr="009D7C92">
        <w:rPr>
          <w:color w:val="auto"/>
        </w:rPr>
        <w:t>Ramipril/Amlodipín/Hydrochlorotiazid Adamed 5 mg/5 mg/25 mg</w:t>
      </w:r>
      <w:r w:rsidR="009E0CF7" w:rsidRPr="009D7C92">
        <w:rPr>
          <w:color w:val="auto"/>
        </w:rPr>
        <w:t xml:space="preserve"> tvrdé kapsuly</w:t>
      </w:r>
      <w:r w:rsidRPr="009D7C92">
        <w:rPr>
          <w:color w:val="auto"/>
        </w:rPr>
        <w:t>:</w:t>
      </w:r>
    </w:p>
    <w:p w14:paraId="1C340A2E" w14:textId="3763AF3D" w:rsidR="00323CDC" w:rsidRPr="009D7C92" w:rsidRDefault="00323CDC">
      <w:pPr>
        <w:jc w:val="left"/>
        <w:rPr>
          <w:color w:val="auto"/>
        </w:rPr>
      </w:pPr>
      <w:r w:rsidRPr="009D7C92">
        <w:rPr>
          <w:color w:val="auto"/>
        </w:rPr>
        <w:t xml:space="preserve">Kapsula s ružovým nepriehľadným </w:t>
      </w:r>
      <w:r w:rsidR="00C75A0B" w:rsidRPr="009D7C92">
        <w:rPr>
          <w:color w:val="auto"/>
        </w:rPr>
        <w:t>v</w:t>
      </w:r>
      <w:r w:rsidR="009E0CF7" w:rsidRPr="009D7C92">
        <w:rPr>
          <w:color w:val="auto"/>
        </w:rPr>
        <w:t>rchnákom</w:t>
      </w:r>
      <w:r w:rsidRPr="009D7C92">
        <w:rPr>
          <w:color w:val="auto"/>
        </w:rPr>
        <w:t xml:space="preserve"> a nepriehľadným telom slonovin</w:t>
      </w:r>
      <w:r w:rsidR="008056B3" w:rsidRPr="009D7C92">
        <w:rPr>
          <w:color w:val="auto"/>
        </w:rPr>
        <w:t>ovej farby.</w:t>
      </w:r>
    </w:p>
    <w:p w14:paraId="13775191" w14:textId="77777777" w:rsidR="00323CDC" w:rsidRPr="009D7C92" w:rsidRDefault="00323CDC">
      <w:pPr>
        <w:jc w:val="left"/>
        <w:rPr>
          <w:color w:val="auto"/>
        </w:rPr>
      </w:pPr>
    </w:p>
    <w:p w14:paraId="1061968F" w14:textId="760B351B" w:rsidR="00EB25B2" w:rsidRDefault="000908FA">
      <w:pPr>
        <w:jc w:val="left"/>
        <w:rPr>
          <w:color w:val="auto"/>
        </w:rPr>
      </w:pPr>
      <w:r w:rsidRPr="009D7C92">
        <w:rPr>
          <w:color w:val="auto"/>
        </w:rPr>
        <w:t>Ramipril/Amlodipín/Hydrochlorotiazid Adamed 10 mg/5 mg/25 mg</w:t>
      </w:r>
      <w:r w:rsidR="009E0CF7" w:rsidRPr="009D7C92">
        <w:rPr>
          <w:color w:val="auto"/>
        </w:rPr>
        <w:t xml:space="preserve"> tvrdé kapsuly</w:t>
      </w:r>
      <w:r w:rsidRPr="009D7C92">
        <w:rPr>
          <w:color w:val="auto"/>
        </w:rPr>
        <w:t>:</w:t>
      </w:r>
    </w:p>
    <w:p w14:paraId="6407BA72" w14:textId="5AA030E8" w:rsidR="00323CDC" w:rsidRPr="009D7C92" w:rsidRDefault="00323CDC">
      <w:pPr>
        <w:jc w:val="left"/>
        <w:rPr>
          <w:color w:val="auto"/>
        </w:rPr>
      </w:pPr>
      <w:r w:rsidRPr="009D7C92">
        <w:rPr>
          <w:color w:val="auto"/>
        </w:rPr>
        <w:t xml:space="preserve">Kapsula s tmavoružovým nepriehľadným </w:t>
      </w:r>
      <w:r w:rsidR="00C75A0B" w:rsidRPr="009D7C92">
        <w:rPr>
          <w:color w:val="auto"/>
        </w:rPr>
        <w:t>v</w:t>
      </w:r>
      <w:r w:rsidR="009E0CF7" w:rsidRPr="009D7C92">
        <w:rPr>
          <w:color w:val="auto"/>
        </w:rPr>
        <w:t>rchnákom</w:t>
      </w:r>
      <w:r w:rsidR="00F16C51" w:rsidRPr="009D7C92">
        <w:rPr>
          <w:color w:val="auto"/>
        </w:rPr>
        <w:t xml:space="preserve"> a nepriehľadným telom žl</w:t>
      </w:r>
      <w:r w:rsidRPr="009D7C92">
        <w:rPr>
          <w:color w:val="auto"/>
        </w:rPr>
        <w:t>tej farb</w:t>
      </w:r>
      <w:r w:rsidR="00C06D9C" w:rsidRPr="009D7C92">
        <w:rPr>
          <w:color w:val="auto"/>
        </w:rPr>
        <w:t>y</w:t>
      </w:r>
      <w:r w:rsidRPr="009D7C92">
        <w:rPr>
          <w:color w:val="auto"/>
        </w:rPr>
        <w:t>.</w:t>
      </w:r>
    </w:p>
    <w:p w14:paraId="17889DCE" w14:textId="77777777" w:rsidR="00323CDC" w:rsidRPr="009D7C92" w:rsidRDefault="00323CDC">
      <w:pPr>
        <w:jc w:val="left"/>
        <w:rPr>
          <w:color w:val="auto"/>
        </w:rPr>
      </w:pPr>
    </w:p>
    <w:p w14:paraId="6F1A9B02" w14:textId="77777777" w:rsidR="000908FA" w:rsidRPr="009D7C92" w:rsidRDefault="000908FA">
      <w:pPr>
        <w:jc w:val="left"/>
        <w:rPr>
          <w:color w:val="auto"/>
        </w:rPr>
      </w:pPr>
      <w:r w:rsidRPr="009D7C92">
        <w:rPr>
          <w:color w:val="auto"/>
        </w:rPr>
        <w:t>Ramipril/Amlodipín/Hydrochlorotiazid Adamed 10 mg/10 mg/25 mg</w:t>
      </w:r>
      <w:r w:rsidR="009E0CF7" w:rsidRPr="009D7C92">
        <w:rPr>
          <w:color w:val="auto"/>
        </w:rPr>
        <w:t xml:space="preserve"> tvrdé kapsuly</w:t>
      </w:r>
      <w:r w:rsidRPr="009D7C92">
        <w:rPr>
          <w:color w:val="auto"/>
        </w:rPr>
        <w:t>:</w:t>
      </w:r>
    </w:p>
    <w:p w14:paraId="6AB99E40" w14:textId="4E81134A" w:rsidR="00323CDC" w:rsidRPr="009D7C92" w:rsidRDefault="00323CDC">
      <w:pPr>
        <w:jc w:val="left"/>
        <w:rPr>
          <w:color w:val="auto"/>
        </w:rPr>
      </w:pPr>
      <w:r w:rsidRPr="009D7C92">
        <w:rPr>
          <w:color w:val="auto"/>
        </w:rPr>
        <w:t xml:space="preserve">Kapsula s hnedým nepriehľadným </w:t>
      </w:r>
      <w:r w:rsidR="00C75A0B" w:rsidRPr="009D7C92">
        <w:rPr>
          <w:color w:val="auto"/>
        </w:rPr>
        <w:t>v</w:t>
      </w:r>
      <w:r w:rsidR="009E0CF7" w:rsidRPr="009D7C92">
        <w:rPr>
          <w:color w:val="auto"/>
        </w:rPr>
        <w:t>rchnákom</w:t>
      </w:r>
      <w:r w:rsidRPr="009D7C92">
        <w:rPr>
          <w:color w:val="auto"/>
        </w:rPr>
        <w:t xml:space="preserve"> a nepriehľadným telom karamelovej farb</w:t>
      </w:r>
      <w:r w:rsidR="00C06D9C" w:rsidRPr="009D7C92">
        <w:rPr>
          <w:color w:val="auto"/>
        </w:rPr>
        <w:t>y</w:t>
      </w:r>
      <w:r w:rsidR="000908FA" w:rsidRPr="009D7C92">
        <w:rPr>
          <w:color w:val="auto"/>
        </w:rPr>
        <w:t>.</w:t>
      </w:r>
    </w:p>
    <w:p w14:paraId="6DF8E745" w14:textId="77777777" w:rsidR="00323CDC" w:rsidRPr="009D7C92" w:rsidRDefault="00323CDC">
      <w:pPr>
        <w:jc w:val="left"/>
        <w:rPr>
          <w:color w:val="auto"/>
        </w:rPr>
      </w:pPr>
    </w:p>
    <w:p w14:paraId="00CD4319" w14:textId="77777777" w:rsidR="00323CDC" w:rsidRPr="009D7C92" w:rsidRDefault="00323CDC">
      <w:pPr>
        <w:jc w:val="left"/>
        <w:rPr>
          <w:color w:val="auto"/>
        </w:rPr>
      </w:pPr>
    </w:p>
    <w:p w14:paraId="0AD996D0" w14:textId="495C22C5" w:rsidR="00EB25B2" w:rsidRDefault="00323CDC" w:rsidP="00243692">
      <w:pPr>
        <w:ind w:left="567" w:right="0" w:hanging="567"/>
        <w:jc w:val="left"/>
        <w:rPr>
          <w:b/>
          <w:color w:val="auto"/>
        </w:rPr>
      </w:pPr>
      <w:r w:rsidRPr="009D7C92">
        <w:rPr>
          <w:b/>
          <w:color w:val="auto"/>
        </w:rPr>
        <w:t>4.</w:t>
      </w:r>
      <w:r w:rsidRPr="009D7C92">
        <w:rPr>
          <w:b/>
          <w:color w:val="auto"/>
        </w:rPr>
        <w:tab/>
        <w:t xml:space="preserve">KLINICKÉ </w:t>
      </w:r>
      <w:r w:rsidRPr="009D7C92">
        <w:rPr>
          <w:b/>
          <w:color w:val="auto"/>
          <w:lang w:eastAsia="sk-SK"/>
        </w:rPr>
        <w:t>ÚDAJE</w:t>
      </w:r>
    </w:p>
    <w:p w14:paraId="0871D298" w14:textId="48CDE403" w:rsidR="00323CDC" w:rsidRPr="009D7C92" w:rsidRDefault="00323CDC" w:rsidP="00EE703D">
      <w:pPr>
        <w:jc w:val="left"/>
        <w:rPr>
          <w:color w:val="auto"/>
        </w:rPr>
      </w:pPr>
    </w:p>
    <w:p w14:paraId="587B5924" w14:textId="6EAEAC24" w:rsidR="00EB25B2" w:rsidRDefault="00323CDC" w:rsidP="00243692">
      <w:pPr>
        <w:ind w:left="567" w:right="0" w:hanging="567"/>
        <w:jc w:val="left"/>
        <w:rPr>
          <w:b/>
          <w:color w:val="auto"/>
        </w:rPr>
      </w:pPr>
      <w:r w:rsidRPr="009D7C92">
        <w:rPr>
          <w:b/>
          <w:color w:val="auto"/>
        </w:rPr>
        <w:t>4.1</w:t>
      </w:r>
      <w:r w:rsidR="003E4850" w:rsidRPr="009D7C92">
        <w:rPr>
          <w:b/>
          <w:color w:val="auto"/>
        </w:rPr>
        <w:tab/>
      </w:r>
      <w:r w:rsidRPr="009D7C92">
        <w:rPr>
          <w:b/>
          <w:color w:val="auto"/>
        </w:rPr>
        <w:t>Terapeutické indikácie</w:t>
      </w:r>
    </w:p>
    <w:p w14:paraId="11EAD9B6" w14:textId="1DB110AC" w:rsidR="00323CDC" w:rsidRPr="009D7C92" w:rsidRDefault="00323CDC" w:rsidP="00EE703D">
      <w:pPr>
        <w:jc w:val="left"/>
        <w:rPr>
          <w:color w:val="auto"/>
        </w:rPr>
      </w:pPr>
    </w:p>
    <w:p w14:paraId="0F17A108" w14:textId="60034BF2" w:rsidR="00EB25B2" w:rsidRDefault="00537DBD" w:rsidP="00EE703D">
      <w:pPr>
        <w:jc w:val="left"/>
        <w:rPr>
          <w:color w:val="auto"/>
        </w:rPr>
      </w:pPr>
      <w:r w:rsidRPr="009D7C92">
        <w:rPr>
          <w:color w:val="auto"/>
        </w:rPr>
        <w:lastRenderedPageBreak/>
        <w:t>Ramipril/Amlodipín/Hydrochlorotiazid Adamed</w:t>
      </w:r>
      <w:r w:rsidR="00323CDC" w:rsidRPr="009D7C92">
        <w:rPr>
          <w:color w:val="auto"/>
        </w:rPr>
        <w:t xml:space="preserve"> je indikovaný na</w:t>
      </w:r>
      <w:r w:rsidR="009E0CF7" w:rsidRPr="009D7C92">
        <w:rPr>
          <w:color w:val="auto"/>
        </w:rPr>
        <w:t xml:space="preserve"> substitučnú</w:t>
      </w:r>
      <w:r w:rsidR="00323CDC" w:rsidRPr="009D7C92">
        <w:rPr>
          <w:color w:val="auto"/>
        </w:rPr>
        <w:t xml:space="preserve"> liečbu hypertenzie u dospelých pacientov primerane kontrolovaných jednotlivými liekmi podávanými súbežne v rovnakej dávke ako v kombinácii, ale </w:t>
      </w:r>
      <w:r w:rsidR="009E0CF7" w:rsidRPr="009D7C92">
        <w:rPr>
          <w:color w:val="auto"/>
        </w:rPr>
        <w:t>vo forme</w:t>
      </w:r>
      <w:r w:rsidR="00323CDC" w:rsidRPr="009D7C92">
        <w:rPr>
          <w:color w:val="auto"/>
        </w:rPr>
        <w:t xml:space="preserve"> samostatn</w:t>
      </w:r>
      <w:r w:rsidR="009E0CF7" w:rsidRPr="009D7C92">
        <w:rPr>
          <w:color w:val="auto"/>
        </w:rPr>
        <w:t>ých</w:t>
      </w:r>
      <w:r w:rsidR="00323CDC" w:rsidRPr="009D7C92">
        <w:rPr>
          <w:color w:val="auto"/>
        </w:rPr>
        <w:t xml:space="preserve"> tabl</w:t>
      </w:r>
      <w:r w:rsidR="009E0CF7" w:rsidRPr="009D7C92">
        <w:rPr>
          <w:color w:val="auto"/>
        </w:rPr>
        <w:t>iet</w:t>
      </w:r>
      <w:r w:rsidR="00323CDC" w:rsidRPr="009D7C92">
        <w:rPr>
          <w:color w:val="auto"/>
        </w:rPr>
        <w:t xml:space="preserve"> (pozri časti 4.3, 4.4, 4.5 a 5.1).</w:t>
      </w:r>
    </w:p>
    <w:p w14:paraId="42DC4785" w14:textId="5F9B82A4" w:rsidR="00323CDC" w:rsidRPr="009D7C92" w:rsidRDefault="00323CDC">
      <w:pPr>
        <w:jc w:val="left"/>
        <w:rPr>
          <w:color w:val="auto"/>
        </w:rPr>
      </w:pPr>
    </w:p>
    <w:p w14:paraId="1889796A" w14:textId="3E0ED358" w:rsidR="00EB25B2" w:rsidRDefault="00323CDC" w:rsidP="00243692">
      <w:pPr>
        <w:ind w:left="567" w:right="0" w:hanging="567"/>
        <w:jc w:val="left"/>
        <w:rPr>
          <w:b/>
          <w:color w:val="auto"/>
        </w:rPr>
      </w:pPr>
      <w:r w:rsidRPr="009D7C92">
        <w:rPr>
          <w:b/>
          <w:color w:val="auto"/>
        </w:rPr>
        <w:t>4.2</w:t>
      </w:r>
      <w:r w:rsidR="003E4850" w:rsidRPr="009D7C92">
        <w:rPr>
          <w:b/>
          <w:color w:val="auto"/>
        </w:rPr>
        <w:tab/>
      </w:r>
      <w:r w:rsidRPr="009D7C92">
        <w:rPr>
          <w:b/>
          <w:color w:val="auto"/>
        </w:rPr>
        <w:t xml:space="preserve">Dávkovanie a spôsob </w:t>
      </w:r>
      <w:r w:rsidRPr="009D7C92">
        <w:rPr>
          <w:b/>
          <w:color w:val="auto"/>
          <w:lang w:eastAsia="sk-SK"/>
        </w:rPr>
        <w:t>podávania</w:t>
      </w:r>
    </w:p>
    <w:p w14:paraId="6B46BFFF" w14:textId="77777777" w:rsidR="00323CDC" w:rsidRPr="009D7C92" w:rsidRDefault="00323CDC" w:rsidP="00EE703D">
      <w:pPr>
        <w:jc w:val="left"/>
        <w:rPr>
          <w:color w:val="auto"/>
        </w:rPr>
      </w:pPr>
    </w:p>
    <w:p w14:paraId="6D039240" w14:textId="0FA282FE" w:rsidR="00EB25B2" w:rsidRDefault="00323CDC">
      <w:pPr>
        <w:jc w:val="left"/>
        <w:rPr>
          <w:color w:val="auto"/>
          <w:u w:val="single"/>
        </w:rPr>
      </w:pPr>
      <w:r w:rsidRPr="009D7C92">
        <w:rPr>
          <w:color w:val="auto"/>
          <w:u w:val="single"/>
        </w:rPr>
        <w:t>Dávkovanie</w:t>
      </w:r>
    </w:p>
    <w:p w14:paraId="094A0DAC" w14:textId="77777777" w:rsidR="00323CDC" w:rsidRPr="009D7C92" w:rsidRDefault="00323CDC">
      <w:pPr>
        <w:jc w:val="left"/>
        <w:rPr>
          <w:color w:val="auto"/>
        </w:rPr>
      </w:pPr>
      <w:r w:rsidRPr="009D7C92">
        <w:rPr>
          <w:color w:val="auto"/>
        </w:rPr>
        <w:t>Odporúčaná denná dávka je jedna kapsula danej sily.</w:t>
      </w:r>
    </w:p>
    <w:p w14:paraId="78FB3521" w14:textId="77777777" w:rsidR="00323CDC" w:rsidRPr="009D7C92" w:rsidRDefault="00537DBD">
      <w:pPr>
        <w:jc w:val="left"/>
        <w:rPr>
          <w:color w:val="auto"/>
        </w:rPr>
      </w:pPr>
      <w:r w:rsidRPr="009D7C92">
        <w:t>Ramipril/Amlodipín/Hydrochlorotiazid Adamed</w:t>
      </w:r>
      <w:r w:rsidR="00323CDC" w:rsidRPr="009D7C92">
        <w:t xml:space="preserve"> sa môže užívať pred jedlom, s jedlom alebo po jedle, pretože príjem potravy nemení jeho biologickú dostupnosť (pozri časť 5.2).</w:t>
      </w:r>
    </w:p>
    <w:p w14:paraId="3D0E8AAD" w14:textId="6887F4C1" w:rsidR="00EB25B2" w:rsidRDefault="001B5A5E">
      <w:pPr>
        <w:jc w:val="left"/>
        <w:rPr>
          <w:color w:val="auto"/>
        </w:rPr>
      </w:pPr>
      <w:r w:rsidRPr="009D7C92">
        <w:rPr>
          <w:color w:val="auto"/>
        </w:rPr>
        <w:t>Fixná k</w:t>
      </w:r>
      <w:r w:rsidR="00323CDC" w:rsidRPr="009D7C92">
        <w:rPr>
          <w:color w:val="auto"/>
        </w:rPr>
        <w:t xml:space="preserve">ombinácia nie je vhodná na </w:t>
      </w:r>
      <w:r w:rsidR="003E4850" w:rsidRPr="009D7C92">
        <w:rPr>
          <w:color w:val="auto"/>
        </w:rPr>
        <w:t>začiat</w:t>
      </w:r>
      <w:r w:rsidRPr="009D7C92">
        <w:rPr>
          <w:color w:val="auto"/>
        </w:rPr>
        <w:t>o</w:t>
      </w:r>
      <w:r w:rsidR="003E4850" w:rsidRPr="009D7C92">
        <w:rPr>
          <w:color w:val="auto"/>
        </w:rPr>
        <w:t>čnú</w:t>
      </w:r>
      <w:r w:rsidR="00323CDC" w:rsidRPr="009D7C92">
        <w:rPr>
          <w:color w:val="auto"/>
        </w:rPr>
        <w:t xml:space="preserve"> liečbu.</w:t>
      </w:r>
    </w:p>
    <w:p w14:paraId="19332CEE" w14:textId="0220D4F4" w:rsidR="00323CDC" w:rsidRPr="009D7C92" w:rsidRDefault="00323CDC">
      <w:pPr>
        <w:jc w:val="left"/>
        <w:rPr>
          <w:color w:val="auto"/>
        </w:rPr>
      </w:pPr>
      <w:r w:rsidRPr="009D7C92">
        <w:rPr>
          <w:color w:val="auto"/>
        </w:rPr>
        <w:t>U pacientov, ktorý</w:t>
      </w:r>
      <w:r w:rsidR="009E0CF7" w:rsidRPr="009D7C92">
        <w:rPr>
          <w:color w:val="auto"/>
        </w:rPr>
        <w:t>m</w:t>
      </w:r>
      <w:r w:rsidR="00823CA0" w:rsidRPr="009D7C92">
        <w:rPr>
          <w:color w:val="auto"/>
        </w:rPr>
        <w:t xml:space="preserve"> sa súbežne</w:t>
      </w:r>
      <w:r w:rsidRPr="009D7C92">
        <w:rPr>
          <w:color w:val="auto"/>
        </w:rPr>
        <w:t xml:space="preserve"> </w:t>
      </w:r>
      <w:r w:rsidR="009E0CF7" w:rsidRPr="009D7C92">
        <w:rPr>
          <w:color w:val="auto"/>
        </w:rPr>
        <w:t xml:space="preserve">podá </w:t>
      </w:r>
      <w:r w:rsidRPr="009D7C92">
        <w:rPr>
          <w:color w:val="auto"/>
        </w:rPr>
        <w:t>ramipril, amlodipín a diuretikum, sa môže vyvinúť symptomatická hypotenzia.</w:t>
      </w:r>
    </w:p>
    <w:p w14:paraId="71EAD833" w14:textId="42C58FF1" w:rsidR="00EB25B2" w:rsidRDefault="00323CDC">
      <w:pPr>
        <w:jc w:val="left"/>
        <w:rPr>
          <w:color w:val="auto"/>
        </w:rPr>
      </w:pPr>
      <w:r w:rsidRPr="009D7C92">
        <w:rPr>
          <w:color w:val="auto"/>
        </w:rPr>
        <w:t xml:space="preserve">Ak je potrebná úprava dávky, </w:t>
      </w:r>
      <w:r w:rsidR="009E0CF7" w:rsidRPr="009D7C92">
        <w:rPr>
          <w:color w:val="auto"/>
        </w:rPr>
        <w:t>má sa vykonať</w:t>
      </w:r>
      <w:r w:rsidRPr="009D7C92">
        <w:rPr>
          <w:color w:val="auto"/>
        </w:rPr>
        <w:t xml:space="preserve"> </w:t>
      </w:r>
      <w:r w:rsidR="009E0CF7" w:rsidRPr="009D7C92">
        <w:rPr>
          <w:color w:val="auto"/>
        </w:rPr>
        <w:t xml:space="preserve">iba </w:t>
      </w:r>
      <w:r w:rsidRPr="009D7C92">
        <w:rPr>
          <w:color w:val="auto"/>
        </w:rPr>
        <w:t xml:space="preserve">s monokomponentmi a po nastavení </w:t>
      </w:r>
      <w:r w:rsidR="009E0CF7" w:rsidRPr="009D7C92">
        <w:rPr>
          <w:color w:val="auto"/>
        </w:rPr>
        <w:t>na vhodné</w:t>
      </w:r>
      <w:r w:rsidRPr="009D7C92">
        <w:rPr>
          <w:color w:val="auto"/>
        </w:rPr>
        <w:t xml:space="preserve"> dáv</w:t>
      </w:r>
      <w:r w:rsidR="009E0CF7" w:rsidRPr="009D7C92">
        <w:rPr>
          <w:color w:val="auto"/>
        </w:rPr>
        <w:t>ky</w:t>
      </w:r>
      <w:r w:rsidRPr="009D7C92">
        <w:rPr>
          <w:color w:val="auto"/>
        </w:rPr>
        <w:t xml:space="preserve"> je možný prechod na novú fixnú kombináciu.</w:t>
      </w:r>
    </w:p>
    <w:p w14:paraId="0F28B321" w14:textId="77777777" w:rsidR="003E4850" w:rsidRPr="009D7C92" w:rsidRDefault="003E4850">
      <w:pPr>
        <w:jc w:val="left"/>
        <w:rPr>
          <w:b/>
          <w:color w:val="auto"/>
          <w:u w:color="000000"/>
        </w:rPr>
      </w:pPr>
    </w:p>
    <w:p w14:paraId="5975160F" w14:textId="6967869C" w:rsidR="00EB25B2" w:rsidRPr="00032D0E" w:rsidRDefault="009E0CF7">
      <w:pPr>
        <w:jc w:val="left"/>
        <w:rPr>
          <w:b/>
          <w:i/>
          <w:color w:val="auto"/>
        </w:rPr>
      </w:pPr>
      <w:r w:rsidRPr="00032D0E">
        <w:rPr>
          <w:b/>
          <w:i/>
          <w:color w:val="auto"/>
          <w:u w:color="000000"/>
        </w:rPr>
        <w:t>Osobitné</w:t>
      </w:r>
      <w:r w:rsidR="00323CDC" w:rsidRPr="00032D0E">
        <w:rPr>
          <w:b/>
          <w:i/>
          <w:color w:val="auto"/>
          <w:u w:color="000000"/>
        </w:rPr>
        <w:t xml:space="preserve"> </w:t>
      </w:r>
      <w:r w:rsidR="00060513" w:rsidRPr="00032D0E">
        <w:rPr>
          <w:b/>
          <w:i/>
          <w:color w:val="auto"/>
          <w:u w:color="000000"/>
        </w:rPr>
        <w:t>skupiny pacientov</w:t>
      </w:r>
    </w:p>
    <w:p w14:paraId="0F8B7E1F" w14:textId="77777777" w:rsidR="00323CDC" w:rsidRPr="009D7C92" w:rsidRDefault="00323CDC" w:rsidP="00243692">
      <w:pPr>
        <w:tabs>
          <w:tab w:val="left" w:pos="0"/>
        </w:tabs>
        <w:spacing w:line="260" w:lineRule="exact"/>
        <w:jc w:val="left"/>
        <w:rPr>
          <w:color w:val="auto"/>
          <w:u w:val="single"/>
        </w:rPr>
      </w:pPr>
      <w:r w:rsidRPr="009D7C92">
        <w:rPr>
          <w:color w:val="auto"/>
          <w:u w:val="single"/>
        </w:rPr>
        <w:t>Pacienti liečení diuretikami</w:t>
      </w:r>
    </w:p>
    <w:p w14:paraId="75721F42" w14:textId="77777777" w:rsidR="00323CDC" w:rsidRPr="009D7C92" w:rsidRDefault="00323CDC" w:rsidP="00EE703D">
      <w:pPr>
        <w:jc w:val="left"/>
        <w:rPr>
          <w:color w:val="auto"/>
        </w:rPr>
      </w:pPr>
      <w:r w:rsidRPr="009D7C92">
        <w:rPr>
          <w:color w:val="auto"/>
        </w:rPr>
        <w:t>U pacientov liečených diuretikami sa odporúča</w:t>
      </w:r>
      <w:r w:rsidR="00006CE5" w:rsidRPr="009D7C92">
        <w:rPr>
          <w:color w:val="auto"/>
        </w:rPr>
        <w:t xml:space="preserve"> opatrnosť</w:t>
      </w:r>
      <w:r w:rsidRPr="009D7C92">
        <w:rPr>
          <w:color w:val="auto"/>
        </w:rPr>
        <w:t>, pretože u týchto pacientov sa môže vyskytnúť deplécia tekutín a/alebo solí. Je potrebné sledovať funkci</w:t>
      </w:r>
      <w:r w:rsidR="001B5A5E" w:rsidRPr="009D7C92">
        <w:rPr>
          <w:color w:val="auto"/>
        </w:rPr>
        <w:t>u</w:t>
      </w:r>
      <w:r w:rsidRPr="009D7C92">
        <w:rPr>
          <w:color w:val="auto"/>
        </w:rPr>
        <w:t xml:space="preserve"> </w:t>
      </w:r>
      <w:r w:rsidR="001B5A5E" w:rsidRPr="009D7C92">
        <w:rPr>
          <w:color w:val="auto"/>
        </w:rPr>
        <w:t xml:space="preserve">obličiek </w:t>
      </w:r>
      <w:r w:rsidRPr="009D7C92">
        <w:rPr>
          <w:color w:val="auto"/>
        </w:rPr>
        <w:t>a hladin</w:t>
      </w:r>
      <w:r w:rsidR="001B5A5E" w:rsidRPr="009D7C92">
        <w:rPr>
          <w:color w:val="auto"/>
        </w:rPr>
        <w:t>u</w:t>
      </w:r>
      <w:r w:rsidRPr="009D7C92">
        <w:rPr>
          <w:color w:val="auto"/>
        </w:rPr>
        <w:t xml:space="preserve"> draslíka v sére.</w:t>
      </w:r>
    </w:p>
    <w:p w14:paraId="3626296D" w14:textId="77777777" w:rsidR="00323CDC" w:rsidRPr="009D7C92" w:rsidRDefault="00323CDC">
      <w:pPr>
        <w:jc w:val="left"/>
        <w:rPr>
          <w:color w:val="auto"/>
          <w:u w:val="single"/>
        </w:rPr>
      </w:pPr>
    </w:p>
    <w:p w14:paraId="7BDC2F43" w14:textId="388D9805" w:rsidR="00EB25B2" w:rsidRDefault="00323CDC">
      <w:pPr>
        <w:jc w:val="left"/>
        <w:rPr>
          <w:color w:val="auto"/>
          <w:u w:val="single"/>
        </w:rPr>
      </w:pPr>
      <w:r w:rsidRPr="009D7C92">
        <w:rPr>
          <w:color w:val="auto"/>
          <w:u w:val="single"/>
        </w:rPr>
        <w:t>Pacienti s po</w:t>
      </w:r>
      <w:r w:rsidR="00006CE5" w:rsidRPr="009D7C92">
        <w:rPr>
          <w:color w:val="auto"/>
          <w:u w:val="single"/>
        </w:rPr>
        <w:t>ruchou</w:t>
      </w:r>
      <w:r w:rsidRPr="009D7C92">
        <w:rPr>
          <w:color w:val="auto"/>
          <w:u w:val="single"/>
        </w:rPr>
        <w:t xml:space="preserve"> funkcie pečene</w:t>
      </w:r>
    </w:p>
    <w:p w14:paraId="124B8E96" w14:textId="36E873B0" w:rsidR="002D609E" w:rsidRPr="009D7C92" w:rsidRDefault="00537DBD" w:rsidP="00243692">
      <w:pPr>
        <w:jc w:val="left"/>
        <w:rPr>
          <w:b/>
          <w:color w:val="FF0000"/>
          <w:u w:val="single"/>
        </w:rPr>
      </w:pPr>
      <w:r w:rsidRPr="009D7C92">
        <w:rPr>
          <w:color w:val="auto"/>
        </w:rPr>
        <w:t>Ramipril/Amlodipín/Hydrochlorotiazid Adamed</w:t>
      </w:r>
      <w:r w:rsidR="002D609E" w:rsidRPr="009D7C92">
        <w:rPr>
          <w:color w:val="auto"/>
        </w:rPr>
        <w:t xml:space="preserve"> sa nemá používať u pacientov s po</w:t>
      </w:r>
      <w:r w:rsidR="00006CE5" w:rsidRPr="009D7C92">
        <w:rPr>
          <w:color w:val="auto"/>
        </w:rPr>
        <w:t>ruchou</w:t>
      </w:r>
      <w:r w:rsidR="002D609E" w:rsidRPr="009D7C92">
        <w:rPr>
          <w:color w:val="auto"/>
        </w:rPr>
        <w:t xml:space="preserve"> pečene, pretože množstvo ramiprilu presahuje maximálnu povolenú dávku </w:t>
      </w:r>
      <w:r w:rsidR="008B3CEE" w:rsidRPr="009D7C92">
        <w:rPr>
          <w:color w:val="auto"/>
        </w:rPr>
        <w:t>pri tejto poruche</w:t>
      </w:r>
      <w:r w:rsidR="002D609E" w:rsidRPr="009D7C92">
        <w:rPr>
          <w:color w:val="auto"/>
        </w:rPr>
        <w:t>.</w:t>
      </w:r>
      <w:r w:rsidR="002D609E" w:rsidRPr="009D7C92">
        <w:cr/>
      </w:r>
    </w:p>
    <w:p w14:paraId="490E1A2C" w14:textId="2B0DC42C" w:rsidR="00EB25B2" w:rsidRDefault="00323CDC" w:rsidP="00EE703D">
      <w:pPr>
        <w:jc w:val="left"/>
        <w:rPr>
          <w:color w:val="auto"/>
          <w:u w:val="single"/>
        </w:rPr>
      </w:pPr>
      <w:r w:rsidRPr="009D7C92">
        <w:rPr>
          <w:color w:val="auto"/>
          <w:u w:val="single"/>
        </w:rPr>
        <w:t>Pacienti s</w:t>
      </w:r>
      <w:r w:rsidR="00006CE5" w:rsidRPr="009D7C92">
        <w:rPr>
          <w:color w:val="auto"/>
          <w:u w:val="single"/>
        </w:rPr>
        <w:t> </w:t>
      </w:r>
      <w:r w:rsidRPr="009D7C92">
        <w:rPr>
          <w:color w:val="auto"/>
          <w:u w:val="single"/>
        </w:rPr>
        <w:t>po</w:t>
      </w:r>
      <w:r w:rsidR="00006CE5" w:rsidRPr="009D7C92">
        <w:rPr>
          <w:color w:val="auto"/>
          <w:u w:val="single"/>
        </w:rPr>
        <w:t xml:space="preserve">ruchou </w:t>
      </w:r>
      <w:r w:rsidRPr="009D7C92">
        <w:rPr>
          <w:color w:val="auto"/>
          <w:u w:val="single"/>
        </w:rPr>
        <w:t>funkcie obličiek</w:t>
      </w:r>
    </w:p>
    <w:p w14:paraId="3D0ED523" w14:textId="4A2B82FB" w:rsidR="00EB25B2" w:rsidRDefault="00323CDC">
      <w:pPr>
        <w:jc w:val="left"/>
        <w:rPr>
          <w:color w:val="auto"/>
        </w:rPr>
      </w:pPr>
      <w:r w:rsidRPr="009D7C92">
        <w:rPr>
          <w:color w:val="auto"/>
        </w:rPr>
        <w:t xml:space="preserve">Aby sa našla optimálna </w:t>
      </w:r>
      <w:r w:rsidR="00006CE5" w:rsidRPr="009D7C92">
        <w:rPr>
          <w:color w:val="auto"/>
        </w:rPr>
        <w:t>za</w:t>
      </w:r>
      <w:r w:rsidRPr="009D7C92">
        <w:rPr>
          <w:color w:val="auto"/>
        </w:rPr>
        <w:t>čiatočná a udržiavacia dávka u pacientov s po</w:t>
      </w:r>
      <w:r w:rsidR="00006CE5" w:rsidRPr="009D7C92">
        <w:rPr>
          <w:color w:val="auto"/>
        </w:rPr>
        <w:t>ruchou</w:t>
      </w:r>
      <w:r w:rsidRPr="009D7C92">
        <w:rPr>
          <w:color w:val="auto"/>
        </w:rPr>
        <w:t xml:space="preserve"> funkcie obličiek, dávka pre pacientov sa má individuálne upraviť samostatnou titráciou dávok ramiprilu, amlodipínu a hydrochlorotiazidu (pokiaľ ide o podrobnosti, </w:t>
      </w:r>
      <w:r w:rsidR="00281B8F" w:rsidRPr="009D7C92">
        <w:rPr>
          <w:color w:val="auto"/>
        </w:rPr>
        <w:t>pozri</w:t>
      </w:r>
      <w:r w:rsidR="008B3CEE" w:rsidRPr="009D7C92">
        <w:rPr>
          <w:color w:val="auto"/>
        </w:rPr>
        <w:t>te</w:t>
      </w:r>
      <w:r w:rsidRPr="009D7C92">
        <w:rPr>
          <w:color w:val="auto"/>
        </w:rPr>
        <w:t xml:space="preserve"> </w:t>
      </w:r>
      <w:r w:rsidR="008B3CEE" w:rsidRPr="009D7C92">
        <w:rPr>
          <w:color w:val="auto"/>
        </w:rPr>
        <w:t>s</w:t>
      </w:r>
      <w:r w:rsidRPr="009D7C92">
        <w:rPr>
          <w:color w:val="auto"/>
        </w:rPr>
        <w:t>úhrn</w:t>
      </w:r>
      <w:r w:rsidR="008B3CEE" w:rsidRPr="009D7C92">
        <w:rPr>
          <w:color w:val="auto"/>
        </w:rPr>
        <w:t>y</w:t>
      </w:r>
      <w:r w:rsidRPr="009D7C92">
        <w:rPr>
          <w:color w:val="auto"/>
        </w:rPr>
        <w:t xml:space="preserve"> charakteristických vlastností monokomponentných </w:t>
      </w:r>
      <w:r w:rsidR="00281B8F" w:rsidRPr="009D7C92">
        <w:rPr>
          <w:color w:val="auto"/>
        </w:rPr>
        <w:t>liekov</w:t>
      </w:r>
      <w:r w:rsidRPr="009D7C92">
        <w:rPr>
          <w:color w:val="auto"/>
        </w:rPr>
        <w:t>).</w:t>
      </w:r>
    </w:p>
    <w:p w14:paraId="5554B14D" w14:textId="48319224" w:rsidR="00323CDC" w:rsidRPr="009D7C92" w:rsidRDefault="00B460DA">
      <w:pPr>
        <w:jc w:val="left"/>
        <w:rPr>
          <w:color w:val="auto"/>
        </w:rPr>
      </w:pPr>
      <w:r w:rsidRPr="009D7C92">
        <w:t xml:space="preserve">Denná dávka </w:t>
      </w:r>
      <w:r w:rsidR="008B3CEE" w:rsidRPr="009D7C92">
        <w:t xml:space="preserve">lieku </w:t>
      </w:r>
      <w:r w:rsidR="00537DBD" w:rsidRPr="009D7C92">
        <w:t>Ramipril/Amlodipín/Hydrochlorotiazid Adamed</w:t>
      </w:r>
      <w:r w:rsidRPr="009D7C92">
        <w:t xml:space="preserve"> u pacientov s po</w:t>
      </w:r>
      <w:r w:rsidR="00281B8F" w:rsidRPr="009D7C92">
        <w:t>ruchou</w:t>
      </w:r>
      <w:r w:rsidRPr="009D7C92">
        <w:t xml:space="preserve"> funkcie obličiek má byť založená na klírense kreatinínu.</w:t>
      </w:r>
      <w:r w:rsidRPr="009D7C92">
        <w:rPr>
          <w:color w:val="auto"/>
        </w:rPr>
        <w:t xml:space="preserve"> </w:t>
      </w:r>
    </w:p>
    <w:p w14:paraId="2D22C305" w14:textId="77777777" w:rsidR="00323CDC" w:rsidRPr="009D7C92" w:rsidRDefault="00323CDC">
      <w:pPr>
        <w:numPr>
          <w:ilvl w:val="0"/>
          <w:numId w:val="9"/>
        </w:numPr>
        <w:ind w:left="567" w:hanging="567"/>
        <w:jc w:val="left"/>
        <w:rPr>
          <w:color w:val="auto"/>
        </w:rPr>
      </w:pPr>
      <w:r w:rsidRPr="009D7C92">
        <w:rPr>
          <w:color w:val="auto"/>
        </w:rPr>
        <w:t xml:space="preserve">Ak je klírens kreatinínu ≥ 60 ml/min, maximálna denná dávka </w:t>
      </w:r>
      <w:r w:rsidR="008B3CEE" w:rsidRPr="009D7C92">
        <w:rPr>
          <w:color w:val="auto"/>
        </w:rPr>
        <w:t xml:space="preserve">lieku </w:t>
      </w:r>
      <w:r w:rsidR="00537DBD" w:rsidRPr="009D7C92">
        <w:rPr>
          <w:color w:val="auto"/>
        </w:rPr>
        <w:t>Ramipril/Amlodipín/Hydrochlorotiazid Adamed</w:t>
      </w:r>
      <w:r w:rsidRPr="009D7C92">
        <w:rPr>
          <w:color w:val="auto"/>
        </w:rPr>
        <w:t xml:space="preserve"> je 10 mg/10 mg</w:t>
      </w:r>
      <w:r w:rsidR="00281B8F" w:rsidRPr="009D7C92">
        <w:rPr>
          <w:color w:val="auto"/>
        </w:rPr>
        <w:t>/</w:t>
      </w:r>
      <w:r w:rsidRPr="009D7C92">
        <w:rPr>
          <w:color w:val="auto"/>
        </w:rPr>
        <w:t xml:space="preserve">25 mg. </w:t>
      </w:r>
    </w:p>
    <w:p w14:paraId="29A06DCF" w14:textId="77777777" w:rsidR="00323CDC" w:rsidRPr="009D7C92" w:rsidRDefault="00323CDC">
      <w:pPr>
        <w:numPr>
          <w:ilvl w:val="0"/>
          <w:numId w:val="9"/>
        </w:numPr>
        <w:ind w:left="567" w:hanging="567"/>
        <w:jc w:val="left"/>
        <w:rPr>
          <w:color w:val="auto"/>
        </w:rPr>
      </w:pPr>
      <w:r w:rsidRPr="009D7C92">
        <w:rPr>
          <w:color w:val="auto"/>
        </w:rPr>
        <w:t xml:space="preserve">Ak je klírens kreatinínu medzi 30-60 ml/min, maximálna denná dávka </w:t>
      </w:r>
      <w:r w:rsidR="008B3CEE" w:rsidRPr="009D7C92">
        <w:rPr>
          <w:color w:val="auto"/>
        </w:rPr>
        <w:t xml:space="preserve">lieku </w:t>
      </w:r>
      <w:r w:rsidR="00537DBD" w:rsidRPr="009D7C92">
        <w:rPr>
          <w:color w:val="auto"/>
        </w:rPr>
        <w:t>Ramipril/Amlodipín/Hydrochlorotiazid Adamed</w:t>
      </w:r>
      <w:r w:rsidRPr="009D7C92">
        <w:rPr>
          <w:color w:val="auto"/>
        </w:rPr>
        <w:t xml:space="preserve"> je 5 mg/10 mg/25 mg.</w:t>
      </w:r>
    </w:p>
    <w:p w14:paraId="0AA1739F" w14:textId="77777777" w:rsidR="00B06A8E" w:rsidRPr="009D7C92" w:rsidRDefault="00537DBD">
      <w:pPr>
        <w:numPr>
          <w:ilvl w:val="0"/>
          <w:numId w:val="9"/>
        </w:numPr>
        <w:ind w:left="567" w:hanging="567"/>
        <w:jc w:val="left"/>
        <w:rPr>
          <w:color w:val="auto"/>
        </w:rPr>
      </w:pPr>
      <w:r w:rsidRPr="009D7C92">
        <w:rPr>
          <w:color w:val="auto"/>
        </w:rPr>
        <w:t>Ramipril/Amlodipín/Hydrochlorotiazid Adamed</w:t>
      </w:r>
      <w:r w:rsidR="00137ED2" w:rsidRPr="009D7C92">
        <w:rPr>
          <w:color w:val="auto"/>
        </w:rPr>
        <w:t xml:space="preserve"> je kontraindikovaný u pacientov s ťažk</w:t>
      </w:r>
      <w:r w:rsidR="00281B8F" w:rsidRPr="009D7C92">
        <w:rPr>
          <w:color w:val="auto"/>
        </w:rPr>
        <w:t>ou</w:t>
      </w:r>
      <w:r w:rsidR="00137ED2" w:rsidRPr="009D7C92">
        <w:rPr>
          <w:color w:val="auto"/>
        </w:rPr>
        <w:t xml:space="preserve"> po</w:t>
      </w:r>
      <w:r w:rsidR="00281B8F" w:rsidRPr="009D7C92">
        <w:rPr>
          <w:color w:val="auto"/>
        </w:rPr>
        <w:t>ruchou</w:t>
      </w:r>
      <w:r w:rsidR="00137ED2" w:rsidRPr="009D7C92">
        <w:rPr>
          <w:color w:val="auto"/>
        </w:rPr>
        <w:t xml:space="preserve"> funkcie obličiek (rýchlosť glomerulárnej filtrácie (GFR) &lt;30 ml/min/1,73 m</w:t>
      </w:r>
      <w:r w:rsidR="00137ED2" w:rsidRPr="009D7C92">
        <w:rPr>
          <w:color w:val="auto"/>
          <w:vertAlign w:val="superscript"/>
        </w:rPr>
        <w:t>2</w:t>
      </w:r>
      <w:r w:rsidR="00137ED2" w:rsidRPr="009D7C92">
        <w:rPr>
          <w:color w:val="auto"/>
        </w:rPr>
        <w:t xml:space="preserve">) (pozri časti 4.3, 4.4 a 5.2). </w:t>
      </w:r>
    </w:p>
    <w:p w14:paraId="6EDD50EF" w14:textId="12D6BEFB" w:rsidR="00323CDC" w:rsidRPr="009D7C92" w:rsidRDefault="00211D25">
      <w:pPr>
        <w:numPr>
          <w:ilvl w:val="0"/>
          <w:numId w:val="9"/>
        </w:numPr>
        <w:ind w:left="567" w:hanging="567"/>
        <w:jc w:val="left"/>
        <w:rPr>
          <w:color w:val="auto"/>
        </w:rPr>
      </w:pPr>
      <w:r w:rsidRPr="009D7C92">
        <w:rPr>
          <w:color w:val="auto"/>
        </w:rPr>
        <w:t>P</w:t>
      </w:r>
      <w:r w:rsidR="00323CDC" w:rsidRPr="009D7C92">
        <w:rPr>
          <w:color w:val="auto"/>
        </w:rPr>
        <w:t>acient</w:t>
      </w:r>
      <w:r w:rsidRPr="009D7C92">
        <w:rPr>
          <w:color w:val="auto"/>
        </w:rPr>
        <w:t>i podstupujúci</w:t>
      </w:r>
      <w:r w:rsidR="008B3CEE" w:rsidRPr="009D7C92">
        <w:rPr>
          <w:color w:val="auto"/>
        </w:rPr>
        <w:t xml:space="preserve"> hemodialýzu</w:t>
      </w:r>
      <w:r w:rsidR="00323CDC" w:rsidRPr="009D7C92">
        <w:rPr>
          <w:color w:val="auto"/>
        </w:rPr>
        <w:t>: maximálna denná dávka je 5 mg/10 mg/25 mg; liek sa má podať niekoľko hodín po hemodialýze.</w:t>
      </w:r>
    </w:p>
    <w:p w14:paraId="3B76C72D" w14:textId="77777777" w:rsidR="00323CDC" w:rsidRPr="009D7C92" w:rsidRDefault="00323CDC">
      <w:pPr>
        <w:jc w:val="left"/>
        <w:rPr>
          <w:color w:val="auto"/>
          <w:shd w:val="clear" w:color="auto" w:fill="FFFFFF"/>
        </w:rPr>
      </w:pPr>
    </w:p>
    <w:p w14:paraId="56C3E7FB" w14:textId="653DB340" w:rsidR="00323CDC" w:rsidRPr="009D7C92" w:rsidRDefault="00323CDC">
      <w:pPr>
        <w:jc w:val="left"/>
        <w:rPr>
          <w:color w:val="auto"/>
        </w:rPr>
      </w:pPr>
      <w:r w:rsidRPr="009D7C92">
        <w:rPr>
          <w:color w:val="auto"/>
        </w:rPr>
        <w:t xml:space="preserve">Počas liečby </w:t>
      </w:r>
      <w:r w:rsidR="00282293" w:rsidRPr="009D7C92">
        <w:rPr>
          <w:color w:val="auto"/>
        </w:rPr>
        <w:t xml:space="preserve">liekom </w:t>
      </w:r>
      <w:r w:rsidR="00537DBD" w:rsidRPr="009D7C92">
        <w:rPr>
          <w:color w:val="auto"/>
        </w:rPr>
        <w:t>Ramipril/Amlodipín/Hydrochlorotiazid Adamed</w:t>
      </w:r>
      <w:r w:rsidRPr="009D7C92">
        <w:rPr>
          <w:color w:val="auto"/>
        </w:rPr>
        <w:t xml:space="preserve"> sa má sledovať funkcia obličiek a</w:t>
      </w:r>
      <w:r w:rsidR="002C5DA5" w:rsidRPr="009D7C92">
        <w:rPr>
          <w:color w:val="auto"/>
        </w:rPr>
        <w:t xml:space="preserve"> hladina </w:t>
      </w:r>
      <w:r w:rsidRPr="009D7C92">
        <w:rPr>
          <w:color w:val="auto"/>
        </w:rPr>
        <w:t>draslík</w:t>
      </w:r>
      <w:r w:rsidR="002C5DA5" w:rsidRPr="009D7C92">
        <w:rPr>
          <w:color w:val="auto"/>
        </w:rPr>
        <w:t>a</w:t>
      </w:r>
      <w:r w:rsidRPr="009D7C92">
        <w:rPr>
          <w:color w:val="auto"/>
        </w:rPr>
        <w:t xml:space="preserve"> v sére.</w:t>
      </w:r>
      <w:r w:rsidRPr="009D7C92">
        <w:rPr>
          <w:color w:val="auto"/>
          <w:shd w:val="clear" w:color="auto" w:fill="FFFFFF"/>
        </w:rPr>
        <w:t xml:space="preserve"> </w:t>
      </w:r>
      <w:r w:rsidRPr="009D7C92">
        <w:t>V prípade zhoršenia funkcie obličiek sa má podávanie</w:t>
      </w:r>
      <w:r w:rsidR="00282293" w:rsidRPr="009D7C92">
        <w:t xml:space="preserve"> lieku</w:t>
      </w:r>
      <w:r w:rsidRPr="009D7C92">
        <w:t xml:space="preserve"> </w:t>
      </w:r>
      <w:r w:rsidR="00537DBD" w:rsidRPr="009D7C92">
        <w:t>Ramipril/Amlodipín/Hydrochlorotiazid Adamed</w:t>
      </w:r>
      <w:r w:rsidRPr="009D7C92">
        <w:t xml:space="preserve"> ukončiť a jeho zložky sa majú podávať v primerane upravených dávkach.</w:t>
      </w:r>
      <w:r w:rsidRPr="009D7C92">
        <w:cr/>
      </w:r>
    </w:p>
    <w:p w14:paraId="0FE42E96" w14:textId="024CBD77" w:rsidR="00EB25B2" w:rsidRDefault="00323CDC">
      <w:pPr>
        <w:jc w:val="left"/>
        <w:rPr>
          <w:color w:val="auto"/>
          <w:u w:val="single"/>
        </w:rPr>
      </w:pPr>
      <w:r w:rsidRPr="009D7C92">
        <w:rPr>
          <w:color w:val="auto"/>
          <w:u w:val="single"/>
        </w:rPr>
        <w:t>Starší pacienti</w:t>
      </w:r>
    </w:p>
    <w:p w14:paraId="3FDBE372" w14:textId="550D2F62" w:rsidR="00EB25B2" w:rsidRDefault="00F45718">
      <w:pPr>
        <w:jc w:val="left"/>
        <w:rPr>
          <w:color w:val="auto"/>
        </w:rPr>
      </w:pPr>
      <w:r w:rsidRPr="009D7C92">
        <w:rPr>
          <w:color w:val="auto"/>
        </w:rPr>
        <w:t xml:space="preserve">U starších pacientov sa odporúča </w:t>
      </w:r>
      <w:r w:rsidR="00282293" w:rsidRPr="009D7C92">
        <w:rPr>
          <w:color w:val="auto"/>
        </w:rPr>
        <w:t>opatrnosť</w:t>
      </w:r>
      <w:r w:rsidRPr="009D7C92">
        <w:rPr>
          <w:color w:val="auto"/>
        </w:rPr>
        <w:t>, vrátane častejšieho monitorovania krvného tlaku,</w:t>
      </w:r>
    </w:p>
    <w:p w14:paraId="71B153AB" w14:textId="1F677962" w:rsidR="00EB25B2" w:rsidRDefault="00F45718">
      <w:pPr>
        <w:jc w:val="left"/>
        <w:rPr>
          <w:color w:val="auto"/>
        </w:rPr>
      </w:pPr>
      <w:r w:rsidRPr="009D7C92">
        <w:rPr>
          <w:color w:val="auto"/>
        </w:rPr>
        <w:t xml:space="preserve">najmä pri maximálnej dávke </w:t>
      </w:r>
      <w:r w:rsidR="00282293" w:rsidRPr="009D7C92">
        <w:rPr>
          <w:color w:val="auto"/>
        </w:rPr>
        <w:t xml:space="preserve">lieku </w:t>
      </w:r>
      <w:r w:rsidR="00537DBD" w:rsidRPr="009D7C92">
        <w:rPr>
          <w:color w:val="auto"/>
        </w:rPr>
        <w:t>Ramipril/Amlodipín/Hydrochlorotiazid Adamed</w:t>
      </w:r>
      <w:r w:rsidR="001A5564" w:rsidRPr="009D7C92">
        <w:rPr>
          <w:color w:val="auto"/>
        </w:rPr>
        <w:t xml:space="preserve"> </w:t>
      </w:r>
      <w:r w:rsidRPr="009D7C92">
        <w:rPr>
          <w:color w:val="auto"/>
        </w:rPr>
        <w:t xml:space="preserve">10 mg/10 mg/25 mg, pretože dostupné údaje u tejto populácie pacientov sú obmedzené. Pri </w:t>
      </w:r>
      <w:r w:rsidR="00282293" w:rsidRPr="009D7C92">
        <w:rPr>
          <w:color w:val="auto"/>
        </w:rPr>
        <w:t xml:space="preserve">prechode u </w:t>
      </w:r>
      <w:r w:rsidRPr="009D7C92">
        <w:rPr>
          <w:color w:val="auto"/>
        </w:rPr>
        <w:t xml:space="preserve">starších pacientov s hypertenziou (pozri časť 4.1) na </w:t>
      </w:r>
      <w:r w:rsidR="00537DBD" w:rsidRPr="009D7C92">
        <w:rPr>
          <w:color w:val="auto"/>
        </w:rPr>
        <w:t>Ramipril/Amlodipín/Hydrochlorotiazid Adamed</w:t>
      </w:r>
      <w:r w:rsidRPr="009D7C92">
        <w:rPr>
          <w:color w:val="auto"/>
        </w:rPr>
        <w:t xml:space="preserve"> sa má použiť najnižšia dostupná dávka zložiek ramiprilu a amlodipínu.</w:t>
      </w:r>
    </w:p>
    <w:p w14:paraId="6CDEF080" w14:textId="77777777" w:rsidR="00C75A0B" w:rsidRPr="009D7C92" w:rsidRDefault="00C75A0B">
      <w:pPr>
        <w:jc w:val="left"/>
        <w:rPr>
          <w:color w:val="auto"/>
          <w:u w:val="single"/>
        </w:rPr>
      </w:pPr>
    </w:p>
    <w:p w14:paraId="3FBD4274" w14:textId="77777777" w:rsidR="00323CDC" w:rsidRPr="009D7C92" w:rsidRDefault="00746ED1">
      <w:pPr>
        <w:jc w:val="left"/>
        <w:rPr>
          <w:color w:val="auto"/>
          <w:u w:val="single"/>
        </w:rPr>
      </w:pPr>
      <w:r w:rsidRPr="009D7C92">
        <w:rPr>
          <w:color w:val="auto"/>
          <w:u w:val="single"/>
        </w:rPr>
        <w:lastRenderedPageBreak/>
        <w:t>Pediatrická populácia</w:t>
      </w:r>
    </w:p>
    <w:p w14:paraId="3AE3BD5C" w14:textId="5FA85E38" w:rsidR="00EB25B2" w:rsidRDefault="00537DBD">
      <w:pPr>
        <w:jc w:val="left"/>
        <w:rPr>
          <w:color w:val="auto"/>
        </w:rPr>
      </w:pPr>
      <w:r w:rsidRPr="009D7C92">
        <w:rPr>
          <w:color w:val="auto"/>
        </w:rPr>
        <w:t>Ramipril/Amlodipín/Hydrochlorotiazid Adamed</w:t>
      </w:r>
      <w:r w:rsidR="00323CDC" w:rsidRPr="009D7C92">
        <w:rPr>
          <w:color w:val="auto"/>
        </w:rPr>
        <w:t xml:space="preserve"> sa neodporúča používať u detí a dospievajúcich mladších ako 18 rokov kvôli chýbajúcim údajom o bezpečnosti a účinnosti.</w:t>
      </w:r>
    </w:p>
    <w:p w14:paraId="770E9B29" w14:textId="77777777" w:rsidR="00323CDC" w:rsidRPr="009D7C92" w:rsidRDefault="00323CDC">
      <w:pPr>
        <w:jc w:val="left"/>
        <w:rPr>
          <w:b/>
          <w:color w:val="auto"/>
        </w:rPr>
      </w:pPr>
    </w:p>
    <w:p w14:paraId="4DE43E2D" w14:textId="59337E55" w:rsidR="00EB25B2" w:rsidRDefault="00323CDC">
      <w:pPr>
        <w:jc w:val="left"/>
        <w:rPr>
          <w:color w:val="auto"/>
          <w:u w:val="single"/>
        </w:rPr>
      </w:pPr>
      <w:r w:rsidRPr="009D7C92">
        <w:rPr>
          <w:color w:val="auto"/>
          <w:u w:val="single"/>
        </w:rPr>
        <w:t>Spôsob podávania</w:t>
      </w:r>
    </w:p>
    <w:p w14:paraId="48321053" w14:textId="2782639D" w:rsidR="00EB25B2" w:rsidRDefault="00323CDC">
      <w:pPr>
        <w:jc w:val="left"/>
        <w:rPr>
          <w:color w:val="auto"/>
        </w:rPr>
      </w:pPr>
      <w:r w:rsidRPr="009D7C92">
        <w:rPr>
          <w:color w:val="auto"/>
        </w:rPr>
        <w:t xml:space="preserve">Kapsuly sa majú užívať perorálne každý deň </w:t>
      </w:r>
      <w:r w:rsidR="002C5DA5" w:rsidRPr="009D7C92">
        <w:rPr>
          <w:color w:val="auto"/>
        </w:rPr>
        <w:t>jedenkrát</w:t>
      </w:r>
      <w:r w:rsidRPr="009D7C92">
        <w:rPr>
          <w:color w:val="auto"/>
        </w:rPr>
        <w:t xml:space="preserve"> v rovnakom čase</w:t>
      </w:r>
      <w:r w:rsidR="00211D25" w:rsidRPr="009D7C92">
        <w:rPr>
          <w:color w:val="auto"/>
        </w:rPr>
        <w:t>,</w:t>
      </w:r>
      <w:r w:rsidRPr="009D7C92">
        <w:rPr>
          <w:color w:val="auto"/>
        </w:rPr>
        <w:t xml:space="preserve"> s jedlom alebo bez jedla. Nesm</w:t>
      </w:r>
      <w:r w:rsidR="00282293" w:rsidRPr="009D7C92">
        <w:rPr>
          <w:color w:val="auto"/>
        </w:rPr>
        <w:t>ú</w:t>
      </w:r>
      <w:r w:rsidRPr="009D7C92">
        <w:rPr>
          <w:color w:val="auto"/>
        </w:rPr>
        <w:t xml:space="preserve"> sa žuvať ani drviť. Nesmú sa užívať s grapefruitovou šťavou.</w:t>
      </w:r>
    </w:p>
    <w:p w14:paraId="723CD886" w14:textId="6392229B" w:rsidR="00323CDC" w:rsidRPr="009D7C92" w:rsidRDefault="00323CDC">
      <w:pPr>
        <w:jc w:val="left"/>
        <w:rPr>
          <w:color w:val="auto"/>
        </w:rPr>
      </w:pPr>
    </w:p>
    <w:p w14:paraId="43A92109" w14:textId="43A4062F" w:rsidR="00EB25B2" w:rsidRDefault="00323CDC" w:rsidP="00243692">
      <w:pPr>
        <w:ind w:left="567" w:right="0" w:hanging="567"/>
        <w:jc w:val="left"/>
        <w:rPr>
          <w:b/>
          <w:color w:val="auto"/>
        </w:rPr>
      </w:pPr>
      <w:r w:rsidRPr="009D7C92">
        <w:rPr>
          <w:b/>
          <w:color w:val="auto"/>
        </w:rPr>
        <w:t>4.3</w:t>
      </w:r>
      <w:r w:rsidR="003E4850" w:rsidRPr="009D7C92">
        <w:rPr>
          <w:b/>
          <w:color w:val="auto"/>
        </w:rPr>
        <w:tab/>
      </w:r>
      <w:r w:rsidRPr="009D7C92">
        <w:rPr>
          <w:b/>
          <w:color w:val="auto"/>
          <w:lang w:eastAsia="sk-SK"/>
        </w:rPr>
        <w:t>Kontraindikácie</w:t>
      </w:r>
    </w:p>
    <w:p w14:paraId="2212A6C0" w14:textId="78467962" w:rsidR="00323CDC" w:rsidRPr="009D7C92" w:rsidRDefault="00323CDC" w:rsidP="00EE703D">
      <w:pPr>
        <w:jc w:val="left"/>
        <w:rPr>
          <w:color w:val="auto"/>
        </w:rPr>
      </w:pPr>
    </w:p>
    <w:p w14:paraId="4093DAEF" w14:textId="44194120" w:rsidR="00323CDC" w:rsidRPr="009D7C92" w:rsidRDefault="00323CDC" w:rsidP="00211D25">
      <w:pPr>
        <w:numPr>
          <w:ilvl w:val="0"/>
          <w:numId w:val="8"/>
        </w:numPr>
        <w:ind w:left="567" w:hanging="567"/>
        <w:jc w:val="left"/>
        <w:rPr>
          <w:color w:val="auto"/>
        </w:rPr>
      </w:pPr>
      <w:r w:rsidRPr="009D7C92">
        <w:rPr>
          <w:color w:val="auto"/>
        </w:rPr>
        <w:t>anamnéza angioedému (dedičn</w:t>
      </w:r>
      <w:r w:rsidR="00211D25" w:rsidRPr="009D7C92">
        <w:rPr>
          <w:color w:val="auto"/>
        </w:rPr>
        <w:t>á</w:t>
      </w:r>
      <w:r w:rsidRPr="009D7C92">
        <w:rPr>
          <w:color w:val="auto"/>
        </w:rPr>
        <w:t>, idiopatick</w:t>
      </w:r>
      <w:r w:rsidR="00211D25" w:rsidRPr="009D7C92">
        <w:rPr>
          <w:color w:val="auto"/>
        </w:rPr>
        <w:t>á</w:t>
      </w:r>
      <w:r w:rsidRPr="009D7C92">
        <w:rPr>
          <w:color w:val="auto"/>
        </w:rPr>
        <w:t xml:space="preserve"> alebo v dôsledku predchádzajúceho angioedému </w:t>
      </w:r>
      <w:r w:rsidR="004D11AF" w:rsidRPr="009D7C92">
        <w:rPr>
          <w:color w:val="auto"/>
        </w:rPr>
        <w:t>po podaní</w:t>
      </w:r>
      <w:r w:rsidRPr="009D7C92">
        <w:rPr>
          <w:color w:val="auto"/>
        </w:rPr>
        <w:t xml:space="preserve"> inhibítor</w:t>
      </w:r>
      <w:r w:rsidR="004D11AF" w:rsidRPr="009D7C92">
        <w:rPr>
          <w:color w:val="auto"/>
        </w:rPr>
        <w:t>ov enzýmu konvertujúceho angiotenzín (ACE)</w:t>
      </w:r>
      <w:r w:rsidRPr="009D7C92">
        <w:rPr>
          <w:color w:val="auto"/>
        </w:rPr>
        <w:t xml:space="preserve"> alebo antagonist</w:t>
      </w:r>
      <w:r w:rsidR="00211D25" w:rsidRPr="009D7C92">
        <w:rPr>
          <w:color w:val="auto"/>
        </w:rPr>
        <w:t>ov</w:t>
      </w:r>
      <w:r w:rsidRPr="009D7C92">
        <w:rPr>
          <w:color w:val="auto"/>
        </w:rPr>
        <w:t xml:space="preserve"> receptora angiot</w:t>
      </w:r>
      <w:r w:rsidR="00C75A0B" w:rsidRPr="009D7C92">
        <w:rPr>
          <w:color w:val="auto"/>
        </w:rPr>
        <w:t>enzínu II (AIIRA))</w:t>
      </w:r>
    </w:p>
    <w:p w14:paraId="0342CBBC" w14:textId="77777777" w:rsidR="00F45718" w:rsidRPr="009D7C92" w:rsidRDefault="00F45718">
      <w:pPr>
        <w:numPr>
          <w:ilvl w:val="0"/>
          <w:numId w:val="8"/>
        </w:numPr>
        <w:ind w:left="567" w:hanging="567"/>
        <w:jc w:val="left"/>
        <w:rPr>
          <w:color w:val="auto"/>
        </w:rPr>
      </w:pPr>
      <w:r w:rsidRPr="009D7C92">
        <w:rPr>
          <w:color w:val="auto"/>
        </w:rPr>
        <w:t>šo</w:t>
      </w:r>
      <w:r w:rsidR="00C75A0B" w:rsidRPr="009D7C92">
        <w:rPr>
          <w:color w:val="auto"/>
        </w:rPr>
        <w:t>k (vrátane kardiogénneho šoku)</w:t>
      </w:r>
    </w:p>
    <w:p w14:paraId="348E94A9" w14:textId="17E442FE" w:rsidR="00323CDC" w:rsidRPr="009D7C92" w:rsidRDefault="00323CDC">
      <w:pPr>
        <w:numPr>
          <w:ilvl w:val="0"/>
          <w:numId w:val="8"/>
        </w:numPr>
        <w:ind w:left="567" w:hanging="567"/>
        <w:jc w:val="left"/>
        <w:rPr>
          <w:color w:val="auto"/>
        </w:rPr>
      </w:pPr>
      <w:r w:rsidRPr="009D7C92">
        <w:rPr>
          <w:color w:val="auto"/>
        </w:rPr>
        <w:t>2</w:t>
      </w:r>
      <w:r w:rsidR="00211D25" w:rsidRPr="009D7C92">
        <w:rPr>
          <w:color w:val="auto"/>
        </w:rPr>
        <w:t>.</w:t>
      </w:r>
      <w:r w:rsidRPr="009D7C92">
        <w:rPr>
          <w:color w:val="auto"/>
        </w:rPr>
        <w:t xml:space="preserve"> a</w:t>
      </w:r>
      <w:r w:rsidR="00211D25" w:rsidRPr="009D7C92">
        <w:rPr>
          <w:color w:val="auto"/>
        </w:rPr>
        <w:t> </w:t>
      </w:r>
      <w:r w:rsidRPr="009D7C92">
        <w:rPr>
          <w:color w:val="auto"/>
        </w:rPr>
        <w:t>3</w:t>
      </w:r>
      <w:r w:rsidR="00211D25" w:rsidRPr="009D7C92">
        <w:rPr>
          <w:color w:val="auto"/>
        </w:rPr>
        <w:t>.</w:t>
      </w:r>
      <w:r w:rsidRPr="009D7C92">
        <w:rPr>
          <w:color w:val="auto"/>
        </w:rPr>
        <w:t xml:space="preserve"> trimester tehot</w:t>
      </w:r>
      <w:r w:rsidR="00C75A0B" w:rsidRPr="009D7C92">
        <w:rPr>
          <w:color w:val="auto"/>
        </w:rPr>
        <w:t>enstva (pozri časti 4.4 a 4.6)</w:t>
      </w:r>
    </w:p>
    <w:p w14:paraId="5CE9D510" w14:textId="2AEAC000" w:rsidR="00323CDC" w:rsidRPr="009D7C92" w:rsidRDefault="004D11AF">
      <w:pPr>
        <w:numPr>
          <w:ilvl w:val="0"/>
          <w:numId w:val="8"/>
        </w:numPr>
        <w:ind w:left="567" w:hanging="567"/>
        <w:jc w:val="left"/>
        <w:rPr>
          <w:color w:val="auto"/>
        </w:rPr>
      </w:pPr>
      <w:r w:rsidRPr="009D7C92">
        <w:rPr>
          <w:color w:val="auto"/>
        </w:rPr>
        <w:t xml:space="preserve">dojčenie </w:t>
      </w:r>
      <w:r w:rsidR="00323CDC" w:rsidRPr="009D7C92">
        <w:rPr>
          <w:color w:val="auto"/>
        </w:rPr>
        <w:t>(pozri časť 4.6)</w:t>
      </w:r>
    </w:p>
    <w:p w14:paraId="119FA41A" w14:textId="0AD47C8C" w:rsidR="00323CDC" w:rsidRPr="009D7C92" w:rsidRDefault="004E4729">
      <w:pPr>
        <w:numPr>
          <w:ilvl w:val="0"/>
          <w:numId w:val="8"/>
        </w:numPr>
        <w:ind w:left="567" w:hanging="567"/>
        <w:jc w:val="left"/>
        <w:rPr>
          <w:color w:val="auto"/>
        </w:rPr>
      </w:pPr>
      <w:r w:rsidRPr="009D7C92">
        <w:rPr>
          <w:color w:val="auto"/>
        </w:rPr>
        <w:t>extrakorporáln</w:t>
      </w:r>
      <w:r w:rsidR="004D11AF" w:rsidRPr="009D7C92">
        <w:rPr>
          <w:color w:val="auto"/>
        </w:rPr>
        <w:t>a</w:t>
      </w:r>
      <w:r w:rsidRPr="009D7C92">
        <w:rPr>
          <w:color w:val="auto"/>
        </w:rPr>
        <w:t xml:space="preserve"> liečba </w:t>
      </w:r>
      <w:r w:rsidR="00323CDC" w:rsidRPr="009D7C92">
        <w:rPr>
          <w:color w:val="auto"/>
        </w:rPr>
        <w:t>vedúc</w:t>
      </w:r>
      <w:r w:rsidRPr="009D7C92">
        <w:rPr>
          <w:color w:val="auto"/>
        </w:rPr>
        <w:t>a</w:t>
      </w:r>
      <w:r w:rsidR="00323CDC" w:rsidRPr="009D7C92">
        <w:rPr>
          <w:color w:val="auto"/>
        </w:rPr>
        <w:t xml:space="preserve"> ku kontaktu krvi so záporne nabit</w:t>
      </w:r>
      <w:r w:rsidR="00C75A0B" w:rsidRPr="009D7C92">
        <w:rPr>
          <w:color w:val="auto"/>
        </w:rPr>
        <w:t>ými povrchmi (pozri časť 4.5)</w:t>
      </w:r>
    </w:p>
    <w:p w14:paraId="34673264" w14:textId="77777777" w:rsidR="00323CDC" w:rsidRPr="009D7C92" w:rsidRDefault="00323CDC">
      <w:pPr>
        <w:numPr>
          <w:ilvl w:val="0"/>
          <w:numId w:val="8"/>
        </w:numPr>
        <w:ind w:left="567" w:hanging="567"/>
        <w:jc w:val="left"/>
        <w:rPr>
          <w:color w:val="auto"/>
        </w:rPr>
      </w:pPr>
      <w:r w:rsidRPr="009D7C92">
        <w:rPr>
          <w:color w:val="auto"/>
        </w:rPr>
        <w:t>významná bilaterálna stenóza renálnej artérie alebo stenóza renálnej art</w:t>
      </w:r>
      <w:r w:rsidR="00C75A0B" w:rsidRPr="009D7C92">
        <w:rPr>
          <w:color w:val="auto"/>
        </w:rPr>
        <w:t>érie v jednej funkčnej obličke</w:t>
      </w:r>
    </w:p>
    <w:p w14:paraId="760501F6" w14:textId="5932566F" w:rsidR="000249AE" w:rsidRPr="009D7C92" w:rsidRDefault="000249AE">
      <w:pPr>
        <w:numPr>
          <w:ilvl w:val="0"/>
          <w:numId w:val="8"/>
        </w:numPr>
        <w:ind w:left="567" w:hanging="567"/>
        <w:jc w:val="left"/>
        <w:rPr>
          <w:color w:val="auto"/>
        </w:rPr>
      </w:pPr>
      <w:r w:rsidRPr="009D7C92">
        <w:rPr>
          <w:color w:val="auto"/>
        </w:rPr>
        <w:t>závažn</w:t>
      </w:r>
      <w:r w:rsidR="00211D25" w:rsidRPr="009D7C92">
        <w:rPr>
          <w:color w:val="auto"/>
        </w:rPr>
        <w:t>á</w:t>
      </w:r>
      <w:r w:rsidRPr="009D7C92">
        <w:rPr>
          <w:color w:val="auto"/>
        </w:rPr>
        <w:t xml:space="preserve"> po</w:t>
      </w:r>
      <w:r w:rsidR="00211D25" w:rsidRPr="009D7C92">
        <w:rPr>
          <w:color w:val="auto"/>
        </w:rPr>
        <w:t>rucha</w:t>
      </w:r>
      <w:r w:rsidRPr="009D7C92">
        <w:rPr>
          <w:color w:val="auto"/>
        </w:rPr>
        <w:t xml:space="preserve"> funkcie obličiek (klírens kreatinínu &lt;30 ml/min)</w:t>
      </w:r>
    </w:p>
    <w:p w14:paraId="39294031" w14:textId="7B2AB584" w:rsidR="00323CDC" w:rsidRPr="009D7C92" w:rsidRDefault="00323CDC">
      <w:pPr>
        <w:numPr>
          <w:ilvl w:val="0"/>
          <w:numId w:val="8"/>
        </w:numPr>
        <w:ind w:left="567" w:hanging="567"/>
        <w:jc w:val="left"/>
        <w:rPr>
          <w:color w:val="auto"/>
        </w:rPr>
      </w:pPr>
      <w:r w:rsidRPr="009D7C92">
        <w:rPr>
          <w:color w:val="auto"/>
        </w:rPr>
        <w:t>u pacientov s hypotenz</w:t>
      </w:r>
      <w:r w:rsidR="004D11AF" w:rsidRPr="009D7C92">
        <w:rPr>
          <w:color w:val="auto"/>
        </w:rPr>
        <w:t>ív</w:t>
      </w:r>
      <w:r w:rsidRPr="009D7C92">
        <w:rPr>
          <w:color w:val="auto"/>
        </w:rPr>
        <w:t>n</w:t>
      </w:r>
      <w:r w:rsidR="004D11AF" w:rsidRPr="009D7C92">
        <w:rPr>
          <w:color w:val="auto"/>
        </w:rPr>
        <w:t>y</w:t>
      </w:r>
      <w:r w:rsidRPr="009D7C92">
        <w:rPr>
          <w:color w:val="auto"/>
        </w:rPr>
        <w:t>mi alebo hem</w:t>
      </w:r>
      <w:r w:rsidR="00C75A0B" w:rsidRPr="009D7C92">
        <w:rPr>
          <w:color w:val="auto"/>
        </w:rPr>
        <w:t>odynamicky nestabilnými stavmi</w:t>
      </w:r>
    </w:p>
    <w:p w14:paraId="7E905B28" w14:textId="4D978DE0" w:rsidR="000249AE" w:rsidRPr="009D7C92" w:rsidRDefault="000249AE">
      <w:pPr>
        <w:numPr>
          <w:ilvl w:val="0"/>
          <w:numId w:val="8"/>
        </w:numPr>
        <w:ind w:left="567" w:hanging="567"/>
        <w:jc w:val="left"/>
        <w:rPr>
          <w:color w:val="auto"/>
        </w:rPr>
      </w:pPr>
      <w:r w:rsidRPr="009D7C92">
        <w:rPr>
          <w:color w:val="auto"/>
        </w:rPr>
        <w:t>refraktérna hypokaliémia, hyponatriémia, hyperkalc</w:t>
      </w:r>
      <w:r w:rsidR="00211D25" w:rsidRPr="009D7C92">
        <w:rPr>
          <w:color w:val="auto"/>
        </w:rPr>
        <w:t>i</w:t>
      </w:r>
      <w:r w:rsidRPr="009D7C92">
        <w:rPr>
          <w:color w:val="auto"/>
        </w:rPr>
        <w:t>émi</w:t>
      </w:r>
      <w:r w:rsidR="00C75A0B" w:rsidRPr="009D7C92">
        <w:rPr>
          <w:color w:val="auto"/>
        </w:rPr>
        <w:t>a a symptomatická hyperurikémia</w:t>
      </w:r>
    </w:p>
    <w:p w14:paraId="0306190D" w14:textId="308276F3" w:rsidR="000249AE" w:rsidRPr="009D7C92" w:rsidRDefault="000249AE">
      <w:pPr>
        <w:numPr>
          <w:ilvl w:val="0"/>
          <w:numId w:val="8"/>
        </w:numPr>
        <w:ind w:left="567" w:hanging="567"/>
        <w:jc w:val="left"/>
        <w:rPr>
          <w:color w:val="auto"/>
        </w:rPr>
      </w:pPr>
      <w:r w:rsidRPr="009D7C92">
        <w:rPr>
          <w:color w:val="auto"/>
        </w:rPr>
        <w:t xml:space="preserve">obštrukcia výtokového traktu ľavej komory (napríklad </w:t>
      </w:r>
      <w:r w:rsidR="004D11AF" w:rsidRPr="009D7C92">
        <w:rPr>
          <w:color w:val="auto"/>
        </w:rPr>
        <w:t xml:space="preserve">pri </w:t>
      </w:r>
      <w:r w:rsidRPr="009D7C92">
        <w:rPr>
          <w:color w:val="auto"/>
        </w:rPr>
        <w:t>aort</w:t>
      </w:r>
      <w:r w:rsidR="00C75A0B" w:rsidRPr="009D7C92">
        <w:rPr>
          <w:color w:val="auto"/>
        </w:rPr>
        <w:t>álnej stenóz</w:t>
      </w:r>
      <w:r w:rsidR="004D11AF" w:rsidRPr="009D7C92">
        <w:rPr>
          <w:color w:val="auto"/>
        </w:rPr>
        <w:t>e</w:t>
      </w:r>
      <w:r w:rsidR="00C75A0B" w:rsidRPr="009D7C92">
        <w:rPr>
          <w:color w:val="auto"/>
        </w:rPr>
        <w:t xml:space="preserve"> vysokého stupňa)</w:t>
      </w:r>
    </w:p>
    <w:p w14:paraId="1BFBC398" w14:textId="6CF94C90" w:rsidR="00323CDC" w:rsidRPr="009D7C92" w:rsidRDefault="004D11AF">
      <w:pPr>
        <w:numPr>
          <w:ilvl w:val="0"/>
          <w:numId w:val="8"/>
        </w:numPr>
        <w:ind w:left="567" w:hanging="567"/>
        <w:jc w:val="left"/>
        <w:rPr>
          <w:color w:val="auto"/>
        </w:rPr>
      </w:pPr>
      <w:r w:rsidRPr="009D7C92">
        <w:rPr>
          <w:color w:val="auto"/>
        </w:rPr>
        <w:t xml:space="preserve">kombinácia </w:t>
      </w:r>
      <w:r w:rsidR="00323CDC" w:rsidRPr="009D7C92">
        <w:rPr>
          <w:color w:val="auto"/>
        </w:rPr>
        <w:t>s antagonistami receptora angiotenzínu II (ARB) u pacientov s diabetickou nefr</w:t>
      </w:r>
      <w:r w:rsidR="00C75A0B" w:rsidRPr="009D7C92">
        <w:rPr>
          <w:color w:val="auto"/>
        </w:rPr>
        <w:t>opatiou (pozri časti 4.4 a 4.5)</w:t>
      </w:r>
    </w:p>
    <w:p w14:paraId="41DA1B30" w14:textId="2513E93C" w:rsidR="00535D8D" w:rsidRDefault="00C75A0B">
      <w:pPr>
        <w:numPr>
          <w:ilvl w:val="0"/>
          <w:numId w:val="8"/>
        </w:numPr>
        <w:ind w:left="567" w:hanging="567"/>
        <w:jc w:val="left"/>
        <w:rPr>
          <w:color w:val="auto"/>
        </w:rPr>
      </w:pPr>
      <w:r w:rsidRPr="009D7C92">
        <w:rPr>
          <w:color w:val="auto"/>
        </w:rPr>
        <w:t>s</w:t>
      </w:r>
      <w:r w:rsidR="003B1889" w:rsidRPr="009D7C92">
        <w:rPr>
          <w:color w:val="auto"/>
        </w:rPr>
        <w:t>úbežn</w:t>
      </w:r>
      <w:r w:rsidR="005A78C5">
        <w:rPr>
          <w:color w:val="auto"/>
        </w:rPr>
        <w:t>á</w:t>
      </w:r>
      <w:r w:rsidR="003B1889" w:rsidRPr="009D7C92">
        <w:rPr>
          <w:color w:val="auto"/>
        </w:rPr>
        <w:t xml:space="preserve"> </w:t>
      </w:r>
      <w:r w:rsidR="005A78C5">
        <w:rPr>
          <w:color w:val="auto"/>
        </w:rPr>
        <w:t>liečba</w:t>
      </w:r>
      <w:r w:rsidR="008E2254" w:rsidRPr="009D7C92">
        <w:rPr>
          <w:color w:val="auto"/>
        </w:rPr>
        <w:t xml:space="preserve"> </w:t>
      </w:r>
      <w:r w:rsidR="003B1889" w:rsidRPr="009D7C92">
        <w:rPr>
          <w:color w:val="auto"/>
        </w:rPr>
        <w:t>sa</w:t>
      </w:r>
      <w:r w:rsidR="004E4729" w:rsidRPr="009D7C92">
        <w:rPr>
          <w:color w:val="auto"/>
        </w:rPr>
        <w:t>k</w:t>
      </w:r>
      <w:r w:rsidR="003B1889" w:rsidRPr="009D7C92">
        <w:rPr>
          <w:color w:val="auto"/>
        </w:rPr>
        <w:t>ubitrilom/valsartanom</w:t>
      </w:r>
      <w:r w:rsidR="005A78C5">
        <w:rPr>
          <w:color w:val="auto"/>
        </w:rPr>
        <w:t>.</w:t>
      </w:r>
      <w:r w:rsidR="005A78C5" w:rsidRPr="005A78C5">
        <w:rPr>
          <w:color w:val="auto"/>
        </w:rPr>
        <w:t xml:space="preserve"> Liečba </w:t>
      </w:r>
      <w:r w:rsidR="00B71576">
        <w:rPr>
          <w:color w:val="auto"/>
        </w:rPr>
        <w:t>ramiprilom</w:t>
      </w:r>
      <w:r w:rsidR="005A78C5" w:rsidRPr="005A78C5">
        <w:rPr>
          <w:color w:val="auto"/>
        </w:rPr>
        <w:t xml:space="preserve"> sa nesmie začať skôr ako po 36 hodinách od poslednej dávky sakubitrilu/valsartanu</w:t>
      </w:r>
      <w:r w:rsidR="005A78C5">
        <w:rPr>
          <w:color w:val="auto"/>
        </w:rPr>
        <w:t xml:space="preserve"> </w:t>
      </w:r>
      <w:r w:rsidR="003B1889" w:rsidRPr="009D7C92">
        <w:rPr>
          <w:color w:val="auto"/>
        </w:rPr>
        <w:t xml:space="preserve"> (pozri časti 4.4 a 4.5)</w:t>
      </w:r>
      <w:bookmarkStart w:id="1" w:name="_Hlk529966517"/>
      <w:r w:rsidR="005A78C5">
        <w:rPr>
          <w:color w:val="auto"/>
        </w:rPr>
        <w:t>.</w:t>
      </w:r>
    </w:p>
    <w:p w14:paraId="108A99AD" w14:textId="6751C931" w:rsidR="00323CDC" w:rsidRPr="009D7C92" w:rsidRDefault="00C75A0B">
      <w:pPr>
        <w:numPr>
          <w:ilvl w:val="0"/>
          <w:numId w:val="8"/>
        </w:numPr>
        <w:ind w:left="567" w:hanging="567"/>
        <w:jc w:val="left"/>
        <w:rPr>
          <w:color w:val="auto"/>
        </w:rPr>
      </w:pPr>
      <w:r w:rsidRPr="009D7C92">
        <w:rPr>
          <w:color w:val="auto"/>
        </w:rPr>
        <w:t>s</w:t>
      </w:r>
      <w:r w:rsidR="00A454D5" w:rsidRPr="009D7C92">
        <w:rPr>
          <w:color w:val="auto"/>
        </w:rPr>
        <w:t xml:space="preserve">úbežné užívanie </w:t>
      </w:r>
      <w:r w:rsidR="004E4729" w:rsidRPr="009D7C92">
        <w:rPr>
          <w:color w:val="auto"/>
        </w:rPr>
        <w:t xml:space="preserve">lieku </w:t>
      </w:r>
      <w:r w:rsidR="00537DBD" w:rsidRPr="009D7C92">
        <w:rPr>
          <w:color w:val="auto"/>
        </w:rPr>
        <w:t>Ramipril/Amlodipín/Hydrochlorotiazid Adamed</w:t>
      </w:r>
      <w:r w:rsidR="00A454D5" w:rsidRPr="009D7C92">
        <w:rPr>
          <w:color w:val="auto"/>
        </w:rPr>
        <w:t xml:space="preserve"> s liekmi obsahujúcimi aliskir</w:t>
      </w:r>
      <w:r w:rsidR="004E4729" w:rsidRPr="009D7C92">
        <w:rPr>
          <w:color w:val="auto"/>
        </w:rPr>
        <w:t>é</w:t>
      </w:r>
      <w:r w:rsidR="00A454D5" w:rsidRPr="009D7C92">
        <w:rPr>
          <w:color w:val="auto"/>
        </w:rPr>
        <w:t>n je kontraindikované u pacientov s diabet</w:t>
      </w:r>
      <w:r w:rsidR="008E2254" w:rsidRPr="009D7C92">
        <w:rPr>
          <w:color w:val="auto"/>
        </w:rPr>
        <w:t>om</w:t>
      </w:r>
      <w:r w:rsidR="00A454D5" w:rsidRPr="009D7C92">
        <w:rPr>
          <w:color w:val="auto"/>
        </w:rPr>
        <w:t xml:space="preserve"> mellitus alebo po</w:t>
      </w:r>
      <w:r w:rsidR="004E4729" w:rsidRPr="009D7C92">
        <w:rPr>
          <w:color w:val="auto"/>
        </w:rPr>
        <w:t xml:space="preserve">ruchou </w:t>
      </w:r>
      <w:r w:rsidR="00A454D5" w:rsidRPr="009D7C92">
        <w:rPr>
          <w:color w:val="auto"/>
        </w:rPr>
        <w:t>funkcie obličiek (GFR &lt;60 ml/m</w:t>
      </w:r>
      <w:r w:rsidRPr="009D7C92">
        <w:rPr>
          <w:color w:val="auto"/>
        </w:rPr>
        <w:t>in/1,73 m</w:t>
      </w:r>
      <w:r w:rsidRPr="009D7C92">
        <w:rPr>
          <w:color w:val="auto"/>
          <w:vertAlign w:val="superscript"/>
        </w:rPr>
        <w:t>2</w:t>
      </w:r>
      <w:r w:rsidRPr="009D7C92">
        <w:rPr>
          <w:color w:val="auto"/>
        </w:rPr>
        <w:t xml:space="preserve">) (pozri časti 4.5 </w:t>
      </w:r>
      <w:r w:rsidR="00E547C0" w:rsidRPr="009D7C92">
        <w:rPr>
          <w:color w:val="auto"/>
        </w:rPr>
        <w:t>a 5.1)</w:t>
      </w:r>
    </w:p>
    <w:p w14:paraId="30364A9B" w14:textId="4B0CCCC5" w:rsidR="00AB0DBC" w:rsidRPr="009D7C92" w:rsidRDefault="00E547C0">
      <w:pPr>
        <w:numPr>
          <w:ilvl w:val="0"/>
          <w:numId w:val="8"/>
        </w:numPr>
        <w:ind w:left="567" w:hanging="567"/>
        <w:jc w:val="left"/>
        <w:rPr>
          <w:color w:val="auto"/>
        </w:rPr>
      </w:pPr>
      <w:r w:rsidRPr="009D7C92">
        <w:rPr>
          <w:color w:val="auto"/>
        </w:rPr>
        <w:t>p</w:t>
      </w:r>
      <w:r w:rsidR="00A454D5" w:rsidRPr="009D7C92">
        <w:rPr>
          <w:color w:val="auto"/>
        </w:rPr>
        <w:t>recitlivenosť na amlodipín alebo iné dihydropyridín</w:t>
      </w:r>
      <w:r w:rsidR="003E4850" w:rsidRPr="009D7C92">
        <w:rPr>
          <w:color w:val="auto"/>
        </w:rPr>
        <w:t>y</w:t>
      </w:r>
      <w:r w:rsidR="00A454D5" w:rsidRPr="009D7C92">
        <w:rPr>
          <w:color w:val="auto"/>
        </w:rPr>
        <w:t xml:space="preserve"> (blokátory kalciového kanála), ramipril alebo iné inhibítory ACE (enzým</w:t>
      </w:r>
      <w:r w:rsidR="00211D25" w:rsidRPr="009D7C92">
        <w:rPr>
          <w:color w:val="auto"/>
        </w:rPr>
        <w:t xml:space="preserve"> konvertujúci angiotenzín</w:t>
      </w:r>
      <w:r w:rsidR="00A454D5" w:rsidRPr="009D7C92">
        <w:rPr>
          <w:color w:val="auto"/>
        </w:rPr>
        <w:t>), hydrochloro</w:t>
      </w:r>
      <w:r w:rsidR="00C75A0B" w:rsidRPr="009D7C92">
        <w:rPr>
          <w:color w:val="auto"/>
        </w:rPr>
        <w:t xml:space="preserve">tiazid alebo </w:t>
      </w:r>
      <w:r w:rsidR="00A454D5" w:rsidRPr="009D7C92">
        <w:rPr>
          <w:color w:val="auto"/>
        </w:rPr>
        <w:t>iné tiazidové diuretiká, sulfónamidy alebo na ktorúkoľvek z pomocných látok uvedených v časti 6.1.</w:t>
      </w:r>
      <w:bookmarkEnd w:id="1"/>
    </w:p>
    <w:p w14:paraId="2DD8DE19" w14:textId="06C7B001" w:rsidR="009475D7" w:rsidRPr="009D7C92" w:rsidRDefault="00E547C0">
      <w:pPr>
        <w:numPr>
          <w:ilvl w:val="0"/>
          <w:numId w:val="8"/>
        </w:numPr>
        <w:ind w:left="567" w:hanging="567"/>
        <w:jc w:val="left"/>
        <w:rPr>
          <w:color w:val="auto"/>
        </w:rPr>
      </w:pPr>
      <w:r w:rsidRPr="009D7C92">
        <w:rPr>
          <w:color w:val="auto"/>
        </w:rPr>
        <w:t>p</w:t>
      </w:r>
      <w:r w:rsidR="009475D7" w:rsidRPr="009D7C92">
        <w:rPr>
          <w:color w:val="auto"/>
        </w:rPr>
        <w:t>o</w:t>
      </w:r>
      <w:r w:rsidRPr="009D7C92">
        <w:rPr>
          <w:color w:val="auto"/>
        </w:rPr>
        <w:t>ruch</w:t>
      </w:r>
      <w:r w:rsidR="000B61DD">
        <w:rPr>
          <w:color w:val="auto"/>
        </w:rPr>
        <w:t>a</w:t>
      </w:r>
      <w:r w:rsidR="009475D7" w:rsidRPr="009D7C92">
        <w:rPr>
          <w:color w:val="auto"/>
        </w:rPr>
        <w:t xml:space="preserve"> funkcie pečene</w:t>
      </w:r>
    </w:p>
    <w:p w14:paraId="73CD2AFD" w14:textId="77777777" w:rsidR="00E10EBA" w:rsidRPr="009D7C92" w:rsidRDefault="00E10EBA">
      <w:pPr>
        <w:jc w:val="left"/>
        <w:rPr>
          <w:color w:val="auto"/>
        </w:rPr>
      </w:pPr>
    </w:p>
    <w:p w14:paraId="26275D07" w14:textId="35B7C0EC" w:rsidR="00EB25B2" w:rsidRDefault="00323CDC" w:rsidP="00243692">
      <w:pPr>
        <w:ind w:left="567" w:right="0" w:hanging="567"/>
        <w:jc w:val="left"/>
        <w:rPr>
          <w:b/>
          <w:color w:val="auto"/>
        </w:rPr>
      </w:pPr>
      <w:r w:rsidRPr="009D7C92">
        <w:rPr>
          <w:b/>
          <w:color w:val="auto"/>
        </w:rPr>
        <w:t>4.4</w:t>
      </w:r>
      <w:r w:rsidR="003E4850" w:rsidRPr="009D7C92">
        <w:rPr>
          <w:b/>
          <w:color w:val="auto"/>
        </w:rPr>
        <w:tab/>
      </w:r>
      <w:r w:rsidRPr="009D7C92">
        <w:rPr>
          <w:b/>
          <w:color w:val="auto"/>
        </w:rPr>
        <w:t xml:space="preserve">Osobitné upozornenia a </w:t>
      </w:r>
      <w:r w:rsidRPr="009D7C92">
        <w:rPr>
          <w:b/>
          <w:color w:val="auto"/>
          <w:lang w:eastAsia="sk-SK"/>
        </w:rPr>
        <w:t>opatrenia</w:t>
      </w:r>
      <w:r w:rsidRPr="009D7C92">
        <w:rPr>
          <w:b/>
          <w:color w:val="auto"/>
        </w:rPr>
        <w:t xml:space="preserve"> pri používaní</w:t>
      </w:r>
    </w:p>
    <w:p w14:paraId="42592941" w14:textId="25CEAEBD" w:rsidR="00323CDC" w:rsidRPr="009D7C92" w:rsidRDefault="00323CDC" w:rsidP="00EE703D">
      <w:pPr>
        <w:jc w:val="left"/>
        <w:rPr>
          <w:color w:val="auto"/>
        </w:rPr>
      </w:pPr>
    </w:p>
    <w:p w14:paraId="71908045" w14:textId="05124355" w:rsidR="00C22843" w:rsidRPr="009D7C92" w:rsidRDefault="00C22843">
      <w:pPr>
        <w:jc w:val="left"/>
        <w:rPr>
          <w:b/>
          <w:color w:val="auto"/>
        </w:rPr>
      </w:pPr>
      <w:r w:rsidRPr="009D7C92">
        <w:rPr>
          <w:color w:val="auto"/>
        </w:rPr>
        <w:t xml:space="preserve">Bezpečnosť a účinnosť amlodipínu </w:t>
      </w:r>
      <w:r w:rsidR="00BB2B68" w:rsidRPr="009D7C92">
        <w:rPr>
          <w:color w:val="auto"/>
        </w:rPr>
        <w:t>pri</w:t>
      </w:r>
      <w:r w:rsidRPr="009D7C92">
        <w:rPr>
          <w:color w:val="auto"/>
        </w:rPr>
        <w:t xml:space="preserve"> hypertenz</w:t>
      </w:r>
      <w:r w:rsidR="00BB2B68" w:rsidRPr="009D7C92">
        <w:rPr>
          <w:color w:val="auto"/>
        </w:rPr>
        <w:t>ív</w:t>
      </w:r>
      <w:r w:rsidRPr="009D7C92">
        <w:rPr>
          <w:color w:val="auto"/>
        </w:rPr>
        <w:t>nej kríze nebola stanovená.</w:t>
      </w:r>
    </w:p>
    <w:p w14:paraId="4F95D937" w14:textId="77777777" w:rsidR="00E547C0" w:rsidRPr="009D7C92" w:rsidRDefault="00E547C0">
      <w:pPr>
        <w:jc w:val="left"/>
        <w:rPr>
          <w:i/>
          <w:color w:val="auto"/>
          <w:u w:val="single"/>
        </w:rPr>
      </w:pPr>
    </w:p>
    <w:p w14:paraId="4F28A09F" w14:textId="3AD388B2" w:rsidR="00EB25B2" w:rsidRDefault="00BB2B68">
      <w:pPr>
        <w:jc w:val="left"/>
        <w:rPr>
          <w:i/>
          <w:color w:val="auto"/>
          <w:u w:val="single"/>
        </w:rPr>
      </w:pPr>
      <w:r w:rsidRPr="009D7C92">
        <w:rPr>
          <w:i/>
          <w:color w:val="auto"/>
          <w:u w:val="single"/>
        </w:rPr>
        <w:t xml:space="preserve">Osobitné </w:t>
      </w:r>
      <w:r w:rsidR="000B61DD">
        <w:rPr>
          <w:i/>
          <w:color w:val="auto"/>
          <w:u w:val="single"/>
        </w:rPr>
        <w:t>skupimy pacientov</w:t>
      </w:r>
    </w:p>
    <w:p w14:paraId="64A6CDC0" w14:textId="30549B2F" w:rsidR="00EB25B2" w:rsidRDefault="000B61DD">
      <w:pPr>
        <w:jc w:val="left"/>
        <w:rPr>
          <w:color w:val="auto"/>
          <w:u w:val="single"/>
        </w:rPr>
      </w:pPr>
      <w:r>
        <w:rPr>
          <w:color w:val="auto"/>
          <w:u w:val="single"/>
        </w:rPr>
        <w:t xml:space="preserve">Gravidné </w:t>
      </w:r>
      <w:r w:rsidR="00323CDC" w:rsidRPr="009D7C92">
        <w:rPr>
          <w:color w:val="auto"/>
          <w:u w:val="single"/>
        </w:rPr>
        <w:t>žen</w:t>
      </w:r>
      <w:r w:rsidR="00746ED1" w:rsidRPr="009D7C92">
        <w:rPr>
          <w:color w:val="auto"/>
          <w:u w:val="single"/>
        </w:rPr>
        <w:t>y</w:t>
      </w:r>
    </w:p>
    <w:p w14:paraId="6E301E5B" w14:textId="3D75E05C" w:rsidR="00EB25B2" w:rsidRDefault="00BB2B68">
      <w:pPr>
        <w:jc w:val="left"/>
        <w:rPr>
          <w:color w:val="auto"/>
        </w:rPr>
      </w:pPr>
      <w:r w:rsidRPr="009D7C92">
        <w:rPr>
          <w:color w:val="auto"/>
        </w:rPr>
        <w:t>I</w:t>
      </w:r>
      <w:r w:rsidR="00323CDC" w:rsidRPr="009D7C92">
        <w:rPr>
          <w:color w:val="auto"/>
        </w:rPr>
        <w:t>nhibítory</w:t>
      </w:r>
      <w:r w:rsidRPr="009D7C92">
        <w:rPr>
          <w:color w:val="auto"/>
        </w:rPr>
        <w:t xml:space="preserve"> ACE</w:t>
      </w:r>
      <w:r w:rsidR="00323CDC" w:rsidRPr="009D7C92">
        <w:rPr>
          <w:color w:val="auto"/>
        </w:rPr>
        <w:t>, ako sú ramipril alebo antagonisty receptora angiotenzínu II (AIIRA), sa nemajú za</w:t>
      </w:r>
      <w:r w:rsidR="00313BA7" w:rsidRPr="009D7C92">
        <w:rPr>
          <w:color w:val="auto"/>
        </w:rPr>
        <w:t>čať užívať</w:t>
      </w:r>
      <w:r w:rsidR="00323CDC" w:rsidRPr="009D7C92">
        <w:rPr>
          <w:color w:val="auto"/>
        </w:rPr>
        <w:t xml:space="preserve"> počas gravidity. Ak sa pokračovanie liečby inhibítorom ACE/AIIRA nepovažuje za nevyhnutné, pacien</w:t>
      </w:r>
      <w:r w:rsidR="00313BA7" w:rsidRPr="009D7C92">
        <w:rPr>
          <w:color w:val="auto"/>
        </w:rPr>
        <w:t>tky</w:t>
      </w:r>
      <w:r w:rsidR="00323CDC" w:rsidRPr="009D7C92">
        <w:rPr>
          <w:color w:val="auto"/>
        </w:rPr>
        <w:t xml:space="preserve"> plánujúc</w:t>
      </w:r>
      <w:r w:rsidR="00313BA7" w:rsidRPr="009D7C92">
        <w:rPr>
          <w:color w:val="auto"/>
        </w:rPr>
        <w:t>e otehotnieť</w:t>
      </w:r>
      <w:r w:rsidR="00323CDC" w:rsidRPr="009D7C92">
        <w:rPr>
          <w:color w:val="auto"/>
        </w:rPr>
        <w:t xml:space="preserve"> by mali prejsť na alternatívnu antihypertenzívnu liečbu, ktorá má preukázaný bezpečnostný profil použiti</w:t>
      </w:r>
      <w:r w:rsidRPr="009D7C92">
        <w:rPr>
          <w:color w:val="auto"/>
        </w:rPr>
        <w:t>a</w:t>
      </w:r>
      <w:r w:rsidR="00323CDC" w:rsidRPr="009D7C92">
        <w:rPr>
          <w:color w:val="auto"/>
        </w:rPr>
        <w:t xml:space="preserve"> v </w:t>
      </w:r>
      <w:r w:rsidR="002A235E" w:rsidRPr="009D7C92">
        <w:rPr>
          <w:color w:val="auto"/>
        </w:rPr>
        <w:t>gravidite</w:t>
      </w:r>
      <w:r w:rsidR="00323CDC" w:rsidRPr="009D7C92">
        <w:rPr>
          <w:color w:val="auto"/>
        </w:rPr>
        <w:t xml:space="preserve">. Ak je </w:t>
      </w:r>
      <w:r w:rsidRPr="009D7C92">
        <w:rPr>
          <w:color w:val="auto"/>
        </w:rPr>
        <w:t xml:space="preserve">potvrdená </w:t>
      </w:r>
      <w:r w:rsidR="002A235E" w:rsidRPr="009D7C92">
        <w:rPr>
          <w:color w:val="auto"/>
        </w:rPr>
        <w:t>gravidita</w:t>
      </w:r>
      <w:r w:rsidR="00323CDC" w:rsidRPr="009D7C92">
        <w:rPr>
          <w:color w:val="auto"/>
        </w:rPr>
        <w:t>, liečba inhibítormi</w:t>
      </w:r>
      <w:r w:rsidRPr="009D7C92">
        <w:rPr>
          <w:color w:val="auto"/>
        </w:rPr>
        <w:t xml:space="preserve"> ACE</w:t>
      </w:r>
      <w:r w:rsidR="00323CDC" w:rsidRPr="009D7C92">
        <w:rPr>
          <w:color w:val="auto"/>
        </w:rPr>
        <w:t>/AIIRA by sa mala okamžite ukončiť</w:t>
      </w:r>
      <w:r w:rsidRPr="009D7C92">
        <w:rPr>
          <w:color w:val="auto"/>
        </w:rPr>
        <w:t>,</w:t>
      </w:r>
      <w:r w:rsidR="00323CDC" w:rsidRPr="009D7C92">
        <w:rPr>
          <w:color w:val="auto"/>
        </w:rPr>
        <w:t xml:space="preserve"> a ak je to vhodné, mala by sa začať alternatívna liečba (pozri časti 4.3 a 4.6).</w:t>
      </w:r>
    </w:p>
    <w:p w14:paraId="160800D4" w14:textId="180AF1C2" w:rsidR="00323CDC" w:rsidRPr="009D7C92" w:rsidRDefault="00323CDC">
      <w:pPr>
        <w:jc w:val="left"/>
        <w:rPr>
          <w:color w:val="auto"/>
        </w:rPr>
      </w:pPr>
    </w:p>
    <w:p w14:paraId="47098092" w14:textId="6E2D0FB2" w:rsidR="00EB25B2" w:rsidRDefault="00323CDC">
      <w:pPr>
        <w:jc w:val="left"/>
        <w:rPr>
          <w:color w:val="auto"/>
          <w:u w:val="single"/>
        </w:rPr>
      </w:pPr>
      <w:r w:rsidRPr="009D7C92">
        <w:rPr>
          <w:color w:val="auto"/>
          <w:u w:val="single"/>
        </w:rPr>
        <w:t>Pacienti s osobitným rizikom hypotenzie</w:t>
      </w:r>
    </w:p>
    <w:p w14:paraId="52963016" w14:textId="51C01D8B" w:rsidR="00EB25B2" w:rsidRDefault="00323CDC">
      <w:pPr>
        <w:numPr>
          <w:ilvl w:val="0"/>
          <w:numId w:val="11"/>
        </w:numPr>
        <w:ind w:left="567" w:hanging="582"/>
        <w:jc w:val="left"/>
        <w:rPr>
          <w:color w:val="auto"/>
        </w:rPr>
      </w:pPr>
      <w:r w:rsidRPr="009D7C92">
        <w:rPr>
          <w:color w:val="auto"/>
        </w:rPr>
        <w:t xml:space="preserve">Pacienti so silne aktivovaným systémom renín-angiotenzín-aldosterón sú vystavení riziku akútneho výrazného poklesu krvného tlaku a zhoršeniu funkcie obličiek v dôsledku inhibície ACE, najmä </w:t>
      </w:r>
      <w:r w:rsidR="00211D25" w:rsidRPr="009D7C92">
        <w:rPr>
          <w:color w:val="auto"/>
        </w:rPr>
        <w:t>ak</w:t>
      </w:r>
      <w:r w:rsidRPr="009D7C92">
        <w:rPr>
          <w:color w:val="auto"/>
        </w:rPr>
        <w:t xml:space="preserve"> sa inhibítor </w:t>
      </w:r>
      <w:r w:rsidR="00BB2B68" w:rsidRPr="009D7C92">
        <w:rPr>
          <w:color w:val="auto"/>
        </w:rPr>
        <w:t xml:space="preserve">ACE </w:t>
      </w:r>
      <w:r w:rsidRPr="009D7C92">
        <w:rPr>
          <w:color w:val="auto"/>
        </w:rPr>
        <w:t>alebo súbežné diuretikum podáva prvýkrát alebo pri prvom zvýšení dávky.</w:t>
      </w:r>
    </w:p>
    <w:p w14:paraId="66BFAE08" w14:textId="523A3D54" w:rsidR="00EB25B2" w:rsidRDefault="00323CDC">
      <w:pPr>
        <w:ind w:left="567"/>
        <w:jc w:val="left"/>
        <w:rPr>
          <w:color w:val="auto"/>
        </w:rPr>
      </w:pPr>
      <w:r w:rsidRPr="009D7C92">
        <w:rPr>
          <w:color w:val="auto"/>
        </w:rPr>
        <w:lastRenderedPageBreak/>
        <w:t>Predpokladá sa významná aktivácia</w:t>
      </w:r>
      <w:r w:rsidR="00BB2B68" w:rsidRPr="009D7C92">
        <w:rPr>
          <w:color w:val="auto"/>
        </w:rPr>
        <w:t xml:space="preserve"> systému</w:t>
      </w:r>
      <w:r w:rsidRPr="009D7C92">
        <w:rPr>
          <w:color w:val="auto"/>
        </w:rPr>
        <w:t xml:space="preserve"> renín-angiotenzín-aldosterón a</w:t>
      </w:r>
      <w:r w:rsidR="00B435F2" w:rsidRPr="009D7C92">
        <w:rPr>
          <w:color w:val="auto"/>
        </w:rPr>
        <w:t xml:space="preserve"> je potrebný </w:t>
      </w:r>
      <w:r w:rsidRPr="009D7C92">
        <w:rPr>
          <w:color w:val="auto"/>
        </w:rPr>
        <w:t>lekársky dohľad vrátane monitorovania krvného tlaku, napríklad pri:</w:t>
      </w:r>
    </w:p>
    <w:p w14:paraId="5F65627C" w14:textId="77777777" w:rsidR="00323CDC" w:rsidRPr="009D7C92" w:rsidRDefault="00323CDC">
      <w:pPr>
        <w:numPr>
          <w:ilvl w:val="1"/>
          <w:numId w:val="12"/>
        </w:numPr>
        <w:ind w:left="1134" w:hanging="567"/>
        <w:jc w:val="left"/>
        <w:rPr>
          <w:color w:val="auto"/>
        </w:rPr>
      </w:pPr>
      <w:r w:rsidRPr="009D7C92">
        <w:rPr>
          <w:color w:val="auto"/>
        </w:rPr>
        <w:t>pacien</w:t>
      </w:r>
      <w:r w:rsidR="00E547C0" w:rsidRPr="009D7C92">
        <w:rPr>
          <w:color w:val="auto"/>
        </w:rPr>
        <w:t>toch so závažnou hypertenziou</w:t>
      </w:r>
    </w:p>
    <w:p w14:paraId="4F801386" w14:textId="66D4B192" w:rsidR="00323CDC" w:rsidRPr="009D7C92" w:rsidRDefault="00323CDC">
      <w:pPr>
        <w:numPr>
          <w:ilvl w:val="1"/>
          <w:numId w:val="12"/>
        </w:numPr>
        <w:ind w:left="1134" w:hanging="567"/>
        <w:jc w:val="left"/>
        <w:rPr>
          <w:color w:val="auto"/>
        </w:rPr>
      </w:pPr>
      <w:r w:rsidRPr="009D7C92">
        <w:rPr>
          <w:color w:val="auto"/>
        </w:rPr>
        <w:t>pacientoch s dekompenzovaný</w:t>
      </w:r>
      <w:r w:rsidR="00E547C0" w:rsidRPr="009D7C92">
        <w:rPr>
          <w:color w:val="auto"/>
        </w:rPr>
        <w:t>m kongestívnym zlyh</w:t>
      </w:r>
      <w:r w:rsidR="00BB2B68" w:rsidRPr="009D7C92">
        <w:rPr>
          <w:color w:val="auto"/>
        </w:rPr>
        <w:t>ávaním</w:t>
      </w:r>
      <w:r w:rsidR="00E547C0" w:rsidRPr="009D7C92">
        <w:rPr>
          <w:color w:val="auto"/>
        </w:rPr>
        <w:t xml:space="preserve"> srdca</w:t>
      </w:r>
    </w:p>
    <w:p w14:paraId="7F79EBC5" w14:textId="37B015FB" w:rsidR="00323CDC" w:rsidRPr="009D7C92" w:rsidRDefault="00323CDC">
      <w:pPr>
        <w:numPr>
          <w:ilvl w:val="1"/>
          <w:numId w:val="12"/>
        </w:numPr>
        <w:ind w:left="1134" w:hanging="567"/>
        <w:jc w:val="left"/>
        <w:rPr>
          <w:color w:val="auto"/>
        </w:rPr>
      </w:pPr>
      <w:r w:rsidRPr="009D7C92">
        <w:rPr>
          <w:color w:val="auto"/>
        </w:rPr>
        <w:t>pacientoch s hemodynamicky relevantn</w:t>
      </w:r>
      <w:r w:rsidR="007A67DE" w:rsidRPr="009D7C92">
        <w:rPr>
          <w:color w:val="auto"/>
        </w:rPr>
        <w:t>ou prekážkou</w:t>
      </w:r>
      <w:r w:rsidRPr="009D7C92">
        <w:rPr>
          <w:color w:val="auto"/>
        </w:rPr>
        <w:t xml:space="preserve"> prí</w:t>
      </w:r>
      <w:r w:rsidR="007A67DE" w:rsidRPr="009D7C92">
        <w:rPr>
          <w:color w:val="auto"/>
        </w:rPr>
        <w:t>toku</w:t>
      </w:r>
      <w:r w:rsidRPr="009D7C92">
        <w:rPr>
          <w:color w:val="auto"/>
        </w:rPr>
        <w:t xml:space="preserve"> alebo výtok</w:t>
      </w:r>
      <w:r w:rsidR="007A67DE" w:rsidRPr="009D7C92">
        <w:rPr>
          <w:color w:val="auto"/>
        </w:rPr>
        <w:t>u krvi</w:t>
      </w:r>
      <w:r w:rsidRPr="009D7C92">
        <w:rPr>
          <w:color w:val="auto"/>
        </w:rPr>
        <w:t xml:space="preserve"> z ľavej komory (napr. stenóza aortá</w:t>
      </w:r>
      <w:r w:rsidR="00E547C0" w:rsidRPr="009D7C92">
        <w:rPr>
          <w:color w:val="auto"/>
        </w:rPr>
        <w:t>lnej alebo mitrálnej chlopne)</w:t>
      </w:r>
    </w:p>
    <w:p w14:paraId="0356DA95" w14:textId="77777777" w:rsidR="00323CDC" w:rsidRPr="009D7C92" w:rsidRDefault="00323CDC">
      <w:pPr>
        <w:numPr>
          <w:ilvl w:val="1"/>
          <w:numId w:val="12"/>
        </w:numPr>
        <w:ind w:left="1134" w:hanging="567"/>
        <w:jc w:val="left"/>
        <w:rPr>
          <w:color w:val="auto"/>
        </w:rPr>
      </w:pPr>
      <w:r w:rsidRPr="009D7C92">
        <w:rPr>
          <w:color w:val="auto"/>
        </w:rPr>
        <w:t>pacientoch s jednostrannou stenózou renálnej artér</w:t>
      </w:r>
      <w:r w:rsidR="00E547C0" w:rsidRPr="009D7C92">
        <w:rPr>
          <w:color w:val="auto"/>
        </w:rPr>
        <w:t>ie s druhou funkčnou obličkou</w:t>
      </w:r>
    </w:p>
    <w:p w14:paraId="360C3CE7" w14:textId="79481E2A" w:rsidR="00323CDC" w:rsidRPr="009D7C92" w:rsidRDefault="00323CDC">
      <w:pPr>
        <w:numPr>
          <w:ilvl w:val="1"/>
          <w:numId w:val="12"/>
        </w:numPr>
        <w:ind w:left="1134" w:hanging="567"/>
        <w:jc w:val="left"/>
        <w:rPr>
          <w:color w:val="auto"/>
        </w:rPr>
      </w:pPr>
      <w:r w:rsidRPr="009D7C92">
        <w:rPr>
          <w:color w:val="auto"/>
        </w:rPr>
        <w:t>pacientoch, u ktorých existuje alebo sa môže vyvinúť deplécia tekutín alebo solí (vrá</w:t>
      </w:r>
      <w:r w:rsidR="00E547C0" w:rsidRPr="009D7C92">
        <w:rPr>
          <w:color w:val="auto"/>
        </w:rPr>
        <w:t xml:space="preserve">tane pacientov </w:t>
      </w:r>
      <w:r w:rsidR="00BB2B68" w:rsidRPr="009D7C92">
        <w:rPr>
          <w:color w:val="auto"/>
        </w:rPr>
        <w:t>liečených</w:t>
      </w:r>
      <w:r w:rsidR="00E547C0" w:rsidRPr="009D7C92">
        <w:rPr>
          <w:color w:val="auto"/>
        </w:rPr>
        <w:t xml:space="preserve"> diuretikami)</w:t>
      </w:r>
    </w:p>
    <w:p w14:paraId="0E893B4B" w14:textId="5EBA253F" w:rsidR="00323CDC" w:rsidRPr="009D7C92" w:rsidRDefault="00323CDC">
      <w:pPr>
        <w:numPr>
          <w:ilvl w:val="1"/>
          <w:numId w:val="12"/>
        </w:numPr>
        <w:ind w:left="1134" w:hanging="567"/>
        <w:jc w:val="left"/>
        <w:rPr>
          <w:color w:val="auto"/>
        </w:rPr>
      </w:pPr>
      <w:r w:rsidRPr="009D7C92">
        <w:rPr>
          <w:color w:val="auto"/>
        </w:rPr>
        <w:t>pacientoch s cirhózou pečene a/</w:t>
      </w:r>
      <w:r w:rsidR="00E547C0" w:rsidRPr="009D7C92">
        <w:rPr>
          <w:color w:val="auto"/>
        </w:rPr>
        <w:t>alebo as</w:t>
      </w:r>
      <w:r w:rsidR="00CE6C1E" w:rsidRPr="009D7C92">
        <w:rPr>
          <w:color w:val="auto"/>
        </w:rPr>
        <w:t>c</w:t>
      </w:r>
      <w:r w:rsidR="00E547C0" w:rsidRPr="009D7C92">
        <w:rPr>
          <w:color w:val="auto"/>
        </w:rPr>
        <w:t>itom</w:t>
      </w:r>
    </w:p>
    <w:p w14:paraId="41B469C3" w14:textId="2633C29F" w:rsidR="00323CDC" w:rsidRPr="009D7C92" w:rsidRDefault="00323CDC">
      <w:pPr>
        <w:numPr>
          <w:ilvl w:val="1"/>
          <w:numId w:val="12"/>
        </w:numPr>
        <w:ind w:left="1134" w:hanging="567"/>
        <w:jc w:val="left"/>
        <w:rPr>
          <w:color w:val="auto"/>
        </w:rPr>
      </w:pPr>
      <w:r w:rsidRPr="009D7C92">
        <w:rPr>
          <w:color w:val="auto"/>
        </w:rPr>
        <w:t>pacientoch podstupujúcich závažný chirurgický zákrok alebo počas anestézie l</w:t>
      </w:r>
      <w:r w:rsidR="00BB2B68" w:rsidRPr="009D7C92">
        <w:rPr>
          <w:color w:val="auto"/>
        </w:rPr>
        <w:t>iečivami</w:t>
      </w:r>
      <w:r w:rsidR="00E547C0" w:rsidRPr="009D7C92">
        <w:rPr>
          <w:color w:val="auto"/>
        </w:rPr>
        <w:t>, ktoré vyvolávajú hypotenziu</w:t>
      </w:r>
    </w:p>
    <w:p w14:paraId="414A3C8D" w14:textId="77777777" w:rsidR="00E547C0" w:rsidRPr="009D7C92" w:rsidRDefault="00E547C0">
      <w:pPr>
        <w:jc w:val="left"/>
        <w:rPr>
          <w:color w:val="auto"/>
        </w:rPr>
      </w:pPr>
    </w:p>
    <w:p w14:paraId="62845447" w14:textId="1F4FA592" w:rsidR="00EB25B2" w:rsidRDefault="00323CDC">
      <w:pPr>
        <w:jc w:val="left"/>
        <w:rPr>
          <w:color w:val="auto"/>
        </w:rPr>
      </w:pPr>
      <w:r w:rsidRPr="009D7C92">
        <w:rPr>
          <w:color w:val="auto"/>
        </w:rPr>
        <w:t>Vo všeobecnosti sa odporúča, aby sa pred začatím liečby upravila dehydratácia, hypovolémia alebo deplécia sol</w:t>
      </w:r>
      <w:r w:rsidR="00BB2B68" w:rsidRPr="009D7C92">
        <w:rPr>
          <w:color w:val="auto"/>
        </w:rPr>
        <w:t>í</w:t>
      </w:r>
      <w:r w:rsidRPr="009D7C92">
        <w:rPr>
          <w:color w:val="auto"/>
        </w:rPr>
        <w:t xml:space="preserve"> (u pacientov so zlyh</w:t>
      </w:r>
      <w:r w:rsidR="00BB2B68" w:rsidRPr="009D7C92">
        <w:rPr>
          <w:color w:val="auto"/>
        </w:rPr>
        <w:t>ávaním srdca</w:t>
      </w:r>
      <w:r w:rsidRPr="009D7C92">
        <w:rPr>
          <w:color w:val="auto"/>
        </w:rPr>
        <w:t xml:space="preserve"> sa však takéto nápravné opatrenia musia starostlivo zvážiť oproti riziku objemového preťaženia).</w:t>
      </w:r>
    </w:p>
    <w:p w14:paraId="09A20CCD" w14:textId="4D8F94A6" w:rsidR="00EB25B2" w:rsidRDefault="00323CDC">
      <w:pPr>
        <w:numPr>
          <w:ilvl w:val="0"/>
          <w:numId w:val="13"/>
        </w:numPr>
        <w:ind w:hanging="571"/>
        <w:jc w:val="left"/>
        <w:rPr>
          <w:color w:val="auto"/>
        </w:rPr>
      </w:pPr>
      <w:r w:rsidRPr="009D7C92">
        <w:rPr>
          <w:color w:val="auto"/>
        </w:rPr>
        <w:t xml:space="preserve">Pacienti s rizikom srdcovej alebo mozgovej ischémie v prípade akútnej hypotenzie. </w:t>
      </w:r>
      <w:r w:rsidR="00D857D4" w:rsidRPr="009D7C92">
        <w:rPr>
          <w:color w:val="auto"/>
        </w:rPr>
        <w:t>Za</w:t>
      </w:r>
      <w:r w:rsidRPr="009D7C92">
        <w:rPr>
          <w:color w:val="auto"/>
        </w:rPr>
        <w:t xml:space="preserve">čiatočná fáza liečby vyžaduje </w:t>
      </w:r>
      <w:r w:rsidR="00BB2B68" w:rsidRPr="009D7C92">
        <w:rPr>
          <w:color w:val="auto"/>
        </w:rPr>
        <w:t xml:space="preserve">osobitný </w:t>
      </w:r>
      <w:r w:rsidRPr="009D7C92">
        <w:rPr>
          <w:color w:val="auto"/>
        </w:rPr>
        <w:t>lekársky dohľad.</w:t>
      </w:r>
    </w:p>
    <w:p w14:paraId="7AEA9F2D" w14:textId="13BF1E98" w:rsidR="00323CDC" w:rsidRPr="009D7C92" w:rsidRDefault="00323CDC">
      <w:pPr>
        <w:jc w:val="left"/>
        <w:rPr>
          <w:color w:val="auto"/>
        </w:rPr>
      </w:pPr>
    </w:p>
    <w:p w14:paraId="28D1C241" w14:textId="18469081" w:rsidR="00EB25B2" w:rsidRDefault="00384357">
      <w:pPr>
        <w:jc w:val="left"/>
        <w:rPr>
          <w:color w:val="auto"/>
          <w:u w:val="single"/>
        </w:rPr>
      </w:pPr>
      <w:r w:rsidRPr="009D7C92">
        <w:rPr>
          <w:color w:val="auto"/>
          <w:u w:val="single"/>
        </w:rPr>
        <w:t xml:space="preserve">Pacienti so </w:t>
      </w:r>
      <w:r w:rsidR="00BB2B68" w:rsidRPr="009D7C92">
        <w:rPr>
          <w:color w:val="auto"/>
          <w:u w:val="single"/>
        </w:rPr>
        <w:t>zlyhávaním srdca</w:t>
      </w:r>
    </w:p>
    <w:p w14:paraId="121610C8" w14:textId="6622636D" w:rsidR="00EB25B2" w:rsidRDefault="00384357">
      <w:pPr>
        <w:jc w:val="left"/>
        <w:rPr>
          <w:color w:val="auto"/>
        </w:rPr>
      </w:pPr>
      <w:r w:rsidRPr="009D7C92">
        <w:rPr>
          <w:color w:val="auto"/>
        </w:rPr>
        <w:t xml:space="preserve">Pacienti so </w:t>
      </w:r>
      <w:r w:rsidR="00BB2B68" w:rsidRPr="009D7C92">
        <w:rPr>
          <w:color w:val="auto"/>
        </w:rPr>
        <w:t>zlyhávaním srdca</w:t>
      </w:r>
      <w:r w:rsidR="00BB2B68" w:rsidRPr="009D7C92">
        <w:rPr>
          <w:color w:val="auto"/>
          <w:u w:val="single"/>
        </w:rPr>
        <w:t xml:space="preserve"> </w:t>
      </w:r>
      <w:r w:rsidRPr="009D7C92">
        <w:rPr>
          <w:color w:val="auto"/>
        </w:rPr>
        <w:t>sa majú liečiť opatrne. V dlhodobej placebom kontrolo</w:t>
      </w:r>
      <w:r w:rsidR="00D857D4" w:rsidRPr="009D7C92">
        <w:rPr>
          <w:color w:val="auto"/>
        </w:rPr>
        <w:t>v</w:t>
      </w:r>
      <w:r w:rsidRPr="009D7C92">
        <w:rPr>
          <w:color w:val="auto"/>
        </w:rPr>
        <w:t xml:space="preserve">anej štúdii u pacientov so závažným </w:t>
      </w:r>
      <w:r w:rsidR="00BB2B68" w:rsidRPr="009D7C92">
        <w:rPr>
          <w:color w:val="auto"/>
        </w:rPr>
        <w:t>zlyhávaním srdca</w:t>
      </w:r>
      <w:r w:rsidR="00FF5198" w:rsidRPr="009D7C92">
        <w:rPr>
          <w:color w:val="auto"/>
        </w:rPr>
        <w:t xml:space="preserve"> </w:t>
      </w:r>
      <w:r w:rsidRPr="009D7C92">
        <w:rPr>
          <w:color w:val="auto"/>
        </w:rPr>
        <w:t xml:space="preserve">(III. a IV. trieda </w:t>
      </w:r>
      <w:r w:rsidR="00BB2B68" w:rsidRPr="009D7C92">
        <w:rPr>
          <w:color w:val="auto"/>
        </w:rPr>
        <w:t xml:space="preserve">podľa </w:t>
      </w:r>
      <w:r w:rsidRPr="009D7C92">
        <w:rPr>
          <w:color w:val="auto"/>
        </w:rPr>
        <w:t xml:space="preserve">NYHA) bola hlásená </w:t>
      </w:r>
      <w:r w:rsidR="00BB2B68" w:rsidRPr="009D7C92">
        <w:rPr>
          <w:color w:val="auto"/>
        </w:rPr>
        <w:t xml:space="preserve">vyššia incidencia </w:t>
      </w:r>
      <w:r w:rsidRPr="009D7C92">
        <w:rPr>
          <w:color w:val="auto"/>
        </w:rPr>
        <w:t xml:space="preserve">pľúcneho edému v skupine liečenej amlodipínom ako v skupine s placebom (pozri časť 5.1). Blokátory kalciových kanálov, vrátane amlodipínu by sa mali používať opatrne u pacientov s kongestívnym </w:t>
      </w:r>
      <w:r w:rsidR="00BB2B68" w:rsidRPr="009D7C92">
        <w:rPr>
          <w:color w:val="auto"/>
        </w:rPr>
        <w:t>zlyhávaním srdca</w:t>
      </w:r>
      <w:r w:rsidRPr="009D7C92">
        <w:rPr>
          <w:color w:val="auto"/>
        </w:rPr>
        <w:t>, pretože môžu zvýšiť riziko budúcich kardiovaskulárnych príhod a mortality.</w:t>
      </w:r>
    </w:p>
    <w:p w14:paraId="2EFAA247" w14:textId="77777777" w:rsidR="00384357" w:rsidRPr="009D7C92" w:rsidRDefault="00384357">
      <w:pPr>
        <w:jc w:val="left"/>
        <w:rPr>
          <w:color w:val="auto"/>
          <w:u w:val="single"/>
        </w:rPr>
      </w:pPr>
    </w:p>
    <w:p w14:paraId="738E81F9" w14:textId="504D4023" w:rsidR="00EB25B2" w:rsidRDefault="00384357">
      <w:pPr>
        <w:jc w:val="left"/>
        <w:rPr>
          <w:color w:val="auto"/>
          <w:u w:val="single"/>
        </w:rPr>
      </w:pPr>
      <w:r w:rsidRPr="009D7C92">
        <w:rPr>
          <w:color w:val="auto"/>
          <w:u w:val="single"/>
        </w:rPr>
        <w:t>Pacienti s po</w:t>
      </w:r>
      <w:r w:rsidR="00D857D4" w:rsidRPr="009D7C92">
        <w:rPr>
          <w:color w:val="auto"/>
          <w:u w:val="single"/>
        </w:rPr>
        <w:t>ruchou</w:t>
      </w:r>
      <w:r w:rsidRPr="009D7C92">
        <w:rPr>
          <w:color w:val="auto"/>
          <w:u w:val="single"/>
        </w:rPr>
        <w:t xml:space="preserve"> funkcie pečene</w:t>
      </w:r>
      <w:bookmarkStart w:id="2" w:name="_Hlk529963710"/>
    </w:p>
    <w:p w14:paraId="39C6F1B7" w14:textId="6F83B331" w:rsidR="00942326" w:rsidRPr="009D7C92" w:rsidRDefault="00537DBD">
      <w:pPr>
        <w:jc w:val="left"/>
        <w:rPr>
          <w:color w:val="auto"/>
        </w:rPr>
      </w:pPr>
      <w:r w:rsidRPr="009D7C92">
        <w:rPr>
          <w:color w:val="auto"/>
        </w:rPr>
        <w:t>Ramipril/Amlodipín/Hydrochlorotiazid Adamed</w:t>
      </w:r>
      <w:r w:rsidR="00942326" w:rsidRPr="009D7C92">
        <w:rPr>
          <w:color w:val="auto"/>
        </w:rPr>
        <w:t xml:space="preserve"> sa nemá používať u pacientov s po</w:t>
      </w:r>
      <w:r w:rsidR="008A44B1" w:rsidRPr="009D7C92">
        <w:rPr>
          <w:color w:val="auto"/>
        </w:rPr>
        <w:t>ruchou</w:t>
      </w:r>
      <w:r w:rsidR="00942326" w:rsidRPr="009D7C92">
        <w:rPr>
          <w:color w:val="auto"/>
        </w:rPr>
        <w:t xml:space="preserve"> pečene, pretože množstvo zložky ramiprilu presahuje maximálnu dennú povolenú dávku (2,5 mg) </w:t>
      </w:r>
      <w:r w:rsidR="00BB2B68" w:rsidRPr="009D7C92">
        <w:rPr>
          <w:color w:val="auto"/>
        </w:rPr>
        <w:t xml:space="preserve">pri </w:t>
      </w:r>
      <w:r w:rsidR="000B61DD" w:rsidRPr="009D7C92">
        <w:rPr>
          <w:color w:val="auto"/>
        </w:rPr>
        <w:t>t</w:t>
      </w:r>
      <w:r w:rsidR="000B61DD">
        <w:rPr>
          <w:color w:val="auto"/>
        </w:rPr>
        <w:t>ejto</w:t>
      </w:r>
      <w:r w:rsidR="000B61DD" w:rsidRPr="009D7C92">
        <w:rPr>
          <w:color w:val="auto"/>
        </w:rPr>
        <w:t xml:space="preserve"> </w:t>
      </w:r>
      <w:r w:rsidR="00BB2B68" w:rsidRPr="009D7C92">
        <w:rPr>
          <w:color w:val="auto"/>
        </w:rPr>
        <w:t>poruch</w:t>
      </w:r>
      <w:r w:rsidR="000B61DD">
        <w:rPr>
          <w:color w:val="auto"/>
        </w:rPr>
        <w:t>e</w:t>
      </w:r>
      <w:r w:rsidR="00942326" w:rsidRPr="009D7C92">
        <w:rPr>
          <w:color w:val="auto"/>
        </w:rPr>
        <w:t>.</w:t>
      </w:r>
    </w:p>
    <w:bookmarkEnd w:id="2"/>
    <w:p w14:paraId="2033BF8A" w14:textId="77777777" w:rsidR="00075B5F" w:rsidRPr="009D7C92" w:rsidRDefault="00075B5F">
      <w:pPr>
        <w:jc w:val="left"/>
        <w:rPr>
          <w:color w:val="auto"/>
        </w:rPr>
      </w:pPr>
    </w:p>
    <w:p w14:paraId="3D1D2BF0" w14:textId="0745F157" w:rsidR="00EB25B2" w:rsidRDefault="00606090">
      <w:pPr>
        <w:jc w:val="left"/>
        <w:rPr>
          <w:color w:val="auto"/>
          <w:u w:val="single"/>
        </w:rPr>
      </w:pPr>
      <w:r w:rsidRPr="009D7C92">
        <w:rPr>
          <w:color w:val="auto"/>
          <w:u w:val="single"/>
        </w:rPr>
        <w:t>Pacienti s po</w:t>
      </w:r>
      <w:r w:rsidR="00D857D4" w:rsidRPr="009D7C92">
        <w:rPr>
          <w:color w:val="auto"/>
          <w:u w:val="single"/>
        </w:rPr>
        <w:t>ruchou</w:t>
      </w:r>
      <w:r w:rsidRPr="009D7C92">
        <w:rPr>
          <w:color w:val="auto"/>
          <w:u w:val="single"/>
        </w:rPr>
        <w:t xml:space="preserve"> funkcie obličiek</w:t>
      </w:r>
    </w:p>
    <w:p w14:paraId="6D19CF1F" w14:textId="6793591A" w:rsidR="00075B5F" w:rsidRPr="009D7C92" w:rsidRDefault="00606090">
      <w:pPr>
        <w:jc w:val="left"/>
        <w:rPr>
          <w:color w:val="auto"/>
        </w:rPr>
      </w:pPr>
      <w:r w:rsidRPr="009D7C92">
        <w:rPr>
          <w:color w:val="auto"/>
        </w:rPr>
        <w:t xml:space="preserve">Funkcia obličiek sa má posúdiť pred liečbou </w:t>
      </w:r>
      <w:r w:rsidR="008A44B1" w:rsidRPr="009D7C92">
        <w:rPr>
          <w:color w:val="auto"/>
        </w:rPr>
        <w:t xml:space="preserve">liekom </w:t>
      </w:r>
      <w:r w:rsidR="00537DBD" w:rsidRPr="009D7C92">
        <w:rPr>
          <w:color w:val="auto"/>
        </w:rPr>
        <w:t>Ramipril/Amlodipín/Hydrochlorotiazid Adamed</w:t>
      </w:r>
      <w:r w:rsidR="008A44B1" w:rsidRPr="009D7C92">
        <w:rPr>
          <w:color w:val="auto"/>
        </w:rPr>
        <w:t xml:space="preserve"> a počas neho a </w:t>
      </w:r>
      <w:r w:rsidRPr="009D7C92">
        <w:rPr>
          <w:color w:val="auto"/>
        </w:rPr>
        <w:t xml:space="preserve">dávka </w:t>
      </w:r>
      <w:r w:rsidR="008A44B1" w:rsidRPr="009D7C92">
        <w:rPr>
          <w:color w:val="auto"/>
        </w:rPr>
        <w:t xml:space="preserve">by sa mala </w:t>
      </w:r>
      <w:r w:rsidRPr="009D7C92">
        <w:rPr>
          <w:color w:val="auto"/>
        </w:rPr>
        <w:t>upraviť najmä v prvých týždňoch liečby. U pacientov s po</w:t>
      </w:r>
      <w:r w:rsidR="008A44B1" w:rsidRPr="009D7C92">
        <w:rPr>
          <w:color w:val="auto"/>
        </w:rPr>
        <w:t>ruchou</w:t>
      </w:r>
      <w:r w:rsidRPr="009D7C92">
        <w:rPr>
          <w:color w:val="auto"/>
        </w:rPr>
        <w:t xml:space="preserve"> funkcie obličiek je potrebné najmä starostlivé sledovanie (pozri časť 4.2). Tiazidové diuretiká môžu u pacientov s chronickým ochorením obličiek vyvolať azotémiu. Keď sa </w:t>
      </w:r>
      <w:r w:rsidR="008A44B1" w:rsidRPr="009D7C92">
        <w:rPr>
          <w:color w:val="auto"/>
        </w:rPr>
        <w:t xml:space="preserve">liek </w:t>
      </w:r>
      <w:r w:rsidR="00537DBD" w:rsidRPr="009D7C92">
        <w:rPr>
          <w:color w:val="auto"/>
        </w:rPr>
        <w:t>Ramipril/Amlodipín/Hydrochlorotiazid Adamed</w:t>
      </w:r>
      <w:r w:rsidR="008A44B1" w:rsidRPr="009D7C92">
        <w:rPr>
          <w:color w:val="auto"/>
        </w:rPr>
        <w:t xml:space="preserve"> používa u pacientov s poruchou</w:t>
      </w:r>
      <w:r w:rsidRPr="009D7C92">
        <w:rPr>
          <w:color w:val="auto"/>
        </w:rPr>
        <w:t xml:space="preserve"> funkcie obličiek, odporúča sa pravidelné monitorovanie hladín elektrolytov v sére (vrátane draslíka), kreatinínu a kyseliny močovej. </w:t>
      </w:r>
      <w:r w:rsidR="00537DBD" w:rsidRPr="009D7C92">
        <w:t>Ramipril/Amlodipín/Hydrochlorotiazid Adamed</w:t>
      </w:r>
      <w:r w:rsidRPr="009D7C92">
        <w:t xml:space="preserve"> je kontraindikovaný u pacientov s ťažk</w:t>
      </w:r>
      <w:r w:rsidR="008A44B1" w:rsidRPr="009D7C92">
        <w:t>ou</w:t>
      </w:r>
      <w:r w:rsidRPr="009D7C92">
        <w:t xml:space="preserve"> po</w:t>
      </w:r>
      <w:r w:rsidR="008A44B1" w:rsidRPr="009D7C92">
        <w:t>ruchou</w:t>
      </w:r>
      <w:r w:rsidRPr="009D7C92">
        <w:t xml:space="preserve"> funkcie obličiek, obojstrannou stenózou renálnej artérie alebo stenózou renálnej artérie v jednej funkčnej obličke.</w:t>
      </w:r>
      <w:bookmarkStart w:id="3" w:name="_Hlk529963786"/>
      <w:r w:rsidRPr="009D7C92">
        <w:rPr>
          <w:color w:val="auto"/>
        </w:rPr>
        <w:t xml:space="preserve"> </w:t>
      </w:r>
      <w:bookmarkEnd w:id="3"/>
      <w:r w:rsidRPr="009D7C92">
        <w:t>Tento liek sa neodporúča ani v prípade jednej funkčnej obličky a v prípade hypokal</w:t>
      </w:r>
      <w:r w:rsidR="00393423" w:rsidRPr="009D7C92">
        <w:t>i</w:t>
      </w:r>
      <w:r w:rsidRPr="009D7C92">
        <w:t>émie.</w:t>
      </w:r>
    </w:p>
    <w:p w14:paraId="232B610B" w14:textId="21484FC7" w:rsidR="00EB25B2" w:rsidRDefault="00606090">
      <w:pPr>
        <w:jc w:val="left"/>
        <w:rPr>
          <w:color w:val="auto"/>
        </w:rPr>
      </w:pPr>
      <w:r w:rsidRPr="009D7C92">
        <w:rPr>
          <w:color w:val="auto"/>
        </w:rPr>
        <w:t xml:space="preserve">Existuje riziko </w:t>
      </w:r>
      <w:r w:rsidR="00393423" w:rsidRPr="009D7C92">
        <w:rPr>
          <w:color w:val="auto"/>
        </w:rPr>
        <w:t xml:space="preserve">poruchy </w:t>
      </w:r>
      <w:r w:rsidRPr="009D7C92">
        <w:rPr>
          <w:color w:val="auto"/>
        </w:rPr>
        <w:t>funkcie obličiek, najmä u pacientov s kongestívnym zlyh</w:t>
      </w:r>
      <w:r w:rsidR="00393423" w:rsidRPr="009D7C92">
        <w:rPr>
          <w:color w:val="auto"/>
        </w:rPr>
        <w:t>ávaním</w:t>
      </w:r>
      <w:r w:rsidRPr="009D7C92">
        <w:rPr>
          <w:color w:val="auto"/>
        </w:rPr>
        <w:t xml:space="preserve"> srdca alebo po transplantácii obličky.</w:t>
      </w:r>
    </w:p>
    <w:p w14:paraId="320E992D" w14:textId="77777777" w:rsidR="00D80B85" w:rsidRPr="009D7C92" w:rsidRDefault="00D80B85">
      <w:pPr>
        <w:jc w:val="left"/>
        <w:rPr>
          <w:color w:val="auto"/>
          <w:u w:val="single"/>
        </w:rPr>
      </w:pPr>
    </w:p>
    <w:p w14:paraId="5236A814" w14:textId="6E294F78" w:rsidR="00EB25B2" w:rsidRDefault="00323CDC">
      <w:pPr>
        <w:jc w:val="left"/>
        <w:rPr>
          <w:color w:val="auto"/>
          <w:u w:val="single"/>
        </w:rPr>
      </w:pPr>
      <w:r w:rsidRPr="009D7C92">
        <w:rPr>
          <w:color w:val="auto"/>
          <w:u w:val="single"/>
        </w:rPr>
        <w:t>Starší pacienti</w:t>
      </w:r>
    </w:p>
    <w:p w14:paraId="15DAF33D" w14:textId="41DAA80D" w:rsidR="00EB25B2" w:rsidRDefault="00E547C0">
      <w:pPr>
        <w:jc w:val="left"/>
        <w:rPr>
          <w:color w:val="auto"/>
        </w:rPr>
      </w:pPr>
      <w:r w:rsidRPr="009D7C92">
        <w:rPr>
          <w:color w:val="auto"/>
        </w:rPr>
        <w:t>Pozri časť 4.</w:t>
      </w:r>
      <w:r w:rsidR="00323CDC" w:rsidRPr="009D7C92">
        <w:rPr>
          <w:color w:val="auto"/>
        </w:rPr>
        <w:t>2.</w:t>
      </w:r>
    </w:p>
    <w:p w14:paraId="6929A514" w14:textId="3A8BF55C" w:rsidR="00323CDC" w:rsidRPr="009D7C92" w:rsidRDefault="00323CDC">
      <w:pPr>
        <w:jc w:val="left"/>
        <w:rPr>
          <w:color w:val="auto"/>
        </w:rPr>
      </w:pPr>
    </w:p>
    <w:p w14:paraId="0BB23B30" w14:textId="7C6DE57E" w:rsidR="00EB25B2" w:rsidRDefault="00EC30D2">
      <w:pPr>
        <w:jc w:val="left"/>
        <w:rPr>
          <w:i/>
          <w:color w:val="auto"/>
          <w:u w:val="single"/>
        </w:rPr>
      </w:pPr>
      <w:r w:rsidRPr="009D7C92">
        <w:rPr>
          <w:i/>
          <w:color w:val="auto"/>
          <w:u w:val="single"/>
        </w:rPr>
        <w:t>Operácia</w:t>
      </w:r>
    </w:p>
    <w:p w14:paraId="4F95539D" w14:textId="1F0A0CC2" w:rsidR="00EB25B2" w:rsidRDefault="00323CDC">
      <w:pPr>
        <w:jc w:val="left"/>
        <w:rPr>
          <w:color w:val="auto"/>
        </w:rPr>
      </w:pPr>
      <w:r w:rsidRPr="009D7C92">
        <w:rPr>
          <w:color w:val="auto"/>
        </w:rPr>
        <w:t>Odporúča sa, aby sa liečba inhibítormi enzýmu</w:t>
      </w:r>
      <w:r w:rsidR="009A32D8" w:rsidRPr="009D7C92">
        <w:rPr>
          <w:color w:val="auto"/>
        </w:rPr>
        <w:t xml:space="preserve"> konvertujúceho angiotenzín</w:t>
      </w:r>
      <w:r w:rsidRPr="009D7C92">
        <w:rPr>
          <w:color w:val="auto"/>
        </w:rPr>
        <w:t>, ako je ramipril, prerušila, ak je to možné, jeden deň pred operáciou.</w:t>
      </w:r>
    </w:p>
    <w:p w14:paraId="36A8C134" w14:textId="7189D4FF" w:rsidR="00323CDC" w:rsidRPr="009D7C92" w:rsidRDefault="00323CDC">
      <w:pPr>
        <w:jc w:val="left"/>
        <w:rPr>
          <w:color w:val="auto"/>
        </w:rPr>
      </w:pPr>
    </w:p>
    <w:p w14:paraId="2EB58A33" w14:textId="2965C94A" w:rsidR="00EB25B2" w:rsidRDefault="00323CDC">
      <w:pPr>
        <w:jc w:val="left"/>
        <w:rPr>
          <w:i/>
          <w:color w:val="auto"/>
          <w:u w:val="single"/>
        </w:rPr>
      </w:pPr>
      <w:r w:rsidRPr="009D7C92">
        <w:rPr>
          <w:i/>
          <w:color w:val="auto"/>
          <w:u w:val="single"/>
        </w:rPr>
        <w:t xml:space="preserve">Duálna </w:t>
      </w:r>
      <w:r w:rsidR="000B61DD">
        <w:rPr>
          <w:i/>
          <w:color w:val="auto"/>
          <w:u w:val="single"/>
        </w:rPr>
        <w:t>inhibícia</w:t>
      </w:r>
      <w:r w:rsidR="000B61DD" w:rsidRPr="009D7C92">
        <w:rPr>
          <w:i/>
          <w:color w:val="auto"/>
          <w:u w:val="single"/>
        </w:rPr>
        <w:t xml:space="preserve"> </w:t>
      </w:r>
      <w:r w:rsidRPr="009D7C92">
        <w:rPr>
          <w:i/>
          <w:color w:val="auto"/>
          <w:u w:val="single"/>
        </w:rPr>
        <w:t>systému renín-angiotenzín-aldosterón (RAAS)</w:t>
      </w:r>
    </w:p>
    <w:p w14:paraId="05838A0B" w14:textId="40E7F7AC" w:rsidR="00EB25B2" w:rsidRDefault="00323CDC">
      <w:pPr>
        <w:jc w:val="left"/>
        <w:rPr>
          <w:color w:val="auto"/>
        </w:rPr>
      </w:pPr>
      <w:r w:rsidRPr="009D7C92">
        <w:rPr>
          <w:color w:val="auto"/>
        </w:rPr>
        <w:lastRenderedPageBreak/>
        <w:t>Existujú dôkazy, že sú</w:t>
      </w:r>
      <w:r w:rsidR="0059364E" w:rsidRPr="009D7C92">
        <w:rPr>
          <w:color w:val="auto"/>
        </w:rPr>
        <w:t>bežné</w:t>
      </w:r>
      <w:r w:rsidRPr="009D7C92">
        <w:rPr>
          <w:color w:val="auto"/>
        </w:rPr>
        <w:t xml:space="preserve"> užívanie inhibítorov</w:t>
      </w:r>
      <w:r w:rsidR="009A32D8" w:rsidRPr="009D7C92">
        <w:rPr>
          <w:color w:val="auto"/>
        </w:rPr>
        <w:t xml:space="preserve"> ACE</w:t>
      </w:r>
      <w:r w:rsidRPr="009D7C92">
        <w:rPr>
          <w:color w:val="auto"/>
        </w:rPr>
        <w:t>, blokátorov receptorov angiotenzínu II alebo aliskir</w:t>
      </w:r>
      <w:r w:rsidR="00EC30D2" w:rsidRPr="009D7C92">
        <w:rPr>
          <w:color w:val="auto"/>
        </w:rPr>
        <w:t>é</w:t>
      </w:r>
      <w:r w:rsidRPr="009D7C92">
        <w:rPr>
          <w:color w:val="auto"/>
        </w:rPr>
        <w:t>nu zvyš</w:t>
      </w:r>
      <w:r w:rsidR="00EC30D2" w:rsidRPr="009D7C92">
        <w:rPr>
          <w:color w:val="auto"/>
        </w:rPr>
        <w:t>uje riziko hypotenzie, hyperkal</w:t>
      </w:r>
      <w:r w:rsidR="00C70529" w:rsidRPr="009D7C92">
        <w:rPr>
          <w:color w:val="auto"/>
        </w:rPr>
        <w:t>i</w:t>
      </w:r>
      <w:r w:rsidR="00EC30D2" w:rsidRPr="009D7C92">
        <w:rPr>
          <w:color w:val="auto"/>
        </w:rPr>
        <w:t>émie a zníženie</w:t>
      </w:r>
      <w:r w:rsidRPr="009D7C92">
        <w:rPr>
          <w:color w:val="auto"/>
        </w:rPr>
        <w:t xml:space="preserve"> funkcie obličiek (vrátane akútneho zlyhania obličiek). Duálna </w:t>
      </w:r>
      <w:r w:rsidR="009D13C7">
        <w:rPr>
          <w:color w:val="auto"/>
        </w:rPr>
        <w:t>inhibícia</w:t>
      </w:r>
      <w:r w:rsidR="009D13C7" w:rsidRPr="009D7C92">
        <w:rPr>
          <w:color w:val="auto"/>
        </w:rPr>
        <w:t xml:space="preserve"> </w:t>
      </w:r>
      <w:r w:rsidRPr="009D7C92">
        <w:rPr>
          <w:color w:val="auto"/>
        </w:rPr>
        <w:t>RAAS kombinovaným používaním inhibítorov</w:t>
      </w:r>
      <w:r w:rsidR="009A32D8" w:rsidRPr="009D7C92">
        <w:rPr>
          <w:color w:val="auto"/>
        </w:rPr>
        <w:t xml:space="preserve"> ACE</w:t>
      </w:r>
      <w:r w:rsidRPr="009D7C92">
        <w:rPr>
          <w:color w:val="auto"/>
        </w:rPr>
        <w:t>, blokátorov receptorov angiotenzínu II alebo aliskir</w:t>
      </w:r>
      <w:r w:rsidR="00EC30D2" w:rsidRPr="009D7C92">
        <w:rPr>
          <w:color w:val="auto"/>
        </w:rPr>
        <w:t>é</w:t>
      </w:r>
      <w:r w:rsidRPr="009D7C92">
        <w:rPr>
          <w:color w:val="auto"/>
        </w:rPr>
        <w:t>nu sa preto neodporúča (pozri časti 4.5 a 5.1).</w:t>
      </w:r>
    </w:p>
    <w:p w14:paraId="22536E5D" w14:textId="1E154885" w:rsidR="00EB25B2" w:rsidRDefault="00323CDC">
      <w:pPr>
        <w:jc w:val="left"/>
        <w:rPr>
          <w:color w:val="auto"/>
        </w:rPr>
      </w:pPr>
      <w:r w:rsidRPr="009D7C92">
        <w:rPr>
          <w:color w:val="auto"/>
        </w:rPr>
        <w:t xml:space="preserve">Ak sa duálna </w:t>
      </w:r>
      <w:r w:rsidR="009D13C7">
        <w:rPr>
          <w:color w:val="auto"/>
        </w:rPr>
        <w:t>inhibícia</w:t>
      </w:r>
      <w:r w:rsidR="009D13C7" w:rsidRPr="009D7C92">
        <w:rPr>
          <w:color w:val="auto"/>
        </w:rPr>
        <w:t xml:space="preserve"> </w:t>
      </w:r>
      <w:r w:rsidRPr="009D7C92">
        <w:rPr>
          <w:color w:val="auto"/>
        </w:rPr>
        <w:t>považuje za absolútne nevyhnutnú, má sa to uskutočniť len pod odborným dohľadom a podlieha častému dôkladnému sledovaniu funkcie obličiek, elektrolytov a krvného tlaku. Inhibítory ACE a blokátory receptora angiotenzínu II sa nemajú používať súbežne u pacientov s diabetickou nefropatiou.</w:t>
      </w:r>
    </w:p>
    <w:p w14:paraId="4B830513" w14:textId="77777777" w:rsidR="00323CDC" w:rsidRPr="009D7C92" w:rsidRDefault="00323CDC">
      <w:pPr>
        <w:jc w:val="left"/>
        <w:rPr>
          <w:color w:val="auto"/>
        </w:rPr>
      </w:pPr>
    </w:p>
    <w:p w14:paraId="75BD9942" w14:textId="41A3492C" w:rsidR="00EB25B2" w:rsidRDefault="00535D8D">
      <w:pPr>
        <w:jc w:val="left"/>
        <w:rPr>
          <w:i/>
          <w:color w:val="auto"/>
          <w:u w:val="single"/>
        </w:rPr>
      </w:pPr>
      <w:r w:rsidRPr="00032D0E">
        <w:rPr>
          <w:i/>
          <w:color w:val="auto"/>
          <w:u w:val="single"/>
        </w:rPr>
        <w:t>Precitlivenosť/</w:t>
      </w:r>
      <w:r w:rsidR="00323CDC" w:rsidRPr="009D7C92">
        <w:rPr>
          <w:i/>
          <w:color w:val="auto"/>
          <w:u w:val="single"/>
        </w:rPr>
        <w:t>Angioedém</w:t>
      </w:r>
    </w:p>
    <w:p w14:paraId="15A2E1B0" w14:textId="4497E72F" w:rsidR="00535D8D" w:rsidRDefault="00323CDC">
      <w:pPr>
        <w:jc w:val="left"/>
        <w:rPr>
          <w:color w:val="auto"/>
        </w:rPr>
      </w:pPr>
      <w:r w:rsidRPr="009D7C92">
        <w:rPr>
          <w:color w:val="auto"/>
        </w:rPr>
        <w:t xml:space="preserve">U pacientov liečených inhibítormi </w:t>
      </w:r>
      <w:r w:rsidR="007D2D59" w:rsidRPr="009D7C92">
        <w:rPr>
          <w:color w:val="auto"/>
        </w:rPr>
        <w:t>ACE</w:t>
      </w:r>
      <w:r w:rsidR="000B61DD">
        <w:rPr>
          <w:color w:val="auto"/>
        </w:rPr>
        <w:t>,</w:t>
      </w:r>
      <w:r w:rsidR="007D2D59" w:rsidRPr="009D7C92">
        <w:rPr>
          <w:color w:val="auto"/>
        </w:rPr>
        <w:t xml:space="preserve"> </w:t>
      </w:r>
      <w:r w:rsidRPr="009D7C92">
        <w:rPr>
          <w:color w:val="auto"/>
        </w:rPr>
        <w:t>vrátane ramiprilu</w:t>
      </w:r>
      <w:r w:rsidR="000B61DD">
        <w:rPr>
          <w:color w:val="auto"/>
        </w:rPr>
        <w:t>,</w:t>
      </w:r>
      <w:r w:rsidRPr="009D7C92">
        <w:rPr>
          <w:color w:val="auto"/>
        </w:rPr>
        <w:t xml:space="preserve"> bol hlásený angioedém (pozri časť 4.8). </w:t>
      </w:r>
    </w:p>
    <w:p w14:paraId="7DA13131" w14:textId="2BE91E1C" w:rsidR="00535D8D" w:rsidRPr="009909C5" w:rsidRDefault="00535D8D">
      <w:pPr>
        <w:jc w:val="left"/>
        <w:rPr>
          <w:color w:val="auto"/>
        </w:rPr>
      </w:pPr>
      <w:r w:rsidRPr="00032D0E">
        <w:t>Súbežné užívanie inhibítorov ACE s racekadotrilom, inhibítormi mTOR (mammalian target of rapamycin, cicavčia cieľová kináza rapamycínu) (napr. sirolimus, everolimus, temsirolimus) a vildagliptínom môže viesť k zvýšenému riziku angioedému (napr. opuch dýchacích ciest alebo jazyka, s poruchou respiračnej funkcie alebo bez nej) (pozri časť 4.5). Pri začatí liečby racekadotrilom, inhibítormi mTOR (napr. sirolimus, everolimus, temsirolimus) a vildagliptínom u pacientov, ktorí už užívajú inhibítor ACE, je potrebná opatrnosť.</w:t>
      </w:r>
    </w:p>
    <w:p w14:paraId="05AD7104" w14:textId="4287CBC4" w:rsidR="00EB25B2" w:rsidRPr="009909C5" w:rsidRDefault="00323CDC">
      <w:pPr>
        <w:jc w:val="left"/>
        <w:rPr>
          <w:color w:val="auto"/>
        </w:rPr>
      </w:pPr>
      <w:r w:rsidRPr="009909C5">
        <w:rPr>
          <w:color w:val="auto"/>
          <w:szCs w:val="20"/>
        </w:rPr>
        <w:t>Kombinácia ramiprilu s</w:t>
      </w:r>
      <w:r w:rsidR="007D2D59" w:rsidRPr="009909C5">
        <w:rPr>
          <w:color w:val="auto"/>
          <w:szCs w:val="20"/>
        </w:rPr>
        <w:t>o</w:t>
      </w:r>
      <w:r w:rsidRPr="009909C5">
        <w:rPr>
          <w:color w:val="auto"/>
          <w:szCs w:val="20"/>
        </w:rPr>
        <w:t xml:space="preserve"> sa</w:t>
      </w:r>
      <w:r w:rsidR="00C70529" w:rsidRPr="009909C5">
        <w:rPr>
          <w:color w:val="auto"/>
          <w:szCs w:val="20"/>
        </w:rPr>
        <w:t>k</w:t>
      </w:r>
      <w:r w:rsidRPr="009909C5">
        <w:rPr>
          <w:color w:val="auto"/>
          <w:szCs w:val="20"/>
        </w:rPr>
        <w:t>ubitrilom/valsartanom je kontraindikovaná kvôli zvýšenému</w:t>
      </w:r>
      <w:r w:rsidR="00535D8D" w:rsidRPr="009909C5">
        <w:rPr>
          <w:color w:val="auto"/>
          <w:szCs w:val="20"/>
        </w:rPr>
        <w:t xml:space="preserve"> riziku</w:t>
      </w:r>
      <w:r w:rsidRPr="009909C5">
        <w:rPr>
          <w:color w:val="auto"/>
          <w:szCs w:val="20"/>
        </w:rPr>
        <w:t xml:space="preserve"> angioedému</w:t>
      </w:r>
      <w:r w:rsidR="00535D8D" w:rsidRPr="009909C5">
        <w:rPr>
          <w:color w:val="auto"/>
          <w:szCs w:val="20"/>
        </w:rPr>
        <w:t xml:space="preserve">. </w:t>
      </w:r>
      <w:r w:rsidR="00535D8D" w:rsidRPr="00032D0E">
        <w:t xml:space="preserve">Súbežné užívanie inhibítorov angiotenzín konvertujúceho enzýmu (ACE) so sakubitrilom/valsartanom je kontraindikované v dôsledku zvýšeného rizika angioedému. Liečba sakubitrilom/valsartanom sa nesmie začať skôr ako po 36 hodinách od poslednej dávky </w:t>
      </w:r>
      <w:r w:rsidR="000B61DD">
        <w:t>ramiprilu</w:t>
      </w:r>
      <w:r w:rsidR="00535D8D" w:rsidRPr="00032D0E">
        <w:t xml:space="preserve">. Liečba </w:t>
      </w:r>
      <w:r w:rsidR="000B61DD">
        <w:t>ramiprilom</w:t>
      </w:r>
      <w:r w:rsidR="00535D8D" w:rsidRPr="00032D0E">
        <w:t xml:space="preserve"> sa nesmie začať skôr ako po 36 hodinách od poslednej dávky sakubitrilu/valsartanu </w:t>
      </w:r>
      <w:r w:rsidRPr="009909C5">
        <w:rPr>
          <w:color w:val="auto"/>
          <w:szCs w:val="20"/>
        </w:rPr>
        <w:t>(pozri časti 4.3 a 4.5).</w:t>
      </w:r>
    </w:p>
    <w:p w14:paraId="69D559A0" w14:textId="2FB4BFF0" w:rsidR="00EB25B2" w:rsidRDefault="00323CDC">
      <w:pPr>
        <w:jc w:val="left"/>
        <w:rPr>
          <w:color w:val="auto"/>
        </w:rPr>
      </w:pPr>
      <w:r w:rsidRPr="009909C5">
        <w:rPr>
          <w:color w:val="auto"/>
        </w:rPr>
        <w:t>V prípade angioedému sa musí vysadiť ramipril</w:t>
      </w:r>
      <w:r w:rsidRPr="009D7C92">
        <w:rPr>
          <w:color w:val="auto"/>
        </w:rPr>
        <w:t>.</w:t>
      </w:r>
    </w:p>
    <w:p w14:paraId="38DC51A7" w14:textId="443419F4" w:rsidR="00EB25B2" w:rsidRDefault="00641821">
      <w:pPr>
        <w:jc w:val="left"/>
        <w:rPr>
          <w:color w:val="auto"/>
        </w:rPr>
      </w:pPr>
      <w:r w:rsidRPr="009D7C92">
        <w:rPr>
          <w:color w:val="auto"/>
        </w:rPr>
        <w:t xml:space="preserve">Urgentná </w:t>
      </w:r>
      <w:r w:rsidR="00323CDC" w:rsidRPr="009D7C92">
        <w:rPr>
          <w:color w:val="auto"/>
        </w:rPr>
        <w:t xml:space="preserve">liečba sa má začať okamžite. Pacient by mal byť sledovaný najmenej 12 až 24 hodín a po úplnom </w:t>
      </w:r>
      <w:r w:rsidR="008B19DD" w:rsidRPr="009D7C92">
        <w:rPr>
          <w:color w:val="auto"/>
        </w:rPr>
        <w:t xml:space="preserve">vymiznutí </w:t>
      </w:r>
      <w:r w:rsidR="00323CDC" w:rsidRPr="009D7C92">
        <w:rPr>
          <w:color w:val="auto"/>
        </w:rPr>
        <w:t>symptómov by mal byť prepustený.</w:t>
      </w:r>
    </w:p>
    <w:p w14:paraId="7735372D" w14:textId="1DD46F39" w:rsidR="00EB25B2" w:rsidRDefault="00323CDC">
      <w:pPr>
        <w:jc w:val="left"/>
        <w:rPr>
          <w:color w:val="auto"/>
        </w:rPr>
      </w:pPr>
      <w:r w:rsidRPr="009D7C92">
        <w:rPr>
          <w:color w:val="auto"/>
        </w:rPr>
        <w:t xml:space="preserve">U pacientov liečených inhibítormi </w:t>
      </w:r>
      <w:r w:rsidR="008B19DD" w:rsidRPr="009D7C92">
        <w:rPr>
          <w:color w:val="auto"/>
        </w:rPr>
        <w:t xml:space="preserve">ACE </w:t>
      </w:r>
      <w:r w:rsidRPr="009D7C92">
        <w:rPr>
          <w:color w:val="auto"/>
        </w:rPr>
        <w:t>vrátane ramiprilu bol hlásený črevný angioedém (pozri časť 4.8). Títo pacienti mali bolesti brucha (s nevoľnosťou alebo vracaním alebo bez nich).</w:t>
      </w:r>
    </w:p>
    <w:p w14:paraId="560D1C20" w14:textId="2888F4F9" w:rsidR="00323CDC" w:rsidRPr="009D7C92" w:rsidRDefault="00323CDC">
      <w:pPr>
        <w:jc w:val="left"/>
        <w:rPr>
          <w:color w:val="auto"/>
        </w:rPr>
      </w:pPr>
    </w:p>
    <w:p w14:paraId="4F92AC70" w14:textId="79BB9F6A" w:rsidR="00EB25B2" w:rsidRDefault="00323CDC">
      <w:pPr>
        <w:jc w:val="left"/>
        <w:rPr>
          <w:i/>
          <w:color w:val="auto"/>
          <w:u w:val="single"/>
        </w:rPr>
      </w:pPr>
      <w:r w:rsidRPr="009D7C92">
        <w:rPr>
          <w:i/>
          <w:color w:val="auto"/>
          <w:u w:val="single"/>
        </w:rPr>
        <w:t>Anafylaktické reakcie počas desenzibilizácie</w:t>
      </w:r>
    </w:p>
    <w:p w14:paraId="48EE1E87" w14:textId="2DDFB12D" w:rsidR="00EB25B2" w:rsidRDefault="00323CDC">
      <w:pPr>
        <w:jc w:val="left"/>
        <w:rPr>
          <w:color w:val="auto"/>
        </w:rPr>
      </w:pPr>
      <w:r w:rsidRPr="009D7C92">
        <w:rPr>
          <w:color w:val="auto"/>
        </w:rPr>
        <w:t>Pravdepodobnosť a závažnosť anafylaktických a anafylaktoidných reakcií na jed hmyzu a iné alergény sa zvyšuje pri inhibícii ACE. Pred desenzibilizáciou sa má zvážiť dočasné prerušenie liečby ramiprilom.</w:t>
      </w:r>
    </w:p>
    <w:p w14:paraId="0F6448B8" w14:textId="68A3BD84" w:rsidR="00323CDC" w:rsidRPr="009D7C92" w:rsidRDefault="00323CDC">
      <w:pPr>
        <w:jc w:val="left"/>
        <w:rPr>
          <w:color w:val="auto"/>
        </w:rPr>
      </w:pPr>
    </w:p>
    <w:p w14:paraId="1546840D" w14:textId="77777777" w:rsidR="00AF34DB" w:rsidRPr="009D7C92" w:rsidRDefault="006F7C4F">
      <w:pPr>
        <w:jc w:val="left"/>
        <w:rPr>
          <w:i/>
          <w:color w:val="auto"/>
          <w:u w:val="single"/>
        </w:rPr>
      </w:pPr>
      <w:r w:rsidRPr="009D7C92">
        <w:rPr>
          <w:i/>
          <w:color w:val="auto"/>
          <w:u w:val="single"/>
        </w:rPr>
        <w:t>Zmeny elektrolytov v sére</w:t>
      </w:r>
    </w:p>
    <w:p w14:paraId="73DF6B7A" w14:textId="262493D2" w:rsidR="00535D8D" w:rsidRPr="009909C5" w:rsidRDefault="00535D8D">
      <w:pPr>
        <w:jc w:val="left"/>
        <w:rPr>
          <w:color w:val="auto"/>
        </w:rPr>
      </w:pPr>
      <w:r w:rsidRPr="00032D0E">
        <w:t>Inhibítory ACE môžu spôsobiť hyperkaliémiu, pretože inhibujú uvoľňovanie aldosterónu. Účinok zvyčajne nie je významný u pacientov s normálnou funkciou obličiek. Avšak hyperkaliémia sa môže vyskytnúť u pacientov s poruchou funkcie obličiek a/alebo u pacientov užívajúcich doplnky draslíka (vrátane náhrad solí), draslík šetriace diuretiká, trimetoprim alebo kotrimoxazol známy tiež ako trimetoprim/sulfametoxazol a predovšetkým antagonisty aldosterónu alebo blokátory receptorov angiotenzínu. Draslík šetriace diuretiká a blokátory receptorov angiotenzínu sa majú používať s</w:t>
      </w:r>
      <w:r w:rsidR="00534A7A">
        <w:t> </w:t>
      </w:r>
      <w:r w:rsidRPr="00032D0E">
        <w:t xml:space="preserve">opatrnosťou u pacientov užívajúcich inhibítory ACE a u týchto pacientov sa má sledovať hladina draslíka v sére a funkcia obličiek (pozri časť 4.5). </w:t>
      </w:r>
    </w:p>
    <w:p w14:paraId="4F0D2FDF" w14:textId="10A4500C" w:rsidR="00EB25B2" w:rsidRDefault="00323CDC" w:rsidP="00243692">
      <w:pPr>
        <w:tabs>
          <w:tab w:val="left" w:pos="567"/>
        </w:tabs>
        <w:spacing w:line="260" w:lineRule="exact"/>
        <w:jc w:val="left"/>
        <w:rPr>
          <w:color w:val="auto"/>
          <w:szCs w:val="20"/>
        </w:rPr>
      </w:pPr>
      <w:r w:rsidRPr="009D7C92">
        <w:rPr>
          <w:color w:val="auto"/>
          <w:szCs w:val="20"/>
        </w:rPr>
        <w:t xml:space="preserve">U niektorých pacientov liečených ramiprilom sa pozoroval syndróm </w:t>
      </w:r>
      <w:r w:rsidR="00F86871" w:rsidRPr="009D7C92">
        <w:rPr>
          <w:color w:val="auto"/>
          <w:szCs w:val="20"/>
        </w:rPr>
        <w:t xml:space="preserve">neprimeranej sekrécie </w:t>
      </w:r>
      <w:r w:rsidRPr="009D7C92">
        <w:rPr>
          <w:color w:val="auto"/>
          <w:szCs w:val="20"/>
        </w:rPr>
        <w:t>antidiuretického hormónu (SIADH) a následná hyponatriémia. Odporúča sa pravidelne monitorovať hladiny sodíka v sére u starších pacientov a u iných pacientov s rizikom hyponatriémie,</w:t>
      </w:r>
    </w:p>
    <w:p w14:paraId="48C64E01" w14:textId="77777777" w:rsidR="00323CDC" w:rsidRPr="009D7C92" w:rsidRDefault="00323CDC" w:rsidP="00EE703D">
      <w:pPr>
        <w:jc w:val="left"/>
        <w:rPr>
          <w:color w:val="auto"/>
          <w:u w:val="single"/>
        </w:rPr>
      </w:pPr>
    </w:p>
    <w:p w14:paraId="7AAB56A6" w14:textId="0A93CE0E" w:rsidR="006F7C4F" w:rsidRPr="009D7C92" w:rsidRDefault="006F7C4F" w:rsidP="00211D25">
      <w:pPr>
        <w:jc w:val="left"/>
        <w:rPr>
          <w:i/>
          <w:iCs/>
          <w:color w:val="auto"/>
        </w:rPr>
      </w:pPr>
      <w:r w:rsidRPr="009D7C92">
        <w:rPr>
          <w:color w:val="auto"/>
        </w:rPr>
        <w:t xml:space="preserve">Liečba </w:t>
      </w:r>
      <w:r w:rsidR="000B2310" w:rsidRPr="009D7C92">
        <w:rPr>
          <w:color w:val="auto"/>
        </w:rPr>
        <w:t xml:space="preserve">liekom </w:t>
      </w:r>
      <w:r w:rsidR="00537DBD" w:rsidRPr="009D7C92">
        <w:rPr>
          <w:color w:val="auto"/>
        </w:rPr>
        <w:t>Ramipril/Amlodipín/Hydrochlorotiazid Adamed</w:t>
      </w:r>
      <w:r w:rsidRPr="009D7C92">
        <w:rPr>
          <w:color w:val="auto"/>
        </w:rPr>
        <w:t xml:space="preserve"> sa má začať až po korekcii hypokaliémie a </w:t>
      </w:r>
      <w:r w:rsidR="003502D1" w:rsidRPr="009D7C92">
        <w:rPr>
          <w:color w:val="auto"/>
        </w:rPr>
        <w:t>súbežnej</w:t>
      </w:r>
      <w:r w:rsidRPr="009D7C92">
        <w:rPr>
          <w:color w:val="auto"/>
        </w:rPr>
        <w:t xml:space="preserve"> hypomagneziémie.</w:t>
      </w:r>
      <w:r w:rsidRPr="009D7C92">
        <w:rPr>
          <w:i/>
          <w:color w:val="auto"/>
        </w:rPr>
        <w:t xml:space="preserve"> </w:t>
      </w:r>
      <w:r w:rsidRPr="009D7C92">
        <w:rPr>
          <w:iCs/>
          <w:color w:val="auto"/>
        </w:rPr>
        <w:t>Tiazidy a príbuzné diuretiká môžu spôsobiť výskyt hypokaliémie alebo</w:t>
      </w:r>
      <w:r w:rsidR="009D7C92">
        <w:rPr>
          <w:iCs/>
          <w:color w:val="auto"/>
        </w:rPr>
        <w:t xml:space="preserve"> </w:t>
      </w:r>
      <w:r w:rsidR="003502D1" w:rsidRPr="009D7C92">
        <w:rPr>
          <w:iCs/>
          <w:color w:val="auto"/>
        </w:rPr>
        <w:t>zhoršiť</w:t>
      </w:r>
      <w:r w:rsidRPr="009D7C92">
        <w:rPr>
          <w:iCs/>
          <w:color w:val="auto"/>
        </w:rPr>
        <w:t xml:space="preserve"> už existujúcu hypokaliémiu. Tiazidy sa majú používať opatrne u pacientov s ochorením, ktoré môže spôsobiť významnú stratu draslíka, ako je ochorenie obličiek so stratou solí alebo poruchy funkcie obličiek </w:t>
      </w:r>
      <w:r w:rsidR="003502D1" w:rsidRPr="009D7C92">
        <w:rPr>
          <w:iCs/>
          <w:color w:val="auto"/>
        </w:rPr>
        <w:t xml:space="preserve">mimoobličkového </w:t>
      </w:r>
      <w:r w:rsidRPr="009D7C92">
        <w:rPr>
          <w:iCs/>
          <w:color w:val="auto"/>
        </w:rPr>
        <w:t>pôvodu (kardiogénne).</w:t>
      </w:r>
    </w:p>
    <w:p w14:paraId="47F24C50" w14:textId="0A9F9755" w:rsidR="00EB25B2" w:rsidRDefault="006F7C4F">
      <w:pPr>
        <w:jc w:val="left"/>
        <w:rPr>
          <w:color w:val="auto"/>
        </w:rPr>
      </w:pPr>
      <w:r w:rsidRPr="009D7C92">
        <w:rPr>
          <w:color w:val="auto"/>
        </w:rPr>
        <w:t>Rizik</w:t>
      </w:r>
      <w:r w:rsidR="003502D1" w:rsidRPr="009D7C92">
        <w:rPr>
          <w:color w:val="auto"/>
        </w:rPr>
        <w:t>u</w:t>
      </w:r>
      <w:r w:rsidRPr="009D7C92">
        <w:rPr>
          <w:color w:val="auto"/>
        </w:rPr>
        <w:t xml:space="preserve"> výskytu hypokaliémie (&lt;3,5 mmol/l) je potrebné predísť u niektorých rizikových populácií, ktoré predstavujú starší a/alebo pacienti</w:t>
      </w:r>
      <w:r w:rsidR="003502D1" w:rsidRPr="009D7C92">
        <w:rPr>
          <w:color w:val="auto"/>
        </w:rPr>
        <w:t xml:space="preserve"> s podvýživou a/alebo polyterapiou</w:t>
      </w:r>
      <w:r w:rsidRPr="009D7C92">
        <w:rPr>
          <w:color w:val="auto"/>
        </w:rPr>
        <w:t>, p</w:t>
      </w:r>
      <w:r w:rsidR="00CE6C1E" w:rsidRPr="009D7C92">
        <w:rPr>
          <w:color w:val="auto"/>
        </w:rPr>
        <w:t>acienti s</w:t>
      </w:r>
      <w:r w:rsidR="003502D1" w:rsidRPr="009D7C92">
        <w:rPr>
          <w:color w:val="auto"/>
        </w:rPr>
        <w:t> </w:t>
      </w:r>
      <w:r w:rsidR="00CE6C1E" w:rsidRPr="009D7C92">
        <w:rPr>
          <w:color w:val="auto"/>
        </w:rPr>
        <w:t>cirhózou</w:t>
      </w:r>
      <w:r w:rsidR="003502D1" w:rsidRPr="009D7C92">
        <w:rPr>
          <w:color w:val="auto"/>
        </w:rPr>
        <w:t xml:space="preserve"> a</w:t>
      </w:r>
      <w:r w:rsidR="00CE6C1E" w:rsidRPr="009D7C92">
        <w:rPr>
          <w:color w:val="auto"/>
        </w:rPr>
        <w:t xml:space="preserve"> edémom a asc</w:t>
      </w:r>
      <w:r w:rsidRPr="009D7C92">
        <w:rPr>
          <w:color w:val="auto"/>
        </w:rPr>
        <w:t xml:space="preserve">itom, pacienti s koronárnou a srdcovou nedostatočnosťou. V tomto prípade totiž </w:t>
      </w:r>
      <w:r w:rsidRPr="009D7C92">
        <w:rPr>
          <w:color w:val="auto"/>
        </w:rPr>
        <w:lastRenderedPageBreak/>
        <w:t xml:space="preserve">hypokaliémia zvyšuje srdcovú toxicitu </w:t>
      </w:r>
      <w:r w:rsidR="00A51E2C" w:rsidRPr="009D7C92">
        <w:rPr>
          <w:color w:val="auto"/>
        </w:rPr>
        <w:t xml:space="preserve">digoxínu </w:t>
      </w:r>
      <w:r w:rsidRPr="009D7C92">
        <w:rPr>
          <w:color w:val="auto"/>
        </w:rPr>
        <w:t>a riziko porúch rytmu.</w:t>
      </w:r>
      <w:r w:rsidRPr="009D7C92">
        <w:rPr>
          <w:color w:val="auto"/>
        </w:rPr>
        <w:br/>
        <w:t>Pacienti s predĺženým intervalom QT na EKG sú tiež vystavení riziku, či už je pôvod vrodený alebo spôsobený liekmi. Hypokaliémia (rovnako ako bradykardia) potom pôsobí ako faktor podporujúci výskyt závažných arytmií, najmä torsades de pointes, potenciálne smrteľných, najmä za prítomnosti bradykardie.</w:t>
      </w:r>
    </w:p>
    <w:p w14:paraId="0F721B0D" w14:textId="11E6BE0F" w:rsidR="006F7C4F" w:rsidRPr="009D7C92" w:rsidRDefault="006F7C4F">
      <w:pPr>
        <w:jc w:val="left"/>
        <w:rPr>
          <w:color w:val="auto"/>
        </w:rPr>
      </w:pPr>
      <w:r w:rsidRPr="009D7C92">
        <w:rPr>
          <w:color w:val="auto"/>
        </w:rPr>
        <w:t>Pred začatím liečby tiazidovými diuretikami sa odporúča normalizácia hypokaliémie a hypomagnez</w:t>
      </w:r>
      <w:r w:rsidR="00A51E2C" w:rsidRPr="009D7C92">
        <w:rPr>
          <w:color w:val="auto"/>
        </w:rPr>
        <w:t>i</w:t>
      </w:r>
      <w:r w:rsidRPr="009D7C92">
        <w:rPr>
          <w:color w:val="auto"/>
        </w:rPr>
        <w:t>émie, ktorá je sprievodná.</w:t>
      </w:r>
    </w:p>
    <w:p w14:paraId="6AA4A365" w14:textId="6447AC63" w:rsidR="009D13C7" w:rsidRDefault="006F7C4F">
      <w:pPr>
        <w:jc w:val="left"/>
        <w:rPr>
          <w:color w:val="auto"/>
        </w:rPr>
      </w:pPr>
      <w:r w:rsidRPr="009D7C92">
        <w:rPr>
          <w:color w:val="auto"/>
        </w:rPr>
        <w:t xml:space="preserve">Prvá kontrola plazmatického draslíka sa musí vykonať počas týždňa nasledujúceho po začiatku liečby. Potom sa odporúča pravidelné monitorovanie hladiny draslíka v sére. U všetkých pacientov užívajúcich tiazidové diuretiká sa má monitorovať rovnováha elektrolytov, najmä rovnováha draslíka. Pri </w:t>
      </w:r>
      <w:r w:rsidR="00A51E2C" w:rsidRPr="009D7C92">
        <w:rPr>
          <w:color w:val="auto"/>
        </w:rPr>
        <w:t xml:space="preserve">dlhodobej </w:t>
      </w:r>
      <w:r w:rsidRPr="009D7C92">
        <w:rPr>
          <w:color w:val="auto"/>
        </w:rPr>
        <w:t>liečbe sa majú na začiatku liečby sled</w:t>
      </w:r>
      <w:r w:rsidR="00FF5198" w:rsidRPr="009D7C92">
        <w:rPr>
          <w:color w:val="auto"/>
        </w:rPr>
        <w:t>ovať hladiny draslíka v sére.</w:t>
      </w:r>
      <w:r w:rsidR="00FF5198" w:rsidRPr="009D7C92">
        <w:rPr>
          <w:color w:val="auto"/>
        </w:rPr>
        <w:cr/>
      </w:r>
    </w:p>
    <w:p w14:paraId="27846BD6" w14:textId="491D5A31" w:rsidR="006F7C4F" w:rsidRPr="009D7C92" w:rsidRDefault="006F7C4F">
      <w:pPr>
        <w:jc w:val="left"/>
        <w:rPr>
          <w:color w:val="auto"/>
        </w:rPr>
      </w:pPr>
      <w:r w:rsidRPr="009D7C92">
        <w:rPr>
          <w:color w:val="auto"/>
        </w:rPr>
        <w:t>Na základe rizikových faktorov sa môže zvážiť kontrola po 3-4 týždňoch. Následne by sa mali odporučiť pravidelné kontroly, najmä u rizikových pacientov.</w:t>
      </w:r>
    </w:p>
    <w:p w14:paraId="1E29A75E" w14:textId="77777777" w:rsidR="006F7C4F" w:rsidRPr="009D7C92" w:rsidRDefault="006F7C4F">
      <w:pPr>
        <w:jc w:val="left"/>
        <w:rPr>
          <w:color w:val="auto"/>
          <w:u w:val="single"/>
        </w:rPr>
      </w:pPr>
    </w:p>
    <w:p w14:paraId="35666BC9" w14:textId="277D497C" w:rsidR="00EB25B2" w:rsidRDefault="006F7C4F">
      <w:pPr>
        <w:jc w:val="left"/>
        <w:rPr>
          <w:color w:val="auto"/>
        </w:rPr>
      </w:pPr>
      <w:r w:rsidRPr="009D7C92">
        <w:rPr>
          <w:color w:val="auto"/>
        </w:rPr>
        <w:t xml:space="preserve">Pred začatím liečby a potom v pravidelných intervaloch by sa mali monitorovať hladiny sodíka v sére. Tiazidové diuretiká môžu spôsobiť hyponatriémiu alebo </w:t>
      </w:r>
      <w:r w:rsidR="00B46615" w:rsidRPr="009D7C92">
        <w:rPr>
          <w:color w:val="auto"/>
        </w:rPr>
        <w:t xml:space="preserve">zhoršiť </w:t>
      </w:r>
      <w:r w:rsidRPr="009D7C92">
        <w:rPr>
          <w:color w:val="auto"/>
        </w:rPr>
        <w:t xml:space="preserve">už existujúcu hyponatriémiu. U </w:t>
      </w:r>
      <w:r w:rsidR="00B46615" w:rsidRPr="009D7C92">
        <w:rPr>
          <w:color w:val="auto"/>
        </w:rPr>
        <w:t xml:space="preserve">osôb </w:t>
      </w:r>
      <w:r w:rsidRPr="009D7C92">
        <w:rPr>
          <w:color w:val="auto"/>
        </w:rPr>
        <w:t>so signifikantným poklesom hladiny sodíka v sére a/alebo výraznou depléciou objemu, ako sa pozorovalo u pacientov užívajúcich vysoké dávky diuretík, sa môže v zriedkavých prípadoch po začatí liečby hydrochlorotiazidom vyskytnúť symptomatická hypotenzia.</w:t>
      </w:r>
    </w:p>
    <w:p w14:paraId="3541C5E0" w14:textId="0C78D6F8" w:rsidR="00EB25B2" w:rsidRDefault="006F7C4F">
      <w:pPr>
        <w:jc w:val="left"/>
        <w:rPr>
          <w:color w:val="auto"/>
        </w:rPr>
      </w:pPr>
      <w:r w:rsidRPr="009D7C92">
        <w:rPr>
          <w:color w:val="auto"/>
        </w:rPr>
        <w:t xml:space="preserve">Pokles plazmatického sodíka môže byť spočiatku asymptomatický, preto je nevyhnutné pravidelné monitorovanie a malo by byť ešte častejšie </w:t>
      </w:r>
      <w:r w:rsidR="00DA3A23" w:rsidRPr="009D7C92">
        <w:rPr>
          <w:color w:val="auto"/>
        </w:rPr>
        <w:t>pri</w:t>
      </w:r>
      <w:r w:rsidR="00836527" w:rsidRPr="009D7C92">
        <w:rPr>
          <w:color w:val="auto"/>
        </w:rPr>
        <w:t> rizikov</w:t>
      </w:r>
      <w:r w:rsidR="00DA3A23" w:rsidRPr="009D7C92">
        <w:rPr>
          <w:color w:val="auto"/>
        </w:rPr>
        <w:t>ých</w:t>
      </w:r>
      <w:r w:rsidR="00836527" w:rsidRPr="009D7C92">
        <w:rPr>
          <w:color w:val="auto"/>
        </w:rPr>
        <w:t xml:space="preserve"> </w:t>
      </w:r>
      <w:r w:rsidRPr="009D7C92">
        <w:rPr>
          <w:color w:val="auto"/>
        </w:rPr>
        <w:t>populáci</w:t>
      </w:r>
      <w:r w:rsidR="00DA3A23" w:rsidRPr="009D7C92">
        <w:rPr>
          <w:color w:val="auto"/>
        </w:rPr>
        <w:t>ách</w:t>
      </w:r>
      <w:r w:rsidRPr="009D7C92">
        <w:rPr>
          <w:color w:val="auto"/>
        </w:rPr>
        <w:t xml:space="preserve">, ktoré predstavujú starší pacienti a </w:t>
      </w:r>
      <w:r w:rsidR="00B46615" w:rsidRPr="009D7C92">
        <w:rPr>
          <w:color w:val="auto"/>
        </w:rPr>
        <w:t>osobitne</w:t>
      </w:r>
      <w:r w:rsidRPr="009D7C92">
        <w:rPr>
          <w:color w:val="auto"/>
        </w:rPr>
        <w:t xml:space="preserve"> u </w:t>
      </w:r>
      <w:r w:rsidR="00B46615" w:rsidRPr="009D7C92">
        <w:rPr>
          <w:color w:val="auto"/>
        </w:rPr>
        <w:t xml:space="preserve">pacientov s podvýživou a cirhózou </w:t>
      </w:r>
      <w:r w:rsidRPr="009D7C92">
        <w:rPr>
          <w:color w:val="auto"/>
        </w:rPr>
        <w:t>(pozri časti 4.8 a 4.9).</w:t>
      </w:r>
    </w:p>
    <w:p w14:paraId="79F65935" w14:textId="77777777" w:rsidR="00D044A7" w:rsidRPr="009D7C92" w:rsidRDefault="00D044A7">
      <w:pPr>
        <w:jc w:val="left"/>
        <w:rPr>
          <w:strike/>
          <w:color w:val="auto"/>
        </w:rPr>
      </w:pPr>
    </w:p>
    <w:p w14:paraId="7AC93E10" w14:textId="7A73015A" w:rsidR="006F7C4F" w:rsidRPr="009D7C92" w:rsidRDefault="006F7C4F">
      <w:pPr>
        <w:jc w:val="left"/>
        <w:rPr>
          <w:color w:val="auto"/>
          <w:u w:val="single"/>
        </w:rPr>
      </w:pPr>
      <w:r w:rsidRPr="009D7C92">
        <w:rPr>
          <w:color w:val="auto"/>
        </w:rPr>
        <w:t>Pozorované boli izolované prípady hyponatr</w:t>
      </w:r>
      <w:r w:rsidR="00B46615" w:rsidRPr="009D7C92">
        <w:rPr>
          <w:color w:val="auto"/>
        </w:rPr>
        <w:t>i</w:t>
      </w:r>
      <w:r w:rsidRPr="009D7C92">
        <w:rPr>
          <w:color w:val="auto"/>
        </w:rPr>
        <w:t>émie sprevádzané neurologickými príznakmi (nauzea, progresívna dezorientácia, apatia). Tiazidy sa majú používať len po normalizácii akéhokoľvek objemu a/alebo existujúceho objemu krvi. V opačnom prípade sa má liečba začať pod prísnym lekárskym dohľadom.</w:t>
      </w:r>
    </w:p>
    <w:p w14:paraId="155ED6BD" w14:textId="77777777" w:rsidR="006F7C4F" w:rsidRPr="009D7C92" w:rsidRDefault="006F7C4F">
      <w:pPr>
        <w:jc w:val="left"/>
        <w:rPr>
          <w:color w:val="auto"/>
        </w:rPr>
      </w:pPr>
      <w:r w:rsidRPr="009D7C92">
        <w:rPr>
          <w:color w:val="auto"/>
        </w:rPr>
        <w:t>Všetci pacienti užívajúci tiazidové diuretiká by sa mali pravidelne monitorovať z hľadiska nerovnováhy elektrolytov, najmä draslíka, sodíka a horčíka.</w:t>
      </w:r>
    </w:p>
    <w:p w14:paraId="7260CBED" w14:textId="77777777" w:rsidR="001F7C3C" w:rsidRPr="009D7C92" w:rsidRDefault="001F7C3C">
      <w:pPr>
        <w:jc w:val="left"/>
        <w:rPr>
          <w:i/>
          <w:color w:val="auto"/>
          <w:u w:val="single"/>
        </w:rPr>
      </w:pPr>
    </w:p>
    <w:p w14:paraId="067C36F1" w14:textId="77777777" w:rsidR="00326E33" w:rsidRPr="009D7C92" w:rsidRDefault="00326E33">
      <w:pPr>
        <w:jc w:val="left"/>
        <w:rPr>
          <w:i/>
          <w:color w:val="auto"/>
          <w:u w:val="single"/>
        </w:rPr>
      </w:pPr>
      <w:bookmarkStart w:id="4" w:name="_Hlk529962601"/>
      <w:r w:rsidRPr="009D7C92">
        <w:rPr>
          <w:i/>
          <w:color w:val="auto"/>
          <w:u w:val="single"/>
        </w:rPr>
        <w:t>Nemelanómová rakovina kože</w:t>
      </w:r>
    </w:p>
    <w:p w14:paraId="66546822" w14:textId="6A5F9715" w:rsidR="00326E33" w:rsidRPr="009D7C92" w:rsidRDefault="00326E33">
      <w:pPr>
        <w:jc w:val="left"/>
        <w:rPr>
          <w:color w:val="auto"/>
        </w:rPr>
      </w:pPr>
      <w:r w:rsidRPr="009D7C92">
        <w:rPr>
          <w:color w:val="auto"/>
        </w:rPr>
        <w:t>Zvýšené riziko nemelanómovej rakoviny kože (NMSC) [</w:t>
      </w:r>
      <w:r w:rsidR="00641821" w:rsidRPr="009D7C92">
        <w:rPr>
          <w:color w:val="auto"/>
        </w:rPr>
        <w:t xml:space="preserve">bazocelulárny </w:t>
      </w:r>
      <w:r w:rsidRPr="009D7C92">
        <w:rPr>
          <w:color w:val="auto"/>
        </w:rPr>
        <w:t>karcinóm</w:t>
      </w:r>
      <w:r w:rsidR="00CF4610" w:rsidRPr="009D7C92">
        <w:rPr>
          <w:color w:val="auto"/>
        </w:rPr>
        <w:t>, basal cell carcinoma</w:t>
      </w:r>
      <w:r w:rsidRPr="009D7C92">
        <w:rPr>
          <w:color w:val="auto"/>
        </w:rPr>
        <w:t xml:space="preserve"> (BCC) a </w:t>
      </w:r>
      <w:r w:rsidR="00641821" w:rsidRPr="009D7C92">
        <w:rPr>
          <w:color w:val="auto"/>
        </w:rPr>
        <w:t>skvamo</w:t>
      </w:r>
      <w:r w:rsidRPr="009D7C92">
        <w:rPr>
          <w:color w:val="auto"/>
        </w:rPr>
        <w:t>celulárny karcinóm</w:t>
      </w:r>
      <w:r w:rsidR="00CF4610" w:rsidRPr="009D7C92">
        <w:rPr>
          <w:color w:val="auto"/>
        </w:rPr>
        <w:t>, squamous cell carcinoma</w:t>
      </w:r>
      <w:r w:rsidRPr="009D7C92">
        <w:rPr>
          <w:color w:val="auto"/>
        </w:rPr>
        <w:t xml:space="preserve"> (SCC)] so zvyšujúcou sa kumulatívnou dávkou hydrochlorotiazidu (HCTZ) sa pozorovalo v dvoch epidemiologických štúdiách na základe dánskeho národného registra rakovin</w:t>
      </w:r>
      <w:r w:rsidR="00D45706" w:rsidRPr="009D7C92">
        <w:rPr>
          <w:color w:val="auto"/>
        </w:rPr>
        <w:t>ových ochorení</w:t>
      </w:r>
      <w:r w:rsidRPr="009D7C92">
        <w:rPr>
          <w:color w:val="auto"/>
        </w:rPr>
        <w:t>. Fotosenzibilizačné účinky HCTZ by mohli pôsobiť ako možný mechanizmus pre NMSC.</w:t>
      </w:r>
    </w:p>
    <w:p w14:paraId="4F2BBD1D" w14:textId="703401BA" w:rsidR="00326E33" w:rsidRPr="009D7C92" w:rsidRDefault="00326E33">
      <w:pPr>
        <w:jc w:val="left"/>
        <w:rPr>
          <w:color w:val="auto"/>
        </w:rPr>
      </w:pPr>
      <w:r w:rsidRPr="009D7C92">
        <w:rPr>
          <w:color w:val="auto"/>
        </w:rPr>
        <w:t xml:space="preserve">Pacienti užívajúci HCTZ by mali byť informovaní o riziku NMSC a mali by byť poučení o tom, aby si pravidelne kontrolovali kožu, či sa nevyskytujú nové lézie a okamžite hlásili akékoľvek podozrivé kožné lézie. Možné preventívne opatrenia, ako napríklad obmedzené vystavovanie sa slnečnému žiareniu a UV žiareniu, </w:t>
      </w:r>
      <w:r w:rsidR="00836527" w:rsidRPr="009D7C92">
        <w:rPr>
          <w:color w:val="auto"/>
        </w:rPr>
        <w:t xml:space="preserve">a v prípade expozície by sa mala </w:t>
      </w:r>
      <w:r w:rsidRPr="009D7C92">
        <w:rPr>
          <w:color w:val="auto"/>
        </w:rPr>
        <w:t xml:space="preserve">pacientom odporučiť primeraná ochrana, aby sa minimalizovalo riziko rakoviny kože. Podozrivé kožné lézie by mali byť okamžite vyšetrené, vrátane histologických vyšetrení biopsií. Užívanie HCTZ môže byť potrebné prehodnotiť aj u pacientov, u ktorých </w:t>
      </w:r>
      <w:r w:rsidR="00D45706" w:rsidRPr="009D7C92">
        <w:rPr>
          <w:color w:val="auto"/>
        </w:rPr>
        <w:t xml:space="preserve">už </w:t>
      </w:r>
      <w:r w:rsidRPr="009D7C92">
        <w:rPr>
          <w:color w:val="auto"/>
        </w:rPr>
        <w:t>došlo k NMSC (pozri tiež časť 4.8).</w:t>
      </w:r>
    </w:p>
    <w:bookmarkEnd w:id="4"/>
    <w:p w14:paraId="5C02D66D" w14:textId="77777777" w:rsidR="00326E33" w:rsidRPr="009D7C92" w:rsidRDefault="00326E33">
      <w:pPr>
        <w:jc w:val="left"/>
        <w:rPr>
          <w:i/>
          <w:color w:val="auto"/>
          <w:u w:val="single"/>
        </w:rPr>
      </w:pPr>
    </w:p>
    <w:p w14:paraId="375103A2" w14:textId="12DB8F0F" w:rsidR="00EB25B2" w:rsidRDefault="00323CDC">
      <w:pPr>
        <w:jc w:val="left"/>
        <w:rPr>
          <w:i/>
          <w:color w:val="auto"/>
          <w:u w:val="single"/>
        </w:rPr>
      </w:pPr>
      <w:r w:rsidRPr="009D7C92">
        <w:rPr>
          <w:i/>
          <w:color w:val="auto"/>
          <w:u w:val="single"/>
        </w:rPr>
        <w:t>Neutropénia/agranulocytóza</w:t>
      </w:r>
    </w:p>
    <w:p w14:paraId="3A052EDA" w14:textId="0C0BF750" w:rsidR="00EB25B2" w:rsidRDefault="00323CDC">
      <w:pPr>
        <w:jc w:val="left"/>
        <w:rPr>
          <w:color w:val="auto"/>
        </w:rPr>
      </w:pPr>
      <w:r w:rsidRPr="009D7C92">
        <w:rPr>
          <w:color w:val="auto"/>
        </w:rPr>
        <w:t>Zriedkavo sa pozorovala neutropénia/agranulocytóza, ako aj trombocytopénia a anémia a tiež bol zazname</w:t>
      </w:r>
      <w:r w:rsidR="00A74938" w:rsidRPr="009D7C92">
        <w:rPr>
          <w:color w:val="auto"/>
        </w:rPr>
        <w:t>naný</w:t>
      </w:r>
      <w:r w:rsidRPr="009D7C92">
        <w:rPr>
          <w:color w:val="auto"/>
        </w:rPr>
        <w:t xml:space="preserve"> </w:t>
      </w:r>
      <w:r w:rsidR="00A74938" w:rsidRPr="009D7C92">
        <w:rPr>
          <w:color w:val="auto"/>
        </w:rPr>
        <w:t>útlm</w:t>
      </w:r>
      <w:r w:rsidRPr="009D7C92">
        <w:rPr>
          <w:color w:val="auto"/>
        </w:rPr>
        <w:t xml:space="preserve"> kostnej drene. Odporúča sa sledovať počet bielych krviniek, aby sa </w:t>
      </w:r>
      <w:r w:rsidR="00FF5198" w:rsidRPr="009D7C92">
        <w:rPr>
          <w:color w:val="auto"/>
        </w:rPr>
        <w:t>umožnila detekcia možnej leukop</w:t>
      </w:r>
      <w:r w:rsidRPr="009D7C92">
        <w:rPr>
          <w:color w:val="auto"/>
        </w:rPr>
        <w:t xml:space="preserve">énie. Častejšie sledovanie sa odporúča v </w:t>
      </w:r>
      <w:r w:rsidR="00D176C8" w:rsidRPr="009D7C92">
        <w:rPr>
          <w:color w:val="auto"/>
        </w:rPr>
        <w:t>za</w:t>
      </w:r>
      <w:r w:rsidRPr="009D7C92">
        <w:rPr>
          <w:color w:val="auto"/>
        </w:rPr>
        <w:t>čiatočnej fáze liečby a u pacientov s po</w:t>
      </w:r>
      <w:r w:rsidR="00D176C8" w:rsidRPr="009D7C92">
        <w:rPr>
          <w:color w:val="auto"/>
        </w:rPr>
        <w:t>ruchou</w:t>
      </w:r>
      <w:r w:rsidRPr="009D7C92">
        <w:rPr>
          <w:color w:val="auto"/>
        </w:rPr>
        <w:t xml:space="preserve"> funkci</w:t>
      </w:r>
      <w:r w:rsidR="00D176C8" w:rsidRPr="009D7C92">
        <w:rPr>
          <w:color w:val="auto"/>
        </w:rPr>
        <w:t>e</w:t>
      </w:r>
      <w:r w:rsidRPr="009D7C92">
        <w:rPr>
          <w:color w:val="auto"/>
        </w:rPr>
        <w:t xml:space="preserve"> obličiek, pacientov so sprievodným kolagén</w:t>
      </w:r>
      <w:r w:rsidR="00A74938" w:rsidRPr="009D7C92">
        <w:rPr>
          <w:color w:val="auto"/>
        </w:rPr>
        <w:t xml:space="preserve">ovými ochoreniami </w:t>
      </w:r>
      <w:r w:rsidRPr="009D7C92">
        <w:rPr>
          <w:color w:val="auto"/>
        </w:rPr>
        <w:t xml:space="preserve">(napr. </w:t>
      </w:r>
      <w:r w:rsidR="00A74938" w:rsidRPr="009D7C92">
        <w:rPr>
          <w:color w:val="auto"/>
        </w:rPr>
        <w:t>l</w:t>
      </w:r>
      <w:r w:rsidRPr="009D7C92">
        <w:rPr>
          <w:color w:val="auto"/>
        </w:rPr>
        <w:t>upus erythematosus alebo sklerodermia) a všetkých pacientov liečených inými liekmi, ktoré môžu spôsobiť zmeny krvného obrazu (pozri časti 4.5 a 4.8).</w:t>
      </w:r>
    </w:p>
    <w:p w14:paraId="5411D72B" w14:textId="4C63B508" w:rsidR="00323CDC" w:rsidRPr="009D7C92" w:rsidRDefault="00323CDC">
      <w:pPr>
        <w:jc w:val="left"/>
        <w:rPr>
          <w:color w:val="auto"/>
        </w:rPr>
      </w:pPr>
    </w:p>
    <w:p w14:paraId="73E3223B" w14:textId="421B68C4" w:rsidR="00EB25B2" w:rsidRDefault="00323CDC">
      <w:pPr>
        <w:jc w:val="left"/>
        <w:rPr>
          <w:i/>
          <w:color w:val="auto"/>
          <w:u w:val="single"/>
        </w:rPr>
      </w:pPr>
      <w:r w:rsidRPr="009D7C92">
        <w:rPr>
          <w:i/>
          <w:color w:val="auto"/>
          <w:u w:val="single"/>
        </w:rPr>
        <w:t>Etnické rozdiely</w:t>
      </w:r>
    </w:p>
    <w:p w14:paraId="6BA524BF" w14:textId="79899045" w:rsidR="00EB25B2" w:rsidRDefault="00A74938">
      <w:pPr>
        <w:jc w:val="left"/>
        <w:rPr>
          <w:color w:val="auto"/>
        </w:rPr>
      </w:pPr>
      <w:r w:rsidRPr="009D7C92">
        <w:rPr>
          <w:color w:val="auto"/>
        </w:rPr>
        <w:lastRenderedPageBreak/>
        <w:t>I</w:t>
      </w:r>
      <w:r w:rsidR="00323CDC" w:rsidRPr="009D7C92">
        <w:rPr>
          <w:color w:val="auto"/>
        </w:rPr>
        <w:t xml:space="preserve">nhibítory </w:t>
      </w:r>
      <w:r w:rsidRPr="009D7C92">
        <w:rPr>
          <w:color w:val="auto"/>
        </w:rPr>
        <w:t xml:space="preserve">ACE </w:t>
      </w:r>
      <w:r w:rsidR="00323CDC" w:rsidRPr="009D7C92">
        <w:rPr>
          <w:color w:val="auto"/>
        </w:rPr>
        <w:t>spôsobujú vyšší výskyt angioedému u</w:t>
      </w:r>
      <w:r w:rsidR="00D176C8" w:rsidRPr="009D7C92">
        <w:rPr>
          <w:color w:val="auto"/>
        </w:rPr>
        <w:t> </w:t>
      </w:r>
      <w:r w:rsidR="00323CDC" w:rsidRPr="009D7C92">
        <w:rPr>
          <w:color w:val="auto"/>
        </w:rPr>
        <w:t>pacientov</w:t>
      </w:r>
      <w:r w:rsidR="00D176C8" w:rsidRPr="009D7C92">
        <w:rPr>
          <w:color w:val="auto"/>
        </w:rPr>
        <w:t xml:space="preserve"> čiernej </w:t>
      </w:r>
      <w:r w:rsidRPr="009D7C92">
        <w:rPr>
          <w:color w:val="auto"/>
        </w:rPr>
        <w:t>rasy</w:t>
      </w:r>
      <w:r w:rsidR="00A57FF5" w:rsidRPr="009D7C92">
        <w:rPr>
          <w:color w:val="auto"/>
        </w:rPr>
        <w:t xml:space="preserve"> </w:t>
      </w:r>
      <w:r w:rsidR="00323CDC" w:rsidRPr="009D7C92">
        <w:rPr>
          <w:color w:val="auto"/>
        </w:rPr>
        <w:t xml:space="preserve">ako u </w:t>
      </w:r>
      <w:r w:rsidR="00F25537" w:rsidRPr="009D7C92">
        <w:rPr>
          <w:color w:val="auto"/>
        </w:rPr>
        <w:t>iných pacientov</w:t>
      </w:r>
      <w:r w:rsidR="00D176C8" w:rsidRPr="009D7C92">
        <w:rPr>
          <w:color w:val="auto"/>
        </w:rPr>
        <w:t>.</w:t>
      </w:r>
      <w:r w:rsidR="00323CDC" w:rsidRPr="009D7C92">
        <w:rPr>
          <w:color w:val="auto"/>
        </w:rPr>
        <w:t xml:space="preserve"> Tak ako iné inhibítory</w:t>
      </w:r>
      <w:r w:rsidR="00F25537" w:rsidRPr="009D7C92">
        <w:rPr>
          <w:color w:val="auto"/>
        </w:rPr>
        <w:t xml:space="preserve"> ACE</w:t>
      </w:r>
      <w:r w:rsidR="00323CDC" w:rsidRPr="009D7C92">
        <w:rPr>
          <w:color w:val="auto"/>
        </w:rPr>
        <w:t xml:space="preserve">, ramipril môže byť menej účinný </w:t>
      </w:r>
      <w:r w:rsidR="00FA2269" w:rsidRPr="009D7C92">
        <w:rPr>
          <w:color w:val="auto"/>
        </w:rPr>
        <w:t>v</w:t>
      </w:r>
      <w:r w:rsidR="00323CDC" w:rsidRPr="009D7C92">
        <w:rPr>
          <w:color w:val="auto"/>
        </w:rPr>
        <w:t xml:space="preserve"> znižovaní krvného tlaku u pacientov </w:t>
      </w:r>
      <w:r w:rsidR="00D176C8" w:rsidRPr="009D7C92">
        <w:rPr>
          <w:color w:val="auto"/>
        </w:rPr>
        <w:t xml:space="preserve">čiernej </w:t>
      </w:r>
      <w:r w:rsidR="00F25537" w:rsidRPr="009D7C92">
        <w:rPr>
          <w:color w:val="auto"/>
        </w:rPr>
        <w:t>rasy</w:t>
      </w:r>
      <w:r w:rsidR="00D176C8" w:rsidRPr="009D7C92">
        <w:rPr>
          <w:color w:val="auto"/>
        </w:rPr>
        <w:t xml:space="preserve"> </w:t>
      </w:r>
      <w:r w:rsidR="00323CDC" w:rsidRPr="009D7C92">
        <w:rPr>
          <w:color w:val="auto"/>
        </w:rPr>
        <w:t>ako u</w:t>
      </w:r>
      <w:r w:rsidR="00F25537" w:rsidRPr="009D7C92">
        <w:rPr>
          <w:color w:val="auto"/>
        </w:rPr>
        <w:t xml:space="preserve"> iných </w:t>
      </w:r>
      <w:r w:rsidR="00A57FF5" w:rsidRPr="009D7C92">
        <w:rPr>
          <w:color w:val="auto"/>
        </w:rPr>
        <w:t xml:space="preserve">pacientov, </w:t>
      </w:r>
      <w:r w:rsidR="00323CDC" w:rsidRPr="009D7C92">
        <w:rPr>
          <w:color w:val="auto"/>
        </w:rPr>
        <w:t xml:space="preserve">pravdepodobne kvôli vyššej </w:t>
      </w:r>
      <w:r w:rsidR="00F25537" w:rsidRPr="009D7C92">
        <w:rPr>
          <w:color w:val="auto"/>
        </w:rPr>
        <w:t>prevalencii hypertenzie s nízkou hladinou renínu u pacientov čiernej rasy.</w:t>
      </w:r>
    </w:p>
    <w:p w14:paraId="3B2B3AA1" w14:textId="724EF0A4" w:rsidR="00323CDC" w:rsidRPr="009D7C92" w:rsidRDefault="00323CDC">
      <w:pPr>
        <w:jc w:val="left"/>
        <w:rPr>
          <w:color w:val="auto"/>
        </w:rPr>
      </w:pPr>
    </w:p>
    <w:p w14:paraId="397FA235" w14:textId="2D708DCB" w:rsidR="00EB25B2" w:rsidRDefault="00323CDC">
      <w:pPr>
        <w:jc w:val="left"/>
        <w:rPr>
          <w:i/>
          <w:color w:val="auto"/>
          <w:u w:val="single"/>
        </w:rPr>
      </w:pPr>
      <w:r w:rsidRPr="009D7C92">
        <w:rPr>
          <w:i/>
          <w:color w:val="auto"/>
          <w:u w:val="single"/>
        </w:rPr>
        <w:t>Kašeľ</w:t>
      </w:r>
    </w:p>
    <w:p w14:paraId="707E979A" w14:textId="51FC7FC8" w:rsidR="00EB25B2" w:rsidRDefault="00323CDC">
      <w:pPr>
        <w:jc w:val="left"/>
        <w:rPr>
          <w:color w:val="auto"/>
        </w:rPr>
      </w:pPr>
      <w:r w:rsidRPr="009D7C92">
        <w:rPr>
          <w:color w:val="auto"/>
        </w:rPr>
        <w:t xml:space="preserve">Pri používaní inhibítorov </w:t>
      </w:r>
      <w:r w:rsidR="00F25537" w:rsidRPr="009D7C92">
        <w:rPr>
          <w:color w:val="auto"/>
        </w:rPr>
        <w:t xml:space="preserve">ACE </w:t>
      </w:r>
      <w:r w:rsidRPr="009D7C92">
        <w:rPr>
          <w:color w:val="auto"/>
        </w:rPr>
        <w:t>bol hlásený kašeľ. Charakteri</w:t>
      </w:r>
      <w:r w:rsidR="00D176C8" w:rsidRPr="009D7C92">
        <w:rPr>
          <w:color w:val="auto"/>
        </w:rPr>
        <w:t>sti</w:t>
      </w:r>
      <w:r w:rsidRPr="009D7C92">
        <w:rPr>
          <w:color w:val="auto"/>
        </w:rPr>
        <w:t xml:space="preserve">cky je kašeľ neproduktívny, pretrvávajúci a ustupujúci po prerušení liečby. Kašeľ vyvolaný inhibítorom </w:t>
      </w:r>
      <w:r w:rsidR="00F25537" w:rsidRPr="009D7C92">
        <w:rPr>
          <w:color w:val="auto"/>
        </w:rPr>
        <w:t xml:space="preserve">ACE </w:t>
      </w:r>
      <w:r w:rsidRPr="009D7C92">
        <w:rPr>
          <w:color w:val="auto"/>
        </w:rPr>
        <w:t>by sa mal považovať za súčasť diferenciálnej diagnostiky kašľa.</w:t>
      </w:r>
    </w:p>
    <w:p w14:paraId="5F4E7B54" w14:textId="1A68D617" w:rsidR="00323CDC" w:rsidRPr="009D7C92" w:rsidRDefault="00323CDC">
      <w:pPr>
        <w:jc w:val="left"/>
        <w:rPr>
          <w:iCs/>
          <w:color w:val="auto"/>
          <w:u w:val="single"/>
        </w:rPr>
      </w:pPr>
    </w:p>
    <w:p w14:paraId="60DE1FBA" w14:textId="77777777" w:rsidR="00323CDC" w:rsidRPr="009D7C92" w:rsidRDefault="00323CDC">
      <w:pPr>
        <w:jc w:val="left"/>
        <w:rPr>
          <w:i/>
          <w:iCs/>
          <w:color w:val="auto"/>
          <w:u w:val="single"/>
        </w:rPr>
      </w:pPr>
      <w:r w:rsidRPr="009D7C92">
        <w:rPr>
          <w:i/>
          <w:iCs/>
          <w:color w:val="auto"/>
          <w:u w:val="single"/>
        </w:rPr>
        <w:t>Fotosenzitivita</w:t>
      </w:r>
    </w:p>
    <w:p w14:paraId="44741715" w14:textId="77777777" w:rsidR="00323CDC" w:rsidRPr="009D7C92" w:rsidRDefault="00323CDC">
      <w:pPr>
        <w:jc w:val="left"/>
        <w:rPr>
          <w:iCs/>
          <w:color w:val="auto"/>
        </w:rPr>
      </w:pPr>
      <w:r w:rsidRPr="009D7C92">
        <w:rPr>
          <w:iCs/>
          <w:color w:val="auto"/>
        </w:rPr>
        <w:t>Pri použití tiazidových diuretík boli hlásené prípady fotosenzitívnych reakcií (pozri časť 4.8).</w:t>
      </w:r>
    </w:p>
    <w:p w14:paraId="34A66BC7" w14:textId="416FE7D4" w:rsidR="00323CDC" w:rsidRPr="009D7C92" w:rsidRDefault="00323CDC">
      <w:pPr>
        <w:jc w:val="left"/>
        <w:rPr>
          <w:iCs/>
          <w:color w:val="auto"/>
        </w:rPr>
      </w:pPr>
      <w:r w:rsidRPr="009D7C92">
        <w:rPr>
          <w:iCs/>
          <w:color w:val="auto"/>
        </w:rPr>
        <w:t>V prípade výskytu fotosenzitívnej reakcie p</w:t>
      </w:r>
      <w:r w:rsidR="00F25537" w:rsidRPr="009D7C92">
        <w:rPr>
          <w:iCs/>
          <w:color w:val="auto"/>
        </w:rPr>
        <w:t>očas</w:t>
      </w:r>
      <w:r w:rsidRPr="009D7C92">
        <w:rPr>
          <w:iCs/>
          <w:color w:val="auto"/>
        </w:rPr>
        <w:t xml:space="preserve"> liečb</w:t>
      </w:r>
      <w:r w:rsidR="00F25537" w:rsidRPr="009D7C92">
        <w:rPr>
          <w:iCs/>
          <w:color w:val="auto"/>
        </w:rPr>
        <w:t>y</w:t>
      </w:r>
      <w:r w:rsidRPr="009D7C92">
        <w:rPr>
          <w:iCs/>
          <w:color w:val="auto"/>
        </w:rPr>
        <w:t xml:space="preserve"> sa odporúča </w:t>
      </w:r>
      <w:r w:rsidR="00F25537" w:rsidRPr="009D7C92">
        <w:rPr>
          <w:iCs/>
          <w:color w:val="auto"/>
        </w:rPr>
        <w:t xml:space="preserve">liečbu </w:t>
      </w:r>
      <w:r w:rsidRPr="009D7C92">
        <w:rPr>
          <w:iCs/>
          <w:color w:val="auto"/>
        </w:rPr>
        <w:t>prerušiť</w:t>
      </w:r>
      <w:r w:rsidR="00F25537" w:rsidRPr="009D7C92">
        <w:rPr>
          <w:iCs/>
          <w:color w:val="auto"/>
        </w:rPr>
        <w:t>.</w:t>
      </w:r>
      <w:r w:rsidRPr="009D7C92">
        <w:rPr>
          <w:iCs/>
          <w:color w:val="auto"/>
        </w:rPr>
        <w:t xml:space="preserve"> Ak je nevyhnutné opätovné podanie liečby, odporúča sa chrániť oblasti vystavené </w:t>
      </w:r>
      <w:r w:rsidR="00F25537" w:rsidRPr="009D7C92">
        <w:rPr>
          <w:iCs/>
          <w:color w:val="auto"/>
        </w:rPr>
        <w:t xml:space="preserve">pôsobeniu </w:t>
      </w:r>
      <w:r w:rsidRPr="009D7C92">
        <w:rPr>
          <w:iCs/>
          <w:color w:val="auto"/>
        </w:rPr>
        <w:t>slnk</w:t>
      </w:r>
      <w:r w:rsidR="00F25537" w:rsidRPr="009D7C92">
        <w:rPr>
          <w:iCs/>
          <w:color w:val="auto"/>
        </w:rPr>
        <w:t>a</w:t>
      </w:r>
      <w:r w:rsidRPr="009D7C92">
        <w:rPr>
          <w:iCs/>
          <w:color w:val="auto"/>
        </w:rPr>
        <w:t xml:space="preserve"> alebo umelému UVA.</w:t>
      </w:r>
    </w:p>
    <w:p w14:paraId="6F818164" w14:textId="77777777" w:rsidR="00323CDC" w:rsidRPr="009D7C92" w:rsidRDefault="00323CDC">
      <w:pPr>
        <w:jc w:val="left"/>
        <w:rPr>
          <w:iCs/>
          <w:color w:val="auto"/>
        </w:rPr>
      </w:pPr>
    </w:p>
    <w:p w14:paraId="438AF2AB" w14:textId="2CAD4EA6" w:rsidR="00EB25B2" w:rsidRDefault="00112A17">
      <w:pPr>
        <w:jc w:val="left"/>
        <w:rPr>
          <w:i/>
          <w:iCs/>
          <w:color w:val="auto"/>
          <w:u w:val="single"/>
        </w:rPr>
      </w:pPr>
      <w:r w:rsidRPr="00112A17">
        <w:rPr>
          <w:i/>
          <w:iCs/>
          <w:color w:val="auto"/>
          <w:u w:val="single"/>
        </w:rPr>
        <w:t>Choroidálna efúzia</w:t>
      </w:r>
      <w:r>
        <w:rPr>
          <w:i/>
          <w:iCs/>
          <w:color w:val="auto"/>
          <w:u w:val="single"/>
        </w:rPr>
        <w:t>, a</w:t>
      </w:r>
      <w:r w:rsidR="00323CDC" w:rsidRPr="009D7C92">
        <w:rPr>
          <w:i/>
          <w:iCs/>
          <w:color w:val="auto"/>
          <w:u w:val="single"/>
        </w:rPr>
        <w:t>kútna myopia a glaukóm s uzavretým uhlom</w:t>
      </w:r>
    </w:p>
    <w:p w14:paraId="7EDF1EC8" w14:textId="370AB730" w:rsidR="00323CDC" w:rsidRPr="009D7C92" w:rsidRDefault="00F25537">
      <w:pPr>
        <w:jc w:val="left"/>
        <w:rPr>
          <w:color w:val="auto"/>
        </w:rPr>
      </w:pPr>
      <w:r w:rsidRPr="009D7C92">
        <w:rPr>
          <w:color w:val="auto"/>
        </w:rPr>
        <w:t>Sulfónamid h</w:t>
      </w:r>
      <w:r w:rsidR="00323CDC" w:rsidRPr="009D7C92">
        <w:rPr>
          <w:color w:val="auto"/>
        </w:rPr>
        <w:t>ydrochlorotiazid môže spôsobiť idiosynkratickú reakciu</w:t>
      </w:r>
      <w:r w:rsidR="00FC447C">
        <w:rPr>
          <w:color w:val="auto"/>
        </w:rPr>
        <w:t xml:space="preserve"> vedúcu</w:t>
      </w:r>
      <w:r w:rsidR="00323CDC" w:rsidRPr="009D7C92">
        <w:rPr>
          <w:color w:val="auto"/>
        </w:rPr>
        <w:t xml:space="preserve"> k </w:t>
      </w:r>
      <w:r w:rsidR="00112A17" w:rsidRPr="00112A17">
        <w:rPr>
          <w:color w:val="auto"/>
        </w:rPr>
        <w:t>choroidálnej efúzii s poruchou zorného poľa</w:t>
      </w:r>
      <w:r w:rsidR="00112A17">
        <w:rPr>
          <w:color w:val="auto"/>
        </w:rPr>
        <w:t xml:space="preserve">, </w:t>
      </w:r>
      <w:r w:rsidR="00323CDC" w:rsidRPr="009D7C92">
        <w:rPr>
          <w:color w:val="auto"/>
        </w:rPr>
        <w:t xml:space="preserve">akútnej prechodnej krátkozrakosti a akútnemu glaukómu s uzavretým uhlom. Symptómy zahŕňajú akútny nástup zníženej zrakovej ostrosti alebo bolesti </w:t>
      </w:r>
      <w:r w:rsidR="00F72BC6">
        <w:rPr>
          <w:color w:val="auto"/>
        </w:rPr>
        <w:t xml:space="preserve">oka </w:t>
      </w:r>
      <w:r w:rsidR="00323CDC" w:rsidRPr="009D7C92">
        <w:rPr>
          <w:color w:val="auto"/>
        </w:rPr>
        <w:t xml:space="preserve">a </w:t>
      </w:r>
      <w:r w:rsidR="00F72BC6">
        <w:rPr>
          <w:color w:val="auto"/>
        </w:rPr>
        <w:t>zvyčajne</w:t>
      </w:r>
      <w:r w:rsidR="00F72BC6" w:rsidRPr="009D7C92">
        <w:rPr>
          <w:color w:val="auto"/>
        </w:rPr>
        <w:t xml:space="preserve"> </w:t>
      </w:r>
      <w:r w:rsidR="00323CDC" w:rsidRPr="009D7C92">
        <w:rPr>
          <w:color w:val="auto"/>
        </w:rPr>
        <w:t>sa vyskytujú v priebehu niekoľkých hodín až týždňov od začatia liečby. Ne</w:t>
      </w:r>
      <w:r w:rsidR="00753828" w:rsidRPr="009D7C92">
        <w:rPr>
          <w:color w:val="auto"/>
        </w:rPr>
        <w:t>liečený</w:t>
      </w:r>
      <w:r w:rsidR="00323CDC" w:rsidRPr="009D7C92">
        <w:rPr>
          <w:color w:val="auto"/>
        </w:rPr>
        <w:t xml:space="preserve"> </w:t>
      </w:r>
      <w:r w:rsidR="00F72BC6">
        <w:rPr>
          <w:color w:val="auto"/>
        </w:rPr>
        <w:t xml:space="preserve">akútny </w:t>
      </w:r>
      <w:r w:rsidR="00323CDC" w:rsidRPr="009D7C92">
        <w:rPr>
          <w:color w:val="auto"/>
        </w:rPr>
        <w:t>glaukóm s uzavretým uhlom môže viesť k trvalej strate zraku. Primárnou liečbou je čo najrýchlejšie vysadiť hydrochlorotiazid. Rizikové faktory vznik</w:t>
      </w:r>
      <w:r w:rsidRPr="009D7C92">
        <w:rPr>
          <w:color w:val="auto"/>
        </w:rPr>
        <w:t>u</w:t>
      </w:r>
      <w:r w:rsidR="00323CDC" w:rsidRPr="009D7C92">
        <w:rPr>
          <w:color w:val="auto"/>
        </w:rPr>
        <w:t xml:space="preserve"> akútneho glaukómu s</w:t>
      </w:r>
      <w:r w:rsidR="00F72BC6">
        <w:rPr>
          <w:color w:val="auto"/>
        </w:rPr>
        <w:t> </w:t>
      </w:r>
      <w:r w:rsidR="00323CDC" w:rsidRPr="009D7C92">
        <w:rPr>
          <w:color w:val="auto"/>
        </w:rPr>
        <w:t>uzavretým uhlom môžu zahŕňať alergiu na sulfónamid</w:t>
      </w:r>
      <w:r w:rsidRPr="009D7C92">
        <w:rPr>
          <w:color w:val="auto"/>
        </w:rPr>
        <w:t>y</w:t>
      </w:r>
      <w:r w:rsidR="00323CDC" w:rsidRPr="009D7C92">
        <w:rPr>
          <w:color w:val="auto"/>
        </w:rPr>
        <w:t xml:space="preserve"> alebo penicilín</w:t>
      </w:r>
      <w:r w:rsidRPr="009D7C92">
        <w:rPr>
          <w:color w:val="auto"/>
        </w:rPr>
        <w:t>y</w:t>
      </w:r>
      <w:r w:rsidR="00323CDC" w:rsidRPr="009D7C92">
        <w:rPr>
          <w:color w:val="auto"/>
        </w:rPr>
        <w:t xml:space="preserve"> v anamnéze.</w:t>
      </w:r>
    </w:p>
    <w:p w14:paraId="50ACC8E7" w14:textId="77777777" w:rsidR="00323CDC" w:rsidRPr="009D7C92" w:rsidRDefault="00323CDC">
      <w:pPr>
        <w:jc w:val="left"/>
        <w:rPr>
          <w:i/>
          <w:iCs/>
          <w:color w:val="auto"/>
        </w:rPr>
      </w:pPr>
    </w:p>
    <w:p w14:paraId="0FA435A4" w14:textId="77777777" w:rsidR="00323CDC" w:rsidRPr="009D7C92" w:rsidRDefault="00323CDC">
      <w:pPr>
        <w:jc w:val="left"/>
        <w:rPr>
          <w:i/>
          <w:color w:val="auto"/>
          <w:u w:val="single"/>
        </w:rPr>
      </w:pPr>
      <w:r w:rsidRPr="009D7C92">
        <w:rPr>
          <w:i/>
          <w:iCs/>
          <w:color w:val="auto"/>
          <w:u w:val="single"/>
        </w:rPr>
        <w:t>Glykémia a lipidémia</w:t>
      </w:r>
    </w:p>
    <w:p w14:paraId="448C708C" w14:textId="4567E7C6" w:rsidR="00EB25B2" w:rsidRDefault="00F25537">
      <w:pPr>
        <w:jc w:val="left"/>
        <w:rPr>
          <w:color w:val="auto"/>
        </w:rPr>
      </w:pPr>
      <w:r w:rsidRPr="009D7C92">
        <w:rPr>
          <w:color w:val="auto"/>
        </w:rPr>
        <w:t xml:space="preserve">Liečba </w:t>
      </w:r>
      <w:r w:rsidR="00323CDC" w:rsidRPr="009D7C92">
        <w:rPr>
          <w:color w:val="auto"/>
        </w:rPr>
        <w:t xml:space="preserve">tiazidmi môže znížiť </w:t>
      </w:r>
      <w:r w:rsidRPr="009D7C92">
        <w:rPr>
          <w:color w:val="auto"/>
        </w:rPr>
        <w:t xml:space="preserve">glukózovú </w:t>
      </w:r>
      <w:r w:rsidR="00323CDC" w:rsidRPr="009D7C92">
        <w:rPr>
          <w:color w:val="auto"/>
        </w:rPr>
        <w:t>toleranciu a zvýšiť hladiny cholesterolu a tri</w:t>
      </w:r>
      <w:r w:rsidRPr="009D7C92">
        <w:rPr>
          <w:color w:val="auto"/>
        </w:rPr>
        <w:t>acylglycerolov</w:t>
      </w:r>
      <w:r w:rsidR="00323CDC" w:rsidRPr="009D7C92">
        <w:rPr>
          <w:color w:val="auto"/>
        </w:rPr>
        <w:t xml:space="preserve"> v sére. U pacientov</w:t>
      </w:r>
      <w:r w:rsidRPr="009D7C92">
        <w:rPr>
          <w:color w:val="auto"/>
        </w:rPr>
        <w:t xml:space="preserve"> s diabetom</w:t>
      </w:r>
      <w:r w:rsidR="00323CDC" w:rsidRPr="009D7C92">
        <w:rPr>
          <w:color w:val="auto"/>
        </w:rPr>
        <w:t xml:space="preserve"> môže byť potrebná úprava dávkovania inzulínu alebo perorálnych antidiabetík.</w:t>
      </w:r>
    </w:p>
    <w:p w14:paraId="0D327E45" w14:textId="77777777" w:rsidR="00323CDC" w:rsidRPr="009D7C92" w:rsidRDefault="00323CDC">
      <w:pPr>
        <w:jc w:val="left"/>
        <w:rPr>
          <w:color w:val="auto"/>
        </w:rPr>
      </w:pPr>
    </w:p>
    <w:p w14:paraId="6522E598" w14:textId="77777777" w:rsidR="00323CDC" w:rsidRPr="009D7C92" w:rsidRDefault="00323CDC">
      <w:pPr>
        <w:jc w:val="left"/>
        <w:rPr>
          <w:i/>
          <w:iCs/>
          <w:color w:val="auto"/>
          <w:u w:val="single"/>
        </w:rPr>
      </w:pPr>
      <w:r w:rsidRPr="009D7C92">
        <w:rPr>
          <w:i/>
          <w:iCs/>
          <w:color w:val="auto"/>
          <w:u w:val="single"/>
        </w:rPr>
        <w:t>Kyselina močová</w:t>
      </w:r>
    </w:p>
    <w:p w14:paraId="06CEF1D5" w14:textId="588887AA" w:rsidR="00323CDC" w:rsidRPr="009D7C92" w:rsidRDefault="00F25537">
      <w:pPr>
        <w:jc w:val="left"/>
        <w:rPr>
          <w:color w:val="auto"/>
        </w:rPr>
      </w:pPr>
      <w:r w:rsidRPr="009D7C92">
        <w:rPr>
          <w:color w:val="auto"/>
        </w:rPr>
        <w:t>P</w:t>
      </w:r>
      <w:r w:rsidR="00323CDC" w:rsidRPr="009D7C92">
        <w:rPr>
          <w:color w:val="auto"/>
        </w:rPr>
        <w:t>odobne ako iné diuretiká</w:t>
      </w:r>
      <w:r w:rsidR="00936AA4" w:rsidRPr="009D7C92">
        <w:rPr>
          <w:color w:val="auto"/>
        </w:rPr>
        <w:t>,</w:t>
      </w:r>
      <w:r w:rsidRPr="009D7C92">
        <w:rPr>
          <w:color w:val="auto"/>
        </w:rPr>
        <w:t xml:space="preserve"> aj hydrochlorotiazid</w:t>
      </w:r>
      <w:r w:rsidR="00323CDC" w:rsidRPr="009D7C92">
        <w:rPr>
          <w:color w:val="auto"/>
        </w:rPr>
        <w:t xml:space="preserve"> môže spôsobiť zvýšenie plazmatických koncentrácií kyseliny močovej, v dôsledku zníženia</w:t>
      </w:r>
      <w:r w:rsidRPr="009D7C92">
        <w:rPr>
          <w:color w:val="auto"/>
        </w:rPr>
        <w:t xml:space="preserve"> jej</w:t>
      </w:r>
      <w:r w:rsidR="00323CDC" w:rsidRPr="009D7C92">
        <w:rPr>
          <w:color w:val="auto"/>
        </w:rPr>
        <w:t xml:space="preserve"> vylučovania moč</w:t>
      </w:r>
      <w:r w:rsidRPr="009D7C92">
        <w:rPr>
          <w:color w:val="auto"/>
        </w:rPr>
        <w:t>om</w:t>
      </w:r>
      <w:r w:rsidR="00323CDC" w:rsidRPr="009D7C92">
        <w:rPr>
          <w:color w:val="auto"/>
        </w:rPr>
        <w:t xml:space="preserve"> a následného </w:t>
      </w:r>
      <w:r w:rsidRPr="009D7C92">
        <w:rPr>
          <w:color w:val="auto"/>
        </w:rPr>
        <w:t xml:space="preserve">vzniku </w:t>
      </w:r>
      <w:r w:rsidR="00323CDC" w:rsidRPr="009D7C92">
        <w:rPr>
          <w:color w:val="auto"/>
        </w:rPr>
        <w:t>hyperurikémie</w:t>
      </w:r>
      <w:r w:rsidR="00BE25A7" w:rsidRPr="009D7C92">
        <w:rPr>
          <w:color w:val="auto"/>
        </w:rPr>
        <w:t>,</w:t>
      </w:r>
      <w:r w:rsidR="00323CDC" w:rsidRPr="009D7C92">
        <w:rPr>
          <w:color w:val="auto"/>
        </w:rPr>
        <w:t xml:space="preserve"> alebo </w:t>
      </w:r>
      <w:r w:rsidRPr="009D7C92">
        <w:rPr>
          <w:color w:val="auto"/>
        </w:rPr>
        <w:t xml:space="preserve">môže </w:t>
      </w:r>
      <w:r w:rsidR="00323CDC" w:rsidRPr="009D7C92">
        <w:rPr>
          <w:color w:val="auto"/>
        </w:rPr>
        <w:t>hyperurikémi</w:t>
      </w:r>
      <w:r w:rsidRPr="009D7C92">
        <w:rPr>
          <w:color w:val="auto"/>
        </w:rPr>
        <w:t>a</w:t>
      </w:r>
      <w:r w:rsidR="00323CDC" w:rsidRPr="009D7C92">
        <w:rPr>
          <w:color w:val="auto"/>
        </w:rPr>
        <w:t xml:space="preserve"> zhoršiť už</w:t>
      </w:r>
      <w:r w:rsidR="00344467" w:rsidRPr="009D7C92">
        <w:rPr>
          <w:color w:val="auto"/>
        </w:rPr>
        <w:t xml:space="preserve"> </w:t>
      </w:r>
      <w:r w:rsidRPr="009D7C92">
        <w:rPr>
          <w:color w:val="auto"/>
        </w:rPr>
        <w:t>prítomné</w:t>
      </w:r>
      <w:r w:rsidR="00323CDC" w:rsidRPr="009D7C92">
        <w:rPr>
          <w:color w:val="auto"/>
        </w:rPr>
        <w:t xml:space="preserve"> záchvaty dny u citlivých pacientov.</w:t>
      </w:r>
    </w:p>
    <w:p w14:paraId="4C202449" w14:textId="347A9480" w:rsidR="00323CDC" w:rsidRPr="009D7C92" w:rsidRDefault="00323CDC">
      <w:pPr>
        <w:jc w:val="left"/>
        <w:rPr>
          <w:color w:val="auto"/>
        </w:rPr>
      </w:pPr>
      <w:r w:rsidRPr="009D7C92">
        <w:rPr>
          <w:color w:val="auto"/>
        </w:rPr>
        <w:t xml:space="preserve">Dávkovanie sa má upraviť podľa </w:t>
      </w:r>
      <w:r w:rsidR="00F25537" w:rsidRPr="009D7C92">
        <w:rPr>
          <w:color w:val="auto"/>
        </w:rPr>
        <w:t xml:space="preserve">plazmatických koncentrácií </w:t>
      </w:r>
      <w:r w:rsidRPr="009D7C92">
        <w:rPr>
          <w:color w:val="auto"/>
        </w:rPr>
        <w:t>kyseliny močovej</w:t>
      </w:r>
      <w:r w:rsidR="00F25537" w:rsidRPr="009D7C92">
        <w:rPr>
          <w:color w:val="auto"/>
        </w:rPr>
        <w:t>.</w:t>
      </w:r>
    </w:p>
    <w:p w14:paraId="081CEF4C" w14:textId="77777777" w:rsidR="00323CDC" w:rsidRPr="009D7C92" w:rsidRDefault="00323CDC">
      <w:pPr>
        <w:jc w:val="left"/>
        <w:rPr>
          <w:color w:val="auto"/>
        </w:rPr>
      </w:pPr>
    </w:p>
    <w:p w14:paraId="5914E3DD" w14:textId="5380B908" w:rsidR="00323CDC" w:rsidRPr="009D7C92" w:rsidRDefault="00BE25A7">
      <w:pPr>
        <w:jc w:val="left"/>
        <w:rPr>
          <w:i/>
          <w:iCs/>
          <w:color w:val="auto"/>
          <w:u w:val="single"/>
        </w:rPr>
      </w:pPr>
      <w:r w:rsidRPr="009D7C92">
        <w:rPr>
          <w:i/>
          <w:iCs/>
          <w:color w:val="auto"/>
          <w:u w:val="single"/>
        </w:rPr>
        <w:t>K</w:t>
      </w:r>
      <w:r w:rsidR="00323CDC" w:rsidRPr="009D7C92">
        <w:rPr>
          <w:i/>
          <w:iCs/>
          <w:color w:val="auto"/>
          <w:u w:val="single"/>
        </w:rPr>
        <w:t>ombinácie</w:t>
      </w:r>
      <w:r w:rsidRPr="009D7C92">
        <w:rPr>
          <w:i/>
          <w:iCs/>
          <w:color w:val="auto"/>
          <w:u w:val="single"/>
        </w:rPr>
        <w:t xml:space="preserve"> antihypertenzív</w:t>
      </w:r>
    </w:p>
    <w:p w14:paraId="11768A67" w14:textId="3BDA11DC" w:rsidR="00323CDC" w:rsidRPr="009D7C92" w:rsidRDefault="00323CDC">
      <w:pPr>
        <w:jc w:val="left"/>
        <w:rPr>
          <w:iCs/>
          <w:color w:val="auto"/>
        </w:rPr>
      </w:pPr>
      <w:r w:rsidRPr="009D7C92">
        <w:rPr>
          <w:iCs/>
          <w:color w:val="auto"/>
        </w:rPr>
        <w:t>Odporúča sa znížiť dávkovanie</w:t>
      </w:r>
      <w:r w:rsidR="00BE25A7" w:rsidRPr="009D7C92">
        <w:rPr>
          <w:iCs/>
          <w:color w:val="auto"/>
        </w:rPr>
        <w:t>, ak sa kombinuje</w:t>
      </w:r>
      <w:r w:rsidR="00AC0A80" w:rsidRPr="009D7C92">
        <w:rPr>
          <w:iCs/>
          <w:color w:val="auto"/>
        </w:rPr>
        <w:t xml:space="preserve"> </w:t>
      </w:r>
      <w:r w:rsidRPr="009D7C92">
        <w:rPr>
          <w:iCs/>
          <w:color w:val="auto"/>
        </w:rPr>
        <w:t>s inými antihypertenzívami, aspoň na začiatku</w:t>
      </w:r>
      <w:r w:rsidR="00753828" w:rsidRPr="009D7C92">
        <w:rPr>
          <w:iCs/>
          <w:color w:val="auto"/>
        </w:rPr>
        <w:t xml:space="preserve"> liečby</w:t>
      </w:r>
      <w:r w:rsidRPr="009D7C92">
        <w:rPr>
          <w:iCs/>
          <w:color w:val="auto"/>
        </w:rPr>
        <w:t>.</w:t>
      </w:r>
    </w:p>
    <w:p w14:paraId="0BA8413A" w14:textId="77658F6A" w:rsidR="00323CDC" w:rsidRPr="009D7C92" w:rsidRDefault="00323CDC">
      <w:pPr>
        <w:jc w:val="left"/>
        <w:rPr>
          <w:iCs/>
          <w:color w:val="auto"/>
        </w:rPr>
      </w:pPr>
      <w:r w:rsidRPr="009D7C92">
        <w:rPr>
          <w:iCs/>
          <w:color w:val="auto"/>
        </w:rPr>
        <w:t>Antihypertenzívny účinok inhibítorov</w:t>
      </w:r>
      <w:r w:rsidR="00BE25A7" w:rsidRPr="009D7C92">
        <w:rPr>
          <w:iCs/>
          <w:color w:val="auto"/>
        </w:rPr>
        <w:t xml:space="preserve"> ACE</w:t>
      </w:r>
      <w:r w:rsidRPr="009D7C92">
        <w:rPr>
          <w:iCs/>
          <w:color w:val="auto"/>
        </w:rPr>
        <w:t xml:space="preserve">, antagonistov angiotenzínu II alebo </w:t>
      </w:r>
      <w:r w:rsidR="00BE25A7" w:rsidRPr="009D7C92">
        <w:rPr>
          <w:iCs/>
          <w:color w:val="auto"/>
        </w:rPr>
        <w:t xml:space="preserve">inhibítorov </w:t>
      </w:r>
      <w:r w:rsidRPr="009D7C92">
        <w:rPr>
          <w:iCs/>
          <w:color w:val="auto"/>
        </w:rPr>
        <w:t>renínu je potencovaný liečbou, ktorá zvyšuje plazmatickú aktivitu renínu (diuretiká).</w:t>
      </w:r>
    </w:p>
    <w:p w14:paraId="50DAFD33" w14:textId="2E3DE5EB" w:rsidR="00323CDC" w:rsidRPr="009D7C92" w:rsidRDefault="00323CDC">
      <w:pPr>
        <w:jc w:val="left"/>
        <w:rPr>
          <w:iCs/>
          <w:color w:val="auto"/>
        </w:rPr>
      </w:pPr>
      <w:r w:rsidRPr="009D7C92">
        <w:t>Odporúča sa opatrné podávanie inhibítor</w:t>
      </w:r>
      <w:r w:rsidR="00BE25A7" w:rsidRPr="009D7C92">
        <w:t>ov ACE</w:t>
      </w:r>
      <w:r w:rsidRPr="009D7C92">
        <w:t>, antagonist</w:t>
      </w:r>
      <w:r w:rsidR="00BE25A7" w:rsidRPr="009D7C92">
        <w:t>ov</w:t>
      </w:r>
      <w:r w:rsidRPr="009D7C92">
        <w:t xml:space="preserve"> angiotenzínu II alebo priam</w:t>
      </w:r>
      <w:r w:rsidR="00BE25A7" w:rsidRPr="009D7C92">
        <w:t>ych</w:t>
      </w:r>
      <w:r w:rsidRPr="009D7C92">
        <w:t xml:space="preserve"> inhibítor</w:t>
      </w:r>
      <w:r w:rsidR="00BE25A7" w:rsidRPr="009D7C92">
        <w:t>ov</w:t>
      </w:r>
      <w:r w:rsidRPr="009D7C92">
        <w:t xml:space="preserve"> renínu spolu s hydrochlorotiazidom, najmä u pacientov s depléciou chloridu sodného a/alebo u pacientov s hypovolémiou.</w:t>
      </w:r>
    </w:p>
    <w:p w14:paraId="7C307107" w14:textId="77777777" w:rsidR="00A24B3A" w:rsidRPr="009D7C92" w:rsidRDefault="00A24B3A">
      <w:pPr>
        <w:jc w:val="left"/>
        <w:rPr>
          <w:iCs/>
          <w:color w:val="auto"/>
          <w:u w:val="single"/>
        </w:rPr>
      </w:pPr>
    </w:p>
    <w:p w14:paraId="5AC69050" w14:textId="3E337710" w:rsidR="00EB25B2" w:rsidRDefault="00323CDC">
      <w:pPr>
        <w:jc w:val="left"/>
        <w:rPr>
          <w:i/>
          <w:color w:val="auto"/>
          <w:u w:val="single"/>
        </w:rPr>
      </w:pPr>
      <w:r w:rsidRPr="009D7C92">
        <w:rPr>
          <w:i/>
          <w:iCs/>
          <w:color w:val="auto"/>
          <w:u w:val="single"/>
        </w:rPr>
        <w:t>Športovci</w:t>
      </w:r>
    </w:p>
    <w:p w14:paraId="1AC377A7" w14:textId="53FCF6B6" w:rsidR="00323CDC" w:rsidRPr="009D7C92" w:rsidRDefault="00323CDC">
      <w:pPr>
        <w:jc w:val="left"/>
        <w:rPr>
          <w:color w:val="auto"/>
        </w:rPr>
      </w:pPr>
      <w:r w:rsidRPr="009D7C92">
        <w:rPr>
          <w:color w:val="auto"/>
        </w:rPr>
        <w:t xml:space="preserve">Športovci by mali venovať osobitnú pozornosť skutočnosti, že tento </w:t>
      </w:r>
      <w:r w:rsidR="00753828" w:rsidRPr="009D7C92">
        <w:rPr>
          <w:color w:val="auto"/>
        </w:rPr>
        <w:t>liek</w:t>
      </w:r>
      <w:r w:rsidRPr="009D7C92">
        <w:rPr>
          <w:color w:val="auto"/>
        </w:rPr>
        <w:t xml:space="preserve"> obsahuje </w:t>
      </w:r>
      <w:r w:rsidR="00CC2EF8" w:rsidRPr="009D7C92">
        <w:rPr>
          <w:color w:val="auto"/>
        </w:rPr>
        <w:t>liečiv</w:t>
      </w:r>
      <w:r w:rsidR="00BE25A7" w:rsidRPr="009D7C92">
        <w:rPr>
          <w:color w:val="auto"/>
        </w:rPr>
        <w:t>á</w:t>
      </w:r>
      <w:r w:rsidRPr="009D7C92">
        <w:rPr>
          <w:color w:val="auto"/>
        </w:rPr>
        <w:t>, ktor</w:t>
      </w:r>
      <w:r w:rsidR="00BE25A7" w:rsidRPr="009D7C92">
        <w:rPr>
          <w:color w:val="auto"/>
        </w:rPr>
        <w:t>é</w:t>
      </w:r>
      <w:r w:rsidRPr="009D7C92">
        <w:rPr>
          <w:color w:val="auto"/>
        </w:rPr>
        <w:t xml:space="preserve"> môž</w:t>
      </w:r>
      <w:r w:rsidR="00BE25A7" w:rsidRPr="009D7C92">
        <w:rPr>
          <w:color w:val="auto"/>
        </w:rPr>
        <w:t>u</w:t>
      </w:r>
      <w:r w:rsidRPr="009D7C92">
        <w:rPr>
          <w:color w:val="auto"/>
        </w:rPr>
        <w:t xml:space="preserve"> vyvolať pozitívnu reakciu v testoch vykonaných počas antidopingových kontrol.</w:t>
      </w:r>
    </w:p>
    <w:p w14:paraId="57D1FA76" w14:textId="77777777" w:rsidR="00323CDC" w:rsidRPr="009D7C92" w:rsidRDefault="00323CDC">
      <w:pPr>
        <w:jc w:val="left"/>
        <w:rPr>
          <w:iCs/>
          <w:color w:val="auto"/>
          <w:u w:val="single"/>
        </w:rPr>
      </w:pPr>
    </w:p>
    <w:p w14:paraId="2D8274EF" w14:textId="77777777" w:rsidR="00323CDC" w:rsidRPr="009D7C92" w:rsidRDefault="00323CDC">
      <w:pPr>
        <w:jc w:val="left"/>
        <w:rPr>
          <w:i/>
          <w:iCs/>
          <w:color w:val="auto"/>
          <w:u w:val="single"/>
        </w:rPr>
      </w:pPr>
      <w:r w:rsidRPr="009D7C92">
        <w:rPr>
          <w:i/>
          <w:iCs/>
          <w:color w:val="auto"/>
          <w:u w:val="single"/>
        </w:rPr>
        <w:t>Iné</w:t>
      </w:r>
    </w:p>
    <w:p w14:paraId="00CCB62A" w14:textId="2A9187D9" w:rsidR="00323CDC" w:rsidRPr="009D7C92" w:rsidRDefault="00323CDC">
      <w:pPr>
        <w:jc w:val="left"/>
        <w:rPr>
          <w:color w:val="auto"/>
        </w:rPr>
      </w:pPr>
      <w:r w:rsidRPr="009D7C92">
        <w:rPr>
          <w:color w:val="auto"/>
        </w:rPr>
        <w:t xml:space="preserve">Lupus: Pri tiazidových diuretikách vrátane hydrochlorotiazidu boli hlásené prípady exacerbácie alebo aktivácie </w:t>
      </w:r>
      <w:r w:rsidR="00BE25A7" w:rsidRPr="009D7C92">
        <w:rPr>
          <w:color w:val="auto"/>
        </w:rPr>
        <w:t xml:space="preserve">systémového </w:t>
      </w:r>
      <w:r w:rsidRPr="009D7C92">
        <w:rPr>
          <w:color w:val="auto"/>
        </w:rPr>
        <w:t>lupusu erythematosus.</w:t>
      </w:r>
    </w:p>
    <w:p w14:paraId="521B101B" w14:textId="31227C16" w:rsidR="0027155C" w:rsidRPr="009D7C92" w:rsidRDefault="00BE25A7">
      <w:pPr>
        <w:jc w:val="left"/>
        <w:rPr>
          <w:color w:val="auto"/>
        </w:rPr>
      </w:pPr>
      <w:r w:rsidRPr="009D7C92">
        <w:rPr>
          <w:color w:val="auto"/>
        </w:rPr>
        <w:t>Hypersenzitívne r</w:t>
      </w:r>
      <w:r w:rsidR="00323CDC" w:rsidRPr="009D7C92">
        <w:rPr>
          <w:color w:val="auto"/>
        </w:rPr>
        <w:t xml:space="preserve">eakcie </w:t>
      </w:r>
      <w:r w:rsidRPr="009D7C92">
        <w:rPr>
          <w:color w:val="auto"/>
        </w:rPr>
        <w:t>po</w:t>
      </w:r>
      <w:r w:rsidR="00323CDC" w:rsidRPr="009D7C92">
        <w:rPr>
          <w:color w:val="auto"/>
        </w:rPr>
        <w:t xml:space="preserve"> hydrochlorotiazid</w:t>
      </w:r>
      <w:r w:rsidRPr="009D7C92">
        <w:rPr>
          <w:color w:val="auto"/>
        </w:rPr>
        <w:t>e</w:t>
      </w:r>
      <w:r w:rsidR="00323CDC" w:rsidRPr="009D7C92">
        <w:rPr>
          <w:color w:val="auto"/>
        </w:rPr>
        <w:t xml:space="preserve"> sú častejšie pri alergiách a astme.</w:t>
      </w:r>
      <w:r w:rsidR="00323CDC" w:rsidRPr="009D7C92">
        <w:rPr>
          <w:color w:val="auto"/>
        </w:rPr>
        <w:cr/>
      </w:r>
    </w:p>
    <w:p w14:paraId="0E9B24A8" w14:textId="12FF350E" w:rsidR="00EB25B2" w:rsidRDefault="00323CDC" w:rsidP="00243692">
      <w:pPr>
        <w:ind w:left="567" w:right="0" w:hanging="567"/>
        <w:jc w:val="left"/>
        <w:rPr>
          <w:b/>
          <w:color w:val="auto"/>
        </w:rPr>
      </w:pPr>
      <w:r w:rsidRPr="009D7C92">
        <w:rPr>
          <w:b/>
          <w:color w:val="auto"/>
        </w:rPr>
        <w:t>4.5</w:t>
      </w:r>
      <w:r w:rsidR="003E4850" w:rsidRPr="009D7C92">
        <w:rPr>
          <w:b/>
          <w:color w:val="auto"/>
        </w:rPr>
        <w:tab/>
      </w:r>
      <w:r w:rsidR="003E4850" w:rsidRPr="009D7C92">
        <w:rPr>
          <w:b/>
        </w:rPr>
        <w:t>Liekové a </w:t>
      </w:r>
      <w:r w:rsidR="003E4850" w:rsidRPr="009D7C92">
        <w:rPr>
          <w:b/>
          <w:color w:val="auto"/>
          <w:lang w:eastAsia="sk-SK"/>
        </w:rPr>
        <w:t>iné</w:t>
      </w:r>
      <w:r w:rsidR="003E4850" w:rsidRPr="009D7C92">
        <w:rPr>
          <w:b/>
        </w:rPr>
        <w:t xml:space="preserve"> interakcie</w:t>
      </w:r>
    </w:p>
    <w:p w14:paraId="5334200A" w14:textId="06D8C36E" w:rsidR="00323CDC" w:rsidRPr="009D7C92" w:rsidRDefault="00323CDC" w:rsidP="00EE703D">
      <w:pPr>
        <w:jc w:val="left"/>
        <w:rPr>
          <w:color w:val="auto"/>
        </w:rPr>
      </w:pPr>
    </w:p>
    <w:p w14:paraId="11BDF355" w14:textId="77777777" w:rsidR="00C03D2A" w:rsidRPr="009D7C92" w:rsidRDefault="009A5AFB" w:rsidP="00243692">
      <w:pPr>
        <w:jc w:val="left"/>
        <w:rPr>
          <w:color w:val="auto"/>
        </w:rPr>
      </w:pPr>
      <w:bookmarkStart w:id="5" w:name="_Hlk531085913"/>
      <w:r w:rsidRPr="009D7C92">
        <w:rPr>
          <w:color w:val="auto"/>
        </w:rPr>
        <w:t>Neuskutočnili sa žiadne interakčné štúdie s</w:t>
      </w:r>
      <w:r w:rsidR="00C03D2A" w:rsidRPr="009D7C92">
        <w:rPr>
          <w:color w:val="auto"/>
        </w:rPr>
        <w:t xml:space="preserve"> liekom </w:t>
      </w:r>
      <w:r w:rsidR="00537DBD" w:rsidRPr="009D7C92">
        <w:rPr>
          <w:color w:val="auto"/>
        </w:rPr>
        <w:t>Ramipril/Amlodipín/Hydrochlorotiazid Adamed</w:t>
      </w:r>
      <w:r w:rsidR="00C03D2A" w:rsidRPr="009D7C92">
        <w:rPr>
          <w:color w:val="auto"/>
        </w:rPr>
        <w:t>. V tejto časti sa preto uvádzajú len informácie o interakciách s inými liekmi, ktoré sú známe p</w:t>
      </w:r>
      <w:r w:rsidRPr="009D7C92">
        <w:rPr>
          <w:color w:val="auto"/>
        </w:rPr>
        <w:t>re jednotlivé liečivá</w:t>
      </w:r>
      <w:r w:rsidR="00C03D2A" w:rsidRPr="009D7C92">
        <w:rPr>
          <w:color w:val="auto"/>
        </w:rPr>
        <w:t>.</w:t>
      </w:r>
    </w:p>
    <w:p w14:paraId="3F2CB33C" w14:textId="77777777" w:rsidR="004C4C9B" w:rsidRPr="009D7C92" w:rsidRDefault="004C4C9B" w:rsidP="00243692">
      <w:pPr>
        <w:jc w:val="left"/>
        <w:rPr>
          <w:color w:val="auto"/>
        </w:rPr>
      </w:pPr>
    </w:p>
    <w:p w14:paraId="30E4D6D8" w14:textId="44CDFC79" w:rsidR="00C3276F" w:rsidRPr="009D7C92" w:rsidRDefault="00C3276F" w:rsidP="00243692">
      <w:pPr>
        <w:jc w:val="left"/>
        <w:rPr>
          <w:color w:val="auto"/>
        </w:rPr>
      </w:pPr>
      <w:r w:rsidRPr="009D7C92">
        <w:rPr>
          <w:color w:val="auto"/>
        </w:rPr>
        <w:t xml:space="preserve">Je však dôležité vziať do úvahy, že </w:t>
      </w:r>
      <w:r w:rsidR="00537DBD" w:rsidRPr="009D7C92">
        <w:rPr>
          <w:color w:val="auto"/>
        </w:rPr>
        <w:t>Ramipril/Amlodipín/Hydrochlorotiazid Adamed</w:t>
      </w:r>
      <w:r w:rsidRPr="009D7C92">
        <w:rPr>
          <w:color w:val="auto"/>
        </w:rPr>
        <w:t xml:space="preserve"> môže zvýšiť hypotenz</w:t>
      </w:r>
      <w:r w:rsidR="000F5F0C" w:rsidRPr="009D7C92">
        <w:rPr>
          <w:color w:val="auto"/>
        </w:rPr>
        <w:t>ív</w:t>
      </w:r>
      <w:r w:rsidRPr="009D7C92">
        <w:rPr>
          <w:color w:val="auto"/>
        </w:rPr>
        <w:t>n</w:t>
      </w:r>
      <w:r w:rsidR="000F5F0C" w:rsidRPr="009D7C92">
        <w:rPr>
          <w:color w:val="auto"/>
        </w:rPr>
        <w:t>y</w:t>
      </w:r>
      <w:r w:rsidRPr="009D7C92">
        <w:rPr>
          <w:color w:val="auto"/>
        </w:rPr>
        <w:t xml:space="preserve"> účinok iných antihypertenzív (napr. diuretík).</w:t>
      </w:r>
    </w:p>
    <w:p w14:paraId="5612F256" w14:textId="77777777" w:rsidR="00210DD8" w:rsidRPr="009D7C92" w:rsidRDefault="00210DD8" w:rsidP="00243692">
      <w:pPr>
        <w:jc w:val="left"/>
        <w:rPr>
          <w:color w:val="auto"/>
        </w:rPr>
      </w:pPr>
    </w:p>
    <w:p w14:paraId="2FE7AD3A" w14:textId="77777777" w:rsidR="00210DD8" w:rsidRPr="009D7C92" w:rsidRDefault="00210DD8" w:rsidP="00243692">
      <w:pPr>
        <w:jc w:val="left"/>
        <w:rPr>
          <w:color w:val="auto"/>
          <w:u w:val="single"/>
        </w:rPr>
      </w:pPr>
      <w:r w:rsidRPr="009D7C92">
        <w:rPr>
          <w:color w:val="auto"/>
          <w:u w:val="single"/>
        </w:rPr>
        <w:t>Sú</w:t>
      </w:r>
      <w:r w:rsidR="0059364E" w:rsidRPr="009D7C92">
        <w:rPr>
          <w:color w:val="auto"/>
          <w:u w:val="single"/>
        </w:rPr>
        <w:t>bežné</w:t>
      </w:r>
      <w:r w:rsidRPr="009D7C92">
        <w:rPr>
          <w:color w:val="auto"/>
          <w:u w:val="single"/>
        </w:rPr>
        <w:t xml:space="preserve"> použitie sa neodporúča</w:t>
      </w:r>
    </w:p>
    <w:p w14:paraId="65ED57B2" w14:textId="77777777" w:rsidR="00210DD8" w:rsidRPr="009D7C92" w:rsidRDefault="00210DD8" w:rsidP="00243692">
      <w:pPr>
        <w:jc w:val="left"/>
        <w:rPr>
          <w:color w:val="auto"/>
        </w:rPr>
      </w:pPr>
    </w:p>
    <w:tbl>
      <w:tblPr>
        <w:tblW w:w="9322" w:type="dxa"/>
        <w:tblLook w:val="04A0" w:firstRow="1" w:lastRow="0" w:firstColumn="1" w:lastColumn="0" w:noHBand="0" w:noVBand="1"/>
      </w:tblPr>
      <w:tblGrid>
        <w:gridCol w:w="3945"/>
        <w:gridCol w:w="1989"/>
        <w:gridCol w:w="3700"/>
      </w:tblGrid>
      <w:tr w:rsidR="00210DD8" w:rsidRPr="009D7C92" w14:paraId="38C06CFC" w14:textId="77777777" w:rsidTr="00D2494E">
        <w:tc>
          <w:tcPr>
            <w:tcW w:w="1951" w:type="dxa"/>
            <w:tcBorders>
              <w:bottom w:val="single" w:sz="4" w:space="0" w:color="auto"/>
              <w:right w:val="nil"/>
            </w:tcBorders>
            <w:shd w:val="clear" w:color="auto" w:fill="FFFFFF"/>
          </w:tcPr>
          <w:p w14:paraId="5D4A2865" w14:textId="2D5B7990" w:rsidR="00210DD8" w:rsidRPr="009D7C92" w:rsidRDefault="00537DBD" w:rsidP="00EE703D">
            <w:pPr>
              <w:jc w:val="left"/>
              <w:rPr>
                <w:rFonts w:eastAsia="Malgun Gothic"/>
                <w:b/>
                <w:iCs/>
                <w:color w:val="auto"/>
              </w:rPr>
            </w:pPr>
            <w:r w:rsidRPr="009D7C92">
              <w:rPr>
                <w:b/>
                <w:iCs/>
                <w:color w:val="auto"/>
              </w:rPr>
              <w:t>Ramipril/Amlodipín/Hydrochlorotiazid Adamed</w:t>
            </w:r>
            <w:r w:rsidR="00726596" w:rsidRPr="009D7C92">
              <w:rPr>
                <w:b/>
                <w:iCs/>
                <w:color w:val="auto"/>
              </w:rPr>
              <w:t xml:space="preserve"> jednotlivé </w:t>
            </w:r>
            <w:r w:rsidR="000F5F0C" w:rsidRPr="009D7C92">
              <w:rPr>
                <w:b/>
                <w:iCs/>
                <w:color w:val="auto"/>
              </w:rPr>
              <w:t>liečivá</w:t>
            </w:r>
          </w:p>
        </w:tc>
        <w:tc>
          <w:tcPr>
            <w:tcW w:w="3071" w:type="dxa"/>
            <w:tcBorders>
              <w:bottom w:val="single" w:sz="4" w:space="0" w:color="auto"/>
            </w:tcBorders>
            <w:shd w:val="clear" w:color="auto" w:fill="FFFFFF"/>
          </w:tcPr>
          <w:p w14:paraId="70DA0178" w14:textId="00B1A87C" w:rsidR="00EB25B2" w:rsidRDefault="00726596" w:rsidP="00211D25">
            <w:pPr>
              <w:jc w:val="left"/>
              <w:rPr>
                <w:b/>
                <w:bCs/>
                <w:iCs/>
                <w:color w:val="auto"/>
              </w:rPr>
            </w:pPr>
            <w:r w:rsidRPr="009D7C92">
              <w:rPr>
                <w:b/>
                <w:bCs/>
                <w:iCs/>
                <w:color w:val="auto"/>
              </w:rPr>
              <w:t>Známe interakcie</w:t>
            </w:r>
          </w:p>
          <w:p w14:paraId="75522619" w14:textId="77777777" w:rsidR="00726596" w:rsidRPr="009D7C92" w:rsidRDefault="00726596">
            <w:pPr>
              <w:jc w:val="left"/>
              <w:rPr>
                <w:rFonts w:eastAsia="Malgun Gothic"/>
                <w:b/>
                <w:bCs/>
                <w:iCs/>
                <w:color w:val="auto"/>
              </w:rPr>
            </w:pPr>
            <w:r w:rsidRPr="009D7C92">
              <w:rPr>
                <w:b/>
                <w:bCs/>
                <w:iCs/>
                <w:color w:val="auto"/>
              </w:rPr>
              <w:t>s nasledovnými</w:t>
            </w:r>
          </w:p>
          <w:p w14:paraId="6B8C7DC6" w14:textId="2953475B" w:rsidR="00210DD8" w:rsidRPr="009D7C92" w:rsidRDefault="000F5F0C">
            <w:pPr>
              <w:jc w:val="left"/>
              <w:rPr>
                <w:rFonts w:eastAsia="Malgun Gothic"/>
                <w:iCs/>
                <w:color w:val="auto"/>
              </w:rPr>
            </w:pPr>
            <w:r w:rsidRPr="009D7C92">
              <w:rPr>
                <w:b/>
                <w:bCs/>
                <w:iCs/>
                <w:color w:val="auto"/>
              </w:rPr>
              <w:t>liečivami</w:t>
            </w:r>
          </w:p>
        </w:tc>
        <w:tc>
          <w:tcPr>
            <w:tcW w:w="4300" w:type="dxa"/>
            <w:tcBorders>
              <w:bottom w:val="single" w:sz="4" w:space="0" w:color="auto"/>
            </w:tcBorders>
            <w:shd w:val="clear" w:color="auto" w:fill="FFFFFF"/>
          </w:tcPr>
          <w:p w14:paraId="07C20181" w14:textId="7AE530D1" w:rsidR="00210DD8" w:rsidRPr="009D7C92" w:rsidRDefault="00726596">
            <w:pPr>
              <w:jc w:val="left"/>
              <w:rPr>
                <w:rFonts w:eastAsia="Malgun Gothic"/>
                <w:iCs/>
                <w:color w:val="auto"/>
              </w:rPr>
            </w:pPr>
            <w:r w:rsidRPr="009D7C92">
              <w:rPr>
                <w:b/>
                <w:bCs/>
                <w:iCs/>
                <w:color w:val="auto"/>
              </w:rPr>
              <w:t xml:space="preserve">Vplyv interakcie s inými </w:t>
            </w:r>
            <w:r w:rsidR="000F5F0C" w:rsidRPr="009D7C92">
              <w:rPr>
                <w:b/>
                <w:bCs/>
                <w:iCs/>
                <w:color w:val="auto"/>
              </w:rPr>
              <w:t>liečivami</w:t>
            </w:r>
          </w:p>
        </w:tc>
      </w:tr>
      <w:tr w:rsidR="00D44827" w:rsidRPr="009D7C92" w14:paraId="00A2DB5E" w14:textId="77777777" w:rsidTr="00D2105C">
        <w:tc>
          <w:tcPr>
            <w:tcW w:w="1951" w:type="dxa"/>
            <w:tcBorders>
              <w:top w:val="single" w:sz="4" w:space="0" w:color="auto"/>
              <w:bottom w:val="single" w:sz="4" w:space="0" w:color="auto"/>
              <w:right w:val="single" w:sz="4" w:space="0" w:color="7F7F7F"/>
            </w:tcBorders>
            <w:shd w:val="clear" w:color="auto" w:fill="FFFFFF"/>
          </w:tcPr>
          <w:p w14:paraId="4921BF16" w14:textId="77777777" w:rsidR="00D44827" w:rsidRPr="009D7C92" w:rsidRDefault="00D44827" w:rsidP="00EE703D">
            <w:pPr>
              <w:jc w:val="left"/>
              <w:rPr>
                <w:rFonts w:eastAsia="Malgun Gothic"/>
                <w:iCs/>
                <w:color w:val="auto"/>
              </w:rPr>
            </w:pPr>
            <w:r w:rsidRPr="009D7C92">
              <w:rPr>
                <w:iCs/>
                <w:color w:val="auto"/>
              </w:rPr>
              <w:t>Ramipril a</w:t>
            </w:r>
            <w:r w:rsidR="009C61DA" w:rsidRPr="009D7C92">
              <w:rPr>
                <w:iCs/>
                <w:color w:val="auto"/>
              </w:rPr>
              <w:t xml:space="preserve"> </w:t>
            </w:r>
            <w:r w:rsidR="00E42261" w:rsidRPr="009D7C92">
              <w:rPr>
                <w:iCs/>
                <w:color w:val="auto"/>
              </w:rPr>
              <w:t>HCT</w:t>
            </w:r>
            <w:r w:rsidR="009C61DA" w:rsidRPr="009D7C92">
              <w:rPr>
                <w:iCs/>
                <w:color w:val="auto"/>
              </w:rPr>
              <w:t>Z</w:t>
            </w:r>
          </w:p>
        </w:tc>
        <w:tc>
          <w:tcPr>
            <w:tcW w:w="3071" w:type="dxa"/>
            <w:tcBorders>
              <w:top w:val="single" w:sz="4" w:space="0" w:color="auto"/>
              <w:bottom w:val="single" w:sz="4" w:space="0" w:color="auto"/>
            </w:tcBorders>
            <w:shd w:val="clear" w:color="auto" w:fill="F2F2F2"/>
          </w:tcPr>
          <w:p w14:paraId="2EAC8A08" w14:textId="77777777" w:rsidR="00D44827" w:rsidRPr="009D7C92" w:rsidRDefault="009C61DA" w:rsidP="00211D25">
            <w:pPr>
              <w:jc w:val="left"/>
              <w:rPr>
                <w:color w:val="auto"/>
              </w:rPr>
            </w:pPr>
            <w:r w:rsidRPr="009D7C92">
              <w:rPr>
                <w:i/>
                <w:color w:val="auto"/>
              </w:rPr>
              <w:t>Soli lítia</w:t>
            </w:r>
          </w:p>
        </w:tc>
        <w:tc>
          <w:tcPr>
            <w:tcW w:w="4300" w:type="dxa"/>
            <w:tcBorders>
              <w:top w:val="single" w:sz="4" w:space="0" w:color="auto"/>
              <w:bottom w:val="single" w:sz="4" w:space="0" w:color="auto"/>
            </w:tcBorders>
            <w:shd w:val="clear" w:color="auto" w:fill="F2F2F2"/>
          </w:tcPr>
          <w:p w14:paraId="2C3822FC" w14:textId="37EC05F4" w:rsidR="00D44827" w:rsidRPr="009D7C92" w:rsidRDefault="00D44827" w:rsidP="00AC0A80">
            <w:pPr>
              <w:jc w:val="left"/>
              <w:rPr>
                <w:color w:val="auto"/>
              </w:rPr>
            </w:pPr>
            <w:r w:rsidRPr="009D7C92">
              <w:rPr>
                <w:color w:val="auto"/>
              </w:rPr>
              <w:t>Vylučovanie lítia môže byť znížené inhibítormi</w:t>
            </w:r>
            <w:r w:rsidR="000F5F0C" w:rsidRPr="009D7C92">
              <w:rPr>
                <w:color w:val="auto"/>
              </w:rPr>
              <w:t xml:space="preserve"> ACE</w:t>
            </w:r>
            <w:r w:rsidRPr="009D7C92">
              <w:rPr>
                <w:color w:val="auto"/>
              </w:rPr>
              <w:t xml:space="preserve"> a</w:t>
            </w:r>
            <w:r w:rsidR="000F5F0C" w:rsidRPr="009D7C92">
              <w:rPr>
                <w:color w:val="auto"/>
              </w:rPr>
              <w:t> </w:t>
            </w:r>
            <w:r w:rsidRPr="009D7C92">
              <w:rPr>
                <w:color w:val="auto"/>
              </w:rPr>
              <w:t>tiazidmi</w:t>
            </w:r>
            <w:r w:rsidR="000F5F0C" w:rsidRPr="009D7C92">
              <w:rPr>
                <w:color w:val="auto"/>
              </w:rPr>
              <w:t>,</w:t>
            </w:r>
            <w:r w:rsidRPr="009D7C92">
              <w:rPr>
                <w:color w:val="auto"/>
              </w:rPr>
              <w:t xml:space="preserve"> a preto môže byť zvýšená toxicita lítia. Preto sa neodporúča kombinácia ramiprilu a hydrochlorotiazidu s lítiom. </w:t>
            </w:r>
            <w:r w:rsidR="009C61DA" w:rsidRPr="009D7C92">
              <w:rPr>
                <w:color w:val="auto"/>
              </w:rPr>
              <w:t>Počas súbežného používania sa odporúča starostlivé sledovanie koncentrácií lítia v sére.</w:t>
            </w:r>
          </w:p>
        </w:tc>
      </w:tr>
      <w:tr w:rsidR="003438CE" w:rsidRPr="009D7C92" w14:paraId="4091F688" w14:textId="77777777" w:rsidTr="00D2494E">
        <w:tc>
          <w:tcPr>
            <w:tcW w:w="1951" w:type="dxa"/>
            <w:vMerge w:val="restart"/>
            <w:tcBorders>
              <w:top w:val="single" w:sz="4" w:space="0" w:color="auto"/>
              <w:right w:val="single" w:sz="4" w:space="0" w:color="7F7F7F"/>
            </w:tcBorders>
            <w:shd w:val="clear" w:color="auto" w:fill="FFFFFF"/>
          </w:tcPr>
          <w:p w14:paraId="02C65302" w14:textId="77777777" w:rsidR="003438CE" w:rsidRPr="009D7C92" w:rsidRDefault="003438CE" w:rsidP="00EE703D">
            <w:pPr>
              <w:jc w:val="left"/>
              <w:rPr>
                <w:rFonts w:eastAsia="Malgun Gothic"/>
                <w:i/>
                <w:color w:val="auto"/>
              </w:rPr>
            </w:pPr>
            <w:r w:rsidRPr="009D7C92">
              <w:rPr>
                <w:iCs/>
                <w:color w:val="auto"/>
              </w:rPr>
              <w:t>Ramipril</w:t>
            </w:r>
          </w:p>
          <w:p w14:paraId="0D6B2D80" w14:textId="77777777" w:rsidR="003438CE" w:rsidRPr="009D7C92" w:rsidRDefault="003438CE" w:rsidP="00211D25">
            <w:pPr>
              <w:jc w:val="left"/>
              <w:rPr>
                <w:rFonts w:eastAsia="Malgun Gothic"/>
                <w:iCs/>
                <w:color w:val="auto"/>
              </w:rPr>
            </w:pPr>
          </w:p>
        </w:tc>
        <w:tc>
          <w:tcPr>
            <w:tcW w:w="3071" w:type="dxa"/>
            <w:tcBorders>
              <w:top w:val="single" w:sz="4" w:space="0" w:color="auto"/>
              <w:bottom w:val="single" w:sz="4" w:space="0" w:color="auto"/>
            </w:tcBorders>
            <w:shd w:val="clear" w:color="auto" w:fill="auto"/>
          </w:tcPr>
          <w:p w14:paraId="63BD4832" w14:textId="183B419B" w:rsidR="003438CE" w:rsidRPr="009D7C92" w:rsidRDefault="000F5F0C" w:rsidP="00F87817">
            <w:pPr>
              <w:jc w:val="left"/>
              <w:rPr>
                <w:color w:val="auto"/>
              </w:rPr>
            </w:pPr>
            <w:r w:rsidRPr="009D7C92">
              <w:rPr>
                <w:color w:val="auto"/>
              </w:rPr>
              <w:t>Vysokopriepustné m</w:t>
            </w:r>
            <w:r w:rsidR="003438CE" w:rsidRPr="009D7C92">
              <w:rPr>
                <w:color w:val="auto"/>
              </w:rPr>
              <w:t>embrány pri dialýze alebo hemofiltrácii</w:t>
            </w:r>
          </w:p>
        </w:tc>
        <w:tc>
          <w:tcPr>
            <w:tcW w:w="4300" w:type="dxa"/>
            <w:tcBorders>
              <w:top w:val="single" w:sz="4" w:space="0" w:color="auto"/>
              <w:bottom w:val="single" w:sz="4" w:space="0" w:color="auto"/>
            </w:tcBorders>
            <w:shd w:val="clear" w:color="auto" w:fill="auto"/>
          </w:tcPr>
          <w:p w14:paraId="6F879CA9" w14:textId="09DCDD76" w:rsidR="003438CE" w:rsidRPr="009D7C92" w:rsidRDefault="003438CE">
            <w:pPr>
              <w:jc w:val="left"/>
              <w:rPr>
                <w:color w:val="auto"/>
              </w:rPr>
            </w:pPr>
            <w:r w:rsidRPr="009D7C92">
              <w:rPr>
                <w:color w:val="auto"/>
              </w:rPr>
              <w:t>Mimotel</w:t>
            </w:r>
            <w:r w:rsidR="009C61DA" w:rsidRPr="009D7C92">
              <w:rPr>
                <w:color w:val="auto"/>
              </w:rPr>
              <w:t>ová liečba</w:t>
            </w:r>
            <w:r w:rsidRPr="009D7C92">
              <w:rPr>
                <w:color w:val="auto"/>
              </w:rPr>
              <w:t>, ktor</w:t>
            </w:r>
            <w:r w:rsidR="009C61DA" w:rsidRPr="009D7C92">
              <w:rPr>
                <w:color w:val="auto"/>
              </w:rPr>
              <w:t>á</w:t>
            </w:r>
            <w:r w:rsidRPr="009D7C92">
              <w:rPr>
                <w:color w:val="auto"/>
              </w:rPr>
              <w:t xml:space="preserve"> vedie ku kontaktu krvi so záporne nabitými povrchmi, ako je dialýza alebo hemofiltrácia určitými </w:t>
            </w:r>
            <w:r w:rsidR="00350592" w:rsidRPr="009D7C92">
              <w:rPr>
                <w:color w:val="auto"/>
              </w:rPr>
              <w:t xml:space="preserve">vysokopriepustnými </w:t>
            </w:r>
            <w:r w:rsidRPr="009D7C92">
              <w:rPr>
                <w:color w:val="auto"/>
              </w:rPr>
              <w:t xml:space="preserve">membránami (napr. polyakrylonitrilové membrány) a aferéza </w:t>
            </w:r>
            <w:r w:rsidR="00350592" w:rsidRPr="009D7C92">
              <w:rPr>
                <w:color w:val="auto"/>
              </w:rPr>
              <w:t xml:space="preserve">lipoproteínov </w:t>
            </w:r>
            <w:r w:rsidRPr="009D7C92">
              <w:rPr>
                <w:color w:val="auto"/>
              </w:rPr>
              <w:t>s nízkou hustotou s</w:t>
            </w:r>
            <w:r w:rsidR="001002F5">
              <w:rPr>
                <w:color w:val="auto"/>
              </w:rPr>
              <w:t> </w:t>
            </w:r>
            <w:r w:rsidRPr="009D7C92">
              <w:rPr>
                <w:color w:val="auto"/>
              </w:rPr>
              <w:t>dextrá</w:t>
            </w:r>
            <w:r w:rsidR="001002F5">
              <w:rPr>
                <w:color w:val="auto"/>
              </w:rPr>
              <w:t>n-sulfátom</w:t>
            </w:r>
            <w:r w:rsidRPr="009D7C92">
              <w:rPr>
                <w:color w:val="auto"/>
              </w:rPr>
              <w:t xml:space="preserve"> kvôli zvýšenému riziku závažných anafylaktoidných reakcií (pozri časť 4.3). Ak sa vyžaduje takáto liečba, má sa zvážiť použitie iného typu dialyzačnej membrány alebo inej triedy antihypertenzív.</w:t>
            </w:r>
          </w:p>
        </w:tc>
      </w:tr>
      <w:tr w:rsidR="003438CE" w:rsidRPr="009D7C92" w14:paraId="118F5E5E" w14:textId="77777777" w:rsidTr="00D2494E">
        <w:tc>
          <w:tcPr>
            <w:tcW w:w="1951" w:type="dxa"/>
            <w:vMerge/>
            <w:tcBorders>
              <w:bottom w:val="single" w:sz="4" w:space="0" w:color="auto"/>
              <w:right w:val="single" w:sz="4" w:space="0" w:color="7F7F7F"/>
            </w:tcBorders>
            <w:shd w:val="clear" w:color="auto" w:fill="FFFFFF"/>
          </w:tcPr>
          <w:p w14:paraId="3AAB920E" w14:textId="77777777" w:rsidR="003438CE" w:rsidRPr="009D7C92" w:rsidRDefault="003438CE">
            <w:pPr>
              <w:jc w:val="left"/>
              <w:rPr>
                <w:rFonts w:eastAsia="Malgun Gothic"/>
                <w:iCs/>
                <w:color w:val="auto"/>
              </w:rPr>
            </w:pPr>
          </w:p>
        </w:tc>
        <w:tc>
          <w:tcPr>
            <w:tcW w:w="3071" w:type="dxa"/>
            <w:tcBorders>
              <w:top w:val="single" w:sz="4" w:space="0" w:color="auto"/>
              <w:bottom w:val="single" w:sz="4" w:space="0" w:color="auto"/>
            </w:tcBorders>
            <w:shd w:val="clear" w:color="auto" w:fill="F2F2F2"/>
          </w:tcPr>
          <w:p w14:paraId="630EE3F9" w14:textId="77777777" w:rsidR="003438CE" w:rsidRPr="009D7C92" w:rsidRDefault="0048605B">
            <w:pPr>
              <w:jc w:val="left"/>
              <w:rPr>
                <w:i/>
                <w:color w:val="auto"/>
              </w:rPr>
            </w:pPr>
            <w:r w:rsidRPr="009D7C92">
              <w:rPr>
                <w:i/>
                <w:color w:val="auto"/>
              </w:rPr>
              <w:t>Sa</w:t>
            </w:r>
            <w:r w:rsidR="003E6865" w:rsidRPr="009D7C92">
              <w:rPr>
                <w:i/>
                <w:color w:val="auto"/>
              </w:rPr>
              <w:t>k</w:t>
            </w:r>
            <w:r w:rsidRPr="009D7C92">
              <w:rPr>
                <w:i/>
                <w:color w:val="auto"/>
              </w:rPr>
              <w:t>ubitril/valsartan</w:t>
            </w:r>
          </w:p>
        </w:tc>
        <w:tc>
          <w:tcPr>
            <w:tcW w:w="4300" w:type="dxa"/>
            <w:tcBorders>
              <w:top w:val="single" w:sz="4" w:space="0" w:color="auto"/>
              <w:bottom w:val="single" w:sz="4" w:space="0" w:color="auto"/>
            </w:tcBorders>
            <w:shd w:val="clear" w:color="auto" w:fill="F2F2F2"/>
          </w:tcPr>
          <w:p w14:paraId="4D4CACD6" w14:textId="1E2C2C40" w:rsidR="003438CE" w:rsidRPr="009909C5" w:rsidRDefault="00535D8D">
            <w:pPr>
              <w:jc w:val="left"/>
              <w:rPr>
                <w:color w:val="auto"/>
              </w:rPr>
            </w:pPr>
            <w:r w:rsidRPr="00032D0E">
              <w:t>Súbežné užívanie inhibítorov ACE so sakubitrilom/valsartanom je kontraindikované, pretože sa zvyšuje riziko angioedému (pozri čas</w:t>
            </w:r>
            <w:r w:rsidR="00F72BC6">
              <w:t>ti</w:t>
            </w:r>
            <w:r w:rsidRPr="00032D0E">
              <w:t xml:space="preserve"> 4.3 a 4.4).</w:t>
            </w:r>
            <w:r w:rsidR="0048605B" w:rsidRPr="009909C5">
              <w:rPr>
                <w:color w:val="auto"/>
              </w:rPr>
              <w:t xml:space="preserve"> Liečba ramiprilom sa nesmie začať skôr ako 36 hodín po užití poslednej dávky sa</w:t>
            </w:r>
            <w:r w:rsidR="003E6865" w:rsidRPr="009909C5">
              <w:rPr>
                <w:color w:val="auto"/>
              </w:rPr>
              <w:t>k</w:t>
            </w:r>
            <w:r w:rsidR="0048605B" w:rsidRPr="009909C5">
              <w:rPr>
                <w:color w:val="auto"/>
              </w:rPr>
              <w:t xml:space="preserve">ubitrilu/valsartanu. </w:t>
            </w:r>
            <w:r w:rsidR="00BA114B" w:rsidRPr="009909C5">
              <w:rPr>
                <w:color w:val="auto"/>
              </w:rPr>
              <w:t>Liečba s</w:t>
            </w:r>
            <w:r w:rsidR="0048605B" w:rsidRPr="009909C5">
              <w:rPr>
                <w:color w:val="auto"/>
              </w:rPr>
              <w:t>a</w:t>
            </w:r>
            <w:r w:rsidR="003E6865" w:rsidRPr="009909C5">
              <w:rPr>
                <w:color w:val="auto"/>
              </w:rPr>
              <w:t>k</w:t>
            </w:r>
            <w:r w:rsidR="0048605B" w:rsidRPr="009909C5">
              <w:rPr>
                <w:color w:val="auto"/>
              </w:rPr>
              <w:t>ubitril</w:t>
            </w:r>
            <w:r w:rsidR="00BA114B" w:rsidRPr="009909C5">
              <w:rPr>
                <w:color w:val="auto"/>
              </w:rPr>
              <w:t>om</w:t>
            </w:r>
            <w:r w:rsidR="0048605B" w:rsidRPr="009909C5">
              <w:rPr>
                <w:color w:val="auto"/>
              </w:rPr>
              <w:t>/valsartan</w:t>
            </w:r>
            <w:r w:rsidR="00BA114B" w:rsidRPr="009909C5">
              <w:rPr>
                <w:color w:val="auto"/>
              </w:rPr>
              <w:t>om</w:t>
            </w:r>
            <w:r w:rsidR="0048605B" w:rsidRPr="009909C5">
              <w:rPr>
                <w:color w:val="auto"/>
              </w:rPr>
              <w:t xml:space="preserve"> </w:t>
            </w:r>
            <w:r w:rsidR="00BA114B" w:rsidRPr="009909C5">
              <w:rPr>
                <w:color w:val="auto"/>
              </w:rPr>
              <w:t>s</w:t>
            </w:r>
            <w:r w:rsidR="0048605B" w:rsidRPr="009909C5">
              <w:rPr>
                <w:color w:val="auto"/>
              </w:rPr>
              <w:t>a nesmie začať skôr ako 36 hodín po poslednej dávke</w:t>
            </w:r>
            <w:r w:rsidR="003E6865" w:rsidRPr="009909C5">
              <w:rPr>
                <w:color w:val="auto"/>
              </w:rPr>
              <w:t xml:space="preserve"> lieku</w:t>
            </w:r>
            <w:r w:rsidR="0048605B" w:rsidRPr="009909C5">
              <w:rPr>
                <w:color w:val="auto"/>
              </w:rPr>
              <w:t xml:space="preserve"> </w:t>
            </w:r>
            <w:r w:rsidR="00537DBD" w:rsidRPr="009909C5">
              <w:rPr>
                <w:color w:val="auto"/>
              </w:rPr>
              <w:t>Ramipril/Amlodipín/Hydrochlorotiazid Adamed</w:t>
            </w:r>
            <w:r w:rsidR="0048605B" w:rsidRPr="009909C5">
              <w:rPr>
                <w:color w:val="auto"/>
              </w:rPr>
              <w:t>.</w:t>
            </w:r>
          </w:p>
        </w:tc>
      </w:tr>
      <w:tr w:rsidR="00D44827" w:rsidRPr="009D7C92" w14:paraId="62542074" w14:textId="77777777" w:rsidTr="00D2494E">
        <w:tc>
          <w:tcPr>
            <w:tcW w:w="1951" w:type="dxa"/>
            <w:tcBorders>
              <w:top w:val="single" w:sz="4" w:space="0" w:color="auto"/>
              <w:right w:val="single" w:sz="4" w:space="0" w:color="7F7F7F"/>
            </w:tcBorders>
            <w:shd w:val="clear" w:color="auto" w:fill="FFFFFF"/>
          </w:tcPr>
          <w:p w14:paraId="442400B5" w14:textId="77777777" w:rsidR="00D44827" w:rsidRPr="009D7C92" w:rsidRDefault="003438CE" w:rsidP="00EE703D">
            <w:pPr>
              <w:jc w:val="left"/>
              <w:rPr>
                <w:rFonts w:eastAsia="Malgun Gothic"/>
                <w:iCs/>
                <w:color w:val="auto"/>
              </w:rPr>
            </w:pPr>
            <w:r w:rsidRPr="009D7C92">
              <w:rPr>
                <w:iCs/>
                <w:color w:val="auto"/>
              </w:rPr>
              <w:t>Amlodip</w:t>
            </w:r>
            <w:r w:rsidR="003E6865" w:rsidRPr="009D7C92">
              <w:rPr>
                <w:iCs/>
                <w:color w:val="auto"/>
              </w:rPr>
              <w:t>ín</w:t>
            </w:r>
          </w:p>
        </w:tc>
        <w:tc>
          <w:tcPr>
            <w:tcW w:w="3071" w:type="dxa"/>
            <w:tcBorders>
              <w:top w:val="single" w:sz="4" w:space="0" w:color="auto"/>
            </w:tcBorders>
            <w:shd w:val="clear" w:color="auto" w:fill="auto"/>
          </w:tcPr>
          <w:p w14:paraId="343C0150" w14:textId="77777777" w:rsidR="003438CE" w:rsidRPr="009D7C92" w:rsidRDefault="003438CE" w:rsidP="00211D25">
            <w:pPr>
              <w:jc w:val="left"/>
              <w:rPr>
                <w:color w:val="auto"/>
              </w:rPr>
            </w:pPr>
            <w:r w:rsidRPr="009D7C92">
              <w:rPr>
                <w:i/>
                <w:color w:val="auto"/>
              </w:rPr>
              <w:t>Grapefruit alebo grapefruitová šťava</w:t>
            </w:r>
          </w:p>
          <w:p w14:paraId="7D0B2091" w14:textId="77777777" w:rsidR="00D44827" w:rsidRPr="009D7C92" w:rsidRDefault="00D44827">
            <w:pPr>
              <w:jc w:val="left"/>
              <w:rPr>
                <w:color w:val="auto"/>
              </w:rPr>
            </w:pPr>
          </w:p>
        </w:tc>
        <w:tc>
          <w:tcPr>
            <w:tcW w:w="4300" w:type="dxa"/>
            <w:tcBorders>
              <w:top w:val="single" w:sz="4" w:space="0" w:color="auto"/>
            </w:tcBorders>
            <w:shd w:val="clear" w:color="auto" w:fill="auto"/>
          </w:tcPr>
          <w:p w14:paraId="2EED57F5" w14:textId="77777777" w:rsidR="00D44827" w:rsidRPr="009D7C92" w:rsidRDefault="003438CE">
            <w:pPr>
              <w:jc w:val="left"/>
              <w:rPr>
                <w:color w:val="auto"/>
              </w:rPr>
            </w:pPr>
            <w:r w:rsidRPr="009D7C92">
              <w:rPr>
                <w:color w:val="auto"/>
              </w:rPr>
              <w:t xml:space="preserve">Podávanie amlodipínu s grapefruitom alebo grapefruitovou šťavou sa neodporúča, pretože u niektorých pacientov sa môže vyskytnúť zvýšená biologická dostupnosť, čo povedie k zvýšeným účinkom na zníženie krvného tlaku. </w:t>
            </w:r>
          </w:p>
        </w:tc>
      </w:tr>
      <w:bookmarkEnd w:id="5"/>
    </w:tbl>
    <w:p w14:paraId="506DE2CC" w14:textId="1C878CEC" w:rsidR="00210DD8" w:rsidRDefault="00210DD8" w:rsidP="00243692">
      <w:pPr>
        <w:jc w:val="left"/>
        <w:rPr>
          <w:color w:val="auto"/>
        </w:rPr>
      </w:pPr>
    </w:p>
    <w:p w14:paraId="1735F5C1" w14:textId="0C21B38D" w:rsidR="009909C5" w:rsidRDefault="009909C5" w:rsidP="00243692">
      <w:pPr>
        <w:jc w:val="left"/>
        <w:rPr>
          <w:color w:val="auto"/>
        </w:rPr>
      </w:pPr>
    </w:p>
    <w:p w14:paraId="03F1D1D0" w14:textId="6F0AC4C5" w:rsidR="009909C5" w:rsidRDefault="009909C5" w:rsidP="00243692">
      <w:pPr>
        <w:jc w:val="left"/>
        <w:rPr>
          <w:color w:val="auto"/>
        </w:rPr>
      </w:pPr>
    </w:p>
    <w:p w14:paraId="0B2B99DA" w14:textId="77777777" w:rsidR="009909C5" w:rsidRPr="009D7C92" w:rsidRDefault="009909C5" w:rsidP="00243692">
      <w:pPr>
        <w:jc w:val="left"/>
        <w:rPr>
          <w:color w:val="auto"/>
        </w:rPr>
      </w:pPr>
    </w:p>
    <w:p w14:paraId="76773A86" w14:textId="7FA133EB" w:rsidR="00EB25B2" w:rsidRDefault="00323CDC" w:rsidP="00243692">
      <w:pPr>
        <w:jc w:val="left"/>
        <w:rPr>
          <w:color w:val="auto"/>
          <w:u w:val="single"/>
        </w:rPr>
      </w:pPr>
      <w:r w:rsidRPr="009D7C92">
        <w:rPr>
          <w:color w:val="auto"/>
          <w:u w:val="single"/>
        </w:rPr>
        <w:t xml:space="preserve">Bezpečnostné opatrenia </w:t>
      </w:r>
      <w:r w:rsidR="00BA114B" w:rsidRPr="009D7C92">
        <w:rPr>
          <w:color w:val="auto"/>
          <w:u w:val="single"/>
        </w:rPr>
        <w:t>pri</w:t>
      </w:r>
      <w:r w:rsidRPr="009D7C92">
        <w:rPr>
          <w:color w:val="auto"/>
          <w:u w:val="single"/>
        </w:rPr>
        <w:t xml:space="preserve"> používan</w:t>
      </w:r>
      <w:r w:rsidR="00BA114B" w:rsidRPr="009D7C92">
        <w:rPr>
          <w:color w:val="auto"/>
          <w:u w:val="single"/>
        </w:rPr>
        <w:t>í</w:t>
      </w:r>
      <w:bookmarkStart w:id="6" w:name="_Hlk531085954"/>
    </w:p>
    <w:p w14:paraId="51CB37FF" w14:textId="77777777" w:rsidR="00D05797" w:rsidRPr="009D7C92" w:rsidRDefault="00D05797" w:rsidP="00EE703D">
      <w:pPr>
        <w:jc w:val="left"/>
        <w:rPr>
          <w:i/>
          <w:color w:val="auto"/>
        </w:rPr>
      </w:pPr>
    </w:p>
    <w:tbl>
      <w:tblPr>
        <w:tblW w:w="9634" w:type="dxa"/>
        <w:tblLook w:val="04A0" w:firstRow="1" w:lastRow="0" w:firstColumn="1" w:lastColumn="0" w:noHBand="0" w:noVBand="1"/>
      </w:tblPr>
      <w:tblGrid>
        <w:gridCol w:w="3945"/>
        <w:gridCol w:w="1989"/>
        <w:gridCol w:w="3700"/>
      </w:tblGrid>
      <w:tr w:rsidR="00D05797" w:rsidRPr="009D7C92" w14:paraId="43A4F507" w14:textId="77777777" w:rsidTr="00071EE0">
        <w:tc>
          <w:tcPr>
            <w:tcW w:w="3945" w:type="dxa"/>
            <w:tcBorders>
              <w:bottom w:val="single" w:sz="4" w:space="0" w:color="auto"/>
              <w:right w:val="nil"/>
            </w:tcBorders>
            <w:shd w:val="clear" w:color="auto" w:fill="FFFFFF"/>
          </w:tcPr>
          <w:p w14:paraId="7C3021F3" w14:textId="39F662A1" w:rsidR="00D05797" w:rsidRPr="009D7C92" w:rsidRDefault="00537DBD" w:rsidP="00211D25">
            <w:pPr>
              <w:jc w:val="left"/>
              <w:rPr>
                <w:rFonts w:eastAsia="Malgun Gothic"/>
                <w:b/>
                <w:iCs/>
                <w:color w:val="auto"/>
              </w:rPr>
            </w:pPr>
            <w:r w:rsidRPr="009D7C92">
              <w:rPr>
                <w:b/>
                <w:iCs/>
                <w:color w:val="auto"/>
              </w:rPr>
              <w:t>Ramipril/Amlodipín/Hydrochlorotiazid Adamed</w:t>
            </w:r>
            <w:r w:rsidR="00D05797" w:rsidRPr="009D7C92">
              <w:rPr>
                <w:b/>
                <w:iCs/>
                <w:color w:val="auto"/>
              </w:rPr>
              <w:t xml:space="preserve"> jednotlivé </w:t>
            </w:r>
            <w:r w:rsidR="00BA114B" w:rsidRPr="009D7C92">
              <w:rPr>
                <w:b/>
                <w:iCs/>
                <w:color w:val="auto"/>
              </w:rPr>
              <w:t>liečivá</w:t>
            </w:r>
          </w:p>
        </w:tc>
        <w:tc>
          <w:tcPr>
            <w:tcW w:w="1989" w:type="dxa"/>
            <w:tcBorders>
              <w:bottom w:val="single" w:sz="4" w:space="0" w:color="auto"/>
            </w:tcBorders>
            <w:shd w:val="clear" w:color="auto" w:fill="FFFFFF"/>
          </w:tcPr>
          <w:p w14:paraId="5D937231" w14:textId="77777777" w:rsidR="00D05797" w:rsidRPr="009D7C92" w:rsidRDefault="00D05797">
            <w:pPr>
              <w:jc w:val="left"/>
              <w:rPr>
                <w:rFonts w:eastAsia="Malgun Gothic"/>
                <w:b/>
                <w:bCs/>
                <w:iCs/>
                <w:color w:val="auto"/>
              </w:rPr>
            </w:pPr>
            <w:r w:rsidRPr="009D7C92">
              <w:rPr>
                <w:b/>
                <w:bCs/>
                <w:iCs/>
                <w:color w:val="auto"/>
              </w:rPr>
              <w:t>Známe interakcie</w:t>
            </w:r>
          </w:p>
          <w:p w14:paraId="7C90B902" w14:textId="77777777" w:rsidR="00D05797" w:rsidRPr="009D7C92" w:rsidRDefault="00D05797">
            <w:pPr>
              <w:jc w:val="left"/>
              <w:rPr>
                <w:rFonts w:eastAsia="Malgun Gothic"/>
                <w:b/>
                <w:bCs/>
                <w:iCs/>
                <w:color w:val="auto"/>
              </w:rPr>
            </w:pPr>
            <w:r w:rsidRPr="009D7C92">
              <w:rPr>
                <w:b/>
                <w:bCs/>
                <w:iCs/>
                <w:color w:val="auto"/>
              </w:rPr>
              <w:t>s nasledovnými</w:t>
            </w:r>
          </w:p>
          <w:p w14:paraId="5716818E" w14:textId="3C328FE8" w:rsidR="00D05797" w:rsidRPr="009D7C92" w:rsidRDefault="000B7C74">
            <w:pPr>
              <w:jc w:val="left"/>
              <w:rPr>
                <w:rFonts w:eastAsia="Malgun Gothic"/>
                <w:iCs/>
                <w:color w:val="auto"/>
              </w:rPr>
            </w:pPr>
            <w:r w:rsidRPr="009D7C92">
              <w:rPr>
                <w:b/>
                <w:bCs/>
                <w:iCs/>
                <w:color w:val="auto"/>
              </w:rPr>
              <w:t>l</w:t>
            </w:r>
            <w:r w:rsidR="00BA114B" w:rsidRPr="009D7C92">
              <w:rPr>
                <w:b/>
                <w:bCs/>
                <w:iCs/>
                <w:color w:val="auto"/>
              </w:rPr>
              <w:t>iečivami</w:t>
            </w:r>
          </w:p>
        </w:tc>
        <w:tc>
          <w:tcPr>
            <w:tcW w:w="3700" w:type="dxa"/>
            <w:tcBorders>
              <w:bottom w:val="single" w:sz="4" w:space="0" w:color="auto"/>
            </w:tcBorders>
            <w:shd w:val="clear" w:color="auto" w:fill="FFFFFF"/>
          </w:tcPr>
          <w:p w14:paraId="1574F9EF" w14:textId="7AC793D0" w:rsidR="00D05797" w:rsidRPr="009D7C92" w:rsidRDefault="00D05797">
            <w:pPr>
              <w:jc w:val="left"/>
              <w:rPr>
                <w:rFonts w:eastAsia="Malgun Gothic"/>
                <w:iCs/>
                <w:color w:val="auto"/>
              </w:rPr>
            </w:pPr>
            <w:r w:rsidRPr="009D7C92">
              <w:rPr>
                <w:b/>
                <w:bCs/>
                <w:iCs/>
                <w:color w:val="auto"/>
              </w:rPr>
              <w:t xml:space="preserve">Vplyv interakcie s inými </w:t>
            </w:r>
            <w:r w:rsidR="00BA114B" w:rsidRPr="009D7C92">
              <w:rPr>
                <w:b/>
                <w:bCs/>
                <w:iCs/>
                <w:color w:val="auto"/>
              </w:rPr>
              <w:t>liečivami</w:t>
            </w:r>
          </w:p>
        </w:tc>
      </w:tr>
      <w:tr w:rsidR="00667F86" w:rsidRPr="009D7C92" w14:paraId="3D3A5B60" w14:textId="77777777" w:rsidTr="00032D0E">
        <w:tc>
          <w:tcPr>
            <w:tcW w:w="3945" w:type="dxa"/>
            <w:vMerge w:val="restart"/>
            <w:tcBorders>
              <w:top w:val="single" w:sz="4" w:space="0" w:color="auto"/>
              <w:right w:val="single" w:sz="4" w:space="0" w:color="7F7F7F"/>
            </w:tcBorders>
            <w:shd w:val="clear" w:color="auto" w:fill="FFFFFF"/>
          </w:tcPr>
          <w:p w14:paraId="570D101A" w14:textId="6651C251" w:rsidR="00EB25B2" w:rsidRDefault="00667F86" w:rsidP="00EE703D">
            <w:pPr>
              <w:jc w:val="left"/>
              <w:rPr>
                <w:iCs/>
                <w:color w:val="auto"/>
              </w:rPr>
            </w:pPr>
            <w:r w:rsidRPr="009D7C92">
              <w:rPr>
                <w:iCs/>
                <w:color w:val="auto"/>
              </w:rPr>
              <w:t>Ramipril</w:t>
            </w:r>
          </w:p>
          <w:p w14:paraId="322F8F90" w14:textId="77777777" w:rsidR="00667F86" w:rsidRPr="009D7C92" w:rsidRDefault="00667F86" w:rsidP="00211D25">
            <w:pPr>
              <w:jc w:val="left"/>
              <w:rPr>
                <w:rFonts w:eastAsia="Malgun Gothic"/>
                <w:i/>
                <w:color w:val="auto"/>
              </w:rPr>
            </w:pPr>
            <w:r w:rsidRPr="009D7C92">
              <w:rPr>
                <w:iCs/>
                <w:color w:val="auto"/>
              </w:rPr>
              <w:t>a</w:t>
            </w:r>
          </w:p>
          <w:p w14:paraId="65A3668B" w14:textId="77777777" w:rsidR="00667F86" w:rsidRPr="009D7C92" w:rsidRDefault="00E42261">
            <w:pPr>
              <w:jc w:val="left"/>
              <w:rPr>
                <w:rFonts w:eastAsia="Malgun Gothic"/>
                <w:iCs/>
                <w:color w:val="auto"/>
              </w:rPr>
            </w:pPr>
            <w:r w:rsidRPr="009D7C92">
              <w:rPr>
                <w:iCs/>
                <w:color w:val="auto"/>
              </w:rPr>
              <w:t>HCT</w:t>
            </w:r>
            <w:r w:rsidR="000B7C74" w:rsidRPr="009D7C92">
              <w:rPr>
                <w:iCs/>
                <w:color w:val="auto"/>
              </w:rPr>
              <w:t>Z</w:t>
            </w:r>
          </w:p>
          <w:p w14:paraId="48A1DD87" w14:textId="77777777" w:rsidR="00667F86" w:rsidRPr="009D7C92" w:rsidRDefault="00667F86">
            <w:pPr>
              <w:jc w:val="left"/>
              <w:rPr>
                <w:rFonts w:eastAsia="Malgun Gothic"/>
                <w:i/>
                <w:color w:val="auto"/>
              </w:rPr>
            </w:pPr>
            <w:r w:rsidRPr="009D7C92">
              <w:rPr>
                <w:iCs/>
                <w:color w:val="auto"/>
              </w:rPr>
              <w:t>Ramipril</w:t>
            </w:r>
          </w:p>
          <w:p w14:paraId="04BC67A0" w14:textId="77777777" w:rsidR="00667F86" w:rsidRPr="009D7C92" w:rsidRDefault="00667F86">
            <w:pPr>
              <w:jc w:val="left"/>
              <w:rPr>
                <w:rFonts w:eastAsia="Malgun Gothic"/>
                <w:iCs/>
                <w:color w:val="auto"/>
              </w:rPr>
            </w:pPr>
          </w:p>
        </w:tc>
        <w:tc>
          <w:tcPr>
            <w:tcW w:w="1989" w:type="dxa"/>
            <w:tcBorders>
              <w:top w:val="single" w:sz="4" w:space="0" w:color="auto"/>
              <w:bottom w:val="single" w:sz="4" w:space="0" w:color="auto"/>
            </w:tcBorders>
            <w:shd w:val="clear" w:color="auto" w:fill="F2F2F2"/>
          </w:tcPr>
          <w:p w14:paraId="4AE027F6" w14:textId="77777777" w:rsidR="00667F86" w:rsidRPr="009D7C92" w:rsidRDefault="00667F86">
            <w:pPr>
              <w:jc w:val="left"/>
              <w:rPr>
                <w:i/>
                <w:color w:val="auto"/>
              </w:rPr>
            </w:pPr>
            <w:r w:rsidRPr="009D7C92">
              <w:rPr>
                <w:i/>
                <w:color w:val="auto"/>
              </w:rPr>
              <w:t>Nesteroidné protizápalové lieky a kyselina acetylsalicylová</w:t>
            </w:r>
          </w:p>
        </w:tc>
        <w:tc>
          <w:tcPr>
            <w:tcW w:w="3700" w:type="dxa"/>
            <w:tcBorders>
              <w:top w:val="single" w:sz="4" w:space="0" w:color="auto"/>
              <w:bottom w:val="single" w:sz="4" w:space="0" w:color="auto"/>
            </w:tcBorders>
            <w:shd w:val="clear" w:color="auto" w:fill="F2F2F2"/>
          </w:tcPr>
          <w:p w14:paraId="1469E31C" w14:textId="557E9F47" w:rsidR="00667F86" w:rsidRPr="009D7C92" w:rsidRDefault="00667F86">
            <w:pPr>
              <w:jc w:val="left"/>
              <w:rPr>
                <w:color w:val="auto"/>
              </w:rPr>
            </w:pPr>
            <w:r w:rsidRPr="009D7C92">
              <w:rPr>
                <w:color w:val="auto"/>
              </w:rPr>
              <w:t>Predpokladá sa zníženie antihypertenz</w:t>
            </w:r>
            <w:r w:rsidR="00BA114B" w:rsidRPr="009D7C92">
              <w:rPr>
                <w:color w:val="auto"/>
              </w:rPr>
              <w:t>ív</w:t>
            </w:r>
            <w:r w:rsidRPr="009D7C92">
              <w:rPr>
                <w:color w:val="auto"/>
              </w:rPr>
              <w:t>n</w:t>
            </w:r>
            <w:r w:rsidR="00BA114B" w:rsidRPr="009D7C92">
              <w:rPr>
                <w:color w:val="auto"/>
              </w:rPr>
              <w:t>e</w:t>
            </w:r>
            <w:r w:rsidRPr="009D7C92">
              <w:rPr>
                <w:color w:val="auto"/>
              </w:rPr>
              <w:t xml:space="preserve">ho účinku ramiprilu a HCTZ. Okrem toho súbežná liečba inhibítormi </w:t>
            </w:r>
            <w:r w:rsidR="00F87817" w:rsidRPr="009D7C92">
              <w:rPr>
                <w:color w:val="auto"/>
              </w:rPr>
              <w:t xml:space="preserve">v </w:t>
            </w:r>
            <w:r w:rsidR="00CB6CD7" w:rsidRPr="009D7C92">
              <w:rPr>
                <w:color w:val="auto"/>
              </w:rPr>
              <w:t xml:space="preserve">lieku </w:t>
            </w:r>
            <w:r w:rsidR="00537DBD" w:rsidRPr="009D7C92">
              <w:rPr>
                <w:color w:val="auto"/>
              </w:rPr>
              <w:t>Ramipril/Amlodipín/Hydrochlorotiazid Adamed</w:t>
            </w:r>
            <w:r w:rsidRPr="009D7C92">
              <w:rPr>
                <w:color w:val="auto"/>
              </w:rPr>
              <w:t xml:space="preserve"> a NSAID môže viesť k zvýšenému riziku zhoršenia funkcie obličiek a ku zvýšeniu kal</w:t>
            </w:r>
            <w:r w:rsidR="00CB6CD7" w:rsidRPr="009D7C92">
              <w:rPr>
                <w:color w:val="auto"/>
              </w:rPr>
              <w:t>i</w:t>
            </w:r>
            <w:r w:rsidRPr="009D7C92">
              <w:rPr>
                <w:color w:val="auto"/>
              </w:rPr>
              <w:t>émie. Preto sa odporúča monitorovanie funkcie obličiek na začiatku liečby, ako aj primeraná hydratácia pacienta.</w:t>
            </w:r>
          </w:p>
        </w:tc>
      </w:tr>
      <w:tr w:rsidR="00667F86" w:rsidRPr="009D7C92" w14:paraId="3BE94D99" w14:textId="77777777" w:rsidTr="00032D0E">
        <w:tc>
          <w:tcPr>
            <w:tcW w:w="3945" w:type="dxa"/>
            <w:vMerge/>
            <w:tcBorders>
              <w:right w:val="single" w:sz="4" w:space="0" w:color="7F7F7F"/>
            </w:tcBorders>
            <w:shd w:val="clear" w:color="auto" w:fill="FFFFFF"/>
          </w:tcPr>
          <w:p w14:paraId="02D0402E" w14:textId="77777777" w:rsidR="00667F86" w:rsidRPr="009D7C92" w:rsidRDefault="00667F86">
            <w:pPr>
              <w:jc w:val="left"/>
              <w:rPr>
                <w:rFonts w:eastAsia="Malgun Gothic"/>
                <w:iCs/>
                <w:color w:val="auto"/>
              </w:rPr>
            </w:pPr>
          </w:p>
        </w:tc>
        <w:tc>
          <w:tcPr>
            <w:tcW w:w="1989" w:type="dxa"/>
            <w:tcBorders>
              <w:top w:val="single" w:sz="4" w:space="0" w:color="auto"/>
              <w:bottom w:val="single" w:sz="4" w:space="0" w:color="auto"/>
            </w:tcBorders>
            <w:shd w:val="clear" w:color="auto" w:fill="auto"/>
          </w:tcPr>
          <w:p w14:paraId="0A3AD112" w14:textId="1A455441" w:rsidR="005339A5" w:rsidRPr="009D7C92" w:rsidRDefault="00544D3C">
            <w:pPr>
              <w:jc w:val="left"/>
              <w:rPr>
                <w:i/>
                <w:color w:val="auto"/>
              </w:rPr>
            </w:pPr>
            <w:r>
              <w:rPr>
                <w:i/>
                <w:color w:val="auto"/>
              </w:rPr>
              <w:t>D</w:t>
            </w:r>
            <w:r w:rsidR="001002F5">
              <w:rPr>
                <w:i/>
                <w:color w:val="auto"/>
              </w:rPr>
              <w:t>raslík</w:t>
            </w:r>
            <w:r w:rsidR="00667F86" w:rsidRPr="009D7C92">
              <w:rPr>
                <w:i/>
                <w:color w:val="auto"/>
              </w:rPr>
              <w:t xml:space="preserve"> </w:t>
            </w:r>
            <w:r w:rsidR="001002F5">
              <w:rPr>
                <w:i/>
                <w:color w:val="auto"/>
              </w:rPr>
              <w:t>šetriace</w:t>
            </w:r>
            <w:r w:rsidR="001002F5" w:rsidRPr="009D7C92">
              <w:rPr>
                <w:i/>
                <w:color w:val="auto"/>
              </w:rPr>
              <w:t xml:space="preserve"> d</w:t>
            </w:r>
            <w:r w:rsidR="001002F5">
              <w:rPr>
                <w:i/>
                <w:color w:val="auto"/>
              </w:rPr>
              <w:t>iuretiká</w:t>
            </w:r>
            <w:r>
              <w:rPr>
                <w:i/>
                <w:color w:val="auto"/>
              </w:rPr>
              <w:t xml:space="preserve">, doplnky draslíka alebo </w:t>
            </w:r>
            <w:r w:rsidR="00093F74">
              <w:rPr>
                <w:i/>
                <w:color w:val="auto"/>
              </w:rPr>
              <w:t xml:space="preserve">náhrady </w:t>
            </w:r>
            <w:r w:rsidR="005339A5">
              <w:rPr>
                <w:i/>
                <w:color w:val="auto"/>
              </w:rPr>
              <w:t>sol</w:t>
            </w:r>
            <w:r w:rsidR="00093F74">
              <w:rPr>
                <w:i/>
                <w:color w:val="auto"/>
              </w:rPr>
              <w:t>í obsahujúcich</w:t>
            </w:r>
            <w:r w:rsidR="00071EE0">
              <w:rPr>
                <w:i/>
                <w:color w:val="auto"/>
              </w:rPr>
              <w:t xml:space="preserve"> d</w:t>
            </w:r>
            <w:r w:rsidR="00093F74" w:rsidRPr="00032D0E">
              <w:rPr>
                <w:i/>
                <w:color w:val="auto"/>
              </w:rPr>
              <w:t>raslík</w:t>
            </w:r>
          </w:p>
        </w:tc>
        <w:tc>
          <w:tcPr>
            <w:tcW w:w="3700" w:type="dxa"/>
            <w:tcBorders>
              <w:top w:val="single" w:sz="4" w:space="0" w:color="auto"/>
              <w:bottom w:val="single" w:sz="4" w:space="0" w:color="auto"/>
            </w:tcBorders>
            <w:shd w:val="clear" w:color="auto" w:fill="auto"/>
          </w:tcPr>
          <w:p w14:paraId="1F5285F2" w14:textId="229852FC" w:rsidR="00667F86" w:rsidRPr="009D7C92" w:rsidRDefault="009909C5">
            <w:pPr>
              <w:jc w:val="left"/>
              <w:rPr>
                <w:color w:val="auto"/>
              </w:rPr>
            </w:pPr>
            <w:r w:rsidRPr="00032D0E">
              <w:t xml:space="preserve">Hoci hladiny draslíka v sére zvyčajne zostávajú v rámci normálnych hodnôt, u niektorých pacientov liečených </w:t>
            </w:r>
            <w:r w:rsidR="001002F5">
              <w:t>ramipri</w:t>
            </w:r>
            <w:r w:rsidRPr="00032D0E">
              <w:t xml:space="preserve">lom sa môže vyskytnúť hyperkaliémia. Užívanie draslík šetriacich diuretík (napr. spironolaktón, triamterén alebo amilorid), doplnkov draslíka alebo náhrad solí obsahujúcich draslík môže viesť k významnému zvýšeniu hladín draslíka v sére. Opatrnosť je tiež potrebná pri súbežnom podávaní </w:t>
            </w:r>
            <w:r w:rsidR="001002F5">
              <w:t>rami</w:t>
            </w:r>
            <w:r w:rsidRPr="00032D0E">
              <w:t>prilu s inými liekmi, ktoré zvyšujú hladinu draslíka v sére, napríklad trimetoprim a kotrimoxazol (trimetoprim/sulfametoxazol), ke</w:t>
            </w:r>
            <w:r w:rsidR="001002F5">
              <w:t>ď</w:t>
            </w:r>
            <w:r w:rsidRPr="00032D0E">
              <w:t xml:space="preserve">že trimetoprim pôsobí ako draslík šetriace diuretikum, rovnako ako amilorid. Preto sa užívanie </w:t>
            </w:r>
            <w:r w:rsidR="001002F5">
              <w:t>rami</w:t>
            </w:r>
            <w:r w:rsidRPr="00032D0E">
              <w:t>prilu v kombinácii s vyššie uvedenými liekmi neodporúča. Ak je indikované ich súbežné užívanie, majú sa užívať s opatrnosťou a majú sa často sledovať hladiny draslíka v sére.</w:t>
            </w:r>
            <w:r w:rsidR="005339A5">
              <w:t xml:space="preserve"> </w:t>
            </w:r>
          </w:p>
        </w:tc>
      </w:tr>
      <w:tr w:rsidR="005339A5" w:rsidRPr="009D7C92" w14:paraId="08373C7E" w14:textId="77777777" w:rsidTr="00032D0E">
        <w:tc>
          <w:tcPr>
            <w:tcW w:w="3945" w:type="dxa"/>
            <w:vMerge/>
            <w:tcBorders>
              <w:right w:val="single" w:sz="4" w:space="0" w:color="7F7F7F"/>
            </w:tcBorders>
            <w:shd w:val="clear" w:color="auto" w:fill="FFFFFF"/>
          </w:tcPr>
          <w:p w14:paraId="07035D1B" w14:textId="77777777" w:rsidR="005339A5" w:rsidRPr="009D7C92" w:rsidRDefault="005339A5">
            <w:pPr>
              <w:jc w:val="left"/>
              <w:rPr>
                <w:rFonts w:eastAsia="Malgun Gothic"/>
                <w:iCs/>
                <w:color w:val="auto"/>
              </w:rPr>
            </w:pPr>
          </w:p>
        </w:tc>
        <w:tc>
          <w:tcPr>
            <w:tcW w:w="1989" w:type="dxa"/>
            <w:tcBorders>
              <w:top w:val="single" w:sz="4" w:space="0" w:color="auto"/>
              <w:bottom w:val="single" w:sz="4" w:space="0" w:color="auto"/>
            </w:tcBorders>
            <w:shd w:val="clear" w:color="auto" w:fill="E7E6E6" w:themeFill="background2"/>
          </w:tcPr>
          <w:p w14:paraId="27178B82" w14:textId="76006E5B" w:rsidR="005339A5" w:rsidRPr="005339A5" w:rsidDel="00544D3C" w:rsidRDefault="005339A5">
            <w:pPr>
              <w:jc w:val="left"/>
              <w:rPr>
                <w:i/>
                <w:color w:val="auto"/>
              </w:rPr>
            </w:pPr>
            <w:r w:rsidRPr="005339A5">
              <w:rPr>
                <w:i/>
                <w:color w:val="auto"/>
              </w:rPr>
              <w:t>Hepar</w:t>
            </w:r>
            <w:r w:rsidR="000F456E">
              <w:rPr>
                <w:i/>
                <w:color w:val="auto"/>
              </w:rPr>
              <w:t>í</w:t>
            </w:r>
            <w:r w:rsidRPr="005339A5">
              <w:rPr>
                <w:i/>
                <w:color w:val="auto"/>
              </w:rPr>
              <w:t>n</w:t>
            </w:r>
          </w:p>
        </w:tc>
        <w:tc>
          <w:tcPr>
            <w:tcW w:w="3700" w:type="dxa"/>
            <w:tcBorders>
              <w:top w:val="single" w:sz="4" w:space="0" w:color="auto"/>
              <w:bottom w:val="single" w:sz="4" w:space="0" w:color="auto"/>
            </w:tcBorders>
            <w:shd w:val="clear" w:color="auto" w:fill="E7E6E6" w:themeFill="background2"/>
          </w:tcPr>
          <w:p w14:paraId="4D4FC4A1" w14:textId="474E8FC2" w:rsidR="005339A5" w:rsidRPr="005339A5" w:rsidRDefault="00071EE0" w:rsidP="005339A5">
            <w:pPr>
              <w:jc w:val="left"/>
            </w:pPr>
            <w:r w:rsidRPr="00071EE0">
              <w:rPr>
                <w:color w:val="auto"/>
              </w:rPr>
              <w:t>Pri sú</w:t>
            </w:r>
            <w:r>
              <w:rPr>
                <w:color w:val="auto"/>
              </w:rPr>
              <w:t xml:space="preserve">bežnom </w:t>
            </w:r>
            <w:r w:rsidRPr="00071EE0">
              <w:rPr>
                <w:color w:val="auto"/>
              </w:rPr>
              <w:t>použití ACE inhibítorov s heparínom sa môže vyskytnúť hyperkaliémia. Odporúča sa monitorovanie draslíka v sére.</w:t>
            </w:r>
          </w:p>
        </w:tc>
      </w:tr>
      <w:tr w:rsidR="00071EE0" w:rsidRPr="009D7C92" w14:paraId="32B705B3" w14:textId="77777777" w:rsidTr="00071EE0">
        <w:tc>
          <w:tcPr>
            <w:tcW w:w="3945" w:type="dxa"/>
            <w:vMerge/>
            <w:tcBorders>
              <w:right w:val="single" w:sz="4" w:space="0" w:color="7F7F7F"/>
            </w:tcBorders>
            <w:shd w:val="clear" w:color="auto" w:fill="FFFFFF"/>
          </w:tcPr>
          <w:p w14:paraId="032C8D6F" w14:textId="77777777" w:rsidR="00071EE0" w:rsidRPr="009D7C92" w:rsidRDefault="00071EE0" w:rsidP="00071EE0">
            <w:pPr>
              <w:jc w:val="left"/>
              <w:rPr>
                <w:rFonts w:eastAsia="Malgun Gothic"/>
                <w:iCs/>
                <w:color w:val="auto"/>
              </w:rPr>
            </w:pPr>
          </w:p>
        </w:tc>
        <w:tc>
          <w:tcPr>
            <w:tcW w:w="1989" w:type="dxa"/>
            <w:tcBorders>
              <w:top w:val="single" w:sz="4" w:space="0" w:color="auto"/>
              <w:bottom w:val="single" w:sz="4" w:space="0" w:color="auto"/>
            </w:tcBorders>
            <w:shd w:val="clear" w:color="auto" w:fill="auto"/>
          </w:tcPr>
          <w:p w14:paraId="5F3A971E" w14:textId="69F421B0" w:rsidR="00071EE0" w:rsidRDefault="00071EE0" w:rsidP="00071EE0">
            <w:pPr>
              <w:jc w:val="left"/>
              <w:rPr>
                <w:i/>
                <w:color w:val="auto"/>
              </w:rPr>
            </w:pPr>
            <w:r>
              <w:rPr>
                <w:i/>
                <w:color w:val="auto"/>
              </w:rPr>
              <w:t>Cyklosporín</w:t>
            </w:r>
          </w:p>
        </w:tc>
        <w:tc>
          <w:tcPr>
            <w:tcW w:w="3700" w:type="dxa"/>
            <w:tcBorders>
              <w:top w:val="single" w:sz="4" w:space="0" w:color="auto"/>
              <w:bottom w:val="single" w:sz="4" w:space="0" w:color="auto"/>
            </w:tcBorders>
            <w:shd w:val="clear" w:color="auto" w:fill="auto"/>
          </w:tcPr>
          <w:p w14:paraId="65C431CA" w14:textId="61B508A3" w:rsidR="00071EE0" w:rsidRPr="009909C5" w:rsidRDefault="00071EE0" w:rsidP="00071EE0">
            <w:pPr>
              <w:jc w:val="left"/>
              <w:rPr>
                <w:color w:val="auto"/>
              </w:rPr>
            </w:pPr>
            <w:r w:rsidRPr="00071EE0">
              <w:rPr>
                <w:color w:val="auto"/>
              </w:rPr>
              <w:t>Pri sú</w:t>
            </w:r>
            <w:r>
              <w:rPr>
                <w:color w:val="auto"/>
              </w:rPr>
              <w:t xml:space="preserve">bežnom </w:t>
            </w:r>
            <w:r w:rsidRPr="00071EE0">
              <w:rPr>
                <w:color w:val="auto"/>
              </w:rPr>
              <w:t xml:space="preserve">použití ACE inhibítorov s </w:t>
            </w:r>
            <w:r>
              <w:rPr>
                <w:color w:val="auto"/>
              </w:rPr>
              <w:t>cyklosporínom</w:t>
            </w:r>
            <w:r w:rsidRPr="00071EE0">
              <w:rPr>
                <w:color w:val="auto"/>
              </w:rPr>
              <w:t xml:space="preserve"> sa môže vyskytnúť hyperkaliémia. Odporúča sa monitorovanie draslíka v sére.</w:t>
            </w:r>
          </w:p>
        </w:tc>
      </w:tr>
      <w:tr w:rsidR="00071EE0" w:rsidRPr="009D7C92" w14:paraId="19EFF5EA" w14:textId="77777777" w:rsidTr="00032D0E">
        <w:tc>
          <w:tcPr>
            <w:tcW w:w="3945" w:type="dxa"/>
            <w:vMerge/>
            <w:tcBorders>
              <w:right w:val="single" w:sz="4" w:space="0" w:color="7F7F7F"/>
            </w:tcBorders>
            <w:shd w:val="clear" w:color="auto" w:fill="FFFFFF"/>
          </w:tcPr>
          <w:p w14:paraId="0052BD04" w14:textId="77777777" w:rsidR="00071EE0" w:rsidRPr="009D7C92" w:rsidRDefault="00071EE0" w:rsidP="00071EE0">
            <w:pPr>
              <w:jc w:val="left"/>
              <w:rPr>
                <w:rFonts w:eastAsia="Malgun Gothic"/>
                <w:iCs/>
                <w:color w:val="auto"/>
              </w:rPr>
            </w:pPr>
          </w:p>
        </w:tc>
        <w:tc>
          <w:tcPr>
            <w:tcW w:w="1989" w:type="dxa"/>
            <w:tcBorders>
              <w:top w:val="single" w:sz="4" w:space="0" w:color="auto"/>
              <w:bottom w:val="single" w:sz="4" w:space="0" w:color="auto"/>
            </w:tcBorders>
            <w:shd w:val="clear" w:color="auto" w:fill="F2F2F2"/>
          </w:tcPr>
          <w:p w14:paraId="0129F6C2" w14:textId="77777777" w:rsidR="00071EE0" w:rsidRPr="009D7C92" w:rsidRDefault="00071EE0" w:rsidP="00071EE0">
            <w:pPr>
              <w:jc w:val="left"/>
              <w:rPr>
                <w:color w:val="auto"/>
              </w:rPr>
            </w:pPr>
            <w:r w:rsidRPr="009D7C92">
              <w:rPr>
                <w:i/>
                <w:color w:val="auto"/>
              </w:rPr>
              <w:t xml:space="preserve">Nitráty, tricyklické antidepresíva, anestetiká, akútny príjem alkoholu, </w:t>
            </w:r>
            <w:r w:rsidRPr="009D7C92">
              <w:rPr>
                <w:i/>
                <w:color w:val="auto"/>
              </w:rPr>
              <w:lastRenderedPageBreak/>
              <w:t>baklofén, alfuzosín, doxazosín, prazosín, tamsulozín, terazosín</w:t>
            </w:r>
          </w:p>
        </w:tc>
        <w:tc>
          <w:tcPr>
            <w:tcW w:w="3700" w:type="dxa"/>
            <w:tcBorders>
              <w:top w:val="single" w:sz="4" w:space="0" w:color="auto"/>
              <w:bottom w:val="single" w:sz="4" w:space="0" w:color="auto"/>
            </w:tcBorders>
            <w:shd w:val="clear" w:color="auto" w:fill="F2F2F2"/>
          </w:tcPr>
          <w:p w14:paraId="41EC1BB6" w14:textId="2E311D66" w:rsidR="00071EE0" w:rsidRPr="009D7C92" w:rsidRDefault="00071EE0" w:rsidP="00071EE0">
            <w:pPr>
              <w:jc w:val="left"/>
              <w:rPr>
                <w:color w:val="auto"/>
              </w:rPr>
            </w:pPr>
            <w:r w:rsidRPr="009D7C92">
              <w:rPr>
                <w:color w:val="auto"/>
              </w:rPr>
              <w:lastRenderedPageBreak/>
              <w:t>Predpokladá sa zvýšenie rizika hypotenzie (pozri časť 4.2 pre diuretiká).</w:t>
            </w:r>
          </w:p>
        </w:tc>
      </w:tr>
      <w:tr w:rsidR="00071EE0" w:rsidRPr="009D7C92" w14:paraId="50B85EC3" w14:textId="77777777" w:rsidTr="00071EE0">
        <w:tc>
          <w:tcPr>
            <w:tcW w:w="3945" w:type="dxa"/>
            <w:vMerge/>
            <w:tcBorders>
              <w:right w:val="single" w:sz="4" w:space="0" w:color="7F7F7F"/>
            </w:tcBorders>
            <w:shd w:val="clear" w:color="auto" w:fill="FFFFFF"/>
          </w:tcPr>
          <w:p w14:paraId="25B9D42C" w14:textId="77777777" w:rsidR="00071EE0" w:rsidRPr="009D7C92" w:rsidRDefault="00071EE0" w:rsidP="00071EE0">
            <w:pPr>
              <w:jc w:val="left"/>
              <w:rPr>
                <w:rFonts w:eastAsia="Malgun Gothic"/>
                <w:iCs/>
                <w:color w:val="auto"/>
              </w:rPr>
            </w:pPr>
          </w:p>
        </w:tc>
        <w:tc>
          <w:tcPr>
            <w:tcW w:w="1989" w:type="dxa"/>
            <w:tcBorders>
              <w:top w:val="single" w:sz="4" w:space="0" w:color="auto"/>
              <w:bottom w:val="single" w:sz="4" w:space="0" w:color="auto"/>
            </w:tcBorders>
            <w:shd w:val="clear" w:color="auto" w:fill="auto"/>
          </w:tcPr>
          <w:p w14:paraId="650D5E5E" w14:textId="7D0DEEAF" w:rsidR="00071EE0" w:rsidRPr="009D7C92" w:rsidRDefault="00071EE0" w:rsidP="00071EE0">
            <w:pPr>
              <w:jc w:val="left"/>
              <w:rPr>
                <w:i/>
                <w:color w:val="auto"/>
              </w:rPr>
            </w:pPr>
            <w:r w:rsidRPr="009D7C92">
              <w:rPr>
                <w:i/>
                <w:color w:val="auto"/>
              </w:rPr>
              <w:t xml:space="preserve">Vazopresorické sympatomimetiká a iné liečivá (napr. izoproterenol, dobutamín, dopamín, </w:t>
            </w:r>
            <w:r w:rsidRPr="00DB566D">
              <w:rPr>
                <w:i/>
                <w:color w:val="auto"/>
              </w:rPr>
              <w:t>adrenalín),</w:t>
            </w:r>
            <w:r w:rsidRPr="009D7C92">
              <w:rPr>
                <w:i/>
                <w:color w:val="auto"/>
              </w:rPr>
              <w:t xml:space="preserve"> ktoré môžu znížiť antihypertenzívny účinok ramiprilu</w:t>
            </w:r>
          </w:p>
        </w:tc>
        <w:tc>
          <w:tcPr>
            <w:tcW w:w="3700" w:type="dxa"/>
            <w:tcBorders>
              <w:top w:val="single" w:sz="4" w:space="0" w:color="auto"/>
              <w:bottom w:val="single" w:sz="4" w:space="0" w:color="auto"/>
            </w:tcBorders>
            <w:shd w:val="clear" w:color="auto" w:fill="auto"/>
          </w:tcPr>
          <w:p w14:paraId="4CEA39CD" w14:textId="77777777" w:rsidR="00071EE0" w:rsidRPr="009D7C92" w:rsidRDefault="00071EE0" w:rsidP="00071EE0">
            <w:pPr>
              <w:jc w:val="left"/>
              <w:rPr>
                <w:color w:val="auto"/>
              </w:rPr>
            </w:pPr>
            <w:r w:rsidRPr="009D7C92">
              <w:rPr>
                <w:color w:val="auto"/>
              </w:rPr>
              <w:t>Odporúča sa monitorovanie krvného tlaku. Hydrochlorotiazid môže zmierniť účinok vazopresorických sympatomimetík.</w:t>
            </w:r>
          </w:p>
        </w:tc>
      </w:tr>
      <w:tr w:rsidR="00071EE0" w:rsidRPr="009D7C92" w14:paraId="581F0981" w14:textId="77777777" w:rsidTr="00071EE0">
        <w:tc>
          <w:tcPr>
            <w:tcW w:w="3945" w:type="dxa"/>
            <w:vMerge/>
            <w:tcBorders>
              <w:right w:val="single" w:sz="4" w:space="0" w:color="7F7F7F"/>
            </w:tcBorders>
            <w:shd w:val="clear" w:color="auto" w:fill="FFFFFF"/>
          </w:tcPr>
          <w:p w14:paraId="4C185141" w14:textId="77777777" w:rsidR="00071EE0" w:rsidRPr="009D7C92" w:rsidRDefault="00071EE0" w:rsidP="00071EE0">
            <w:pPr>
              <w:jc w:val="left"/>
              <w:rPr>
                <w:rFonts w:eastAsia="Malgun Gothic"/>
                <w:iCs/>
                <w:color w:val="auto"/>
              </w:rPr>
            </w:pPr>
          </w:p>
        </w:tc>
        <w:tc>
          <w:tcPr>
            <w:tcW w:w="1989" w:type="dxa"/>
            <w:tcBorders>
              <w:top w:val="single" w:sz="4" w:space="0" w:color="auto"/>
              <w:bottom w:val="single" w:sz="4" w:space="0" w:color="auto"/>
            </w:tcBorders>
            <w:shd w:val="clear" w:color="auto" w:fill="F2F2F2"/>
          </w:tcPr>
          <w:p w14:paraId="5BF21276" w14:textId="24C20DAE" w:rsidR="00071EE0" w:rsidRPr="009D7C92" w:rsidRDefault="00071EE0" w:rsidP="00071EE0">
            <w:pPr>
              <w:jc w:val="left"/>
              <w:rPr>
                <w:i/>
                <w:color w:val="auto"/>
              </w:rPr>
            </w:pPr>
            <w:r w:rsidRPr="009D7C92">
              <w:rPr>
                <w:i/>
                <w:color w:val="auto"/>
              </w:rPr>
              <w:t>Alopurinol, imunosupresíva, kortikosteroidy, prokaínamid, cytostatiká a iné liečivá, ktoré môžu zmeniť počet krvných buniek</w:t>
            </w:r>
          </w:p>
        </w:tc>
        <w:tc>
          <w:tcPr>
            <w:tcW w:w="3700" w:type="dxa"/>
            <w:tcBorders>
              <w:top w:val="single" w:sz="4" w:space="0" w:color="auto"/>
              <w:bottom w:val="single" w:sz="4" w:space="0" w:color="auto"/>
            </w:tcBorders>
            <w:shd w:val="clear" w:color="auto" w:fill="F2F2F2"/>
          </w:tcPr>
          <w:p w14:paraId="70BB2FA0" w14:textId="43938C0D" w:rsidR="00071EE0" w:rsidRPr="009D7C92" w:rsidRDefault="00071EE0" w:rsidP="00071EE0">
            <w:pPr>
              <w:jc w:val="left"/>
              <w:rPr>
                <w:color w:val="auto"/>
              </w:rPr>
            </w:pPr>
            <w:r w:rsidRPr="009D7C92">
              <w:rPr>
                <w:color w:val="auto"/>
              </w:rPr>
              <w:t>Zvýšená pravdepodobnosť hematologických reakcií (pozri časť 4.4).</w:t>
            </w:r>
          </w:p>
        </w:tc>
      </w:tr>
      <w:tr w:rsidR="00071EE0" w:rsidRPr="009D7C92" w14:paraId="72801474" w14:textId="77777777" w:rsidTr="00071EE0">
        <w:tc>
          <w:tcPr>
            <w:tcW w:w="3945" w:type="dxa"/>
            <w:vMerge/>
            <w:tcBorders>
              <w:right w:val="single" w:sz="4" w:space="0" w:color="7F7F7F"/>
            </w:tcBorders>
            <w:shd w:val="clear" w:color="auto" w:fill="FFFFFF"/>
          </w:tcPr>
          <w:p w14:paraId="39BC87C9" w14:textId="77777777" w:rsidR="00071EE0" w:rsidRPr="009D7C92" w:rsidRDefault="00071EE0" w:rsidP="00071EE0">
            <w:pPr>
              <w:jc w:val="left"/>
              <w:rPr>
                <w:rFonts w:eastAsia="Malgun Gothic"/>
                <w:iCs/>
                <w:color w:val="auto"/>
              </w:rPr>
            </w:pPr>
          </w:p>
        </w:tc>
        <w:tc>
          <w:tcPr>
            <w:tcW w:w="1989" w:type="dxa"/>
            <w:tcBorders>
              <w:top w:val="single" w:sz="4" w:space="0" w:color="auto"/>
              <w:bottom w:val="single" w:sz="4" w:space="0" w:color="auto"/>
            </w:tcBorders>
            <w:shd w:val="clear" w:color="auto" w:fill="auto"/>
          </w:tcPr>
          <w:p w14:paraId="10B1EF68" w14:textId="77777777" w:rsidR="00071EE0" w:rsidRPr="009D7C92" w:rsidRDefault="00071EE0" w:rsidP="00071EE0">
            <w:pPr>
              <w:jc w:val="left"/>
              <w:rPr>
                <w:i/>
                <w:color w:val="auto"/>
              </w:rPr>
            </w:pPr>
            <w:r w:rsidRPr="009D7C92">
              <w:rPr>
                <w:i/>
                <w:color w:val="auto"/>
              </w:rPr>
              <w:t>Antidiabetiká vrátane inzulínu</w:t>
            </w:r>
          </w:p>
        </w:tc>
        <w:tc>
          <w:tcPr>
            <w:tcW w:w="3700" w:type="dxa"/>
            <w:tcBorders>
              <w:top w:val="single" w:sz="4" w:space="0" w:color="auto"/>
              <w:bottom w:val="single" w:sz="4" w:space="0" w:color="auto"/>
            </w:tcBorders>
            <w:shd w:val="clear" w:color="auto" w:fill="auto"/>
          </w:tcPr>
          <w:p w14:paraId="153A23E7" w14:textId="62378A81" w:rsidR="00071EE0" w:rsidRPr="009D7C92" w:rsidRDefault="00071EE0" w:rsidP="00071EE0">
            <w:pPr>
              <w:jc w:val="left"/>
              <w:rPr>
                <w:color w:val="auto"/>
              </w:rPr>
            </w:pPr>
            <w:r w:rsidRPr="009D7C92">
              <w:rPr>
                <w:color w:val="auto"/>
              </w:rPr>
              <w:t xml:space="preserve">Inhibítory ACE môžu znížiť inzulínovú rezistenciu. V ojedinelých prípadoch môže toto zníženie viesť k hypoglykemickým reakciám u pacientov súbežne liečených antidiabetikami. Preto sa má starostlivo monitorovať hladina glukózy v krvi, najmä v začiatočnej fáze súbežného podávania. </w:t>
            </w:r>
          </w:p>
        </w:tc>
      </w:tr>
      <w:tr w:rsidR="00071EE0" w:rsidRPr="009D7C92" w14:paraId="49504AA6" w14:textId="77777777" w:rsidTr="00071EE0">
        <w:tc>
          <w:tcPr>
            <w:tcW w:w="3945" w:type="dxa"/>
            <w:vMerge/>
            <w:tcBorders>
              <w:right w:val="single" w:sz="4" w:space="0" w:color="7F7F7F"/>
            </w:tcBorders>
            <w:shd w:val="clear" w:color="auto" w:fill="FFFFFF"/>
          </w:tcPr>
          <w:p w14:paraId="369DA78B" w14:textId="77777777" w:rsidR="00071EE0" w:rsidRPr="009D7C92" w:rsidRDefault="00071EE0" w:rsidP="00071EE0">
            <w:pPr>
              <w:jc w:val="left"/>
              <w:rPr>
                <w:rFonts w:eastAsia="Malgun Gothic"/>
                <w:iCs/>
                <w:color w:val="auto"/>
              </w:rPr>
            </w:pPr>
          </w:p>
        </w:tc>
        <w:tc>
          <w:tcPr>
            <w:tcW w:w="1989" w:type="dxa"/>
            <w:tcBorders>
              <w:top w:val="single" w:sz="4" w:space="0" w:color="auto"/>
              <w:bottom w:val="single" w:sz="4" w:space="0" w:color="auto"/>
            </w:tcBorders>
            <w:shd w:val="clear" w:color="auto" w:fill="F2F2F2"/>
          </w:tcPr>
          <w:p w14:paraId="59314DA5" w14:textId="48B45567" w:rsidR="00071EE0" w:rsidRPr="009D7C92" w:rsidRDefault="00071EE0" w:rsidP="00071EE0">
            <w:pPr>
              <w:jc w:val="left"/>
              <w:rPr>
                <w:bCs/>
                <w:i/>
                <w:iCs/>
                <w:color w:val="auto"/>
              </w:rPr>
            </w:pPr>
            <w:r w:rsidRPr="009D7C92">
              <w:rPr>
                <w:i/>
                <w:color w:val="auto"/>
              </w:rPr>
              <w:t xml:space="preserve">Inhibítory mTOR </w:t>
            </w:r>
          </w:p>
          <w:p w14:paraId="537C9E17" w14:textId="211DA1D3" w:rsidR="00071EE0" w:rsidRPr="009D7C92" w:rsidRDefault="00071EE0" w:rsidP="00071EE0">
            <w:pPr>
              <w:jc w:val="left"/>
              <w:rPr>
                <w:i/>
                <w:color w:val="auto"/>
              </w:rPr>
            </w:pPr>
            <w:r w:rsidRPr="009D7C92">
              <w:rPr>
                <w:color w:val="auto"/>
              </w:rPr>
              <w:t>(napr. temsirolimus, everolimus, sirolimus)</w:t>
            </w:r>
            <w:r w:rsidR="00FC447C">
              <w:rPr>
                <w:color w:val="auto"/>
              </w:rPr>
              <w:t xml:space="preserve"> </w:t>
            </w:r>
            <w:r w:rsidR="00FC447C" w:rsidRPr="00032D0E">
              <w:rPr>
                <w:i/>
                <w:iCs/>
                <w:color w:val="auto"/>
              </w:rPr>
              <w:t>a</w:t>
            </w:r>
            <w:r w:rsidR="00FC447C">
              <w:rPr>
                <w:color w:val="auto"/>
              </w:rPr>
              <w:t xml:space="preserve"> </w:t>
            </w:r>
            <w:r w:rsidR="00FC447C" w:rsidRPr="009D7C92">
              <w:rPr>
                <w:i/>
                <w:color w:val="auto"/>
              </w:rPr>
              <w:t>vildagliptín</w:t>
            </w:r>
          </w:p>
        </w:tc>
        <w:tc>
          <w:tcPr>
            <w:tcW w:w="3700" w:type="dxa"/>
            <w:tcBorders>
              <w:top w:val="single" w:sz="4" w:space="0" w:color="auto"/>
              <w:bottom w:val="single" w:sz="4" w:space="0" w:color="auto"/>
            </w:tcBorders>
            <w:shd w:val="clear" w:color="auto" w:fill="F2F2F2"/>
          </w:tcPr>
          <w:p w14:paraId="6EC9A874" w14:textId="4BA78AD8" w:rsidR="00071EE0" w:rsidRPr="009909C5" w:rsidRDefault="00071EE0" w:rsidP="00071EE0">
            <w:pPr>
              <w:jc w:val="left"/>
              <w:rPr>
                <w:color w:val="auto"/>
              </w:rPr>
            </w:pPr>
            <w:r w:rsidRPr="00032D0E">
              <w:t>Súbežné užívanie inhibítorov ACE s</w:t>
            </w:r>
            <w:r w:rsidR="00C97672">
              <w:t> </w:t>
            </w:r>
            <w:r w:rsidRPr="00032D0E">
              <w:t>racekadotrilom, inhibítormi mTOR (napr. sirolimus, everolimus, temsirolimus) a vildagliptínom môže viesť k zvýšenému riziku angioedému (pozri časť 4.4).</w:t>
            </w:r>
          </w:p>
        </w:tc>
      </w:tr>
      <w:tr w:rsidR="00071EE0" w:rsidRPr="009D7C92" w14:paraId="1900AB76" w14:textId="77777777" w:rsidTr="00071EE0">
        <w:tc>
          <w:tcPr>
            <w:tcW w:w="3945" w:type="dxa"/>
            <w:vMerge/>
            <w:tcBorders>
              <w:right w:val="single" w:sz="4" w:space="0" w:color="7F7F7F"/>
            </w:tcBorders>
            <w:shd w:val="clear" w:color="auto" w:fill="FFFFFF"/>
          </w:tcPr>
          <w:p w14:paraId="284C9A59" w14:textId="77777777" w:rsidR="00071EE0" w:rsidRPr="009D7C92" w:rsidRDefault="00071EE0" w:rsidP="00071EE0">
            <w:pPr>
              <w:jc w:val="left"/>
              <w:rPr>
                <w:rFonts w:eastAsia="Malgun Gothic"/>
                <w:iCs/>
                <w:color w:val="auto"/>
              </w:rPr>
            </w:pPr>
          </w:p>
        </w:tc>
        <w:tc>
          <w:tcPr>
            <w:tcW w:w="1989" w:type="dxa"/>
            <w:tcBorders>
              <w:top w:val="single" w:sz="4" w:space="0" w:color="auto"/>
              <w:bottom w:val="single" w:sz="4" w:space="0" w:color="auto"/>
            </w:tcBorders>
            <w:shd w:val="clear" w:color="auto" w:fill="auto"/>
          </w:tcPr>
          <w:p w14:paraId="4C474E78" w14:textId="77777777" w:rsidR="00071EE0" w:rsidRDefault="00071EE0" w:rsidP="00071EE0">
            <w:pPr>
              <w:jc w:val="left"/>
              <w:rPr>
                <w:i/>
                <w:iCs/>
                <w:color w:val="auto"/>
              </w:rPr>
            </w:pPr>
            <w:r w:rsidRPr="009D7C92">
              <w:rPr>
                <w:i/>
                <w:iCs/>
                <w:color w:val="auto"/>
              </w:rPr>
              <w:t>Inhibítory neprilyzínu (NEP)</w:t>
            </w:r>
          </w:p>
          <w:p w14:paraId="1DCA0C38" w14:textId="758667DE" w:rsidR="00FC447C" w:rsidRPr="009D7C92" w:rsidRDefault="00FC447C" w:rsidP="00071EE0">
            <w:pPr>
              <w:jc w:val="left"/>
              <w:rPr>
                <w:i/>
                <w:color w:val="auto"/>
              </w:rPr>
            </w:pPr>
            <w:r>
              <w:rPr>
                <w:i/>
                <w:iCs/>
                <w:color w:val="auto"/>
              </w:rPr>
              <w:t>(napr. race</w:t>
            </w:r>
            <w:r w:rsidR="00304DCE">
              <w:rPr>
                <w:i/>
                <w:iCs/>
                <w:color w:val="auto"/>
              </w:rPr>
              <w:t>k</w:t>
            </w:r>
            <w:r>
              <w:rPr>
                <w:i/>
                <w:iCs/>
                <w:color w:val="auto"/>
              </w:rPr>
              <w:t>adotril)</w:t>
            </w:r>
          </w:p>
        </w:tc>
        <w:tc>
          <w:tcPr>
            <w:tcW w:w="3700" w:type="dxa"/>
            <w:tcBorders>
              <w:top w:val="single" w:sz="4" w:space="0" w:color="auto"/>
              <w:bottom w:val="single" w:sz="4" w:space="0" w:color="auto"/>
            </w:tcBorders>
            <w:shd w:val="clear" w:color="auto" w:fill="auto"/>
          </w:tcPr>
          <w:p w14:paraId="6B43898C" w14:textId="42B3264E" w:rsidR="00071EE0" w:rsidRPr="00C97672" w:rsidRDefault="00071EE0" w:rsidP="00071EE0">
            <w:pPr>
              <w:jc w:val="left"/>
              <w:rPr>
                <w:color w:val="auto"/>
              </w:rPr>
            </w:pPr>
            <w:r w:rsidRPr="00032D0E">
              <w:rPr>
                <w:color w:val="auto"/>
              </w:rPr>
              <w:t>Potenciálne zvýšené riziko angioedému bolo hlásené pri súbežnom používaní inhibítorov ACE a inhibítora NEP, ako je napríklad racekadotril (pozri časť 4.4).</w:t>
            </w:r>
          </w:p>
        </w:tc>
      </w:tr>
      <w:tr w:rsidR="00071EE0" w:rsidRPr="009D7C92" w14:paraId="42703149" w14:textId="77777777" w:rsidTr="00032D0E">
        <w:tc>
          <w:tcPr>
            <w:tcW w:w="3945" w:type="dxa"/>
            <w:vMerge/>
            <w:tcBorders>
              <w:right w:val="single" w:sz="4" w:space="0" w:color="7F7F7F"/>
            </w:tcBorders>
            <w:shd w:val="clear" w:color="auto" w:fill="FFFFFF"/>
          </w:tcPr>
          <w:p w14:paraId="49BE7B0C" w14:textId="77777777" w:rsidR="00071EE0" w:rsidRPr="009D7C92" w:rsidRDefault="00071EE0" w:rsidP="00071EE0">
            <w:pPr>
              <w:jc w:val="left"/>
              <w:rPr>
                <w:rFonts w:eastAsia="Malgun Gothic"/>
                <w:iCs/>
                <w:color w:val="auto"/>
              </w:rPr>
            </w:pPr>
          </w:p>
        </w:tc>
        <w:tc>
          <w:tcPr>
            <w:tcW w:w="1989" w:type="dxa"/>
            <w:tcBorders>
              <w:top w:val="single" w:sz="4" w:space="0" w:color="auto"/>
              <w:bottom w:val="single" w:sz="4" w:space="0" w:color="auto"/>
            </w:tcBorders>
            <w:shd w:val="clear" w:color="auto" w:fill="auto"/>
          </w:tcPr>
          <w:p w14:paraId="2B836981" w14:textId="77777777" w:rsidR="00071EE0" w:rsidRPr="009D7C92" w:rsidRDefault="00071EE0" w:rsidP="00071EE0">
            <w:pPr>
              <w:jc w:val="left"/>
              <w:rPr>
                <w:i/>
                <w:iCs/>
                <w:color w:val="auto"/>
              </w:rPr>
            </w:pPr>
            <w:r w:rsidRPr="009D7C92">
              <w:rPr>
                <w:i/>
                <w:iCs/>
                <w:color w:val="auto"/>
              </w:rPr>
              <w:t>Sakubitril/valsartan</w:t>
            </w:r>
          </w:p>
        </w:tc>
        <w:tc>
          <w:tcPr>
            <w:tcW w:w="3700" w:type="dxa"/>
            <w:tcBorders>
              <w:top w:val="single" w:sz="4" w:space="0" w:color="auto"/>
              <w:bottom w:val="single" w:sz="4" w:space="0" w:color="auto"/>
            </w:tcBorders>
            <w:shd w:val="clear" w:color="auto" w:fill="auto"/>
          </w:tcPr>
          <w:p w14:paraId="6B735426" w14:textId="404BA2F7" w:rsidR="00071EE0" w:rsidRPr="00032D0E" w:rsidRDefault="00071EE0" w:rsidP="00071EE0">
            <w:pPr>
              <w:jc w:val="left"/>
            </w:pPr>
            <w:r w:rsidRPr="00032D0E">
              <w:t>Súbežné užívanie inhibítorov ACE so sakubitrilom/valsartanom je kontraindikované, pretože sa zvyšuje riziko angioedému (pozri časť 4.3 a 4.4).</w:t>
            </w:r>
          </w:p>
        </w:tc>
      </w:tr>
      <w:tr w:rsidR="00071EE0" w:rsidRPr="009D7C92" w14:paraId="2D18F5C0" w14:textId="77777777" w:rsidTr="00071EE0">
        <w:tc>
          <w:tcPr>
            <w:tcW w:w="3945" w:type="dxa"/>
            <w:vMerge w:val="restart"/>
            <w:tcBorders>
              <w:top w:val="single" w:sz="4" w:space="0" w:color="auto"/>
              <w:right w:val="single" w:sz="4" w:space="0" w:color="7F7F7F"/>
            </w:tcBorders>
            <w:shd w:val="clear" w:color="auto" w:fill="FFFFFF"/>
          </w:tcPr>
          <w:p w14:paraId="651FA48B" w14:textId="77777777" w:rsidR="00071EE0" w:rsidRPr="009D7C92" w:rsidRDefault="00071EE0" w:rsidP="00071EE0">
            <w:pPr>
              <w:jc w:val="left"/>
              <w:rPr>
                <w:rFonts w:eastAsia="Malgun Gothic"/>
                <w:iCs/>
                <w:color w:val="auto"/>
              </w:rPr>
            </w:pPr>
            <w:r w:rsidRPr="009D7C92">
              <w:rPr>
                <w:iCs/>
                <w:color w:val="auto"/>
              </w:rPr>
              <w:t>Amlodipín</w:t>
            </w:r>
          </w:p>
        </w:tc>
        <w:tc>
          <w:tcPr>
            <w:tcW w:w="1989" w:type="dxa"/>
            <w:tcBorders>
              <w:top w:val="single" w:sz="4" w:space="0" w:color="auto"/>
              <w:bottom w:val="single" w:sz="4" w:space="0" w:color="auto"/>
            </w:tcBorders>
            <w:shd w:val="clear" w:color="auto" w:fill="F2F2F2"/>
          </w:tcPr>
          <w:p w14:paraId="09F85F56" w14:textId="77777777" w:rsidR="00071EE0" w:rsidRPr="009D7C92" w:rsidRDefault="00071EE0" w:rsidP="00071EE0">
            <w:pPr>
              <w:jc w:val="left"/>
              <w:rPr>
                <w:i/>
                <w:color w:val="auto"/>
              </w:rPr>
            </w:pPr>
            <w:r w:rsidRPr="009D7C92">
              <w:rPr>
                <w:i/>
                <w:color w:val="auto"/>
              </w:rPr>
              <w:t>Inhibítory CYP3A4</w:t>
            </w:r>
          </w:p>
          <w:p w14:paraId="186E1CDE" w14:textId="141C3D6B" w:rsidR="00071EE0" w:rsidRPr="009D7C92" w:rsidRDefault="00071EE0" w:rsidP="00071EE0">
            <w:pPr>
              <w:jc w:val="left"/>
              <w:rPr>
                <w:iCs/>
                <w:color w:val="auto"/>
              </w:rPr>
            </w:pPr>
            <w:r w:rsidRPr="009D7C92">
              <w:rPr>
                <w:color w:val="auto"/>
              </w:rPr>
              <w:t xml:space="preserve">(t.j. inhibítory proteáz, azolové antimykotiká, makrolidy ako erytromycín, klaritromycín, </w:t>
            </w:r>
            <w:r w:rsidRPr="009D7C92">
              <w:rPr>
                <w:color w:val="auto"/>
              </w:rPr>
              <w:lastRenderedPageBreak/>
              <w:t>verapamil alebo diltiazem)</w:t>
            </w:r>
          </w:p>
        </w:tc>
        <w:tc>
          <w:tcPr>
            <w:tcW w:w="3700" w:type="dxa"/>
            <w:tcBorders>
              <w:top w:val="single" w:sz="4" w:space="0" w:color="auto"/>
              <w:bottom w:val="single" w:sz="4" w:space="0" w:color="auto"/>
            </w:tcBorders>
            <w:shd w:val="clear" w:color="auto" w:fill="F2F2F2"/>
          </w:tcPr>
          <w:p w14:paraId="53563415" w14:textId="514310FE" w:rsidR="00071EE0" w:rsidRPr="009D7C92" w:rsidRDefault="00071EE0" w:rsidP="00071EE0">
            <w:pPr>
              <w:jc w:val="left"/>
              <w:rPr>
                <w:color w:val="auto"/>
                <w:u w:val="single"/>
              </w:rPr>
            </w:pPr>
            <w:r w:rsidRPr="009D7C92">
              <w:rPr>
                <w:color w:val="auto"/>
              </w:rPr>
              <w:lastRenderedPageBreak/>
              <w:t xml:space="preserve">Súbežné podávanie amlodipínu so silnými alebo stredne silnými inhibítormi CYP3A4 môže viesť k výraznému zvýšeniu expozície amlodipínu. Klinický význam týchto farmakokinetických (PK) zmien môže byť výraznejší u starších pacientov. </w:t>
            </w:r>
            <w:r w:rsidRPr="009D7C92">
              <w:rPr>
                <w:color w:val="auto"/>
              </w:rPr>
              <w:lastRenderedPageBreak/>
              <w:t>Môže sa preto vyžadovať klinické monitorovanie a úprava dávky.</w:t>
            </w:r>
          </w:p>
        </w:tc>
      </w:tr>
      <w:tr w:rsidR="00071EE0" w:rsidRPr="009D7C92" w14:paraId="797A7044" w14:textId="77777777" w:rsidTr="00071EE0">
        <w:tc>
          <w:tcPr>
            <w:tcW w:w="3945" w:type="dxa"/>
            <w:vMerge/>
            <w:tcBorders>
              <w:right w:val="single" w:sz="4" w:space="0" w:color="7F7F7F"/>
            </w:tcBorders>
            <w:shd w:val="clear" w:color="auto" w:fill="FFFFFF"/>
          </w:tcPr>
          <w:p w14:paraId="3198A4B6" w14:textId="77777777" w:rsidR="00071EE0" w:rsidRPr="009D7C92" w:rsidRDefault="00071EE0" w:rsidP="00071EE0">
            <w:pPr>
              <w:jc w:val="left"/>
              <w:rPr>
                <w:rFonts w:eastAsia="Malgun Gothic"/>
                <w:iCs/>
                <w:color w:val="auto"/>
              </w:rPr>
            </w:pPr>
          </w:p>
        </w:tc>
        <w:tc>
          <w:tcPr>
            <w:tcW w:w="1989" w:type="dxa"/>
            <w:tcBorders>
              <w:top w:val="single" w:sz="4" w:space="0" w:color="auto"/>
              <w:bottom w:val="single" w:sz="4" w:space="0" w:color="auto"/>
            </w:tcBorders>
            <w:shd w:val="clear" w:color="auto" w:fill="auto"/>
          </w:tcPr>
          <w:p w14:paraId="47F3AB6A" w14:textId="77777777" w:rsidR="00071EE0" w:rsidRPr="009D7C92" w:rsidRDefault="00071EE0" w:rsidP="00071EE0">
            <w:pPr>
              <w:jc w:val="left"/>
              <w:rPr>
                <w:i/>
                <w:color w:val="auto"/>
              </w:rPr>
            </w:pPr>
            <w:r w:rsidRPr="009D7C92">
              <w:rPr>
                <w:i/>
                <w:color w:val="auto"/>
              </w:rPr>
              <w:t>Induktory CYP3A4</w:t>
            </w:r>
          </w:p>
          <w:p w14:paraId="6A03DE6B" w14:textId="14EFC14F" w:rsidR="00071EE0" w:rsidRPr="009D7C92" w:rsidRDefault="00071EE0" w:rsidP="00071EE0">
            <w:pPr>
              <w:jc w:val="left"/>
              <w:rPr>
                <w:i/>
                <w:color w:val="auto"/>
              </w:rPr>
            </w:pPr>
            <w:r w:rsidRPr="009D7C92">
              <w:rPr>
                <w:color w:val="auto"/>
              </w:rPr>
              <w:t xml:space="preserve">(t.j. rifampicín, </w:t>
            </w:r>
            <w:r w:rsidRPr="00032D0E">
              <w:rPr>
                <w:i/>
                <w:color w:val="auto"/>
              </w:rPr>
              <w:t>Hypericum perforatum</w:t>
            </w:r>
            <w:r w:rsidRPr="009D7C92">
              <w:rPr>
                <w:color w:val="auto"/>
              </w:rPr>
              <w:t>)</w:t>
            </w:r>
          </w:p>
        </w:tc>
        <w:tc>
          <w:tcPr>
            <w:tcW w:w="3700" w:type="dxa"/>
            <w:tcBorders>
              <w:top w:val="single" w:sz="4" w:space="0" w:color="auto"/>
              <w:bottom w:val="single" w:sz="4" w:space="0" w:color="auto"/>
            </w:tcBorders>
            <w:shd w:val="clear" w:color="auto" w:fill="auto"/>
          </w:tcPr>
          <w:p w14:paraId="317891B4" w14:textId="18B881E0" w:rsidR="00071EE0" w:rsidRPr="009D7C92" w:rsidRDefault="00071EE0" w:rsidP="00071EE0">
            <w:pPr>
              <w:jc w:val="left"/>
              <w:rPr>
                <w:color w:val="auto"/>
              </w:rPr>
            </w:pPr>
            <w:r w:rsidRPr="009D7C92">
              <w:rPr>
                <w:color w:val="auto"/>
              </w:rPr>
              <w:t>Nie sú dostupné žiadne údaje o účinku induktorov CYP3A4 na amlodipín. Súbežné užívanie induktorov CYP3A4 môže spôsobiť nižšiu plazmatickú koncentráciu amlodipínu. Amlodipín sa m</w:t>
            </w:r>
            <w:r w:rsidR="00C97672">
              <w:rPr>
                <w:color w:val="auto"/>
              </w:rPr>
              <w:t>á</w:t>
            </w:r>
            <w:r w:rsidRPr="009D7C92">
              <w:rPr>
                <w:color w:val="auto"/>
              </w:rPr>
              <w:t xml:space="preserve"> používať s opatrnosťou spolu s</w:t>
            </w:r>
            <w:r w:rsidR="00C97672">
              <w:rPr>
                <w:color w:val="auto"/>
              </w:rPr>
              <w:t> </w:t>
            </w:r>
            <w:r w:rsidRPr="009D7C92">
              <w:rPr>
                <w:color w:val="auto"/>
              </w:rPr>
              <w:t>induktormi CYP3A4.</w:t>
            </w:r>
          </w:p>
        </w:tc>
      </w:tr>
      <w:tr w:rsidR="00071EE0" w:rsidRPr="009D7C92" w14:paraId="2E41F429" w14:textId="77777777" w:rsidTr="00071EE0">
        <w:tc>
          <w:tcPr>
            <w:tcW w:w="3945" w:type="dxa"/>
            <w:vMerge/>
            <w:tcBorders>
              <w:right w:val="single" w:sz="4" w:space="0" w:color="7F7F7F"/>
            </w:tcBorders>
            <w:shd w:val="clear" w:color="auto" w:fill="FFFFFF"/>
          </w:tcPr>
          <w:p w14:paraId="6931E4A6" w14:textId="77777777" w:rsidR="00071EE0" w:rsidRPr="009D7C92" w:rsidRDefault="00071EE0" w:rsidP="00071EE0">
            <w:pPr>
              <w:jc w:val="left"/>
              <w:rPr>
                <w:rFonts w:eastAsia="Malgun Gothic"/>
                <w:iCs/>
                <w:color w:val="auto"/>
              </w:rPr>
            </w:pPr>
          </w:p>
        </w:tc>
        <w:tc>
          <w:tcPr>
            <w:tcW w:w="1989" w:type="dxa"/>
            <w:tcBorders>
              <w:top w:val="single" w:sz="4" w:space="0" w:color="auto"/>
              <w:bottom w:val="single" w:sz="4" w:space="0" w:color="auto"/>
            </w:tcBorders>
            <w:shd w:val="clear" w:color="auto" w:fill="F2F2F2"/>
          </w:tcPr>
          <w:p w14:paraId="3A1DAF90" w14:textId="4CD7AFCB" w:rsidR="00071EE0" w:rsidRPr="009D7C92" w:rsidRDefault="00071EE0" w:rsidP="00071EE0">
            <w:pPr>
              <w:jc w:val="left"/>
              <w:rPr>
                <w:i/>
                <w:color w:val="auto"/>
              </w:rPr>
            </w:pPr>
            <w:r w:rsidRPr="009D7C92">
              <w:rPr>
                <w:i/>
                <w:color w:val="auto"/>
              </w:rPr>
              <w:t>Dantrolén (vo forme infúzie)</w:t>
            </w:r>
          </w:p>
        </w:tc>
        <w:tc>
          <w:tcPr>
            <w:tcW w:w="3700" w:type="dxa"/>
            <w:tcBorders>
              <w:top w:val="single" w:sz="4" w:space="0" w:color="auto"/>
              <w:bottom w:val="single" w:sz="4" w:space="0" w:color="auto"/>
            </w:tcBorders>
            <w:shd w:val="clear" w:color="auto" w:fill="F2F2F2"/>
          </w:tcPr>
          <w:p w14:paraId="1FE4F970" w14:textId="795B3268" w:rsidR="00071EE0" w:rsidRPr="009D7C92" w:rsidRDefault="00071EE0" w:rsidP="00071EE0">
            <w:pPr>
              <w:jc w:val="left"/>
              <w:rPr>
                <w:color w:val="auto"/>
              </w:rPr>
            </w:pPr>
            <w:r w:rsidRPr="009D7C92">
              <w:rPr>
                <w:color w:val="auto"/>
              </w:rPr>
              <w:t>U zvierat sa pozoruje letálna fibrilácia komôr a kardiovaskulárny kolaps v súvislosti s hyperkaliémiou po podaní verapamilu a intravenózneho dantrolénu. Vzhľadom na riziko hyperkaliémie sa odporúča vyhnúť sa súbežnému podávaniu blokátorov kalciového kanála, ako je amlodipín, u</w:t>
            </w:r>
            <w:r w:rsidR="00304DCE">
              <w:rPr>
                <w:color w:val="auto"/>
              </w:rPr>
              <w:t> </w:t>
            </w:r>
            <w:r w:rsidRPr="009D7C92">
              <w:rPr>
                <w:color w:val="auto"/>
              </w:rPr>
              <w:t>pacientov citlivých na malígnu hypertermiu a pri liečbe malígnej hypertermie.</w:t>
            </w:r>
          </w:p>
        </w:tc>
      </w:tr>
      <w:tr w:rsidR="00071EE0" w:rsidRPr="009D7C92" w14:paraId="1F93BEC0" w14:textId="77777777" w:rsidTr="00071EE0">
        <w:tc>
          <w:tcPr>
            <w:tcW w:w="3945" w:type="dxa"/>
            <w:vMerge/>
            <w:tcBorders>
              <w:right w:val="single" w:sz="4" w:space="0" w:color="7F7F7F"/>
            </w:tcBorders>
            <w:shd w:val="clear" w:color="auto" w:fill="FFFFFF"/>
          </w:tcPr>
          <w:p w14:paraId="3340A4C2" w14:textId="77777777" w:rsidR="00071EE0" w:rsidRPr="009D7C92" w:rsidRDefault="00071EE0" w:rsidP="00071EE0">
            <w:pPr>
              <w:jc w:val="left"/>
              <w:rPr>
                <w:rFonts w:eastAsia="Malgun Gothic"/>
                <w:iCs/>
                <w:color w:val="auto"/>
              </w:rPr>
            </w:pPr>
          </w:p>
        </w:tc>
        <w:tc>
          <w:tcPr>
            <w:tcW w:w="1989" w:type="dxa"/>
            <w:tcBorders>
              <w:top w:val="single" w:sz="4" w:space="0" w:color="auto"/>
              <w:bottom w:val="single" w:sz="4" w:space="0" w:color="auto"/>
            </w:tcBorders>
            <w:shd w:val="clear" w:color="auto" w:fill="auto"/>
          </w:tcPr>
          <w:p w14:paraId="51FD747A" w14:textId="77777777" w:rsidR="00071EE0" w:rsidRPr="009D7C92" w:rsidRDefault="00071EE0" w:rsidP="00071EE0">
            <w:pPr>
              <w:jc w:val="left"/>
              <w:rPr>
                <w:i/>
                <w:color w:val="auto"/>
              </w:rPr>
            </w:pPr>
            <w:r w:rsidRPr="009D7C92">
              <w:rPr>
                <w:i/>
                <w:color w:val="auto"/>
              </w:rPr>
              <w:t>Simvastatín</w:t>
            </w:r>
          </w:p>
        </w:tc>
        <w:tc>
          <w:tcPr>
            <w:tcW w:w="3700" w:type="dxa"/>
            <w:tcBorders>
              <w:top w:val="single" w:sz="4" w:space="0" w:color="auto"/>
              <w:bottom w:val="single" w:sz="4" w:space="0" w:color="auto"/>
            </w:tcBorders>
            <w:shd w:val="clear" w:color="auto" w:fill="auto"/>
          </w:tcPr>
          <w:p w14:paraId="036A4989" w14:textId="325DAECC" w:rsidR="00071EE0" w:rsidRPr="009D7C92" w:rsidRDefault="00071EE0" w:rsidP="00071EE0">
            <w:pPr>
              <w:jc w:val="left"/>
              <w:rPr>
                <w:color w:val="auto"/>
              </w:rPr>
            </w:pPr>
            <w:r w:rsidRPr="009D7C92">
              <w:rPr>
                <w:color w:val="auto"/>
              </w:rPr>
              <w:t>Súbežné podávanie opakovaných dávok 10 mg amlodipínu s 80 mg simvastatínu malo za následok 77% zvýšenie expozície simvastatínu v porovnaní so samotným simvastatínom. U pacientov užívajúcich amlodipín sa má obmedziť dávka simvastatínu na 20 mg denne.</w:t>
            </w:r>
          </w:p>
        </w:tc>
      </w:tr>
      <w:tr w:rsidR="00071EE0" w:rsidRPr="009D7C92" w14:paraId="651CDEC1" w14:textId="77777777" w:rsidTr="00071EE0">
        <w:tc>
          <w:tcPr>
            <w:tcW w:w="3945" w:type="dxa"/>
            <w:vMerge/>
            <w:tcBorders>
              <w:right w:val="single" w:sz="4" w:space="0" w:color="7F7F7F"/>
            </w:tcBorders>
            <w:shd w:val="clear" w:color="auto" w:fill="FFFFFF"/>
          </w:tcPr>
          <w:p w14:paraId="02098526" w14:textId="77777777" w:rsidR="00071EE0" w:rsidRPr="009D7C92" w:rsidRDefault="00071EE0" w:rsidP="00071EE0">
            <w:pPr>
              <w:jc w:val="left"/>
              <w:rPr>
                <w:rFonts w:eastAsia="Malgun Gothic"/>
                <w:iCs/>
                <w:color w:val="auto"/>
              </w:rPr>
            </w:pPr>
          </w:p>
        </w:tc>
        <w:tc>
          <w:tcPr>
            <w:tcW w:w="1989" w:type="dxa"/>
            <w:tcBorders>
              <w:top w:val="single" w:sz="4" w:space="0" w:color="auto"/>
              <w:bottom w:val="single" w:sz="4" w:space="0" w:color="auto"/>
            </w:tcBorders>
            <w:shd w:val="clear" w:color="auto" w:fill="F2F2F2"/>
          </w:tcPr>
          <w:p w14:paraId="4245BB87" w14:textId="77777777" w:rsidR="00071EE0" w:rsidRPr="009D7C92" w:rsidRDefault="00071EE0" w:rsidP="00071EE0">
            <w:pPr>
              <w:jc w:val="left"/>
              <w:rPr>
                <w:i/>
                <w:color w:val="auto"/>
              </w:rPr>
            </w:pPr>
            <w:r w:rsidRPr="009D7C92">
              <w:rPr>
                <w:i/>
                <w:color w:val="auto"/>
              </w:rPr>
              <w:t>Cyklosporín</w:t>
            </w:r>
          </w:p>
        </w:tc>
        <w:tc>
          <w:tcPr>
            <w:tcW w:w="3700" w:type="dxa"/>
            <w:tcBorders>
              <w:top w:val="single" w:sz="4" w:space="0" w:color="auto"/>
              <w:bottom w:val="single" w:sz="4" w:space="0" w:color="auto"/>
            </w:tcBorders>
            <w:shd w:val="clear" w:color="auto" w:fill="F2F2F2"/>
          </w:tcPr>
          <w:p w14:paraId="0837F0C8" w14:textId="5AC5C9A9" w:rsidR="00071EE0" w:rsidRPr="009D7C92" w:rsidRDefault="00071EE0" w:rsidP="00071EE0">
            <w:pPr>
              <w:jc w:val="left"/>
              <w:rPr>
                <w:color w:val="auto"/>
              </w:rPr>
            </w:pPr>
            <w:r w:rsidRPr="009D7C92">
              <w:rPr>
                <w:color w:val="auto"/>
              </w:rPr>
              <w:t>Neuskutočnili sa žiadne štúdie liekových interakcií s cyklosporínom a amlodipínom u zdravých dobrovoľníkov alebo iných populácií s výnimkou pacientov po transplantácii obličky, kde sa pozorovala variabilná minimálna koncentrácia pred podaním ďalšej dávky („trough“) (priemerne 0% - 40%) cyklosporínu. Je potrebné zvážiť monitorovanie hladín cyklosporínu u pacientov po transplantácii obličky na amlodipíne a podľa potreby sa má dávka cyklosporínu znížiť.</w:t>
            </w:r>
          </w:p>
        </w:tc>
      </w:tr>
      <w:tr w:rsidR="00071EE0" w:rsidRPr="009D7C92" w14:paraId="76B3265F" w14:textId="77777777" w:rsidTr="00071EE0">
        <w:tc>
          <w:tcPr>
            <w:tcW w:w="3945" w:type="dxa"/>
            <w:vMerge/>
            <w:tcBorders>
              <w:bottom w:val="single" w:sz="4" w:space="0" w:color="auto"/>
              <w:right w:val="single" w:sz="4" w:space="0" w:color="7F7F7F"/>
            </w:tcBorders>
            <w:shd w:val="clear" w:color="auto" w:fill="FFFFFF"/>
          </w:tcPr>
          <w:p w14:paraId="1F9A7180" w14:textId="77777777" w:rsidR="00071EE0" w:rsidRPr="009D7C92" w:rsidRDefault="00071EE0" w:rsidP="00071EE0">
            <w:pPr>
              <w:jc w:val="left"/>
              <w:rPr>
                <w:rFonts w:eastAsia="Malgun Gothic"/>
                <w:iCs/>
                <w:color w:val="auto"/>
              </w:rPr>
            </w:pPr>
          </w:p>
        </w:tc>
        <w:tc>
          <w:tcPr>
            <w:tcW w:w="1989" w:type="dxa"/>
            <w:tcBorders>
              <w:top w:val="single" w:sz="4" w:space="0" w:color="auto"/>
              <w:bottom w:val="single" w:sz="4" w:space="0" w:color="auto"/>
            </w:tcBorders>
            <w:shd w:val="clear" w:color="auto" w:fill="auto"/>
          </w:tcPr>
          <w:p w14:paraId="0300F7BF" w14:textId="77777777" w:rsidR="00071EE0" w:rsidRPr="009D7C92" w:rsidRDefault="00071EE0" w:rsidP="00071EE0">
            <w:pPr>
              <w:jc w:val="left"/>
              <w:rPr>
                <w:i/>
                <w:color w:val="auto"/>
              </w:rPr>
            </w:pPr>
            <w:r w:rsidRPr="009D7C92">
              <w:rPr>
                <w:i/>
                <w:color w:val="auto"/>
              </w:rPr>
              <w:t>Takrolimus</w:t>
            </w:r>
          </w:p>
        </w:tc>
        <w:tc>
          <w:tcPr>
            <w:tcW w:w="3700" w:type="dxa"/>
            <w:tcBorders>
              <w:top w:val="single" w:sz="4" w:space="0" w:color="auto"/>
              <w:bottom w:val="single" w:sz="4" w:space="0" w:color="auto"/>
            </w:tcBorders>
            <w:shd w:val="clear" w:color="auto" w:fill="auto"/>
          </w:tcPr>
          <w:p w14:paraId="572D0F5C" w14:textId="77777777" w:rsidR="00071EE0" w:rsidRPr="009D7C92" w:rsidRDefault="00071EE0" w:rsidP="00071EE0">
            <w:pPr>
              <w:jc w:val="left"/>
              <w:rPr>
                <w:color w:val="auto"/>
              </w:rPr>
            </w:pPr>
            <w:r w:rsidRPr="009D7C92">
              <w:rPr>
                <w:color w:val="auto"/>
              </w:rPr>
              <w:t>Pri súbežnom podávaní s amlodipínom existuje riziko zvýšených hladín takrolimu v krvi. Aby sa zabránilo toxicite takrolimu, podávanie amlodipínu pacientovi liečenému takrolimom si vyžaduje monitorovanie hladín takrolimu v krvi a podľa potreby úpravu dávky takrolimu.</w:t>
            </w:r>
          </w:p>
        </w:tc>
      </w:tr>
      <w:tr w:rsidR="00071EE0" w:rsidRPr="009D7C92" w14:paraId="4DF77EFB" w14:textId="77777777" w:rsidTr="00071EE0">
        <w:tc>
          <w:tcPr>
            <w:tcW w:w="3945" w:type="dxa"/>
            <w:vMerge w:val="restart"/>
            <w:tcBorders>
              <w:top w:val="single" w:sz="4" w:space="0" w:color="auto"/>
              <w:right w:val="single" w:sz="4" w:space="0" w:color="7F7F7F"/>
            </w:tcBorders>
            <w:shd w:val="clear" w:color="auto" w:fill="FFFFFF"/>
          </w:tcPr>
          <w:p w14:paraId="51D3F535" w14:textId="77777777" w:rsidR="00071EE0" w:rsidRPr="009D7C92" w:rsidRDefault="00071EE0" w:rsidP="00071EE0">
            <w:pPr>
              <w:jc w:val="left"/>
              <w:rPr>
                <w:rFonts w:eastAsia="Malgun Gothic"/>
                <w:iCs/>
                <w:color w:val="auto"/>
              </w:rPr>
            </w:pPr>
            <w:r w:rsidRPr="009D7C92">
              <w:rPr>
                <w:iCs/>
                <w:color w:val="auto"/>
              </w:rPr>
              <w:t>HCTZ</w:t>
            </w:r>
          </w:p>
        </w:tc>
        <w:tc>
          <w:tcPr>
            <w:tcW w:w="1989" w:type="dxa"/>
            <w:tcBorders>
              <w:top w:val="single" w:sz="4" w:space="0" w:color="auto"/>
              <w:bottom w:val="single" w:sz="4" w:space="0" w:color="auto"/>
            </w:tcBorders>
            <w:shd w:val="clear" w:color="auto" w:fill="F2F2F2"/>
          </w:tcPr>
          <w:p w14:paraId="4B72E545" w14:textId="4F07A4DF" w:rsidR="00071EE0" w:rsidRPr="009D7C92" w:rsidRDefault="00071EE0" w:rsidP="00071EE0">
            <w:pPr>
              <w:jc w:val="left"/>
              <w:rPr>
                <w:i/>
                <w:color w:val="auto"/>
              </w:rPr>
            </w:pPr>
            <w:r w:rsidRPr="009D7C92">
              <w:rPr>
                <w:bCs/>
                <w:i/>
                <w:iCs/>
                <w:color w:val="auto"/>
              </w:rPr>
              <w:t>Liečivá, ktoré môžu spôsobiť hypokaliémiu</w:t>
            </w:r>
          </w:p>
        </w:tc>
        <w:tc>
          <w:tcPr>
            <w:tcW w:w="3700" w:type="dxa"/>
            <w:tcBorders>
              <w:top w:val="single" w:sz="4" w:space="0" w:color="auto"/>
              <w:bottom w:val="single" w:sz="4" w:space="0" w:color="auto"/>
            </w:tcBorders>
            <w:shd w:val="clear" w:color="auto" w:fill="F2F2F2"/>
          </w:tcPr>
          <w:p w14:paraId="11D25AF1" w14:textId="3AA9BD49" w:rsidR="00071EE0" w:rsidRPr="009D7C92" w:rsidRDefault="00071EE0" w:rsidP="00071EE0">
            <w:pPr>
              <w:jc w:val="left"/>
              <w:rPr>
                <w:color w:val="auto"/>
              </w:rPr>
            </w:pPr>
            <w:r w:rsidRPr="009D7C92">
              <w:rPr>
                <w:bCs/>
                <w:iCs/>
                <w:color w:val="auto"/>
              </w:rPr>
              <w:t xml:space="preserve">Hypokaliémia je predispozičným faktorom pre poruchy srdcového rytmu (najmä torsades de pointes) a zvyšuje toxicitu určitých liekov, ako je napríklad digoxín. Preto sa lieky, ktoré </w:t>
            </w:r>
            <w:r w:rsidRPr="009D7C92">
              <w:rPr>
                <w:bCs/>
                <w:iCs/>
                <w:color w:val="auto"/>
              </w:rPr>
              <w:lastRenderedPageBreak/>
              <w:t>môžu spôsobiť hypokaliémiu, podieľajú na veľkom počte interakcií. Sú to kaliuretické diuretiká, samotné alebo v kombinácii, stimulačné laxatíva, glukokortikoidy, tetrako</w:t>
            </w:r>
            <w:r w:rsidR="00304DCE">
              <w:rPr>
                <w:bCs/>
                <w:iCs/>
                <w:color w:val="auto"/>
              </w:rPr>
              <w:t>z</w:t>
            </w:r>
            <w:r w:rsidRPr="009D7C92">
              <w:rPr>
                <w:bCs/>
                <w:iCs/>
                <w:color w:val="auto"/>
              </w:rPr>
              <w:t>aktid a amfotericín B (i.v. podanie).</w:t>
            </w:r>
          </w:p>
        </w:tc>
      </w:tr>
      <w:tr w:rsidR="00071EE0" w:rsidRPr="009D7C92" w14:paraId="0390AAA4" w14:textId="77777777" w:rsidTr="00071EE0">
        <w:tc>
          <w:tcPr>
            <w:tcW w:w="3945" w:type="dxa"/>
            <w:vMerge/>
            <w:tcBorders>
              <w:right w:val="single" w:sz="4" w:space="0" w:color="7F7F7F"/>
            </w:tcBorders>
            <w:shd w:val="clear" w:color="auto" w:fill="FFFFFF"/>
          </w:tcPr>
          <w:p w14:paraId="2ACF3C33" w14:textId="77777777" w:rsidR="00071EE0" w:rsidRPr="009D7C92" w:rsidRDefault="00071EE0" w:rsidP="00071EE0">
            <w:pPr>
              <w:jc w:val="left"/>
              <w:rPr>
                <w:rFonts w:eastAsia="Malgun Gothic"/>
                <w:iCs/>
                <w:color w:val="auto"/>
              </w:rPr>
            </w:pPr>
          </w:p>
        </w:tc>
        <w:tc>
          <w:tcPr>
            <w:tcW w:w="1989" w:type="dxa"/>
            <w:tcBorders>
              <w:top w:val="single" w:sz="4" w:space="0" w:color="auto"/>
              <w:bottom w:val="single" w:sz="4" w:space="0" w:color="auto"/>
            </w:tcBorders>
            <w:shd w:val="clear" w:color="auto" w:fill="auto"/>
          </w:tcPr>
          <w:p w14:paraId="6B454246" w14:textId="37C27541" w:rsidR="00071EE0" w:rsidRPr="009D7C92" w:rsidRDefault="00071EE0" w:rsidP="00071EE0">
            <w:pPr>
              <w:jc w:val="left"/>
              <w:rPr>
                <w:i/>
                <w:color w:val="auto"/>
              </w:rPr>
            </w:pPr>
            <w:r w:rsidRPr="009D7C92">
              <w:rPr>
                <w:bCs/>
                <w:i/>
                <w:iCs/>
                <w:color w:val="auto"/>
              </w:rPr>
              <w:t>Liečivá, ktoré môžu spôsobiť hyponatriémiu</w:t>
            </w:r>
          </w:p>
        </w:tc>
        <w:tc>
          <w:tcPr>
            <w:tcW w:w="3700" w:type="dxa"/>
            <w:tcBorders>
              <w:top w:val="single" w:sz="4" w:space="0" w:color="auto"/>
              <w:bottom w:val="single" w:sz="4" w:space="0" w:color="auto"/>
            </w:tcBorders>
            <w:shd w:val="clear" w:color="auto" w:fill="auto"/>
          </w:tcPr>
          <w:p w14:paraId="5B0C57C9" w14:textId="70198851" w:rsidR="00071EE0" w:rsidRPr="009D7C92" w:rsidRDefault="00071EE0" w:rsidP="00071EE0">
            <w:pPr>
              <w:jc w:val="left"/>
              <w:rPr>
                <w:color w:val="auto"/>
              </w:rPr>
            </w:pPr>
            <w:r w:rsidRPr="009D7C92">
              <w:rPr>
                <w:bCs/>
                <w:iCs/>
                <w:color w:val="auto"/>
              </w:rPr>
              <w:t>Niektoré lieky sú častejšie zapojené do výskytu hyponatriémie. Ide o diuretiká, dezmopresín, antidepresíva inhibujúce spätné vychytávanie sérotonínu, karbamazepín a oxkarbazepín. Kombinácia týchto liekov zvyšuje riziko hyponatriémie.</w:t>
            </w:r>
          </w:p>
        </w:tc>
      </w:tr>
      <w:tr w:rsidR="00071EE0" w:rsidRPr="009D7C92" w14:paraId="1D5A497C" w14:textId="77777777" w:rsidTr="00071EE0">
        <w:tc>
          <w:tcPr>
            <w:tcW w:w="3945" w:type="dxa"/>
            <w:vMerge/>
            <w:tcBorders>
              <w:right w:val="single" w:sz="4" w:space="0" w:color="7F7F7F"/>
            </w:tcBorders>
            <w:shd w:val="clear" w:color="auto" w:fill="FFFFFF"/>
          </w:tcPr>
          <w:p w14:paraId="5FEF0947" w14:textId="77777777" w:rsidR="00071EE0" w:rsidRPr="009D7C92" w:rsidRDefault="00071EE0" w:rsidP="00071EE0">
            <w:pPr>
              <w:jc w:val="left"/>
              <w:rPr>
                <w:rFonts w:eastAsia="Malgun Gothic"/>
                <w:iCs/>
                <w:color w:val="auto"/>
              </w:rPr>
            </w:pPr>
          </w:p>
        </w:tc>
        <w:tc>
          <w:tcPr>
            <w:tcW w:w="1989" w:type="dxa"/>
            <w:tcBorders>
              <w:top w:val="single" w:sz="4" w:space="0" w:color="auto"/>
              <w:bottom w:val="single" w:sz="4" w:space="0" w:color="auto"/>
            </w:tcBorders>
            <w:shd w:val="clear" w:color="auto" w:fill="F2F2F2"/>
          </w:tcPr>
          <w:p w14:paraId="7043CF5E" w14:textId="1E8F8F01" w:rsidR="00071EE0" w:rsidRPr="009D7C92" w:rsidRDefault="00071EE0" w:rsidP="00071EE0">
            <w:pPr>
              <w:jc w:val="left"/>
              <w:rPr>
                <w:bCs/>
                <w:i/>
                <w:iCs/>
                <w:color w:val="auto"/>
              </w:rPr>
            </w:pPr>
            <w:r w:rsidRPr="009D7C92">
              <w:rPr>
                <w:i/>
                <w:color w:val="auto"/>
              </w:rPr>
              <w:t>Liečivá, ktoré môžu spôsobiť torsades de pointes</w:t>
            </w:r>
          </w:p>
        </w:tc>
        <w:tc>
          <w:tcPr>
            <w:tcW w:w="3700" w:type="dxa"/>
            <w:tcBorders>
              <w:top w:val="single" w:sz="4" w:space="0" w:color="auto"/>
              <w:bottom w:val="single" w:sz="4" w:space="0" w:color="auto"/>
            </w:tcBorders>
            <w:shd w:val="clear" w:color="auto" w:fill="F2F2F2"/>
          </w:tcPr>
          <w:p w14:paraId="74773C89" w14:textId="0AF2FFD5" w:rsidR="00071EE0" w:rsidRPr="009D7C92" w:rsidRDefault="00071EE0" w:rsidP="00071EE0">
            <w:pPr>
              <w:jc w:val="left"/>
              <w:rPr>
                <w:bCs/>
                <w:iCs/>
                <w:color w:val="auto"/>
              </w:rPr>
            </w:pPr>
            <w:r w:rsidRPr="009D7C92">
              <w:rPr>
                <w:bCs/>
                <w:iCs/>
                <w:color w:val="auto"/>
              </w:rPr>
              <w:t>Vzhľadom na riziko hypokaliémie by sa mal hydrochlorotiazid podávať opatrne, ak sa podáva s liečivami, ktoré môžu indukovať torsades de pointes, najmä antiarytmikami triedy Ia a triedy III a niektorými antipsychotikami.</w:t>
            </w:r>
            <w:r w:rsidRPr="009D7C92">
              <w:rPr>
                <w:color w:val="auto"/>
              </w:rPr>
              <w:t xml:space="preserve"> Pred podaním lieku sa má upraviť hypokaliémiu a vykonať klinické monitorovanie, kontrola elektrolytov a elektrokardiografické monitorovanie.</w:t>
            </w:r>
          </w:p>
        </w:tc>
      </w:tr>
      <w:tr w:rsidR="00071EE0" w:rsidRPr="009D7C92" w14:paraId="25D29487" w14:textId="77777777" w:rsidTr="00071EE0">
        <w:tc>
          <w:tcPr>
            <w:tcW w:w="3945" w:type="dxa"/>
            <w:vMerge/>
            <w:tcBorders>
              <w:right w:val="single" w:sz="4" w:space="0" w:color="7F7F7F"/>
            </w:tcBorders>
            <w:shd w:val="clear" w:color="auto" w:fill="FFFFFF"/>
          </w:tcPr>
          <w:p w14:paraId="2BC1DB50" w14:textId="77777777" w:rsidR="00071EE0" w:rsidRPr="009D7C92" w:rsidRDefault="00071EE0" w:rsidP="00071EE0">
            <w:pPr>
              <w:jc w:val="left"/>
              <w:rPr>
                <w:rFonts w:eastAsia="Malgun Gothic"/>
                <w:iCs/>
                <w:color w:val="auto"/>
              </w:rPr>
            </w:pPr>
          </w:p>
        </w:tc>
        <w:tc>
          <w:tcPr>
            <w:tcW w:w="1989" w:type="dxa"/>
            <w:tcBorders>
              <w:top w:val="single" w:sz="4" w:space="0" w:color="auto"/>
              <w:bottom w:val="single" w:sz="4" w:space="0" w:color="auto"/>
            </w:tcBorders>
            <w:shd w:val="clear" w:color="auto" w:fill="auto"/>
          </w:tcPr>
          <w:p w14:paraId="4707478E" w14:textId="77777777" w:rsidR="00071EE0" w:rsidRPr="009D7C92" w:rsidRDefault="00071EE0" w:rsidP="00071EE0">
            <w:pPr>
              <w:jc w:val="left"/>
              <w:rPr>
                <w:i/>
                <w:color w:val="auto"/>
              </w:rPr>
            </w:pPr>
            <w:r w:rsidRPr="009D7C92">
              <w:rPr>
                <w:i/>
                <w:iCs/>
                <w:color w:val="auto"/>
              </w:rPr>
              <w:t>Antidiabetiká vrátane inzulínu</w:t>
            </w:r>
          </w:p>
        </w:tc>
        <w:tc>
          <w:tcPr>
            <w:tcW w:w="3700" w:type="dxa"/>
            <w:tcBorders>
              <w:top w:val="single" w:sz="4" w:space="0" w:color="auto"/>
              <w:bottom w:val="single" w:sz="4" w:space="0" w:color="auto"/>
            </w:tcBorders>
            <w:shd w:val="clear" w:color="auto" w:fill="auto"/>
          </w:tcPr>
          <w:p w14:paraId="7D50F4F7" w14:textId="274D51F7" w:rsidR="00071EE0" w:rsidRPr="009D7C92" w:rsidRDefault="00071EE0" w:rsidP="00071EE0">
            <w:pPr>
              <w:jc w:val="left"/>
              <w:rPr>
                <w:bCs/>
                <w:iCs/>
                <w:color w:val="auto"/>
              </w:rPr>
            </w:pPr>
            <w:r w:rsidRPr="009D7C92">
              <w:rPr>
                <w:color w:val="auto"/>
              </w:rPr>
              <w:t>Môžu sa vyskytnúť hypoglykemické reakcie. Hydrochlorotiazid môže zmierniť účinok antidiabetík. Preto sa v začiatočnej fáze súbežného podávania odporúča najmä monitorovanie krvnej glukózy.</w:t>
            </w:r>
          </w:p>
        </w:tc>
      </w:tr>
      <w:tr w:rsidR="00071EE0" w:rsidRPr="009D7C92" w14:paraId="6B86AD52" w14:textId="77777777" w:rsidTr="00071EE0">
        <w:tc>
          <w:tcPr>
            <w:tcW w:w="3945" w:type="dxa"/>
            <w:vMerge/>
            <w:tcBorders>
              <w:right w:val="single" w:sz="4" w:space="0" w:color="7F7F7F"/>
            </w:tcBorders>
            <w:shd w:val="clear" w:color="auto" w:fill="FFFFFF"/>
          </w:tcPr>
          <w:p w14:paraId="1A98CEFE" w14:textId="77777777" w:rsidR="00071EE0" w:rsidRPr="009D7C92" w:rsidRDefault="00071EE0" w:rsidP="00071EE0">
            <w:pPr>
              <w:jc w:val="left"/>
              <w:rPr>
                <w:rFonts w:eastAsia="Malgun Gothic"/>
                <w:iCs/>
                <w:color w:val="auto"/>
              </w:rPr>
            </w:pPr>
          </w:p>
        </w:tc>
        <w:tc>
          <w:tcPr>
            <w:tcW w:w="1989" w:type="dxa"/>
            <w:tcBorders>
              <w:top w:val="single" w:sz="4" w:space="0" w:color="auto"/>
              <w:bottom w:val="single" w:sz="4" w:space="0" w:color="auto"/>
            </w:tcBorders>
            <w:shd w:val="clear" w:color="auto" w:fill="F2F2F2"/>
          </w:tcPr>
          <w:p w14:paraId="7349B8D7" w14:textId="5C4E446D" w:rsidR="00071EE0" w:rsidRPr="009D7C92" w:rsidRDefault="00071EE0" w:rsidP="00071EE0">
            <w:pPr>
              <w:jc w:val="left"/>
              <w:rPr>
                <w:i/>
                <w:iCs/>
                <w:color w:val="auto"/>
              </w:rPr>
            </w:pPr>
            <w:r w:rsidRPr="009D7C92">
              <w:rPr>
                <w:i/>
                <w:iCs/>
                <w:color w:val="auto"/>
              </w:rPr>
              <w:t>Perorálne antikoagulanciá</w:t>
            </w:r>
          </w:p>
        </w:tc>
        <w:tc>
          <w:tcPr>
            <w:tcW w:w="3700" w:type="dxa"/>
            <w:tcBorders>
              <w:top w:val="single" w:sz="4" w:space="0" w:color="auto"/>
              <w:bottom w:val="single" w:sz="4" w:space="0" w:color="auto"/>
            </w:tcBorders>
            <w:shd w:val="clear" w:color="auto" w:fill="F2F2F2"/>
          </w:tcPr>
          <w:p w14:paraId="6E4516C0" w14:textId="77777777" w:rsidR="00071EE0" w:rsidRPr="009D7C92" w:rsidRDefault="00071EE0" w:rsidP="00071EE0">
            <w:pPr>
              <w:jc w:val="left"/>
              <w:rPr>
                <w:color w:val="auto"/>
              </w:rPr>
            </w:pPr>
            <w:r w:rsidRPr="009D7C92">
              <w:rPr>
                <w:color w:val="auto"/>
              </w:rPr>
              <w:t>Antikoagulačný účinok môže byť znížený v dôsledku súbežného podávania hydrochlorotiazidu.</w:t>
            </w:r>
          </w:p>
        </w:tc>
      </w:tr>
      <w:tr w:rsidR="00071EE0" w:rsidRPr="009D7C92" w14:paraId="1A861D8F" w14:textId="77777777" w:rsidTr="00071EE0">
        <w:tc>
          <w:tcPr>
            <w:tcW w:w="3945" w:type="dxa"/>
            <w:vMerge/>
            <w:tcBorders>
              <w:right w:val="single" w:sz="4" w:space="0" w:color="7F7F7F"/>
            </w:tcBorders>
            <w:shd w:val="clear" w:color="auto" w:fill="FFFFFF"/>
          </w:tcPr>
          <w:p w14:paraId="28B42072" w14:textId="77777777" w:rsidR="00071EE0" w:rsidRPr="009D7C92" w:rsidRDefault="00071EE0" w:rsidP="00071EE0">
            <w:pPr>
              <w:jc w:val="left"/>
              <w:rPr>
                <w:rFonts w:eastAsia="Malgun Gothic"/>
                <w:iCs/>
                <w:color w:val="auto"/>
              </w:rPr>
            </w:pPr>
          </w:p>
        </w:tc>
        <w:tc>
          <w:tcPr>
            <w:tcW w:w="1989" w:type="dxa"/>
            <w:tcBorders>
              <w:top w:val="single" w:sz="4" w:space="0" w:color="auto"/>
              <w:bottom w:val="single" w:sz="4" w:space="0" w:color="auto"/>
            </w:tcBorders>
            <w:shd w:val="clear" w:color="auto" w:fill="auto"/>
          </w:tcPr>
          <w:p w14:paraId="214D806B" w14:textId="41A3DF51" w:rsidR="00071EE0" w:rsidRPr="009D7C92" w:rsidRDefault="00071EE0" w:rsidP="00071EE0">
            <w:pPr>
              <w:jc w:val="left"/>
              <w:rPr>
                <w:i/>
                <w:iCs/>
                <w:color w:val="auto"/>
              </w:rPr>
            </w:pPr>
            <w:r w:rsidRPr="009D7C92">
              <w:rPr>
                <w:i/>
                <w:iCs/>
                <w:color w:val="auto"/>
              </w:rPr>
              <w:t>Srdcové glykozidy, liečivá, o ktorých je známe, že predlžujú QT interval a antiarytmiká</w:t>
            </w:r>
          </w:p>
        </w:tc>
        <w:tc>
          <w:tcPr>
            <w:tcW w:w="3700" w:type="dxa"/>
            <w:tcBorders>
              <w:top w:val="single" w:sz="4" w:space="0" w:color="auto"/>
              <w:bottom w:val="single" w:sz="4" w:space="0" w:color="auto"/>
            </w:tcBorders>
            <w:shd w:val="clear" w:color="auto" w:fill="auto"/>
          </w:tcPr>
          <w:p w14:paraId="35445BE5" w14:textId="6403AEB8" w:rsidR="00071EE0" w:rsidRPr="009D7C92" w:rsidRDefault="00071EE0" w:rsidP="00071EE0">
            <w:pPr>
              <w:jc w:val="left"/>
              <w:rPr>
                <w:color w:val="auto"/>
              </w:rPr>
            </w:pPr>
            <w:r w:rsidRPr="009D7C92">
              <w:rPr>
                <w:color w:val="auto"/>
              </w:rPr>
              <w:t>Ich proarytmogénna toxicita môže byť zvýšená alebo ich antiarytmický účinok môže byť znížený v prítomnosti porúch elektrolytov (napr. hypokaliémia, hypomagneziémia). Najprv sa má skontrolovať hladina draslíka v sére, a má sa vykonať klinické monitorovanie, kontrola elektrolytov a elektrokardiografické monitorovanie.</w:t>
            </w:r>
          </w:p>
        </w:tc>
      </w:tr>
      <w:tr w:rsidR="00071EE0" w:rsidRPr="009D7C92" w14:paraId="256FF87C" w14:textId="77777777" w:rsidTr="00071EE0">
        <w:tc>
          <w:tcPr>
            <w:tcW w:w="3945" w:type="dxa"/>
            <w:vMerge/>
            <w:tcBorders>
              <w:right w:val="single" w:sz="4" w:space="0" w:color="7F7F7F"/>
            </w:tcBorders>
            <w:shd w:val="clear" w:color="auto" w:fill="FFFFFF"/>
          </w:tcPr>
          <w:p w14:paraId="2628C7B9" w14:textId="77777777" w:rsidR="00071EE0" w:rsidRPr="009D7C92" w:rsidRDefault="00071EE0" w:rsidP="00071EE0">
            <w:pPr>
              <w:jc w:val="left"/>
              <w:rPr>
                <w:rFonts w:eastAsia="Malgun Gothic"/>
                <w:iCs/>
                <w:color w:val="auto"/>
              </w:rPr>
            </w:pPr>
          </w:p>
        </w:tc>
        <w:tc>
          <w:tcPr>
            <w:tcW w:w="1989" w:type="dxa"/>
            <w:tcBorders>
              <w:top w:val="single" w:sz="4" w:space="0" w:color="auto"/>
              <w:bottom w:val="single" w:sz="4" w:space="0" w:color="auto"/>
            </w:tcBorders>
            <w:shd w:val="clear" w:color="auto" w:fill="F2F2F2"/>
          </w:tcPr>
          <w:p w14:paraId="0582D6B5" w14:textId="77777777" w:rsidR="00071EE0" w:rsidRPr="009D7C92" w:rsidRDefault="00071EE0" w:rsidP="00071EE0">
            <w:pPr>
              <w:jc w:val="left"/>
              <w:rPr>
                <w:i/>
                <w:iCs/>
                <w:color w:val="auto"/>
              </w:rPr>
            </w:pPr>
            <w:r w:rsidRPr="009D7C92">
              <w:rPr>
                <w:i/>
                <w:iCs/>
                <w:color w:val="auto"/>
              </w:rPr>
              <w:t>Draslík šetriace diuretiká (samotné alebo v kombinácii)</w:t>
            </w:r>
          </w:p>
          <w:p w14:paraId="077390B5" w14:textId="77777777" w:rsidR="00071EE0" w:rsidRPr="009D7C92" w:rsidRDefault="00071EE0" w:rsidP="00071EE0">
            <w:pPr>
              <w:jc w:val="left"/>
              <w:rPr>
                <w:i/>
                <w:iCs/>
                <w:color w:val="auto"/>
              </w:rPr>
            </w:pPr>
          </w:p>
        </w:tc>
        <w:tc>
          <w:tcPr>
            <w:tcW w:w="3700" w:type="dxa"/>
            <w:tcBorders>
              <w:top w:val="single" w:sz="4" w:space="0" w:color="auto"/>
              <w:bottom w:val="single" w:sz="4" w:space="0" w:color="auto"/>
            </w:tcBorders>
            <w:shd w:val="clear" w:color="auto" w:fill="F2F2F2"/>
          </w:tcPr>
          <w:p w14:paraId="77833702" w14:textId="77777777" w:rsidR="00071EE0" w:rsidRPr="009D7C92" w:rsidRDefault="00071EE0" w:rsidP="00071EE0">
            <w:pPr>
              <w:jc w:val="left"/>
              <w:rPr>
                <w:iCs/>
                <w:color w:val="auto"/>
              </w:rPr>
            </w:pPr>
            <w:r w:rsidRPr="009D7C92">
              <w:rPr>
                <w:iCs/>
                <w:color w:val="auto"/>
              </w:rPr>
              <w:t>Racionálna kombinácia, užitočná pre niektorých pacientov, nevylučuje výskyt hypokaliémie alebo, najmä pri renálnej insuficiencii a diabete, hyperkaliémiu.</w:t>
            </w:r>
          </w:p>
          <w:p w14:paraId="7FE23DF6" w14:textId="5B5BE841" w:rsidR="00071EE0" w:rsidRPr="009D7C92" w:rsidRDefault="00071EE0" w:rsidP="00071EE0">
            <w:pPr>
              <w:jc w:val="left"/>
              <w:rPr>
                <w:color w:val="auto"/>
              </w:rPr>
            </w:pPr>
            <w:r w:rsidRPr="009D7C92">
              <w:rPr>
                <w:iCs/>
                <w:color w:val="auto"/>
              </w:rPr>
              <w:t>Má sa sledovať hladina draslíka v sére, zaznamenať elektrokardiogram, a ak je to vhodné, má sa prehodnotiť liečba.</w:t>
            </w:r>
          </w:p>
        </w:tc>
      </w:tr>
      <w:tr w:rsidR="00071EE0" w:rsidRPr="009D7C92" w14:paraId="33DC90BA" w14:textId="77777777" w:rsidTr="00071EE0">
        <w:tc>
          <w:tcPr>
            <w:tcW w:w="3945" w:type="dxa"/>
            <w:vMerge/>
            <w:tcBorders>
              <w:right w:val="single" w:sz="4" w:space="0" w:color="7F7F7F"/>
            </w:tcBorders>
            <w:shd w:val="clear" w:color="auto" w:fill="FFFFFF"/>
          </w:tcPr>
          <w:p w14:paraId="539C7919" w14:textId="77777777" w:rsidR="00071EE0" w:rsidRPr="009D7C92" w:rsidRDefault="00071EE0" w:rsidP="00071EE0">
            <w:pPr>
              <w:jc w:val="left"/>
              <w:rPr>
                <w:rFonts w:eastAsia="Malgun Gothic"/>
                <w:iCs/>
                <w:color w:val="auto"/>
              </w:rPr>
            </w:pPr>
          </w:p>
        </w:tc>
        <w:tc>
          <w:tcPr>
            <w:tcW w:w="1989" w:type="dxa"/>
            <w:tcBorders>
              <w:top w:val="single" w:sz="4" w:space="0" w:color="auto"/>
              <w:bottom w:val="single" w:sz="4" w:space="0" w:color="auto"/>
            </w:tcBorders>
            <w:shd w:val="clear" w:color="auto" w:fill="auto"/>
          </w:tcPr>
          <w:p w14:paraId="34DE9BEF" w14:textId="7BD7A3AB" w:rsidR="00071EE0" w:rsidRPr="009D7C92" w:rsidRDefault="00071EE0" w:rsidP="00071EE0">
            <w:pPr>
              <w:jc w:val="left"/>
              <w:rPr>
                <w:bCs/>
                <w:i/>
                <w:iCs/>
                <w:color w:val="auto"/>
              </w:rPr>
            </w:pPr>
            <w:r w:rsidRPr="009D7C92">
              <w:rPr>
                <w:i/>
                <w:iCs/>
                <w:color w:val="auto"/>
              </w:rPr>
              <w:t xml:space="preserve">Vápenaté soli a lieky zvyšujúce plazmatickú </w:t>
            </w:r>
            <w:r w:rsidRPr="009D7C92">
              <w:rPr>
                <w:i/>
                <w:iCs/>
                <w:color w:val="auto"/>
              </w:rPr>
              <w:lastRenderedPageBreak/>
              <w:t xml:space="preserve">koncentráciu vápnika </w:t>
            </w:r>
          </w:p>
        </w:tc>
        <w:tc>
          <w:tcPr>
            <w:tcW w:w="3700" w:type="dxa"/>
            <w:tcBorders>
              <w:top w:val="single" w:sz="4" w:space="0" w:color="auto"/>
              <w:bottom w:val="single" w:sz="4" w:space="0" w:color="auto"/>
            </w:tcBorders>
            <w:shd w:val="clear" w:color="auto" w:fill="auto"/>
          </w:tcPr>
          <w:p w14:paraId="5B10F039" w14:textId="77777777" w:rsidR="00071EE0" w:rsidRPr="009D7C92" w:rsidRDefault="00071EE0" w:rsidP="00071EE0">
            <w:pPr>
              <w:jc w:val="left"/>
              <w:rPr>
                <w:iCs/>
                <w:color w:val="auto"/>
              </w:rPr>
            </w:pPr>
            <w:r w:rsidRPr="009D7C92">
              <w:rPr>
                <w:color w:val="auto"/>
              </w:rPr>
              <w:lastRenderedPageBreak/>
              <w:t xml:space="preserve">V prípade súbežného podávania hydrochlorotiazidu sa očakáva zvýšenie koncentrácie vápnika v sére; </w:t>
            </w:r>
            <w:r w:rsidRPr="009D7C92">
              <w:rPr>
                <w:color w:val="auto"/>
              </w:rPr>
              <w:lastRenderedPageBreak/>
              <w:t>preto je potrebné starostlivé sledovanie hladiny vápnika v sére.</w:t>
            </w:r>
          </w:p>
        </w:tc>
      </w:tr>
      <w:tr w:rsidR="00071EE0" w:rsidRPr="009D7C92" w14:paraId="5CA3012D" w14:textId="77777777" w:rsidTr="00071EE0">
        <w:tc>
          <w:tcPr>
            <w:tcW w:w="3945" w:type="dxa"/>
            <w:vMerge/>
            <w:tcBorders>
              <w:right w:val="single" w:sz="4" w:space="0" w:color="7F7F7F"/>
            </w:tcBorders>
            <w:shd w:val="clear" w:color="auto" w:fill="FFFFFF"/>
          </w:tcPr>
          <w:p w14:paraId="2FA8F721" w14:textId="77777777" w:rsidR="00071EE0" w:rsidRPr="009D7C92" w:rsidRDefault="00071EE0" w:rsidP="00071EE0">
            <w:pPr>
              <w:jc w:val="left"/>
              <w:rPr>
                <w:rFonts w:eastAsia="Malgun Gothic"/>
                <w:iCs/>
                <w:color w:val="auto"/>
              </w:rPr>
            </w:pPr>
          </w:p>
        </w:tc>
        <w:tc>
          <w:tcPr>
            <w:tcW w:w="1989" w:type="dxa"/>
            <w:tcBorders>
              <w:top w:val="single" w:sz="4" w:space="0" w:color="auto"/>
              <w:bottom w:val="single" w:sz="4" w:space="0" w:color="auto"/>
            </w:tcBorders>
            <w:shd w:val="clear" w:color="auto" w:fill="F2F2F2"/>
          </w:tcPr>
          <w:p w14:paraId="001D7260" w14:textId="1AAEDAEC" w:rsidR="00071EE0" w:rsidRPr="009D7C92" w:rsidRDefault="00071EE0" w:rsidP="00071EE0">
            <w:pPr>
              <w:jc w:val="left"/>
              <w:rPr>
                <w:i/>
                <w:iCs/>
                <w:color w:val="auto"/>
              </w:rPr>
            </w:pPr>
            <w:r w:rsidRPr="009D7C92">
              <w:rPr>
                <w:bCs/>
                <w:i/>
                <w:iCs/>
                <w:color w:val="auto"/>
              </w:rPr>
              <w:t>Liečivá spôsobujúce ortostatickú hypotenziu</w:t>
            </w:r>
          </w:p>
        </w:tc>
        <w:tc>
          <w:tcPr>
            <w:tcW w:w="3700" w:type="dxa"/>
            <w:tcBorders>
              <w:top w:val="single" w:sz="4" w:space="0" w:color="auto"/>
              <w:bottom w:val="single" w:sz="4" w:space="0" w:color="auto"/>
            </w:tcBorders>
            <w:shd w:val="clear" w:color="auto" w:fill="F2F2F2"/>
          </w:tcPr>
          <w:p w14:paraId="04B987FF" w14:textId="51DD2D7B" w:rsidR="00071EE0" w:rsidRPr="009D7C92" w:rsidRDefault="00071EE0" w:rsidP="00071EE0">
            <w:pPr>
              <w:jc w:val="left"/>
              <w:rPr>
                <w:color w:val="auto"/>
              </w:rPr>
            </w:pPr>
            <w:r w:rsidRPr="009D7C92">
              <w:rPr>
                <w:bCs/>
                <w:iCs/>
                <w:color w:val="auto"/>
              </w:rPr>
              <w:t>Antihypertenzíva môžu spôsobiť ortostatickú hypotenziu. To je platné pre nitráty, inhibítory fosfodiesterázy typu 5, alfablokátory aj tie, ktoré sú určené na urologické použitie (alfuzosín, doxazosín, prazosín, silodozín, tamsulozín a terazosín), tricyklické antidepresíva a neuroleptické fenotiazíny, agonisty dopamínu, levodopu, baklofén, amifostín.</w:t>
            </w:r>
          </w:p>
        </w:tc>
      </w:tr>
      <w:tr w:rsidR="00071EE0" w:rsidRPr="009D7C92" w14:paraId="58240EDF" w14:textId="77777777" w:rsidTr="00071EE0">
        <w:tc>
          <w:tcPr>
            <w:tcW w:w="3945" w:type="dxa"/>
            <w:vMerge/>
            <w:tcBorders>
              <w:right w:val="single" w:sz="4" w:space="0" w:color="7F7F7F"/>
            </w:tcBorders>
            <w:shd w:val="clear" w:color="auto" w:fill="FFFFFF"/>
          </w:tcPr>
          <w:p w14:paraId="747104C1" w14:textId="77777777" w:rsidR="00071EE0" w:rsidRPr="009D7C92" w:rsidRDefault="00071EE0" w:rsidP="00071EE0">
            <w:pPr>
              <w:jc w:val="left"/>
              <w:rPr>
                <w:rFonts w:eastAsia="Malgun Gothic"/>
                <w:iCs/>
                <w:color w:val="auto"/>
              </w:rPr>
            </w:pPr>
          </w:p>
        </w:tc>
        <w:tc>
          <w:tcPr>
            <w:tcW w:w="1989" w:type="dxa"/>
            <w:tcBorders>
              <w:top w:val="single" w:sz="4" w:space="0" w:color="auto"/>
              <w:bottom w:val="single" w:sz="4" w:space="0" w:color="auto"/>
            </w:tcBorders>
            <w:shd w:val="clear" w:color="auto" w:fill="auto"/>
          </w:tcPr>
          <w:p w14:paraId="2ED05F45" w14:textId="77777777" w:rsidR="00071EE0" w:rsidRPr="009D7C92" w:rsidRDefault="00071EE0" w:rsidP="00071EE0">
            <w:pPr>
              <w:jc w:val="left"/>
              <w:rPr>
                <w:bCs/>
                <w:i/>
                <w:iCs/>
                <w:color w:val="auto"/>
              </w:rPr>
            </w:pPr>
            <w:r w:rsidRPr="009D7C92">
              <w:rPr>
                <w:i/>
                <w:iCs/>
                <w:color w:val="auto"/>
              </w:rPr>
              <w:t>Karbamazepín</w:t>
            </w:r>
          </w:p>
        </w:tc>
        <w:tc>
          <w:tcPr>
            <w:tcW w:w="3700" w:type="dxa"/>
            <w:tcBorders>
              <w:top w:val="single" w:sz="4" w:space="0" w:color="auto"/>
              <w:bottom w:val="single" w:sz="4" w:space="0" w:color="auto"/>
            </w:tcBorders>
            <w:shd w:val="clear" w:color="auto" w:fill="auto"/>
          </w:tcPr>
          <w:p w14:paraId="0AE396FD" w14:textId="77777777" w:rsidR="00071EE0" w:rsidRPr="009D7C92" w:rsidRDefault="00071EE0" w:rsidP="00071EE0">
            <w:pPr>
              <w:jc w:val="left"/>
              <w:rPr>
                <w:bCs/>
                <w:iCs/>
                <w:color w:val="auto"/>
              </w:rPr>
            </w:pPr>
            <w:r w:rsidRPr="009D7C92">
              <w:rPr>
                <w:color w:val="auto"/>
              </w:rPr>
              <w:t>Riziko hyponatriémie v dôsledku aditívneho účinku hydrochlorotiazidu. Klinické a biologické monitorovanie.</w:t>
            </w:r>
          </w:p>
        </w:tc>
      </w:tr>
      <w:tr w:rsidR="00071EE0" w:rsidRPr="009D7C92" w14:paraId="5D073210" w14:textId="77777777" w:rsidTr="00071EE0">
        <w:tc>
          <w:tcPr>
            <w:tcW w:w="3945" w:type="dxa"/>
            <w:vMerge/>
            <w:tcBorders>
              <w:right w:val="single" w:sz="4" w:space="0" w:color="7F7F7F"/>
            </w:tcBorders>
            <w:shd w:val="clear" w:color="auto" w:fill="FFFFFF"/>
          </w:tcPr>
          <w:p w14:paraId="7A5B6C3B" w14:textId="77777777" w:rsidR="00071EE0" w:rsidRPr="009D7C92" w:rsidRDefault="00071EE0" w:rsidP="00071EE0">
            <w:pPr>
              <w:jc w:val="left"/>
              <w:rPr>
                <w:rFonts w:eastAsia="Malgun Gothic"/>
                <w:iCs/>
                <w:color w:val="auto"/>
              </w:rPr>
            </w:pPr>
          </w:p>
        </w:tc>
        <w:tc>
          <w:tcPr>
            <w:tcW w:w="1989" w:type="dxa"/>
            <w:tcBorders>
              <w:top w:val="single" w:sz="4" w:space="0" w:color="auto"/>
              <w:bottom w:val="single" w:sz="4" w:space="0" w:color="auto"/>
            </w:tcBorders>
            <w:shd w:val="clear" w:color="auto" w:fill="F2F2F2"/>
          </w:tcPr>
          <w:p w14:paraId="2B2FA52A" w14:textId="699898AE" w:rsidR="00071EE0" w:rsidRDefault="00071EE0" w:rsidP="00071EE0">
            <w:pPr>
              <w:jc w:val="left"/>
              <w:rPr>
                <w:i/>
                <w:iCs/>
                <w:color w:val="auto"/>
              </w:rPr>
            </w:pPr>
            <w:r w:rsidRPr="009D7C92">
              <w:rPr>
                <w:i/>
                <w:iCs/>
                <w:color w:val="auto"/>
              </w:rPr>
              <w:t>Sekvestranty žlčových kyselín (chelačné živice),</w:t>
            </w:r>
          </w:p>
          <w:p w14:paraId="5417CAD2" w14:textId="2E31A0D7" w:rsidR="00071EE0" w:rsidRPr="009D7C92" w:rsidRDefault="00071EE0" w:rsidP="00071EE0">
            <w:pPr>
              <w:jc w:val="left"/>
              <w:rPr>
                <w:iCs/>
                <w:color w:val="auto"/>
              </w:rPr>
            </w:pPr>
            <w:r w:rsidRPr="009D7C92">
              <w:rPr>
                <w:iCs/>
                <w:color w:val="auto"/>
              </w:rPr>
              <w:t>(napr. kolestyramín)</w:t>
            </w:r>
          </w:p>
        </w:tc>
        <w:tc>
          <w:tcPr>
            <w:tcW w:w="3700" w:type="dxa"/>
            <w:tcBorders>
              <w:top w:val="single" w:sz="4" w:space="0" w:color="auto"/>
              <w:bottom w:val="single" w:sz="4" w:space="0" w:color="auto"/>
            </w:tcBorders>
            <w:shd w:val="clear" w:color="auto" w:fill="F2F2F2"/>
          </w:tcPr>
          <w:p w14:paraId="2FCCC0A4" w14:textId="72165C38" w:rsidR="00071EE0" w:rsidRPr="009D7C92" w:rsidRDefault="00071EE0" w:rsidP="00071EE0">
            <w:pPr>
              <w:jc w:val="left"/>
              <w:rPr>
                <w:color w:val="auto"/>
              </w:rPr>
            </w:pPr>
            <w:r w:rsidRPr="009D7C92">
              <w:rPr>
                <w:iCs/>
                <w:color w:val="auto"/>
              </w:rPr>
              <w:t>Sekvestranty žlčových kyselín viažu tiazidové diuretiká v čreve a zhoršujú gastrointestinálnu absorpciu o 43-85%. Podávanie tiazidu 4 hodiny po sekvestrante žlčovej kyseliny znížilo absorpciu hydrochlorotiazidu o 30-35%. Tiazid sa podáva 2-4 hodiny pred alebo 6 hodín po žlčovom sekvestrante. Má sa udržiavať konzistentný odstup pri podávaní. V prípade potreby sa má monitorovať krvný tlak a zvýšiť dávka tiazidu.</w:t>
            </w:r>
          </w:p>
        </w:tc>
      </w:tr>
      <w:tr w:rsidR="00071EE0" w:rsidRPr="009D7C92" w14:paraId="43203328" w14:textId="77777777" w:rsidTr="00071EE0">
        <w:tc>
          <w:tcPr>
            <w:tcW w:w="3945" w:type="dxa"/>
            <w:vMerge/>
            <w:tcBorders>
              <w:right w:val="single" w:sz="4" w:space="0" w:color="7F7F7F"/>
            </w:tcBorders>
            <w:shd w:val="clear" w:color="auto" w:fill="FFFFFF"/>
          </w:tcPr>
          <w:p w14:paraId="78186B86" w14:textId="77777777" w:rsidR="00071EE0" w:rsidRPr="009D7C92" w:rsidRDefault="00071EE0" w:rsidP="00071EE0">
            <w:pPr>
              <w:jc w:val="left"/>
              <w:rPr>
                <w:rFonts w:eastAsia="Malgun Gothic"/>
                <w:iCs/>
                <w:color w:val="auto"/>
              </w:rPr>
            </w:pPr>
          </w:p>
        </w:tc>
        <w:tc>
          <w:tcPr>
            <w:tcW w:w="1989" w:type="dxa"/>
            <w:tcBorders>
              <w:top w:val="single" w:sz="4" w:space="0" w:color="auto"/>
              <w:bottom w:val="single" w:sz="4" w:space="0" w:color="auto"/>
            </w:tcBorders>
            <w:shd w:val="clear" w:color="auto" w:fill="auto"/>
          </w:tcPr>
          <w:p w14:paraId="5BE1DA1B" w14:textId="5933716E" w:rsidR="00071EE0" w:rsidRPr="009D7C92" w:rsidRDefault="00071EE0" w:rsidP="00071EE0">
            <w:pPr>
              <w:jc w:val="left"/>
              <w:rPr>
                <w:i/>
                <w:iCs/>
                <w:color w:val="auto"/>
              </w:rPr>
            </w:pPr>
            <w:r w:rsidRPr="009D7C92">
              <w:rPr>
                <w:i/>
                <w:iCs/>
                <w:color w:val="auto"/>
              </w:rPr>
              <w:t xml:space="preserve">Jódované kontrastné látky </w:t>
            </w:r>
          </w:p>
        </w:tc>
        <w:tc>
          <w:tcPr>
            <w:tcW w:w="3700" w:type="dxa"/>
            <w:tcBorders>
              <w:top w:val="single" w:sz="4" w:space="0" w:color="auto"/>
              <w:bottom w:val="single" w:sz="4" w:space="0" w:color="auto"/>
            </w:tcBorders>
            <w:shd w:val="clear" w:color="auto" w:fill="auto"/>
          </w:tcPr>
          <w:p w14:paraId="5DE00F6D" w14:textId="1E2643B3" w:rsidR="00071EE0" w:rsidRDefault="00071EE0" w:rsidP="00071EE0">
            <w:pPr>
              <w:jc w:val="left"/>
              <w:rPr>
                <w:color w:val="auto"/>
              </w:rPr>
            </w:pPr>
            <w:r w:rsidRPr="009D7C92">
              <w:rPr>
                <w:color w:val="auto"/>
              </w:rPr>
              <w:t>V prípade dehydratácie vyvolanej diuretikami, vrátane hydrochlorotiazidu, existuje zvýšené riziko akútneho poškodenia obličiek pri používaní významných dávok jódovaných kontrastných látok.</w:t>
            </w:r>
          </w:p>
          <w:p w14:paraId="7C4D78CC" w14:textId="224AC3C2" w:rsidR="00071EE0" w:rsidRPr="009D7C92" w:rsidRDefault="00071EE0" w:rsidP="00071EE0">
            <w:pPr>
              <w:jc w:val="left"/>
              <w:rPr>
                <w:iCs/>
                <w:color w:val="auto"/>
              </w:rPr>
            </w:pPr>
            <w:r w:rsidRPr="009D7C92">
              <w:rPr>
                <w:color w:val="auto"/>
              </w:rPr>
              <w:t>Rehydratácia pred podaním jódovaného lieku.</w:t>
            </w:r>
          </w:p>
        </w:tc>
      </w:tr>
      <w:tr w:rsidR="00071EE0" w:rsidRPr="009D7C92" w14:paraId="53447DCD" w14:textId="77777777" w:rsidTr="00071EE0">
        <w:tc>
          <w:tcPr>
            <w:tcW w:w="3945" w:type="dxa"/>
            <w:vMerge/>
            <w:tcBorders>
              <w:bottom w:val="single" w:sz="4" w:space="0" w:color="auto"/>
              <w:right w:val="single" w:sz="4" w:space="0" w:color="7F7F7F"/>
            </w:tcBorders>
            <w:shd w:val="clear" w:color="auto" w:fill="FFFFFF"/>
          </w:tcPr>
          <w:p w14:paraId="4557587A" w14:textId="77777777" w:rsidR="00071EE0" w:rsidRPr="009D7C92" w:rsidRDefault="00071EE0" w:rsidP="00071EE0">
            <w:pPr>
              <w:jc w:val="left"/>
              <w:rPr>
                <w:rFonts w:eastAsia="Malgun Gothic"/>
                <w:iCs/>
                <w:color w:val="auto"/>
              </w:rPr>
            </w:pPr>
          </w:p>
        </w:tc>
        <w:tc>
          <w:tcPr>
            <w:tcW w:w="1989" w:type="dxa"/>
            <w:tcBorders>
              <w:top w:val="single" w:sz="4" w:space="0" w:color="auto"/>
              <w:bottom w:val="single" w:sz="4" w:space="0" w:color="auto"/>
            </w:tcBorders>
            <w:shd w:val="clear" w:color="auto" w:fill="F2F2F2"/>
          </w:tcPr>
          <w:p w14:paraId="42EA1D15" w14:textId="77777777" w:rsidR="00071EE0" w:rsidRPr="009D7C92" w:rsidRDefault="00071EE0" w:rsidP="00071EE0">
            <w:pPr>
              <w:jc w:val="left"/>
              <w:rPr>
                <w:i/>
                <w:iCs/>
                <w:color w:val="auto"/>
              </w:rPr>
            </w:pPr>
            <w:r w:rsidRPr="009D7C92">
              <w:rPr>
                <w:bCs/>
                <w:i/>
                <w:iCs/>
                <w:color w:val="auto"/>
              </w:rPr>
              <w:t>Cyklosporín</w:t>
            </w:r>
          </w:p>
        </w:tc>
        <w:tc>
          <w:tcPr>
            <w:tcW w:w="3700" w:type="dxa"/>
            <w:tcBorders>
              <w:top w:val="single" w:sz="4" w:space="0" w:color="auto"/>
              <w:bottom w:val="single" w:sz="4" w:space="0" w:color="auto"/>
            </w:tcBorders>
            <w:shd w:val="clear" w:color="auto" w:fill="F2F2F2"/>
          </w:tcPr>
          <w:p w14:paraId="2A6A8386" w14:textId="77777777" w:rsidR="00071EE0" w:rsidRPr="009D7C92" w:rsidRDefault="00071EE0" w:rsidP="00071EE0">
            <w:pPr>
              <w:jc w:val="left"/>
              <w:rPr>
                <w:color w:val="auto"/>
              </w:rPr>
            </w:pPr>
            <w:r w:rsidRPr="009D7C92">
              <w:rPr>
                <w:bCs/>
                <w:iCs/>
                <w:color w:val="auto"/>
              </w:rPr>
              <w:t>Riziko zvýšenia kreatininémie bez zmeny krvných koncentrácií cyklosporínu, dokonca aj bez deplécie sodíka. Riziko hyperurikémie a dny ako komplikácií.</w:t>
            </w:r>
          </w:p>
        </w:tc>
      </w:tr>
    </w:tbl>
    <w:p w14:paraId="059AFE50" w14:textId="77777777" w:rsidR="00D05797" w:rsidRPr="009D7C92" w:rsidRDefault="00D05797" w:rsidP="00EE703D">
      <w:pPr>
        <w:jc w:val="left"/>
        <w:rPr>
          <w:i/>
          <w:color w:val="auto"/>
        </w:rPr>
      </w:pPr>
    </w:p>
    <w:bookmarkEnd w:id="6"/>
    <w:p w14:paraId="77BCBA43" w14:textId="59CAC533" w:rsidR="00EB25B2" w:rsidRDefault="002B6A9F" w:rsidP="00211D25">
      <w:pPr>
        <w:jc w:val="left"/>
        <w:rPr>
          <w:color w:val="auto"/>
        </w:rPr>
      </w:pPr>
      <w:r w:rsidRPr="009D7C92">
        <w:rPr>
          <w:i/>
          <w:iCs/>
          <w:color w:val="auto"/>
          <w:u w:val="single"/>
        </w:rPr>
        <w:t xml:space="preserve">Duálna </w:t>
      </w:r>
      <w:r w:rsidR="00304DCE">
        <w:rPr>
          <w:i/>
          <w:iCs/>
          <w:color w:val="auto"/>
          <w:u w:val="single"/>
        </w:rPr>
        <w:t>inhibícia</w:t>
      </w:r>
      <w:r w:rsidR="00304DCE" w:rsidRPr="009D7C92">
        <w:rPr>
          <w:i/>
          <w:iCs/>
          <w:color w:val="auto"/>
          <w:u w:val="single"/>
        </w:rPr>
        <w:t xml:space="preserve"> </w:t>
      </w:r>
      <w:r w:rsidRPr="009D7C92">
        <w:rPr>
          <w:i/>
          <w:iCs/>
          <w:color w:val="auto"/>
          <w:u w:val="single"/>
        </w:rPr>
        <w:t xml:space="preserve">RAAS </w:t>
      </w:r>
      <w:r w:rsidR="00CD287A" w:rsidRPr="009D7C92">
        <w:rPr>
          <w:i/>
          <w:iCs/>
          <w:color w:val="auto"/>
          <w:u w:val="single"/>
        </w:rPr>
        <w:t>vplyvom</w:t>
      </w:r>
      <w:r w:rsidRPr="009D7C92">
        <w:rPr>
          <w:i/>
          <w:iCs/>
          <w:color w:val="auto"/>
          <w:u w:val="single"/>
        </w:rPr>
        <w:t xml:space="preserve"> ARB, inhibíto</w:t>
      </w:r>
      <w:r w:rsidR="00CD287A" w:rsidRPr="009D7C92">
        <w:rPr>
          <w:i/>
          <w:iCs/>
          <w:color w:val="auto"/>
          <w:u w:val="single"/>
        </w:rPr>
        <w:t>rov ACE</w:t>
      </w:r>
      <w:r w:rsidRPr="009D7C92">
        <w:rPr>
          <w:i/>
          <w:iCs/>
          <w:color w:val="auto"/>
          <w:u w:val="single"/>
        </w:rPr>
        <w:t>i alebo aliskir</w:t>
      </w:r>
      <w:r w:rsidR="00992281" w:rsidRPr="009D7C92">
        <w:rPr>
          <w:i/>
          <w:iCs/>
          <w:color w:val="auto"/>
          <w:u w:val="single"/>
        </w:rPr>
        <w:t>é</w:t>
      </w:r>
      <w:r w:rsidR="00CD287A" w:rsidRPr="009D7C92">
        <w:rPr>
          <w:i/>
          <w:iCs/>
          <w:color w:val="auto"/>
          <w:u w:val="single"/>
        </w:rPr>
        <w:t>nu</w:t>
      </w:r>
      <w:r w:rsidRPr="009D7C92">
        <w:rPr>
          <w:i/>
          <w:iCs/>
          <w:color w:val="auto"/>
          <w:u w:val="single"/>
        </w:rPr>
        <w:cr/>
      </w:r>
      <w:r w:rsidR="00992281" w:rsidRPr="009D7C92">
        <w:rPr>
          <w:color w:val="auto"/>
        </w:rPr>
        <w:t>Údaje z klinických skúšaní</w:t>
      </w:r>
      <w:r w:rsidRPr="009D7C92">
        <w:rPr>
          <w:color w:val="auto"/>
        </w:rPr>
        <w:t xml:space="preserve"> ukázali, že duálna </w:t>
      </w:r>
      <w:r w:rsidR="00304DCE">
        <w:rPr>
          <w:color w:val="auto"/>
        </w:rPr>
        <w:t>inhibícia</w:t>
      </w:r>
      <w:r w:rsidR="00304DCE" w:rsidRPr="009D7C92">
        <w:rPr>
          <w:color w:val="auto"/>
        </w:rPr>
        <w:t xml:space="preserve"> </w:t>
      </w:r>
      <w:r w:rsidRPr="009D7C92">
        <w:rPr>
          <w:color w:val="auto"/>
        </w:rPr>
        <w:t>systému renín-angiotenzín-aldosterón (RAAS) prostredníctvom kombinovaného použitia inhibítorov ACE, blokátorov receptoro</w:t>
      </w:r>
      <w:r w:rsidR="00992281" w:rsidRPr="009D7C92">
        <w:rPr>
          <w:color w:val="auto"/>
        </w:rPr>
        <w:t>v angiotenzínu II alebo aliskiré</w:t>
      </w:r>
      <w:r w:rsidRPr="009D7C92">
        <w:rPr>
          <w:color w:val="auto"/>
        </w:rPr>
        <w:t>nu je spojená s vyššou frekvenciou nežiaducich účinkov, ako je hypotenzia, hyperkaliémia a znížená funkcia obličiek (vrátane akútneho zlyhania obličiek) v</w:t>
      </w:r>
      <w:r w:rsidR="00304DCE">
        <w:rPr>
          <w:color w:val="auto"/>
        </w:rPr>
        <w:t> </w:t>
      </w:r>
      <w:r w:rsidRPr="009D7C92">
        <w:rPr>
          <w:color w:val="auto"/>
        </w:rPr>
        <w:t>porovnaní s užívaním jedn</w:t>
      </w:r>
      <w:r w:rsidR="00CD287A" w:rsidRPr="009D7C92">
        <w:rPr>
          <w:color w:val="auto"/>
        </w:rPr>
        <w:t>ého</w:t>
      </w:r>
      <w:r w:rsidRPr="009D7C92">
        <w:rPr>
          <w:color w:val="auto"/>
        </w:rPr>
        <w:t xml:space="preserve"> l</w:t>
      </w:r>
      <w:r w:rsidR="00CD287A" w:rsidRPr="009D7C92">
        <w:rPr>
          <w:color w:val="auto"/>
        </w:rPr>
        <w:t>iečiva</w:t>
      </w:r>
      <w:r w:rsidRPr="009D7C92">
        <w:rPr>
          <w:color w:val="auto"/>
        </w:rPr>
        <w:t xml:space="preserve"> pôsobiace</w:t>
      </w:r>
      <w:r w:rsidR="00CD287A" w:rsidRPr="009D7C92">
        <w:rPr>
          <w:color w:val="auto"/>
        </w:rPr>
        <w:t>ho</w:t>
      </w:r>
      <w:r w:rsidRPr="009D7C92">
        <w:rPr>
          <w:color w:val="auto"/>
        </w:rPr>
        <w:t xml:space="preserve"> na RAAS (pozri časti 4.3, 4.4 a 5.1).</w:t>
      </w:r>
    </w:p>
    <w:p w14:paraId="73BE7A4F" w14:textId="77777777" w:rsidR="00C04C52" w:rsidRPr="009D7C92" w:rsidRDefault="00C04C52">
      <w:pPr>
        <w:jc w:val="left"/>
        <w:rPr>
          <w:color w:val="auto"/>
        </w:rPr>
      </w:pPr>
    </w:p>
    <w:p w14:paraId="1E428B3C" w14:textId="52FC2000" w:rsidR="00EB25B2" w:rsidRDefault="00323CDC" w:rsidP="00243692">
      <w:pPr>
        <w:ind w:left="567" w:right="0" w:hanging="567"/>
        <w:jc w:val="left"/>
        <w:rPr>
          <w:b/>
          <w:color w:val="auto"/>
        </w:rPr>
      </w:pPr>
      <w:r w:rsidRPr="009D7C92">
        <w:rPr>
          <w:b/>
          <w:color w:val="auto"/>
        </w:rPr>
        <w:t>4.6</w:t>
      </w:r>
      <w:r w:rsidR="003511D4" w:rsidRPr="009D7C92">
        <w:rPr>
          <w:b/>
          <w:color w:val="auto"/>
        </w:rPr>
        <w:tab/>
      </w:r>
      <w:r w:rsidRPr="009D7C92">
        <w:rPr>
          <w:b/>
          <w:color w:val="auto"/>
        </w:rPr>
        <w:t xml:space="preserve">Fertilita, </w:t>
      </w:r>
      <w:r w:rsidRPr="009D7C92">
        <w:rPr>
          <w:b/>
          <w:color w:val="auto"/>
          <w:lang w:eastAsia="sk-SK"/>
        </w:rPr>
        <w:t>gravidita</w:t>
      </w:r>
      <w:r w:rsidRPr="009D7C92">
        <w:rPr>
          <w:b/>
          <w:color w:val="auto"/>
        </w:rPr>
        <w:t xml:space="preserve"> a laktácia</w:t>
      </w:r>
    </w:p>
    <w:p w14:paraId="2A1A51C6" w14:textId="5106EFCE" w:rsidR="00323CDC" w:rsidRPr="009D7C92" w:rsidRDefault="00323CDC" w:rsidP="00EE703D">
      <w:pPr>
        <w:jc w:val="left"/>
        <w:rPr>
          <w:color w:val="auto"/>
        </w:rPr>
      </w:pPr>
    </w:p>
    <w:p w14:paraId="79E4500A" w14:textId="5B8F35B0" w:rsidR="00EB25B2" w:rsidRDefault="003511D4" w:rsidP="00243692">
      <w:pPr>
        <w:jc w:val="left"/>
        <w:rPr>
          <w:b/>
          <w:color w:val="auto"/>
        </w:rPr>
      </w:pPr>
      <w:r w:rsidRPr="009D7C92">
        <w:rPr>
          <w:b/>
          <w:color w:val="auto"/>
        </w:rPr>
        <w:t>Gravidita</w:t>
      </w:r>
    </w:p>
    <w:p w14:paraId="46DF8844" w14:textId="200B802C" w:rsidR="00EB25B2" w:rsidRDefault="00323CDC" w:rsidP="00EE703D">
      <w:pPr>
        <w:pBdr>
          <w:top w:val="single" w:sz="4" w:space="1" w:color="auto"/>
          <w:left w:val="single" w:sz="4" w:space="4" w:color="auto"/>
          <w:bottom w:val="single" w:sz="4" w:space="1" w:color="auto"/>
          <w:right w:val="single" w:sz="4" w:space="4" w:color="auto"/>
        </w:pBdr>
        <w:jc w:val="left"/>
        <w:rPr>
          <w:color w:val="auto"/>
        </w:rPr>
      </w:pPr>
      <w:r w:rsidRPr="009D7C92">
        <w:rPr>
          <w:color w:val="auto"/>
        </w:rPr>
        <w:lastRenderedPageBreak/>
        <w:t xml:space="preserve">Použitie </w:t>
      </w:r>
      <w:r w:rsidR="00DD20ED" w:rsidRPr="009D7C92">
        <w:rPr>
          <w:color w:val="auto"/>
        </w:rPr>
        <w:t xml:space="preserve">lieku </w:t>
      </w:r>
      <w:r w:rsidR="00537DBD" w:rsidRPr="009D7C92">
        <w:rPr>
          <w:color w:val="auto"/>
        </w:rPr>
        <w:t>Ramipril/Amlodipín/Hydrochlorotiazid Adamed</w:t>
      </w:r>
      <w:r w:rsidRPr="009D7C92">
        <w:rPr>
          <w:color w:val="auto"/>
        </w:rPr>
        <w:t xml:space="preserve"> sa neodporúča počas prvého trimestra gravidity (pozri časť 4.4). Použitie </w:t>
      </w:r>
      <w:r w:rsidR="00DD20ED" w:rsidRPr="009D7C92">
        <w:rPr>
          <w:color w:val="auto"/>
        </w:rPr>
        <w:t xml:space="preserve">lieku </w:t>
      </w:r>
      <w:r w:rsidR="00537DBD" w:rsidRPr="009D7C92">
        <w:rPr>
          <w:color w:val="auto"/>
        </w:rPr>
        <w:t>Ramipril/Amlodipín/Hydrochlorotiazid Adamed</w:t>
      </w:r>
      <w:r w:rsidRPr="009D7C92">
        <w:rPr>
          <w:color w:val="auto"/>
        </w:rPr>
        <w:t xml:space="preserve"> je kontraindikované počas druhého a tretieho trimestra gravidity (pozri časti 4.3 a 4.4).</w:t>
      </w:r>
    </w:p>
    <w:p w14:paraId="43EDE9C9" w14:textId="77777777" w:rsidR="00A51E42" w:rsidRPr="009D7C92" w:rsidRDefault="00A51E42" w:rsidP="00211D25">
      <w:pPr>
        <w:jc w:val="left"/>
        <w:rPr>
          <w:b/>
          <w:color w:val="FF0000"/>
          <w:u w:val="single"/>
        </w:rPr>
      </w:pPr>
    </w:p>
    <w:p w14:paraId="192E89DB" w14:textId="77777777" w:rsidR="00A51E42" w:rsidRPr="009D7C92" w:rsidRDefault="00A51E42">
      <w:pPr>
        <w:jc w:val="left"/>
        <w:rPr>
          <w:color w:val="auto"/>
          <w:u w:val="single"/>
        </w:rPr>
      </w:pPr>
      <w:r w:rsidRPr="009D7C92">
        <w:rPr>
          <w:color w:val="auto"/>
          <w:u w:val="single"/>
        </w:rPr>
        <w:t>Súvisiace s ramiprilom</w:t>
      </w:r>
    </w:p>
    <w:p w14:paraId="087B83A1" w14:textId="79C3A63F" w:rsidR="00EB25B2" w:rsidRDefault="00323CDC">
      <w:pPr>
        <w:jc w:val="left"/>
        <w:rPr>
          <w:color w:val="auto"/>
        </w:rPr>
      </w:pPr>
      <w:r w:rsidRPr="009D7C92">
        <w:rPr>
          <w:color w:val="auto"/>
        </w:rPr>
        <w:t>Epidemiologické dôkazy týkajúce sa rizika teratogenity po expozícii inhibítor</w:t>
      </w:r>
      <w:r w:rsidR="006055EF" w:rsidRPr="009D7C92">
        <w:rPr>
          <w:color w:val="auto"/>
        </w:rPr>
        <w:t>om ACE</w:t>
      </w:r>
      <w:r w:rsidRPr="009D7C92">
        <w:rPr>
          <w:color w:val="auto"/>
        </w:rPr>
        <w:t xml:space="preserve"> počas prvého trimestra gravidity neboli presvedčivé; malé zvýšenie rizika však nemožno vylúčiť. Ak sa pokračovanie liečby inhibítorom ACE nepovažuje za nevyhnutné, pacient</w:t>
      </w:r>
      <w:r w:rsidR="006055EF" w:rsidRPr="009D7C92">
        <w:rPr>
          <w:color w:val="auto"/>
        </w:rPr>
        <w:t>ky</w:t>
      </w:r>
      <w:r w:rsidRPr="009D7C92">
        <w:rPr>
          <w:color w:val="auto"/>
        </w:rPr>
        <w:t xml:space="preserve"> plánujúc</w:t>
      </w:r>
      <w:r w:rsidR="006055EF" w:rsidRPr="009D7C92">
        <w:rPr>
          <w:color w:val="auto"/>
        </w:rPr>
        <w:t>e</w:t>
      </w:r>
      <w:r w:rsidRPr="009D7C92">
        <w:rPr>
          <w:color w:val="auto"/>
        </w:rPr>
        <w:t xml:space="preserve"> graviditu by mali prejsť na alternatívnu antihypertenzívnu liečbu, ktorá má preukázaný bezpečnostný profil použiti</w:t>
      </w:r>
      <w:r w:rsidR="006055EF" w:rsidRPr="009D7C92">
        <w:rPr>
          <w:color w:val="auto"/>
        </w:rPr>
        <w:t>a</w:t>
      </w:r>
      <w:r w:rsidRPr="009D7C92">
        <w:rPr>
          <w:color w:val="auto"/>
        </w:rPr>
        <w:t xml:space="preserve"> v gravidite. Ak je </w:t>
      </w:r>
      <w:r w:rsidR="006055EF" w:rsidRPr="009D7C92">
        <w:rPr>
          <w:color w:val="auto"/>
        </w:rPr>
        <w:t xml:space="preserve">potvrdená </w:t>
      </w:r>
      <w:r w:rsidRPr="009D7C92">
        <w:rPr>
          <w:color w:val="auto"/>
        </w:rPr>
        <w:t>gravidita</w:t>
      </w:r>
      <w:r w:rsidR="006055EF" w:rsidRPr="009D7C92">
        <w:rPr>
          <w:color w:val="auto"/>
        </w:rPr>
        <w:t>,</w:t>
      </w:r>
      <w:r w:rsidR="00AD7368" w:rsidRPr="009D7C92">
        <w:rPr>
          <w:color w:val="auto"/>
        </w:rPr>
        <w:t xml:space="preserve"> liečba </w:t>
      </w:r>
      <w:r w:rsidRPr="009D7C92">
        <w:rPr>
          <w:color w:val="auto"/>
        </w:rPr>
        <w:t>inhibítormi</w:t>
      </w:r>
      <w:r w:rsidR="006055EF" w:rsidRPr="009D7C92">
        <w:rPr>
          <w:color w:val="auto"/>
        </w:rPr>
        <w:t xml:space="preserve"> ACE</w:t>
      </w:r>
      <w:r w:rsidRPr="009D7C92">
        <w:rPr>
          <w:color w:val="auto"/>
        </w:rPr>
        <w:t xml:space="preserve"> sa musí okamžite ukončiť a ak je to vhodné, mala by sa začať alternatívna liečba.</w:t>
      </w:r>
    </w:p>
    <w:p w14:paraId="057572AF" w14:textId="61CDA829" w:rsidR="00EB25B2" w:rsidRDefault="00323CDC">
      <w:pPr>
        <w:jc w:val="left"/>
        <w:rPr>
          <w:color w:val="auto"/>
        </w:rPr>
      </w:pPr>
      <w:r w:rsidRPr="009D7C92">
        <w:rPr>
          <w:color w:val="auto"/>
        </w:rPr>
        <w:t>Je známe, že expozícia inhibítorom</w:t>
      </w:r>
      <w:r w:rsidR="00311D10" w:rsidRPr="009D7C92">
        <w:rPr>
          <w:color w:val="auto"/>
        </w:rPr>
        <w:t xml:space="preserve"> ACE</w:t>
      </w:r>
      <w:r w:rsidRPr="009D7C92">
        <w:rPr>
          <w:color w:val="auto"/>
        </w:rPr>
        <w:t>/</w:t>
      </w:r>
      <w:r w:rsidR="006055EF" w:rsidRPr="009D7C92">
        <w:rPr>
          <w:color w:val="auto"/>
        </w:rPr>
        <w:t xml:space="preserve">antagonistom </w:t>
      </w:r>
      <w:r w:rsidRPr="009D7C92">
        <w:rPr>
          <w:color w:val="auto"/>
        </w:rPr>
        <w:t>angiotenzín</w:t>
      </w:r>
      <w:r w:rsidR="006055EF" w:rsidRPr="009D7C92">
        <w:rPr>
          <w:color w:val="auto"/>
        </w:rPr>
        <w:t>u</w:t>
      </w:r>
      <w:r w:rsidRPr="009D7C92">
        <w:rPr>
          <w:color w:val="auto"/>
        </w:rPr>
        <w:t xml:space="preserve"> (AIIRA) počas druhého a tretieho trimestra indukuje fetotoxicitu u ľudí (zníženú funkciu obličiek, oligohydramn</w:t>
      </w:r>
      <w:r w:rsidR="006055EF" w:rsidRPr="009D7C92">
        <w:rPr>
          <w:color w:val="auto"/>
        </w:rPr>
        <w:t>ión</w:t>
      </w:r>
      <w:r w:rsidRPr="009D7C92">
        <w:rPr>
          <w:color w:val="auto"/>
        </w:rPr>
        <w:t xml:space="preserve">, </w:t>
      </w:r>
      <w:r w:rsidR="006055EF" w:rsidRPr="009D7C92">
        <w:rPr>
          <w:color w:val="auto"/>
        </w:rPr>
        <w:t xml:space="preserve">oneskorenie osifikácie </w:t>
      </w:r>
      <w:r w:rsidRPr="009D7C92">
        <w:rPr>
          <w:color w:val="auto"/>
        </w:rPr>
        <w:t xml:space="preserve">lebky) a neonatálnu toxicitu (zlyhanie obličiek, hypotenziu, hyperkaliémiu) (pozri časť 5.3). Ak </w:t>
      </w:r>
      <w:r w:rsidR="006055EF" w:rsidRPr="009D7C92">
        <w:rPr>
          <w:color w:val="auto"/>
        </w:rPr>
        <w:t xml:space="preserve">dôjde k </w:t>
      </w:r>
      <w:r w:rsidRPr="009D7C92">
        <w:rPr>
          <w:color w:val="auto"/>
        </w:rPr>
        <w:t>expozíci</w:t>
      </w:r>
      <w:r w:rsidR="006055EF" w:rsidRPr="009D7C92">
        <w:rPr>
          <w:color w:val="auto"/>
        </w:rPr>
        <w:t>i</w:t>
      </w:r>
      <w:r w:rsidRPr="009D7C92">
        <w:rPr>
          <w:color w:val="auto"/>
        </w:rPr>
        <w:t xml:space="preserve"> inhibítorom</w:t>
      </w:r>
      <w:r w:rsidR="00311D10" w:rsidRPr="009D7C92">
        <w:rPr>
          <w:color w:val="auto"/>
        </w:rPr>
        <w:t xml:space="preserve"> ACE</w:t>
      </w:r>
      <w:r w:rsidRPr="009D7C92">
        <w:rPr>
          <w:color w:val="auto"/>
        </w:rPr>
        <w:t xml:space="preserve"> od druhého trimestra gravidity, odporúča sa ultrazvuková kontrola funkcie obličiek a lebky. Novorodenci, ktorých matky užívali inhibítory</w:t>
      </w:r>
      <w:r w:rsidR="00311D10" w:rsidRPr="009D7C92">
        <w:rPr>
          <w:color w:val="auto"/>
        </w:rPr>
        <w:t xml:space="preserve"> ACE</w:t>
      </w:r>
      <w:r w:rsidRPr="009D7C92">
        <w:rPr>
          <w:color w:val="auto"/>
        </w:rPr>
        <w:t>, sa majú starostlivo sledovať z hľadiska hypotenzie, oligúrie a hyperkaliémie (pozri časti 4.3 a 4.4).</w:t>
      </w:r>
    </w:p>
    <w:p w14:paraId="3B268AC2" w14:textId="62960A85" w:rsidR="00323CDC" w:rsidRPr="009D7C92" w:rsidRDefault="00323CDC">
      <w:pPr>
        <w:jc w:val="left"/>
        <w:rPr>
          <w:color w:val="auto"/>
        </w:rPr>
      </w:pPr>
    </w:p>
    <w:p w14:paraId="05BD6A16" w14:textId="29B90EAD" w:rsidR="00EB25B2" w:rsidRDefault="00323CDC" w:rsidP="00243692">
      <w:pPr>
        <w:jc w:val="left"/>
        <w:rPr>
          <w:color w:val="auto"/>
          <w:u w:val="single"/>
        </w:rPr>
      </w:pPr>
      <w:r w:rsidRPr="009D7C92">
        <w:rPr>
          <w:color w:val="auto"/>
          <w:u w:val="single"/>
        </w:rPr>
        <w:t>Súvisiace s amlodipínom</w:t>
      </w:r>
    </w:p>
    <w:p w14:paraId="4E9B7E8C" w14:textId="3B74DE43" w:rsidR="00EB25B2" w:rsidRDefault="00323CDC" w:rsidP="00EE703D">
      <w:pPr>
        <w:jc w:val="left"/>
        <w:rPr>
          <w:color w:val="auto"/>
        </w:rPr>
      </w:pPr>
      <w:r w:rsidRPr="009D7C92">
        <w:rPr>
          <w:color w:val="auto"/>
        </w:rPr>
        <w:t>Bezpečnosť amlodipínu v gravidite u ľudí nebola stanovená.</w:t>
      </w:r>
    </w:p>
    <w:p w14:paraId="3E528F4F" w14:textId="0D7F7AE6" w:rsidR="00EB25B2" w:rsidRDefault="00323CDC" w:rsidP="00211D25">
      <w:pPr>
        <w:jc w:val="left"/>
        <w:rPr>
          <w:color w:val="auto"/>
        </w:rPr>
      </w:pPr>
      <w:r w:rsidRPr="009D7C92">
        <w:rPr>
          <w:color w:val="auto"/>
        </w:rPr>
        <w:t xml:space="preserve">V štúdiách na zvieratách sa pozorovala reprodukčná toxicita pri vysokých dávkach (pozri časť 5.3). Použitie v tehotenstve sa odporúča len vtedy, ak neexistuje bezpečnejšia alternatíva a </w:t>
      </w:r>
      <w:r w:rsidR="006055EF" w:rsidRPr="009D7C92">
        <w:rPr>
          <w:color w:val="auto"/>
        </w:rPr>
        <w:t>ak</w:t>
      </w:r>
      <w:r w:rsidRPr="009D7C92">
        <w:rPr>
          <w:color w:val="auto"/>
        </w:rPr>
        <w:t xml:space="preserve"> samotn</w:t>
      </w:r>
      <w:r w:rsidR="006055EF" w:rsidRPr="009D7C92">
        <w:rPr>
          <w:color w:val="auto"/>
        </w:rPr>
        <w:t>é</w:t>
      </w:r>
      <w:r w:rsidRPr="009D7C92">
        <w:rPr>
          <w:color w:val="auto"/>
        </w:rPr>
        <w:t xml:space="preserve"> </w:t>
      </w:r>
      <w:r w:rsidR="006055EF" w:rsidRPr="009D7C92">
        <w:rPr>
          <w:color w:val="auto"/>
        </w:rPr>
        <w:t xml:space="preserve">ochorenie predstavuje </w:t>
      </w:r>
      <w:r w:rsidRPr="009D7C92">
        <w:rPr>
          <w:color w:val="auto"/>
        </w:rPr>
        <w:t>väčšie riziko pre matku a plod.</w:t>
      </w:r>
    </w:p>
    <w:p w14:paraId="2E20A9FC" w14:textId="77777777" w:rsidR="00323CDC" w:rsidRPr="009D7C92" w:rsidRDefault="00323CDC" w:rsidP="00F87817">
      <w:pPr>
        <w:jc w:val="left"/>
        <w:rPr>
          <w:color w:val="auto"/>
        </w:rPr>
      </w:pPr>
    </w:p>
    <w:p w14:paraId="3625FFD7" w14:textId="77777777" w:rsidR="00323CDC" w:rsidRPr="009D7C92" w:rsidRDefault="00323CDC">
      <w:pPr>
        <w:jc w:val="left"/>
        <w:rPr>
          <w:color w:val="auto"/>
          <w:u w:val="single"/>
        </w:rPr>
      </w:pPr>
      <w:r w:rsidRPr="009D7C92">
        <w:rPr>
          <w:color w:val="auto"/>
          <w:u w:val="single"/>
        </w:rPr>
        <w:t>Súvisiace s hydrochlorotiazidom</w:t>
      </w:r>
    </w:p>
    <w:p w14:paraId="6AD4A608" w14:textId="358C4CF5" w:rsidR="00323CDC" w:rsidRPr="009D7C92" w:rsidRDefault="00323CDC">
      <w:pPr>
        <w:jc w:val="left"/>
        <w:rPr>
          <w:color w:val="auto"/>
        </w:rPr>
      </w:pPr>
      <w:r w:rsidRPr="009D7C92">
        <w:rPr>
          <w:color w:val="auto"/>
        </w:rPr>
        <w:t>Hydrochlorotiazid v príp</w:t>
      </w:r>
      <w:r w:rsidR="006055EF" w:rsidRPr="009D7C92">
        <w:rPr>
          <w:color w:val="auto"/>
        </w:rPr>
        <w:t>ade</w:t>
      </w:r>
      <w:r w:rsidRPr="009D7C92">
        <w:rPr>
          <w:color w:val="auto"/>
        </w:rPr>
        <w:t xml:space="preserve"> dlhodobej expozície počas tretieho trimestra gravidity môže spôsobiť feto-placentárnu ischémiu a riziko spomalenia rastu. Okrem toho boli </w:t>
      </w:r>
      <w:r w:rsidR="006055EF" w:rsidRPr="009D7C92">
        <w:rPr>
          <w:color w:val="auto"/>
        </w:rPr>
        <w:t>bezprostredne po expozícii</w:t>
      </w:r>
      <w:r w:rsidRPr="009D7C92">
        <w:rPr>
          <w:color w:val="auto"/>
        </w:rPr>
        <w:t>hlásené zriedkavé prípady hypoglykémie a trombocytopénie u novorodencov. Hydrochlorotiazid môže znížiť plazmatický objem, ako aj uteroplacentárny prietok krvi.</w:t>
      </w:r>
    </w:p>
    <w:p w14:paraId="7AF27352" w14:textId="77777777" w:rsidR="00323CDC" w:rsidRPr="009D7C92" w:rsidRDefault="00323CDC">
      <w:pPr>
        <w:jc w:val="left"/>
        <w:rPr>
          <w:color w:val="auto"/>
        </w:rPr>
      </w:pPr>
    </w:p>
    <w:p w14:paraId="423EF8B7" w14:textId="62711ED4" w:rsidR="003D2381" w:rsidRPr="009D7C92" w:rsidRDefault="003D2381">
      <w:pPr>
        <w:jc w:val="left"/>
        <w:rPr>
          <w:iCs/>
          <w:color w:val="auto"/>
          <w:u w:val="single"/>
        </w:rPr>
      </w:pPr>
      <w:r w:rsidRPr="009D7C92">
        <w:rPr>
          <w:iCs/>
          <w:color w:val="auto"/>
          <w:u w:val="single"/>
        </w:rPr>
        <w:t>Ramipril/amlodipín/hydrochl</w:t>
      </w:r>
      <w:r w:rsidR="006055EF" w:rsidRPr="009D7C92">
        <w:rPr>
          <w:iCs/>
          <w:color w:val="auto"/>
          <w:u w:val="single"/>
        </w:rPr>
        <w:t>o</w:t>
      </w:r>
      <w:r w:rsidRPr="009D7C92">
        <w:rPr>
          <w:iCs/>
          <w:color w:val="auto"/>
          <w:u w:val="single"/>
        </w:rPr>
        <w:t>rotiazid</w:t>
      </w:r>
    </w:p>
    <w:p w14:paraId="04D85BED" w14:textId="4E84E0EA" w:rsidR="003D2381" w:rsidRPr="009D7C92" w:rsidRDefault="00DD20ED">
      <w:pPr>
        <w:jc w:val="left"/>
        <w:rPr>
          <w:color w:val="auto"/>
        </w:rPr>
      </w:pPr>
      <w:r w:rsidRPr="009D7C92">
        <w:rPr>
          <w:color w:val="auto"/>
        </w:rPr>
        <w:t>Nie sú</w:t>
      </w:r>
      <w:r w:rsidR="003D2381" w:rsidRPr="009D7C92">
        <w:rPr>
          <w:color w:val="auto"/>
        </w:rPr>
        <w:t xml:space="preserve"> žiadne skúsenosti s používaním </w:t>
      </w:r>
      <w:r w:rsidRPr="009D7C92">
        <w:rPr>
          <w:color w:val="auto"/>
        </w:rPr>
        <w:t xml:space="preserve">lieku </w:t>
      </w:r>
      <w:r w:rsidR="00537DBD" w:rsidRPr="009D7C92">
        <w:rPr>
          <w:color w:val="auto"/>
        </w:rPr>
        <w:t>Ramipril/Amlodipín/Hydrochlorotiazid Adamed</w:t>
      </w:r>
      <w:r w:rsidR="003D2381" w:rsidRPr="009D7C92">
        <w:rPr>
          <w:color w:val="auto"/>
        </w:rPr>
        <w:t xml:space="preserve"> u gravidných žien. Na základe existujúcich údajov o </w:t>
      </w:r>
      <w:r w:rsidR="006055EF" w:rsidRPr="009D7C92">
        <w:rPr>
          <w:color w:val="auto"/>
        </w:rPr>
        <w:t>liečivách</w:t>
      </w:r>
      <w:r w:rsidR="003D2381" w:rsidRPr="009D7C92">
        <w:rPr>
          <w:color w:val="auto"/>
        </w:rPr>
        <w:t xml:space="preserve"> sa používanie </w:t>
      </w:r>
      <w:r w:rsidRPr="009D7C92">
        <w:rPr>
          <w:color w:val="auto"/>
        </w:rPr>
        <w:t xml:space="preserve">lieku </w:t>
      </w:r>
      <w:r w:rsidR="00537DBD" w:rsidRPr="009D7C92">
        <w:rPr>
          <w:color w:val="auto"/>
        </w:rPr>
        <w:t>Ramipril/Amlodipín/Hydrochlorotiazid Adamed</w:t>
      </w:r>
      <w:r w:rsidR="003D2381" w:rsidRPr="009D7C92">
        <w:rPr>
          <w:color w:val="auto"/>
        </w:rPr>
        <w:t xml:space="preserve"> neodporúča počas prvého trimestra a</w:t>
      </w:r>
      <w:r w:rsidR="00122CC8" w:rsidRPr="009D7C92">
        <w:rPr>
          <w:color w:val="auto"/>
        </w:rPr>
        <w:t xml:space="preserve"> je </w:t>
      </w:r>
      <w:r w:rsidR="003D2381" w:rsidRPr="009D7C92">
        <w:rPr>
          <w:color w:val="auto"/>
        </w:rPr>
        <w:t>kontraindikované počas druhého a tretieho trimestra gravidity (pozri časti 4.3 a 4.4).</w:t>
      </w:r>
    </w:p>
    <w:p w14:paraId="7B4B4599" w14:textId="77777777" w:rsidR="003D2381" w:rsidRPr="009D7C92" w:rsidRDefault="003D2381">
      <w:pPr>
        <w:jc w:val="left"/>
        <w:rPr>
          <w:color w:val="auto"/>
        </w:rPr>
      </w:pPr>
    </w:p>
    <w:p w14:paraId="0050AA5C" w14:textId="6E9A72C3" w:rsidR="00EB25B2" w:rsidRDefault="00323CDC" w:rsidP="00243692">
      <w:pPr>
        <w:jc w:val="left"/>
        <w:rPr>
          <w:b/>
          <w:color w:val="auto"/>
        </w:rPr>
      </w:pPr>
      <w:r w:rsidRPr="009D7C92">
        <w:rPr>
          <w:b/>
          <w:color w:val="auto"/>
        </w:rPr>
        <w:t>Dojčenie</w:t>
      </w:r>
      <w:bookmarkStart w:id="7" w:name="_Hlk529963927"/>
    </w:p>
    <w:p w14:paraId="24231CCA" w14:textId="5AB545E6" w:rsidR="00A51E42" w:rsidRPr="009D7C92" w:rsidRDefault="00537DBD" w:rsidP="00EE703D">
      <w:pPr>
        <w:jc w:val="left"/>
        <w:rPr>
          <w:b/>
          <w:color w:val="auto"/>
        </w:rPr>
      </w:pPr>
      <w:r w:rsidRPr="009D7C92">
        <w:rPr>
          <w:b/>
          <w:color w:val="auto"/>
        </w:rPr>
        <w:t>Ramipril/Amlodipín/Hydrochlorotiazid Adamed</w:t>
      </w:r>
      <w:r w:rsidR="00A51E42" w:rsidRPr="009D7C92">
        <w:rPr>
          <w:b/>
          <w:color w:val="auto"/>
        </w:rPr>
        <w:t xml:space="preserve"> je kontraindikovaný počas dojčenia. Je potrebné sa rozhodnúť, či prerušiť dojčenie alebo prerušiť liečbu</w:t>
      </w:r>
      <w:r w:rsidR="00DD20ED" w:rsidRPr="009D7C92">
        <w:rPr>
          <w:b/>
          <w:color w:val="auto"/>
        </w:rPr>
        <w:t xml:space="preserve"> liekom</w:t>
      </w:r>
      <w:r w:rsidR="00A51E42" w:rsidRPr="009D7C92">
        <w:rPr>
          <w:b/>
          <w:color w:val="auto"/>
        </w:rPr>
        <w:t xml:space="preserve"> </w:t>
      </w:r>
      <w:r w:rsidR="003511D4" w:rsidRPr="009D7C92">
        <w:rPr>
          <w:b/>
          <w:color w:val="auto"/>
        </w:rPr>
        <w:t>Ramipril/Amlodipín/Hydrochlorotiazid Adamed</w:t>
      </w:r>
      <w:r w:rsidR="00A51E42" w:rsidRPr="009D7C92">
        <w:rPr>
          <w:b/>
          <w:color w:val="auto"/>
        </w:rPr>
        <w:t xml:space="preserve"> s ohľadom na prínos dojčenia pre dieťa a prínos liečby pre ženu.</w:t>
      </w:r>
      <w:bookmarkEnd w:id="7"/>
    </w:p>
    <w:p w14:paraId="721441B4" w14:textId="77777777" w:rsidR="0096555D" w:rsidRPr="009D7C92" w:rsidRDefault="0096555D" w:rsidP="00211D25">
      <w:pPr>
        <w:jc w:val="left"/>
        <w:rPr>
          <w:color w:val="auto"/>
        </w:rPr>
      </w:pPr>
    </w:p>
    <w:p w14:paraId="0E298BCE" w14:textId="77777777" w:rsidR="00323CDC" w:rsidRPr="009D7C92" w:rsidRDefault="00323CDC" w:rsidP="00F87817">
      <w:pPr>
        <w:jc w:val="left"/>
        <w:rPr>
          <w:color w:val="auto"/>
        </w:rPr>
      </w:pPr>
      <w:r w:rsidRPr="009D7C92">
        <w:rPr>
          <w:color w:val="auto"/>
        </w:rPr>
        <w:t>Kombinácia ramiprilu a hydrochlorotiazidu je kontraindikovaná počas dojčenia.</w:t>
      </w:r>
    </w:p>
    <w:p w14:paraId="31A44B0A" w14:textId="7E36176E" w:rsidR="00EB25B2" w:rsidRDefault="00323CDC">
      <w:pPr>
        <w:jc w:val="left"/>
        <w:rPr>
          <w:color w:val="auto"/>
        </w:rPr>
      </w:pPr>
      <w:r w:rsidRPr="009D7C92">
        <w:rPr>
          <w:color w:val="auto"/>
        </w:rPr>
        <w:t xml:space="preserve">Ramipril a hydrochlorotiazid sa vylučujú do materského mlieka do takej miery, že účinky na dojča sú pravdepodobné, ak sa dojčiacim ženám podávajú terapeutické dávky ramiprilu a hydrochlorotiazidu. Nie sú k dispozícii dostatočné informácie o použití ramiprilu počas dojčenia a uprednostňujú sa alternatívne liečby s lepšie preukázanými bezpečnostnými profilmi počas dojčenia, najmä počas dojčenia novorodencov alebo predčasne narodených detí. Hydrochlorotiazid sa vylučuje do ľudského mlieka. Tiazidy počas dojčenia u dojčiacich matiek boli spojené so znížením alebo dokonca potlačením laktácie. Môže sa vyskytnúť precitlivenosť na liečivá odvodené od sulfónamidov, môže sa vyskytnúť hypokaliémia a jadrový ikterus. Vzhľadom na možnosť závažných reakcií u dojčiat </w:t>
      </w:r>
      <w:r w:rsidR="00575831" w:rsidRPr="009D7C92">
        <w:rPr>
          <w:color w:val="auto"/>
        </w:rPr>
        <w:t>kvôli</w:t>
      </w:r>
      <w:r w:rsidRPr="009D7C92">
        <w:rPr>
          <w:color w:val="auto"/>
        </w:rPr>
        <w:t xml:space="preserve"> ob</w:t>
      </w:r>
      <w:r w:rsidR="00575831" w:rsidRPr="009D7C92">
        <w:rPr>
          <w:color w:val="auto"/>
        </w:rPr>
        <w:t>om</w:t>
      </w:r>
      <w:r w:rsidRPr="009D7C92">
        <w:rPr>
          <w:color w:val="auto"/>
        </w:rPr>
        <w:t xml:space="preserve"> </w:t>
      </w:r>
      <w:r w:rsidR="00CC2EF8" w:rsidRPr="009D7C92">
        <w:rPr>
          <w:color w:val="auto"/>
        </w:rPr>
        <w:t>liečiv</w:t>
      </w:r>
      <w:r w:rsidR="00575831" w:rsidRPr="009D7C92">
        <w:rPr>
          <w:color w:val="auto"/>
        </w:rPr>
        <w:t>ám</w:t>
      </w:r>
      <w:r w:rsidRPr="009D7C92">
        <w:rPr>
          <w:color w:val="auto"/>
        </w:rPr>
        <w:t xml:space="preserve"> je potrebné rozhodnúť sa, či prerušiť dojčenie alebo prerušiť liečbu, berúc do úvahy dôležitosť tejto liečby pre matku.</w:t>
      </w:r>
      <w:bookmarkStart w:id="8" w:name="_Hlk529963947"/>
    </w:p>
    <w:p w14:paraId="747951D4" w14:textId="77777777" w:rsidR="00323CDC" w:rsidRPr="009D7C92" w:rsidRDefault="008F4001">
      <w:pPr>
        <w:jc w:val="left"/>
        <w:rPr>
          <w:b/>
          <w:color w:val="auto"/>
        </w:rPr>
      </w:pPr>
      <w:r w:rsidRPr="009D7C92">
        <w:rPr>
          <w:b/>
          <w:color w:val="auto"/>
        </w:rPr>
        <w:t>Nie je známe, či sa amlodipín vylučuje do materského mlieka.</w:t>
      </w:r>
    </w:p>
    <w:bookmarkEnd w:id="8"/>
    <w:p w14:paraId="6D453969" w14:textId="77777777" w:rsidR="008F4001" w:rsidRPr="009D7C92" w:rsidRDefault="008F4001" w:rsidP="00243692">
      <w:pPr>
        <w:jc w:val="left"/>
        <w:rPr>
          <w:b/>
          <w:color w:val="auto"/>
        </w:rPr>
      </w:pPr>
    </w:p>
    <w:p w14:paraId="06DF7A48" w14:textId="37DACC41" w:rsidR="00EB25B2" w:rsidRDefault="003511D4" w:rsidP="00243692">
      <w:pPr>
        <w:jc w:val="left"/>
        <w:rPr>
          <w:b/>
          <w:color w:val="auto"/>
        </w:rPr>
      </w:pPr>
      <w:r w:rsidRPr="009D7C92">
        <w:rPr>
          <w:b/>
          <w:color w:val="auto"/>
        </w:rPr>
        <w:lastRenderedPageBreak/>
        <w:t>Fertilita</w:t>
      </w:r>
    </w:p>
    <w:p w14:paraId="4662CE22" w14:textId="5FDAAB23" w:rsidR="00EB25B2" w:rsidRDefault="00323CDC" w:rsidP="00243692">
      <w:pPr>
        <w:jc w:val="left"/>
        <w:rPr>
          <w:color w:val="auto"/>
          <w:u w:val="single"/>
        </w:rPr>
      </w:pPr>
      <w:r w:rsidRPr="009D7C92">
        <w:rPr>
          <w:color w:val="auto"/>
          <w:u w:val="single"/>
        </w:rPr>
        <w:t>Súvisiace s amlodipínom</w:t>
      </w:r>
    </w:p>
    <w:p w14:paraId="578ACE1C" w14:textId="62E4402B" w:rsidR="00EB25B2" w:rsidRDefault="00323CDC" w:rsidP="00EE703D">
      <w:pPr>
        <w:jc w:val="left"/>
        <w:rPr>
          <w:color w:val="auto"/>
        </w:rPr>
      </w:pPr>
      <w:r w:rsidRPr="009D7C92">
        <w:rPr>
          <w:color w:val="auto"/>
        </w:rPr>
        <w:t>U niektorých pacientov liečených blokátormi kalciových kanálov boli hlásené reverzibilné biochemické zmeny v hlav</w:t>
      </w:r>
      <w:r w:rsidR="00575831" w:rsidRPr="009D7C92">
        <w:rPr>
          <w:color w:val="auto"/>
        </w:rPr>
        <w:t>ičke</w:t>
      </w:r>
      <w:r w:rsidRPr="009D7C92">
        <w:rPr>
          <w:color w:val="auto"/>
        </w:rPr>
        <w:t xml:space="preserve"> spermií. Klinické údaje </w:t>
      </w:r>
      <w:r w:rsidR="00575831" w:rsidRPr="009D7C92">
        <w:rPr>
          <w:color w:val="auto"/>
        </w:rPr>
        <w:t xml:space="preserve">ohľadom potenciálneho účinku amlodipínu na fertilitu </w:t>
      </w:r>
      <w:r w:rsidRPr="009D7C92">
        <w:rPr>
          <w:color w:val="auto"/>
        </w:rPr>
        <w:t>nie sú dostatočné</w:t>
      </w:r>
      <w:r w:rsidR="00575831" w:rsidRPr="009D7C92">
        <w:rPr>
          <w:color w:val="auto"/>
        </w:rPr>
        <w:t>.</w:t>
      </w:r>
      <w:r w:rsidRPr="009D7C92">
        <w:rPr>
          <w:color w:val="auto"/>
        </w:rPr>
        <w:t>. V jednej štúdii na potkanoch sa zistili nežiaduce účinky na mužskú fertilitu (pozri časť 5.3).</w:t>
      </w:r>
    </w:p>
    <w:p w14:paraId="3DEA53EF" w14:textId="77777777" w:rsidR="00323CDC" w:rsidRPr="009D7C92" w:rsidRDefault="00323CDC" w:rsidP="00211D25">
      <w:pPr>
        <w:jc w:val="left"/>
        <w:rPr>
          <w:color w:val="auto"/>
        </w:rPr>
      </w:pPr>
    </w:p>
    <w:p w14:paraId="61A2D170" w14:textId="77777777" w:rsidR="00323CDC" w:rsidRPr="009D7C92" w:rsidRDefault="00323CDC" w:rsidP="00F87817">
      <w:pPr>
        <w:jc w:val="left"/>
        <w:rPr>
          <w:color w:val="auto"/>
          <w:u w:val="single"/>
        </w:rPr>
      </w:pPr>
      <w:r w:rsidRPr="009D7C92">
        <w:rPr>
          <w:color w:val="auto"/>
          <w:u w:val="single"/>
        </w:rPr>
        <w:t>Súvisiace s hydrochlorotiazidom</w:t>
      </w:r>
    </w:p>
    <w:p w14:paraId="3E4998D1" w14:textId="7A266E70" w:rsidR="00323CDC" w:rsidRPr="009D7C92" w:rsidRDefault="00323CDC">
      <w:pPr>
        <w:jc w:val="left"/>
        <w:rPr>
          <w:color w:val="auto"/>
        </w:rPr>
      </w:pPr>
      <w:r w:rsidRPr="009D7C92">
        <w:rPr>
          <w:color w:val="auto"/>
        </w:rPr>
        <w:t xml:space="preserve">Nie sú k dispozícii údaje o účinku hydrochlorotiazidu na </w:t>
      </w:r>
      <w:r w:rsidR="00575831" w:rsidRPr="009D7C92">
        <w:rPr>
          <w:color w:val="auto"/>
        </w:rPr>
        <w:t xml:space="preserve">ľudskú </w:t>
      </w:r>
      <w:r w:rsidRPr="009D7C92">
        <w:rPr>
          <w:color w:val="auto"/>
        </w:rPr>
        <w:t>fertilitu.</w:t>
      </w:r>
    </w:p>
    <w:p w14:paraId="0311E743" w14:textId="697EA562" w:rsidR="00EB25B2" w:rsidRDefault="00323CDC">
      <w:pPr>
        <w:jc w:val="left"/>
        <w:rPr>
          <w:color w:val="auto"/>
        </w:rPr>
      </w:pPr>
      <w:r w:rsidRPr="009D7C92">
        <w:rPr>
          <w:color w:val="auto"/>
        </w:rPr>
        <w:t>V štúdiách na zvieratách hydrochlorotiazid nemá žiadny vplyv na fertilitu alebo počatie (pozri časť 5.3).</w:t>
      </w:r>
    </w:p>
    <w:p w14:paraId="2F613350" w14:textId="2F67C76F" w:rsidR="00323CDC" w:rsidRPr="009D7C92" w:rsidRDefault="00323CDC">
      <w:pPr>
        <w:jc w:val="left"/>
        <w:rPr>
          <w:color w:val="auto"/>
        </w:rPr>
      </w:pPr>
    </w:p>
    <w:p w14:paraId="60E195B5" w14:textId="2D647E1D" w:rsidR="00EB25B2" w:rsidRDefault="00323CDC" w:rsidP="00243692">
      <w:pPr>
        <w:ind w:left="567" w:right="0" w:hanging="567"/>
        <w:jc w:val="left"/>
        <w:rPr>
          <w:b/>
          <w:color w:val="auto"/>
        </w:rPr>
      </w:pPr>
      <w:r w:rsidRPr="009D7C92">
        <w:rPr>
          <w:b/>
          <w:color w:val="auto"/>
        </w:rPr>
        <w:t>4.7</w:t>
      </w:r>
      <w:r w:rsidR="003511D4" w:rsidRPr="009D7C92">
        <w:rPr>
          <w:b/>
          <w:color w:val="auto"/>
        </w:rPr>
        <w:tab/>
      </w:r>
      <w:r w:rsidRPr="009D7C92">
        <w:rPr>
          <w:b/>
          <w:color w:val="auto"/>
        </w:rPr>
        <w:t xml:space="preserve">Ovplyvnenie </w:t>
      </w:r>
      <w:r w:rsidRPr="009D7C92">
        <w:rPr>
          <w:b/>
          <w:color w:val="auto"/>
          <w:lang w:eastAsia="sk-SK"/>
        </w:rPr>
        <w:t>schopnosti</w:t>
      </w:r>
      <w:r w:rsidRPr="009D7C92">
        <w:rPr>
          <w:b/>
          <w:color w:val="auto"/>
        </w:rPr>
        <w:t xml:space="preserve"> viesť vozidlá a obsluhovať stroje</w:t>
      </w:r>
    </w:p>
    <w:p w14:paraId="256A1EAC" w14:textId="3B5AB3D5" w:rsidR="00323CDC" w:rsidRPr="009D7C92" w:rsidRDefault="00323CDC" w:rsidP="00EE703D">
      <w:pPr>
        <w:jc w:val="left"/>
        <w:rPr>
          <w:color w:val="auto"/>
        </w:rPr>
      </w:pPr>
    </w:p>
    <w:p w14:paraId="73276162" w14:textId="21B1C94C" w:rsidR="00323CDC" w:rsidRPr="009D7C92" w:rsidRDefault="00323CDC" w:rsidP="00211D25">
      <w:pPr>
        <w:jc w:val="left"/>
        <w:rPr>
          <w:color w:val="auto"/>
        </w:rPr>
      </w:pPr>
      <w:r w:rsidRPr="009D7C92">
        <w:rPr>
          <w:color w:val="auto"/>
        </w:rPr>
        <w:t>Niektoré nežiaduce účinky (napr. symptómy zníženia krvného tlaku, ako sú závraty) môžu zhoršiť schopnosť pacienta koncentrovať sa a</w:t>
      </w:r>
      <w:r w:rsidR="00D02241" w:rsidRPr="009D7C92">
        <w:rPr>
          <w:color w:val="auto"/>
        </w:rPr>
        <w:t> </w:t>
      </w:r>
      <w:r w:rsidRPr="009D7C92">
        <w:rPr>
          <w:color w:val="auto"/>
        </w:rPr>
        <w:t>reagovať</w:t>
      </w:r>
      <w:r w:rsidR="00D02241" w:rsidRPr="009D7C92">
        <w:rPr>
          <w:color w:val="auto"/>
        </w:rPr>
        <w:t>,</w:t>
      </w:r>
      <w:r w:rsidRPr="009D7C92">
        <w:rPr>
          <w:color w:val="auto"/>
        </w:rPr>
        <w:t xml:space="preserve"> a preto predstavujú riziko v situáciách, keď sú tieto schopnosti mimoriadne dôležité (napr. </w:t>
      </w:r>
      <w:r w:rsidR="0055561D" w:rsidRPr="009D7C92">
        <w:rPr>
          <w:color w:val="auto"/>
        </w:rPr>
        <w:t>viesť</w:t>
      </w:r>
      <w:r w:rsidRPr="009D7C92">
        <w:rPr>
          <w:color w:val="auto"/>
        </w:rPr>
        <w:t xml:space="preserve"> vozidl</w:t>
      </w:r>
      <w:r w:rsidR="0055561D" w:rsidRPr="009D7C92">
        <w:rPr>
          <w:color w:val="auto"/>
        </w:rPr>
        <w:t>o</w:t>
      </w:r>
      <w:r w:rsidRPr="009D7C92">
        <w:rPr>
          <w:color w:val="auto"/>
        </w:rPr>
        <w:t xml:space="preserve"> alebo </w:t>
      </w:r>
      <w:r w:rsidR="0055561D" w:rsidRPr="009D7C92">
        <w:rPr>
          <w:color w:val="auto"/>
        </w:rPr>
        <w:t>obsluhovať stroje</w:t>
      </w:r>
      <w:r w:rsidRPr="009D7C92">
        <w:rPr>
          <w:color w:val="auto"/>
        </w:rPr>
        <w:t>).</w:t>
      </w:r>
    </w:p>
    <w:p w14:paraId="2581F5CB" w14:textId="0346D769" w:rsidR="00304DCE" w:rsidRDefault="00323CDC" w:rsidP="00211D25">
      <w:pPr>
        <w:jc w:val="left"/>
        <w:rPr>
          <w:color w:val="auto"/>
        </w:rPr>
      </w:pPr>
      <w:r w:rsidRPr="009D7C92">
        <w:rPr>
          <w:color w:val="auto"/>
        </w:rPr>
        <w:t xml:space="preserve">Môže k tomu dôjsť najmä na začiatku liečby alebo pri </w:t>
      </w:r>
      <w:r w:rsidR="00D02241" w:rsidRPr="009D7C92">
        <w:rPr>
          <w:color w:val="auto"/>
        </w:rPr>
        <w:t xml:space="preserve">zmene </w:t>
      </w:r>
      <w:r w:rsidR="0055561D" w:rsidRPr="009D7C92">
        <w:rPr>
          <w:color w:val="auto"/>
        </w:rPr>
        <w:t>liekov</w:t>
      </w:r>
      <w:r w:rsidRPr="009D7C92">
        <w:rPr>
          <w:color w:val="auto"/>
        </w:rPr>
        <w:t>.</w:t>
      </w:r>
      <w:r w:rsidRPr="009D7C92">
        <w:rPr>
          <w:color w:val="auto"/>
        </w:rPr>
        <w:cr/>
      </w:r>
    </w:p>
    <w:p w14:paraId="48CFCF95" w14:textId="05BF264B" w:rsidR="00323CDC" w:rsidRPr="009D7C92" w:rsidRDefault="00323CDC" w:rsidP="00211D25">
      <w:pPr>
        <w:jc w:val="left"/>
        <w:rPr>
          <w:color w:val="auto"/>
        </w:rPr>
      </w:pPr>
      <w:r w:rsidRPr="009D7C92">
        <w:rPr>
          <w:color w:val="auto"/>
        </w:rPr>
        <w:t>Po prvej dávke alebo následnom zvýšení dávky sa neodporúča viesť vozidl</w:t>
      </w:r>
      <w:r w:rsidR="00D80005" w:rsidRPr="009D7C92">
        <w:rPr>
          <w:color w:val="auto"/>
        </w:rPr>
        <w:t>á</w:t>
      </w:r>
      <w:r w:rsidRPr="009D7C92">
        <w:rPr>
          <w:color w:val="auto"/>
        </w:rPr>
        <w:t xml:space="preserve"> alebo obsluhovať stroje </w:t>
      </w:r>
      <w:r w:rsidR="00842796" w:rsidRPr="009D7C92">
        <w:rPr>
          <w:color w:val="auto"/>
        </w:rPr>
        <w:t xml:space="preserve">počas </w:t>
      </w:r>
      <w:r w:rsidRPr="009D7C92">
        <w:rPr>
          <w:color w:val="auto"/>
        </w:rPr>
        <w:t>niekoľk</w:t>
      </w:r>
      <w:r w:rsidR="00842796" w:rsidRPr="009D7C92">
        <w:rPr>
          <w:color w:val="auto"/>
        </w:rPr>
        <w:t>ých</w:t>
      </w:r>
      <w:r w:rsidRPr="009D7C92">
        <w:rPr>
          <w:color w:val="auto"/>
        </w:rPr>
        <w:t xml:space="preserve"> hodín.</w:t>
      </w:r>
    </w:p>
    <w:p w14:paraId="675B5F05" w14:textId="0C25C107" w:rsidR="00323CDC" w:rsidRPr="009D7C92" w:rsidRDefault="00323CDC" w:rsidP="00F87817">
      <w:pPr>
        <w:jc w:val="left"/>
        <w:rPr>
          <w:color w:val="auto"/>
        </w:rPr>
      </w:pPr>
    </w:p>
    <w:p w14:paraId="77B1E0C3" w14:textId="4FC28573" w:rsidR="00EB25B2" w:rsidRDefault="00323CDC" w:rsidP="00243692">
      <w:pPr>
        <w:ind w:left="567" w:right="0" w:hanging="567"/>
        <w:jc w:val="left"/>
        <w:rPr>
          <w:b/>
          <w:color w:val="auto"/>
        </w:rPr>
      </w:pPr>
      <w:r w:rsidRPr="009D7C92">
        <w:rPr>
          <w:b/>
          <w:color w:val="auto"/>
        </w:rPr>
        <w:t>4.8</w:t>
      </w:r>
      <w:r w:rsidR="003511D4" w:rsidRPr="009D7C92">
        <w:rPr>
          <w:b/>
          <w:color w:val="auto"/>
        </w:rPr>
        <w:tab/>
      </w:r>
      <w:r w:rsidRPr="009D7C92">
        <w:rPr>
          <w:b/>
          <w:color w:val="auto"/>
          <w:lang w:eastAsia="sk-SK"/>
        </w:rPr>
        <w:t>Nežiaduce</w:t>
      </w:r>
      <w:r w:rsidRPr="009D7C92">
        <w:rPr>
          <w:b/>
          <w:color w:val="auto"/>
        </w:rPr>
        <w:t xml:space="preserve"> účinky </w:t>
      </w:r>
    </w:p>
    <w:p w14:paraId="710C066F" w14:textId="6F06ECA8" w:rsidR="00323CDC" w:rsidRPr="009D7C92" w:rsidRDefault="00323CDC" w:rsidP="00EE703D">
      <w:pPr>
        <w:jc w:val="left"/>
        <w:rPr>
          <w:color w:val="auto"/>
        </w:rPr>
      </w:pPr>
    </w:p>
    <w:p w14:paraId="49392C94" w14:textId="105DE69F" w:rsidR="00EB25B2" w:rsidRDefault="00323CDC" w:rsidP="00243692">
      <w:pPr>
        <w:jc w:val="left"/>
        <w:rPr>
          <w:b/>
          <w:color w:val="auto"/>
        </w:rPr>
      </w:pPr>
      <w:r w:rsidRPr="009D7C92">
        <w:rPr>
          <w:b/>
          <w:color w:val="auto"/>
        </w:rPr>
        <w:t>Súhrn bezpečnostného profilu</w:t>
      </w:r>
    </w:p>
    <w:p w14:paraId="317002DB" w14:textId="7D650FFD" w:rsidR="00EB25B2" w:rsidRDefault="00323CDC" w:rsidP="00243692">
      <w:pPr>
        <w:jc w:val="left"/>
        <w:rPr>
          <w:color w:val="auto"/>
          <w:u w:val="single"/>
        </w:rPr>
      </w:pPr>
      <w:r w:rsidRPr="009D7C92">
        <w:rPr>
          <w:color w:val="auto"/>
          <w:u w:val="single"/>
        </w:rPr>
        <w:t>Ramipril</w:t>
      </w:r>
    </w:p>
    <w:p w14:paraId="1F31F697" w14:textId="4D224E6C" w:rsidR="00EB25B2" w:rsidRDefault="00323CDC" w:rsidP="00EE703D">
      <w:pPr>
        <w:jc w:val="left"/>
        <w:rPr>
          <w:color w:val="auto"/>
        </w:rPr>
      </w:pPr>
      <w:r w:rsidRPr="009D7C92">
        <w:rPr>
          <w:color w:val="auto"/>
        </w:rPr>
        <w:t>Najčastejšie hlásené nežiaduce reakcie počas liečby</w:t>
      </w:r>
      <w:r w:rsidRPr="009D7C92">
        <w:rPr>
          <w:b/>
          <w:color w:val="auto"/>
        </w:rPr>
        <w:t xml:space="preserve"> ramiprilom</w:t>
      </w:r>
      <w:r w:rsidRPr="009D7C92">
        <w:rPr>
          <w:color w:val="auto"/>
        </w:rPr>
        <w:t xml:space="preserve"> sú zvýšené hladiny draslíka v krvi, bolesti hlavy, závraty, hypotenzia, znížený ortostatický krvný tlak, synkopa, neproduktívny </w:t>
      </w:r>
      <w:r w:rsidR="00E75E21" w:rsidRPr="009D7C92">
        <w:rPr>
          <w:color w:val="auto"/>
        </w:rPr>
        <w:t xml:space="preserve">dráždivý </w:t>
      </w:r>
      <w:r w:rsidRPr="009D7C92">
        <w:rPr>
          <w:color w:val="auto"/>
        </w:rPr>
        <w:t>kašeľ, bronchitída, s</w:t>
      </w:r>
      <w:r w:rsidR="00E75E21" w:rsidRPr="009D7C92">
        <w:rPr>
          <w:color w:val="auto"/>
        </w:rPr>
        <w:t>í</w:t>
      </w:r>
      <w:r w:rsidRPr="009D7C92">
        <w:rPr>
          <w:color w:val="auto"/>
        </w:rPr>
        <w:t xml:space="preserve">nusitída, dyspnoe, gastrointestinálny zápal, poruchy trávenia, abdominálny diskomfort, dyspepsia, hnačka, nevoľnosť, vracanie, vyrážka najmä makulopapulárna, svalové </w:t>
      </w:r>
      <w:r w:rsidR="00E75E21" w:rsidRPr="009D7C92">
        <w:rPr>
          <w:color w:val="auto"/>
        </w:rPr>
        <w:t>spazmy</w:t>
      </w:r>
      <w:r w:rsidRPr="009D7C92">
        <w:rPr>
          <w:color w:val="auto"/>
        </w:rPr>
        <w:t xml:space="preserve">, myalgia, bolesť na hrudníku, únava. Medzi závažné nežiaduce reakcie patria agranulocytóza, pancytopénia, hemolytická anémia, infarkt myokardu, angioedém, vaskulitída, bronchospazmus, akútna pankreatitída, zlyhanie pečene, akútne zlyhanie obličiek, hepatitída, exfoliatívna dermatitída, toxická epidermálna nekrolýza, Stevensov-Johnsonov syndróm a </w:t>
      </w:r>
      <w:r w:rsidR="00A957C6" w:rsidRPr="009D7C92">
        <w:rPr>
          <w:color w:val="auto"/>
        </w:rPr>
        <w:t>multiformný erytém</w:t>
      </w:r>
      <w:r w:rsidRPr="009D7C92">
        <w:rPr>
          <w:color w:val="auto"/>
        </w:rPr>
        <w:t xml:space="preserve">. </w:t>
      </w:r>
    </w:p>
    <w:p w14:paraId="5FD5302C" w14:textId="2C6AFB28" w:rsidR="00323CDC" w:rsidRPr="009D7C92" w:rsidRDefault="00323CDC" w:rsidP="00211D25">
      <w:pPr>
        <w:jc w:val="left"/>
        <w:rPr>
          <w:color w:val="auto"/>
        </w:rPr>
      </w:pPr>
    </w:p>
    <w:p w14:paraId="312A6446" w14:textId="38275F99" w:rsidR="00EB25B2" w:rsidRDefault="00323CDC" w:rsidP="00243692">
      <w:pPr>
        <w:jc w:val="left"/>
        <w:rPr>
          <w:color w:val="auto"/>
          <w:u w:val="single"/>
        </w:rPr>
      </w:pPr>
      <w:r w:rsidRPr="009D7C92">
        <w:rPr>
          <w:color w:val="auto"/>
          <w:u w:val="single"/>
        </w:rPr>
        <w:t>Amlodip</w:t>
      </w:r>
      <w:r w:rsidR="00E42261" w:rsidRPr="009D7C92">
        <w:rPr>
          <w:color w:val="auto"/>
          <w:u w:val="single"/>
        </w:rPr>
        <w:t>ín</w:t>
      </w:r>
    </w:p>
    <w:p w14:paraId="4255ADAB" w14:textId="598B4CAB" w:rsidR="00EB25B2" w:rsidRDefault="00323CDC" w:rsidP="00EE703D">
      <w:pPr>
        <w:jc w:val="left"/>
        <w:rPr>
          <w:color w:val="auto"/>
        </w:rPr>
      </w:pPr>
      <w:r w:rsidRPr="009D7C92">
        <w:rPr>
          <w:color w:val="auto"/>
        </w:rPr>
        <w:t xml:space="preserve">Najčastejšie hlásené nežiaduce reakcie počas liečby amlodipínom sú somnolencia, závraty, bolesti hlavy, palpitácie, </w:t>
      </w:r>
      <w:r w:rsidR="00A957C6" w:rsidRPr="009D7C92">
        <w:rPr>
          <w:color w:val="auto"/>
        </w:rPr>
        <w:t>návaly tepla</w:t>
      </w:r>
      <w:r w:rsidRPr="009D7C92">
        <w:rPr>
          <w:color w:val="auto"/>
        </w:rPr>
        <w:t xml:space="preserve">, bolesti brucha, nevoľnosť, </w:t>
      </w:r>
      <w:r w:rsidR="00A957C6" w:rsidRPr="009D7C92">
        <w:rPr>
          <w:color w:val="auto"/>
        </w:rPr>
        <w:t xml:space="preserve">opuch </w:t>
      </w:r>
      <w:r w:rsidRPr="009D7C92">
        <w:rPr>
          <w:color w:val="auto"/>
        </w:rPr>
        <w:t>členkov, opuchy a únava. Medzi závažné nežiaduce reakcie patrí leukopénia, trombocytopénia, infarkt myokardu, fibrilácia predsiení, ventrikulárna tachykardia, vaskulitída, akútna pankreatitída, hepatitída, angioedém, multiformný erytém, exfoliatívna dermatitída a Steven</w:t>
      </w:r>
      <w:r w:rsidR="00122CC8" w:rsidRPr="009D7C92">
        <w:rPr>
          <w:color w:val="auto"/>
        </w:rPr>
        <w:t>sov</w:t>
      </w:r>
      <w:r w:rsidRPr="009D7C92">
        <w:rPr>
          <w:color w:val="auto"/>
        </w:rPr>
        <w:t>-Johnsonov syndróm.</w:t>
      </w:r>
    </w:p>
    <w:p w14:paraId="7A5ED6CA" w14:textId="77777777" w:rsidR="00323CDC" w:rsidRPr="009D7C92" w:rsidRDefault="00323CDC" w:rsidP="00211D25">
      <w:pPr>
        <w:jc w:val="left"/>
        <w:rPr>
          <w:color w:val="auto"/>
        </w:rPr>
      </w:pPr>
    </w:p>
    <w:p w14:paraId="236308FB" w14:textId="77777777" w:rsidR="00323CDC" w:rsidRPr="009D7C92" w:rsidRDefault="00323CDC" w:rsidP="00F87817">
      <w:pPr>
        <w:jc w:val="left"/>
        <w:rPr>
          <w:color w:val="auto"/>
          <w:u w:val="single"/>
        </w:rPr>
      </w:pPr>
      <w:r w:rsidRPr="009D7C92">
        <w:rPr>
          <w:color w:val="auto"/>
          <w:u w:val="single"/>
        </w:rPr>
        <w:t>Hydrochlorotiazid</w:t>
      </w:r>
    </w:p>
    <w:p w14:paraId="2C706B0A" w14:textId="08F82065" w:rsidR="00EB25B2" w:rsidRDefault="00CC2EF8">
      <w:pPr>
        <w:jc w:val="left"/>
        <w:rPr>
          <w:color w:val="auto"/>
        </w:rPr>
      </w:pPr>
      <w:r w:rsidRPr="009D7C92">
        <w:rPr>
          <w:color w:val="auto"/>
        </w:rPr>
        <w:t>Liečivo</w:t>
      </w:r>
      <w:r w:rsidR="00323CDC" w:rsidRPr="009D7C92">
        <w:rPr>
          <w:color w:val="auto"/>
        </w:rPr>
        <w:t xml:space="preserve"> </w:t>
      </w:r>
      <w:r w:rsidR="00323CDC" w:rsidRPr="009D7C92">
        <w:rPr>
          <w:b/>
          <w:color w:val="auto"/>
        </w:rPr>
        <w:t>hydrochlorotiazid</w:t>
      </w:r>
      <w:r w:rsidR="00323CDC" w:rsidRPr="009D7C92">
        <w:rPr>
          <w:color w:val="auto"/>
        </w:rPr>
        <w:t xml:space="preserve"> môže viesť k zhoršeniu metabolizmu glukózy, lipidov a kyseliny močovej a má </w:t>
      </w:r>
      <w:r w:rsidR="00343DFC" w:rsidRPr="009D7C92">
        <w:rPr>
          <w:color w:val="auto"/>
        </w:rPr>
        <w:t xml:space="preserve">opačné </w:t>
      </w:r>
      <w:r w:rsidR="00323CDC" w:rsidRPr="009D7C92">
        <w:rPr>
          <w:color w:val="auto"/>
        </w:rPr>
        <w:t>účinky na</w:t>
      </w:r>
      <w:r w:rsidR="00A957C6" w:rsidRPr="009D7C92">
        <w:rPr>
          <w:color w:val="auto"/>
        </w:rPr>
        <w:t xml:space="preserve"> hladinu</w:t>
      </w:r>
      <w:r w:rsidR="00323CDC" w:rsidRPr="009D7C92">
        <w:rPr>
          <w:color w:val="auto"/>
        </w:rPr>
        <w:t xml:space="preserve"> draslík</w:t>
      </w:r>
      <w:r w:rsidR="00A957C6" w:rsidRPr="009D7C92">
        <w:rPr>
          <w:color w:val="auto"/>
        </w:rPr>
        <w:t>a</w:t>
      </w:r>
      <w:r w:rsidR="00323CDC" w:rsidRPr="009D7C92">
        <w:rPr>
          <w:color w:val="auto"/>
        </w:rPr>
        <w:t xml:space="preserve"> v plazme.</w:t>
      </w:r>
    </w:p>
    <w:p w14:paraId="56F2C3A5" w14:textId="20D1D1F5" w:rsidR="00323CDC" w:rsidRPr="009D7C92" w:rsidRDefault="00323CDC">
      <w:pPr>
        <w:jc w:val="left"/>
        <w:rPr>
          <w:color w:val="auto"/>
        </w:rPr>
      </w:pPr>
    </w:p>
    <w:p w14:paraId="33E5CE13" w14:textId="31FF75CB" w:rsidR="00EB25B2" w:rsidRDefault="00323CDC">
      <w:pPr>
        <w:jc w:val="left"/>
        <w:rPr>
          <w:color w:val="auto"/>
        </w:rPr>
      </w:pPr>
      <w:r w:rsidRPr="009D7C92">
        <w:rPr>
          <w:color w:val="auto"/>
        </w:rPr>
        <w:t xml:space="preserve">Nežiaduce účinky pozorované v priebehu užívania </w:t>
      </w:r>
      <w:r w:rsidR="00CC2EF8" w:rsidRPr="009D7C92">
        <w:rPr>
          <w:color w:val="auto"/>
        </w:rPr>
        <w:t>liečiv</w:t>
      </w:r>
      <w:r w:rsidRPr="009D7C92">
        <w:rPr>
          <w:color w:val="auto"/>
        </w:rPr>
        <w:t xml:space="preserve"> samostatne sa majú uvádzať podľa nasledujúcej skupiny frekvencií:</w:t>
      </w:r>
    </w:p>
    <w:p w14:paraId="5F04503D" w14:textId="77777777" w:rsidR="00EB25B2" w:rsidRDefault="00EB25B2">
      <w:pPr>
        <w:jc w:val="left"/>
        <w:rPr>
          <w:color w:val="auto"/>
        </w:rPr>
      </w:pPr>
    </w:p>
    <w:p w14:paraId="40001781" w14:textId="51632BFC" w:rsidR="00323CDC" w:rsidRPr="009D7C92" w:rsidRDefault="00323CDC">
      <w:pPr>
        <w:jc w:val="left"/>
        <w:rPr>
          <w:color w:val="auto"/>
        </w:rPr>
      </w:pPr>
      <w:r w:rsidRPr="009D7C92">
        <w:rPr>
          <w:color w:val="auto"/>
        </w:rPr>
        <w:t>Veľmi časté (≥ 1/10); časté (≥ 1/100 až &lt;1/10); menej časté (≥ 1/1</w:t>
      </w:r>
      <w:r w:rsidR="00A957C6" w:rsidRPr="009D7C92">
        <w:rPr>
          <w:color w:val="auto"/>
        </w:rPr>
        <w:t xml:space="preserve"> </w:t>
      </w:r>
      <w:r w:rsidRPr="009D7C92">
        <w:rPr>
          <w:color w:val="auto"/>
        </w:rPr>
        <w:t xml:space="preserve">000 až &lt;1/100); zriedkavé (≥ 1/10 000 až &lt;1/1 000); veľmi zriedkavé (&lt;1/10 000), neznáme (z dostupných údajov). </w:t>
      </w:r>
    </w:p>
    <w:tbl>
      <w:tblPr>
        <w:tblW w:w="9171" w:type="dxa"/>
        <w:tblInd w:w="-113" w:type="dxa"/>
        <w:tblCellMar>
          <w:left w:w="104" w:type="dxa"/>
          <w:right w:w="55" w:type="dxa"/>
        </w:tblCellMar>
        <w:tblLook w:val="00A0" w:firstRow="1" w:lastRow="0" w:firstColumn="1" w:lastColumn="0" w:noHBand="0" w:noVBand="0"/>
      </w:tblPr>
      <w:tblGrid>
        <w:gridCol w:w="2167"/>
        <w:gridCol w:w="2514"/>
        <w:gridCol w:w="8"/>
        <w:gridCol w:w="2009"/>
        <w:gridCol w:w="2465"/>
        <w:gridCol w:w="8"/>
      </w:tblGrid>
      <w:tr w:rsidR="00323CDC" w:rsidRPr="009D7C92" w14:paraId="6203FA47" w14:textId="77777777" w:rsidTr="00685680">
        <w:trPr>
          <w:gridAfter w:val="1"/>
          <w:wAfter w:w="8" w:type="dxa"/>
          <w:trHeight w:val="525"/>
        </w:trPr>
        <w:tc>
          <w:tcPr>
            <w:tcW w:w="2167" w:type="dxa"/>
            <w:tcBorders>
              <w:top w:val="single" w:sz="6" w:space="0" w:color="000000"/>
              <w:left w:val="single" w:sz="6" w:space="0" w:color="000000"/>
              <w:bottom w:val="single" w:sz="6" w:space="0" w:color="000000"/>
              <w:right w:val="single" w:sz="6" w:space="0" w:color="000000"/>
            </w:tcBorders>
            <w:shd w:val="clear" w:color="auto" w:fill="CCCCCC"/>
            <w:vAlign w:val="center"/>
          </w:tcPr>
          <w:p w14:paraId="5E928FEB" w14:textId="77777777" w:rsidR="00323CDC" w:rsidRPr="009D7C92" w:rsidRDefault="00E42261" w:rsidP="00243692">
            <w:pPr>
              <w:jc w:val="left"/>
              <w:rPr>
                <w:b/>
                <w:color w:val="auto"/>
              </w:rPr>
            </w:pPr>
            <w:bookmarkStart w:id="9" w:name="_Hlk529964236"/>
            <w:r w:rsidRPr="009D7C92">
              <w:rPr>
                <w:b/>
                <w:color w:val="auto"/>
              </w:rPr>
              <w:t>Frekvencia</w:t>
            </w:r>
          </w:p>
        </w:tc>
        <w:tc>
          <w:tcPr>
            <w:tcW w:w="2514" w:type="dxa"/>
            <w:tcBorders>
              <w:top w:val="single" w:sz="6" w:space="0" w:color="000000"/>
              <w:left w:val="single" w:sz="6" w:space="0" w:color="000000"/>
              <w:bottom w:val="single" w:sz="6" w:space="0" w:color="000000"/>
              <w:right w:val="single" w:sz="6" w:space="0" w:color="000000"/>
            </w:tcBorders>
            <w:shd w:val="clear" w:color="auto" w:fill="CCCCCC"/>
            <w:vAlign w:val="center"/>
          </w:tcPr>
          <w:p w14:paraId="37A82554" w14:textId="77777777" w:rsidR="00323CDC" w:rsidRPr="009D7C92" w:rsidRDefault="00323CDC" w:rsidP="00243692">
            <w:pPr>
              <w:jc w:val="left"/>
              <w:rPr>
                <w:b/>
                <w:color w:val="auto"/>
              </w:rPr>
            </w:pPr>
            <w:r w:rsidRPr="009D7C92">
              <w:rPr>
                <w:b/>
                <w:color w:val="auto"/>
              </w:rPr>
              <w:t>Ramipril</w:t>
            </w:r>
          </w:p>
        </w:tc>
        <w:tc>
          <w:tcPr>
            <w:tcW w:w="2017" w:type="dxa"/>
            <w:gridSpan w:val="2"/>
            <w:tcBorders>
              <w:top w:val="single" w:sz="6" w:space="0" w:color="000000"/>
              <w:left w:val="single" w:sz="6" w:space="0" w:color="000000"/>
              <w:bottom w:val="single" w:sz="6" w:space="0" w:color="000000"/>
              <w:right w:val="single" w:sz="6" w:space="0" w:color="000000"/>
            </w:tcBorders>
            <w:shd w:val="clear" w:color="auto" w:fill="CCCCCC"/>
            <w:vAlign w:val="center"/>
          </w:tcPr>
          <w:p w14:paraId="48ACE420" w14:textId="77777777" w:rsidR="00323CDC" w:rsidRPr="009D7C92" w:rsidRDefault="00323CDC" w:rsidP="00243692">
            <w:pPr>
              <w:jc w:val="left"/>
              <w:rPr>
                <w:b/>
                <w:color w:val="auto"/>
              </w:rPr>
            </w:pPr>
            <w:r w:rsidRPr="009D7C92">
              <w:rPr>
                <w:b/>
                <w:color w:val="auto"/>
              </w:rPr>
              <w:t>Amlodip</w:t>
            </w:r>
            <w:r w:rsidR="003511D4" w:rsidRPr="009D7C92">
              <w:rPr>
                <w:b/>
                <w:color w:val="auto"/>
              </w:rPr>
              <w:t>ín</w:t>
            </w:r>
          </w:p>
        </w:tc>
        <w:tc>
          <w:tcPr>
            <w:tcW w:w="2465" w:type="dxa"/>
            <w:tcBorders>
              <w:top w:val="single" w:sz="6" w:space="0" w:color="000000"/>
              <w:left w:val="single" w:sz="6" w:space="0" w:color="000000"/>
              <w:bottom w:val="single" w:sz="6" w:space="0" w:color="000000"/>
              <w:right w:val="single" w:sz="6" w:space="0" w:color="000000"/>
            </w:tcBorders>
            <w:shd w:val="clear" w:color="auto" w:fill="CCCCCC"/>
            <w:vAlign w:val="center"/>
          </w:tcPr>
          <w:p w14:paraId="2BB88CF2" w14:textId="77777777" w:rsidR="00323CDC" w:rsidRPr="009D7C92" w:rsidRDefault="00323CDC" w:rsidP="00243692">
            <w:pPr>
              <w:jc w:val="left"/>
              <w:rPr>
                <w:b/>
                <w:color w:val="auto"/>
              </w:rPr>
            </w:pPr>
            <w:r w:rsidRPr="009D7C92">
              <w:rPr>
                <w:b/>
                <w:color w:val="auto"/>
              </w:rPr>
              <w:t>Hydrochlorotiazid</w:t>
            </w:r>
          </w:p>
        </w:tc>
      </w:tr>
      <w:tr w:rsidR="00323CDC" w:rsidRPr="009D7C92" w14:paraId="5A4307A4" w14:textId="77777777" w:rsidTr="002B66E0">
        <w:trPr>
          <w:gridAfter w:val="1"/>
          <w:wAfter w:w="8" w:type="dxa"/>
          <w:trHeight w:val="272"/>
        </w:trPr>
        <w:tc>
          <w:tcPr>
            <w:tcW w:w="9163" w:type="dxa"/>
            <w:gridSpan w:val="5"/>
            <w:tcBorders>
              <w:top w:val="single" w:sz="6" w:space="0" w:color="000000"/>
              <w:left w:val="single" w:sz="6" w:space="0" w:color="000000"/>
              <w:bottom w:val="single" w:sz="6" w:space="0" w:color="000000"/>
              <w:right w:val="single" w:sz="6" w:space="0" w:color="000000"/>
            </w:tcBorders>
          </w:tcPr>
          <w:p w14:paraId="4DA551E1" w14:textId="77777777" w:rsidR="00323CDC" w:rsidRPr="009D7C92" w:rsidRDefault="00323CDC" w:rsidP="00EE703D">
            <w:pPr>
              <w:jc w:val="left"/>
              <w:rPr>
                <w:i/>
                <w:color w:val="auto"/>
              </w:rPr>
            </w:pPr>
            <w:r w:rsidRPr="009D7C92">
              <w:rPr>
                <w:b/>
                <w:i/>
                <w:color w:val="auto"/>
              </w:rPr>
              <w:t>Poruchy krvi a lymfatického systému</w:t>
            </w:r>
          </w:p>
        </w:tc>
      </w:tr>
      <w:tr w:rsidR="00323CDC" w:rsidRPr="009D7C92" w14:paraId="7543F3B2" w14:textId="77777777" w:rsidTr="00685680">
        <w:trPr>
          <w:gridAfter w:val="1"/>
          <w:wAfter w:w="8" w:type="dxa"/>
          <w:trHeight w:val="272"/>
        </w:trPr>
        <w:tc>
          <w:tcPr>
            <w:tcW w:w="2167" w:type="dxa"/>
            <w:tcBorders>
              <w:top w:val="single" w:sz="6" w:space="0" w:color="000000"/>
              <w:left w:val="single" w:sz="6" w:space="0" w:color="000000"/>
              <w:bottom w:val="single" w:sz="6" w:space="0" w:color="000000"/>
              <w:right w:val="single" w:sz="6" w:space="0" w:color="000000"/>
            </w:tcBorders>
          </w:tcPr>
          <w:p w14:paraId="588915CA" w14:textId="77777777" w:rsidR="00323CDC" w:rsidRPr="009D7C92" w:rsidRDefault="00532AE1" w:rsidP="00EE703D">
            <w:pPr>
              <w:jc w:val="left"/>
              <w:rPr>
                <w:color w:val="auto"/>
              </w:rPr>
            </w:pPr>
            <w:r w:rsidRPr="009D7C92">
              <w:rPr>
                <w:color w:val="auto"/>
              </w:rPr>
              <w:lastRenderedPageBreak/>
              <w:t>Menej časté</w:t>
            </w:r>
          </w:p>
        </w:tc>
        <w:tc>
          <w:tcPr>
            <w:tcW w:w="2514" w:type="dxa"/>
            <w:tcBorders>
              <w:top w:val="single" w:sz="6" w:space="0" w:color="000000"/>
              <w:left w:val="single" w:sz="6" w:space="0" w:color="000000"/>
              <w:bottom w:val="single" w:sz="6" w:space="0" w:color="000000"/>
              <w:right w:val="single" w:sz="6" w:space="0" w:color="000000"/>
            </w:tcBorders>
          </w:tcPr>
          <w:p w14:paraId="1E15BFD9" w14:textId="77777777" w:rsidR="00323CDC" w:rsidRPr="009D7C92" w:rsidRDefault="00532AE1" w:rsidP="00211D25">
            <w:pPr>
              <w:jc w:val="left"/>
              <w:rPr>
                <w:color w:val="auto"/>
              </w:rPr>
            </w:pPr>
            <w:r w:rsidRPr="009D7C92">
              <w:rPr>
                <w:color w:val="auto"/>
              </w:rPr>
              <w:t>e</w:t>
            </w:r>
            <w:r w:rsidR="00323CDC" w:rsidRPr="009D7C92">
              <w:rPr>
                <w:color w:val="auto"/>
              </w:rPr>
              <w:t xml:space="preserve">ozinofília </w:t>
            </w:r>
          </w:p>
        </w:tc>
        <w:tc>
          <w:tcPr>
            <w:tcW w:w="2017" w:type="dxa"/>
            <w:gridSpan w:val="2"/>
            <w:tcBorders>
              <w:top w:val="single" w:sz="6" w:space="0" w:color="000000"/>
              <w:left w:val="single" w:sz="6" w:space="0" w:color="000000"/>
              <w:bottom w:val="single" w:sz="6" w:space="0" w:color="000000"/>
              <w:right w:val="single" w:sz="6" w:space="0" w:color="000000"/>
            </w:tcBorders>
          </w:tcPr>
          <w:p w14:paraId="436DBD07" w14:textId="77777777" w:rsidR="00323CDC" w:rsidRPr="009D7C92" w:rsidRDefault="00323CDC" w:rsidP="00F87817">
            <w:pPr>
              <w:jc w:val="left"/>
              <w:rPr>
                <w:color w:val="auto"/>
              </w:rPr>
            </w:pPr>
            <w:r w:rsidRPr="009D7C92">
              <w:rPr>
                <w:color w:val="auto"/>
              </w:rPr>
              <w:t xml:space="preserve"> </w:t>
            </w:r>
          </w:p>
        </w:tc>
        <w:tc>
          <w:tcPr>
            <w:tcW w:w="2465" w:type="dxa"/>
            <w:tcBorders>
              <w:top w:val="single" w:sz="6" w:space="0" w:color="000000"/>
              <w:left w:val="single" w:sz="6" w:space="0" w:color="000000"/>
              <w:bottom w:val="single" w:sz="6" w:space="0" w:color="000000"/>
              <w:right w:val="single" w:sz="6" w:space="0" w:color="000000"/>
            </w:tcBorders>
          </w:tcPr>
          <w:p w14:paraId="63F97D2C" w14:textId="77777777" w:rsidR="00323CDC" w:rsidRPr="009D7C92" w:rsidRDefault="00323CDC">
            <w:pPr>
              <w:jc w:val="left"/>
              <w:rPr>
                <w:color w:val="auto"/>
              </w:rPr>
            </w:pPr>
          </w:p>
        </w:tc>
      </w:tr>
      <w:tr w:rsidR="00323CDC" w:rsidRPr="009D7C92" w14:paraId="4108B8DE" w14:textId="77777777" w:rsidTr="00243692">
        <w:trPr>
          <w:gridAfter w:val="1"/>
          <w:wAfter w:w="8" w:type="dxa"/>
          <w:trHeight w:val="2029"/>
        </w:trPr>
        <w:tc>
          <w:tcPr>
            <w:tcW w:w="2167" w:type="dxa"/>
            <w:tcBorders>
              <w:top w:val="single" w:sz="6" w:space="0" w:color="000000"/>
              <w:left w:val="single" w:sz="6" w:space="0" w:color="000000"/>
              <w:bottom w:val="single" w:sz="6" w:space="0" w:color="000000"/>
              <w:right w:val="single" w:sz="6" w:space="0" w:color="000000"/>
            </w:tcBorders>
          </w:tcPr>
          <w:p w14:paraId="4AE8F763" w14:textId="77777777" w:rsidR="00323CDC" w:rsidRPr="009D7C92" w:rsidRDefault="00323CDC" w:rsidP="00EE703D">
            <w:pPr>
              <w:jc w:val="left"/>
              <w:rPr>
                <w:color w:val="auto"/>
              </w:rPr>
            </w:pPr>
            <w:r w:rsidRPr="009D7C92">
              <w:rPr>
                <w:color w:val="auto"/>
              </w:rPr>
              <w:t xml:space="preserve">Zriedkavé </w:t>
            </w:r>
          </w:p>
        </w:tc>
        <w:tc>
          <w:tcPr>
            <w:tcW w:w="2514" w:type="dxa"/>
            <w:tcBorders>
              <w:top w:val="single" w:sz="6" w:space="0" w:color="000000"/>
              <w:left w:val="single" w:sz="6" w:space="0" w:color="000000"/>
              <w:bottom w:val="single" w:sz="6" w:space="0" w:color="000000"/>
              <w:right w:val="single" w:sz="6" w:space="0" w:color="000000"/>
            </w:tcBorders>
          </w:tcPr>
          <w:p w14:paraId="66677764" w14:textId="31126307" w:rsidR="00323CDC" w:rsidRPr="009D7C92" w:rsidRDefault="00532AE1" w:rsidP="00211D25">
            <w:pPr>
              <w:jc w:val="left"/>
              <w:rPr>
                <w:color w:val="auto"/>
              </w:rPr>
            </w:pPr>
            <w:r w:rsidRPr="009D7C92">
              <w:rPr>
                <w:color w:val="auto"/>
              </w:rPr>
              <w:t>zní</w:t>
            </w:r>
            <w:r w:rsidR="00FA0660" w:rsidRPr="009D7C92">
              <w:rPr>
                <w:color w:val="auto"/>
              </w:rPr>
              <w:t>ženie</w:t>
            </w:r>
            <w:r w:rsidRPr="009D7C92">
              <w:rPr>
                <w:color w:val="auto"/>
              </w:rPr>
              <w:t xml:space="preserve"> p</w:t>
            </w:r>
            <w:r w:rsidR="00323CDC" w:rsidRPr="009D7C92">
              <w:rPr>
                <w:color w:val="auto"/>
              </w:rPr>
              <w:t>oč</w:t>
            </w:r>
            <w:r w:rsidR="00FA0660" w:rsidRPr="009D7C92">
              <w:rPr>
                <w:color w:val="auto"/>
              </w:rPr>
              <w:t>tu</w:t>
            </w:r>
            <w:r w:rsidR="00323CDC" w:rsidRPr="009D7C92">
              <w:rPr>
                <w:color w:val="auto"/>
              </w:rPr>
              <w:t xml:space="preserve"> bielych krviniek (vrátane neutropénie alebo agranulocytózy), zníž</w:t>
            </w:r>
            <w:r w:rsidR="00A957C6" w:rsidRPr="009D7C92">
              <w:rPr>
                <w:color w:val="auto"/>
              </w:rPr>
              <w:t>e</w:t>
            </w:r>
            <w:r w:rsidR="00B30363" w:rsidRPr="009D7C92">
              <w:rPr>
                <w:color w:val="auto"/>
              </w:rPr>
              <w:t>n</w:t>
            </w:r>
            <w:r w:rsidR="00A957C6" w:rsidRPr="009D7C92">
              <w:rPr>
                <w:color w:val="auto"/>
              </w:rPr>
              <w:t>i</w:t>
            </w:r>
            <w:r w:rsidR="00B30363" w:rsidRPr="009D7C92">
              <w:rPr>
                <w:color w:val="auto"/>
              </w:rPr>
              <w:t>e</w:t>
            </w:r>
            <w:r w:rsidR="00323CDC" w:rsidRPr="009D7C92">
              <w:rPr>
                <w:color w:val="auto"/>
              </w:rPr>
              <w:t xml:space="preserve"> poč</w:t>
            </w:r>
            <w:r w:rsidR="00B30363" w:rsidRPr="009D7C92">
              <w:rPr>
                <w:color w:val="auto"/>
              </w:rPr>
              <w:t>tu</w:t>
            </w:r>
            <w:r w:rsidR="00323CDC" w:rsidRPr="009D7C92">
              <w:rPr>
                <w:color w:val="auto"/>
              </w:rPr>
              <w:t xml:space="preserve"> červených krviniek, zníž</w:t>
            </w:r>
            <w:r w:rsidR="00B30363" w:rsidRPr="009D7C92">
              <w:rPr>
                <w:color w:val="auto"/>
              </w:rPr>
              <w:t>enie</w:t>
            </w:r>
            <w:r w:rsidR="00323CDC" w:rsidRPr="009D7C92">
              <w:rPr>
                <w:color w:val="auto"/>
              </w:rPr>
              <w:t xml:space="preserve"> hemoglobín</w:t>
            </w:r>
            <w:r w:rsidR="00B30363" w:rsidRPr="009D7C92">
              <w:rPr>
                <w:color w:val="auto"/>
              </w:rPr>
              <w:t>u</w:t>
            </w:r>
            <w:r w:rsidR="00323CDC" w:rsidRPr="009D7C92">
              <w:rPr>
                <w:color w:val="auto"/>
              </w:rPr>
              <w:t>, zníž</w:t>
            </w:r>
            <w:r w:rsidR="00B30363" w:rsidRPr="009D7C92">
              <w:rPr>
                <w:color w:val="auto"/>
              </w:rPr>
              <w:t>enie</w:t>
            </w:r>
            <w:r w:rsidR="00323CDC" w:rsidRPr="009D7C92">
              <w:rPr>
                <w:color w:val="auto"/>
              </w:rPr>
              <w:t xml:space="preserve"> poč</w:t>
            </w:r>
            <w:r w:rsidR="00B30363" w:rsidRPr="009D7C92">
              <w:rPr>
                <w:color w:val="auto"/>
              </w:rPr>
              <w:t>tu</w:t>
            </w:r>
            <w:r w:rsidR="00323CDC" w:rsidRPr="009D7C92">
              <w:rPr>
                <w:color w:val="auto"/>
              </w:rPr>
              <w:t xml:space="preserve"> krvných doštičiek</w:t>
            </w:r>
          </w:p>
        </w:tc>
        <w:tc>
          <w:tcPr>
            <w:tcW w:w="2017" w:type="dxa"/>
            <w:gridSpan w:val="2"/>
            <w:tcBorders>
              <w:top w:val="single" w:sz="6" w:space="0" w:color="000000"/>
              <w:left w:val="single" w:sz="6" w:space="0" w:color="000000"/>
              <w:bottom w:val="single" w:sz="6" w:space="0" w:color="000000"/>
              <w:right w:val="single" w:sz="6" w:space="0" w:color="000000"/>
            </w:tcBorders>
          </w:tcPr>
          <w:p w14:paraId="2A5C1CC8" w14:textId="77777777" w:rsidR="00323CDC" w:rsidRPr="009D7C92" w:rsidRDefault="00323CDC" w:rsidP="00F87817">
            <w:pPr>
              <w:jc w:val="left"/>
              <w:rPr>
                <w:color w:val="auto"/>
              </w:rPr>
            </w:pPr>
            <w:r w:rsidRPr="009D7C92">
              <w:rPr>
                <w:color w:val="auto"/>
              </w:rPr>
              <w:t xml:space="preserve"> </w:t>
            </w:r>
          </w:p>
        </w:tc>
        <w:tc>
          <w:tcPr>
            <w:tcW w:w="2465" w:type="dxa"/>
            <w:tcBorders>
              <w:top w:val="single" w:sz="6" w:space="0" w:color="000000"/>
              <w:left w:val="single" w:sz="6" w:space="0" w:color="000000"/>
              <w:bottom w:val="single" w:sz="6" w:space="0" w:color="000000"/>
              <w:right w:val="single" w:sz="6" w:space="0" w:color="000000"/>
            </w:tcBorders>
          </w:tcPr>
          <w:p w14:paraId="2AC8FC40" w14:textId="77777777" w:rsidR="00323CDC" w:rsidRPr="009D7C92" w:rsidRDefault="00532AE1">
            <w:pPr>
              <w:jc w:val="left"/>
              <w:rPr>
                <w:color w:val="auto"/>
              </w:rPr>
            </w:pPr>
            <w:r w:rsidRPr="009D7C92">
              <w:rPr>
                <w:color w:val="auto"/>
              </w:rPr>
              <w:t>t</w:t>
            </w:r>
            <w:r w:rsidR="00323CDC" w:rsidRPr="009D7C92">
              <w:rPr>
                <w:color w:val="auto"/>
              </w:rPr>
              <w:t>rombocytopénia (niekedy s purpurou)</w:t>
            </w:r>
          </w:p>
          <w:p w14:paraId="7B81E3AF" w14:textId="77777777" w:rsidR="00103D77" w:rsidRPr="009D7C92" w:rsidRDefault="00103D77">
            <w:pPr>
              <w:jc w:val="left"/>
              <w:rPr>
                <w:b/>
                <w:color w:val="FF0000"/>
                <w:u w:val="single"/>
              </w:rPr>
            </w:pPr>
          </w:p>
        </w:tc>
      </w:tr>
      <w:tr w:rsidR="00323CDC" w:rsidRPr="009D7C92" w14:paraId="3440D280" w14:textId="77777777" w:rsidTr="00685680">
        <w:trPr>
          <w:gridAfter w:val="1"/>
          <w:wAfter w:w="8" w:type="dxa"/>
          <w:trHeight w:val="525"/>
        </w:trPr>
        <w:tc>
          <w:tcPr>
            <w:tcW w:w="2167" w:type="dxa"/>
            <w:tcBorders>
              <w:top w:val="single" w:sz="6" w:space="0" w:color="000000"/>
              <w:left w:val="single" w:sz="6" w:space="0" w:color="000000"/>
              <w:bottom w:val="single" w:sz="6" w:space="0" w:color="000000"/>
              <w:right w:val="single" w:sz="6" w:space="0" w:color="000000"/>
            </w:tcBorders>
          </w:tcPr>
          <w:p w14:paraId="06A90614" w14:textId="77777777" w:rsidR="00323CDC" w:rsidRPr="009D7C92" w:rsidRDefault="00323CDC" w:rsidP="00EE703D">
            <w:pPr>
              <w:jc w:val="left"/>
              <w:rPr>
                <w:color w:val="auto"/>
              </w:rPr>
            </w:pPr>
            <w:r w:rsidRPr="009D7C92">
              <w:rPr>
                <w:color w:val="auto"/>
              </w:rPr>
              <w:t xml:space="preserve">Veľmi zriedkavé </w:t>
            </w:r>
          </w:p>
        </w:tc>
        <w:tc>
          <w:tcPr>
            <w:tcW w:w="2514" w:type="dxa"/>
            <w:tcBorders>
              <w:top w:val="single" w:sz="6" w:space="0" w:color="000000"/>
              <w:left w:val="single" w:sz="6" w:space="0" w:color="000000"/>
              <w:bottom w:val="single" w:sz="6" w:space="0" w:color="000000"/>
              <w:right w:val="single" w:sz="6" w:space="0" w:color="000000"/>
            </w:tcBorders>
          </w:tcPr>
          <w:p w14:paraId="1D5AD02F" w14:textId="77777777" w:rsidR="00323CDC" w:rsidRPr="009D7C92" w:rsidRDefault="00323CDC" w:rsidP="00211D25">
            <w:pPr>
              <w:jc w:val="left"/>
              <w:rPr>
                <w:color w:val="auto"/>
              </w:rPr>
            </w:pPr>
            <w:r w:rsidRPr="009D7C92">
              <w:rPr>
                <w:color w:val="auto"/>
              </w:rPr>
              <w:t xml:space="preserve"> </w:t>
            </w:r>
          </w:p>
        </w:tc>
        <w:tc>
          <w:tcPr>
            <w:tcW w:w="2017" w:type="dxa"/>
            <w:gridSpan w:val="2"/>
            <w:tcBorders>
              <w:top w:val="single" w:sz="6" w:space="0" w:color="000000"/>
              <w:left w:val="single" w:sz="6" w:space="0" w:color="000000"/>
              <w:bottom w:val="single" w:sz="6" w:space="0" w:color="000000"/>
              <w:right w:val="single" w:sz="6" w:space="0" w:color="000000"/>
            </w:tcBorders>
          </w:tcPr>
          <w:p w14:paraId="3FF16747" w14:textId="77777777" w:rsidR="00323CDC" w:rsidRPr="009D7C92" w:rsidRDefault="00532AE1" w:rsidP="00F87817">
            <w:pPr>
              <w:jc w:val="left"/>
              <w:rPr>
                <w:color w:val="auto"/>
              </w:rPr>
            </w:pPr>
            <w:r w:rsidRPr="009D7C92">
              <w:rPr>
                <w:color w:val="auto"/>
              </w:rPr>
              <w:t>l</w:t>
            </w:r>
            <w:r w:rsidR="00323CDC" w:rsidRPr="009D7C92">
              <w:rPr>
                <w:color w:val="auto"/>
              </w:rPr>
              <w:t xml:space="preserve">eukopénia, trombocytopénia </w:t>
            </w:r>
          </w:p>
        </w:tc>
        <w:tc>
          <w:tcPr>
            <w:tcW w:w="2465" w:type="dxa"/>
            <w:tcBorders>
              <w:top w:val="single" w:sz="6" w:space="0" w:color="000000"/>
              <w:left w:val="single" w:sz="6" w:space="0" w:color="000000"/>
              <w:bottom w:val="single" w:sz="6" w:space="0" w:color="000000"/>
              <w:right w:val="single" w:sz="6" w:space="0" w:color="000000"/>
            </w:tcBorders>
          </w:tcPr>
          <w:p w14:paraId="2B13DE38" w14:textId="35A09E3F" w:rsidR="00323CDC" w:rsidRPr="009D7C92" w:rsidRDefault="00A957C6">
            <w:pPr>
              <w:jc w:val="left"/>
              <w:rPr>
                <w:color w:val="auto"/>
              </w:rPr>
            </w:pPr>
            <w:r w:rsidRPr="009D7C92">
              <w:rPr>
                <w:color w:val="auto"/>
              </w:rPr>
              <w:t xml:space="preserve">útlm </w:t>
            </w:r>
            <w:r w:rsidR="00323CDC" w:rsidRPr="009D7C92">
              <w:rPr>
                <w:color w:val="auto"/>
              </w:rPr>
              <w:t>kostnej drene, agranulocytóza, hemolytická anémia, leukopénia</w:t>
            </w:r>
          </w:p>
        </w:tc>
      </w:tr>
      <w:tr w:rsidR="00323CDC" w:rsidRPr="009D7C92" w14:paraId="2DAE0A99" w14:textId="77777777" w:rsidTr="00685680">
        <w:trPr>
          <w:gridAfter w:val="1"/>
          <w:wAfter w:w="8" w:type="dxa"/>
          <w:trHeight w:val="796"/>
        </w:trPr>
        <w:tc>
          <w:tcPr>
            <w:tcW w:w="2167" w:type="dxa"/>
            <w:tcBorders>
              <w:top w:val="single" w:sz="6" w:space="0" w:color="000000"/>
              <w:left w:val="single" w:sz="6" w:space="0" w:color="000000"/>
              <w:bottom w:val="single" w:sz="6" w:space="0" w:color="000000"/>
              <w:right w:val="single" w:sz="6" w:space="0" w:color="000000"/>
            </w:tcBorders>
          </w:tcPr>
          <w:p w14:paraId="35D84F45" w14:textId="77777777" w:rsidR="00323CDC" w:rsidRPr="009D7C92" w:rsidRDefault="00323CDC" w:rsidP="00EE703D">
            <w:pPr>
              <w:jc w:val="left"/>
              <w:rPr>
                <w:color w:val="auto"/>
              </w:rPr>
            </w:pPr>
            <w:r w:rsidRPr="009D7C92">
              <w:rPr>
                <w:color w:val="auto"/>
              </w:rPr>
              <w:t xml:space="preserve">Neznáme </w:t>
            </w:r>
          </w:p>
        </w:tc>
        <w:tc>
          <w:tcPr>
            <w:tcW w:w="2514" w:type="dxa"/>
            <w:tcBorders>
              <w:top w:val="single" w:sz="6" w:space="0" w:color="000000"/>
              <w:left w:val="single" w:sz="6" w:space="0" w:color="000000"/>
              <w:bottom w:val="single" w:sz="6" w:space="0" w:color="000000"/>
              <w:right w:val="single" w:sz="6" w:space="0" w:color="000000"/>
            </w:tcBorders>
          </w:tcPr>
          <w:p w14:paraId="4665CA94" w14:textId="77777777" w:rsidR="00323CDC" w:rsidRPr="009D7C92" w:rsidRDefault="00532AE1" w:rsidP="00211D25">
            <w:pPr>
              <w:jc w:val="left"/>
              <w:rPr>
                <w:color w:val="auto"/>
              </w:rPr>
            </w:pPr>
            <w:r w:rsidRPr="009D7C92">
              <w:rPr>
                <w:color w:val="auto"/>
              </w:rPr>
              <w:t>z</w:t>
            </w:r>
            <w:r w:rsidR="00323CDC" w:rsidRPr="009D7C92">
              <w:rPr>
                <w:color w:val="auto"/>
              </w:rPr>
              <w:t xml:space="preserve">lyhanie kostnej drene, pancytopénia, hemolytická anémia </w:t>
            </w:r>
          </w:p>
        </w:tc>
        <w:tc>
          <w:tcPr>
            <w:tcW w:w="2017" w:type="dxa"/>
            <w:gridSpan w:val="2"/>
            <w:tcBorders>
              <w:top w:val="single" w:sz="6" w:space="0" w:color="000000"/>
              <w:left w:val="single" w:sz="6" w:space="0" w:color="000000"/>
              <w:bottom w:val="single" w:sz="6" w:space="0" w:color="000000"/>
              <w:right w:val="single" w:sz="6" w:space="0" w:color="000000"/>
            </w:tcBorders>
          </w:tcPr>
          <w:p w14:paraId="4A1978AA" w14:textId="77777777" w:rsidR="00323CDC" w:rsidRPr="009D7C92" w:rsidRDefault="00323CDC" w:rsidP="00F87817">
            <w:pPr>
              <w:jc w:val="left"/>
              <w:rPr>
                <w:color w:val="auto"/>
              </w:rPr>
            </w:pPr>
            <w:r w:rsidRPr="009D7C92">
              <w:rPr>
                <w:color w:val="auto"/>
              </w:rPr>
              <w:t xml:space="preserve"> </w:t>
            </w:r>
          </w:p>
        </w:tc>
        <w:tc>
          <w:tcPr>
            <w:tcW w:w="2465" w:type="dxa"/>
            <w:tcBorders>
              <w:top w:val="single" w:sz="6" w:space="0" w:color="000000"/>
              <w:left w:val="single" w:sz="6" w:space="0" w:color="000000"/>
              <w:bottom w:val="single" w:sz="6" w:space="0" w:color="000000"/>
              <w:right w:val="single" w:sz="6" w:space="0" w:color="000000"/>
            </w:tcBorders>
          </w:tcPr>
          <w:p w14:paraId="4E36F6FC" w14:textId="77777777" w:rsidR="00323CDC" w:rsidRPr="009D7C92" w:rsidRDefault="00323CDC">
            <w:pPr>
              <w:jc w:val="left"/>
              <w:rPr>
                <w:color w:val="auto"/>
              </w:rPr>
            </w:pPr>
            <w:r w:rsidRPr="009D7C92">
              <w:rPr>
                <w:color w:val="auto"/>
              </w:rPr>
              <w:t>aplastická anémia</w:t>
            </w:r>
          </w:p>
        </w:tc>
      </w:tr>
      <w:tr w:rsidR="00323CDC" w:rsidRPr="009D7C92" w14:paraId="15B9FC69" w14:textId="77777777" w:rsidTr="002B66E0">
        <w:trPr>
          <w:gridAfter w:val="1"/>
          <w:wAfter w:w="8" w:type="dxa"/>
          <w:trHeight w:val="270"/>
        </w:trPr>
        <w:tc>
          <w:tcPr>
            <w:tcW w:w="9163" w:type="dxa"/>
            <w:gridSpan w:val="5"/>
            <w:tcBorders>
              <w:top w:val="single" w:sz="6" w:space="0" w:color="000000"/>
              <w:left w:val="single" w:sz="6" w:space="0" w:color="000000"/>
              <w:bottom w:val="single" w:sz="6" w:space="0" w:color="000000"/>
              <w:right w:val="single" w:sz="6" w:space="0" w:color="000000"/>
            </w:tcBorders>
          </w:tcPr>
          <w:p w14:paraId="08D95C63" w14:textId="77777777" w:rsidR="00323CDC" w:rsidRPr="009D7C92" w:rsidRDefault="00323CDC" w:rsidP="00EE703D">
            <w:pPr>
              <w:jc w:val="left"/>
              <w:rPr>
                <w:i/>
                <w:color w:val="auto"/>
              </w:rPr>
            </w:pPr>
            <w:r w:rsidRPr="009D7C92">
              <w:rPr>
                <w:b/>
                <w:i/>
                <w:color w:val="auto"/>
              </w:rPr>
              <w:t xml:space="preserve">Poruchy imunitného systému </w:t>
            </w:r>
          </w:p>
        </w:tc>
      </w:tr>
      <w:tr w:rsidR="00665A0A" w:rsidRPr="009D7C92" w14:paraId="5BB778EA" w14:textId="77777777" w:rsidTr="00685680">
        <w:trPr>
          <w:gridAfter w:val="1"/>
          <w:wAfter w:w="8" w:type="dxa"/>
          <w:trHeight w:val="270"/>
        </w:trPr>
        <w:tc>
          <w:tcPr>
            <w:tcW w:w="2167" w:type="dxa"/>
            <w:tcBorders>
              <w:top w:val="single" w:sz="6" w:space="0" w:color="000000"/>
              <w:left w:val="single" w:sz="6" w:space="0" w:color="000000"/>
              <w:bottom w:val="single" w:sz="6" w:space="0" w:color="000000"/>
              <w:right w:val="single" w:sz="6" w:space="0" w:color="000000"/>
            </w:tcBorders>
          </w:tcPr>
          <w:p w14:paraId="1B1515B3" w14:textId="77777777" w:rsidR="00665A0A" w:rsidRPr="009D7C92" w:rsidRDefault="00665A0A" w:rsidP="00EE703D">
            <w:pPr>
              <w:jc w:val="left"/>
              <w:rPr>
                <w:color w:val="auto"/>
              </w:rPr>
            </w:pPr>
            <w:r w:rsidRPr="009D7C92">
              <w:rPr>
                <w:color w:val="auto"/>
              </w:rPr>
              <w:t>Zriedkavé</w:t>
            </w:r>
          </w:p>
        </w:tc>
        <w:tc>
          <w:tcPr>
            <w:tcW w:w="2514" w:type="dxa"/>
            <w:tcBorders>
              <w:top w:val="single" w:sz="6" w:space="0" w:color="000000"/>
              <w:left w:val="single" w:sz="6" w:space="0" w:color="000000"/>
              <w:bottom w:val="single" w:sz="6" w:space="0" w:color="000000"/>
              <w:right w:val="single" w:sz="6" w:space="0" w:color="000000"/>
            </w:tcBorders>
          </w:tcPr>
          <w:p w14:paraId="12EE276E" w14:textId="77777777" w:rsidR="00665A0A" w:rsidRPr="009D7C92" w:rsidRDefault="00665A0A" w:rsidP="00211D25">
            <w:pPr>
              <w:jc w:val="left"/>
              <w:rPr>
                <w:color w:val="auto"/>
              </w:rPr>
            </w:pPr>
          </w:p>
        </w:tc>
        <w:tc>
          <w:tcPr>
            <w:tcW w:w="2017" w:type="dxa"/>
            <w:gridSpan w:val="2"/>
            <w:tcBorders>
              <w:top w:val="single" w:sz="6" w:space="0" w:color="000000"/>
              <w:left w:val="single" w:sz="6" w:space="0" w:color="000000"/>
              <w:bottom w:val="single" w:sz="6" w:space="0" w:color="000000"/>
              <w:right w:val="single" w:sz="6" w:space="0" w:color="000000"/>
            </w:tcBorders>
          </w:tcPr>
          <w:p w14:paraId="556B71AA" w14:textId="77777777" w:rsidR="00665A0A" w:rsidRPr="009D7C92" w:rsidRDefault="00665A0A" w:rsidP="00F87817">
            <w:pPr>
              <w:jc w:val="left"/>
              <w:rPr>
                <w:color w:val="auto"/>
              </w:rPr>
            </w:pPr>
          </w:p>
        </w:tc>
        <w:tc>
          <w:tcPr>
            <w:tcW w:w="2465" w:type="dxa"/>
            <w:tcBorders>
              <w:top w:val="single" w:sz="6" w:space="0" w:color="000000"/>
              <w:left w:val="single" w:sz="6" w:space="0" w:color="000000"/>
              <w:bottom w:val="single" w:sz="6" w:space="0" w:color="000000"/>
              <w:right w:val="single" w:sz="6" w:space="0" w:color="000000"/>
            </w:tcBorders>
          </w:tcPr>
          <w:p w14:paraId="15F46445" w14:textId="6DE39872" w:rsidR="00665A0A" w:rsidRPr="009D7C92" w:rsidRDefault="00532AE1">
            <w:pPr>
              <w:jc w:val="left"/>
              <w:rPr>
                <w:color w:val="auto"/>
              </w:rPr>
            </w:pPr>
            <w:r w:rsidRPr="009D7C92">
              <w:rPr>
                <w:color w:val="auto"/>
              </w:rPr>
              <w:t>r</w:t>
            </w:r>
            <w:r w:rsidR="00665A0A" w:rsidRPr="009D7C92">
              <w:rPr>
                <w:color w:val="auto"/>
              </w:rPr>
              <w:t>eakci</w:t>
            </w:r>
            <w:r w:rsidR="00A957C6" w:rsidRPr="009D7C92">
              <w:rPr>
                <w:color w:val="auto"/>
              </w:rPr>
              <w:t>e</w:t>
            </w:r>
            <w:r w:rsidR="00665A0A" w:rsidRPr="009D7C92">
              <w:rPr>
                <w:color w:val="auto"/>
              </w:rPr>
              <w:t xml:space="preserve"> </w:t>
            </w:r>
            <w:r w:rsidRPr="009D7C92">
              <w:rPr>
                <w:color w:val="auto"/>
              </w:rPr>
              <w:t xml:space="preserve">z </w:t>
            </w:r>
            <w:r w:rsidR="00665A0A" w:rsidRPr="009D7C92">
              <w:rPr>
                <w:color w:val="auto"/>
              </w:rPr>
              <w:t>precitlivenosti</w:t>
            </w:r>
          </w:p>
        </w:tc>
      </w:tr>
      <w:tr w:rsidR="00EC50EB" w:rsidRPr="009D7C92" w14:paraId="09A28EC2" w14:textId="77777777" w:rsidTr="00685680">
        <w:trPr>
          <w:gridAfter w:val="1"/>
          <w:wAfter w:w="8" w:type="dxa"/>
          <w:trHeight w:val="270"/>
        </w:trPr>
        <w:tc>
          <w:tcPr>
            <w:tcW w:w="2167" w:type="dxa"/>
            <w:tcBorders>
              <w:top w:val="single" w:sz="6" w:space="0" w:color="000000"/>
              <w:left w:val="single" w:sz="6" w:space="0" w:color="000000"/>
              <w:bottom w:val="single" w:sz="6" w:space="0" w:color="000000"/>
              <w:right w:val="single" w:sz="6" w:space="0" w:color="000000"/>
            </w:tcBorders>
          </w:tcPr>
          <w:p w14:paraId="28A69EA6" w14:textId="77777777" w:rsidR="00EC50EB" w:rsidRPr="009D7C92" w:rsidRDefault="00EC50EB" w:rsidP="00EE703D">
            <w:pPr>
              <w:jc w:val="left"/>
              <w:rPr>
                <w:color w:val="auto"/>
              </w:rPr>
            </w:pPr>
            <w:r w:rsidRPr="009D7C92">
              <w:rPr>
                <w:color w:val="auto"/>
              </w:rPr>
              <w:t xml:space="preserve">Veľmi zriedkavé </w:t>
            </w:r>
          </w:p>
        </w:tc>
        <w:tc>
          <w:tcPr>
            <w:tcW w:w="2514" w:type="dxa"/>
            <w:tcBorders>
              <w:top w:val="single" w:sz="6" w:space="0" w:color="000000"/>
              <w:left w:val="single" w:sz="6" w:space="0" w:color="000000"/>
              <w:bottom w:val="single" w:sz="6" w:space="0" w:color="000000"/>
              <w:right w:val="single" w:sz="6" w:space="0" w:color="000000"/>
            </w:tcBorders>
          </w:tcPr>
          <w:p w14:paraId="1B210087" w14:textId="77777777" w:rsidR="00EC50EB" w:rsidRPr="009D7C92" w:rsidRDefault="00EC50EB" w:rsidP="00211D25">
            <w:pPr>
              <w:jc w:val="left"/>
              <w:rPr>
                <w:color w:val="auto"/>
              </w:rPr>
            </w:pPr>
            <w:r w:rsidRPr="009D7C92">
              <w:rPr>
                <w:color w:val="auto"/>
              </w:rPr>
              <w:t xml:space="preserve"> </w:t>
            </w:r>
          </w:p>
        </w:tc>
        <w:tc>
          <w:tcPr>
            <w:tcW w:w="2017" w:type="dxa"/>
            <w:gridSpan w:val="2"/>
            <w:tcBorders>
              <w:top w:val="single" w:sz="6" w:space="0" w:color="000000"/>
              <w:left w:val="single" w:sz="6" w:space="0" w:color="000000"/>
              <w:bottom w:val="single" w:sz="6" w:space="0" w:color="000000"/>
              <w:right w:val="single" w:sz="6" w:space="0" w:color="000000"/>
            </w:tcBorders>
          </w:tcPr>
          <w:p w14:paraId="5C1DF3B0" w14:textId="77777777" w:rsidR="00EC50EB" w:rsidRPr="009D7C92" w:rsidRDefault="00532AE1" w:rsidP="00F87817">
            <w:pPr>
              <w:jc w:val="left"/>
              <w:rPr>
                <w:color w:val="auto"/>
              </w:rPr>
            </w:pPr>
            <w:r w:rsidRPr="009D7C92">
              <w:rPr>
                <w:color w:val="auto"/>
              </w:rPr>
              <w:t>a</w:t>
            </w:r>
            <w:r w:rsidR="00EC50EB" w:rsidRPr="009D7C92">
              <w:rPr>
                <w:color w:val="auto"/>
              </w:rPr>
              <w:t xml:space="preserve">lergické reakcie </w:t>
            </w:r>
          </w:p>
        </w:tc>
        <w:tc>
          <w:tcPr>
            <w:tcW w:w="2465" w:type="dxa"/>
            <w:tcBorders>
              <w:top w:val="single" w:sz="6" w:space="0" w:color="000000"/>
              <w:left w:val="single" w:sz="6" w:space="0" w:color="000000"/>
              <w:bottom w:val="single" w:sz="6" w:space="0" w:color="000000"/>
              <w:right w:val="single" w:sz="6" w:space="0" w:color="000000"/>
            </w:tcBorders>
          </w:tcPr>
          <w:p w14:paraId="041A8D12" w14:textId="77777777" w:rsidR="00EC50EB" w:rsidRPr="009D7C92" w:rsidRDefault="00EC50EB">
            <w:pPr>
              <w:jc w:val="left"/>
              <w:rPr>
                <w:strike/>
                <w:color w:val="auto"/>
              </w:rPr>
            </w:pPr>
          </w:p>
        </w:tc>
      </w:tr>
      <w:tr w:rsidR="00EC50EB" w:rsidRPr="009D7C92" w14:paraId="6FB96502" w14:textId="77777777" w:rsidTr="00685680">
        <w:trPr>
          <w:gridAfter w:val="1"/>
          <w:wAfter w:w="8" w:type="dxa"/>
          <w:trHeight w:val="1051"/>
        </w:trPr>
        <w:tc>
          <w:tcPr>
            <w:tcW w:w="2167" w:type="dxa"/>
            <w:tcBorders>
              <w:top w:val="single" w:sz="6" w:space="0" w:color="000000"/>
              <w:left w:val="single" w:sz="6" w:space="0" w:color="000000"/>
              <w:bottom w:val="single" w:sz="6" w:space="0" w:color="000000"/>
              <w:right w:val="single" w:sz="6" w:space="0" w:color="000000"/>
            </w:tcBorders>
          </w:tcPr>
          <w:p w14:paraId="3C4B6A30" w14:textId="77777777" w:rsidR="00EC50EB" w:rsidRPr="009D7C92" w:rsidRDefault="00EC50EB" w:rsidP="00EE703D">
            <w:pPr>
              <w:jc w:val="left"/>
              <w:rPr>
                <w:color w:val="auto"/>
              </w:rPr>
            </w:pPr>
            <w:r w:rsidRPr="009D7C92">
              <w:rPr>
                <w:color w:val="auto"/>
              </w:rPr>
              <w:t xml:space="preserve">Neznáme </w:t>
            </w:r>
          </w:p>
        </w:tc>
        <w:tc>
          <w:tcPr>
            <w:tcW w:w="2514" w:type="dxa"/>
            <w:tcBorders>
              <w:top w:val="single" w:sz="6" w:space="0" w:color="000000"/>
              <w:left w:val="single" w:sz="6" w:space="0" w:color="000000"/>
              <w:bottom w:val="single" w:sz="6" w:space="0" w:color="000000"/>
              <w:right w:val="single" w:sz="6" w:space="0" w:color="000000"/>
            </w:tcBorders>
          </w:tcPr>
          <w:p w14:paraId="343598BE" w14:textId="22BB9C7D" w:rsidR="00EC50EB" w:rsidRPr="009D7C92" w:rsidRDefault="00532AE1" w:rsidP="00211D25">
            <w:pPr>
              <w:jc w:val="left"/>
              <w:rPr>
                <w:color w:val="auto"/>
              </w:rPr>
            </w:pPr>
            <w:r w:rsidRPr="009D7C92">
              <w:rPr>
                <w:color w:val="auto"/>
              </w:rPr>
              <w:t>a</w:t>
            </w:r>
            <w:r w:rsidR="00EC50EB" w:rsidRPr="009D7C92">
              <w:rPr>
                <w:color w:val="auto"/>
              </w:rPr>
              <w:t xml:space="preserve">nafylaktické alebo anafylaktoidné reakcie, </w:t>
            </w:r>
            <w:r w:rsidRPr="009D7C92">
              <w:rPr>
                <w:color w:val="auto"/>
              </w:rPr>
              <w:t xml:space="preserve">zvýšenie </w:t>
            </w:r>
            <w:r w:rsidR="00EC50EB" w:rsidRPr="009D7C92">
              <w:rPr>
                <w:color w:val="auto"/>
              </w:rPr>
              <w:t>antinukleárn</w:t>
            </w:r>
            <w:r w:rsidR="00A957C6" w:rsidRPr="009D7C92">
              <w:rPr>
                <w:color w:val="auto"/>
              </w:rPr>
              <w:t>ych</w:t>
            </w:r>
            <w:r w:rsidRPr="009D7C92">
              <w:rPr>
                <w:color w:val="auto"/>
              </w:rPr>
              <w:t xml:space="preserve"> protilát</w:t>
            </w:r>
            <w:r w:rsidR="00122CC8" w:rsidRPr="009D7C92">
              <w:rPr>
                <w:color w:val="auto"/>
              </w:rPr>
              <w:t>ok</w:t>
            </w:r>
            <w:r w:rsidR="00EC50EB" w:rsidRPr="009D7C92">
              <w:rPr>
                <w:color w:val="auto"/>
              </w:rPr>
              <w:t xml:space="preserve"> </w:t>
            </w:r>
          </w:p>
        </w:tc>
        <w:tc>
          <w:tcPr>
            <w:tcW w:w="2017" w:type="dxa"/>
            <w:gridSpan w:val="2"/>
            <w:tcBorders>
              <w:top w:val="single" w:sz="6" w:space="0" w:color="000000"/>
              <w:left w:val="single" w:sz="6" w:space="0" w:color="000000"/>
              <w:bottom w:val="single" w:sz="6" w:space="0" w:color="000000"/>
              <w:right w:val="single" w:sz="6" w:space="0" w:color="000000"/>
            </w:tcBorders>
          </w:tcPr>
          <w:p w14:paraId="07317AAF" w14:textId="77777777" w:rsidR="00EC50EB" w:rsidRPr="009D7C92" w:rsidRDefault="00EC50EB" w:rsidP="00F87817">
            <w:pPr>
              <w:jc w:val="left"/>
              <w:rPr>
                <w:color w:val="auto"/>
              </w:rPr>
            </w:pPr>
            <w:r w:rsidRPr="009D7C92">
              <w:rPr>
                <w:color w:val="auto"/>
              </w:rPr>
              <w:t xml:space="preserve"> </w:t>
            </w:r>
          </w:p>
        </w:tc>
        <w:tc>
          <w:tcPr>
            <w:tcW w:w="2465" w:type="dxa"/>
            <w:tcBorders>
              <w:top w:val="single" w:sz="6" w:space="0" w:color="000000"/>
              <w:left w:val="single" w:sz="6" w:space="0" w:color="000000"/>
              <w:bottom w:val="single" w:sz="6" w:space="0" w:color="000000"/>
              <w:right w:val="single" w:sz="6" w:space="0" w:color="000000"/>
            </w:tcBorders>
          </w:tcPr>
          <w:p w14:paraId="103C2DE5" w14:textId="77777777" w:rsidR="00EC50EB" w:rsidRPr="009D7C92" w:rsidRDefault="00EC50EB">
            <w:pPr>
              <w:jc w:val="left"/>
              <w:rPr>
                <w:color w:val="auto"/>
              </w:rPr>
            </w:pPr>
          </w:p>
        </w:tc>
      </w:tr>
      <w:tr w:rsidR="00EC50EB" w:rsidRPr="009D7C92" w14:paraId="590FE06B" w14:textId="77777777" w:rsidTr="002B66E0">
        <w:trPr>
          <w:gridAfter w:val="1"/>
          <w:wAfter w:w="8" w:type="dxa"/>
          <w:trHeight w:val="362"/>
        </w:trPr>
        <w:tc>
          <w:tcPr>
            <w:tcW w:w="9163" w:type="dxa"/>
            <w:gridSpan w:val="5"/>
            <w:tcBorders>
              <w:top w:val="single" w:sz="6" w:space="0" w:color="000000"/>
              <w:left w:val="single" w:sz="6" w:space="0" w:color="000000"/>
              <w:bottom w:val="single" w:sz="6" w:space="0" w:color="000000"/>
              <w:right w:val="single" w:sz="6" w:space="0" w:color="000000"/>
            </w:tcBorders>
          </w:tcPr>
          <w:p w14:paraId="3664EE1F" w14:textId="77777777" w:rsidR="00EC50EB" w:rsidRPr="009D7C92" w:rsidRDefault="00E42261" w:rsidP="00EE703D">
            <w:pPr>
              <w:jc w:val="left"/>
              <w:rPr>
                <w:i/>
                <w:color w:val="auto"/>
              </w:rPr>
            </w:pPr>
            <w:r w:rsidRPr="009D7C92">
              <w:rPr>
                <w:b/>
                <w:i/>
              </w:rPr>
              <w:t>Poruchy endokrinného systému</w:t>
            </w:r>
          </w:p>
        </w:tc>
      </w:tr>
      <w:tr w:rsidR="00EC50EB" w:rsidRPr="009D7C92" w14:paraId="2C8CD3E6" w14:textId="77777777" w:rsidTr="00243692">
        <w:trPr>
          <w:gridAfter w:val="1"/>
          <w:wAfter w:w="8" w:type="dxa"/>
          <w:trHeight w:val="761"/>
        </w:trPr>
        <w:tc>
          <w:tcPr>
            <w:tcW w:w="2167" w:type="dxa"/>
            <w:tcBorders>
              <w:top w:val="single" w:sz="6" w:space="0" w:color="000000"/>
              <w:left w:val="single" w:sz="6" w:space="0" w:color="000000"/>
              <w:bottom w:val="single" w:sz="6" w:space="0" w:color="000000"/>
              <w:right w:val="single" w:sz="6" w:space="0" w:color="000000"/>
            </w:tcBorders>
          </w:tcPr>
          <w:p w14:paraId="51215BCF" w14:textId="77777777" w:rsidR="00EC50EB" w:rsidRPr="009D7C92" w:rsidRDefault="00EC50EB" w:rsidP="00EE703D">
            <w:pPr>
              <w:jc w:val="left"/>
              <w:rPr>
                <w:color w:val="auto"/>
              </w:rPr>
            </w:pPr>
            <w:r w:rsidRPr="009D7C92">
              <w:rPr>
                <w:color w:val="auto"/>
              </w:rPr>
              <w:t xml:space="preserve">Neznáme </w:t>
            </w:r>
          </w:p>
        </w:tc>
        <w:tc>
          <w:tcPr>
            <w:tcW w:w="2514" w:type="dxa"/>
            <w:tcBorders>
              <w:top w:val="single" w:sz="6" w:space="0" w:color="000000"/>
              <w:left w:val="single" w:sz="6" w:space="0" w:color="000000"/>
              <w:bottom w:val="single" w:sz="6" w:space="0" w:color="000000"/>
              <w:right w:val="single" w:sz="6" w:space="0" w:color="000000"/>
            </w:tcBorders>
          </w:tcPr>
          <w:p w14:paraId="07CC0678" w14:textId="77777777" w:rsidR="00EC50EB" w:rsidRPr="009D7C92" w:rsidRDefault="00532AE1" w:rsidP="00211D25">
            <w:pPr>
              <w:jc w:val="left"/>
              <w:rPr>
                <w:color w:val="auto"/>
              </w:rPr>
            </w:pPr>
            <w:r w:rsidRPr="009D7C92">
              <w:rPr>
                <w:color w:val="auto"/>
              </w:rPr>
              <w:t>s</w:t>
            </w:r>
            <w:r w:rsidR="00EC50EB" w:rsidRPr="009D7C92">
              <w:rPr>
                <w:color w:val="auto"/>
              </w:rPr>
              <w:t xml:space="preserve">yndróm neprimeranej sekrécie antidiuretického hormónu (SIADH) </w:t>
            </w:r>
          </w:p>
        </w:tc>
        <w:tc>
          <w:tcPr>
            <w:tcW w:w="2017" w:type="dxa"/>
            <w:gridSpan w:val="2"/>
            <w:tcBorders>
              <w:top w:val="single" w:sz="6" w:space="0" w:color="000000"/>
              <w:left w:val="single" w:sz="6" w:space="0" w:color="000000"/>
              <w:bottom w:val="single" w:sz="6" w:space="0" w:color="000000"/>
              <w:right w:val="single" w:sz="6" w:space="0" w:color="000000"/>
            </w:tcBorders>
          </w:tcPr>
          <w:p w14:paraId="3920DD25" w14:textId="77777777" w:rsidR="00EC50EB" w:rsidRPr="009D7C92" w:rsidRDefault="00EC50EB" w:rsidP="00F87817">
            <w:pPr>
              <w:jc w:val="left"/>
              <w:rPr>
                <w:color w:val="auto"/>
              </w:rPr>
            </w:pPr>
            <w:r w:rsidRPr="009D7C92">
              <w:rPr>
                <w:color w:val="auto"/>
              </w:rPr>
              <w:t xml:space="preserve"> </w:t>
            </w:r>
          </w:p>
        </w:tc>
        <w:tc>
          <w:tcPr>
            <w:tcW w:w="2465" w:type="dxa"/>
            <w:tcBorders>
              <w:top w:val="single" w:sz="6" w:space="0" w:color="000000"/>
              <w:left w:val="single" w:sz="6" w:space="0" w:color="000000"/>
              <w:bottom w:val="single" w:sz="6" w:space="0" w:color="000000"/>
              <w:right w:val="single" w:sz="6" w:space="0" w:color="000000"/>
            </w:tcBorders>
          </w:tcPr>
          <w:p w14:paraId="3CD0AD15" w14:textId="77777777" w:rsidR="00EC50EB" w:rsidRPr="009D7C92" w:rsidRDefault="00EC50EB">
            <w:pPr>
              <w:jc w:val="left"/>
              <w:rPr>
                <w:color w:val="auto"/>
              </w:rPr>
            </w:pPr>
          </w:p>
        </w:tc>
      </w:tr>
      <w:tr w:rsidR="00EC50EB" w:rsidRPr="009D7C92" w14:paraId="5EFBDFC3" w14:textId="77777777" w:rsidTr="002B66E0">
        <w:trPr>
          <w:gridAfter w:val="1"/>
          <w:wAfter w:w="8" w:type="dxa"/>
          <w:trHeight w:val="326"/>
        </w:trPr>
        <w:tc>
          <w:tcPr>
            <w:tcW w:w="9163" w:type="dxa"/>
            <w:gridSpan w:val="5"/>
            <w:tcBorders>
              <w:top w:val="single" w:sz="6" w:space="0" w:color="000000"/>
              <w:left w:val="single" w:sz="6" w:space="0" w:color="000000"/>
              <w:bottom w:val="single" w:sz="6" w:space="0" w:color="000000"/>
              <w:right w:val="single" w:sz="6" w:space="0" w:color="000000"/>
            </w:tcBorders>
          </w:tcPr>
          <w:p w14:paraId="31A9ED28" w14:textId="77777777" w:rsidR="00EC50EB" w:rsidRPr="009D7C92" w:rsidRDefault="00EC50EB" w:rsidP="00EE703D">
            <w:pPr>
              <w:jc w:val="left"/>
              <w:rPr>
                <w:i/>
                <w:color w:val="auto"/>
              </w:rPr>
            </w:pPr>
            <w:r w:rsidRPr="009D7C92">
              <w:rPr>
                <w:b/>
                <w:i/>
                <w:color w:val="auto"/>
              </w:rPr>
              <w:t>Poruchy metabolizmu a</w:t>
            </w:r>
            <w:r w:rsidR="00502B7C" w:rsidRPr="009D7C92">
              <w:rPr>
                <w:b/>
                <w:i/>
                <w:color w:val="auto"/>
              </w:rPr>
              <w:t> </w:t>
            </w:r>
            <w:r w:rsidRPr="009D7C92">
              <w:rPr>
                <w:b/>
                <w:i/>
                <w:color w:val="auto"/>
              </w:rPr>
              <w:t>výživy</w:t>
            </w:r>
          </w:p>
        </w:tc>
      </w:tr>
      <w:tr w:rsidR="00EC50EB" w:rsidRPr="009D7C92" w14:paraId="661B96B8" w14:textId="77777777" w:rsidTr="00685680">
        <w:trPr>
          <w:gridAfter w:val="1"/>
          <w:wAfter w:w="8" w:type="dxa"/>
          <w:trHeight w:val="526"/>
        </w:trPr>
        <w:tc>
          <w:tcPr>
            <w:tcW w:w="2167" w:type="dxa"/>
            <w:tcBorders>
              <w:top w:val="single" w:sz="6" w:space="0" w:color="000000"/>
              <w:left w:val="single" w:sz="6" w:space="0" w:color="000000"/>
              <w:bottom w:val="single" w:sz="6" w:space="0" w:color="000000"/>
              <w:right w:val="single" w:sz="6" w:space="0" w:color="000000"/>
            </w:tcBorders>
          </w:tcPr>
          <w:p w14:paraId="7FC41992" w14:textId="77777777" w:rsidR="00EC50EB" w:rsidRPr="009D7C92" w:rsidRDefault="00EC50EB" w:rsidP="00EE703D">
            <w:pPr>
              <w:jc w:val="left"/>
              <w:rPr>
                <w:color w:val="auto"/>
              </w:rPr>
            </w:pPr>
            <w:r w:rsidRPr="009D7C92">
              <w:rPr>
                <w:color w:val="auto"/>
              </w:rPr>
              <w:t xml:space="preserve">Veľmi </w:t>
            </w:r>
            <w:r w:rsidR="00E42261" w:rsidRPr="009D7C92">
              <w:rPr>
                <w:color w:val="auto"/>
              </w:rPr>
              <w:t>časté</w:t>
            </w:r>
          </w:p>
        </w:tc>
        <w:tc>
          <w:tcPr>
            <w:tcW w:w="2514" w:type="dxa"/>
            <w:tcBorders>
              <w:top w:val="single" w:sz="6" w:space="0" w:color="000000"/>
              <w:left w:val="single" w:sz="6" w:space="0" w:color="000000"/>
              <w:bottom w:val="single" w:sz="6" w:space="0" w:color="000000"/>
              <w:right w:val="single" w:sz="6" w:space="0" w:color="000000"/>
            </w:tcBorders>
          </w:tcPr>
          <w:p w14:paraId="2115FF29" w14:textId="77777777" w:rsidR="00EC50EB" w:rsidRPr="009D7C92" w:rsidRDefault="00EC50EB" w:rsidP="00211D25">
            <w:pPr>
              <w:jc w:val="left"/>
              <w:rPr>
                <w:color w:val="auto"/>
              </w:rPr>
            </w:pPr>
          </w:p>
        </w:tc>
        <w:tc>
          <w:tcPr>
            <w:tcW w:w="2017" w:type="dxa"/>
            <w:gridSpan w:val="2"/>
            <w:tcBorders>
              <w:top w:val="single" w:sz="6" w:space="0" w:color="000000"/>
              <w:left w:val="single" w:sz="6" w:space="0" w:color="000000"/>
              <w:bottom w:val="single" w:sz="6" w:space="0" w:color="000000"/>
              <w:right w:val="single" w:sz="6" w:space="0" w:color="000000"/>
            </w:tcBorders>
          </w:tcPr>
          <w:p w14:paraId="63EA8AF4" w14:textId="77777777" w:rsidR="00EC50EB" w:rsidRPr="009D7C92" w:rsidRDefault="00EC50EB" w:rsidP="00F87817">
            <w:pPr>
              <w:jc w:val="left"/>
              <w:rPr>
                <w:color w:val="auto"/>
              </w:rPr>
            </w:pPr>
          </w:p>
        </w:tc>
        <w:tc>
          <w:tcPr>
            <w:tcW w:w="2465" w:type="dxa"/>
            <w:tcBorders>
              <w:top w:val="single" w:sz="6" w:space="0" w:color="000000"/>
              <w:left w:val="single" w:sz="6" w:space="0" w:color="000000"/>
              <w:bottom w:val="single" w:sz="6" w:space="0" w:color="000000"/>
              <w:right w:val="single" w:sz="6" w:space="0" w:color="000000"/>
            </w:tcBorders>
          </w:tcPr>
          <w:p w14:paraId="37E1A249" w14:textId="77777777" w:rsidR="00EC50EB" w:rsidRPr="009D7C92" w:rsidRDefault="00EC50EB">
            <w:pPr>
              <w:jc w:val="left"/>
              <w:rPr>
                <w:color w:val="auto"/>
              </w:rPr>
            </w:pPr>
            <w:r w:rsidRPr="009D7C92">
              <w:rPr>
                <w:color w:val="auto"/>
              </w:rPr>
              <w:t>hypokaliémia, hyperlipidémia</w:t>
            </w:r>
          </w:p>
        </w:tc>
      </w:tr>
      <w:tr w:rsidR="00EC50EB" w:rsidRPr="009D7C92" w14:paraId="4B80DCF2" w14:textId="77777777" w:rsidTr="00685680">
        <w:trPr>
          <w:gridAfter w:val="1"/>
          <w:wAfter w:w="8" w:type="dxa"/>
          <w:trHeight w:val="526"/>
        </w:trPr>
        <w:tc>
          <w:tcPr>
            <w:tcW w:w="2167" w:type="dxa"/>
            <w:tcBorders>
              <w:top w:val="single" w:sz="6" w:space="0" w:color="000000"/>
              <w:left w:val="single" w:sz="6" w:space="0" w:color="000000"/>
              <w:bottom w:val="single" w:sz="6" w:space="0" w:color="000000"/>
              <w:right w:val="single" w:sz="6" w:space="0" w:color="000000"/>
            </w:tcBorders>
          </w:tcPr>
          <w:p w14:paraId="4B7206A1" w14:textId="77777777" w:rsidR="00EC50EB" w:rsidRPr="009D7C92" w:rsidRDefault="00E42261" w:rsidP="00EE703D">
            <w:pPr>
              <w:jc w:val="left"/>
              <w:rPr>
                <w:color w:val="auto"/>
              </w:rPr>
            </w:pPr>
            <w:r w:rsidRPr="009D7C92">
              <w:rPr>
                <w:color w:val="auto"/>
              </w:rPr>
              <w:t>Časté</w:t>
            </w:r>
          </w:p>
        </w:tc>
        <w:tc>
          <w:tcPr>
            <w:tcW w:w="2514" w:type="dxa"/>
            <w:tcBorders>
              <w:top w:val="single" w:sz="6" w:space="0" w:color="000000"/>
              <w:left w:val="single" w:sz="6" w:space="0" w:color="000000"/>
              <w:bottom w:val="single" w:sz="6" w:space="0" w:color="000000"/>
              <w:right w:val="single" w:sz="6" w:space="0" w:color="000000"/>
            </w:tcBorders>
          </w:tcPr>
          <w:p w14:paraId="70753D01" w14:textId="77777777" w:rsidR="00EC50EB" w:rsidRPr="009D7C92" w:rsidRDefault="00502B7C" w:rsidP="00211D25">
            <w:pPr>
              <w:jc w:val="left"/>
              <w:rPr>
                <w:color w:val="auto"/>
              </w:rPr>
            </w:pPr>
            <w:r w:rsidRPr="009D7C92">
              <w:rPr>
                <w:color w:val="auto"/>
              </w:rPr>
              <w:t>z</w:t>
            </w:r>
            <w:r w:rsidR="00EC50EB" w:rsidRPr="009D7C92">
              <w:rPr>
                <w:color w:val="auto"/>
              </w:rPr>
              <w:t>výš</w:t>
            </w:r>
            <w:r w:rsidRPr="009D7C92">
              <w:rPr>
                <w:color w:val="auto"/>
              </w:rPr>
              <w:t>enie</w:t>
            </w:r>
            <w:r w:rsidR="00EC50EB" w:rsidRPr="009D7C92">
              <w:rPr>
                <w:color w:val="auto"/>
              </w:rPr>
              <w:t xml:space="preserve"> draslík</w:t>
            </w:r>
            <w:r w:rsidRPr="009D7C92">
              <w:rPr>
                <w:color w:val="auto"/>
              </w:rPr>
              <w:t>a</w:t>
            </w:r>
            <w:r w:rsidR="00EC50EB" w:rsidRPr="009D7C92">
              <w:rPr>
                <w:color w:val="auto"/>
              </w:rPr>
              <w:t xml:space="preserve"> v krvi </w:t>
            </w:r>
          </w:p>
        </w:tc>
        <w:tc>
          <w:tcPr>
            <w:tcW w:w="2017" w:type="dxa"/>
            <w:gridSpan w:val="2"/>
            <w:tcBorders>
              <w:top w:val="single" w:sz="6" w:space="0" w:color="000000"/>
              <w:left w:val="single" w:sz="6" w:space="0" w:color="000000"/>
              <w:bottom w:val="single" w:sz="6" w:space="0" w:color="000000"/>
              <w:right w:val="single" w:sz="6" w:space="0" w:color="000000"/>
            </w:tcBorders>
          </w:tcPr>
          <w:p w14:paraId="5CB24C7E" w14:textId="77777777" w:rsidR="00EC50EB" w:rsidRPr="009D7C92" w:rsidRDefault="00EC50EB" w:rsidP="00F87817">
            <w:pPr>
              <w:jc w:val="left"/>
              <w:rPr>
                <w:color w:val="auto"/>
              </w:rPr>
            </w:pPr>
            <w:r w:rsidRPr="009D7C92">
              <w:rPr>
                <w:color w:val="auto"/>
              </w:rPr>
              <w:t xml:space="preserve"> </w:t>
            </w:r>
          </w:p>
        </w:tc>
        <w:tc>
          <w:tcPr>
            <w:tcW w:w="2465" w:type="dxa"/>
            <w:tcBorders>
              <w:top w:val="single" w:sz="6" w:space="0" w:color="000000"/>
              <w:left w:val="single" w:sz="6" w:space="0" w:color="000000"/>
              <w:bottom w:val="single" w:sz="6" w:space="0" w:color="000000"/>
              <w:right w:val="single" w:sz="6" w:space="0" w:color="000000"/>
            </w:tcBorders>
          </w:tcPr>
          <w:p w14:paraId="3F2D64CD" w14:textId="5F25604F" w:rsidR="00EC50EB" w:rsidRPr="009D7C92" w:rsidRDefault="00502B7C">
            <w:pPr>
              <w:jc w:val="left"/>
              <w:rPr>
                <w:color w:val="auto"/>
              </w:rPr>
            </w:pPr>
            <w:r w:rsidRPr="009D7C92">
              <w:rPr>
                <w:color w:val="auto"/>
              </w:rPr>
              <w:t>h</w:t>
            </w:r>
            <w:r w:rsidR="00EC50EB" w:rsidRPr="009D7C92">
              <w:rPr>
                <w:color w:val="auto"/>
              </w:rPr>
              <w:t>yperurikémia, hypomagnez</w:t>
            </w:r>
            <w:r w:rsidR="00A957C6" w:rsidRPr="009D7C92">
              <w:rPr>
                <w:color w:val="auto"/>
              </w:rPr>
              <w:t>i</w:t>
            </w:r>
            <w:r w:rsidR="00EC50EB" w:rsidRPr="009D7C92">
              <w:rPr>
                <w:color w:val="auto"/>
              </w:rPr>
              <w:t>émia, hyponatr</w:t>
            </w:r>
            <w:r w:rsidR="00A957C6" w:rsidRPr="009D7C92">
              <w:rPr>
                <w:color w:val="auto"/>
              </w:rPr>
              <w:t>i</w:t>
            </w:r>
            <w:r w:rsidR="00EC50EB" w:rsidRPr="009D7C92">
              <w:rPr>
                <w:color w:val="auto"/>
              </w:rPr>
              <w:t>émia</w:t>
            </w:r>
          </w:p>
        </w:tc>
      </w:tr>
      <w:tr w:rsidR="00EC50EB" w:rsidRPr="009D7C92" w14:paraId="6D4541E9" w14:textId="77777777" w:rsidTr="00685680">
        <w:trPr>
          <w:gridAfter w:val="1"/>
          <w:wAfter w:w="8" w:type="dxa"/>
          <w:trHeight w:val="526"/>
        </w:trPr>
        <w:tc>
          <w:tcPr>
            <w:tcW w:w="2167" w:type="dxa"/>
            <w:tcBorders>
              <w:top w:val="single" w:sz="6" w:space="0" w:color="000000"/>
              <w:left w:val="single" w:sz="6" w:space="0" w:color="000000"/>
              <w:bottom w:val="single" w:sz="6" w:space="0" w:color="000000"/>
              <w:right w:val="single" w:sz="6" w:space="0" w:color="000000"/>
            </w:tcBorders>
          </w:tcPr>
          <w:p w14:paraId="29A90CE7" w14:textId="77777777" w:rsidR="00EC50EB" w:rsidRPr="009D7C92" w:rsidRDefault="00E42261" w:rsidP="00EE703D">
            <w:pPr>
              <w:jc w:val="left"/>
              <w:rPr>
                <w:color w:val="auto"/>
              </w:rPr>
            </w:pPr>
            <w:r w:rsidRPr="009D7C92">
              <w:rPr>
                <w:color w:val="auto"/>
              </w:rPr>
              <w:t>Menej časté</w:t>
            </w:r>
            <w:r w:rsidR="00EC50EB" w:rsidRPr="009D7C92">
              <w:rPr>
                <w:color w:val="auto"/>
              </w:rPr>
              <w:t xml:space="preserve"> </w:t>
            </w:r>
          </w:p>
        </w:tc>
        <w:tc>
          <w:tcPr>
            <w:tcW w:w="2514" w:type="dxa"/>
            <w:tcBorders>
              <w:top w:val="single" w:sz="6" w:space="0" w:color="000000"/>
              <w:left w:val="single" w:sz="6" w:space="0" w:color="000000"/>
              <w:bottom w:val="single" w:sz="6" w:space="0" w:color="000000"/>
              <w:right w:val="single" w:sz="6" w:space="0" w:color="000000"/>
            </w:tcBorders>
          </w:tcPr>
          <w:p w14:paraId="5560BD5A" w14:textId="77777777" w:rsidR="00EC50EB" w:rsidRPr="009D7C92" w:rsidRDefault="00502B7C" w:rsidP="00211D25">
            <w:pPr>
              <w:jc w:val="left"/>
              <w:rPr>
                <w:color w:val="auto"/>
              </w:rPr>
            </w:pPr>
            <w:r w:rsidRPr="009D7C92">
              <w:rPr>
                <w:color w:val="auto"/>
              </w:rPr>
              <w:t>a</w:t>
            </w:r>
            <w:r w:rsidR="00EC50EB" w:rsidRPr="009D7C92">
              <w:rPr>
                <w:color w:val="auto"/>
              </w:rPr>
              <w:t xml:space="preserve">norexia, znížená chuť do jedla </w:t>
            </w:r>
          </w:p>
        </w:tc>
        <w:tc>
          <w:tcPr>
            <w:tcW w:w="2017" w:type="dxa"/>
            <w:gridSpan w:val="2"/>
            <w:tcBorders>
              <w:top w:val="single" w:sz="6" w:space="0" w:color="000000"/>
              <w:left w:val="single" w:sz="6" w:space="0" w:color="000000"/>
              <w:bottom w:val="single" w:sz="6" w:space="0" w:color="000000"/>
              <w:right w:val="single" w:sz="6" w:space="0" w:color="000000"/>
            </w:tcBorders>
          </w:tcPr>
          <w:p w14:paraId="7B4D11D0" w14:textId="77777777" w:rsidR="00EC50EB" w:rsidRPr="009D7C92" w:rsidRDefault="00EC50EB" w:rsidP="00F87817">
            <w:pPr>
              <w:jc w:val="left"/>
              <w:rPr>
                <w:color w:val="auto"/>
              </w:rPr>
            </w:pPr>
            <w:r w:rsidRPr="009D7C92">
              <w:rPr>
                <w:color w:val="auto"/>
              </w:rPr>
              <w:t xml:space="preserve"> </w:t>
            </w:r>
          </w:p>
        </w:tc>
        <w:tc>
          <w:tcPr>
            <w:tcW w:w="2465" w:type="dxa"/>
            <w:tcBorders>
              <w:top w:val="single" w:sz="6" w:space="0" w:color="000000"/>
              <w:left w:val="single" w:sz="6" w:space="0" w:color="000000"/>
              <w:bottom w:val="single" w:sz="6" w:space="0" w:color="000000"/>
              <w:right w:val="single" w:sz="6" w:space="0" w:color="000000"/>
            </w:tcBorders>
          </w:tcPr>
          <w:p w14:paraId="56B15CE3" w14:textId="77777777" w:rsidR="00EC50EB" w:rsidRPr="009D7C92" w:rsidRDefault="00EC50EB">
            <w:pPr>
              <w:jc w:val="left"/>
              <w:rPr>
                <w:color w:val="auto"/>
              </w:rPr>
            </w:pPr>
          </w:p>
        </w:tc>
      </w:tr>
      <w:tr w:rsidR="00EC50EB" w:rsidRPr="009D7C92" w14:paraId="11F26D9B" w14:textId="77777777" w:rsidTr="00685680">
        <w:trPr>
          <w:gridAfter w:val="1"/>
          <w:wAfter w:w="8" w:type="dxa"/>
          <w:trHeight w:val="526"/>
        </w:trPr>
        <w:tc>
          <w:tcPr>
            <w:tcW w:w="2167" w:type="dxa"/>
            <w:tcBorders>
              <w:top w:val="single" w:sz="6" w:space="0" w:color="000000"/>
              <w:left w:val="single" w:sz="6" w:space="0" w:color="000000"/>
              <w:bottom w:val="single" w:sz="6" w:space="0" w:color="000000"/>
              <w:right w:val="single" w:sz="6" w:space="0" w:color="000000"/>
            </w:tcBorders>
          </w:tcPr>
          <w:p w14:paraId="14FE727F" w14:textId="77777777" w:rsidR="00EC50EB" w:rsidRPr="009D7C92" w:rsidRDefault="00EC50EB" w:rsidP="00EE703D">
            <w:pPr>
              <w:jc w:val="left"/>
              <w:rPr>
                <w:color w:val="auto"/>
              </w:rPr>
            </w:pPr>
            <w:r w:rsidRPr="009D7C92">
              <w:rPr>
                <w:color w:val="auto"/>
              </w:rPr>
              <w:t>Zriedkavé</w:t>
            </w:r>
          </w:p>
        </w:tc>
        <w:tc>
          <w:tcPr>
            <w:tcW w:w="2514" w:type="dxa"/>
            <w:tcBorders>
              <w:top w:val="single" w:sz="6" w:space="0" w:color="000000"/>
              <w:left w:val="single" w:sz="6" w:space="0" w:color="000000"/>
              <w:bottom w:val="single" w:sz="6" w:space="0" w:color="000000"/>
              <w:right w:val="single" w:sz="6" w:space="0" w:color="000000"/>
            </w:tcBorders>
          </w:tcPr>
          <w:p w14:paraId="007B2684" w14:textId="77777777" w:rsidR="00EC50EB" w:rsidRPr="009D7C92" w:rsidRDefault="00EC50EB" w:rsidP="00211D25">
            <w:pPr>
              <w:jc w:val="left"/>
              <w:rPr>
                <w:color w:val="auto"/>
              </w:rPr>
            </w:pPr>
          </w:p>
        </w:tc>
        <w:tc>
          <w:tcPr>
            <w:tcW w:w="2017" w:type="dxa"/>
            <w:gridSpan w:val="2"/>
            <w:tcBorders>
              <w:top w:val="single" w:sz="6" w:space="0" w:color="000000"/>
              <w:left w:val="single" w:sz="6" w:space="0" w:color="000000"/>
              <w:bottom w:val="single" w:sz="6" w:space="0" w:color="000000"/>
              <w:right w:val="single" w:sz="6" w:space="0" w:color="000000"/>
            </w:tcBorders>
          </w:tcPr>
          <w:p w14:paraId="0F814829" w14:textId="77777777" w:rsidR="00EC50EB" w:rsidRPr="009D7C92" w:rsidRDefault="00EC50EB" w:rsidP="00F87817">
            <w:pPr>
              <w:jc w:val="left"/>
              <w:rPr>
                <w:color w:val="auto"/>
              </w:rPr>
            </w:pPr>
          </w:p>
        </w:tc>
        <w:tc>
          <w:tcPr>
            <w:tcW w:w="2465" w:type="dxa"/>
            <w:tcBorders>
              <w:top w:val="single" w:sz="6" w:space="0" w:color="000000"/>
              <w:left w:val="single" w:sz="6" w:space="0" w:color="000000"/>
              <w:bottom w:val="single" w:sz="6" w:space="0" w:color="000000"/>
              <w:right w:val="single" w:sz="6" w:space="0" w:color="000000"/>
            </w:tcBorders>
          </w:tcPr>
          <w:p w14:paraId="6DB9F4D4" w14:textId="112CD1E8" w:rsidR="00EC50EB" w:rsidRPr="009D7C92" w:rsidRDefault="00502B7C" w:rsidP="0018648A">
            <w:pPr>
              <w:jc w:val="left"/>
              <w:rPr>
                <w:color w:val="auto"/>
              </w:rPr>
            </w:pPr>
            <w:r w:rsidRPr="009D7C92">
              <w:rPr>
                <w:color w:val="auto"/>
              </w:rPr>
              <w:t>h</w:t>
            </w:r>
            <w:r w:rsidR="00EC50EB" w:rsidRPr="009D7C92">
              <w:rPr>
                <w:color w:val="auto"/>
              </w:rPr>
              <w:t>yperkalc</w:t>
            </w:r>
            <w:r w:rsidR="00304DCE">
              <w:rPr>
                <w:color w:val="auto"/>
              </w:rPr>
              <w:t>i</w:t>
            </w:r>
            <w:r w:rsidR="00EC50EB" w:rsidRPr="009D7C92">
              <w:rPr>
                <w:color w:val="auto"/>
              </w:rPr>
              <w:t>émia, hyperglykémia, glykozúria, zhoršenie</w:t>
            </w:r>
            <w:r w:rsidR="00443EC2" w:rsidRPr="009D7C92">
              <w:rPr>
                <w:color w:val="auto"/>
              </w:rPr>
              <w:t xml:space="preserve"> diabetických parametrov </w:t>
            </w:r>
          </w:p>
        </w:tc>
      </w:tr>
      <w:tr w:rsidR="00EC50EB" w:rsidRPr="009D7C92" w14:paraId="4ACB338F" w14:textId="77777777" w:rsidTr="00685680">
        <w:trPr>
          <w:gridAfter w:val="1"/>
          <w:wAfter w:w="8" w:type="dxa"/>
          <w:trHeight w:val="270"/>
        </w:trPr>
        <w:tc>
          <w:tcPr>
            <w:tcW w:w="2167" w:type="dxa"/>
            <w:tcBorders>
              <w:top w:val="single" w:sz="6" w:space="0" w:color="000000"/>
              <w:left w:val="single" w:sz="6" w:space="0" w:color="000000"/>
              <w:bottom w:val="single" w:sz="6" w:space="0" w:color="000000"/>
              <w:right w:val="single" w:sz="6" w:space="0" w:color="000000"/>
            </w:tcBorders>
          </w:tcPr>
          <w:p w14:paraId="1C63837D" w14:textId="77777777" w:rsidR="00EC50EB" w:rsidRPr="009D7C92" w:rsidRDefault="00EC50EB" w:rsidP="00EE703D">
            <w:pPr>
              <w:jc w:val="left"/>
              <w:rPr>
                <w:color w:val="auto"/>
              </w:rPr>
            </w:pPr>
            <w:r w:rsidRPr="009D7C92">
              <w:rPr>
                <w:color w:val="auto"/>
              </w:rPr>
              <w:t xml:space="preserve">Veľmi zriedkavé </w:t>
            </w:r>
          </w:p>
        </w:tc>
        <w:tc>
          <w:tcPr>
            <w:tcW w:w="2514" w:type="dxa"/>
            <w:tcBorders>
              <w:top w:val="single" w:sz="6" w:space="0" w:color="000000"/>
              <w:left w:val="single" w:sz="6" w:space="0" w:color="000000"/>
              <w:bottom w:val="single" w:sz="6" w:space="0" w:color="000000"/>
              <w:right w:val="single" w:sz="6" w:space="0" w:color="000000"/>
            </w:tcBorders>
          </w:tcPr>
          <w:p w14:paraId="30B82462" w14:textId="77777777" w:rsidR="00EC50EB" w:rsidRPr="009D7C92" w:rsidRDefault="00EC50EB" w:rsidP="00211D25">
            <w:pPr>
              <w:jc w:val="left"/>
              <w:rPr>
                <w:color w:val="auto"/>
              </w:rPr>
            </w:pPr>
            <w:r w:rsidRPr="009D7C92">
              <w:rPr>
                <w:color w:val="auto"/>
              </w:rPr>
              <w:t xml:space="preserve"> </w:t>
            </w:r>
          </w:p>
        </w:tc>
        <w:tc>
          <w:tcPr>
            <w:tcW w:w="2017" w:type="dxa"/>
            <w:gridSpan w:val="2"/>
            <w:tcBorders>
              <w:top w:val="single" w:sz="6" w:space="0" w:color="000000"/>
              <w:left w:val="single" w:sz="6" w:space="0" w:color="000000"/>
              <w:bottom w:val="single" w:sz="6" w:space="0" w:color="000000"/>
              <w:right w:val="single" w:sz="6" w:space="0" w:color="000000"/>
            </w:tcBorders>
          </w:tcPr>
          <w:p w14:paraId="23589281" w14:textId="77777777" w:rsidR="00EC50EB" w:rsidRPr="009D7C92" w:rsidRDefault="00502B7C" w:rsidP="00F87817">
            <w:pPr>
              <w:jc w:val="left"/>
              <w:rPr>
                <w:color w:val="auto"/>
              </w:rPr>
            </w:pPr>
            <w:r w:rsidRPr="009D7C92">
              <w:rPr>
                <w:color w:val="auto"/>
              </w:rPr>
              <w:t>h</w:t>
            </w:r>
            <w:r w:rsidR="00EC50EB" w:rsidRPr="009D7C92">
              <w:rPr>
                <w:color w:val="auto"/>
              </w:rPr>
              <w:t xml:space="preserve">yperglykémia </w:t>
            </w:r>
          </w:p>
        </w:tc>
        <w:tc>
          <w:tcPr>
            <w:tcW w:w="2465" w:type="dxa"/>
            <w:tcBorders>
              <w:top w:val="single" w:sz="6" w:space="0" w:color="000000"/>
              <w:left w:val="single" w:sz="6" w:space="0" w:color="000000"/>
              <w:bottom w:val="single" w:sz="6" w:space="0" w:color="000000"/>
              <w:right w:val="single" w:sz="6" w:space="0" w:color="000000"/>
            </w:tcBorders>
          </w:tcPr>
          <w:p w14:paraId="17F91C9B" w14:textId="77777777" w:rsidR="00EC50EB" w:rsidRPr="009D7C92" w:rsidRDefault="00EC50EB">
            <w:pPr>
              <w:jc w:val="left"/>
              <w:rPr>
                <w:color w:val="auto"/>
              </w:rPr>
            </w:pPr>
            <w:r w:rsidRPr="009D7C92">
              <w:rPr>
                <w:color w:val="auto"/>
              </w:rPr>
              <w:t>hypochloremická alkalóza</w:t>
            </w:r>
          </w:p>
        </w:tc>
      </w:tr>
      <w:tr w:rsidR="00EC50EB" w:rsidRPr="009D7C92" w14:paraId="09A0C1CC" w14:textId="77777777" w:rsidTr="00243692">
        <w:trPr>
          <w:gridAfter w:val="1"/>
          <w:wAfter w:w="8" w:type="dxa"/>
          <w:trHeight w:val="263"/>
        </w:trPr>
        <w:tc>
          <w:tcPr>
            <w:tcW w:w="2167" w:type="dxa"/>
            <w:tcBorders>
              <w:top w:val="single" w:sz="6" w:space="0" w:color="000000"/>
              <w:left w:val="single" w:sz="6" w:space="0" w:color="000000"/>
              <w:bottom w:val="single" w:sz="6" w:space="0" w:color="000000"/>
              <w:right w:val="single" w:sz="6" w:space="0" w:color="000000"/>
            </w:tcBorders>
          </w:tcPr>
          <w:p w14:paraId="7085D933" w14:textId="77777777" w:rsidR="00EC50EB" w:rsidRPr="009D7C92" w:rsidRDefault="00EC50EB" w:rsidP="00EE703D">
            <w:pPr>
              <w:jc w:val="left"/>
              <w:rPr>
                <w:color w:val="auto"/>
              </w:rPr>
            </w:pPr>
            <w:r w:rsidRPr="009D7C92">
              <w:rPr>
                <w:color w:val="auto"/>
              </w:rPr>
              <w:t xml:space="preserve">Neznáme </w:t>
            </w:r>
          </w:p>
        </w:tc>
        <w:tc>
          <w:tcPr>
            <w:tcW w:w="2514" w:type="dxa"/>
            <w:tcBorders>
              <w:top w:val="single" w:sz="6" w:space="0" w:color="000000"/>
              <w:left w:val="single" w:sz="6" w:space="0" w:color="000000"/>
              <w:bottom w:val="single" w:sz="6" w:space="0" w:color="000000"/>
              <w:right w:val="single" w:sz="6" w:space="0" w:color="000000"/>
            </w:tcBorders>
          </w:tcPr>
          <w:p w14:paraId="59EA7B14" w14:textId="77777777" w:rsidR="00EC50EB" w:rsidRPr="009D7C92" w:rsidRDefault="00502B7C" w:rsidP="00211D25">
            <w:pPr>
              <w:jc w:val="left"/>
              <w:rPr>
                <w:color w:val="auto"/>
              </w:rPr>
            </w:pPr>
            <w:r w:rsidRPr="009D7C92">
              <w:rPr>
                <w:color w:val="auto"/>
              </w:rPr>
              <w:t>zníženie sodíka v krvi</w:t>
            </w:r>
            <w:r w:rsidR="00EC50EB" w:rsidRPr="009D7C92">
              <w:rPr>
                <w:color w:val="auto"/>
              </w:rPr>
              <w:t xml:space="preserve"> </w:t>
            </w:r>
          </w:p>
        </w:tc>
        <w:tc>
          <w:tcPr>
            <w:tcW w:w="2017" w:type="dxa"/>
            <w:gridSpan w:val="2"/>
            <w:tcBorders>
              <w:top w:val="single" w:sz="6" w:space="0" w:color="000000"/>
              <w:left w:val="single" w:sz="6" w:space="0" w:color="000000"/>
              <w:bottom w:val="single" w:sz="6" w:space="0" w:color="000000"/>
              <w:right w:val="single" w:sz="6" w:space="0" w:color="000000"/>
            </w:tcBorders>
          </w:tcPr>
          <w:p w14:paraId="13808A5B" w14:textId="77777777" w:rsidR="00EC50EB" w:rsidRPr="009D7C92" w:rsidRDefault="00EC50EB" w:rsidP="00F87817">
            <w:pPr>
              <w:jc w:val="left"/>
              <w:rPr>
                <w:color w:val="auto"/>
              </w:rPr>
            </w:pPr>
            <w:r w:rsidRPr="009D7C92">
              <w:rPr>
                <w:color w:val="auto"/>
              </w:rPr>
              <w:t xml:space="preserve"> </w:t>
            </w:r>
          </w:p>
        </w:tc>
        <w:tc>
          <w:tcPr>
            <w:tcW w:w="2465" w:type="dxa"/>
            <w:tcBorders>
              <w:top w:val="single" w:sz="6" w:space="0" w:color="000000"/>
              <w:left w:val="single" w:sz="6" w:space="0" w:color="000000"/>
              <w:bottom w:val="single" w:sz="6" w:space="0" w:color="000000"/>
              <w:right w:val="single" w:sz="6" w:space="0" w:color="000000"/>
            </w:tcBorders>
          </w:tcPr>
          <w:p w14:paraId="4548819A" w14:textId="77777777" w:rsidR="00EC50EB" w:rsidRPr="009D7C92" w:rsidRDefault="00EC50EB">
            <w:pPr>
              <w:jc w:val="left"/>
              <w:rPr>
                <w:color w:val="auto"/>
              </w:rPr>
            </w:pPr>
          </w:p>
        </w:tc>
      </w:tr>
      <w:tr w:rsidR="00EC50EB" w:rsidRPr="009D7C92" w14:paraId="22BF86D0" w14:textId="77777777" w:rsidTr="002B66E0">
        <w:trPr>
          <w:gridAfter w:val="1"/>
          <w:wAfter w:w="8" w:type="dxa"/>
          <w:trHeight w:val="330"/>
        </w:trPr>
        <w:tc>
          <w:tcPr>
            <w:tcW w:w="9163" w:type="dxa"/>
            <w:gridSpan w:val="5"/>
            <w:tcBorders>
              <w:top w:val="single" w:sz="6" w:space="0" w:color="000000"/>
              <w:left w:val="single" w:sz="6" w:space="0" w:color="000000"/>
              <w:bottom w:val="single" w:sz="6" w:space="0" w:color="000000"/>
              <w:right w:val="single" w:sz="6" w:space="0" w:color="000000"/>
            </w:tcBorders>
          </w:tcPr>
          <w:p w14:paraId="77376235" w14:textId="77777777" w:rsidR="00EC50EB" w:rsidRPr="009D7C92" w:rsidRDefault="00EC50EB" w:rsidP="00EE703D">
            <w:pPr>
              <w:jc w:val="left"/>
              <w:rPr>
                <w:color w:val="auto"/>
              </w:rPr>
            </w:pPr>
            <w:r w:rsidRPr="009D7C92">
              <w:rPr>
                <w:b/>
                <w:i/>
                <w:color w:val="auto"/>
              </w:rPr>
              <w:t>Psych</w:t>
            </w:r>
            <w:r w:rsidR="00E42261" w:rsidRPr="009D7C92">
              <w:rPr>
                <w:b/>
                <w:i/>
                <w:color w:val="auto"/>
              </w:rPr>
              <w:t>i</w:t>
            </w:r>
            <w:r w:rsidRPr="009D7C92">
              <w:rPr>
                <w:b/>
                <w:i/>
                <w:color w:val="auto"/>
              </w:rPr>
              <w:t>cké poruchy</w:t>
            </w:r>
          </w:p>
        </w:tc>
      </w:tr>
      <w:tr w:rsidR="00EC50EB" w:rsidRPr="009D7C92" w14:paraId="5AFF7000" w14:textId="77777777" w:rsidTr="00243692">
        <w:trPr>
          <w:gridAfter w:val="1"/>
          <w:wAfter w:w="8" w:type="dxa"/>
          <w:trHeight w:val="1070"/>
        </w:trPr>
        <w:tc>
          <w:tcPr>
            <w:tcW w:w="2167" w:type="dxa"/>
            <w:tcBorders>
              <w:top w:val="single" w:sz="6" w:space="0" w:color="000000"/>
              <w:left w:val="single" w:sz="6" w:space="0" w:color="000000"/>
              <w:bottom w:val="single" w:sz="6" w:space="0" w:color="000000"/>
              <w:right w:val="single" w:sz="6" w:space="0" w:color="000000"/>
            </w:tcBorders>
          </w:tcPr>
          <w:p w14:paraId="28A3A145" w14:textId="77777777" w:rsidR="00EC50EB" w:rsidRPr="009D7C92" w:rsidRDefault="00502B7C" w:rsidP="00EE703D">
            <w:pPr>
              <w:jc w:val="left"/>
              <w:rPr>
                <w:color w:val="auto"/>
              </w:rPr>
            </w:pPr>
            <w:r w:rsidRPr="009D7C92">
              <w:rPr>
                <w:color w:val="auto"/>
              </w:rPr>
              <w:t>Menej časté</w:t>
            </w:r>
          </w:p>
        </w:tc>
        <w:tc>
          <w:tcPr>
            <w:tcW w:w="2514" w:type="dxa"/>
            <w:tcBorders>
              <w:top w:val="single" w:sz="6" w:space="0" w:color="000000"/>
              <w:left w:val="single" w:sz="6" w:space="0" w:color="000000"/>
              <w:bottom w:val="single" w:sz="6" w:space="0" w:color="000000"/>
              <w:right w:val="single" w:sz="6" w:space="0" w:color="000000"/>
            </w:tcBorders>
          </w:tcPr>
          <w:p w14:paraId="286EA763" w14:textId="126F3D48" w:rsidR="00EC50EB" w:rsidRPr="009D7C92" w:rsidRDefault="00502B7C">
            <w:pPr>
              <w:jc w:val="left"/>
              <w:rPr>
                <w:color w:val="auto"/>
              </w:rPr>
            </w:pPr>
            <w:r w:rsidRPr="009D7C92">
              <w:rPr>
                <w:color w:val="auto"/>
              </w:rPr>
              <w:t>d</w:t>
            </w:r>
            <w:r w:rsidR="00EC50EB" w:rsidRPr="009D7C92">
              <w:rPr>
                <w:color w:val="auto"/>
              </w:rPr>
              <w:t xml:space="preserve">epresívna nálada, úzkosť, nervozita, nepokoj, poruchy spánku vrátane somnolencie </w:t>
            </w:r>
          </w:p>
        </w:tc>
        <w:tc>
          <w:tcPr>
            <w:tcW w:w="2017" w:type="dxa"/>
            <w:gridSpan w:val="2"/>
            <w:tcBorders>
              <w:top w:val="single" w:sz="6" w:space="0" w:color="000000"/>
              <w:left w:val="single" w:sz="6" w:space="0" w:color="000000"/>
              <w:bottom w:val="single" w:sz="6" w:space="0" w:color="000000"/>
              <w:right w:val="single" w:sz="6" w:space="0" w:color="000000"/>
            </w:tcBorders>
          </w:tcPr>
          <w:p w14:paraId="2EE34B2A" w14:textId="3056C1F1" w:rsidR="00EB25B2" w:rsidRDefault="00502B7C" w:rsidP="00F87817">
            <w:pPr>
              <w:jc w:val="left"/>
              <w:rPr>
                <w:color w:val="auto"/>
              </w:rPr>
            </w:pPr>
            <w:r w:rsidRPr="009D7C92">
              <w:rPr>
                <w:color w:val="auto"/>
              </w:rPr>
              <w:t>z</w:t>
            </w:r>
            <w:r w:rsidR="00EC50EB" w:rsidRPr="009D7C92">
              <w:rPr>
                <w:color w:val="auto"/>
              </w:rPr>
              <w:t>meny nálady</w:t>
            </w:r>
          </w:p>
          <w:p w14:paraId="1949638C" w14:textId="0C871BEC" w:rsidR="00EC50EB" w:rsidRPr="009D7C92" w:rsidRDefault="00EC50EB">
            <w:pPr>
              <w:jc w:val="left"/>
              <w:rPr>
                <w:color w:val="auto"/>
              </w:rPr>
            </w:pPr>
            <w:r w:rsidRPr="009D7C92">
              <w:rPr>
                <w:color w:val="auto"/>
              </w:rPr>
              <w:t>(vrátane úzkosti), nespavos</w:t>
            </w:r>
            <w:r w:rsidR="00A957C6" w:rsidRPr="009D7C92">
              <w:rPr>
                <w:color w:val="auto"/>
              </w:rPr>
              <w:t>ť</w:t>
            </w:r>
            <w:r w:rsidRPr="009D7C92">
              <w:rPr>
                <w:color w:val="auto"/>
              </w:rPr>
              <w:t>, depresi</w:t>
            </w:r>
            <w:r w:rsidR="00A957C6" w:rsidRPr="009D7C92">
              <w:rPr>
                <w:color w:val="auto"/>
              </w:rPr>
              <w:t>a</w:t>
            </w:r>
            <w:r w:rsidRPr="009D7C92">
              <w:rPr>
                <w:color w:val="auto"/>
              </w:rPr>
              <w:t xml:space="preserve"> </w:t>
            </w:r>
          </w:p>
        </w:tc>
        <w:tc>
          <w:tcPr>
            <w:tcW w:w="2465" w:type="dxa"/>
            <w:tcBorders>
              <w:top w:val="single" w:sz="6" w:space="0" w:color="000000"/>
              <w:left w:val="single" w:sz="6" w:space="0" w:color="000000"/>
              <w:bottom w:val="single" w:sz="6" w:space="0" w:color="000000"/>
              <w:right w:val="single" w:sz="6" w:space="0" w:color="000000"/>
            </w:tcBorders>
          </w:tcPr>
          <w:p w14:paraId="2F7C9F7E" w14:textId="77777777" w:rsidR="00EC50EB" w:rsidRPr="009D7C92" w:rsidRDefault="00EC50EB">
            <w:pPr>
              <w:jc w:val="left"/>
              <w:rPr>
                <w:color w:val="auto"/>
              </w:rPr>
            </w:pPr>
          </w:p>
        </w:tc>
      </w:tr>
      <w:tr w:rsidR="00EC50EB" w:rsidRPr="009D7C92" w14:paraId="02B3618C" w14:textId="77777777" w:rsidTr="00685680">
        <w:trPr>
          <w:gridAfter w:val="1"/>
          <w:wAfter w:w="8" w:type="dxa"/>
          <w:trHeight w:val="270"/>
        </w:trPr>
        <w:tc>
          <w:tcPr>
            <w:tcW w:w="2167" w:type="dxa"/>
            <w:tcBorders>
              <w:top w:val="single" w:sz="6" w:space="0" w:color="000000"/>
              <w:left w:val="single" w:sz="6" w:space="0" w:color="000000"/>
              <w:bottom w:val="single" w:sz="6" w:space="0" w:color="000000"/>
              <w:right w:val="single" w:sz="6" w:space="0" w:color="000000"/>
            </w:tcBorders>
          </w:tcPr>
          <w:p w14:paraId="147897EE" w14:textId="77777777" w:rsidR="00EC50EB" w:rsidRPr="009D7C92" w:rsidRDefault="00EC50EB" w:rsidP="00EE703D">
            <w:pPr>
              <w:jc w:val="left"/>
              <w:rPr>
                <w:color w:val="auto"/>
              </w:rPr>
            </w:pPr>
            <w:r w:rsidRPr="009D7C92">
              <w:rPr>
                <w:color w:val="auto"/>
              </w:rPr>
              <w:t xml:space="preserve">Zriedkavé </w:t>
            </w:r>
          </w:p>
        </w:tc>
        <w:tc>
          <w:tcPr>
            <w:tcW w:w="2514" w:type="dxa"/>
            <w:tcBorders>
              <w:top w:val="single" w:sz="6" w:space="0" w:color="000000"/>
              <w:left w:val="single" w:sz="6" w:space="0" w:color="000000"/>
              <w:bottom w:val="single" w:sz="6" w:space="0" w:color="000000"/>
              <w:right w:val="single" w:sz="6" w:space="0" w:color="000000"/>
            </w:tcBorders>
          </w:tcPr>
          <w:p w14:paraId="71693676" w14:textId="77777777" w:rsidR="00EC50EB" w:rsidRPr="009D7C92" w:rsidRDefault="00502B7C" w:rsidP="00211D25">
            <w:pPr>
              <w:jc w:val="left"/>
              <w:rPr>
                <w:color w:val="auto"/>
              </w:rPr>
            </w:pPr>
            <w:r w:rsidRPr="009D7C92">
              <w:rPr>
                <w:color w:val="auto"/>
              </w:rPr>
              <w:t>s</w:t>
            </w:r>
            <w:r w:rsidR="00EC50EB" w:rsidRPr="009D7C92">
              <w:rPr>
                <w:color w:val="auto"/>
              </w:rPr>
              <w:t xml:space="preserve">tav zmätenosti </w:t>
            </w:r>
          </w:p>
        </w:tc>
        <w:tc>
          <w:tcPr>
            <w:tcW w:w="2017" w:type="dxa"/>
            <w:gridSpan w:val="2"/>
            <w:tcBorders>
              <w:top w:val="single" w:sz="6" w:space="0" w:color="000000"/>
              <w:left w:val="single" w:sz="6" w:space="0" w:color="000000"/>
              <w:bottom w:val="single" w:sz="6" w:space="0" w:color="000000"/>
              <w:right w:val="single" w:sz="6" w:space="0" w:color="000000"/>
            </w:tcBorders>
          </w:tcPr>
          <w:p w14:paraId="6C5B4520" w14:textId="3646E71B" w:rsidR="00EC50EB" w:rsidRPr="009D7C92" w:rsidRDefault="00502B7C" w:rsidP="00F87817">
            <w:pPr>
              <w:jc w:val="left"/>
              <w:rPr>
                <w:color w:val="auto"/>
              </w:rPr>
            </w:pPr>
            <w:r w:rsidRPr="009D7C92">
              <w:rPr>
                <w:color w:val="auto"/>
              </w:rPr>
              <w:t>z</w:t>
            </w:r>
            <w:r w:rsidR="00EC50EB" w:rsidRPr="009D7C92">
              <w:rPr>
                <w:color w:val="auto"/>
              </w:rPr>
              <w:t>mät</w:t>
            </w:r>
            <w:r w:rsidR="00A957C6" w:rsidRPr="009D7C92">
              <w:rPr>
                <w:color w:val="auto"/>
              </w:rPr>
              <w:t>enie</w:t>
            </w:r>
          </w:p>
        </w:tc>
        <w:tc>
          <w:tcPr>
            <w:tcW w:w="2465" w:type="dxa"/>
            <w:tcBorders>
              <w:top w:val="single" w:sz="6" w:space="0" w:color="000000"/>
              <w:left w:val="single" w:sz="6" w:space="0" w:color="000000"/>
              <w:bottom w:val="single" w:sz="6" w:space="0" w:color="000000"/>
              <w:right w:val="single" w:sz="6" w:space="0" w:color="000000"/>
            </w:tcBorders>
          </w:tcPr>
          <w:p w14:paraId="0477CB00" w14:textId="77777777" w:rsidR="00EC50EB" w:rsidRPr="009D7C92" w:rsidRDefault="00502B7C">
            <w:pPr>
              <w:jc w:val="left"/>
              <w:rPr>
                <w:color w:val="auto"/>
              </w:rPr>
            </w:pPr>
            <w:r w:rsidRPr="009D7C92">
              <w:rPr>
                <w:color w:val="auto"/>
              </w:rPr>
              <w:t>p</w:t>
            </w:r>
            <w:r w:rsidR="00EC50EB" w:rsidRPr="009D7C92">
              <w:rPr>
                <w:color w:val="auto"/>
              </w:rPr>
              <w:t>oruchy spánku, depresia</w:t>
            </w:r>
          </w:p>
        </w:tc>
      </w:tr>
      <w:tr w:rsidR="00EC50EB" w:rsidRPr="009D7C92" w14:paraId="42A47387" w14:textId="77777777" w:rsidTr="00243692">
        <w:trPr>
          <w:gridAfter w:val="1"/>
          <w:wAfter w:w="8" w:type="dxa"/>
          <w:trHeight w:val="266"/>
        </w:trPr>
        <w:tc>
          <w:tcPr>
            <w:tcW w:w="2167" w:type="dxa"/>
            <w:tcBorders>
              <w:top w:val="single" w:sz="6" w:space="0" w:color="000000"/>
              <w:left w:val="single" w:sz="6" w:space="0" w:color="000000"/>
              <w:bottom w:val="single" w:sz="6" w:space="0" w:color="000000"/>
              <w:right w:val="single" w:sz="6" w:space="0" w:color="000000"/>
            </w:tcBorders>
          </w:tcPr>
          <w:p w14:paraId="36B1E138" w14:textId="77777777" w:rsidR="00EC50EB" w:rsidRPr="009D7C92" w:rsidRDefault="00EC50EB" w:rsidP="00EE703D">
            <w:pPr>
              <w:jc w:val="left"/>
              <w:rPr>
                <w:color w:val="auto"/>
              </w:rPr>
            </w:pPr>
            <w:r w:rsidRPr="009D7C92">
              <w:rPr>
                <w:color w:val="auto"/>
              </w:rPr>
              <w:t xml:space="preserve">Neznáme </w:t>
            </w:r>
          </w:p>
        </w:tc>
        <w:tc>
          <w:tcPr>
            <w:tcW w:w="2514" w:type="dxa"/>
            <w:tcBorders>
              <w:top w:val="single" w:sz="6" w:space="0" w:color="000000"/>
              <w:left w:val="single" w:sz="6" w:space="0" w:color="000000"/>
              <w:bottom w:val="single" w:sz="6" w:space="0" w:color="000000"/>
              <w:right w:val="single" w:sz="6" w:space="0" w:color="000000"/>
            </w:tcBorders>
          </w:tcPr>
          <w:p w14:paraId="611A0560" w14:textId="591CBD64" w:rsidR="00EC50EB" w:rsidRPr="009D7C92" w:rsidRDefault="00502B7C" w:rsidP="00211D25">
            <w:pPr>
              <w:jc w:val="left"/>
              <w:rPr>
                <w:color w:val="auto"/>
              </w:rPr>
            </w:pPr>
            <w:r w:rsidRPr="009D7C92">
              <w:rPr>
                <w:color w:val="auto"/>
              </w:rPr>
              <w:t>p</w:t>
            </w:r>
            <w:r w:rsidR="00EC50EB" w:rsidRPr="009D7C92">
              <w:rPr>
                <w:color w:val="auto"/>
              </w:rPr>
              <w:t xml:space="preserve">orucha pozornosti </w:t>
            </w:r>
          </w:p>
        </w:tc>
        <w:tc>
          <w:tcPr>
            <w:tcW w:w="2017" w:type="dxa"/>
            <w:gridSpan w:val="2"/>
            <w:tcBorders>
              <w:top w:val="single" w:sz="6" w:space="0" w:color="000000"/>
              <w:left w:val="single" w:sz="6" w:space="0" w:color="000000"/>
              <w:bottom w:val="single" w:sz="6" w:space="0" w:color="000000"/>
              <w:right w:val="single" w:sz="6" w:space="0" w:color="000000"/>
            </w:tcBorders>
          </w:tcPr>
          <w:p w14:paraId="3E4D1129" w14:textId="77777777" w:rsidR="00EC50EB" w:rsidRPr="009D7C92" w:rsidRDefault="00EC50EB" w:rsidP="00F87817">
            <w:pPr>
              <w:jc w:val="left"/>
              <w:rPr>
                <w:color w:val="auto"/>
              </w:rPr>
            </w:pPr>
            <w:r w:rsidRPr="009D7C92">
              <w:rPr>
                <w:color w:val="auto"/>
              </w:rPr>
              <w:t xml:space="preserve"> </w:t>
            </w:r>
          </w:p>
        </w:tc>
        <w:tc>
          <w:tcPr>
            <w:tcW w:w="2465" w:type="dxa"/>
            <w:tcBorders>
              <w:top w:val="single" w:sz="6" w:space="0" w:color="000000"/>
              <w:left w:val="single" w:sz="6" w:space="0" w:color="000000"/>
              <w:bottom w:val="single" w:sz="6" w:space="0" w:color="000000"/>
              <w:right w:val="single" w:sz="6" w:space="0" w:color="000000"/>
            </w:tcBorders>
          </w:tcPr>
          <w:p w14:paraId="2D983134" w14:textId="77777777" w:rsidR="00EC50EB" w:rsidRPr="009D7C92" w:rsidRDefault="00EC50EB">
            <w:pPr>
              <w:jc w:val="left"/>
              <w:rPr>
                <w:color w:val="auto"/>
              </w:rPr>
            </w:pPr>
          </w:p>
        </w:tc>
      </w:tr>
      <w:tr w:rsidR="00EC50EB" w:rsidRPr="009D7C92" w14:paraId="6907D512" w14:textId="77777777" w:rsidTr="002B66E0">
        <w:trPr>
          <w:gridAfter w:val="1"/>
          <w:wAfter w:w="8" w:type="dxa"/>
          <w:trHeight w:val="299"/>
        </w:trPr>
        <w:tc>
          <w:tcPr>
            <w:tcW w:w="9163" w:type="dxa"/>
            <w:gridSpan w:val="5"/>
            <w:tcBorders>
              <w:top w:val="single" w:sz="6" w:space="0" w:color="000000"/>
              <w:left w:val="single" w:sz="6" w:space="0" w:color="000000"/>
              <w:bottom w:val="single" w:sz="6" w:space="0" w:color="000000"/>
              <w:right w:val="single" w:sz="6" w:space="0" w:color="000000"/>
            </w:tcBorders>
          </w:tcPr>
          <w:p w14:paraId="39F0E181" w14:textId="77777777" w:rsidR="00EC50EB" w:rsidRPr="009D7C92" w:rsidRDefault="00EC50EB" w:rsidP="00EE703D">
            <w:pPr>
              <w:jc w:val="left"/>
              <w:rPr>
                <w:b/>
                <w:i/>
                <w:color w:val="auto"/>
              </w:rPr>
            </w:pPr>
            <w:r w:rsidRPr="009D7C92">
              <w:rPr>
                <w:b/>
                <w:i/>
                <w:color w:val="auto"/>
              </w:rPr>
              <w:t>Poruchy nervového systému</w:t>
            </w:r>
          </w:p>
        </w:tc>
      </w:tr>
      <w:tr w:rsidR="00EC50EB" w:rsidRPr="009D7C92" w14:paraId="58C7B6A9" w14:textId="77777777" w:rsidTr="00685680">
        <w:tblPrEx>
          <w:tblCellMar>
            <w:left w:w="113" w:type="dxa"/>
            <w:right w:w="45" w:type="dxa"/>
          </w:tblCellMar>
        </w:tblPrEx>
        <w:trPr>
          <w:trHeight w:val="1051"/>
        </w:trPr>
        <w:tc>
          <w:tcPr>
            <w:tcW w:w="2167" w:type="dxa"/>
            <w:tcBorders>
              <w:top w:val="single" w:sz="6" w:space="0" w:color="000000"/>
              <w:left w:val="single" w:sz="6" w:space="0" w:color="000000"/>
              <w:bottom w:val="single" w:sz="6" w:space="0" w:color="000000"/>
              <w:right w:val="single" w:sz="6" w:space="0" w:color="000000"/>
            </w:tcBorders>
          </w:tcPr>
          <w:p w14:paraId="6C86111E" w14:textId="77777777" w:rsidR="00EC50EB" w:rsidRPr="009D7C92" w:rsidRDefault="00E42261" w:rsidP="00EE703D">
            <w:pPr>
              <w:jc w:val="left"/>
              <w:rPr>
                <w:color w:val="auto"/>
              </w:rPr>
            </w:pPr>
            <w:r w:rsidRPr="009D7C92">
              <w:rPr>
                <w:color w:val="auto"/>
              </w:rPr>
              <w:lastRenderedPageBreak/>
              <w:t>Časté</w:t>
            </w:r>
          </w:p>
        </w:tc>
        <w:tc>
          <w:tcPr>
            <w:tcW w:w="2522" w:type="dxa"/>
            <w:gridSpan w:val="2"/>
            <w:tcBorders>
              <w:top w:val="single" w:sz="6" w:space="0" w:color="000000"/>
              <w:left w:val="single" w:sz="6" w:space="0" w:color="000000"/>
              <w:bottom w:val="single" w:sz="6" w:space="0" w:color="000000"/>
              <w:right w:val="single" w:sz="6" w:space="0" w:color="000000"/>
            </w:tcBorders>
          </w:tcPr>
          <w:p w14:paraId="6E4B9638" w14:textId="77777777" w:rsidR="00EC50EB" w:rsidRPr="009D7C92" w:rsidRDefault="00BD20AC" w:rsidP="00211D25">
            <w:pPr>
              <w:jc w:val="left"/>
              <w:rPr>
                <w:color w:val="auto"/>
              </w:rPr>
            </w:pPr>
            <w:r w:rsidRPr="009D7C92">
              <w:rPr>
                <w:color w:val="auto"/>
              </w:rPr>
              <w:t>b</w:t>
            </w:r>
            <w:r w:rsidR="00EC50EB" w:rsidRPr="009D7C92">
              <w:rPr>
                <w:color w:val="auto"/>
              </w:rPr>
              <w:t>oles</w:t>
            </w:r>
            <w:r w:rsidRPr="009D7C92">
              <w:rPr>
                <w:color w:val="auto"/>
              </w:rPr>
              <w:t>ť</w:t>
            </w:r>
            <w:r w:rsidR="00EC50EB" w:rsidRPr="009D7C92">
              <w:rPr>
                <w:color w:val="auto"/>
              </w:rPr>
              <w:t xml:space="preserve"> hlavy, závraty </w:t>
            </w:r>
          </w:p>
        </w:tc>
        <w:tc>
          <w:tcPr>
            <w:tcW w:w="2009" w:type="dxa"/>
            <w:tcBorders>
              <w:top w:val="single" w:sz="6" w:space="0" w:color="000000"/>
              <w:left w:val="single" w:sz="6" w:space="0" w:color="000000"/>
              <w:bottom w:val="single" w:sz="6" w:space="0" w:color="000000"/>
              <w:right w:val="single" w:sz="6" w:space="0" w:color="000000"/>
            </w:tcBorders>
          </w:tcPr>
          <w:p w14:paraId="64CED8F4" w14:textId="77777777" w:rsidR="00EC50EB" w:rsidRPr="009D7C92" w:rsidRDefault="00BD20AC" w:rsidP="00F87817">
            <w:pPr>
              <w:jc w:val="left"/>
              <w:rPr>
                <w:color w:val="auto"/>
              </w:rPr>
            </w:pPr>
            <w:r w:rsidRPr="009D7C92">
              <w:rPr>
                <w:color w:val="auto"/>
              </w:rPr>
              <w:t>b</w:t>
            </w:r>
            <w:r w:rsidR="00EC50EB" w:rsidRPr="009D7C92">
              <w:rPr>
                <w:color w:val="auto"/>
              </w:rPr>
              <w:t xml:space="preserve">olesť hlavy, závraty, somnolencia (najmä na začiatku liečby) </w:t>
            </w:r>
          </w:p>
        </w:tc>
        <w:tc>
          <w:tcPr>
            <w:tcW w:w="2473" w:type="dxa"/>
            <w:gridSpan w:val="2"/>
            <w:tcBorders>
              <w:top w:val="single" w:sz="6" w:space="0" w:color="000000"/>
              <w:left w:val="single" w:sz="6" w:space="0" w:color="000000"/>
              <w:bottom w:val="single" w:sz="6" w:space="0" w:color="000000"/>
              <w:right w:val="single" w:sz="6" w:space="0" w:color="000000"/>
            </w:tcBorders>
          </w:tcPr>
          <w:p w14:paraId="6E65F728" w14:textId="77777777" w:rsidR="00EC50EB" w:rsidRPr="009D7C92" w:rsidRDefault="00EC50EB">
            <w:pPr>
              <w:jc w:val="left"/>
              <w:rPr>
                <w:color w:val="auto"/>
              </w:rPr>
            </w:pPr>
          </w:p>
        </w:tc>
      </w:tr>
      <w:tr w:rsidR="00EC50EB" w:rsidRPr="009D7C92" w14:paraId="6699B95D" w14:textId="77777777" w:rsidTr="00243692">
        <w:tblPrEx>
          <w:tblCellMar>
            <w:left w:w="113" w:type="dxa"/>
            <w:right w:w="45" w:type="dxa"/>
          </w:tblCellMar>
        </w:tblPrEx>
        <w:trPr>
          <w:trHeight w:val="793"/>
        </w:trPr>
        <w:tc>
          <w:tcPr>
            <w:tcW w:w="2167" w:type="dxa"/>
            <w:tcBorders>
              <w:top w:val="single" w:sz="6" w:space="0" w:color="000000"/>
              <w:left w:val="single" w:sz="6" w:space="0" w:color="000000"/>
              <w:bottom w:val="single" w:sz="6" w:space="0" w:color="000000"/>
              <w:right w:val="single" w:sz="6" w:space="0" w:color="000000"/>
            </w:tcBorders>
          </w:tcPr>
          <w:p w14:paraId="00B7586D" w14:textId="77777777" w:rsidR="00EC50EB" w:rsidRPr="009D7C92" w:rsidRDefault="00772DC1" w:rsidP="00EE703D">
            <w:pPr>
              <w:jc w:val="left"/>
              <w:rPr>
                <w:color w:val="auto"/>
              </w:rPr>
            </w:pPr>
            <w:r w:rsidRPr="009D7C92">
              <w:rPr>
                <w:color w:val="auto"/>
              </w:rPr>
              <w:t>Menej časté</w:t>
            </w:r>
          </w:p>
          <w:p w14:paraId="14C7F7B6" w14:textId="77777777" w:rsidR="00EC50EB" w:rsidRPr="009D7C92" w:rsidRDefault="00EC50EB" w:rsidP="00211D25">
            <w:pPr>
              <w:jc w:val="left"/>
              <w:rPr>
                <w:color w:val="auto"/>
              </w:rPr>
            </w:pPr>
            <w:r w:rsidRPr="009D7C92">
              <w:rPr>
                <w:color w:val="auto"/>
              </w:rPr>
              <w:t xml:space="preserve"> </w:t>
            </w:r>
          </w:p>
        </w:tc>
        <w:tc>
          <w:tcPr>
            <w:tcW w:w="2522" w:type="dxa"/>
            <w:gridSpan w:val="2"/>
            <w:tcBorders>
              <w:top w:val="single" w:sz="6" w:space="0" w:color="000000"/>
              <w:left w:val="single" w:sz="6" w:space="0" w:color="000000"/>
              <w:bottom w:val="single" w:sz="6" w:space="0" w:color="000000"/>
              <w:right w:val="single" w:sz="6" w:space="0" w:color="000000"/>
            </w:tcBorders>
          </w:tcPr>
          <w:p w14:paraId="5676B7BD" w14:textId="07F47ABC" w:rsidR="00EC50EB" w:rsidRPr="009D7C92" w:rsidRDefault="00772DC1" w:rsidP="00F87817">
            <w:pPr>
              <w:jc w:val="left"/>
              <w:rPr>
                <w:color w:val="auto"/>
              </w:rPr>
            </w:pPr>
            <w:r w:rsidRPr="009D7C92">
              <w:rPr>
                <w:color w:val="auto"/>
              </w:rPr>
              <w:t>v</w:t>
            </w:r>
            <w:r w:rsidR="00EC50EB" w:rsidRPr="009D7C92">
              <w:rPr>
                <w:color w:val="auto"/>
              </w:rPr>
              <w:t>ertigo, parestézi</w:t>
            </w:r>
            <w:r w:rsidR="00A957C6" w:rsidRPr="009D7C92">
              <w:rPr>
                <w:color w:val="auto"/>
              </w:rPr>
              <w:t>e</w:t>
            </w:r>
            <w:r w:rsidR="00EC50EB" w:rsidRPr="009D7C92">
              <w:rPr>
                <w:color w:val="auto"/>
              </w:rPr>
              <w:t>, age</w:t>
            </w:r>
            <w:r w:rsidR="00A957C6" w:rsidRPr="009D7C92">
              <w:rPr>
                <w:color w:val="auto"/>
              </w:rPr>
              <w:t>úz</w:t>
            </w:r>
            <w:r w:rsidR="00EC50EB" w:rsidRPr="009D7C92">
              <w:rPr>
                <w:color w:val="auto"/>
              </w:rPr>
              <w:t xml:space="preserve">ia, dysgeúzia </w:t>
            </w:r>
          </w:p>
        </w:tc>
        <w:tc>
          <w:tcPr>
            <w:tcW w:w="2009" w:type="dxa"/>
            <w:tcBorders>
              <w:top w:val="single" w:sz="6" w:space="0" w:color="000000"/>
              <w:left w:val="single" w:sz="6" w:space="0" w:color="000000"/>
              <w:bottom w:val="single" w:sz="6" w:space="0" w:color="000000"/>
              <w:right w:val="single" w:sz="6" w:space="0" w:color="000000"/>
            </w:tcBorders>
          </w:tcPr>
          <w:p w14:paraId="2373C2F6" w14:textId="679360C2" w:rsidR="00EC50EB" w:rsidRPr="009D7C92" w:rsidRDefault="00772DC1">
            <w:pPr>
              <w:jc w:val="left"/>
              <w:rPr>
                <w:color w:val="auto"/>
              </w:rPr>
            </w:pPr>
            <w:r w:rsidRPr="009D7C92">
              <w:rPr>
                <w:color w:val="auto"/>
              </w:rPr>
              <w:t>t</w:t>
            </w:r>
            <w:r w:rsidR="00EC50EB" w:rsidRPr="009D7C92">
              <w:rPr>
                <w:color w:val="auto"/>
              </w:rPr>
              <w:t>remor, dysge</w:t>
            </w:r>
            <w:r w:rsidR="00A957C6" w:rsidRPr="009D7C92">
              <w:rPr>
                <w:color w:val="auto"/>
              </w:rPr>
              <w:t>ú</w:t>
            </w:r>
            <w:r w:rsidR="00EC50EB" w:rsidRPr="009D7C92">
              <w:rPr>
                <w:color w:val="auto"/>
              </w:rPr>
              <w:t>zia synkopa, hypestézia, parestézi</w:t>
            </w:r>
            <w:r w:rsidR="00A957C6" w:rsidRPr="009D7C92">
              <w:rPr>
                <w:color w:val="auto"/>
              </w:rPr>
              <w:t>e</w:t>
            </w:r>
            <w:r w:rsidR="00EC50EB" w:rsidRPr="009D7C92">
              <w:rPr>
                <w:color w:val="auto"/>
              </w:rPr>
              <w:t xml:space="preserve"> </w:t>
            </w:r>
          </w:p>
        </w:tc>
        <w:tc>
          <w:tcPr>
            <w:tcW w:w="2473" w:type="dxa"/>
            <w:gridSpan w:val="2"/>
            <w:tcBorders>
              <w:top w:val="single" w:sz="6" w:space="0" w:color="000000"/>
              <w:left w:val="single" w:sz="6" w:space="0" w:color="000000"/>
              <w:bottom w:val="single" w:sz="6" w:space="0" w:color="000000"/>
              <w:right w:val="single" w:sz="6" w:space="0" w:color="000000"/>
            </w:tcBorders>
          </w:tcPr>
          <w:p w14:paraId="2B0B2BBD" w14:textId="77777777" w:rsidR="00EC50EB" w:rsidRPr="009D7C92" w:rsidRDefault="00EC50EB">
            <w:pPr>
              <w:jc w:val="left"/>
              <w:rPr>
                <w:color w:val="auto"/>
              </w:rPr>
            </w:pPr>
          </w:p>
        </w:tc>
      </w:tr>
      <w:tr w:rsidR="00EC50EB" w:rsidRPr="009D7C92" w14:paraId="2B841B26" w14:textId="77777777" w:rsidTr="00685680">
        <w:tblPrEx>
          <w:tblCellMar>
            <w:left w:w="113" w:type="dxa"/>
            <w:right w:w="45" w:type="dxa"/>
          </w:tblCellMar>
        </w:tblPrEx>
        <w:trPr>
          <w:trHeight w:val="526"/>
        </w:trPr>
        <w:tc>
          <w:tcPr>
            <w:tcW w:w="2167" w:type="dxa"/>
            <w:tcBorders>
              <w:top w:val="single" w:sz="6" w:space="0" w:color="000000"/>
              <w:left w:val="single" w:sz="6" w:space="0" w:color="000000"/>
              <w:bottom w:val="single" w:sz="6" w:space="0" w:color="000000"/>
              <w:right w:val="single" w:sz="6" w:space="0" w:color="000000"/>
            </w:tcBorders>
          </w:tcPr>
          <w:p w14:paraId="32691E78" w14:textId="77777777" w:rsidR="00EC50EB" w:rsidRPr="009D7C92" w:rsidRDefault="00EC50EB" w:rsidP="00EE703D">
            <w:pPr>
              <w:jc w:val="left"/>
              <w:rPr>
                <w:color w:val="auto"/>
              </w:rPr>
            </w:pPr>
            <w:r w:rsidRPr="009D7C92">
              <w:rPr>
                <w:color w:val="auto"/>
              </w:rPr>
              <w:t xml:space="preserve">Zriedkavé </w:t>
            </w:r>
          </w:p>
        </w:tc>
        <w:tc>
          <w:tcPr>
            <w:tcW w:w="2522" w:type="dxa"/>
            <w:gridSpan w:val="2"/>
            <w:tcBorders>
              <w:top w:val="single" w:sz="6" w:space="0" w:color="000000"/>
              <w:left w:val="single" w:sz="6" w:space="0" w:color="000000"/>
              <w:bottom w:val="single" w:sz="6" w:space="0" w:color="000000"/>
              <w:right w:val="single" w:sz="6" w:space="0" w:color="000000"/>
            </w:tcBorders>
          </w:tcPr>
          <w:p w14:paraId="05C2BAD6" w14:textId="77777777" w:rsidR="00EC50EB" w:rsidRPr="009D7C92" w:rsidRDefault="00772DC1" w:rsidP="00211D25">
            <w:pPr>
              <w:jc w:val="left"/>
              <w:rPr>
                <w:color w:val="auto"/>
              </w:rPr>
            </w:pPr>
            <w:r w:rsidRPr="009D7C92">
              <w:rPr>
                <w:color w:val="auto"/>
              </w:rPr>
              <w:t>t</w:t>
            </w:r>
            <w:r w:rsidR="00EC50EB" w:rsidRPr="009D7C92">
              <w:rPr>
                <w:color w:val="auto"/>
              </w:rPr>
              <w:t xml:space="preserve">remor, porucha rovnováhy </w:t>
            </w:r>
          </w:p>
        </w:tc>
        <w:tc>
          <w:tcPr>
            <w:tcW w:w="2009" w:type="dxa"/>
            <w:tcBorders>
              <w:top w:val="single" w:sz="6" w:space="0" w:color="000000"/>
              <w:left w:val="single" w:sz="6" w:space="0" w:color="000000"/>
              <w:bottom w:val="single" w:sz="6" w:space="0" w:color="000000"/>
              <w:right w:val="single" w:sz="6" w:space="0" w:color="000000"/>
            </w:tcBorders>
          </w:tcPr>
          <w:p w14:paraId="1A866409" w14:textId="77777777" w:rsidR="00EC50EB" w:rsidRPr="009D7C92" w:rsidRDefault="00EC50EB" w:rsidP="00F87817">
            <w:pPr>
              <w:jc w:val="left"/>
              <w:rPr>
                <w:color w:val="auto"/>
              </w:rPr>
            </w:pPr>
            <w:r w:rsidRPr="009D7C92">
              <w:rPr>
                <w:color w:val="auto"/>
              </w:rPr>
              <w:t xml:space="preserve"> </w:t>
            </w:r>
          </w:p>
        </w:tc>
        <w:tc>
          <w:tcPr>
            <w:tcW w:w="2473" w:type="dxa"/>
            <w:gridSpan w:val="2"/>
            <w:tcBorders>
              <w:top w:val="single" w:sz="6" w:space="0" w:color="000000"/>
              <w:left w:val="single" w:sz="6" w:space="0" w:color="000000"/>
              <w:bottom w:val="single" w:sz="6" w:space="0" w:color="000000"/>
              <w:right w:val="single" w:sz="6" w:space="0" w:color="000000"/>
            </w:tcBorders>
          </w:tcPr>
          <w:p w14:paraId="30B85AE7" w14:textId="1BF3EBCA" w:rsidR="00EC50EB" w:rsidRPr="009D7C92" w:rsidRDefault="00772DC1">
            <w:pPr>
              <w:jc w:val="left"/>
              <w:rPr>
                <w:color w:val="auto"/>
              </w:rPr>
            </w:pPr>
            <w:r w:rsidRPr="009D7C92">
              <w:rPr>
                <w:color w:val="auto"/>
              </w:rPr>
              <w:t>b</w:t>
            </w:r>
            <w:r w:rsidR="00EC50EB" w:rsidRPr="009D7C92">
              <w:rPr>
                <w:color w:val="auto"/>
              </w:rPr>
              <w:t>olesti hlavy, závraty, parestézi</w:t>
            </w:r>
            <w:r w:rsidR="00A957C6" w:rsidRPr="009D7C92">
              <w:rPr>
                <w:color w:val="auto"/>
              </w:rPr>
              <w:t>e</w:t>
            </w:r>
          </w:p>
        </w:tc>
      </w:tr>
      <w:tr w:rsidR="00EC50EB" w:rsidRPr="009D7C92" w14:paraId="33581EDA" w14:textId="77777777" w:rsidTr="00685680">
        <w:tblPrEx>
          <w:tblCellMar>
            <w:left w:w="113" w:type="dxa"/>
            <w:right w:w="45" w:type="dxa"/>
          </w:tblCellMar>
        </w:tblPrEx>
        <w:trPr>
          <w:trHeight w:val="540"/>
        </w:trPr>
        <w:tc>
          <w:tcPr>
            <w:tcW w:w="2167" w:type="dxa"/>
            <w:tcBorders>
              <w:top w:val="single" w:sz="6" w:space="0" w:color="000000"/>
              <w:left w:val="single" w:sz="6" w:space="0" w:color="000000"/>
              <w:bottom w:val="single" w:sz="6" w:space="0" w:color="000000"/>
              <w:right w:val="single" w:sz="6" w:space="0" w:color="000000"/>
            </w:tcBorders>
          </w:tcPr>
          <w:p w14:paraId="0612425F" w14:textId="77777777" w:rsidR="00EC50EB" w:rsidRPr="009D7C92" w:rsidRDefault="00EC50EB" w:rsidP="00EE703D">
            <w:pPr>
              <w:jc w:val="left"/>
              <w:rPr>
                <w:color w:val="auto"/>
              </w:rPr>
            </w:pPr>
            <w:r w:rsidRPr="009D7C92">
              <w:rPr>
                <w:color w:val="auto"/>
              </w:rPr>
              <w:t xml:space="preserve">Veľmi zriedkavé </w:t>
            </w:r>
          </w:p>
        </w:tc>
        <w:tc>
          <w:tcPr>
            <w:tcW w:w="2522" w:type="dxa"/>
            <w:gridSpan w:val="2"/>
            <w:tcBorders>
              <w:top w:val="single" w:sz="6" w:space="0" w:color="000000"/>
              <w:left w:val="single" w:sz="6" w:space="0" w:color="000000"/>
              <w:bottom w:val="single" w:sz="6" w:space="0" w:color="000000"/>
              <w:right w:val="single" w:sz="6" w:space="0" w:color="000000"/>
            </w:tcBorders>
          </w:tcPr>
          <w:p w14:paraId="0588E785" w14:textId="77777777" w:rsidR="00EC50EB" w:rsidRPr="009D7C92" w:rsidRDefault="00EC50EB" w:rsidP="00211D25">
            <w:pPr>
              <w:jc w:val="left"/>
              <w:rPr>
                <w:color w:val="auto"/>
              </w:rPr>
            </w:pPr>
            <w:r w:rsidRPr="009D7C92">
              <w:rPr>
                <w:color w:val="auto"/>
              </w:rPr>
              <w:t xml:space="preserve"> </w:t>
            </w:r>
          </w:p>
        </w:tc>
        <w:tc>
          <w:tcPr>
            <w:tcW w:w="2009" w:type="dxa"/>
            <w:tcBorders>
              <w:top w:val="single" w:sz="6" w:space="0" w:color="000000"/>
              <w:left w:val="single" w:sz="6" w:space="0" w:color="000000"/>
              <w:bottom w:val="single" w:sz="6" w:space="0" w:color="000000"/>
              <w:right w:val="single" w:sz="6" w:space="0" w:color="000000"/>
            </w:tcBorders>
          </w:tcPr>
          <w:p w14:paraId="702684D9" w14:textId="77A95AC7" w:rsidR="00EC50EB" w:rsidRPr="009D7C92" w:rsidRDefault="00772DC1" w:rsidP="00F87817">
            <w:pPr>
              <w:jc w:val="left"/>
              <w:rPr>
                <w:color w:val="auto"/>
              </w:rPr>
            </w:pPr>
            <w:r w:rsidRPr="009D7C92">
              <w:rPr>
                <w:color w:val="auto"/>
              </w:rPr>
              <w:t>h</w:t>
            </w:r>
            <w:r w:rsidR="00EC50EB" w:rsidRPr="009D7C92">
              <w:rPr>
                <w:color w:val="auto"/>
              </w:rPr>
              <w:t>ypert</w:t>
            </w:r>
            <w:r w:rsidR="00A957C6" w:rsidRPr="009D7C92">
              <w:rPr>
                <w:color w:val="auto"/>
              </w:rPr>
              <w:t>ó</w:t>
            </w:r>
            <w:r w:rsidR="00EC50EB" w:rsidRPr="009D7C92">
              <w:rPr>
                <w:color w:val="auto"/>
              </w:rPr>
              <w:t xml:space="preserve">nia, periférna neuropatia </w:t>
            </w:r>
          </w:p>
        </w:tc>
        <w:tc>
          <w:tcPr>
            <w:tcW w:w="2473" w:type="dxa"/>
            <w:gridSpan w:val="2"/>
            <w:tcBorders>
              <w:top w:val="single" w:sz="6" w:space="0" w:color="000000"/>
              <w:left w:val="single" w:sz="6" w:space="0" w:color="000000"/>
              <w:bottom w:val="single" w:sz="6" w:space="0" w:color="000000"/>
              <w:right w:val="single" w:sz="6" w:space="0" w:color="000000"/>
            </w:tcBorders>
          </w:tcPr>
          <w:p w14:paraId="10C36721" w14:textId="77777777" w:rsidR="00EC50EB" w:rsidRPr="009D7C92" w:rsidRDefault="00EC50EB">
            <w:pPr>
              <w:jc w:val="left"/>
              <w:rPr>
                <w:color w:val="auto"/>
              </w:rPr>
            </w:pPr>
          </w:p>
        </w:tc>
      </w:tr>
      <w:tr w:rsidR="00EC50EB" w:rsidRPr="009D7C92" w14:paraId="468EC536" w14:textId="77777777" w:rsidTr="00685680">
        <w:tblPrEx>
          <w:tblCellMar>
            <w:left w:w="113" w:type="dxa"/>
            <w:right w:w="45" w:type="dxa"/>
          </w:tblCellMar>
        </w:tblPrEx>
        <w:trPr>
          <w:trHeight w:val="1832"/>
        </w:trPr>
        <w:tc>
          <w:tcPr>
            <w:tcW w:w="2167" w:type="dxa"/>
            <w:tcBorders>
              <w:top w:val="single" w:sz="6" w:space="0" w:color="000000"/>
              <w:left w:val="single" w:sz="6" w:space="0" w:color="000000"/>
              <w:bottom w:val="single" w:sz="6" w:space="0" w:color="000000"/>
              <w:right w:val="single" w:sz="6" w:space="0" w:color="000000"/>
            </w:tcBorders>
          </w:tcPr>
          <w:p w14:paraId="56A45E12" w14:textId="77777777" w:rsidR="00EC50EB" w:rsidRPr="009D7C92" w:rsidRDefault="00EC50EB" w:rsidP="00EE703D">
            <w:pPr>
              <w:jc w:val="left"/>
              <w:rPr>
                <w:color w:val="auto"/>
              </w:rPr>
            </w:pPr>
            <w:r w:rsidRPr="009D7C92">
              <w:rPr>
                <w:color w:val="auto"/>
              </w:rPr>
              <w:t xml:space="preserve">Neznáme </w:t>
            </w:r>
          </w:p>
        </w:tc>
        <w:tc>
          <w:tcPr>
            <w:tcW w:w="2522" w:type="dxa"/>
            <w:gridSpan w:val="2"/>
            <w:tcBorders>
              <w:top w:val="single" w:sz="6" w:space="0" w:color="000000"/>
              <w:left w:val="single" w:sz="6" w:space="0" w:color="000000"/>
              <w:bottom w:val="single" w:sz="6" w:space="0" w:color="000000"/>
              <w:right w:val="single" w:sz="6" w:space="0" w:color="000000"/>
            </w:tcBorders>
          </w:tcPr>
          <w:p w14:paraId="7AB9C050" w14:textId="77777777" w:rsidR="00EC50EB" w:rsidRPr="009D7C92" w:rsidRDefault="00772DC1" w:rsidP="00211D25">
            <w:pPr>
              <w:jc w:val="left"/>
              <w:rPr>
                <w:color w:val="auto"/>
              </w:rPr>
            </w:pPr>
            <w:r w:rsidRPr="009D7C92">
              <w:rPr>
                <w:color w:val="auto"/>
              </w:rPr>
              <w:t>m</w:t>
            </w:r>
            <w:r w:rsidR="00EC50EB" w:rsidRPr="009D7C92">
              <w:rPr>
                <w:color w:val="auto"/>
              </w:rPr>
              <w:t xml:space="preserve">ozgová ischémia vrátane ischemickej cievnej mozgovej príhody a prechodného ischemického záchvatu, poruchy psychomotorických schopností, pocit pálenia, parosmia </w:t>
            </w:r>
          </w:p>
        </w:tc>
        <w:tc>
          <w:tcPr>
            <w:tcW w:w="2009" w:type="dxa"/>
            <w:tcBorders>
              <w:top w:val="single" w:sz="6" w:space="0" w:color="000000"/>
              <w:left w:val="single" w:sz="6" w:space="0" w:color="000000"/>
              <w:bottom w:val="single" w:sz="6" w:space="0" w:color="000000"/>
              <w:right w:val="single" w:sz="6" w:space="0" w:color="000000"/>
            </w:tcBorders>
          </w:tcPr>
          <w:p w14:paraId="4313ACDB" w14:textId="7586166B" w:rsidR="00EC50EB" w:rsidRPr="009D7C92" w:rsidRDefault="00772DC1" w:rsidP="00F87817">
            <w:pPr>
              <w:jc w:val="left"/>
              <w:rPr>
                <w:color w:val="auto"/>
              </w:rPr>
            </w:pPr>
            <w:r w:rsidRPr="009D7C92">
              <w:rPr>
                <w:color w:val="auto"/>
              </w:rPr>
              <w:t>e</w:t>
            </w:r>
            <w:r w:rsidR="00EC50EB" w:rsidRPr="009D7C92">
              <w:rPr>
                <w:color w:val="auto"/>
              </w:rPr>
              <w:t>xtrapyram</w:t>
            </w:r>
            <w:r w:rsidR="00A957C6" w:rsidRPr="009D7C92">
              <w:rPr>
                <w:color w:val="auto"/>
              </w:rPr>
              <w:t>í</w:t>
            </w:r>
            <w:r w:rsidR="00EC50EB" w:rsidRPr="009D7C92">
              <w:rPr>
                <w:color w:val="auto"/>
              </w:rPr>
              <w:t>dov</w:t>
            </w:r>
            <w:r w:rsidR="00A957C6" w:rsidRPr="009D7C92">
              <w:rPr>
                <w:color w:val="auto"/>
              </w:rPr>
              <w:t>a</w:t>
            </w:r>
            <w:r w:rsidR="00EC50EB" w:rsidRPr="009D7C92">
              <w:rPr>
                <w:color w:val="auto"/>
              </w:rPr>
              <w:t xml:space="preserve"> porucha</w:t>
            </w:r>
          </w:p>
        </w:tc>
        <w:tc>
          <w:tcPr>
            <w:tcW w:w="2473" w:type="dxa"/>
            <w:gridSpan w:val="2"/>
            <w:tcBorders>
              <w:top w:val="single" w:sz="6" w:space="0" w:color="000000"/>
              <w:left w:val="single" w:sz="6" w:space="0" w:color="000000"/>
              <w:bottom w:val="single" w:sz="6" w:space="0" w:color="000000"/>
              <w:right w:val="single" w:sz="6" w:space="0" w:color="000000"/>
            </w:tcBorders>
          </w:tcPr>
          <w:p w14:paraId="64DB27B2" w14:textId="77777777" w:rsidR="00EC50EB" w:rsidRPr="009D7C92" w:rsidRDefault="00EC50EB">
            <w:pPr>
              <w:jc w:val="left"/>
              <w:rPr>
                <w:color w:val="auto"/>
              </w:rPr>
            </w:pPr>
          </w:p>
        </w:tc>
      </w:tr>
      <w:tr w:rsidR="00EC50EB" w:rsidRPr="009D7C92" w14:paraId="537FF167" w14:textId="77777777" w:rsidTr="002B66E0">
        <w:tblPrEx>
          <w:tblCellMar>
            <w:left w:w="113" w:type="dxa"/>
            <w:right w:w="45" w:type="dxa"/>
          </w:tblCellMar>
        </w:tblPrEx>
        <w:trPr>
          <w:trHeight w:val="260"/>
        </w:trPr>
        <w:tc>
          <w:tcPr>
            <w:tcW w:w="9171" w:type="dxa"/>
            <w:gridSpan w:val="6"/>
            <w:tcBorders>
              <w:top w:val="single" w:sz="6" w:space="0" w:color="000000"/>
              <w:left w:val="single" w:sz="6" w:space="0" w:color="000000"/>
              <w:bottom w:val="single" w:sz="6" w:space="0" w:color="000000"/>
              <w:right w:val="single" w:sz="6" w:space="0" w:color="000000"/>
            </w:tcBorders>
          </w:tcPr>
          <w:p w14:paraId="6E307185" w14:textId="77777777" w:rsidR="00EC50EB" w:rsidRPr="009D7C92" w:rsidRDefault="00EC50EB" w:rsidP="00EE703D">
            <w:pPr>
              <w:jc w:val="left"/>
              <w:rPr>
                <w:b/>
                <w:i/>
                <w:color w:val="auto"/>
              </w:rPr>
            </w:pPr>
            <w:r w:rsidRPr="009D7C92">
              <w:rPr>
                <w:b/>
                <w:i/>
                <w:color w:val="auto"/>
              </w:rPr>
              <w:t>Poruchy oka</w:t>
            </w:r>
          </w:p>
        </w:tc>
      </w:tr>
      <w:tr w:rsidR="00EC50EB" w:rsidRPr="009D7C92" w14:paraId="04B55DD5" w14:textId="77777777" w:rsidTr="00243692">
        <w:tblPrEx>
          <w:tblCellMar>
            <w:left w:w="113" w:type="dxa"/>
            <w:right w:w="45" w:type="dxa"/>
          </w:tblCellMar>
        </w:tblPrEx>
        <w:trPr>
          <w:trHeight w:val="605"/>
        </w:trPr>
        <w:tc>
          <w:tcPr>
            <w:tcW w:w="2167" w:type="dxa"/>
            <w:tcBorders>
              <w:top w:val="single" w:sz="6" w:space="0" w:color="000000"/>
              <w:left w:val="single" w:sz="6" w:space="0" w:color="000000"/>
              <w:bottom w:val="single" w:sz="6" w:space="0" w:color="000000"/>
              <w:right w:val="single" w:sz="6" w:space="0" w:color="000000"/>
            </w:tcBorders>
          </w:tcPr>
          <w:p w14:paraId="6E5CE072" w14:textId="77777777" w:rsidR="00EC50EB" w:rsidRPr="009D7C92" w:rsidRDefault="00E42261" w:rsidP="00EE703D">
            <w:pPr>
              <w:jc w:val="left"/>
              <w:rPr>
                <w:color w:val="auto"/>
              </w:rPr>
            </w:pPr>
            <w:r w:rsidRPr="009D7C92">
              <w:rPr>
                <w:color w:val="auto"/>
              </w:rPr>
              <w:t>Časté</w:t>
            </w:r>
          </w:p>
        </w:tc>
        <w:tc>
          <w:tcPr>
            <w:tcW w:w="2522" w:type="dxa"/>
            <w:gridSpan w:val="2"/>
            <w:tcBorders>
              <w:top w:val="single" w:sz="6" w:space="0" w:color="000000"/>
              <w:left w:val="single" w:sz="6" w:space="0" w:color="000000"/>
              <w:bottom w:val="single" w:sz="6" w:space="0" w:color="000000"/>
              <w:right w:val="single" w:sz="6" w:space="0" w:color="000000"/>
            </w:tcBorders>
          </w:tcPr>
          <w:p w14:paraId="7C1B620F" w14:textId="77777777" w:rsidR="00EC50EB" w:rsidRPr="009D7C92" w:rsidRDefault="00EC50EB" w:rsidP="00211D25">
            <w:pPr>
              <w:jc w:val="left"/>
              <w:rPr>
                <w:color w:val="auto"/>
              </w:rPr>
            </w:pPr>
          </w:p>
        </w:tc>
        <w:tc>
          <w:tcPr>
            <w:tcW w:w="2009" w:type="dxa"/>
            <w:tcBorders>
              <w:top w:val="single" w:sz="6" w:space="0" w:color="000000"/>
              <w:left w:val="single" w:sz="6" w:space="0" w:color="000000"/>
              <w:bottom w:val="single" w:sz="6" w:space="0" w:color="000000"/>
              <w:right w:val="single" w:sz="6" w:space="0" w:color="000000"/>
            </w:tcBorders>
          </w:tcPr>
          <w:p w14:paraId="418DC1F9" w14:textId="77777777" w:rsidR="00EC50EB" w:rsidRPr="009D7C92" w:rsidRDefault="00EC50EB" w:rsidP="00F87817">
            <w:pPr>
              <w:jc w:val="left"/>
              <w:rPr>
                <w:color w:val="auto"/>
              </w:rPr>
            </w:pPr>
            <w:r w:rsidRPr="009D7C92">
              <w:rPr>
                <w:color w:val="auto"/>
              </w:rPr>
              <w:t>poruch</w:t>
            </w:r>
            <w:r w:rsidR="00B30363" w:rsidRPr="009D7C92">
              <w:rPr>
                <w:color w:val="auto"/>
              </w:rPr>
              <w:t>a zraku</w:t>
            </w:r>
          </w:p>
          <w:p w14:paraId="76575647" w14:textId="77777777" w:rsidR="00EC50EB" w:rsidRPr="009D7C92" w:rsidRDefault="00EC50EB">
            <w:pPr>
              <w:jc w:val="left"/>
              <w:rPr>
                <w:color w:val="auto"/>
              </w:rPr>
            </w:pPr>
            <w:r w:rsidRPr="009D7C92">
              <w:rPr>
                <w:color w:val="auto"/>
              </w:rPr>
              <w:t>(vrátane diplopie)</w:t>
            </w:r>
          </w:p>
        </w:tc>
        <w:tc>
          <w:tcPr>
            <w:tcW w:w="2473" w:type="dxa"/>
            <w:gridSpan w:val="2"/>
            <w:tcBorders>
              <w:top w:val="single" w:sz="6" w:space="0" w:color="000000"/>
              <w:left w:val="single" w:sz="6" w:space="0" w:color="000000"/>
              <w:bottom w:val="single" w:sz="6" w:space="0" w:color="000000"/>
              <w:right w:val="single" w:sz="6" w:space="0" w:color="000000"/>
            </w:tcBorders>
          </w:tcPr>
          <w:p w14:paraId="0F95E66B" w14:textId="77777777" w:rsidR="00EC50EB" w:rsidRPr="009D7C92" w:rsidRDefault="00EC50EB">
            <w:pPr>
              <w:jc w:val="left"/>
              <w:rPr>
                <w:color w:val="auto"/>
              </w:rPr>
            </w:pPr>
          </w:p>
        </w:tc>
      </w:tr>
      <w:tr w:rsidR="00EC50EB" w:rsidRPr="009D7C92" w14:paraId="7B3FC33E" w14:textId="77777777" w:rsidTr="00685680">
        <w:tblPrEx>
          <w:tblCellMar>
            <w:left w:w="113" w:type="dxa"/>
            <w:right w:w="45" w:type="dxa"/>
          </w:tblCellMar>
        </w:tblPrEx>
        <w:trPr>
          <w:trHeight w:val="781"/>
        </w:trPr>
        <w:tc>
          <w:tcPr>
            <w:tcW w:w="2167" w:type="dxa"/>
            <w:tcBorders>
              <w:top w:val="single" w:sz="6" w:space="0" w:color="000000"/>
              <w:left w:val="single" w:sz="6" w:space="0" w:color="000000"/>
              <w:bottom w:val="single" w:sz="6" w:space="0" w:color="000000"/>
              <w:right w:val="single" w:sz="6" w:space="0" w:color="000000"/>
            </w:tcBorders>
          </w:tcPr>
          <w:p w14:paraId="3CDD6861" w14:textId="77777777" w:rsidR="00EC50EB" w:rsidRPr="009D7C92" w:rsidRDefault="00772DC1" w:rsidP="00EE703D">
            <w:pPr>
              <w:jc w:val="left"/>
              <w:rPr>
                <w:color w:val="auto"/>
              </w:rPr>
            </w:pPr>
            <w:r w:rsidRPr="009D7C92">
              <w:rPr>
                <w:color w:val="auto"/>
              </w:rPr>
              <w:t>Menej časté</w:t>
            </w:r>
          </w:p>
        </w:tc>
        <w:tc>
          <w:tcPr>
            <w:tcW w:w="2522" w:type="dxa"/>
            <w:gridSpan w:val="2"/>
            <w:tcBorders>
              <w:top w:val="single" w:sz="6" w:space="0" w:color="000000"/>
              <w:left w:val="single" w:sz="6" w:space="0" w:color="000000"/>
              <w:bottom w:val="single" w:sz="6" w:space="0" w:color="000000"/>
              <w:right w:val="single" w:sz="6" w:space="0" w:color="000000"/>
            </w:tcBorders>
          </w:tcPr>
          <w:p w14:paraId="14FA2D54" w14:textId="77777777" w:rsidR="00EC50EB" w:rsidRPr="009D7C92" w:rsidRDefault="00772DC1" w:rsidP="00211D25">
            <w:pPr>
              <w:jc w:val="left"/>
              <w:rPr>
                <w:color w:val="auto"/>
              </w:rPr>
            </w:pPr>
            <w:r w:rsidRPr="009D7C92">
              <w:rPr>
                <w:color w:val="auto"/>
              </w:rPr>
              <w:t>p</w:t>
            </w:r>
            <w:r w:rsidR="00EC50EB" w:rsidRPr="009D7C92">
              <w:rPr>
                <w:color w:val="auto"/>
              </w:rPr>
              <w:t>oruch</w:t>
            </w:r>
            <w:r w:rsidR="00B30363" w:rsidRPr="009D7C92">
              <w:rPr>
                <w:color w:val="auto"/>
              </w:rPr>
              <w:t>a</w:t>
            </w:r>
            <w:r w:rsidR="00EC50EB" w:rsidRPr="009D7C92">
              <w:rPr>
                <w:color w:val="auto"/>
              </w:rPr>
              <w:t xml:space="preserve"> zraku vrátane rozmazaného videnia </w:t>
            </w:r>
          </w:p>
        </w:tc>
        <w:tc>
          <w:tcPr>
            <w:tcW w:w="2009" w:type="dxa"/>
            <w:tcBorders>
              <w:top w:val="single" w:sz="6" w:space="0" w:color="000000"/>
              <w:left w:val="single" w:sz="6" w:space="0" w:color="000000"/>
              <w:bottom w:val="single" w:sz="6" w:space="0" w:color="000000"/>
              <w:right w:val="single" w:sz="6" w:space="0" w:color="000000"/>
            </w:tcBorders>
          </w:tcPr>
          <w:p w14:paraId="5CA9AC0E" w14:textId="77777777" w:rsidR="00EC50EB" w:rsidRPr="009D7C92" w:rsidRDefault="00EC50EB" w:rsidP="00F87817">
            <w:pPr>
              <w:jc w:val="left"/>
              <w:rPr>
                <w:color w:val="auto"/>
              </w:rPr>
            </w:pPr>
          </w:p>
        </w:tc>
        <w:tc>
          <w:tcPr>
            <w:tcW w:w="2473" w:type="dxa"/>
            <w:gridSpan w:val="2"/>
            <w:tcBorders>
              <w:top w:val="single" w:sz="6" w:space="0" w:color="000000"/>
              <w:left w:val="single" w:sz="6" w:space="0" w:color="000000"/>
              <w:bottom w:val="single" w:sz="6" w:space="0" w:color="000000"/>
              <w:right w:val="single" w:sz="6" w:space="0" w:color="000000"/>
            </w:tcBorders>
          </w:tcPr>
          <w:p w14:paraId="743A8C4B" w14:textId="77777777" w:rsidR="00EC50EB" w:rsidRPr="009D7C92" w:rsidRDefault="00B30363">
            <w:pPr>
              <w:jc w:val="left"/>
              <w:rPr>
                <w:color w:val="auto"/>
              </w:rPr>
            </w:pPr>
            <w:r w:rsidRPr="009D7C92">
              <w:rPr>
                <w:color w:val="auto"/>
              </w:rPr>
              <w:t>poruchy zraku</w:t>
            </w:r>
          </w:p>
          <w:p w14:paraId="05251914" w14:textId="77777777" w:rsidR="00EC50EB" w:rsidRPr="009D7C92" w:rsidRDefault="00EC50EB">
            <w:pPr>
              <w:jc w:val="left"/>
              <w:rPr>
                <w:color w:val="auto"/>
              </w:rPr>
            </w:pPr>
          </w:p>
        </w:tc>
      </w:tr>
      <w:tr w:rsidR="00EC50EB" w:rsidRPr="009D7C92" w14:paraId="5DDC59EC" w14:textId="77777777" w:rsidTr="00685680">
        <w:tblPrEx>
          <w:tblCellMar>
            <w:left w:w="113" w:type="dxa"/>
            <w:right w:w="45" w:type="dxa"/>
          </w:tblCellMar>
        </w:tblPrEx>
        <w:trPr>
          <w:trHeight w:val="270"/>
        </w:trPr>
        <w:tc>
          <w:tcPr>
            <w:tcW w:w="2167" w:type="dxa"/>
            <w:tcBorders>
              <w:top w:val="single" w:sz="6" w:space="0" w:color="000000"/>
              <w:left w:val="single" w:sz="6" w:space="0" w:color="000000"/>
              <w:bottom w:val="single" w:sz="6" w:space="0" w:color="000000"/>
              <w:right w:val="single" w:sz="6" w:space="0" w:color="000000"/>
            </w:tcBorders>
          </w:tcPr>
          <w:p w14:paraId="58321D74" w14:textId="77777777" w:rsidR="00EC50EB" w:rsidRPr="009D7C92" w:rsidRDefault="00EC50EB" w:rsidP="00EE703D">
            <w:pPr>
              <w:jc w:val="left"/>
              <w:rPr>
                <w:color w:val="auto"/>
              </w:rPr>
            </w:pPr>
            <w:r w:rsidRPr="009D7C92">
              <w:rPr>
                <w:color w:val="auto"/>
              </w:rPr>
              <w:t xml:space="preserve">Zriedkavé </w:t>
            </w:r>
          </w:p>
        </w:tc>
        <w:tc>
          <w:tcPr>
            <w:tcW w:w="2522" w:type="dxa"/>
            <w:gridSpan w:val="2"/>
            <w:tcBorders>
              <w:top w:val="single" w:sz="6" w:space="0" w:color="000000"/>
              <w:left w:val="single" w:sz="6" w:space="0" w:color="000000"/>
              <w:bottom w:val="single" w:sz="6" w:space="0" w:color="000000"/>
              <w:right w:val="single" w:sz="6" w:space="0" w:color="000000"/>
            </w:tcBorders>
          </w:tcPr>
          <w:p w14:paraId="15A0D5C4" w14:textId="3416EAAD" w:rsidR="00EC50EB" w:rsidRPr="009D7C92" w:rsidRDefault="00EC50EB" w:rsidP="00211D25">
            <w:pPr>
              <w:jc w:val="left"/>
              <w:rPr>
                <w:color w:val="auto"/>
              </w:rPr>
            </w:pPr>
            <w:r w:rsidRPr="009D7C92">
              <w:rPr>
                <w:color w:val="auto"/>
              </w:rPr>
              <w:t>zápal spoj</w:t>
            </w:r>
            <w:r w:rsidR="00A957C6" w:rsidRPr="009D7C92">
              <w:rPr>
                <w:color w:val="auto"/>
              </w:rPr>
              <w:t>o</w:t>
            </w:r>
            <w:r w:rsidRPr="009D7C92">
              <w:rPr>
                <w:color w:val="auto"/>
              </w:rPr>
              <w:t xml:space="preserve">viek </w:t>
            </w:r>
          </w:p>
        </w:tc>
        <w:tc>
          <w:tcPr>
            <w:tcW w:w="2009" w:type="dxa"/>
            <w:tcBorders>
              <w:top w:val="single" w:sz="6" w:space="0" w:color="000000"/>
              <w:left w:val="single" w:sz="6" w:space="0" w:color="000000"/>
              <w:bottom w:val="single" w:sz="6" w:space="0" w:color="000000"/>
              <w:right w:val="single" w:sz="6" w:space="0" w:color="000000"/>
            </w:tcBorders>
          </w:tcPr>
          <w:p w14:paraId="563585E3" w14:textId="77777777" w:rsidR="00EC50EB" w:rsidRPr="009D7C92" w:rsidRDefault="00EC50EB" w:rsidP="00F87817">
            <w:pPr>
              <w:jc w:val="left"/>
              <w:rPr>
                <w:color w:val="auto"/>
              </w:rPr>
            </w:pPr>
          </w:p>
        </w:tc>
        <w:tc>
          <w:tcPr>
            <w:tcW w:w="2473" w:type="dxa"/>
            <w:gridSpan w:val="2"/>
            <w:tcBorders>
              <w:top w:val="single" w:sz="6" w:space="0" w:color="000000"/>
              <w:left w:val="single" w:sz="6" w:space="0" w:color="000000"/>
              <w:bottom w:val="single" w:sz="6" w:space="0" w:color="000000"/>
              <w:right w:val="single" w:sz="6" w:space="0" w:color="000000"/>
            </w:tcBorders>
          </w:tcPr>
          <w:p w14:paraId="5E5E2C74" w14:textId="77777777" w:rsidR="00EC50EB" w:rsidRPr="009D7C92" w:rsidRDefault="00EC50EB">
            <w:pPr>
              <w:jc w:val="left"/>
              <w:rPr>
                <w:color w:val="auto"/>
              </w:rPr>
            </w:pPr>
          </w:p>
        </w:tc>
      </w:tr>
      <w:tr w:rsidR="00EC50EB" w:rsidRPr="009D7C92" w14:paraId="5FE960F0" w14:textId="77777777" w:rsidTr="00685680">
        <w:tblPrEx>
          <w:tblCellMar>
            <w:left w:w="113" w:type="dxa"/>
            <w:right w:w="45" w:type="dxa"/>
          </w:tblCellMar>
        </w:tblPrEx>
        <w:trPr>
          <w:trHeight w:val="270"/>
        </w:trPr>
        <w:tc>
          <w:tcPr>
            <w:tcW w:w="2167" w:type="dxa"/>
            <w:tcBorders>
              <w:top w:val="single" w:sz="6" w:space="0" w:color="000000"/>
              <w:left w:val="single" w:sz="6" w:space="0" w:color="000000"/>
              <w:bottom w:val="single" w:sz="6" w:space="0" w:color="000000"/>
              <w:right w:val="single" w:sz="6" w:space="0" w:color="000000"/>
            </w:tcBorders>
          </w:tcPr>
          <w:p w14:paraId="69728F45" w14:textId="77777777" w:rsidR="00EC50EB" w:rsidRPr="009D7C92" w:rsidRDefault="00EC50EB" w:rsidP="00EE703D">
            <w:pPr>
              <w:jc w:val="left"/>
              <w:rPr>
                <w:color w:val="auto"/>
              </w:rPr>
            </w:pPr>
            <w:r w:rsidRPr="009D7C92">
              <w:rPr>
                <w:color w:val="auto"/>
              </w:rPr>
              <w:t>Neznáme</w:t>
            </w:r>
          </w:p>
        </w:tc>
        <w:tc>
          <w:tcPr>
            <w:tcW w:w="2522" w:type="dxa"/>
            <w:gridSpan w:val="2"/>
            <w:tcBorders>
              <w:top w:val="single" w:sz="6" w:space="0" w:color="000000"/>
              <w:left w:val="single" w:sz="6" w:space="0" w:color="000000"/>
              <w:bottom w:val="single" w:sz="6" w:space="0" w:color="000000"/>
              <w:right w:val="single" w:sz="6" w:space="0" w:color="000000"/>
            </w:tcBorders>
          </w:tcPr>
          <w:p w14:paraId="6AEF306B" w14:textId="77777777" w:rsidR="00EC50EB" w:rsidRPr="009D7C92" w:rsidRDefault="00EC50EB" w:rsidP="00211D25">
            <w:pPr>
              <w:jc w:val="left"/>
              <w:rPr>
                <w:color w:val="auto"/>
              </w:rPr>
            </w:pPr>
          </w:p>
        </w:tc>
        <w:tc>
          <w:tcPr>
            <w:tcW w:w="2009" w:type="dxa"/>
            <w:tcBorders>
              <w:top w:val="single" w:sz="6" w:space="0" w:color="000000"/>
              <w:left w:val="single" w:sz="6" w:space="0" w:color="000000"/>
              <w:bottom w:val="single" w:sz="6" w:space="0" w:color="000000"/>
              <w:right w:val="single" w:sz="6" w:space="0" w:color="000000"/>
            </w:tcBorders>
          </w:tcPr>
          <w:p w14:paraId="7521575A" w14:textId="77777777" w:rsidR="00EC50EB" w:rsidRPr="009D7C92" w:rsidRDefault="00EC50EB" w:rsidP="00F87817">
            <w:pPr>
              <w:jc w:val="left"/>
              <w:rPr>
                <w:color w:val="auto"/>
              </w:rPr>
            </w:pPr>
          </w:p>
        </w:tc>
        <w:tc>
          <w:tcPr>
            <w:tcW w:w="2473" w:type="dxa"/>
            <w:gridSpan w:val="2"/>
            <w:tcBorders>
              <w:top w:val="single" w:sz="6" w:space="0" w:color="000000"/>
              <w:left w:val="single" w:sz="6" w:space="0" w:color="000000"/>
              <w:bottom w:val="single" w:sz="6" w:space="0" w:color="000000"/>
              <w:right w:val="single" w:sz="6" w:space="0" w:color="000000"/>
            </w:tcBorders>
          </w:tcPr>
          <w:p w14:paraId="1B2119D9" w14:textId="10BC2DE7" w:rsidR="00EC50EB" w:rsidRPr="009D7C92" w:rsidRDefault="00772DC1">
            <w:pPr>
              <w:jc w:val="left"/>
              <w:rPr>
                <w:color w:val="auto"/>
              </w:rPr>
            </w:pPr>
            <w:r w:rsidRPr="009D7C92">
              <w:rPr>
                <w:color w:val="auto"/>
              </w:rPr>
              <w:t>a</w:t>
            </w:r>
            <w:r w:rsidR="00EC50EB" w:rsidRPr="009D7C92">
              <w:rPr>
                <w:color w:val="auto"/>
              </w:rPr>
              <w:t>kútny glaukóm s uzavretým uhlom</w:t>
            </w:r>
            <w:r w:rsidR="00112A17">
              <w:rPr>
                <w:color w:val="auto"/>
              </w:rPr>
              <w:t xml:space="preserve">, </w:t>
            </w:r>
            <w:r w:rsidR="00112A17" w:rsidRPr="004B7A2F">
              <w:rPr>
                <w:color w:val="auto"/>
              </w:rPr>
              <w:t>c</w:t>
            </w:r>
            <w:r w:rsidR="00112A17" w:rsidRPr="00032D0E">
              <w:rPr>
                <w:color w:val="auto"/>
                <w:u w:val="single"/>
              </w:rPr>
              <w:t>horoidálna efúzia</w:t>
            </w:r>
          </w:p>
        </w:tc>
      </w:tr>
      <w:tr w:rsidR="00EC50EB" w:rsidRPr="009D7C92" w14:paraId="7716F240" w14:textId="77777777" w:rsidTr="002B66E0">
        <w:tblPrEx>
          <w:tblCellMar>
            <w:left w:w="113" w:type="dxa"/>
            <w:right w:w="45" w:type="dxa"/>
          </w:tblCellMar>
        </w:tblPrEx>
        <w:trPr>
          <w:trHeight w:val="270"/>
        </w:trPr>
        <w:tc>
          <w:tcPr>
            <w:tcW w:w="9171" w:type="dxa"/>
            <w:gridSpan w:val="6"/>
            <w:tcBorders>
              <w:top w:val="single" w:sz="6" w:space="0" w:color="000000"/>
              <w:left w:val="single" w:sz="6" w:space="0" w:color="000000"/>
              <w:bottom w:val="single" w:sz="6" w:space="0" w:color="000000"/>
              <w:right w:val="single" w:sz="6" w:space="0" w:color="000000"/>
            </w:tcBorders>
          </w:tcPr>
          <w:p w14:paraId="1738BF7E" w14:textId="77777777" w:rsidR="00EC50EB" w:rsidRPr="009D7C92" w:rsidRDefault="00EC50EB" w:rsidP="00EE703D">
            <w:pPr>
              <w:jc w:val="left"/>
              <w:rPr>
                <w:b/>
                <w:i/>
                <w:color w:val="auto"/>
              </w:rPr>
            </w:pPr>
            <w:r w:rsidRPr="009D7C92">
              <w:rPr>
                <w:b/>
                <w:i/>
                <w:color w:val="auto"/>
              </w:rPr>
              <w:t>Poruchy ucha a labyrintu</w:t>
            </w:r>
          </w:p>
        </w:tc>
      </w:tr>
      <w:tr w:rsidR="00EC50EB" w:rsidRPr="009D7C92" w14:paraId="5E128025" w14:textId="77777777" w:rsidTr="00685680">
        <w:tblPrEx>
          <w:tblCellMar>
            <w:left w:w="113" w:type="dxa"/>
            <w:right w:w="45" w:type="dxa"/>
          </w:tblCellMar>
        </w:tblPrEx>
        <w:trPr>
          <w:trHeight w:val="270"/>
        </w:trPr>
        <w:tc>
          <w:tcPr>
            <w:tcW w:w="2167" w:type="dxa"/>
            <w:tcBorders>
              <w:top w:val="single" w:sz="6" w:space="0" w:color="000000"/>
              <w:left w:val="single" w:sz="6" w:space="0" w:color="000000"/>
              <w:bottom w:val="single" w:sz="6" w:space="0" w:color="000000"/>
              <w:right w:val="single" w:sz="6" w:space="0" w:color="000000"/>
            </w:tcBorders>
          </w:tcPr>
          <w:p w14:paraId="46588B45" w14:textId="77777777" w:rsidR="00EC50EB" w:rsidRPr="009D7C92" w:rsidRDefault="00772DC1" w:rsidP="00EE703D">
            <w:pPr>
              <w:jc w:val="left"/>
              <w:rPr>
                <w:color w:val="auto"/>
              </w:rPr>
            </w:pPr>
            <w:r w:rsidRPr="009D7C92">
              <w:rPr>
                <w:color w:val="auto"/>
              </w:rPr>
              <w:t>Menej časté</w:t>
            </w:r>
          </w:p>
        </w:tc>
        <w:tc>
          <w:tcPr>
            <w:tcW w:w="2522" w:type="dxa"/>
            <w:gridSpan w:val="2"/>
            <w:tcBorders>
              <w:top w:val="single" w:sz="6" w:space="0" w:color="000000"/>
              <w:left w:val="single" w:sz="6" w:space="0" w:color="000000"/>
              <w:bottom w:val="single" w:sz="6" w:space="0" w:color="000000"/>
              <w:right w:val="single" w:sz="6" w:space="0" w:color="000000"/>
            </w:tcBorders>
          </w:tcPr>
          <w:p w14:paraId="4DE3A005" w14:textId="77777777" w:rsidR="00EC50EB" w:rsidRPr="009D7C92" w:rsidRDefault="00EC50EB" w:rsidP="00211D25">
            <w:pPr>
              <w:jc w:val="left"/>
              <w:rPr>
                <w:color w:val="auto"/>
              </w:rPr>
            </w:pPr>
            <w:r w:rsidRPr="009D7C92">
              <w:rPr>
                <w:color w:val="auto"/>
              </w:rPr>
              <w:t xml:space="preserve"> </w:t>
            </w:r>
          </w:p>
        </w:tc>
        <w:tc>
          <w:tcPr>
            <w:tcW w:w="2009" w:type="dxa"/>
            <w:tcBorders>
              <w:top w:val="single" w:sz="6" w:space="0" w:color="000000"/>
              <w:left w:val="single" w:sz="6" w:space="0" w:color="000000"/>
              <w:bottom w:val="single" w:sz="6" w:space="0" w:color="000000"/>
              <w:right w:val="single" w:sz="6" w:space="0" w:color="000000"/>
            </w:tcBorders>
          </w:tcPr>
          <w:p w14:paraId="307EC45F" w14:textId="6B6886D5" w:rsidR="00EC50EB" w:rsidRPr="009D7C92" w:rsidRDefault="00772DC1" w:rsidP="00F87817">
            <w:pPr>
              <w:jc w:val="left"/>
              <w:rPr>
                <w:color w:val="auto"/>
              </w:rPr>
            </w:pPr>
            <w:r w:rsidRPr="009D7C92">
              <w:rPr>
                <w:color w:val="auto"/>
              </w:rPr>
              <w:t>t</w:t>
            </w:r>
            <w:r w:rsidR="00EC50EB" w:rsidRPr="009D7C92">
              <w:rPr>
                <w:color w:val="auto"/>
              </w:rPr>
              <w:t>in</w:t>
            </w:r>
            <w:r w:rsidR="00256CCE">
              <w:rPr>
                <w:color w:val="auto"/>
              </w:rPr>
              <w:t>n</w:t>
            </w:r>
            <w:r w:rsidR="00EC50EB" w:rsidRPr="009D7C92">
              <w:rPr>
                <w:color w:val="auto"/>
              </w:rPr>
              <w:t>itus</w:t>
            </w:r>
          </w:p>
        </w:tc>
        <w:tc>
          <w:tcPr>
            <w:tcW w:w="2473" w:type="dxa"/>
            <w:gridSpan w:val="2"/>
            <w:tcBorders>
              <w:top w:val="single" w:sz="6" w:space="0" w:color="000000"/>
              <w:left w:val="single" w:sz="6" w:space="0" w:color="000000"/>
              <w:bottom w:val="single" w:sz="6" w:space="0" w:color="000000"/>
              <w:right w:val="single" w:sz="6" w:space="0" w:color="000000"/>
            </w:tcBorders>
          </w:tcPr>
          <w:p w14:paraId="0A404137" w14:textId="77777777" w:rsidR="00EC50EB" w:rsidRPr="009D7C92" w:rsidRDefault="00EC50EB">
            <w:pPr>
              <w:jc w:val="left"/>
              <w:rPr>
                <w:color w:val="auto"/>
              </w:rPr>
            </w:pPr>
          </w:p>
        </w:tc>
      </w:tr>
      <w:tr w:rsidR="00EC50EB" w:rsidRPr="009D7C92" w14:paraId="1961D832" w14:textId="77777777" w:rsidTr="00243692">
        <w:tblPrEx>
          <w:tblCellMar>
            <w:left w:w="113" w:type="dxa"/>
            <w:right w:w="45" w:type="dxa"/>
          </w:tblCellMar>
        </w:tblPrEx>
        <w:trPr>
          <w:trHeight w:val="336"/>
        </w:trPr>
        <w:tc>
          <w:tcPr>
            <w:tcW w:w="2167" w:type="dxa"/>
            <w:tcBorders>
              <w:top w:val="single" w:sz="6" w:space="0" w:color="000000"/>
              <w:left w:val="single" w:sz="6" w:space="0" w:color="000000"/>
              <w:bottom w:val="single" w:sz="6" w:space="0" w:color="000000"/>
              <w:right w:val="single" w:sz="6" w:space="0" w:color="000000"/>
            </w:tcBorders>
          </w:tcPr>
          <w:p w14:paraId="06CAE8E1" w14:textId="77777777" w:rsidR="00EC50EB" w:rsidRPr="009D7C92" w:rsidRDefault="00EC50EB" w:rsidP="00EE703D">
            <w:pPr>
              <w:jc w:val="left"/>
              <w:rPr>
                <w:color w:val="auto"/>
              </w:rPr>
            </w:pPr>
            <w:r w:rsidRPr="009D7C92">
              <w:rPr>
                <w:color w:val="auto"/>
              </w:rPr>
              <w:t xml:space="preserve">Zriedkavé </w:t>
            </w:r>
          </w:p>
        </w:tc>
        <w:tc>
          <w:tcPr>
            <w:tcW w:w="2522" w:type="dxa"/>
            <w:gridSpan w:val="2"/>
            <w:tcBorders>
              <w:top w:val="single" w:sz="6" w:space="0" w:color="000000"/>
              <w:left w:val="single" w:sz="6" w:space="0" w:color="000000"/>
              <w:bottom w:val="single" w:sz="6" w:space="0" w:color="000000"/>
              <w:right w:val="single" w:sz="6" w:space="0" w:color="000000"/>
            </w:tcBorders>
          </w:tcPr>
          <w:p w14:paraId="3154C69F" w14:textId="7266C38A" w:rsidR="00EC50EB" w:rsidRPr="009D7C92" w:rsidRDefault="00772DC1" w:rsidP="00211D25">
            <w:pPr>
              <w:jc w:val="left"/>
              <w:rPr>
                <w:color w:val="auto"/>
              </w:rPr>
            </w:pPr>
            <w:r w:rsidRPr="009D7C92">
              <w:rPr>
                <w:color w:val="auto"/>
              </w:rPr>
              <w:t>p</w:t>
            </w:r>
            <w:r w:rsidR="00EC50EB" w:rsidRPr="009D7C92">
              <w:rPr>
                <w:color w:val="auto"/>
              </w:rPr>
              <w:t>oruch</w:t>
            </w:r>
            <w:r w:rsidR="00B30363" w:rsidRPr="009D7C92">
              <w:rPr>
                <w:color w:val="auto"/>
              </w:rPr>
              <w:t>a</w:t>
            </w:r>
            <w:r w:rsidR="00EC50EB" w:rsidRPr="009D7C92">
              <w:rPr>
                <w:color w:val="auto"/>
              </w:rPr>
              <w:t xml:space="preserve"> sluchu, tin</w:t>
            </w:r>
            <w:r w:rsidR="00256CCE">
              <w:rPr>
                <w:color w:val="auto"/>
              </w:rPr>
              <w:t>n</w:t>
            </w:r>
            <w:r w:rsidR="00EC50EB" w:rsidRPr="009D7C92">
              <w:rPr>
                <w:color w:val="auto"/>
              </w:rPr>
              <w:t xml:space="preserve">itus </w:t>
            </w:r>
          </w:p>
        </w:tc>
        <w:tc>
          <w:tcPr>
            <w:tcW w:w="2009" w:type="dxa"/>
            <w:tcBorders>
              <w:top w:val="single" w:sz="6" w:space="0" w:color="000000"/>
              <w:left w:val="single" w:sz="6" w:space="0" w:color="000000"/>
              <w:bottom w:val="single" w:sz="6" w:space="0" w:color="000000"/>
              <w:right w:val="single" w:sz="6" w:space="0" w:color="000000"/>
            </w:tcBorders>
          </w:tcPr>
          <w:p w14:paraId="1C549529" w14:textId="77777777" w:rsidR="00EC50EB" w:rsidRPr="009D7C92" w:rsidRDefault="00EC50EB" w:rsidP="00F87817">
            <w:pPr>
              <w:jc w:val="left"/>
              <w:rPr>
                <w:color w:val="auto"/>
              </w:rPr>
            </w:pPr>
          </w:p>
        </w:tc>
        <w:tc>
          <w:tcPr>
            <w:tcW w:w="2473" w:type="dxa"/>
            <w:gridSpan w:val="2"/>
            <w:tcBorders>
              <w:top w:val="single" w:sz="6" w:space="0" w:color="000000"/>
              <w:left w:val="single" w:sz="6" w:space="0" w:color="000000"/>
              <w:bottom w:val="single" w:sz="6" w:space="0" w:color="000000"/>
              <w:right w:val="single" w:sz="6" w:space="0" w:color="000000"/>
            </w:tcBorders>
          </w:tcPr>
          <w:p w14:paraId="73EAFFBD" w14:textId="77777777" w:rsidR="00EC50EB" w:rsidRPr="009D7C92" w:rsidRDefault="00EC50EB">
            <w:pPr>
              <w:jc w:val="left"/>
              <w:rPr>
                <w:color w:val="auto"/>
              </w:rPr>
            </w:pPr>
            <w:r w:rsidRPr="009D7C92">
              <w:rPr>
                <w:color w:val="auto"/>
              </w:rPr>
              <w:t xml:space="preserve"> </w:t>
            </w:r>
          </w:p>
        </w:tc>
      </w:tr>
      <w:tr w:rsidR="00EC50EB" w:rsidRPr="009D7C92" w14:paraId="423CD390" w14:textId="77777777" w:rsidTr="002B66E0">
        <w:tblPrEx>
          <w:tblCellMar>
            <w:left w:w="113" w:type="dxa"/>
            <w:right w:w="45" w:type="dxa"/>
          </w:tblCellMar>
        </w:tblPrEx>
        <w:trPr>
          <w:trHeight w:val="342"/>
        </w:trPr>
        <w:tc>
          <w:tcPr>
            <w:tcW w:w="9171" w:type="dxa"/>
            <w:gridSpan w:val="6"/>
            <w:tcBorders>
              <w:top w:val="single" w:sz="6" w:space="0" w:color="000000"/>
              <w:left w:val="single" w:sz="6" w:space="0" w:color="000000"/>
              <w:bottom w:val="single" w:sz="6" w:space="0" w:color="000000"/>
              <w:right w:val="single" w:sz="6" w:space="0" w:color="000000"/>
            </w:tcBorders>
          </w:tcPr>
          <w:p w14:paraId="59AFA43E" w14:textId="77777777" w:rsidR="00EC50EB" w:rsidRPr="009D7C92" w:rsidRDefault="00EC50EB" w:rsidP="00EE703D">
            <w:pPr>
              <w:jc w:val="left"/>
              <w:rPr>
                <w:b/>
                <w:i/>
                <w:color w:val="auto"/>
              </w:rPr>
            </w:pPr>
            <w:r w:rsidRPr="009D7C92">
              <w:rPr>
                <w:b/>
                <w:i/>
                <w:color w:val="auto"/>
              </w:rPr>
              <w:t>Poruchy srdca</w:t>
            </w:r>
            <w:r w:rsidR="00E42261" w:rsidRPr="009D7C92">
              <w:rPr>
                <w:b/>
                <w:i/>
                <w:color w:val="auto"/>
              </w:rPr>
              <w:t xml:space="preserve"> a srdcovej činnosti</w:t>
            </w:r>
          </w:p>
        </w:tc>
      </w:tr>
      <w:tr w:rsidR="00EC50EB" w:rsidRPr="009D7C92" w14:paraId="5C2DCE24" w14:textId="77777777" w:rsidTr="00685680">
        <w:tblPrEx>
          <w:tblCellMar>
            <w:left w:w="113" w:type="dxa"/>
            <w:right w:w="45" w:type="dxa"/>
          </w:tblCellMar>
        </w:tblPrEx>
        <w:trPr>
          <w:trHeight w:val="270"/>
        </w:trPr>
        <w:tc>
          <w:tcPr>
            <w:tcW w:w="2167" w:type="dxa"/>
            <w:tcBorders>
              <w:top w:val="single" w:sz="6" w:space="0" w:color="000000"/>
              <w:left w:val="single" w:sz="6" w:space="0" w:color="000000"/>
              <w:bottom w:val="single" w:sz="6" w:space="0" w:color="000000"/>
              <w:right w:val="single" w:sz="6" w:space="0" w:color="000000"/>
            </w:tcBorders>
          </w:tcPr>
          <w:p w14:paraId="328D0A83" w14:textId="77777777" w:rsidR="00EC50EB" w:rsidRPr="009D7C92" w:rsidRDefault="00E42261" w:rsidP="00EE703D">
            <w:pPr>
              <w:jc w:val="left"/>
              <w:rPr>
                <w:color w:val="auto"/>
              </w:rPr>
            </w:pPr>
            <w:r w:rsidRPr="009D7C92">
              <w:rPr>
                <w:color w:val="auto"/>
              </w:rPr>
              <w:t>Časté</w:t>
            </w:r>
          </w:p>
        </w:tc>
        <w:tc>
          <w:tcPr>
            <w:tcW w:w="2522" w:type="dxa"/>
            <w:gridSpan w:val="2"/>
            <w:tcBorders>
              <w:top w:val="single" w:sz="6" w:space="0" w:color="000000"/>
              <w:left w:val="single" w:sz="6" w:space="0" w:color="000000"/>
              <w:bottom w:val="single" w:sz="6" w:space="0" w:color="000000"/>
              <w:right w:val="single" w:sz="6" w:space="0" w:color="000000"/>
            </w:tcBorders>
          </w:tcPr>
          <w:p w14:paraId="67D91D34" w14:textId="77777777" w:rsidR="00EC50EB" w:rsidRPr="009D7C92" w:rsidRDefault="00EC50EB" w:rsidP="00211D25">
            <w:pPr>
              <w:jc w:val="left"/>
              <w:rPr>
                <w:color w:val="auto"/>
              </w:rPr>
            </w:pPr>
            <w:r w:rsidRPr="009D7C92">
              <w:rPr>
                <w:color w:val="auto"/>
              </w:rPr>
              <w:t xml:space="preserve"> </w:t>
            </w:r>
          </w:p>
        </w:tc>
        <w:tc>
          <w:tcPr>
            <w:tcW w:w="2009" w:type="dxa"/>
            <w:tcBorders>
              <w:top w:val="single" w:sz="6" w:space="0" w:color="000000"/>
              <w:left w:val="single" w:sz="6" w:space="0" w:color="000000"/>
              <w:bottom w:val="single" w:sz="6" w:space="0" w:color="000000"/>
              <w:right w:val="single" w:sz="6" w:space="0" w:color="000000"/>
            </w:tcBorders>
          </w:tcPr>
          <w:p w14:paraId="0F423706" w14:textId="6E35C696" w:rsidR="00EC50EB" w:rsidRPr="009D7C92" w:rsidRDefault="00A957C6" w:rsidP="00F87817">
            <w:pPr>
              <w:jc w:val="left"/>
              <w:rPr>
                <w:color w:val="auto"/>
              </w:rPr>
            </w:pPr>
            <w:r w:rsidRPr="009D7C92">
              <w:rPr>
                <w:color w:val="auto"/>
              </w:rPr>
              <w:t>palpitácie</w:t>
            </w:r>
          </w:p>
        </w:tc>
        <w:tc>
          <w:tcPr>
            <w:tcW w:w="2473" w:type="dxa"/>
            <w:gridSpan w:val="2"/>
            <w:tcBorders>
              <w:top w:val="single" w:sz="6" w:space="0" w:color="000000"/>
              <w:left w:val="single" w:sz="6" w:space="0" w:color="000000"/>
              <w:bottom w:val="single" w:sz="6" w:space="0" w:color="000000"/>
              <w:right w:val="single" w:sz="6" w:space="0" w:color="000000"/>
            </w:tcBorders>
          </w:tcPr>
          <w:p w14:paraId="7A45A091" w14:textId="77777777" w:rsidR="00EC50EB" w:rsidRPr="009D7C92" w:rsidRDefault="00EC50EB">
            <w:pPr>
              <w:jc w:val="left"/>
              <w:rPr>
                <w:color w:val="auto"/>
              </w:rPr>
            </w:pPr>
          </w:p>
        </w:tc>
      </w:tr>
      <w:tr w:rsidR="00EC50EB" w:rsidRPr="009D7C92" w14:paraId="39333C95" w14:textId="77777777" w:rsidTr="00243692">
        <w:tblPrEx>
          <w:tblCellMar>
            <w:left w:w="113" w:type="dxa"/>
            <w:right w:w="45" w:type="dxa"/>
          </w:tblCellMar>
        </w:tblPrEx>
        <w:trPr>
          <w:trHeight w:val="1316"/>
        </w:trPr>
        <w:tc>
          <w:tcPr>
            <w:tcW w:w="2167" w:type="dxa"/>
            <w:tcBorders>
              <w:top w:val="single" w:sz="6" w:space="0" w:color="000000"/>
              <w:left w:val="single" w:sz="6" w:space="0" w:color="000000"/>
              <w:bottom w:val="single" w:sz="6" w:space="0" w:color="000000"/>
              <w:right w:val="single" w:sz="6" w:space="0" w:color="000000"/>
            </w:tcBorders>
          </w:tcPr>
          <w:p w14:paraId="644A1178" w14:textId="77777777" w:rsidR="00EC50EB" w:rsidRPr="009D7C92" w:rsidRDefault="00772DC1" w:rsidP="00EE703D">
            <w:pPr>
              <w:jc w:val="left"/>
              <w:rPr>
                <w:color w:val="auto"/>
              </w:rPr>
            </w:pPr>
            <w:r w:rsidRPr="009D7C92">
              <w:rPr>
                <w:color w:val="auto"/>
              </w:rPr>
              <w:t>Menej časté</w:t>
            </w:r>
            <w:r w:rsidR="00EC50EB" w:rsidRPr="009D7C92">
              <w:rPr>
                <w:color w:val="auto"/>
              </w:rPr>
              <w:t xml:space="preserve"> </w:t>
            </w:r>
          </w:p>
        </w:tc>
        <w:tc>
          <w:tcPr>
            <w:tcW w:w="2522" w:type="dxa"/>
            <w:gridSpan w:val="2"/>
            <w:tcBorders>
              <w:top w:val="single" w:sz="6" w:space="0" w:color="000000"/>
              <w:left w:val="single" w:sz="6" w:space="0" w:color="000000"/>
              <w:bottom w:val="single" w:sz="6" w:space="0" w:color="000000"/>
              <w:right w:val="single" w:sz="6" w:space="0" w:color="000000"/>
            </w:tcBorders>
          </w:tcPr>
          <w:p w14:paraId="088D12FF" w14:textId="17914EF8" w:rsidR="00EC50EB" w:rsidRPr="009D7C92" w:rsidRDefault="00772DC1" w:rsidP="00211D25">
            <w:pPr>
              <w:jc w:val="left"/>
              <w:rPr>
                <w:color w:val="auto"/>
              </w:rPr>
            </w:pPr>
            <w:r w:rsidRPr="009D7C92">
              <w:rPr>
                <w:color w:val="auto"/>
              </w:rPr>
              <w:t>i</w:t>
            </w:r>
            <w:r w:rsidR="00EC50EB" w:rsidRPr="009D7C92">
              <w:rPr>
                <w:color w:val="auto"/>
              </w:rPr>
              <w:t>schémia myokardu vrátane angi</w:t>
            </w:r>
            <w:r w:rsidR="00A957C6" w:rsidRPr="009D7C92">
              <w:rPr>
                <w:color w:val="auto"/>
              </w:rPr>
              <w:t>í</w:t>
            </w:r>
            <w:r w:rsidR="00EC50EB" w:rsidRPr="009D7C92">
              <w:rPr>
                <w:color w:val="auto"/>
              </w:rPr>
              <w:t>y pe</w:t>
            </w:r>
            <w:r w:rsidR="00A957C6" w:rsidRPr="009D7C92">
              <w:rPr>
                <w:color w:val="auto"/>
              </w:rPr>
              <w:t>k</w:t>
            </w:r>
            <w:r w:rsidR="00EC50EB" w:rsidRPr="009D7C92">
              <w:rPr>
                <w:color w:val="auto"/>
              </w:rPr>
              <w:t>toris alebo infarktu myokardu, tachykardi</w:t>
            </w:r>
            <w:r w:rsidR="00A957C6" w:rsidRPr="009D7C92">
              <w:rPr>
                <w:color w:val="auto"/>
              </w:rPr>
              <w:t>a</w:t>
            </w:r>
            <w:r w:rsidR="00EC50EB" w:rsidRPr="009D7C92">
              <w:rPr>
                <w:color w:val="auto"/>
              </w:rPr>
              <w:t>, arytmi</w:t>
            </w:r>
            <w:r w:rsidR="00A957C6" w:rsidRPr="009D7C92">
              <w:rPr>
                <w:color w:val="auto"/>
              </w:rPr>
              <w:t>a</w:t>
            </w:r>
            <w:r w:rsidR="00EC50EB" w:rsidRPr="009D7C92">
              <w:rPr>
                <w:color w:val="auto"/>
              </w:rPr>
              <w:t>, palpitáci</w:t>
            </w:r>
            <w:r w:rsidR="00A957C6" w:rsidRPr="009D7C92">
              <w:rPr>
                <w:color w:val="auto"/>
              </w:rPr>
              <w:t>e</w:t>
            </w:r>
            <w:r w:rsidR="00EC50EB" w:rsidRPr="009D7C92">
              <w:rPr>
                <w:color w:val="auto"/>
              </w:rPr>
              <w:t xml:space="preserve">, periférny </w:t>
            </w:r>
            <w:r w:rsidR="00B30363" w:rsidRPr="009D7C92">
              <w:rPr>
                <w:color w:val="auto"/>
              </w:rPr>
              <w:t>edém</w:t>
            </w:r>
          </w:p>
        </w:tc>
        <w:tc>
          <w:tcPr>
            <w:tcW w:w="2009" w:type="dxa"/>
            <w:tcBorders>
              <w:top w:val="single" w:sz="6" w:space="0" w:color="000000"/>
              <w:left w:val="single" w:sz="6" w:space="0" w:color="000000"/>
              <w:bottom w:val="single" w:sz="6" w:space="0" w:color="000000"/>
              <w:right w:val="single" w:sz="6" w:space="0" w:color="000000"/>
            </w:tcBorders>
          </w:tcPr>
          <w:p w14:paraId="271E716B" w14:textId="77777777" w:rsidR="00EC50EB" w:rsidRPr="009D7C92" w:rsidRDefault="00772DC1" w:rsidP="00F87817">
            <w:pPr>
              <w:jc w:val="left"/>
              <w:rPr>
                <w:color w:val="auto"/>
              </w:rPr>
            </w:pPr>
            <w:r w:rsidRPr="009D7C92">
              <w:rPr>
                <w:color w:val="auto"/>
              </w:rPr>
              <w:t>a</w:t>
            </w:r>
            <w:r w:rsidR="00EC50EB" w:rsidRPr="009D7C92">
              <w:rPr>
                <w:color w:val="auto"/>
              </w:rPr>
              <w:t>rytmia (vrátane bradykardie, ventrikulárnej tachykardie a fibrilácie predsiení)</w:t>
            </w:r>
          </w:p>
        </w:tc>
        <w:tc>
          <w:tcPr>
            <w:tcW w:w="2473" w:type="dxa"/>
            <w:gridSpan w:val="2"/>
            <w:tcBorders>
              <w:top w:val="single" w:sz="6" w:space="0" w:color="000000"/>
              <w:left w:val="single" w:sz="6" w:space="0" w:color="000000"/>
              <w:bottom w:val="single" w:sz="6" w:space="0" w:color="000000"/>
              <w:right w:val="single" w:sz="6" w:space="0" w:color="000000"/>
            </w:tcBorders>
          </w:tcPr>
          <w:p w14:paraId="55F1D2DD" w14:textId="77777777" w:rsidR="00EC50EB" w:rsidRPr="009D7C92" w:rsidRDefault="00EC50EB">
            <w:pPr>
              <w:jc w:val="left"/>
              <w:rPr>
                <w:color w:val="auto"/>
              </w:rPr>
            </w:pPr>
            <w:r w:rsidRPr="009D7C92">
              <w:rPr>
                <w:color w:val="auto"/>
              </w:rPr>
              <w:t xml:space="preserve"> </w:t>
            </w:r>
          </w:p>
        </w:tc>
      </w:tr>
      <w:tr w:rsidR="00EC50EB" w:rsidRPr="009D7C92" w14:paraId="08D6BF73" w14:textId="77777777" w:rsidTr="00685680">
        <w:tblPrEx>
          <w:tblCellMar>
            <w:left w:w="113" w:type="dxa"/>
            <w:right w:w="45" w:type="dxa"/>
          </w:tblCellMar>
        </w:tblPrEx>
        <w:trPr>
          <w:trHeight w:val="310"/>
        </w:trPr>
        <w:tc>
          <w:tcPr>
            <w:tcW w:w="2167" w:type="dxa"/>
            <w:tcBorders>
              <w:top w:val="single" w:sz="6" w:space="0" w:color="000000"/>
              <w:left w:val="single" w:sz="6" w:space="0" w:color="000000"/>
              <w:bottom w:val="single" w:sz="6" w:space="0" w:color="000000"/>
              <w:right w:val="single" w:sz="6" w:space="0" w:color="000000"/>
            </w:tcBorders>
          </w:tcPr>
          <w:p w14:paraId="7DA7E0DD" w14:textId="77777777" w:rsidR="00EC50EB" w:rsidRPr="009D7C92" w:rsidRDefault="00EC50EB" w:rsidP="00EE703D">
            <w:pPr>
              <w:jc w:val="left"/>
              <w:rPr>
                <w:color w:val="auto"/>
              </w:rPr>
            </w:pPr>
            <w:r w:rsidRPr="009D7C92">
              <w:rPr>
                <w:color w:val="auto"/>
              </w:rPr>
              <w:t>Zriedkavé</w:t>
            </w:r>
          </w:p>
        </w:tc>
        <w:tc>
          <w:tcPr>
            <w:tcW w:w="2522" w:type="dxa"/>
            <w:gridSpan w:val="2"/>
            <w:tcBorders>
              <w:top w:val="single" w:sz="6" w:space="0" w:color="000000"/>
              <w:left w:val="single" w:sz="6" w:space="0" w:color="000000"/>
              <w:bottom w:val="single" w:sz="6" w:space="0" w:color="000000"/>
              <w:right w:val="single" w:sz="6" w:space="0" w:color="000000"/>
            </w:tcBorders>
          </w:tcPr>
          <w:p w14:paraId="2C6A7C17" w14:textId="77777777" w:rsidR="00EC50EB" w:rsidRPr="009D7C92" w:rsidRDefault="00EC50EB" w:rsidP="00211D25">
            <w:pPr>
              <w:jc w:val="left"/>
              <w:rPr>
                <w:color w:val="auto"/>
              </w:rPr>
            </w:pPr>
          </w:p>
        </w:tc>
        <w:tc>
          <w:tcPr>
            <w:tcW w:w="2009" w:type="dxa"/>
            <w:tcBorders>
              <w:top w:val="single" w:sz="6" w:space="0" w:color="000000"/>
              <w:left w:val="single" w:sz="6" w:space="0" w:color="000000"/>
              <w:bottom w:val="single" w:sz="6" w:space="0" w:color="000000"/>
              <w:right w:val="single" w:sz="6" w:space="0" w:color="000000"/>
            </w:tcBorders>
          </w:tcPr>
          <w:p w14:paraId="0C27574D" w14:textId="77777777" w:rsidR="00EC50EB" w:rsidRPr="009D7C92" w:rsidRDefault="00EC50EB" w:rsidP="00F87817">
            <w:pPr>
              <w:jc w:val="left"/>
              <w:rPr>
                <w:color w:val="auto"/>
              </w:rPr>
            </w:pPr>
          </w:p>
        </w:tc>
        <w:tc>
          <w:tcPr>
            <w:tcW w:w="2473" w:type="dxa"/>
            <w:gridSpan w:val="2"/>
            <w:tcBorders>
              <w:top w:val="single" w:sz="6" w:space="0" w:color="000000"/>
              <w:left w:val="single" w:sz="6" w:space="0" w:color="000000"/>
              <w:bottom w:val="single" w:sz="6" w:space="0" w:color="000000"/>
              <w:right w:val="single" w:sz="6" w:space="0" w:color="000000"/>
            </w:tcBorders>
          </w:tcPr>
          <w:p w14:paraId="5C4CC963" w14:textId="77777777" w:rsidR="00EC50EB" w:rsidRPr="009D7C92" w:rsidRDefault="00772DC1">
            <w:pPr>
              <w:jc w:val="left"/>
              <w:rPr>
                <w:color w:val="auto"/>
              </w:rPr>
            </w:pPr>
            <w:r w:rsidRPr="009D7C92">
              <w:rPr>
                <w:color w:val="auto"/>
              </w:rPr>
              <w:t>a</w:t>
            </w:r>
            <w:r w:rsidR="00EC50EB" w:rsidRPr="009D7C92">
              <w:rPr>
                <w:color w:val="auto"/>
              </w:rPr>
              <w:t>rytmi</w:t>
            </w:r>
            <w:r w:rsidR="00B30363" w:rsidRPr="009D7C92">
              <w:rPr>
                <w:color w:val="auto"/>
              </w:rPr>
              <w:t>a</w:t>
            </w:r>
          </w:p>
        </w:tc>
      </w:tr>
      <w:tr w:rsidR="00EC50EB" w:rsidRPr="009D7C92" w14:paraId="13A5BC6F" w14:textId="77777777" w:rsidTr="00243692">
        <w:tblPrEx>
          <w:tblCellMar>
            <w:left w:w="113" w:type="dxa"/>
            <w:right w:w="45" w:type="dxa"/>
          </w:tblCellMar>
        </w:tblPrEx>
        <w:trPr>
          <w:trHeight w:val="260"/>
        </w:trPr>
        <w:tc>
          <w:tcPr>
            <w:tcW w:w="2167" w:type="dxa"/>
            <w:tcBorders>
              <w:top w:val="single" w:sz="6" w:space="0" w:color="000000"/>
              <w:left w:val="single" w:sz="6" w:space="0" w:color="000000"/>
              <w:bottom w:val="single" w:sz="6" w:space="0" w:color="000000"/>
              <w:right w:val="single" w:sz="6" w:space="0" w:color="000000"/>
            </w:tcBorders>
          </w:tcPr>
          <w:p w14:paraId="317B4225" w14:textId="77777777" w:rsidR="00EC50EB" w:rsidRPr="009D7C92" w:rsidRDefault="00EC50EB" w:rsidP="00EE703D">
            <w:pPr>
              <w:jc w:val="left"/>
              <w:rPr>
                <w:color w:val="auto"/>
              </w:rPr>
            </w:pPr>
            <w:r w:rsidRPr="009D7C92">
              <w:rPr>
                <w:color w:val="auto"/>
              </w:rPr>
              <w:t xml:space="preserve">Veľmi zriedkavé </w:t>
            </w:r>
          </w:p>
        </w:tc>
        <w:tc>
          <w:tcPr>
            <w:tcW w:w="2522" w:type="dxa"/>
            <w:gridSpan w:val="2"/>
            <w:tcBorders>
              <w:top w:val="single" w:sz="6" w:space="0" w:color="000000"/>
              <w:left w:val="single" w:sz="6" w:space="0" w:color="000000"/>
              <w:bottom w:val="single" w:sz="6" w:space="0" w:color="000000"/>
              <w:right w:val="single" w:sz="6" w:space="0" w:color="000000"/>
            </w:tcBorders>
          </w:tcPr>
          <w:p w14:paraId="60A55517" w14:textId="77777777" w:rsidR="00EC50EB" w:rsidRPr="009D7C92" w:rsidRDefault="00EC50EB" w:rsidP="00211D25">
            <w:pPr>
              <w:jc w:val="left"/>
              <w:rPr>
                <w:color w:val="auto"/>
              </w:rPr>
            </w:pPr>
            <w:r w:rsidRPr="009D7C92">
              <w:rPr>
                <w:color w:val="auto"/>
              </w:rPr>
              <w:t xml:space="preserve"> </w:t>
            </w:r>
          </w:p>
        </w:tc>
        <w:tc>
          <w:tcPr>
            <w:tcW w:w="2009" w:type="dxa"/>
            <w:tcBorders>
              <w:top w:val="single" w:sz="6" w:space="0" w:color="000000"/>
              <w:left w:val="single" w:sz="6" w:space="0" w:color="000000"/>
              <w:bottom w:val="single" w:sz="6" w:space="0" w:color="000000"/>
              <w:right w:val="single" w:sz="6" w:space="0" w:color="000000"/>
            </w:tcBorders>
          </w:tcPr>
          <w:p w14:paraId="41BE306B" w14:textId="4B6602A9" w:rsidR="00E934E4" w:rsidRPr="009D7C92" w:rsidRDefault="00772DC1" w:rsidP="00F87817">
            <w:pPr>
              <w:jc w:val="left"/>
              <w:rPr>
                <w:color w:val="auto"/>
              </w:rPr>
            </w:pPr>
            <w:r w:rsidRPr="009D7C92">
              <w:rPr>
                <w:color w:val="auto"/>
              </w:rPr>
              <w:t>i</w:t>
            </w:r>
            <w:r w:rsidR="00EC50EB" w:rsidRPr="009D7C92">
              <w:rPr>
                <w:color w:val="auto"/>
              </w:rPr>
              <w:t>nfarkt myokardu</w:t>
            </w:r>
          </w:p>
        </w:tc>
        <w:tc>
          <w:tcPr>
            <w:tcW w:w="2473" w:type="dxa"/>
            <w:gridSpan w:val="2"/>
            <w:tcBorders>
              <w:top w:val="single" w:sz="6" w:space="0" w:color="000000"/>
              <w:left w:val="single" w:sz="6" w:space="0" w:color="000000"/>
              <w:bottom w:val="single" w:sz="6" w:space="0" w:color="000000"/>
              <w:right w:val="single" w:sz="6" w:space="0" w:color="000000"/>
            </w:tcBorders>
          </w:tcPr>
          <w:p w14:paraId="38544347" w14:textId="77777777" w:rsidR="00EC50EB" w:rsidRPr="009D7C92" w:rsidRDefault="00EC50EB">
            <w:pPr>
              <w:jc w:val="left"/>
              <w:rPr>
                <w:color w:val="auto"/>
              </w:rPr>
            </w:pPr>
          </w:p>
        </w:tc>
      </w:tr>
      <w:tr w:rsidR="00EC50EB" w:rsidRPr="009D7C92" w14:paraId="5D0A7F62" w14:textId="77777777" w:rsidTr="002B66E0">
        <w:tblPrEx>
          <w:tblCellMar>
            <w:left w:w="113" w:type="dxa"/>
            <w:right w:w="45" w:type="dxa"/>
          </w:tblCellMar>
        </w:tblPrEx>
        <w:trPr>
          <w:trHeight w:val="340"/>
        </w:trPr>
        <w:tc>
          <w:tcPr>
            <w:tcW w:w="9171" w:type="dxa"/>
            <w:gridSpan w:val="6"/>
            <w:tcBorders>
              <w:top w:val="single" w:sz="6" w:space="0" w:color="000000"/>
              <w:left w:val="single" w:sz="6" w:space="0" w:color="000000"/>
              <w:bottom w:val="single" w:sz="6" w:space="0" w:color="000000"/>
              <w:right w:val="single" w:sz="6" w:space="0" w:color="000000"/>
            </w:tcBorders>
          </w:tcPr>
          <w:p w14:paraId="583AA64B" w14:textId="77777777" w:rsidR="00EC50EB" w:rsidRPr="009D7C92" w:rsidRDefault="00E62C4D" w:rsidP="00EE703D">
            <w:pPr>
              <w:jc w:val="left"/>
              <w:rPr>
                <w:b/>
                <w:i/>
                <w:color w:val="auto"/>
              </w:rPr>
            </w:pPr>
            <w:r w:rsidRPr="009D7C92">
              <w:rPr>
                <w:b/>
                <w:i/>
                <w:color w:val="auto"/>
              </w:rPr>
              <w:t>P</w:t>
            </w:r>
            <w:r w:rsidR="00EC50EB" w:rsidRPr="009D7C92">
              <w:rPr>
                <w:b/>
                <w:i/>
                <w:color w:val="auto"/>
              </w:rPr>
              <w:t>oruchy</w:t>
            </w:r>
            <w:r w:rsidRPr="009D7C92">
              <w:rPr>
                <w:b/>
                <w:i/>
                <w:color w:val="auto"/>
              </w:rPr>
              <w:t xml:space="preserve"> ciev</w:t>
            </w:r>
          </w:p>
        </w:tc>
      </w:tr>
      <w:tr w:rsidR="00EC50EB" w:rsidRPr="009D7C92" w14:paraId="31616E89" w14:textId="77777777" w:rsidTr="00243692">
        <w:tblPrEx>
          <w:tblCellMar>
            <w:left w:w="113" w:type="dxa"/>
            <w:right w:w="45" w:type="dxa"/>
          </w:tblCellMar>
        </w:tblPrEx>
        <w:trPr>
          <w:trHeight w:val="709"/>
        </w:trPr>
        <w:tc>
          <w:tcPr>
            <w:tcW w:w="2167" w:type="dxa"/>
            <w:tcBorders>
              <w:top w:val="single" w:sz="6" w:space="0" w:color="000000"/>
              <w:left w:val="single" w:sz="6" w:space="0" w:color="000000"/>
              <w:bottom w:val="single" w:sz="6" w:space="0" w:color="000000"/>
              <w:right w:val="single" w:sz="6" w:space="0" w:color="000000"/>
            </w:tcBorders>
          </w:tcPr>
          <w:p w14:paraId="76C5C145" w14:textId="77777777" w:rsidR="00EC50EB" w:rsidRPr="009D7C92" w:rsidRDefault="00E62C4D" w:rsidP="00EE703D">
            <w:pPr>
              <w:jc w:val="left"/>
              <w:rPr>
                <w:color w:val="auto"/>
              </w:rPr>
            </w:pPr>
            <w:r w:rsidRPr="009D7C92">
              <w:rPr>
                <w:color w:val="auto"/>
              </w:rPr>
              <w:t>Časté</w:t>
            </w:r>
          </w:p>
        </w:tc>
        <w:tc>
          <w:tcPr>
            <w:tcW w:w="2522" w:type="dxa"/>
            <w:gridSpan w:val="2"/>
            <w:tcBorders>
              <w:top w:val="single" w:sz="6" w:space="0" w:color="000000"/>
              <w:left w:val="single" w:sz="6" w:space="0" w:color="000000"/>
              <w:bottom w:val="single" w:sz="6" w:space="0" w:color="000000"/>
              <w:right w:val="single" w:sz="6" w:space="0" w:color="000000"/>
            </w:tcBorders>
          </w:tcPr>
          <w:p w14:paraId="1B9458C6" w14:textId="77777777" w:rsidR="00EC50EB" w:rsidRPr="009D7C92" w:rsidRDefault="00772DC1" w:rsidP="00211D25">
            <w:pPr>
              <w:jc w:val="left"/>
              <w:rPr>
                <w:color w:val="auto"/>
              </w:rPr>
            </w:pPr>
            <w:r w:rsidRPr="009D7C92">
              <w:rPr>
                <w:color w:val="auto"/>
              </w:rPr>
              <w:t>h</w:t>
            </w:r>
            <w:r w:rsidR="00EC50EB" w:rsidRPr="009D7C92">
              <w:rPr>
                <w:color w:val="auto"/>
              </w:rPr>
              <w:t xml:space="preserve">ypotenzia, pokles ortostatického krvného tlaku, synkopa </w:t>
            </w:r>
          </w:p>
        </w:tc>
        <w:tc>
          <w:tcPr>
            <w:tcW w:w="2009" w:type="dxa"/>
            <w:tcBorders>
              <w:top w:val="single" w:sz="6" w:space="0" w:color="000000"/>
              <w:left w:val="single" w:sz="6" w:space="0" w:color="000000"/>
              <w:bottom w:val="single" w:sz="6" w:space="0" w:color="000000"/>
              <w:right w:val="single" w:sz="6" w:space="0" w:color="000000"/>
            </w:tcBorders>
          </w:tcPr>
          <w:p w14:paraId="251E5C34" w14:textId="605D8FCF" w:rsidR="00EC50EB" w:rsidRPr="009D7C92" w:rsidRDefault="00A957C6" w:rsidP="00F87817">
            <w:pPr>
              <w:jc w:val="left"/>
              <w:rPr>
                <w:color w:val="auto"/>
              </w:rPr>
            </w:pPr>
            <w:r w:rsidRPr="009D7C92">
              <w:rPr>
                <w:color w:val="auto"/>
              </w:rPr>
              <w:t>návaly tepla</w:t>
            </w:r>
          </w:p>
        </w:tc>
        <w:tc>
          <w:tcPr>
            <w:tcW w:w="2473" w:type="dxa"/>
            <w:gridSpan w:val="2"/>
            <w:tcBorders>
              <w:top w:val="single" w:sz="6" w:space="0" w:color="000000"/>
              <w:left w:val="single" w:sz="6" w:space="0" w:color="000000"/>
              <w:bottom w:val="single" w:sz="6" w:space="0" w:color="000000"/>
              <w:right w:val="single" w:sz="6" w:space="0" w:color="000000"/>
            </w:tcBorders>
          </w:tcPr>
          <w:p w14:paraId="18C3FA2E" w14:textId="77777777" w:rsidR="00EC50EB" w:rsidRPr="009D7C92" w:rsidRDefault="00772DC1">
            <w:pPr>
              <w:jc w:val="left"/>
              <w:rPr>
                <w:color w:val="auto"/>
              </w:rPr>
            </w:pPr>
            <w:r w:rsidRPr="009D7C92">
              <w:rPr>
                <w:color w:val="auto"/>
              </w:rPr>
              <w:t>o</w:t>
            </w:r>
            <w:r w:rsidR="00EC50EB" w:rsidRPr="009D7C92">
              <w:rPr>
                <w:color w:val="auto"/>
              </w:rPr>
              <w:t>rtostatická hypotenzia</w:t>
            </w:r>
          </w:p>
        </w:tc>
      </w:tr>
      <w:tr w:rsidR="00EC50EB" w:rsidRPr="009D7C92" w14:paraId="65C42450" w14:textId="77777777" w:rsidTr="00685680">
        <w:tblPrEx>
          <w:tblCellMar>
            <w:left w:w="113" w:type="dxa"/>
            <w:right w:w="45" w:type="dxa"/>
          </w:tblCellMar>
        </w:tblPrEx>
        <w:trPr>
          <w:trHeight w:val="270"/>
        </w:trPr>
        <w:tc>
          <w:tcPr>
            <w:tcW w:w="2167" w:type="dxa"/>
            <w:tcBorders>
              <w:top w:val="single" w:sz="6" w:space="0" w:color="000000"/>
              <w:left w:val="single" w:sz="6" w:space="0" w:color="000000"/>
              <w:bottom w:val="single" w:sz="6" w:space="0" w:color="000000"/>
              <w:right w:val="single" w:sz="6" w:space="0" w:color="000000"/>
            </w:tcBorders>
          </w:tcPr>
          <w:p w14:paraId="01DA3D9D" w14:textId="77777777" w:rsidR="00EC50EB" w:rsidRPr="009D7C92" w:rsidRDefault="00772DC1" w:rsidP="00EE703D">
            <w:pPr>
              <w:jc w:val="left"/>
              <w:rPr>
                <w:color w:val="auto"/>
              </w:rPr>
            </w:pPr>
            <w:r w:rsidRPr="009D7C92">
              <w:rPr>
                <w:color w:val="auto"/>
              </w:rPr>
              <w:t>Menej časté</w:t>
            </w:r>
          </w:p>
        </w:tc>
        <w:tc>
          <w:tcPr>
            <w:tcW w:w="2522" w:type="dxa"/>
            <w:gridSpan w:val="2"/>
            <w:tcBorders>
              <w:top w:val="single" w:sz="6" w:space="0" w:color="000000"/>
              <w:left w:val="single" w:sz="6" w:space="0" w:color="000000"/>
              <w:bottom w:val="single" w:sz="6" w:space="0" w:color="000000"/>
              <w:right w:val="single" w:sz="6" w:space="0" w:color="000000"/>
            </w:tcBorders>
          </w:tcPr>
          <w:p w14:paraId="2C7A5A39" w14:textId="6B2ECF25" w:rsidR="00EC50EB" w:rsidRPr="009D7C92" w:rsidRDefault="00A957C6" w:rsidP="00211D25">
            <w:pPr>
              <w:jc w:val="left"/>
              <w:rPr>
                <w:color w:val="auto"/>
              </w:rPr>
            </w:pPr>
            <w:r w:rsidRPr="009D7C92">
              <w:rPr>
                <w:color w:val="auto"/>
              </w:rPr>
              <w:t>návaly tepla</w:t>
            </w:r>
          </w:p>
        </w:tc>
        <w:tc>
          <w:tcPr>
            <w:tcW w:w="2009" w:type="dxa"/>
            <w:tcBorders>
              <w:top w:val="single" w:sz="6" w:space="0" w:color="000000"/>
              <w:left w:val="single" w:sz="6" w:space="0" w:color="000000"/>
              <w:bottom w:val="single" w:sz="6" w:space="0" w:color="000000"/>
              <w:right w:val="single" w:sz="6" w:space="0" w:color="000000"/>
            </w:tcBorders>
          </w:tcPr>
          <w:p w14:paraId="6CE3FA4C" w14:textId="77777777" w:rsidR="00EC50EB" w:rsidRPr="009D7C92" w:rsidRDefault="00772DC1" w:rsidP="00F87817">
            <w:pPr>
              <w:jc w:val="left"/>
              <w:rPr>
                <w:color w:val="auto"/>
              </w:rPr>
            </w:pPr>
            <w:r w:rsidRPr="009D7C92">
              <w:rPr>
                <w:color w:val="auto"/>
              </w:rPr>
              <w:t>h</w:t>
            </w:r>
            <w:r w:rsidR="00EC50EB" w:rsidRPr="009D7C92">
              <w:rPr>
                <w:color w:val="auto"/>
              </w:rPr>
              <w:t>ypotenzia</w:t>
            </w:r>
          </w:p>
        </w:tc>
        <w:tc>
          <w:tcPr>
            <w:tcW w:w="2473" w:type="dxa"/>
            <w:gridSpan w:val="2"/>
            <w:tcBorders>
              <w:top w:val="single" w:sz="6" w:space="0" w:color="000000"/>
              <w:left w:val="single" w:sz="6" w:space="0" w:color="000000"/>
              <w:bottom w:val="single" w:sz="6" w:space="0" w:color="000000"/>
              <w:right w:val="single" w:sz="6" w:space="0" w:color="000000"/>
            </w:tcBorders>
          </w:tcPr>
          <w:p w14:paraId="0106324B" w14:textId="77777777" w:rsidR="00EC50EB" w:rsidRPr="009D7C92" w:rsidRDefault="00772DC1">
            <w:pPr>
              <w:jc w:val="left"/>
              <w:rPr>
                <w:color w:val="auto"/>
              </w:rPr>
            </w:pPr>
            <w:r w:rsidRPr="009D7C92">
              <w:rPr>
                <w:color w:val="auto"/>
              </w:rPr>
              <w:t>n</w:t>
            </w:r>
            <w:r w:rsidR="00EC50EB" w:rsidRPr="009D7C92">
              <w:rPr>
                <w:color w:val="auto"/>
              </w:rPr>
              <w:t>ekrotizujúca angitída (vaskulitída, kožná vaskulitída)</w:t>
            </w:r>
          </w:p>
        </w:tc>
      </w:tr>
      <w:tr w:rsidR="00EC50EB" w:rsidRPr="009D7C92" w14:paraId="6603F152" w14:textId="77777777" w:rsidTr="00243692">
        <w:tblPrEx>
          <w:tblCellMar>
            <w:left w:w="113" w:type="dxa"/>
            <w:right w:w="45" w:type="dxa"/>
          </w:tblCellMar>
        </w:tblPrEx>
        <w:trPr>
          <w:trHeight w:val="565"/>
        </w:trPr>
        <w:tc>
          <w:tcPr>
            <w:tcW w:w="2167" w:type="dxa"/>
            <w:tcBorders>
              <w:top w:val="single" w:sz="6" w:space="0" w:color="000000"/>
              <w:left w:val="single" w:sz="6" w:space="0" w:color="000000"/>
              <w:bottom w:val="single" w:sz="6" w:space="0" w:color="000000"/>
              <w:right w:val="single" w:sz="6" w:space="0" w:color="000000"/>
            </w:tcBorders>
          </w:tcPr>
          <w:p w14:paraId="30B1EC54" w14:textId="77777777" w:rsidR="00EC50EB" w:rsidRPr="009D7C92" w:rsidRDefault="00EC50EB" w:rsidP="00EE703D">
            <w:pPr>
              <w:jc w:val="left"/>
              <w:rPr>
                <w:color w:val="auto"/>
              </w:rPr>
            </w:pPr>
            <w:r w:rsidRPr="009D7C92">
              <w:rPr>
                <w:color w:val="auto"/>
              </w:rPr>
              <w:t xml:space="preserve">Zriedkavé </w:t>
            </w:r>
          </w:p>
        </w:tc>
        <w:tc>
          <w:tcPr>
            <w:tcW w:w="2522" w:type="dxa"/>
            <w:gridSpan w:val="2"/>
            <w:tcBorders>
              <w:top w:val="single" w:sz="6" w:space="0" w:color="000000"/>
              <w:left w:val="single" w:sz="6" w:space="0" w:color="000000"/>
              <w:bottom w:val="single" w:sz="6" w:space="0" w:color="000000"/>
              <w:right w:val="single" w:sz="6" w:space="0" w:color="000000"/>
            </w:tcBorders>
          </w:tcPr>
          <w:p w14:paraId="34C41A99" w14:textId="77777777" w:rsidR="00EC50EB" w:rsidRPr="009D7C92" w:rsidRDefault="00772DC1" w:rsidP="00211D25">
            <w:pPr>
              <w:jc w:val="left"/>
              <w:rPr>
                <w:color w:val="auto"/>
              </w:rPr>
            </w:pPr>
            <w:r w:rsidRPr="009D7C92">
              <w:rPr>
                <w:color w:val="auto"/>
              </w:rPr>
              <w:t>v</w:t>
            </w:r>
            <w:r w:rsidR="00EC50EB" w:rsidRPr="009D7C92">
              <w:rPr>
                <w:color w:val="auto"/>
              </w:rPr>
              <w:t xml:space="preserve">askulárna stenóza, hypoperfúzia, vaskulitída </w:t>
            </w:r>
          </w:p>
        </w:tc>
        <w:tc>
          <w:tcPr>
            <w:tcW w:w="2009" w:type="dxa"/>
            <w:tcBorders>
              <w:top w:val="single" w:sz="6" w:space="0" w:color="000000"/>
              <w:left w:val="single" w:sz="6" w:space="0" w:color="000000"/>
              <w:bottom w:val="single" w:sz="6" w:space="0" w:color="000000"/>
              <w:right w:val="single" w:sz="6" w:space="0" w:color="000000"/>
            </w:tcBorders>
          </w:tcPr>
          <w:p w14:paraId="623D2F61" w14:textId="77777777" w:rsidR="00EC50EB" w:rsidRPr="009D7C92" w:rsidRDefault="00EC50EB" w:rsidP="00F87817">
            <w:pPr>
              <w:jc w:val="left"/>
              <w:rPr>
                <w:color w:val="auto"/>
              </w:rPr>
            </w:pPr>
          </w:p>
        </w:tc>
        <w:tc>
          <w:tcPr>
            <w:tcW w:w="2473" w:type="dxa"/>
            <w:gridSpan w:val="2"/>
            <w:tcBorders>
              <w:top w:val="single" w:sz="6" w:space="0" w:color="000000"/>
              <w:left w:val="single" w:sz="6" w:space="0" w:color="000000"/>
              <w:bottom w:val="single" w:sz="6" w:space="0" w:color="000000"/>
              <w:right w:val="single" w:sz="6" w:space="0" w:color="000000"/>
            </w:tcBorders>
          </w:tcPr>
          <w:p w14:paraId="604F873C" w14:textId="77777777" w:rsidR="00EC50EB" w:rsidRPr="009D7C92" w:rsidRDefault="00EC50EB">
            <w:pPr>
              <w:jc w:val="left"/>
              <w:rPr>
                <w:color w:val="auto"/>
              </w:rPr>
            </w:pPr>
            <w:r w:rsidRPr="009D7C92">
              <w:rPr>
                <w:color w:val="auto"/>
              </w:rPr>
              <w:t xml:space="preserve"> </w:t>
            </w:r>
          </w:p>
        </w:tc>
      </w:tr>
      <w:tr w:rsidR="00EC50EB" w:rsidRPr="009D7C92" w14:paraId="0579CA94" w14:textId="77777777" w:rsidTr="00685680">
        <w:tblPrEx>
          <w:tblCellMar>
            <w:left w:w="113" w:type="dxa"/>
            <w:right w:w="45" w:type="dxa"/>
          </w:tblCellMar>
        </w:tblPrEx>
        <w:trPr>
          <w:trHeight w:val="270"/>
        </w:trPr>
        <w:tc>
          <w:tcPr>
            <w:tcW w:w="2167" w:type="dxa"/>
            <w:tcBorders>
              <w:top w:val="single" w:sz="6" w:space="0" w:color="000000"/>
              <w:left w:val="single" w:sz="6" w:space="0" w:color="000000"/>
              <w:bottom w:val="single" w:sz="6" w:space="0" w:color="000000"/>
              <w:right w:val="single" w:sz="6" w:space="0" w:color="000000"/>
            </w:tcBorders>
          </w:tcPr>
          <w:p w14:paraId="404DBF8A" w14:textId="77777777" w:rsidR="00EC50EB" w:rsidRPr="009D7C92" w:rsidRDefault="00EC50EB" w:rsidP="00EE703D">
            <w:pPr>
              <w:jc w:val="left"/>
              <w:rPr>
                <w:color w:val="auto"/>
              </w:rPr>
            </w:pPr>
            <w:r w:rsidRPr="009D7C92">
              <w:rPr>
                <w:color w:val="auto"/>
              </w:rPr>
              <w:lastRenderedPageBreak/>
              <w:t xml:space="preserve">Veľmi zriedkavé </w:t>
            </w:r>
          </w:p>
        </w:tc>
        <w:tc>
          <w:tcPr>
            <w:tcW w:w="2522" w:type="dxa"/>
            <w:gridSpan w:val="2"/>
            <w:tcBorders>
              <w:top w:val="single" w:sz="6" w:space="0" w:color="000000"/>
              <w:left w:val="single" w:sz="6" w:space="0" w:color="000000"/>
              <w:bottom w:val="single" w:sz="6" w:space="0" w:color="000000"/>
              <w:right w:val="single" w:sz="6" w:space="0" w:color="000000"/>
            </w:tcBorders>
          </w:tcPr>
          <w:p w14:paraId="01B9E86E" w14:textId="77777777" w:rsidR="00EC50EB" w:rsidRPr="009D7C92" w:rsidRDefault="00EC50EB" w:rsidP="00211D25">
            <w:pPr>
              <w:jc w:val="left"/>
              <w:rPr>
                <w:color w:val="auto"/>
              </w:rPr>
            </w:pPr>
            <w:r w:rsidRPr="009D7C92">
              <w:rPr>
                <w:color w:val="auto"/>
              </w:rPr>
              <w:t xml:space="preserve"> </w:t>
            </w:r>
          </w:p>
        </w:tc>
        <w:tc>
          <w:tcPr>
            <w:tcW w:w="2009" w:type="dxa"/>
            <w:tcBorders>
              <w:top w:val="single" w:sz="6" w:space="0" w:color="000000"/>
              <w:left w:val="single" w:sz="6" w:space="0" w:color="000000"/>
              <w:bottom w:val="single" w:sz="6" w:space="0" w:color="000000"/>
              <w:right w:val="single" w:sz="6" w:space="0" w:color="000000"/>
            </w:tcBorders>
          </w:tcPr>
          <w:p w14:paraId="54166886" w14:textId="77777777" w:rsidR="00EC50EB" w:rsidRPr="009D7C92" w:rsidRDefault="00772DC1" w:rsidP="00F87817">
            <w:pPr>
              <w:jc w:val="left"/>
              <w:rPr>
                <w:color w:val="auto"/>
              </w:rPr>
            </w:pPr>
            <w:r w:rsidRPr="009D7C92">
              <w:rPr>
                <w:color w:val="auto"/>
              </w:rPr>
              <w:t>v</w:t>
            </w:r>
            <w:r w:rsidR="00EC50EB" w:rsidRPr="009D7C92">
              <w:rPr>
                <w:color w:val="auto"/>
              </w:rPr>
              <w:t>askulitída</w:t>
            </w:r>
          </w:p>
        </w:tc>
        <w:tc>
          <w:tcPr>
            <w:tcW w:w="2473" w:type="dxa"/>
            <w:gridSpan w:val="2"/>
            <w:tcBorders>
              <w:top w:val="single" w:sz="6" w:space="0" w:color="000000"/>
              <w:left w:val="single" w:sz="6" w:space="0" w:color="000000"/>
              <w:bottom w:val="single" w:sz="6" w:space="0" w:color="000000"/>
              <w:right w:val="single" w:sz="6" w:space="0" w:color="000000"/>
            </w:tcBorders>
          </w:tcPr>
          <w:p w14:paraId="7AB4CF18" w14:textId="77777777" w:rsidR="00EC50EB" w:rsidRPr="009D7C92" w:rsidRDefault="00EC50EB">
            <w:pPr>
              <w:jc w:val="left"/>
              <w:rPr>
                <w:color w:val="auto"/>
              </w:rPr>
            </w:pPr>
          </w:p>
        </w:tc>
      </w:tr>
      <w:tr w:rsidR="00EC50EB" w:rsidRPr="009D7C92" w14:paraId="4CFA3229" w14:textId="77777777" w:rsidTr="00243692">
        <w:tblPrEx>
          <w:tblCellMar>
            <w:left w:w="113" w:type="dxa"/>
            <w:right w:w="45" w:type="dxa"/>
          </w:tblCellMar>
        </w:tblPrEx>
        <w:trPr>
          <w:trHeight w:val="312"/>
        </w:trPr>
        <w:tc>
          <w:tcPr>
            <w:tcW w:w="2167" w:type="dxa"/>
            <w:tcBorders>
              <w:top w:val="single" w:sz="6" w:space="0" w:color="000000"/>
              <w:left w:val="single" w:sz="6" w:space="0" w:color="000000"/>
              <w:bottom w:val="single" w:sz="6" w:space="0" w:color="000000"/>
              <w:right w:val="single" w:sz="6" w:space="0" w:color="000000"/>
            </w:tcBorders>
          </w:tcPr>
          <w:p w14:paraId="0E265303" w14:textId="5876A751" w:rsidR="00EC50EB" w:rsidRPr="009D7C92" w:rsidRDefault="00EC50EB">
            <w:pPr>
              <w:jc w:val="left"/>
              <w:rPr>
                <w:color w:val="auto"/>
              </w:rPr>
            </w:pPr>
            <w:r w:rsidRPr="009D7C92">
              <w:rPr>
                <w:color w:val="auto"/>
              </w:rPr>
              <w:t xml:space="preserve">Neznáme </w:t>
            </w:r>
          </w:p>
        </w:tc>
        <w:tc>
          <w:tcPr>
            <w:tcW w:w="2522" w:type="dxa"/>
            <w:gridSpan w:val="2"/>
            <w:tcBorders>
              <w:top w:val="single" w:sz="6" w:space="0" w:color="000000"/>
              <w:left w:val="single" w:sz="6" w:space="0" w:color="000000"/>
              <w:bottom w:val="single" w:sz="6" w:space="0" w:color="000000"/>
              <w:right w:val="single" w:sz="6" w:space="0" w:color="000000"/>
            </w:tcBorders>
          </w:tcPr>
          <w:p w14:paraId="6F4B5D73" w14:textId="5AFDAAA9" w:rsidR="00EC50EB" w:rsidRPr="009D7C92" w:rsidRDefault="00EC50EB" w:rsidP="00F87817">
            <w:pPr>
              <w:jc w:val="left"/>
              <w:rPr>
                <w:color w:val="auto"/>
              </w:rPr>
            </w:pPr>
            <w:r w:rsidRPr="009D7C92">
              <w:rPr>
                <w:color w:val="auto"/>
              </w:rPr>
              <w:t xml:space="preserve">Raynaudov </w:t>
            </w:r>
            <w:r w:rsidR="00A957C6" w:rsidRPr="009D7C92">
              <w:rPr>
                <w:color w:val="auto"/>
              </w:rPr>
              <w:t xml:space="preserve">fenomén </w:t>
            </w:r>
          </w:p>
        </w:tc>
        <w:tc>
          <w:tcPr>
            <w:tcW w:w="2009" w:type="dxa"/>
            <w:tcBorders>
              <w:top w:val="single" w:sz="6" w:space="0" w:color="000000"/>
              <w:left w:val="single" w:sz="6" w:space="0" w:color="000000"/>
              <w:bottom w:val="single" w:sz="6" w:space="0" w:color="000000"/>
              <w:right w:val="single" w:sz="6" w:space="0" w:color="000000"/>
            </w:tcBorders>
          </w:tcPr>
          <w:p w14:paraId="394CE9EE" w14:textId="77777777" w:rsidR="00EC50EB" w:rsidRPr="009D7C92" w:rsidRDefault="00EC50EB">
            <w:pPr>
              <w:jc w:val="left"/>
              <w:rPr>
                <w:color w:val="auto"/>
              </w:rPr>
            </w:pPr>
          </w:p>
        </w:tc>
        <w:tc>
          <w:tcPr>
            <w:tcW w:w="2473" w:type="dxa"/>
            <w:gridSpan w:val="2"/>
            <w:tcBorders>
              <w:top w:val="single" w:sz="6" w:space="0" w:color="000000"/>
              <w:left w:val="single" w:sz="6" w:space="0" w:color="000000"/>
              <w:bottom w:val="single" w:sz="6" w:space="0" w:color="000000"/>
              <w:right w:val="single" w:sz="6" w:space="0" w:color="000000"/>
            </w:tcBorders>
          </w:tcPr>
          <w:p w14:paraId="56B731B1" w14:textId="77777777" w:rsidR="00EC50EB" w:rsidRPr="009D7C92" w:rsidRDefault="00EC50EB">
            <w:pPr>
              <w:jc w:val="left"/>
              <w:rPr>
                <w:color w:val="auto"/>
              </w:rPr>
            </w:pPr>
            <w:r w:rsidRPr="009D7C92">
              <w:rPr>
                <w:color w:val="auto"/>
              </w:rPr>
              <w:t xml:space="preserve"> </w:t>
            </w:r>
          </w:p>
        </w:tc>
      </w:tr>
      <w:tr w:rsidR="00EC50EB" w:rsidRPr="009D7C92" w14:paraId="37DF48D1" w14:textId="77777777" w:rsidTr="002B66E0">
        <w:tblPrEx>
          <w:tblCellMar>
            <w:left w:w="113" w:type="dxa"/>
            <w:right w:w="45" w:type="dxa"/>
          </w:tblCellMar>
        </w:tblPrEx>
        <w:trPr>
          <w:trHeight w:val="331"/>
        </w:trPr>
        <w:tc>
          <w:tcPr>
            <w:tcW w:w="9171" w:type="dxa"/>
            <w:gridSpan w:val="6"/>
            <w:tcBorders>
              <w:top w:val="single" w:sz="6" w:space="0" w:color="000000"/>
              <w:left w:val="single" w:sz="6" w:space="0" w:color="000000"/>
              <w:bottom w:val="single" w:sz="6" w:space="0" w:color="000000"/>
              <w:right w:val="single" w:sz="6" w:space="0" w:color="000000"/>
            </w:tcBorders>
          </w:tcPr>
          <w:p w14:paraId="35632716" w14:textId="77777777" w:rsidR="00EC50EB" w:rsidRPr="009D7C92" w:rsidRDefault="00EC50EB" w:rsidP="00EE703D">
            <w:pPr>
              <w:jc w:val="left"/>
              <w:rPr>
                <w:b/>
                <w:i/>
                <w:color w:val="auto"/>
              </w:rPr>
            </w:pPr>
            <w:r w:rsidRPr="009D7C92">
              <w:rPr>
                <w:b/>
                <w:i/>
                <w:color w:val="auto"/>
              </w:rPr>
              <w:t>Poruchy dýchacej sústavy, hrudníka a mediastína</w:t>
            </w:r>
          </w:p>
        </w:tc>
      </w:tr>
      <w:tr w:rsidR="00EC50EB" w:rsidRPr="009D7C92" w14:paraId="59811F14" w14:textId="77777777" w:rsidTr="00243692">
        <w:tblPrEx>
          <w:tblCellMar>
            <w:left w:w="113" w:type="dxa"/>
            <w:right w:w="44" w:type="dxa"/>
          </w:tblCellMar>
        </w:tblPrEx>
        <w:trPr>
          <w:trHeight w:val="849"/>
        </w:trPr>
        <w:tc>
          <w:tcPr>
            <w:tcW w:w="2167" w:type="dxa"/>
            <w:tcBorders>
              <w:top w:val="single" w:sz="6" w:space="0" w:color="000000"/>
              <w:left w:val="single" w:sz="6" w:space="0" w:color="000000"/>
              <w:bottom w:val="single" w:sz="6" w:space="0" w:color="000000"/>
              <w:right w:val="single" w:sz="6" w:space="0" w:color="000000"/>
            </w:tcBorders>
          </w:tcPr>
          <w:p w14:paraId="0BF93AE4" w14:textId="77777777" w:rsidR="00EC50EB" w:rsidRPr="009D7C92" w:rsidRDefault="00E62C4D" w:rsidP="00EE703D">
            <w:pPr>
              <w:jc w:val="left"/>
              <w:rPr>
                <w:color w:val="auto"/>
              </w:rPr>
            </w:pPr>
            <w:r w:rsidRPr="009D7C92">
              <w:rPr>
                <w:color w:val="auto"/>
              </w:rPr>
              <w:t>Časté</w:t>
            </w:r>
          </w:p>
        </w:tc>
        <w:tc>
          <w:tcPr>
            <w:tcW w:w="2522" w:type="dxa"/>
            <w:gridSpan w:val="2"/>
            <w:tcBorders>
              <w:top w:val="single" w:sz="6" w:space="0" w:color="000000"/>
              <w:left w:val="single" w:sz="6" w:space="0" w:color="000000"/>
              <w:bottom w:val="single" w:sz="6" w:space="0" w:color="000000"/>
              <w:right w:val="single" w:sz="6" w:space="0" w:color="000000"/>
            </w:tcBorders>
          </w:tcPr>
          <w:p w14:paraId="735502CF" w14:textId="33C11AC4" w:rsidR="00EC50EB" w:rsidRPr="009D7C92" w:rsidRDefault="00BD6D16" w:rsidP="00211D25">
            <w:pPr>
              <w:jc w:val="left"/>
              <w:rPr>
                <w:color w:val="auto"/>
              </w:rPr>
            </w:pPr>
            <w:r w:rsidRPr="009D7C92">
              <w:rPr>
                <w:color w:val="auto"/>
              </w:rPr>
              <w:t>n</w:t>
            </w:r>
            <w:r w:rsidR="00EC50EB" w:rsidRPr="009D7C92">
              <w:rPr>
                <w:color w:val="auto"/>
              </w:rPr>
              <w:t xml:space="preserve">eproduktívny </w:t>
            </w:r>
            <w:r w:rsidR="00A957C6" w:rsidRPr="009D7C92">
              <w:rPr>
                <w:color w:val="auto"/>
              </w:rPr>
              <w:t xml:space="preserve">dráždivý </w:t>
            </w:r>
            <w:r w:rsidR="00EC50EB" w:rsidRPr="009D7C92">
              <w:rPr>
                <w:color w:val="auto"/>
              </w:rPr>
              <w:t>kašeľ, bronchitída, s</w:t>
            </w:r>
            <w:r w:rsidR="00A957C6" w:rsidRPr="009D7C92">
              <w:rPr>
                <w:color w:val="auto"/>
              </w:rPr>
              <w:t>í</w:t>
            </w:r>
            <w:r w:rsidR="00EC50EB" w:rsidRPr="009D7C92">
              <w:rPr>
                <w:color w:val="auto"/>
              </w:rPr>
              <w:t xml:space="preserve">nusitída, dyspnoe </w:t>
            </w:r>
          </w:p>
        </w:tc>
        <w:tc>
          <w:tcPr>
            <w:tcW w:w="2009" w:type="dxa"/>
            <w:tcBorders>
              <w:top w:val="single" w:sz="6" w:space="0" w:color="000000"/>
              <w:left w:val="single" w:sz="6" w:space="0" w:color="000000"/>
              <w:bottom w:val="single" w:sz="6" w:space="0" w:color="000000"/>
              <w:right w:val="single" w:sz="6" w:space="0" w:color="000000"/>
            </w:tcBorders>
          </w:tcPr>
          <w:p w14:paraId="1F59B211" w14:textId="77777777" w:rsidR="00EC50EB" w:rsidRPr="009D7C92" w:rsidRDefault="00BD6D16" w:rsidP="00F87817">
            <w:pPr>
              <w:jc w:val="left"/>
              <w:rPr>
                <w:color w:val="auto"/>
              </w:rPr>
            </w:pPr>
            <w:r w:rsidRPr="009D7C92">
              <w:rPr>
                <w:color w:val="auto"/>
              </w:rPr>
              <w:t>d</w:t>
            </w:r>
            <w:r w:rsidR="00EC50EB" w:rsidRPr="009D7C92">
              <w:rPr>
                <w:color w:val="auto"/>
              </w:rPr>
              <w:t>yspnoe</w:t>
            </w:r>
          </w:p>
        </w:tc>
        <w:tc>
          <w:tcPr>
            <w:tcW w:w="2473" w:type="dxa"/>
            <w:gridSpan w:val="2"/>
            <w:tcBorders>
              <w:top w:val="single" w:sz="6" w:space="0" w:color="000000"/>
              <w:left w:val="single" w:sz="6" w:space="0" w:color="000000"/>
              <w:bottom w:val="single" w:sz="6" w:space="0" w:color="000000"/>
              <w:right w:val="single" w:sz="6" w:space="0" w:color="000000"/>
            </w:tcBorders>
          </w:tcPr>
          <w:p w14:paraId="4F10FB2F" w14:textId="77777777" w:rsidR="00EC50EB" w:rsidRPr="009D7C92" w:rsidRDefault="00EC50EB">
            <w:pPr>
              <w:jc w:val="left"/>
              <w:rPr>
                <w:color w:val="auto"/>
              </w:rPr>
            </w:pPr>
            <w:r w:rsidRPr="009D7C92">
              <w:rPr>
                <w:color w:val="auto"/>
              </w:rPr>
              <w:t xml:space="preserve"> </w:t>
            </w:r>
          </w:p>
        </w:tc>
      </w:tr>
      <w:tr w:rsidR="00EC50EB" w:rsidRPr="009D7C92" w14:paraId="1B0C2DB3" w14:textId="77777777" w:rsidTr="00243692">
        <w:tblPrEx>
          <w:tblCellMar>
            <w:left w:w="113" w:type="dxa"/>
            <w:right w:w="44" w:type="dxa"/>
          </w:tblCellMar>
        </w:tblPrEx>
        <w:trPr>
          <w:trHeight w:val="779"/>
        </w:trPr>
        <w:tc>
          <w:tcPr>
            <w:tcW w:w="2167" w:type="dxa"/>
            <w:tcBorders>
              <w:top w:val="single" w:sz="6" w:space="0" w:color="000000"/>
              <w:left w:val="single" w:sz="6" w:space="0" w:color="000000"/>
              <w:bottom w:val="single" w:sz="6" w:space="0" w:color="000000"/>
              <w:right w:val="single" w:sz="6" w:space="0" w:color="000000"/>
            </w:tcBorders>
          </w:tcPr>
          <w:p w14:paraId="49921669" w14:textId="77777777" w:rsidR="00EC50EB" w:rsidRPr="009D7C92" w:rsidRDefault="00BD6D16" w:rsidP="00EE703D">
            <w:pPr>
              <w:jc w:val="left"/>
              <w:rPr>
                <w:color w:val="auto"/>
              </w:rPr>
            </w:pPr>
            <w:r w:rsidRPr="009D7C92">
              <w:rPr>
                <w:color w:val="auto"/>
              </w:rPr>
              <w:t>Menej časté</w:t>
            </w:r>
          </w:p>
        </w:tc>
        <w:tc>
          <w:tcPr>
            <w:tcW w:w="2522" w:type="dxa"/>
            <w:gridSpan w:val="2"/>
            <w:tcBorders>
              <w:top w:val="single" w:sz="6" w:space="0" w:color="000000"/>
              <w:left w:val="single" w:sz="6" w:space="0" w:color="000000"/>
              <w:bottom w:val="single" w:sz="6" w:space="0" w:color="000000"/>
              <w:right w:val="single" w:sz="6" w:space="0" w:color="000000"/>
            </w:tcBorders>
          </w:tcPr>
          <w:p w14:paraId="04729350" w14:textId="77777777" w:rsidR="00EC50EB" w:rsidRPr="009D7C92" w:rsidRDefault="00BD6D16" w:rsidP="00211D25">
            <w:pPr>
              <w:jc w:val="left"/>
              <w:rPr>
                <w:color w:val="auto"/>
              </w:rPr>
            </w:pPr>
            <w:r w:rsidRPr="009D7C92">
              <w:rPr>
                <w:color w:val="auto"/>
              </w:rPr>
              <w:t>b</w:t>
            </w:r>
            <w:r w:rsidR="00EC50EB" w:rsidRPr="009D7C92">
              <w:rPr>
                <w:color w:val="auto"/>
              </w:rPr>
              <w:t>ronchospazmus vrátane zhoršeni</w:t>
            </w:r>
            <w:r w:rsidRPr="009D7C92">
              <w:rPr>
                <w:color w:val="auto"/>
              </w:rPr>
              <w:t>a</w:t>
            </w:r>
            <w:r w:rsidR="00EC50EB" w:rsidRPr="009D7C92">
              <w:rPr>
                <w:color w:val="auto"/>
              </w:rPr>
              <w:t xml:space="preserve"> astmy, upchati</w:t>
            </w:r>
            <w:r w:rsidRPr="009D7C92">
              <w:rPr>
                <w:color w:val="auto"/>
              </w:rPr>
              <w:t>e</w:t>
            </w:r>
            <w:r w:rsidR="00EC50EB" w:rsidRPr="009D7C92">
              <w:rPr>
                <w:color w:val="auto"/>
              </w:rPr>
              <w:t xml:space="preserve"> nosa </w:t>
            </w:r>
          </w:p>
        </w:tc>
        <w:tc>
          <w:tcPr>
            <w:tcW w:w="2009" w:type="dxa"/>
            <w:tcBorders>
              <w:top w:val="single" w:sz="6" w:space="0" w:color="000000"/>
              <w:left w:val="single" w:sz="6" w:space="0" w:color="000000"/>
              <w:bottom w:val="single" w:sz="6" w:space="0" w:color="000000"/>
              <w:right w:val="single" w:sz="6" w:space="0" w:color="000000"/>
            </w:tcBorders>
          </w:tcPr>
          <w:p w14:paraId="3A8A1D62" w14:textId="77777777" w:rsidR="00EC50EB" w:rsidRPr="009D7C92" w:rsidRDefault="00BD6D16" w:rsidP="00F87817">
            <w:pPr>
              <w:jc w:val="left"/>
              <w:rPr>
                <w:color w:val="auto"/>
              </w:rPr>
            </w:pPr>
            <w:r w:rsidRPr="009D7C92">
              <w:rPr>
                <w:color w:val="auto"/>
              </w:rPr>
              <w:t>k</w:t>
            </w:r>
            <w:r w:rsidR="00EC50EB" w:rsidRPr="009D7C92">
              <w:rPr>
                <w:color w:val="auto"/>
              </w:rPr>
              <w:t>ašeľ, rinitída</w:t>
            </w:r>
          </w:p>
        </w:tc>
        <w:tc>
          <w:tcPr>
            <w:tcW w:w="2473" w:type="dxa"/>
            <w:gridSpan w:val="2"/>
            <w:tcBorders>
              <w:top w:val="single" w:sz="6" w:space="0" w:color="000000"/>
              <w:left w:val="single" w:sz="6" w:space="0" w:color="000000"/>
              <w:bottom w:val="single" w:sz="6" w:space="0" w:color="000000"/>
              <w:right w:val="single" w:sz="6" w:space="0" w:color="000000"/>
            </w:tcBorders>
          </w:tcPr>
          <w:p w14:paraId="5F9610B7" w14:textId="77777777" w:rsidR="00EC50EB" w:rsidRPr="009D7C92" w:rsidRDefault="00EC50EB">
            <w:pPr>
              <w:jc w:val="left"/>
              <w:rPr>
                <w:color w:val="auto"/>
              </w:rPr>
            </w:pPr>
          </w:p>
        </w:tc>
      </w:tr>
      <w:tr w:rsidR="00EC50EB" w:rsidRPr="009D7C92" w14:paraId="024E61BB" w14:textId="77777777" w:rsidTr="00685680">
        <w:tblPrEx>
          <w:tblCellMar>
            <w:left w:w="113" w:type="dxa"/>
            <w:right w:w="44" w:type="dxa"/>
          </w:tblCellMar>
        </w:tblPrEx>
        <w:trPr>
          <w:trHeight w:val="270"/>
        </w:trPr>
        <w:tc>
          <w:tcPr>
            <w:tcW w:w="2167" w:type="dxa"/>
            <w:tcBorders>
              <w:top w:val="single" w:sz="6" w:space="0" w:color="000000"/>
              <w:left w:val="single" w:sz="6" w:space="0" w:color="000000"/>
              <w:bottom w:val="single" w:sz="6" w:space="0" w:color="000000"/>
              <w:right w:val="single" w:sz="6" w:space="0" w:color="000000"/>
            </w:tcBorders>
          </w:tcPr>
          <w:p w14:paraId="3D41F11D" w14:textId="77777777" w:rsidR="00EC50EB" w:rsidRPr="009D7C92" w:rsidRDefault="00EC50EB" w:rsidP="00EE703D">
            <w:pPr>
              <w:jc w:val="left"/>
              <w:rPr>
                <w:color w:val="auto"/>
              </w:rPr>
            </w:pPr>
            <w:r w:rsidRPr="009D7C92">
              <w:rPr>
                <w:color w:val="auto"/>
              </w:rPr>
              <w:t xml:space="preserve">Veľmi zriedkavé </w:t>
            </w:r>
          </w:p>
        </w:tc>
        <w:tc>
          <w:tcPr>
            <w:tcW w:w="2522" w:type="dxa"/>
            <w:gridSpan w:val="2"/>
            <w:tcBorders>
              <w:top w:val="single" w:sz="6" w:space="0" w:color="000000"/>
              <w:left w:val="single" w:sz="6" w:space="0" w:color="000000"/>
              <w:bottom w:val="single" w:sz="6" w:space="0" w:color="000000"/>
              <w:right w:val="single" w:sz="6" w:space="0" w:color="000000"/>
            </w:tcBorders>
          </w:tcPr>
          <w:p w14:paraId="25CBAB25" w14:textId="77777777" w:rsidR="00EC50EB" w:rsidRPr="009D7C92" w:rsidRDefault="00EC50EB" w:rsidP="00211D25">
            <w:pPr>
              <w:jc w:val="left"/>
              <w:rPr>
                <w:color w:val="auto"/>
              </w:rPr>
            </w:pPr>
            <w:r w:rsidRPr="009D7C92">
              <w:rPr>
                <w:color w:val="auto"/>
              </w:rPr>
              <w:t xml:space="preserve"> </w:t>
            </w:r>
          </w:p>
        </w:tc>
        <w:tc>
          <w:tcPr>
            <w:tcW w:w="2009" w:type="dxa"/>
            <w:tcBorders>
              <w:top w:val="single" w:sz="6" w:space="0" w:color="000000"/>
              <w:left w:val="single" w:sz="6" w:space="0" w:color="000000"/>
              <w:bottom w:val="single" w:sz="6" w:space="0" w:color="000000"/>
              <w:right w:val="single" w:sz="6" w:space="0" w:color="000000"/>
            </w:tcBorders>
          </w:tcPr>
          <w:p w14:paraId="11717A78" w14:textId="77777777" w:rsidR="00EC50EB" w:rsidRPr="009D7C92" w:rsidRDefault="00EC50EB" w:rsidP="00F87817">
            <w:pPr>
              <w:jc w:val="left"/>
              <w:rPr>
                <w:color w:val="auto"/>
              </w:rPr>
            </w:pPr>
          </w:p>
        </w:tc>
        <w:tc>
          <w:tcPr>
            <w:tcW w:w="2473" w:type="dxa"/>
            <w:gridSpan w:val="2"/>
            <w:tcBorders>
              <w:top w:val="single" w:sz="6" w:space="0" w:color="000000"/>
              <w:left w:val="single" w:sz="6" w:space="0" w:color="000000"/>
              <w:bottom w:val="single" w:sz="6" w:space="0" w:color="000000"/>
              <w:right w:val="single" w:sz="6" w:space="0" w:color="000000"/>
            </w:tcBorders>
          </w:tcPr>
          <w:p w14:paraId="497400C5" w14:textId="77777777" w:rsidR="00EC50EB" w:rsidRPr="009D7C92" w:rsidRDefault="00BD6D16">
            <w:pPr>
              <w:jc w:val="left"/>
              <w:rPr>
                <w:color w:val="auto"/>
              </w:rPr>
            </w:pPr>
            <w:r w:rsidRPr="009D7C92">
              <w:rPr>
                <w:color w:val="auto"/>
              </w:rPr>
              <w:t>r</w:t>
            </w:r>
            <w:r w:rsidR="00EC50EB" w:rsidRPr="009D7C92">
              <w:rPr>
                <w:color w:val="auto"/>
              </w:rPr>
              <w:t>espiračné ťažkosti (vrátane pneumonitídy a pľúcneho edému)</w:t>
            </w:r>
          </w:p>
        </w:tc>
      </w:tr>
      <w:tr w:rsidR="00EC50EB" w:rsidRPr="009D7C92" w14:paraId="12EC1025" w14:textId="77777777" w:rsidTr="002B66E0">
        <w:tblPrEx>
          <w:tblCellMar>
            <w:left w:w="113" w:type="dxa"/>
            <w:right w:w="44" w:type="dxa"/>
          </w:tblCellMar>
        </w:tblPrEx>
        <w:trPr>
          <w:trHeight w:val="270"/>
        </w:trPr>
        <w:tc>
          <w:tcPr>
            <w:tcW w:w="9171" w:type="dxa"/>
            <w:gridSpan w:val="6"/>
            <w:tcBorders>
              <w:top w:val="single" w:sz="6" w:space="0" w:color="000000"/>
              <w:left w:val="single" w:sz="6" w:space="0" w:color="000000"/>
              <w:bottom w:val="single" w:sz="6" w:space="0" w:color="000000"/>
              <w:right w:val="single" w:sz="6" w:space="0" w:color="000000"/>
            </w:tcBorders>
          </w:tcPr>
          <w:p w14:paraId="14080672" w14:textId="77777777" w:rsidR="00EC50EB" w:rsidRPr="009D7C92" w:rsidRDefault="00E62C4D" w:rsidP="00EE703D">
            <w:pPr>
              <w:jc w:val="left"/>
              <w:rPr>
                <w:b/>
                <w:i/>
                <w:color w:val="auto"/>
              </w:rPr>
            </w:pPr>
            <w:r w:rsidRPr="009D7C92">
              <w:rPr>
                <w:b/>
                <w:i/>
                <w:color w:val="auto"/>
              </w:rPr>
              <w:t>Poruchy g</w:t>
            </w:r>
            <w:r w:rsidR="00EC50EB" w:rsidRPr="009D7C92">
              <w:rPr>
                <w:b/>
                <w:i/>
                <w:color w:val="auto"/>
              </w:rPr>
              <w:t>astrointestinálne</w:t>
            </w:r>
            <w:r w:rsidRPr="009D7C92">
              <w:rPr>
                <w:b/>
                <w:i/>
                <w:color w:val="auto"/>
              </w:rPr>
              <w:t>ho traktu</w:t>
            </w:r>
            <w:r w:rsidR="00EC50EB" w:rsidRPr="009D7C92">
              <w:rPr>
                <w:b/>
                <w:i/>
                <w:color w:val="auto"/>
              </w:rPr>
              <w:t xml:space="preserve"> </w:t>
            </w:r>
          </w:p>
        </w:tc>
      </w:tr>
      <w:tr w:rsidR="00EC50EB" w:rsidRPr="009D7C92" w14:paraId="1F974FD6" w14:textId="77777777" w:rsidTr="00243692">
        <w:tblPrEx>
          <w:tblCellMar>
            <w:left w:w="113" w:type="dxa"/>
            <w:right w:w="44" w:type="dxa"/>
          </w:tblCellMar>
        </w:tblPrEx>
        <w:trPr>
          <w:trHeight w:val="1266"/>
        </w:trPr>
        <w:tc>
          <w:tcPr>
            <w:tcW w:w="2167" w:type="dxa"/>
            <w:tcBorders>
              <w:top w:val="single" w:sz="6" w:space="0" w:color="000000"/>
              <w:left w:val="single" w:sz="6" w:space="0" w:color="000000"/>
              <w:bottom w:val="single" w:sz="6" w:space="0" w:color="000000"/>
              <w:right w:val="single" w:sz="6" w:space="0" w:color="000000"/>
            </w:tcBorders>
          </w:tcPr>
          <w:p w14:paraId="053425ED" w14:textId="77777777" w:rsidR="00EC50EB" w:rsidRPr="009D7C92" w:rsidRDefault="00E62C4D" w:rsidP="00EE703D">
            <w:pPr>
              <w:jc w:val="left"/>
              <w:rPr>
                <w:color w:val="auto"/>
              </w:rPr>
            </w:pPr>
            <w:r w:rsidRPr="009D7C92">
              <w:rPr>
                <w:color w:val="auto"/>
              </w:rPr>
              <w:t>Časté</w:t>
            </w:r>
          </w:p>
        </w:tc>
        <w:tc>
          <w:tcPr>
            <w:tcW w:w="2522" w:type="dxa"/>
            <w:gridSpan w:val="2"/>
            <w:tcBorders>
              <w:top w:val="single" w:sz="6" w:space="0" w:color="000000"/>
              <w:left w:val="single" w:sz="6" w:space="0" w:color="000000"/>
              <w:bottom w:val="single" w:sz="6" w:space="0" w:color="000000"/>
              <w:right w:val="single" w:sz="6" w:space="0" w:color="000000"/>
            </w:tcBorders>
          </w:tcPr>
          <w:p w14:paraId="3C9F9757" w14:textId="77777777" w:rsidR="00EC50EB" w:rsidRPr="009D7C92" w:rsidRDefault="00BD6D16" w:rsidP="00211D25">
            <w:pPr>
              <w:jc w:val="left"/>
              <w:rPr>
                <w:color w:val="auto"/>
              </w:rPr>
            </w:pPr>
            <w:r w:rsidRPr="009D7C92">
              <w:rPr>
                <w:color w:val="auto"/>
              </w:rPr>
              <w:t>g</w:t>
            </w:r>
            <w:r w:rsidR="00EC50EB" w:rsidRPr="009D7C92">
              <w:rPr>
                <w:color w:val="auto"/>
              </w:rPr>
              <w:t xml:space="preserve">astrointestinálny zápal, poruchy trávenia, abdominálny diskomfort, dyspepsia, hnačka, nevoľnosť, vracanie </w:t>
            </w:r>
          </w:p>
        </w:tc>
        <w:tc>
          <w:tcPr>
            <w:tcW w:w="2009" w:type="dxa"/>
            <w:tcBorders>
              <w:top w:val="single" w:sz="6" w:space="0" w:color="000000"/>
              <w:left w:val="single" w:sz="6" w:space="0" w:color="000000"/>
              <w:bottom w:val="single" w:sz="6" w:space="0" w:color="000000"/>
              <w:right w:val="single" w:sz="6" w:space="0" w:color="000000"/>
            </w:tcBorders>
          </w:tcPr>
          <w:p w14:paraId="517DBED2" w14:textId="10C308F8" w:rsidR="00EC50EB" w:rsidRPr="009D7C92" w:rsidRDefault="00BD6D16" w:rsidP="00F87817">
            <w:pPr>
              <w:jc w:val="left"/>
              <w:rPr>
                <w:color w:val="auto"/>
              </w:rPr>
            </w:pPr>
            <w:r w:rsidRPr="009D7C92">
              <w:rPr>
                <w:color w:val="auto"/>
              </w:rPr>
              <w:t>n</w:t>
            </w:r>
            <w:r w:rsidR="00EC50EB" w:rsidRPr="009D7C92">
              <w:rPr>
                <w:color w:val="auto"/>
              </w:rPr>
              <w:t>auzea, bolesť brucha, dyspepsia, zmenen</w:t>
            </w:r>
            <w:r w:rsidR="00122CC8" w:rsidRPr="009D7C92">
              <w:rPr>
                <w:color w:val="auto"/>
              </w:rPr>
              <w:t>ý</w:t>
            </w:r>
            <w:r w:rsidR="00EC50EB" w:rsidRPr="009D7C92">
              <w:rPr>
                <w:color w:val="auto"/>
              </w:rPr>
              <w:t xml:space="preserve"> </w:t>
            </w:r>
            <w:r w:rsidR="00A957C6" w:rsidRPr="009D7C92">
              <w:rPr>
                <w:color w:val="auto"/>
              </w:rPr>
              <w:t>počet stolíc</w:t>
            </w:r>
            <w:r w:rsidRPr="009D7C92">
              <w:rPr>
                <w:color w:val="auto"/>
              </w:rPr>
              <w:t xml:space="preserve"> (vrátane hnačky a zápchy)</w:t>
            </w:r>
          </w:p>
        </w:tc>
        <w:tc>
          <w:tcPr>
            <w:tcW w:w="2473" w:type="dxa"/>
            <w:gridSpan w:val="2"/>
            <w:tcBorders>
              <w:top w:val="single" w:sz="6" w:space="0" w:color="000000"/>
              <w:left w:val="single" w:sz="6" w:space="0" w:color="000000"/>
              <w:bottom w:val="single" w:sz="6" w:space="0" w:color="000000"/>
              <w:right w:val="single" w:sz="6" w:space="0" w:color="000000"/>
            </w:tcBorders>
          </w:tcPr>
          <w:p w14:paraId="600E4C70" w14:textId="7FA19485" w:rsidR="00EC50EB" w:rsidRPr="009D7C92" w:rsidRDefault="00BD6D16">
            <w:pPr>
              <w:jc w:val="left"/>
              <w:rPr>
                <w:color w:val="auto"/>
              </w:rPr>
            </w:pPr>
            <w:r w:rsidRPr="009D7C92">
              <w:t>n</w:t>
            </w:r>
            <w:r w:rsidR="00EC50EB" w:rsidRPr="009D7C92">
              <w:t xml:space="preserve">evoľnosť, vracanie, hnačka, </w:t>
            </w:r>
            <w:r w:rsidR="00A957C6" w:rsidRPr="009D7C92">
              <w:t>spazmy</w:t>
            </w:r>
            <w:r w:rsidR="00EC50EB" w:rsidRPr="009D7C92">
              <w:t xml:space="preserve">, strata </w:t>
            </w:r>
            <w:r w:rsidR="00A957C6" w:rsidRPr="009D7C92">
              <w:t>chuti do jedla</w:t>
            </w:r>
          </w:p>
        </w:tc>
      </w:tr>
      <w:tr w:rsidR="00EC50EB" w:rsidRPr="009D7C92" w14:paraId="17D8B45F" w14:textId="77777777" w:rsidTr="00243692">
        <w:tblPrEx>
          <w:tblCellMar>
            <w:left w:w="113" w:type="dxa"/>
            <w:right w:w="44" w:type="dxa"/>
          </w:tblCellMar>
        </w:tblPrEx>
        <w:trPr>
          <w:trHeight w:val="2531"/>
        </w:trPr>
        <w:tc>
          <w:tcPr>
            <w:tcW w:w="2167" w:type="dxa"/>
            <w:tcBorders>
              <w:top w:val="single" w:sz="6" w:space="0" w:color="000000"/>
              <w:left w:val="single" w:sz="6" w:space="0" w:color="000000"/>
              <w:bottom w:val="single" w:sz="6" w:space="0" w:color="000000"/>
              <w:right w:val="single" w:sz="6" w:space="0" w:color="000000"/>
            </w:tcBorders>
          </w:tcPr>
          <w:p w14:paraId="0ADE94D8" w14:textId="77777777" w:rsidR="00EC50EB" w:rsidRPr="009D7C92" w:rsidRDefault="00BD6D16" w:rsidP="00EE703D">
            <w:pPr>
              <w:jc w:val="left"/>
              <w:rPr>
                <w:color w:val="auto"/>
              </w:rPr>
            </w:pPr>
            <w:r w:rsidRPr="009D7C92">
              <w:rPr>
                <w:color w:val="auto"/>
              </w:rPr>
              <w:t>Menej časté</w:t>
            </w:r>
          </w:p>
        </w:tc>
        <w:tc>
          <w:tcPr>
            <w:tcW w:w="2522" w:type="dxa"/>
            <w:gridSpan w:val="2"/>
            <w:tcBorders>
              <w:top w:val="single" w:sz="6" w:space="0" w:color="000000"/>
              <w:left w:val="single" w:sz="6" w:space="0" w:color="000000"/>
              <w:bottom w:val="single" w:sz="6" w:space="0" w:color="000000"/>
              <w:right w:val="single" w:sz="6" w:space="0" w:color="000000"/>
            </w:tcBorders>
          </w:tcPr>
          <w:p w14:paraId="5BB40C20" w14:textId="3D6F916D" w:rsidR="00EB25B2" w:rsidRDefault="00BD6D16" w:rsidP="00F87817">
            <w:pPr>
              <w:jc w:val="left"/>
              <w:rPr>
                <w:color w:val="auto"/>
              </w:rPr>
            </w:pPr>
            <w:r w:rsidRPr="009D7C92">
              <w:rPr>
                <w:color w:val="auto"/>
              </w:rPr>
              <w:t>p</w:t>
            </w:r>
            <w:r w:rsidR="00EC50EB" w:rsidRPr="009D7C92">
              <w:rPr>
                <w:color w:val="auto"/>
              </w:rPr>
              <w:t xml:space="preserve">ankreatitída (prípady smrteľných následkov boli veľmi zriedkavo hlásené </w:t>
            </w:r>
            <w:r w:rsidR="00A957C6" w:rsidRPr="009D7C92">
              <w:rPr>
                <w:color w:val="auto"/>
              </w:rPr>
              <w:t>pri</w:t>
            </w:r>
            <w:r w:rsidR="00EC50EB" w:rsidRPr="009D7C92">
              <w:rPr>
                <w:color w:val="auto"/>
              </w:rPr>
              <w:t xml:space="preserve"> inhibítoro</w:t>
            </w:r>
            <w:r w:rsidR="00A957C6" w:rsidRPr="009D7C92">
              <w:rPr>
                <w:color w:val="auto"/>
              </w:rPr>
              <w:t>ch ACE</w:t>
            </w:r>
            <w:r w:rsidR="00EC50EB" w:rsidRPr="009D7C92">
              <w:rPr>
                <w:color w:val="auto"/>
              </w:rPr>
              <w:t xml:space="preserve">), zvýšené pankreatické enzýmy, </w:t>
            </w:r>
            <w:r w:rsidR="005F7837" w:rsidRPr="009D7C92">
              <w:rPr>
                <w:color w:val="auto"/>
              </w:rPr>
              <w:t xml:space="preserve">angioedém </w:t>
            </w:r>
            <w:r w:rsidR="00EC50EB" w:rsidRPr="009D7C92">
              <w:rPr>
                <w:color w:val="auto"/>
              </w:rPr>
              <w:t>tenké</w:t>
            </w:r>
            <w:r w:rsidR="005F7837" w:rsidRPr="009D7C92">
              <w:rPr>
                <w:color w:val="auto"/>
              </w:rPr>
              <w:t>ho</w:t>
            </w:r>
            <w:r w:rsidR="00EC50EB" w:rsidRPr="009D7C92">
              <w:rPr>
                <w:color w:val="auto"/>
              </w:rPr>
              <w:t xml:space="preserve"> črev</w:t>
            </w:r>
            <w:r w:rsidR="005F7837" w:rsidRPr="009D7C92">
              <w:rPr>
                <w:color w:val="auto"/>
              </w:rPr>
              <w:t>a</w:t>
            </w:r>
            <w:r w:rsidR="00EC50EB" w:rsidRPr="009D7C92">
              <w:rPr>
                <w:color w:val="auto"/>
              </w:rPr>
              <w:t>, bolesť v hornej časti brucha vrátane gastritídy,</w:t>
            </w:r>
          </w:p>
          <w:p w14:paraId="7C790226" w14:textId="77777777" w:rsidR="00EC50EB" w:rsidRPr="009D7C92" w:rsidRDefault="00EC50EB">
            <w:pPr>
              <w:jc w:val="left"/>
              <w:rPr>
                <w:color w:val="auto"/>
              </w:rPr>
            </w:pPr>
            <w:r w:rsidRPr="009D7C92">
              <w:rPr>
                <w:color w:val="auto"/>
              </w:rPr>
              <w:t xml:space="preserve">zápcha, sucho v ústach </w:t>
            </w:r>
          </w:p>
        </w:tc>
        <w:tc>
          <w:tcPr>
            <w:tcW w:w="2009" w:type="dxa"/>
            <w:tcBorders>
              <w:top w:val="single" w:sz="6" w:space="0" w:color="000000"/>
              <w:left w:val="single" w:sz="6" w:space="0" w:color="000000"/>
              <w:bottom w:val="single" w:sz="6" w:space="0" w:color="000000"/>
              <w:right w:val="single" w:sz="6" w:space="0" w:color="000000"/>
            </w:tcBorders>
          </w:tcPr>
          <w:p w14:paraId="49545B86" w14:textId="14F19DCE" w:rsidR="00EC50EB" w:rsidRPr="009D7C92" w:rsidRDefault="00EC50EB">
            <w:pPr>
              <w:jc w:val="left"/>
              <w:rPr>
                <w:color w:val="auto"/>
              </w:rPr>
            </w:pPr>
            <w:r w:rsidRPr="009D7C92">
              <w:rPr>
                <w:color w:val="auto"/>
              </w:rPr>
              <w:t>vracanie, sucho v ústach</w:t>
            </w:r>
          </w:p>
        </w:tc>
        <w:tc>
          <w:tcPr>
            <w:tcW w:w="2473" w:type="dxa"/>
            <w:gridSpan w:val="2"/>
            <w:tcBorders>
              <w:top w:val="single" w:sz="6" w:space="0" w:color="000000"/>
              <w:left w:val="single" w:sz="6" w:space="0" w:color="000000"/>
              <w:bottom w:val="single" w:sz="6" w:space="0" w:color="000000"/>
              <w:right w:val="single" w:sz="6" w:space="0" w:color="000000"/>
            </w:tcBorders>
          </w:tcPr>
          <w:p w14:paraId="4447F6ED" w14:textId="77777777" w:rsidR="00EC50EB" w:rsidRPr="009D7C92" w:rsidRDefault="00EC50EB">
            <w:pPr>
              <w:jc w:val="left"/>
              <w:rPr>
                <w:color w:val="auto"/>
              </w:rPr>
            </w:pPr>
          </w:p>
        </w:tc>
      </w:tr>
      <w:tr w:rsidR="00EC50EB" w:rsidRPr="009D7C92" w14:paraId="37D0AC97" w14:textId="77777777" w:rsidTr="00685680">
        <w:tblPrEx>
          <w:tblCellMar>
            <w:left w:w="113" w:type="dxa"/>
            <w:right w:w="44" w:type="dxa"/>
          </w:tblCellMar>
        </w:tblPrEx>
        <w:trPr>
          <w:trHeight w:val="271"/>
        </w:trPr>
        <w:tc>
          <w:tcPr>
            <w:tcW w:w="2167" w:type="dxa"/>
            <w:tcBorders>
              <w:top w:val="single" w:sz="6" w:space="0" w:color="000000"/>
              <w:left w:val="single" w:sz="6" w:space="0" w:color="000000"/>
              <w:bottom w:val="single" w:sz="6" w:space="0" w:color="000000"/>
              <w:right w:val="single" w:sz="6" w:space="0" w:color="000000"/>
            </w:tcBorders>
          </w:tcPr>
          <w:p w14:paraId="6F8C64EB" w14:textId="77777777" w:rsidR="00EC50EB" w:rsidRPr="009D7C92" w:rsidRDefault="00EC50EB" w:rsidP="00EE703D">
            <w:pPr>
              <w:jc w:val="left"/>
              <w:rPr>
                <w:color w:val="auto"/>
              </w:rPr>
            </w:pPr>
            <w:r w:rsidRPr="009D7C92">
              <w:rPr>
                <w:color w:val="auto"/>
              </w:rPr>
              <w:t xml:space="preserve">Zriedkavé </w:t>
            </w:r>
          </w:p>
        </w:tc>
        <w:tc>
          <w:tcPr>
            <w:tcW w:w="2522" w:type="dxa"/>
            <w:gridSpan w:val="2"/>
            <w:tcBorders>
              <w:top w:val="single" w:sz="6" w:space="0" w:color="000000"/>
              <w:left w:val="single" w:sz="6" w:space="0" w:color="000000"/>
              <w:bottom w:val="single" w:sz="6" w:space="0" w:color="000000"/>
              <w:right w:val="single" w:sz="6" w:space="0" w:color="000000"/>
            </w:tcBorders>
          </w:tcPr>
          <w:p w14:paraId="7808855A" w14:textId="77777777" w:rsidR="00EC50EB" w:rsidRPr="009D7C92" w:rsidRDefault="00BD6D16" w:rsidP="00211D25">
            <w:pPr>
              <w:jc w:val="left"/>
              <w:rPr>
                <w:color w:val="auto"/>
              </w:rPr>
            </w:pPr>
            <w:r w:rsidRPr="009D7C92">
              <w:rPr>
                <w:color w:val="auto"/>
              </w:rPr>
              <w:t>z</w:t>
            </w:r>
            <w:r w:rsidR="00EC50EB" w:rsidRPr="009D7C92">
              <w:rPr>
                <w:color w:val="auto"/>
              </w:rPr>
              <w:t xml:space="preserve">ápal jazyka </w:t>
            </w:r>
          </w:p>
        </w:tc>
        <w:tc>
          <w:tcPr>
            <w:tcW w:w="2009" w:type="dxa"/>
            <w:tcBorders>
              <w:top w:val="single" w:sz="6" w:space="0" w:color="000000"/>
              <w:left w:val="single" w:sz="6" w:space="0" w:color="000000"/>
              <w:bottom w:val="single" w:sz="6" w:space="0" w:color="000000"/>
              <w:right w:val="single" w:sz="6" w:space="0" w:color="000000"/>
            </w:tcBorders>
          </w:tcPr>
          <w:p w14:paraId="79F0C2CE" w14:textId="77777777" w:rsidR="00EC50EB" w:rsidRPr="009D7C92" w:rsidRDefault="00EC50EB" w:rsidP="00F87817">
            <w:pPr>
              <w:jc w:val="left"/>
              <w:rPr>
                <w:color w:val="auto"/>
              </w:rPr>
            </w:pPr>
          </w:p>
        </w:tc>
        <w:tc>
          <w:tcPr>
            <w:tcW w:w="2473" w:type="dxa"/>
            <w:gridSpan w:val="2"/>
            <w:tcBorders>
              <w:top w:val="single" w:sz="6" w:space="0" w:color="000000"/>
              <w:left w:val="single" w:sz="6" w:space="0" w:color="000000"/>
              <w:bottom w:val="single" w:sz="6" w:space="0" w:color="000000"/>
              <w:right w:val="single" w:sz="6" w:space="0" w:color="000000"/>
            </w:tcBorders>
          </w:tcPr>
          <w:p w14:paraId="246E5572" w14:textId="697503DE" w:rsidR="00EC50EB" w:rsidRPr="009D7C92" w:rsidRDefault="005F7837">
            <w:pPr>
              <w:jc w:val="left"/>
              <w:rPr>
                <w:color w:val="auto"/>
              </w:rPr>
            </w:pPr>
            <w:r w:rsidRPr="009D7C92">
              <w:rPr>
                <w:color w:val="auto"/>
              </w:rPr>
              <w:t xml:space="preserve">abdominálny </w:t>
            </w:r>
            <w:r w:rsidR="00EC50EB" w:rsidRPr="009D7C92">
              <w:rPr>
                <w:color w:val="auto"/>
              </w:rPr>
              <w:t>diskomfort, zápcha</w:t>
            </w:r>
          </w:p>
        </w:tc>
      </w:tr>
      <w:tr w:rsidR="00EC50EB" w:rsidRPr="009D7C92" w14:paraId="51A615B7" w14:textId="77777777" w:rsidTr="00685680">
        <w:tblPrEx>
          <w:tblCellMar>
            <w:left w:w="113" w:type="dxa"/>
            <w:right w:w="44" w:type="dxa"/>
          </w:tblCellMar>
        </w:tblPrEx>
        <w:trPr>
          <w:trHeight w:val="541"/>
        </w:trPr>
        <w:tc>
          <w:tcPr>
            <w:tcW w:w="2167" w:type="dxa"/>
            <w:tcBorders>
              <w:top w:val="single" w:sz="6" w:space="0" w:color="000000"/>
              <w:left w:val="single" w:sz="6" w:space="0" w:color="000000"/>
              <w:bottom w:val="single" w:sz="6" w:space="0" w:color="000000"/>
              <w:right w:val="single" w:sz="6" w:space="0" w:color="000000"/>
            </w:tcBorders>
          </w:tcPr>
          <w:p w14:paraId="5B79DCD8" w14:textId="77777777" w:rsidR="00EC50EB" w:rsidRPr="009D7C92" w:rsidRDefault="00EC50EB" w:rsidP="00EE703D">
            <w:pPr>
              <w:jc w:val="left"/>
              <w:rPr>
                <w:color w:val="auto"/>
              </w:rPr>
            </w:pPr>
            <w:r w:rsidRPr="009D7C92">
              <w:rPr>
                <w:color w:val="auto"/>
              </w:rPr>
              <w:t xml:space="preserve">Veľmi zriedkavé </w:t>
            </w:r>
          </w:p>
        </w:tc>
        <w:tc>
          <w:tcPr>
            <w:tcW w:w="2522" w:type="dxa"/>
            <w:gridSpan w:val="2"/>
            <w:tcBorders>
              <w:top w:val="single" w:sz="6" w:space="0" w:color="000000"/>
              <w:left w:val="single" w:sz="6" w:space="0" w:color="000000"/>
              <w:bottom w:val="single" w:sz="6" w:space="0" w:color="000000"/>
              <w:right w:val="single" w:sz="6" w:space="0" w:color="000000"/>
            </w:tcBorders>
          </w:tcPr>
          <w:p w14:paraId="6D1A28F3" w14:textId="77777777" w:rsidR="00EC50EB" w:rsidRPr="009D7C92" w:rsidRDefault="00EC50EB" w:rsidP="00211D25">
            <w:pPr>
              <w:jc w:val="left"/>
              <w:rPr>
                <w:color w:val="auto"/>
              </w:rPr>
            </w:pPr>
            <w:r w:rsidRPr="009D7C92">
              <w:rPr>
                <w:color w:val="auto"/>
              </w:rPr>
              <w:t xml:space="preserve"> </w:t>
            </w:r>
          </w:p>
        </w:tc>
        <w:tc>
          <w:tcPr>
            <w:tcW w:w="2009" w:type="dxa"/>
            <w:tcBorders>
              <w:top w:val="single" w:sz="6" w:space="0" w:color="000000"/>
              <w:left w:val="single" w:sz="6" w:space="0" w:color="000000"/>
              <w:bottom w:val="single" w:sz="6" w:space="0" w:color="000000"/>
              <w:right w:val="single" w:sz="6" w:space="0" w:color="000000"/>
            </w:tcBorders>
          </w:tcPr>
          <w:p w14:paraId="1FA1F45B" w14:textId="492248D2" w:rsidR="00EC50EB" w:rsidRPr="009D7C92" w:rsidRDefault="00BD6D16" w:rsidP="00F87817">
            <w:pPr>
              <w:jc w:val="left"/>
              <w:rPr>
                <w:color w:val="auto"/>
              </w:rPr>
            </w:pPr>
            <w:r w:rsidRPr="009D7C92">
              <w:rPr>
                <w:color w:val="auto"/>
              </w:rPr>
              <w:t>p</w:t>
            </w:r>
            <w:r w:rsidR="00EC50EB" w:rsidRPr="009D7C92">
              <w:rPr>
                <w:color w:val="auto"/>
              </w:rPr>
              <w:t>ankreatitída, gastritída, hyperplázia ging</w:t>
            </w:r>
            <w:r w:rsidR="005F7837" w:rsidRPr="009D7C92">
              <w:rPr>
                <w:color w:val="auto"/>
              </w:rPr>
              <w:t>í</w:t>
            </w:r>
            <w:r w:rsidR="00EC50EB" w:rsidRPr="009D7C92">
              <w:rPr>
                <w:color w:val="auto"/>
              </w:rPr>
              <w:t>vy</w:t>
            </w:r>
          </w:p>
        </w:tc>
        <w:tc>
          <w:tcPr>
            <w:tcW w:w="2473" w:type="dxa"/>
            <w:gridSpan w:val="2"/>
            <w:tcBorders>
              <w:top w:val="single" w:sz="6" w:space="0" w:color="000000"/>
              <w:left w:val="single" w:sz="6" w:space="0" w:color="000000"/>
              <w:bottom w:val="single" w:sz="6" w:space="0" w:color="000000"/>
              <w:right w:val="single" w:sz="6" w:space="0" w:color="000000"/>
            </w:tcBorders>
          </w:tcPr>
          <w:p w14:paraId="23280720" w14:textId="77777777" w:rsidR="00EC50EB" w:rsidRPr="009D7C92" w:rsidRDefault="00BD6D16">
            <w:pPr>
              <w:jc w:val="left"/>
              <w:rPr>
                <w:color w:val="auto"/>
              </w:rPr>
            </w:pPr>
            <w:r w:rsidRPr="009D7C92">
              <w:rPr>
                <w:color w:val="auto"/>
              </w:rPr>
              <w:t>z</w:t>
            </w:r>
            <w:r w:rsidR="00EC50EB" w:rsidRPr="009D7C92">
              <w:rPr>
                <w:color w:val="auto"/>
              </w:rPr>
              <w:t>ápal pankreasu</w:t>
            </w:r>
          </w:p>
        </w:tc>
      </w:tr>
      <w:tr w:rsidR="00EC50EB" w:rsidRPr="009D7C92" w14:paraId="3114E993" w14:textId="77777777" w:rsidTr="00685680">
        <w:tblPrEx>
          <w:tblCellMar>
            <w:left w:w="113" w:type="dxa"/>
            <w:right w:w="44" w:type="dxa"/>
          </w:tblCellMar>
        </w:tblPrEx>
        <w:trPr>
          <w:trHeight w:val="270"/>
        </w:trPr>
        <w:tc>
          <w:tcPr>
            <w:tcW w:w="2167" w:type="dxa"/>
            <w:tcBorders>
              <w:top w:val="single" w:sz="6" w:space="0" w:color="000000"/>
              <w:left w:val="single" w:sz="6" w:space="0" w:color="000000"/>
              <w:bottom w:val="single" w:sz="6" w:space="0" w:color="000000"/>
              <w:right w:val="single" w:sz="6" w:space="0" w:color="000000"/>
            </w:tcBorders>
          </w:tcPr>
          <w:p w14:paraId="6B9BE512" w14:textId="77777777" w:rsidR="00EC50EB" w:rsidRPr="009D7C92" w:rsidRDefault="00EC50EB" w:rsidP="00EE703D">
            <w:pPr>
              <w:jc w:val="left"/>
              <w:rPr>
                <w:color w:val="auto"/>
              </w:rPr>
            </w:pPr>
            <w:r w:rsidRPr="009D7C92">
              <w:rPr>
                <w:color w:val="auto"/>
              </w:rPr>
              <w:t xml:space="preserve">Neznáme </w:t>
            </w:r>
          </w:p>
        </w:tc>
        <w:tc>
          <w:tcPr>
            <w:tcW w:w="2522" w:type="dxa"/>
            <w:gridSpan w:val="2"/>
            <w:tcBorders>
              <w:top w:val="single" w:sz="6" w:space="0" w:color="000000"/>
              <w:left w:val="single" w:sz="6" w:space="0" w:color="000000"/>
              <w:bottom w:val="single" w:sz="6" w:space="0" w:color="000000"/>
              <w:right w:val="single" w:sz="6" w:space="0" w:color="000000"/>
            </w:tcBorders>
          </w:tcPr>
          <w:p w14:paraId="56AFCA57" w14:textId="43506CB7" w:rsidR="00EC50EB" w:rsidRPr="009D7C92" w:rsidRDefault="005F7837" w:rsidP="00211D25">
            <w:pPr>
              <w:jc w:val="left"/>
              <w:rPr>
                <w:color w:val="auto"/>
              </w:rPr>
            </w:pPr>
            <w:r w:rsidRPr="009D7C92">
              <w:rPr>
                <w:color w:val="auto"/>
              </w:rPr>
              <w:t xml:space="preserve">aftózna </w:t>
            </w:r>
            <w:r w:rsidR="003C024F" w:rsidRPr="009D7C92">
              <w:rPr>
                <w:color w:val="auto"/>
              </w:rPr>
              <w:t xml:space="preserve">stomatitída </w:t>
            </w:r>
          </w:p>
        </w:tc>
        <w:tc>
          <w:tcPr>
            <w:tcW w:w="2009" w:type="dxa"/>
            <w:tcBorders>
              <w:top w:val="single" w:sz="6" w:space="0" w:color="000000"/>
              <w:left w:val="single" w:sz="6" w:space="0" w:color="000000"/>
              <w:bottom w:val="single" w:sz="6" w:space="0" w:color="000000"/>
              <w:right w:val="single" w:sz="6" w:space="0" w:color="000000"/>
            </w:tcBorders>
          </w:tcPr>
          <w:p w14:paraId="30F24D8A" w14:textId="77777777" w:rsidR="00EC50EB" w:rsidRPr="009D7C92" w:rsidRDefault="00EC50EB" w:rsidP="00F87817">
            <w:pPr>
              <w:jc w:val="left"/>
              <w:rPr>
                <w:color w:val="auto"/>
              </w:rPr>
            </w:pPr>
          </w:p>
        </w:tc>
        <w:tc>
          <w:tcPr>
            <w:tcW w:w="2473" w:type="dxa"/>
            <w:gridSpan w:val="2"/>
            <w:tcBorders>
              <w:top w:val="single" w:sz="6" w:space="0" w:color="000000"/>
              <w:left w:val="single" w:sz="6" w:space="0" w:color="000000"/>
              <w:bottom w:val="single" w:sz="6" w:space="0" w:color="000000"/>
              <w:right w:val="single" w:sz="6" w:space="0" w:color="000000"/>
            </w:tcBorders>
          </w:tcPr>
          <w:p w14:paraId="5A956A1E" w14:textId="77777777" w:rsidR="00EC50EB" w:rsidRPr="009D7C92" w:rsidRDefault="00EC50EB">
            <w:pPr>
              <w:jc w:val="left"/>
              <w:rPr>
                <w:color w:val="auto"/>
              </w:rPr>
            </w:pPr>
            <w:r w:rsidRPr="009D7C92">
              <w:rPr>
                <w:color w:val="auto"/>
              </w:rPr>
              <w:t xml:space="preserve"> </w:t>
            </w:r>
          </w:p>
        </w:tc>
      </w:tr>
      <w:tr w:rsidR="00EC50EB" w:rsidRPr="009D7C92" w14:paraId="732ABA9E" w14:textId="77777777" w:rsidTr="002B66E0">
        <w:tblPrEx>
          <w:tblCellMar>
            <w:left w:w="113" w:type="dxa"/>
            <w:right w:w="44" w:type="dxa"/>
          </w:tblCellMar>
        </w:tblPrEx>
        <w:trPr>
          <w:trHeight w:val="270"/>
        </w:trPr>
        <w:tc>
          <w:tcPr>
            <w:tcW w:w="9171" w:type="dxa"/>
            <w:gridSpan w:val="6"/>
            <w:tcBorders>
              <w:top w:val="single" w:sz="6" w:space="0" w:color="000000"/>
              <w:left w:val="single" w:sz="6" w:space="0" w:color="000000"/>
              <w:bottom w:val="single" w:sz="6" w:space="0" w:color="000000"/>
              <w:right w:val="single" w:sz="6" w:space="0" w:color="000000"/>
            </w:tcBorders>
          </w:tcPr>
          <w:p w14:paraId="0A517CBB" w14:textId="77777777" w:rsidR="00EC50EB" w:rsidRPr="009D7C92" w:rsidRDefault="00EC50EB" w:rsidP="00EE703D">
            <w:pPr>
              <w:jc w:val="left"/>
              <w:rPr>
                <w:b/>
                <w:i/>
                <w:color w:val="auto"/>
              </w:rPr>
            </w:pPr>
            <w:r w:rsidRPr="009D7C92">
              <w:rPr>
                <w:b/>
                <w:i/>
                <w:color w:val="auto"/>
              </w:rPr>
              <w:t>Poruchy pečene a žlčových ciest</w:t>
            </w:r>
          </w:p>
        </w:tc>
      </w:tr>
      <w:tr w:rsidR="00EC50EB" w:rsidRPr="009D7C92" w14:paraId="085ED118" w14:textId="77777777" w:rsidTr="00685680">
        <w:tblPrEx>
          <w:tblCellMar>
            <w:left w:w="113" w:type="dxa"/>
            <w:right w:w="44" w:type="dxa"/>
          </w:tblCellMar>
        </w:tblPrEx>
        <w:trPr>
          <w:trHeight w:val="781"/>
        </w:trPr>
        <w:tc>
          <w:tcPr>
            <w:tcW w:w="2167" w:type="dxa"/>
            <w:tcBorders>
              <w:top w:val="single" w:sz="6" w:space="0" w:color="000000"/>
              <w:left w:val="single" w:sz="6" w:space="0" w:color="000000"/>
              <w:bottom w:val="single" w:sz="6" w:space="0" w:color="000000"/>
              <w:right w:val="single" w:sz="6" w:space="0" w:color="000000"/>
            </w:tcBorders>
          </w:tcPr>
          <w:p w14:paraId="49463170" w14:textId="77777777" w:rsidR="00EC50EB" w:rsidRPr="009D7C92" w:rsidRDefault="00BD6D16" w:rsidP="00EE703D">
            <w:pPr>
              <w:jc w:val="left"/>
              <w:rPr>
                <w:color w:val="auto"/>
              </w:rPr>
            </w:pPr>
            <w:r w:rsidRPr="009D7C92">
              <w:rPr>
                <w:color w:val="auto"/>
              </w:rPr>
              <w:t>Menej časté</w:t>
            </w:r>
          </w:p>
        </w:tc>
        <w:tc>
          <w:tcPr>
            <w:tcW w:w="2522" w:type="dxa"/>
            <w:gridSpan w:val="2"/>
            <w:tcBorders>
              <w:top w:val="single" w:sz="6" w:space="0" w:color="000000"/>
              <w:left w:val="single" w:sz="6" w:space="0" w:color="000000"/>
              <w:bottom w:val="single" w:sz="6" w:space="0" w:color="000000"/>
              <w:right w:val="single" w:sz="6" w:space="0" w:color="000000"/>
            </w:tcBorders>
          </w:tcPr>
          <w:p w14:paraId="24E38136" w14:textId="77777777" w:rsidR="00EC50EB" w:rsidRPr="009D7C92" w:rsidRDefault="00BD6D16" w:rsidP="00211D25">
            <w:pPr>
              <w:jc w:val="left"/>
              <w:rPr>
                <w:color w:val="auto"/>
              </w:rPr>
            </w:pPr>
            <w:r w:rsidRPr="009D7C92">
              <w:rPr>
                <w:color w:val="auto"/>
              </w:rPr>
              <w:t>z</w:t>
            </w:r>
            <w:r w:rsidR="00EC50EB" w:rsidRPr="009D7C92">
              <w:rPr>
                <w:color w:val="auto"/>
              </w:rPr>
              <w:t>výš</w:t>
            </w:r>
            <w:r w:rsidRPr="009D7C92">
              <w:rPr>
                <w:color w:val="auto"/>
              </w:rPr>
              <w:t>enie</w:t>
            </w:r>
            <w:r w:rsidR="00EC50EB" w:rsidRPr="009D7C92">
              <w:rPr>
                <w:color w:val="auto"/>
              </w:rPr>
              <w:t xml:space="preserve"> hladiny pečeňových enzýmov a/alebo konjugovaného bilirubínu </w:t>
            </w:r>
          </w:p>
        </w:tc>
        <w:tc>
          <w:tcPr>
            <w:tcW w:w="2009" w:type="dxa"/>
            <w:tcBorders>
              <w:top w:val="single" w:sz="6" w:space="0" w:color="000000"/>
              <w:left w:val="single" w:sz="6" w:space="0" w:color="000000"/>
              <w:bottom w:val="single" w:sz="6" w:space="0" w:color="000000"/>
              <w:right w:val="single" w:sz="6" w:space="0" w:color="000000"/>
            </w:tcBorders>
          </w:tcPr>
          <w:p w14:paraId="46E0C132" w14:textId="77777777" w:rsidR="00EC50EB" w:rsidRPr="009D7C92" w:rsidRDefault="00EC50EB" w:rsidP="00F87817">
            <w:pPr>
              <w:jc w:val="left"/>
              <w:rPr>
                <w:color w:val="auto"/>
              </w:rPr>
            </w:pPr>
          </w:p>
        </w:tc>
        <w:tc>
          <w:tcPr>
            <w:tcW w:w="2473" w:type="dxa"/>
            <w:gridSpan w:val="2"/>
            <w:tcBorders>
              <w:top w:val="single" w:sz="6" w:space="0" w:color="000000"/>
              <w:left w:val="single" w:sz="6" w:space="0" w:color="000000"/>
              <w:bottom w:val="single" w:sz="6" w:space="0" w:color="000000"/>
              <w:right w:val="single" w:sz="6" w:space="0" w:color="000000"/>
            </w:tcBorders>
          </w:tcPr>
          <w:p w14:paraId="37606711" w14:textId="77777777" w:rsidR="00EC50EB" w:rsidRPr="009D7C92" w:rsidRDefault="00EC50EB">
            <w:pPr>
              <w:jc w:val="left"/>
              <w:rPr>
                <w:color w:val="auto"/>
              </w:rPr>
            </w:pPr>
          </w:p>
        </w:tc>
      </w:tr>
      <w:tr w:rsidR="00EC50EB" w:rsidRPr="009D7C92" w14:paraId="1BC0A89E" w14:textId="77777777" w:rsidTr="00685680">
        <w:tblPrEx>
          <w:tblCellMar>
            <w:left w:w="113" w:type="dxa"/>
            <w:right w:w="44" w:type="dxa"/>
          </w:tblCellMar>
        </w:tblPrEx>
        <w:trPr>
          <w:trHeight w:val="540"/>
        </w:trPr>
        <w:tc>
          <w:tcPr>
            <w:tcW w:w="2167" w:type="dxa"/>
            <w:tcBorders>
              <w:top w:val="single" w:sz="6" w:space="0" w:color="000000"/>
              <w:left w:val="single" w:sz="6" w:space="0" w:color="000000"/>
              <w:bottom w:val="single" w:sz="6" w:space="0" w:color="000000"/>
              <w:right w:val="single" w:sz="6" w:space="0" w:color="000000"/>
            </w:tcBorders>
          </w:tcPr>
          <w:p w14:paraId="388837FF" w14:textId="77777777" w:rsidR="00EC50EB" w:rsidRPr="009D7C92" w:rsidRDefault="00EC50EB" w:rsidP="00EE703D">
            <w:pPr>
              <w:jc w:val="left"/>
              <w:rPr>
                <w:color w:val="auto"/>
              </w:rPr>
            </w:pPr>
            <w:r w:rsidRPr="009D7C92">
              <w:rPr>
                <w:color w:val="auto"/>
              </w:rPr>
              <w:t xml:space="preserve">Zriedkavé </w:t>
            </w:r>
          </w:p>
        </w:tc>
        <w:tc>
          <w:tcPr>
            <w:tcW w:w="2522" w:type="dxa"/>
            <w:gridSpan w:val="2"/>
            <w:tcBorders>
              <w:top w:val="single" w:sz="6" w:space="0" w:color="000000"/>
              <w:left w:val="single" w:sz="6" w:space="0" w:color="000000"/>
              <w:bottom w:val="single" w:sz="6" w:space="0" w:color="000000"/>
              <w:right w:val="single" w:sz="6" w:space="0" w:color="000000"/>
            </w:tcBorders>
          </w:tcPr>
          <w:p w14:paraId="5CD906E7" w14:textId="4291C35B" w:rsidR="00EC50EB" w:rsidRPr="009D7C92" w:rsidRDefault="00EC50EB" w:rsidP="00211D25">
            <w:pPr>
              <w:jc w:val="left"/>
              <w:rPr>
                <w:color w:val="auto"/>
              </w:rPr>
            </w:pPr>
            <w:r w:rsidRPr="009D7C92">
              <w:rPr>
                <w:color w:val="auto"/>
              </w:rPr>
              <w:t>cholestatická</w:t>
            </w:r>
            <w:r w:rsidR="005F7837" w:rsidRPr="009D7C92">
              <w:rPr>
                <w:color w:val="auto"/>
              </w:rPr>
              <w:t xml:space="preserve"> žltačka</w:t>
            </w:r>
            <w:r w:rsidRPr="009D7C92">
              <w:rPr>
                <w:color w:val="auto"/>
              </w:rPr>
              <w:t xml:space="preserve">, hepatocelulárne poškodenie </w:t>
            </w:r>
          </w:p>
        </w:tc>
        <w:tc>
          <w:tcPr>
            <w:tcW w:w="2009" w:type="dxa"/>
            <w:tcBorders>
              <w:top w:val="single" w:sz="6" w:space="0" w:color="000000"/>
              <w:left w:val="single" w:sz="6" w:space="0" w:color="000000"/>
              <w:bottom w:val="single" w:sz="6" w:space="0" w:color="000000"/>
              <w:right w:val="single" w:sz="6" w:space="0" w:color="000000"/>
            </w:tcBorders>
          </w:tcPr>
          <w:p w14:paraId="0CEAC0E2" w14:textId="77777777" w:rsidR="00EC50EB" w:rsidRPr="009D7C92" w:rsidRDefault="00EC50EB" w:rsidP="00F87817">
            <w:pPr>
              <w:jc w:val="left"/>
              <w:rPr>
                <w:color w:val="auto"/>
              </w:rPr>
            </w:pPr>
          </w:p>
        </w:tc>
        <w:tc>
          <w:tcPr>
            <w:tcW w:w="2473" w:type="dxa"/>
            <w:gridSpan w:val="2"/>
            <w:tcBorders>
              <w:top w:val="single" w:sz="6" w:space="0" w:color="000000"/>
              <w:left w:val="single" w:sz="6" w:space="0" w:color="000000"/>
              <w:bottom w:val="single" w:sz="6" w:space="0" w:color="000000"/>
              <w:right w:val="single" w:sz="6" w:space="0" w:color="000000"/>
            </w:tcBorders>
          </w:tcPr>
          <w:p w14:paraId="24F66656" w14:textId="77777777" w:rsidR="00EC50EB" w:rsidRPr="009D7C92" w:rsidRDefault="00BD6D16">
            <w:pPr>
              <w:jc w:val="left"/>
              <w:rPr>
                <w:color w:val="auto"/>
              </w:rPr>
            </w:pPr>
            <w:r w:rsidRPr="009D7C92">
              <w:rPr>
                <w:color w:val="auto"/>
              </w:rPr>
              <w:t>i</w:t>
            </w:r>
            <w:r w:rsidR="00EC50EB" w:rsidRPr="009D7C92">
              <w:rPr>
                <w:color w:val="auto"/>
              </w:rPr>
              <w:t>ntrahepatická cholestáza, žltačka</w:t>
            </w:r>
          </w:p>
        </w:tc>
      </w:tr>
      <w:tr w:rsidR="00EC50EB" w:rsidRPr="009D7C92" w14:paraId="69812A8E" w14:textId="77777777" w:rsidTr="00685680">
        <w:tblPrEx>
          <w:tblCellMar>
            <w:left w:w="113" w:type="dxa"/>
            <w:right w:w="44" w:type="dxa"/>
          </w:tblCellMar>
        </w:tblPrEx>
        <w:trPr>
          <w:trHeight w:val="781"/>
        </w:trPr>
        <w:tc>
          <w:tcPr>
            <w:tcW w:w="2167" w:type="dxa"/>
            <w:tcBorders>
              <w:top w:val="single" w:sz="6" w:space="0" w:color="000000"/>
              <w:left w:val="single" w:sz="6" w:space="0" w:color="000000"/>
              <w:bottom w:val="single" w:sz="6" w:space="0" w:color="000000"/>
              <w:right w:val="single" w:sz="6" w:space="0" w:color="000000"/>
            </w:tcBorders>
          </w:tcPr>
          <w:p w14:paraId="491171CA" w14:textId="77777777" w:rsidR="00EC50EB" w:rsidRPr="009D7C92" w:rsidRDefault="00EC50EB" w:rsidP="00EE703D">
            <w:pPr>
              <w:jc w:val="left"/>
              <w:rPr>
                <w:color w:val="auto"/>
              </w:rPr>
            </w:pPr>
            <w:r w:rsidRPr="009D7C92">
              <w:rPr>
                <w:color w:val="auto"/>
              </w:rPr>
              <w:t xml:space="preserve">Veľmi zriedkavé </w:t>
            </w:r>
          </w:p>
        </w:tc>
        <w:tc>
          <w:tcPr>
            <w:tcW w:w="2522" w:type="dxa"/>
            <w:gridSpan w:val="2"/>
            <w:tcBorders>
              <w:top w:val="single" w:sz="6" w:space="0" w:color="000000"/>
              <w:left w:val="single" w:sz="6" w:space="0" w:color="000000"/>
              <w:bottom w:val="single" w:sz="6" w:space="0" w:color="000000"/>
              <w:right w:val="single" w:sz="6" w:space="0" w:color="000000"/>
            </w:tcBorders>
          </w:tcPr>
          <w:p w14:paraId="3D473BA8" w14:textId="77777777" w:rsidR="00EC50EB" w:rsidRPr="009D7C92" w:rsidRDefault="00EC50EB" w:rsidP="00211D25">
            <w:pPr>
              <w:jc w:val="left"/>
              <w:rPr>
                <w:color w:val="auto"/>
              </w:rPr>
            </w:pPr>
            <w:r w:rsidRPr="009D7C92">
              <w:rPr>
                <w:color w:val="auto"/>
              </w:rPr>
              <w:t xml:space="preserve"> </w:t>
            </w:r>
          </w:p>
        </w:tc>
        <w:tc>
          <w:tcPr>
            <w:tcW w:w="2009" w:type="dxa"/>
            <w:tcBorders>
              <w:top w:val="single" w:sz="6" w:space="0" w:color="000000"/>
              <w:left w:val="single" w:sz="6" w:space="0" w:color="000000"/>
              <w:bottom w:val="single" w:sz="6" w:space="0" w:color="000000"/>
              <w:right w:val="single" w:sz="6" w:space="0" w:color="000000"/>
            </w:tcBorders>
          </w:tcPr>
          <w:p w14:paraId="70C87DBC" w14:textId="77777777" w:rsidR="00EC50EB" w:rsidRPr="009D7C92" w:rsidRDefault="00BD6D16" w:rsidP="00F87817">
            <w:pPr>
              <w:jc w:val="left"/>
              <w:rPr>
                <w:color w:val="auto"/>
              </w:rPr>
            </w:pPr>
            <w:r w:rsidRPr="009D7C92">
              <w:rPr>
                <w:color w:val="auto"/>
              </w:rPr>
              <w:t>ž</w:t>
            </w:r>
            <w:r w:rsidR="00EC50EB" w:rsidRPr="009D7C92">
              <w:rPr>
                <w:color w:val="auto"/>
              </w:rPr>
              <w:t>ltačka, hepatitída, zvýšenie hladiny pečeňových enzýmov*</w:t>
            </w:r>
          </w:p>
        </w:tc>
        <w:tc>
          <w:tcPr>
            <w:tcW w:w="2473" w:type="dxa"/>
            <w:gridSpan w:val="2"/>
            <w:tcBorders>
              <w:top w:val="single" w:sz="6" w:space="0" w:color="000000"/>
              <w:left w:val="single" w:sz="6" w:space="0" w:color="000000"/>
              <w:bottom w:val="single" w:sz="6" w:space="0" w:color="000000"/>
              <w:right w:val="single" w:sz="6" w:space="0" w:color="000000"/>
            </w:tcBorders>
          </w:tcPr>
          <w:p w14:paraId="568C901A" w14:textId="77777777" w:rsidR="00EC50EB" w:rsidRPr="009D7C92" w:rsidRDefault="00EC50EB">
            <w:pPr>
              <w:jc w:val="left"/>
              <w:rPr>
                <w:color w:val="auto"/>
              </w:rPr>
            </w:pPr>
          </w:p>
        </w:tc>
      </w:tr>
      <w:tr w:rsidR="00EC50EB" w:rsidRPr="009D7C92" w14:paraId="7449EE78" w14:textId="77777777" w:rsidTr="00685680">
        <w:tblPrEx>
          <w:tblCellMar>
            <w:left w:w="113" w:type="dxa"/>
            <w:right w:w="44" w:type="dxa"/>
          </w:tblCellMar>
        </w:tblPrEx>
        <w:trPr>
          <w:trHeight w:val="1306"/>
        </w:trPr>
        <w:tc>
          <w:tcPr>
            <w:tcW w:w="2167" w:type="dxa"/>
            <w:tcBorders>
              <w:top w:val="single" w:sz="6" w:space="0" w:color="000000"/>
              <w:left w:val="single" w:sz="6" w:space="0" w:color="000000"/>
              <w:bottom w:val="single" w:sz="6" w:space="0" w:color="000000"/>
              <w:right w:val="single" w:sz="6" w:space="0" w:color="000000"/>
            </w:tcBorders>
          </w:tcPr>
          <w:p w14:paraId="1B4A861F" w14:textId="77777777" w:rsidR="00EC50EB" w:rsidRPr="009D7C92" w:rsidRDefault="00EC50EB" w:rsidP="00EE703D">
            <w:pPr>
              <w:jc w:val="left"/>
              <w:rPr>
                <w:color w:val="auto"/>
              </w:rPr>
            </w:pPr>
            <w:r w:rsidRPr="009D7C92">
              <w:rPr>
                <w:color w:val="auto"/>
              </w:rPr>
              <w:t xml:space="preserve">Neznáme </w:t>
            </w:r>
          </w:p>
        </w:tc>
        <w:tc>
          <w:tcPr>
            <w:tcW w:w="2522" w:type="dxa"/>
            <w:gridSpan w:val="2"/>
            <w:tcBorders>
              <w:top w:val="single" w:sz="6" w:space="0" w:color="000000"/>
              <w:left w:val="single" w:sz="6" w:space="0" w:color="000000"/>
              <w:bottom w:val="single" w:sz="6" w:space="0" w:color="000000"/>
              <w:right w:val="single" w:sz="6" w:space="0" w:color="000000"/>
            </w:tcBorders>
          </w:tcPr>
          <w:p w14:paraId="70E2DC87" w14:textId="7C2ADFF4" w:rsidR="00EB25B2" w:rsidRDefault="00BD6D16" w:rsidP="00211D25">
            <w:pPr>
              <w:jc w:val="left"/>
              <w:rPr>
                <w:color w:val="auto"/>
              </w:rPr>
            </w:pPr>
            <w:r w:rsidRPr="009D7C92">
              <w:rPr>
                <w:color w:val="auto"/>
              </w:rPr>
              <w:t>a</w:t>
            </w:r>
            <w:r w:rsidR="00EC50EB" w:rsidRPr="009D7C92">
              <w:rPr>
                <w:color w:val="auto"/>
              </w:rPr>
              <w:t>kútne zlyhanie pečene, cholestatická alebo cytolytická hepatitída (fatáln</w:t>
            </w:r>
            <w:r w:rsidR="005F7837" w:rsidRPr="009D7C92">
              <w:rPr>
                <w:color w:val="auto"/>
              </w:rPr>
              <w:t>e</w:t>
            </w:r>
            <w:r w:rsidR="00EC50EB" w:rsidRPr="009D7C92">
              <w:rPr>
                <w:color w:val="auto"/>
              </w:rPr>
              <w:t xml:space="preserve"> </w:t>
            </w:r>
            <w:r w:rsidR="005F7837" w:rsidRPr="009D7C92">
              <w:rPr>
                <w:color w:val="auto"/>
              </w:rPr>
              <w:t>následky</w:t>
            </w:r>
          </w:p>
          <w:p w14:paraId="6F5099D5" w14:textId="69074D3B" w:rsidR="00EC50EB" w:rsidRPr="009D7C92" w:rsidRDefault="00BD6D16" w:rsidP="00F87817">
            <w:pPr>
              <w:jc w:val="left"/>
              <w:rPr>
                <w:color w:val="auto"/>
              </w:rPr>
            </w:pPr>
            <w:r w:rsidRPr="009D7C92">
              <w:rPr>
                <w:color w:val="auto"/>
              </w:rPr>
              <w:t>veľmi výnimočn</w:t>
            </w:r>
            <w:r w:rsidR="005F7837" w:rsidRPr="009D7C92">
              <w:rPr>
                <w:color w:val="auto"/>
              </w:rPr>
              <w:t>é</w:t>
            </w:r>
            <w:r w:rsidRPr="009D7C92">
              <w:rPr>
                <w:color w:val="auto"/>
              </w:rPr>
              <w:t>)</w:t>
            </w:r>
          </w:p>
        </w:tc>
        <w:tc>
          <w:tcPr>
            <w:tcW w:w="2009" w:type="dxa"/>
            <w:tcBorders>
              <w:top w:val="single" w:sz="6" w:space="0" w:color="000000"/>
              <w:left w:val="single" w:sz="6" w:space="0" w:color="000000"/>
              <w:bottom w:val="single" w:sz="6" w:space="0" w:color="000000"/>
              <w:right w:val="single" w:sz="6" w:space="0" w:color="000000"/>
            </w:tcBorders>
          </w:tcPr>
          <w:p w14:paraId="022A629D" w14:textId="77777777" w:rsidR="00EC50EB" w:rsidRPr="009D7C92" w:rsidRDefault="00EC50EB">
            <w:pPr>
              <w:jc w:val="left"/>
              <w:rPr>
                <w:color w:val="auto"/>
              </w:rPr>
            </w:pPr>
          </w:p>
        </w:tc>
        <w:tc>
          <w:tcPr>
            <w:tcW w:w="2473" w:type="dxa"/>
            <w:gridSpan w:val="2"/>
            <w:tcBorders>
              <w:top w:val="single" w:sz="6" w:space="0" w:color="000000"/>
              <w:left w:val="single" w:sz="6" w:space="0" w:color="000000"/>
              <w:bottom w:val="single" w:sz="6" w:space="0" w:color="000000"/>
              <w:right w:val="single" w:sz="6" w:space="0" w:color="000000"/>
            </w:tcBorders>
          </w:tcPr>
          <w:p w14:paraId="2F15D99B" w14:textId="77777777" w:rsidR="00EC50EB" w:rsidRPr="009D7C92" w:rsidRDefault="00EC50EB">
            <w:pPr>
              <w:jc w:val="left"/>
              <w:rPr>
                <w:color w:val="auto"/>
              </w:rPr>
            </w:pPr>
          </w:p>
        </w:tc>
      </w:tr>
      <w:tr w:rsidR="00EC50EB" w:rsidRPr="009D7C92" w14:paraId="7F51803E" w14:textId="77777777" w:rsidTr="002B66E0">
        <w:tblPrEx>
          <w:tblCellMar>
            <w:left w:w="113" w:type="dxa"/>
            <w:right w:w="44" w:type="dxa"/>
          </w:tblCellMar>
        </w:tblPrEx>
        <w:trPr>
          <w:trHeight w:val="366"/>
        </w:trPr>
        <w:tc>
          <w:tcPr>
            <w:tcW w:w="9171" w:type="dxa"/>
            <w:gridSpan w:val="6"/>
            <w:tcBorders>
              <w:top w:val="single" w:sz="6" w:space="0" w:color="000000"/>
              <w:left w:val="single" w:sz="6" w:space="0" w:color="000000"/>
              <w:bottom w:val="single" w:sz="6" w:space="0" w:color="000000"/>
              <w:right w:val="single" w:sz="6" w:space="0" w:color="000000"/>
            </w:tcBorders>
          </w:tcPr>
          <w:p w14:paraId="534E564C" w14:textId="77777777" w:rsidR="00EC50EB" w:rsidRPr="009D7C92" w:rsidRDefault="00EC50EB" w:rsidP="00EE703D">
            <w:pPr>
              <w:jc w:val="left"/>
              <w:rPr>
                <w:b/>
                <w:i/>
                <w:color w:val="auto"/>
              </w:rPr>
            </w:pPr>
            <w:r w:rsidRPr="009D7C92">
              <w:rPr>
                <w:b/>
                <w:i/>
                <w:color w:val="auto"/>
              </w:rPr>
              <w:t>Poruchy kože a podkožného tkaniva</w:t>
            </w:r>
          </w:p>
        </w:tc>
      </w:tr>
      <w:tr w:rsidR="00EC50EB" w:rsidRPr="009D7C92" w14:paraId="3C0D76EE" w14:textId="77777777" w:rsidTr="00685680">
        <w:tblPrEx>
          <w:tblCellMar>
            <w:left w:w="113" w:type="dxa"/>
            <w:right w:w="44" w:type="dxa"/>
          </w:tblCellMar>
        </w:tblPrEx>
        <w:trPr>
          <w:trHeight w:val="525"/>
        </w:trPr>
        <w:tc>
          <w:tcPr>
            <w:tcW w:w="2167" w:type="dxa"/>
            <w:tcBorders>
              <w:top w:val="single" w:sz="6" w:space="0" w:color="000000"/>
              <w:left w:val="single" w:sz="6" w:space="0" w:color="000000"/>
              <w:bottom w:val="single" w:sz="6" w:space="0" w:color="000000"/>
              <w:right w:val="single" w:sz="6" w:space="0" w:color="000000"/>
            </w:tcBorders>
          </w:tcPr>
          <w:p w14:paraId="74B1B42B" w14:textId="77777777" w:rsidR="00EC50EB" w:rsidRPr="009D7C92" w:rsidRDefault="00E62C4D" w:rsidP="00EE703D">
            <w:pPr>
              <w:jc w:val="left"/>
              <w:rPr>
                <w:color w:val="auto"/>
              </w:rPr>
            </w:pPr>
            <w:r w:rsidRPr="009D7C92">
              <w:rPr>
                <w:color w:val="auto"/>
              </w:rPr>
              <w:lastRenderedPageBreak/>
              <w:t>Časté</w:t>
            </w:r>
          </w:p>
        </w:tc>
        <w:tc>
          <w:tcPr>
            <w:tcW w:w="2522" w:type="dxa"/>
            <w:gridSpan w:val="2"/>
            <w:tcBorders>
              <w:top w:val="single" w:sz="6" w:space="0" w:color="000000"/>
              <w:left w:val="single" w:sz="6" w:space="0" w:color="000000"/>
              <w:bottom w:val="single" w:sz="6" w:space="0" w:color="000000"/>
              <w:right w:val="single" w:sz="6" w:space="0" w:color="000000"/>
            </w:tcBorders>
          </w:tcPr>
          <w:p w14:paraId="6059DA51" w14:textId="7C92FA65" w:rsidR="00EC50EB" w:rsidRPr="009D7C92" w:rsidRDefault="00BD6D16">
            <w:pPr>
              <w:jc w:val="left"/>
              <w:rPr>
                <w:color w:val="auto"/>
              </w:rPr>
            </w:pPr>
            <w:r w:rsidRPr="009D7C92">
              <w:rPr>
                <w:color w:val="auto"/>
              </w:rPr>
              <w:t>v</w:t>
            </w:r>
            <w:r w:rsidR="00EC50EB" w:rsidRPr="009D7C92">
              <w:rPr>
                <w:color w:val="auto"/>
              </w:rPr>
              <w:t xml:space="preserve">yrážka najmä makulopapulárna </w:t>
            </w:r>
          </w:p>
        </w:tc>
        <w:tc>
          <w:tcPr>
            <w:tcW w:w="2009" w:type="dxa"/>
            <w:tcBorders>
              <w:top w:val="single" w:sz="6" w:space="0" w:color="000000"/>
              <w:left w:val="single" w:sz="6" w:space="0" w:color="000000"/>
              <w:bottom w:val="single" w:sz="6" w:space="0" w:color="000000"/>
              <w:right w:val="single" w:sz="6" w:space="0" w:color="000000"/>
            </w:tcBorders>
          </w:tcPr>
          <w:p w14:paraId="721949A3" w14:textId="77777777" w:rsidR="00EC50EB" w:rsidRPr="009D7C92" w:rsidRDefault="00EC50EB" w:rsidP="00F87817">
            <w:pPr>
              <w:jc w:val="left"/>
              <w:rPr>
                <w:color w:val="auto"/>
              </w:rPr>
            </w:pPr>
          </w:p>
        </w:tc>
        <w:tc>
          <w:tcPr>
            <w:tcW w:w="2473" w:type="dxa"/>
            <w:gridSpan w:val="2"/>
            <w:tcBorders>
              <w:top w:val="single" w:sz="6" w:space="0" w:color="000000"/>
              <w:left w:val="single" w:sz="6" w:space="0" w:color="000000"/>
              <w:bottom w:val="single" w:sz="6" w:space="0" w:color="000000"/>
              <w:right w:val="single" w:sz="6" w:space="0" w:color="000000"/>
            </w:tcBorders>
          </w:tcPr>
          <w:p w14:paraId="4F2AE7DA" w14:textId="77777777" w:rsidR="00EC50EB" w:rsidRPr="009D7C92" w:rsidRDefault="00BD6D16">
            <w:pPr>
              <w:jc w:val="left"/>
              <w:rPr>
                <w:color w:val="auto"/>
              </w:rPr>
            </w:pPr>
            <w:r w:rsidRPr="009D7C92">
              <w:rPr>
                <w:color w:val="auto"/>
              </w:rPr>
              <w:t>u</w:t>
            </w:r>
            <w:r w:rsidR="00EC50EB" w:rsidRPr="009D7C92">
              <w:rPr>
                <w:color w:val="auto"/>
              </w:rPr>
              <w:t>rtikária a iné formy vyrážky</w:t>
            </w:r>
          </w:p>
        </w:tc>
      </w:tr>
      <w:tr w:rsidR="00EC50EB" w:rsidRPr="009D7C92" w14:paraId="3637BE9F" w14:textId="77777777" w:rsidTr="00243692">
        <w:tblPrEx>
          <w:tblCellMar>
            <w:left w:w="113" w:type="dxa"/>
            <w:right w:w="44" w:type="dxa"/>
          </w:tblCellMar>
        </w:tblPrEx>
        <w:trPr>
          <w:trHeight w:val="1578"/>
        </w:trPr>
        <w:tc>
          <w:tcPr>
            <w:tcW w:w="2167" w:type="dxa"/>
            <w:tcBorders>
              <w:top w:val="single" w:sz="6" w:space="0" w:color="000000"/>
              <w:left w:val="single" w:sz="6" w:space="0" w:color="000000"/>
              <w:bottom w:val="single" w:sz="6" w:space="0" w:color="000000"/>
              <w:right w:val="single" w:sz="6" w:space="0" w:color="000000"/>
            </w:tcBorders>
          </w:tcPr>
          <w:p w14:paraId="6B984F0B" w14:textId="77777777" w:rsidR="00EC50EB" w:rsidRPr="009D7C92" w:rsidRDefault="00BD6D16" w:rsidP="00EE703D">
            <w:pPr>
              <w:jc w:val="left"/>
              <w:rPr>
                <w:color w:val="auto"/>
              </w:rPr>
            </w:pPr>
            <w:r w:rsidRPr="009D7C92">
              <w:rPr>
                <w:color w:val="auto"/>
              </w:rPr>
              <w:t>Menej časté</w:t>
            </w:r>
          </w:p>
        </w:tc>
        <w:tc>
          <w:tcPr>
            <w:tcW w:w="2522" w:type="dxa"/>
            <w:gridSpan w:val="2"/>
            <w:tcBorders>
              <w:top w:val="single" w:sz="6" w:space="0" w:color="000000"/>
              <w:left w:val="single" w:sz="6" w:space="0" w:color="000000"/>
              <w:bottom w:val="single" w:sz="6" w:space="0" w:color="000000"/>
              <w:right w:val="single" w:sz="6" w:space="0" w:color="000000"/>
            </w:tcBorders>
          </w:tcPr>
          <w:p w14:paraId="4D1D36E1" w14:textId="2D9CE396" w:rsidR="00EC50EB" w:rsidRPr="009D7C92" w:rsidRDefault="00EC50EB" w:rsidP="00211D25">
            <w:pPr>
              <w:jc w:val="left"/>
              <w:rPr>
                <w:color w:val="auto"/>
              </w:rPr>
            </w:pPr>
            <w:r w:rsidRPr="009D7C92">
              <w:rPr>
                <w:color w:val="auto"/>
              </w:rPr>
              <w:t xml:space="preserve">angioedém; veľmi výnimočne môže mať obštrukcia dýchacích ciest </w:t>
            </w:r>
            <w:r w:rsidR="005F7837" w:rsidRPr="009D7C92">
              <w:rPr>
                <w:color w:val="auto"/>
              </w:rPr>
              <w:t>kvôli</w:t>
            </w:r>
            <w:r w:rsidRPr="009D7C92">
              <w:rPr>
                <w:color w:val="auto"/>
              </w:rPr>
              <w:t xml:space="preserve"> angioedému fatálny </w:t>
            </w:r>
            <w:r w:rsidR="00F00425" w:rsidRPr="009D7C92">
              <w:rPr>
                <w:color w:val="auto"/>
              </w:rPr>
              <w:t>ná</w:t>
            </w:r>
            <w:r w:rsidRPr="009D7C92">
              <w:rPr>
                <w:color w:val="auto"/>
              </w:rPr>
              <w:t>sledok; pruritus, hyper</w:t>
            </w:r>
            <w:r w:rsidR="00122CC8" w:rsidRPr="009D7C92">
              <w:rPr>
                <w:color w:val="auto"/>
              </w:rPr>
              <w:t>h</w:t>
            </w:r>
            <w:r w:rsidRPr="009D7C92">
              <w:rPr>
                <w:color w:val="auto"/>
              </w:rPr>
              <w:t xml:space="preserve">idróza </w:t>
            </w:r>
          </w:p>
        </w:tc>
        <w:tc>
          <w:tcPr>
            <w:tcW w:w="2009" w:type="dxa"/>
            <w:tcBorders>
              <w:top w:val="single" w:sz="6" w:space="0" w:color="000000"/>
              <w:left w:val="single" w:sz="6" w:space="0" w:color="000000"/>
              <w:bottom w:val="single" w:sz="6" w:space="0" w:color="000000"/>
              <w:right w:val="single" w:sz="6" w:space="0" w:color="000000"/>
            </w:tcBorders>
          </w:tcPr>
          <w:p w14:paraId="74CF4681" w14:textId="77777777" w:rsidR="00EC50EB" w:rsidRPr="009D7C92" w:rsidRDefault="00BD6D16" w:rsidP="00F87817">
            <w:pPr>
              <w:jc w:val="left"/>
              <w:rPr>
                <w:color w:val="auto"/>
              </w:rPr>
            </w:pPr>
            <w:r w:rsidRPr="009D7C92">
              <w:rPr>
                <w:color w:val="auto"/>
              </w:rPr>
              <w:t>a</w:t>
            </w:r>
            <w:r w:rsidR="00EC50EB" w:rsidRPr="009D7C92">
              <w:rPr>
                <w:color w:val="auto"/>
              </w:rPr>
              <w:t>lopécia, purpura, zmena sfarbenia kože, hyperhidróza, svrbenie, vyrážka, exantém, urtikária</w:t>
            </w:r>
          </w:p>
        </w:tc>
        <w:tc>
          <w:tcPr>
            <w:tcW w:w="2473" w:type="dxa"/>
            <w:gridSpan w:val="2"/>
            <w:tcBorders>
              <w:top w:val="single" w:sz="6" w:space="0" w:color="000000"/>
              <w:left w:val="single" w:sz="6" w:space="0" w:color="000000"/>
              <w:bottom w:val="single" w:sz="6" w:space="0" w:color="000000"/>
              <w:right w:val="single" w:sz="6" w:space="0" w:color="000000"/>
            </w:tcBorders>
          </w:tcPr>
          <w:p w14:paraId="4ED0AADD" w14:textId="77777777" w:rsidR="00EC50EB" w:rsidRPr="009D7C92" w:rsidRDefault="00EC50EB">
            <w:pPr>
              <w:jc w:val="left"/>
              <w:rPr>
                <w:color w:val="auto"/>
              </w:rPr>
            </w:pPr>
          </w:p>
        </w:tc>
      </w:tr>
      <w:tr w:rsidR="00EC50EB" w:rsidRPr="009D7C92" w14:paraId="155A7305" w14:textId="77777777" w:rsidTr="00685680">
        <w:tblPrEx>
          <w:tblCellMar>
            <w:left w:w="113" w:type="dxa"/>
            <w:right w:w="44" w:type="dxa"/>
          </w:tblCellMar>
        </w:tblPrEx>
        <w:trPr>
          <w:trHeight w:val="541"/>
        </w:trPr>
        <w:tc>
          <w:tcPr>
            <w:tcW w:w="2167" w:type="dxa"/>
            <w:tcBorders>
              <w:top w:val="single" w:sz="6" w:space="0" w:color="000000"/>
              <w:left w:val="single" w:sz="6" w:space="0" w:color="000000"/>
              <w:bottom w:val="single" w:sz="6" w:space="0" w:color="000000"/>
              <w:right w:val="single" w:sz="6" w:space="0" w:color="000000"/>
            </w:tcBorders>
          </w:tcPr>
          <w:p w14:paraId="1398A78A" w14:textId="77777777" w:rsidR="00EC50EB" w:rsidRPr="009D7C92" w:rsidRDefault="00EC50EB" w:rsidP="00EE703D">
            <w:pPr>
              <w:jc w:val="left"/>
              <w:rPr>
                <w:color w:val="auto"/>
              </w:rPr>
            </w:pPr>
            <w:r w:rsidRPr="009D7C92">
              <w:rPr>
                <w:color w:val="auto"/>
              </w:rPr>
              <w:t xml:space="preserve">Zriedkavé </w:t>
            </w:r>
          </w:p>
        </w:tc>
        <w:tc>
          <w:tcPr>
            <w:tcW w:w="2522" w:type="dxa"/>
            <w:gridSpan w:val="2"/>
            <w:tcBorders>
              <w:top w:val="single" w:sz="6" w:space="0" w:color="000000"/>
              <w:left w:val="single" w:sz="6" w:space="0" w:color="000000"/>
              <w:bottom w:val="single" w:sz="6" w:space="0" w:color="000000"/>
              <w:right w:val="single" w:sz="6" w:space="0" w:color="000000"/>
            </w:tcBorders>
          </w:tcPr>
          <w:p w14:paraId="62602170" w14:textId="77777777" w:rsidR="00EC50EB" w:rsidRPr="009D7C92" w:rsidRDefault="00BD6D16" w:rsidP="00211D25">
            <w:pPr>
              <w:jc w:val="left"/>
              <w:rPr>
                <w:color w:val="auto"/>
              </w:rPr>
            </w:pPr>
            <w:r w:rsidRPr="009D7C92">
              <w:rPr>
                <w:color w:val="auto"/>
              </w:rPr>
              <w:t>e</w:t>
            </w:r>
            <w:r w:rsidR="00EC50EB" w:rsidRPr="009D7C92">
              <w:rPr>
                <w:color w:val="auto"/>
              </w:rPr>
              <w:t xml:space="preserve">xfoliatívna dermatitída, urtikária, onycholýza </w:t>
            </w:r>
          </w:p>
        </w:tc>
        <w:tc>
          <w:tcPr>
            <w:tcW w:w="2009" w:type="dxa"/>
            <w:tcBorders>
              <w:top w:val="single" w:sz="6" w:space="0" w:color="000000"/>
              <w:left w:val="single" w:sz="6" w:space="0" w:color="000000"/>
              <w:bottom w:val="single" w:sz="6" w:space="0" w:color="000000"/>
              <w:right w:val="single" w:sz="6" w:space="0" w:color="000000"/>
            </w:tcBorders>
          </w:tcPr>
          <w:p w14:paraId="1CEFAA65" w14:textId="77777777" w:rsidR="00EC50EB" w:rsidRPr="009D7C92" w:rsidRDefault="00EC50EB" w:rsidP="00F87817">
            <w:pPr>
              <w:jc w:val="left"/>
              <w:rPr>
                <w:color w:val="auto"/>
              </w:rPr>
            </w:pPr>
          </w:p>
        </w:tc>
        <w:tc>
          <w:tcPr>
            <w:tcW w:w="2473" w:type="dxa"/>
            <w:gridSpan w:val="2"/>
            <w:tcBorders>
              <w:top w:val="single" w:sz="6" w:space="0" w:color="000000"/>
              <w:left w:val="single" w:sz="6" w:space="0" w:color="000000"/>
              <w:bottom w:val="single" w:sz="6" w:space="0" w:color="000000"/>
              <w:right w:val="single" w:sz="6" w:space="0" w:color="000000"/>
            </w:tcBorders>
          </w:tcPr>
          <w:p w14:paraId="31689CF7" w14:textId="7486705B" w:rsidR="00EC50EB" w:rsidRPr="009D7C92" w:rsidRDefault="00BD6D16">
            <w:pPr>
              <w:jc w:val="left"/>
              <w:rPr>
                <w:color w:val="auto"/>
              </w:rPr>
            </w:pPr>
            <w:r w:rsidRPr="009D7C92">
              <w:rPr>
                <w:color w:val="auto"/>
              </w:rPr>
              <w:t>f</w:t>
            </w:r>
            <w:r w:rsidR="00EC50EB" w:rsidRPr="009D7C92">
              <w:rPr>
                <w:color w:val="auto"/>
              </w:rPr>
              <w:t>otosenzitívna reakcia</w:t>
            </w:r>
          </w:p>
        </w:tc>
      </w:tr>
      <w:tr w:rsidR="00EC50EB" w:rsidRPr="009D7C92" w14:paraId="1233DE55" w14:textId="77777777" w:rsidTr="00685680">
        <w:tblPrEx>
          <w:tblCellMar>
            <w:left w:w="113" w:type="dxa"/>
            <w:right w:w="44" w:type="dxa"/>
          </w:tblCellMar>
        </w:tblPrEx>
        <w:trPr>
          <w:trHeight w:val="1832"/>
        </w:trPr>
        <w:tc>
          <w:tcPr>
            <w:tcW w:w="2167" w:type="dxa"/>
            <w:tcBorders>
              <w:top w:val="single" w:sz="6" w:space="0" w:color="000000"/>
              <w:left w:val="single" w:sz="6" w:space="0" w:color="000000"/>
              <w:bottom w:val="single" w:sz="6" w:space="0" w:color="000000"/>
              <w:right w:val="single" w:sz="6" w:space="0" w:color="000000"/>
            </w:tcBorders>
          </w:tcPr>
          <w:p w14:paraId="49FB3EA3" w14:textId="77777777" w:rsidR="00EC50EB" w:rsidRPr="009D7C92" w:rsidRDefault="00EC50EB" w:rsidP="00EE703D">
            <w:pPr>
              <w:jc w:val="left"/>
              <w:rPr>
                <w:color w:val="auto"/>
              </w:rPr>
            </w:pPr>
            <w:r w:rsidRPr="009D7C92">
              <w:rPr>
                <w:color w:val="auto"/>
              </w:rPr>
              <w:t xml:space="preserve">Veľmi zriedkavé </w:t>
            </w:r>
          </w:p>
        </w:tc>
        <w:tc>
          <w:tcPr>
            <w:tcW w:w="2522" w:type="dxa"/>
            <w:gridSpan w:val="2"/>
            <w:tcBorders>
              <w:top w:val="single" w:sz="6" w:space="0" w:color="000000"/>
              <w:left w:val="single" w:sz="6" w:space="0" w:color="000000"/>
              <w:bottom w:val="single" w:sz="6" w:space="0" w:color="000000"/>
              <w:right w:val="single" w:sz="6" w:space="0" w:color="000000"/>
            </w:tcBorders>
          </w:tcPr>
          <w:p w14:paraId="469ED96B" w14:textId="77777777" w:rsidR="00EC50EB" w:rsidRPr="009D7C92" w:rsidRDefault="00BD6D16" w:rsidP="00211D25">
            <w:pPr>
              <w:jc w:val="left"/>
              <w:rPr>
                <w:color w:val="auto"/>
              </w:rPr>
            </w:pPr>
            <w:r w:rsidRPr="009D7C92">
              <w:rPr>
                <w:color w:val="auto"/>
              </w:rPr>
              <w:t>f</w:t>
            </w:r>
            <w:r w:rsidR="00EC50EB" w:rsidRPr="009D7C92">
              <w:rPr>
                <w:color w:val="auto"/>
              </w:rPr>
              <w:t xml:space="preserve">otosenzitívna reakcia </w:t>
            </w:r>
          </w:p>
        </w:tc>
        <w:tc>
          <w:tcPr>
            <w:tcW w:w="2009" w:type="dxa"/>
            <w:tcBorders>
              <w:top w:val="single" w:sz="6" w:space="0" w:color="000000"/>
              <w:left w:val="single" w:sz="6" w:space="0" w:color="000000"/>
              <w:bottom w:val="single" w:sz="6" w:space="0" w:color="000000"/>
              <w:right w:val="single" w:sz="6" w:space="0" w:color="000000"/>
            </w:tcBorders>
          </w:tcPr>
          <w:p w14:paraId="5707AE6B" w14:textId="352F58EF" w:rsidR="00EC50EB" w:rsidRPr="009D7C92" w:rsidRDefault="00BD6D16" w:rsidP="00F87817">
            <w:pPr>
              <w:jc w:val="left"/>
              <w:rPr>
                <w:color w:val="auto"/>
              </w:rPr>
            </w:pPr>
            <w:r w:rsidRPr="009D7C92">
              <w:rPr>
                <w:color w:val="auto"/>
              </w:rPr>
              <w:t>a</w:t>
            </w:r>
            <w:r w:rsidR="00EC50EB" w:rsidRPr="009D7C92">
              <w:rPr>
                <w:color w:val="auto"/>
              </w:rPr>
              <w:t>ngioedém, multiformný erytém, exfoliatívna dermatitída, Stevensov-Johnsonov syndróm,</w:t>
            </w:r>
            <w:r w:rsidR="005F7837" w:rsidRPr="009D7C92">
              <w:rPr>
                <w:color w:val="auto"/>
              </w:rPr>
              <w:t xml:space="preserve"> </w:t>
            </w:r>
            <w:r w:rsidR="00EC50EB" w:rsidRPr="009D7C92">
              <w:rPr>
                <w:color w:val="auto"/>
              </w:rPr>
              <w:t>Quinck</w:t>
            </w:r>
            <w:r w:rsidR="005F7837" w:rsidRPr="009D7C92">
              <w:rPr>
                <w:color w:val="auto"/>
              </w:rPr>
              <w:t>eho edém</w:t>
            </w:r>
            <w:r w:rsidR="00EC50EB" w:rsidRPr="009D7C92">
              <w:rPr>
                <w:color w:val="auto"/>
              </w:rPr>
              <w:t>, fotosenzitivita</w:t>
            </w:r>
          </w:p>
        </w:tc>
        <w:tc>
          <w:tcPr>
            <w:tcW w:w="2473" w:type="dxa"/>
            <w:gridSpan w:val="2"/>
            <w:tcBorders>
              <w:top w:val="single" w:sz="6" w:space="0" w:color="000000"/>
              <w:left w:val="single" w:sz="6" w:space="0" w:color="000000"/>
              <w:bottom w:val="single" w:sz="6" w:space="0" w:color="000000"/>
              <w:right w:val="single" w:sz="6" w:space="0" w:color="000000"/>
            </w:tcBorders>
          </w:tcPr>
          <w:p w14:paraId="5CBB22D3" w14:textId="1003CA29" w:rsidR="00EC50EB" w:rsidRPr="009D7C92" w:rsidRDefault="00EC50EB">
            <w:pPr>
              <w:jc w:val="left"/>
              <w:rPr>
                <w:color w:val="auto"/>
              </w:rPr>
            </w:pPr>
            <w:r w:rsidRPr="009D7C92">
              <w:rPr>
                <w:color w:val="auto"/>
              </w:rPr>
              <w:t>reakcie</w:t>
            </w:r>
            <w:r w:rsidR="00122CC8" w:rsidRPr="009D7C92">
              <w:rPr>
                <w:color w:val="auto"/>
              </w:rPr>
              <w:t xml:space="preserve"> podobné</w:t>
            </w:r>
            <w:r w:rsidRPr="009D7C92">
              <w:rPr>
                <w:color w:val="auto"/>
              </w:rPr>
              <w:t xml:space="preserve"> lupus erythematosus, reaktivácia lupus erythematosus, nekrotizujúca vaskulitída a toxická epidermálna nekrolýza</w:t>
            </w:r>
          </w:p>
        </w:tc>
      </w:tr>
      <w:tr w:rsidR="00EC50EB" w:rsidRPr="009D7C92" w14:paraId="72F4F0A1" w14:textId="77777777" w:rsidTr="00685680">
        <w:tblPrEx>
          <w:tblCellMar>
            <w:left w:w="113" w:type="dxa"/>
            <w:right w:w="44" w:type="dxa"/>
          </w:tblCellMar>
        </w:tblPrEx>
        <w:trPr>
          <w:trHeight w:val="2612"/>
        </w:trPr>
        <w:tc>
          <w:tcPr>
            <w:tcW w:w="2167" w:type="dxa"/>
            <w:tcBorders>
              <w:top w:val="single" w:sz="6" w:space="0" w:color="000000"/>
              <w:left w:val="single" w:sz="6" w:space="0" w:color="000000"/>
              <w:bottom w:val="single" w:sz="6" w:space="0" w:color="000000"/>
              <w:right w:val="single" w:sz="6" w:space="0" w:color="000000"/>
            </w:tcBorders>
          </w:tcPr>
          <w:p w14:paraId="6AE52902" w14:textId="77777777" w:rsidR="00EC50EB" w:rsidRPr="009D7C92" w:rsidRDefault="00EC50EB" w:rsidP="00EE703D">
            <w:pPr>
              <w:jc w:val="left"/>
              <w:rPr>
                <w:color w:val="auto"/>
              </w:rPr>
            </w:pPr>
            <w:r w:rsidRPr="009D7C92">
              <w:rPr>
                <w:color w:val="auto"/>
              </w:rPr>
              <w:t xml:space="preserve">Neznáme </w:t>
            </w:r>
          </w:p>
        </w:tc>
        <w:tc>
          <w:tcPr>
            <w:tcW w:w="2522" w:type="dxa"/>
            <w:gridSpan w:val="2"/>
            <w:tcBorders>
              <w:top w:val="single" w:sz="6" w:space="0" w:color="000000"/>
              <w:left w:val="single" w:sz="6" w:space="0" w:color="000000"/>
              <w:bottom w:val="single" w:sz="6" w:space="0" w:color="000000"/>
              <w:right w:val="single" w:sz="6" w:space="0" w:color="000000"/>
            </w:tcBorders>
          </w:tcPr>
          <w:p w14:paraId="74633287" w14:textId="36340316" w:rsidR="00EC50EB" w:rsidRPr="009D7C92" w:rsidRDefault="00BD6D16">
            <w:pPr>
              <w:jc w:val="left"/>
              <w:rPr>
                <w:color w:val="auto"/>
              </w:rPr>
            </w:pPr>
            <w:r w:rsidRPr="009D7C92">
              <w:rPr>
                <w:color w:val="auto"/>
              </w:rPr>
              <w:t>t</w:t>
            </w:r>
            <w:r w:rsidR="00EC50EB" w:rsidRPr="009D7C92">
              <w:rPr>
                <w:color w:val="auto"/>
              </w:rPr>
              <w:t>oxická epidermálna nekrolýza, Stevens</w:t>
            </w:r>
            <w:r w:rsidR="005F7837" w:rsidRPr="009D7C92">
              <w:rPr>
                <w:color w:val="auto"/>
              </w:rPr>
              <w:t>ov</w:t>
            </w:r>
            <w:r w:rsidR="00EC50EB" w:rsidRPr="009D7C92">
              <w:rPr>
                <w:color w:val="auto"/>
              </w:rPr>
              <w:t xml:space="preserve">-Johnsonov syndróm, multiformný erytém, pemfigus, zhoršená psoriáza, </w:t>
            </w:r>
            <w:r w:rsidR="00256CCE">
              <w:rPr>
                <w:color w:val="auto"/>
              </w:rPr>
              <w:t>psoriaziformná dermatitída</w:t>
            </w:r>
            <w:r w:rsidR="00F00425" w:rsidRPr="009D7C92">
              <w:rPr>
                <w:color w:val="auto"/>
              </w:rPr>
              <w:t>,</w:t>
            </w:r>
            <w:r w:rsidR="00EC50EB" w:rsidRPr="009D7C92">
              <w:rPr>
                <w:color w:val="auto"/>
              </w:rPr>
              <w:t xml:space="preserve"> pemfigoid alebo lichenoidný exantém alebo enantém, alopécia </w:t>
            </w:r>
          </w:p>
        </w:tc>
        <w:tc>
          <w:tcPr>
            <w:tcW w:w="2009" w:type="dxa"/>
            <w:tcBorders>
              <w:top w:val="single" w:sz="6" w:space="0" w:color="000000"/>
              <w:left w:val="single" w:sz="6" w:space="0" w:color="000000"/>
              <w:bottom w:val="single" w:sz="6" w:space="0" w:color="000000"/>
              <w:right w:val="single" w:sz="6" w:space="0" w:color="000000"/>
            </w:tcBorders>
          </w:tcPr>
          <w:p w14:paraId="1C96482D" w14:textId="77777777" w:rsidR="00EC50EB" w:rsidRPr="009D7C92" w:rsidRDefault="00BD6D16" w:rsidP="00F87817">
            <w:pPr>
              <w:jc w:val="left"/>
              <w:rPr>
                <w:color w:val="auto"/>
              </w:rPr>
            </w:pPr>
            <w:r w:rsidRPr="009D7C92">
              <w:rPr>
                <w:color w:val="auto"/>
              </w:rPr>
              <w:t>t</w:t>
            </w:r>
            <w:r w:rsidR="00EC50EB" w:rsidRPr="009D7C92">
              <w:rPr>
                <w:color w:val="auto"/>
              </w:rPr>
              <w:t>oxická epidermálna nekrolýza</w:t>
            </w:r>
          </w:p>
        </w:tc>
        <w:tc>
          <w:tcPr>
            <w:tcW w:w="2473" w:type="dxa"/>
            <w:gridSpan w:val="2"/>
            <w:tcBorders>
              <w:top w:val="single" w:sz="6" w:space="0" w:color="000000"/>
              <w:left w:val="single" w:sz="6" w:space="0" w:color="000000"/>
              <w:bottom w:val="single" w:sz="6" w:space="0" w:color="000000"/>
              <w:right w:val="single" w:sz="6" w:space="0" w:color="000000"/>
            </w:tcBorders>
          </w:tcPr>
          <w:p w14:paraId="4C5BA5D0" w14:textId="06968B1C" w:rsidR="00EC50EB" w:rsidRPr="009D7C92" w:rsidRDefault="005F7837">
            <w:pPr>
              <w:jc w:val="left"/>
              <w:rPr>
                <w:color w:val="auto"/>
              </w:rPr>
            </w:pPr>
            <w:r w:rsidRPr="009D7C92">
              <w:rPr>
                <w:color w:val="auto"/>
              </w:rPr>
              <w:t>multiformný erytém</w:t>
            </w:r>
          </w:p>
        </w:tc>
      </w:tr>
      <w:tr w:rsidR="00EC50EB" w:rsidRPr="009D7C92" w14:paraId="20BF353E" w14:textId="77777777" w:rsidTr="000A4B22">
        <w:tblPrEx>
          <w:tblCellMar>
            <w:left w:w="113" w:type="dxa"/>
            <w:right w:w="44" w:type="dxa"/>
          </w:tblCellMar>
        </w:tblPrEx>
        <w:trPr>
          <w:trHeight w:val="430"/>
        </w:trPr>
        <w:tc>
          <w:tcPr>
            <w:tcW w:w="9171" w:type="dxa"/>
            <w:gridSpan w:val="6"/>
            <w:tcBorders>
              <w:top w:val="single" w:sz="6" w:space="0" w:color="000000"/>
              <w:left w:val="single" w:sz="6" w:space="0" w:color="000000"/>
              <w:bottom w:val="single" w:sz="6" w:space="0" w:color="000000"/>
              <w:right w:val="single" w:sz="6" w:space="0" w:color="000000"/>
            </w:tcBorders>
          </w:tcPr>
          <w:p w14:paraId="39C0490C" w14:textId="77777777" w:rsidR="00EC50EB" w:rsidRPr="009D7C92" w:rsidRDefault="00E62C4D" w:rsidP="00EE703D">
            <w:pPr>
              <w:jc w:val="left"/>
              <w:rPr>
                <w:b/>
                <w:i/>
                <w:color w:val="auto"/>
              </w:rPr>
            </w:pPr>
            <w:r w:rsidRPr="009D7C92">
              <w:rPr>
                <w:b/>
                <w:i/>
                <w:color w:val="auto"/>
              </w:rPr>
              <w:t>Benígne a malígne nádory, vrátane nešpecifikovaných novotvarov (cysty a polypy)</w:t>
            </w:r>
          </w:p>
        </w:tc>
      </w:tr>
      <w:tr w:rsidR="00EC50EB" w:rsidRPr="009D7C92" w14:paraId="47416CAF" w14:textId="77777777" w:rsidTr="00243692">
        <w:tblPrEx>
          <w:tblCellMar>
            <w:left w:w="113" w:type="dxa"/>
            <w:right w:w="44" w:type="dxa"/>
          </w:tblCellMar>
        </w:tblPrEx>
        <w:trPr>
          <w:trHeight w:val="1065"/>
        </w:trPr>
        <w:tc>
          <w:tcPr>
            <w:tcW w:w="2167" w:type="dxa"/>
            <w:tcBorders>
              <w:top w:val="single" w:sz="6" w:space="0" w:color="000000"/>
              <w:left w:val="single" w:sz="6" w:space="0" w:color="000000"/>
              <w:bottom w:val="single" w:sz="6" w:space="0" w:color="000000"/>
              <w:right w:val="single" w:sz="6" w:space="0" w:color="000000"/>
            </w:tcBorders>
          </w:tcPr>
          <w:p w14:paraId="626A43DE" w14:textId="77777777" w:rsidR="00EC50EB" w:rsidRPr="009D7C92" w:rsidRDefault="00EC50EB" w:rsidP="00EE703D">
            <w:pPr>
              <w:jc w:val="left"/>
              <w:rPr>
                <w:color w:val="auto"/>
              </w:rPr>
            </w:pPr>
            <w:r w:rsidRPr="009D7C92">
              <w:rPr>
                <w:color w:val="auto"/>
              </w:rPr>
              <w:t>Neznáme</w:t>
            </w:r>
          </w:p>
        </w:tc>
        <w:tc>
          <w:tcPr>
            <w:tcW w:w="2522" w:type="dxa"/>
            <w:gridSpan w:val="2"/>
            <w:tcBorders>
              <w:top w:val="single" w:sz="6" w:space="0" w:color="000000"/>
              <w:left w:val="single" w:sz="6" w:space="0" w:color="000000"/>
              <w:bottom w:val="single" w:sz="6" w:space="0" w:color="000000"/>
              <w:right w:val="single" w:sz="6" w:space="0" w:color="000000"/>
            </w:tcBorders>
          </w:tcPr>
          <w:p w14:paraId="21BA8C45" w14:textId="77777777" w:rsidR="00EC50EB" w:rsidRPr="009D7C92" w:rsidRDefault="00EC50EB" w:rsidP="00211D25">
            <w:pPr>
              <w:jc w:val="left"/>
              <w:rPr>
                <w:color w:val="auto"/>
              </w:rPr>
            </w:pPr>
          </w:p>
        </w:tc>
        <w:tc>
          <w:tcPr>
            <w:tcW w:w="2009" w:type="dxa"/>
            <w:tcBorders>
              <w:top w:val="single" w:sz="6" w:space="0" w:color="000000"/>
              <w:left w:val="single" w:sz="6" w:space="0" w:color="000000"/>
              <w:bottom w:val="single" w:sz="6" w:space="0" w:color="000000"/>
              <w:right w:val="single" w:sz="6" w:space="0" w:color="000000"/>
            </w:tcBorders>
          </w:tcPr>
          <w:p w14:paraId="0CA3E6C5" w14:textId="77777777" w:rsidR="00EC50EB" w:rsidRPr="009D7C92" w:rsidRDefault="00EC50EB" w:rsidP="00F87817">
            <w:pPr>
              <w:jc w:val="left"/>
              <w:rPr>
                <w:b/>
                <w:color w:val="FF0000"/>
                <w:u w:val="single"/>
              </w:rPr>
            </w:pPr>
          </w:p>
        </w:tc>
        <w:tc>
          <w:tcPr>
            <w:tcW w:w="2473" w:type="dxa"/>
            <w:gridSpan w:val="2"/>
            <w:tcBorders>
              <w:top w:val="single" w:sz="6" w:space="0" w:color="000000"/>
              <w:left w:val="single" w:sz="6" w:space="0" w:color="000000"/>
              <w:bottom w:val="single" w:sz="6" w:space="0" w:color="000000"/>
              <w:right w:val="single" w:sz="6" w:space="0" w:color="000000"/>
            </w:tcBorders>
          </w:tcPr>
          <w:p w14:paraId="06D8D3C9" w14:textId="690CBA66" w:rsidR="00EC50EB" w:rsidRPr="009D7C92" w:rsidRDefault="00BD6D16">
            <w:pPr>
              <w:jc w:val="left"/>
              <w:rPr>
                <w:color w:val="auto"/>
              </w:rPr>
            </w:pPr>
            <w:r w:rsidRPr="009D7C92">
              <w:rPr>
                <w:color w:val="auto"/>
              </w:rPr>
              <w:t>n</w:t>
            </w:r>
            <w:r w:rsidR="00EC50EB" w:rsidRPr="009D7C92">
              <w:rPr>
                <w:color w:val="auto"/>
              </w:rPr>
              <w:t>e</w:t>
            </w:r>
            <w:r w:rsidR="005F7837" w:rsidRPr="009D7C92">
              <w:rPr>
                <w:color w:val="auto"/>
              </w:rPr>
              <w:t>me</w:t>
            </w:r>
            <w:r w:rsidR="00EC50EB" w:rsidRPr="009D7C92">
              <w:rPr>
                <w:color w:val="auto"/>
              </w:rPr>
              <w:t>lanómová rakovina kože (</w:t>
            </w:r>
            <w:r w:rsidR="00F219B2" w:rsidRPr="009D7C92">
              <w:rPr>
                <w:color w:val="auto"/>
              </w:rPr>
              <w:t>bazocelulárny a skvamocelulárny karcinóm</w:t>
            </w:r>
            <w:r w:rsidR="00EC50EB" w:rsidRPr="009D7C92">
              <w:rPr>
                <w:color w:val="auto"/>
              </w:rPr>
              <w:t>) **</w:t>
            </w:r>
          </w:p>
        </w:tc>
      </w:tr>
      <w:tr w:rsidR="00EC50EB" w:rsidRPr="009D7C92" w14:paraId="16A7F94A" w14:textId="77777777" w:rsidTr="002B66E0">
        <w:tblPrEx>
          <w:tblCellMar>
            <w:left w:w="113" w:type="dxa"/>
            <w:right w:w="44" w:type="dxa"/>
          </w:tblCellMar>
        </w:tblPrEx>
        <w:trPr>
          <w:trHeight w:val="364"/>
        </w:trPr>
        <w:tc>
          <w:tcPr>
            <w:tcW w:w="9171" w:type="dxa"/>
            <w:gridSpan w:val="6"/>
            <w:tcBorders>
              <w:top w:val="single" w:sz="6" w:space="0" w:color="000000"/>
              <w:left w:val="single" w:sz="6" w:space="0" w:color="000000"/>
              <w:bottom w:val="single" w:sz="6" w:space="0" w:color="000000"/>
              <w:right w:val="single" w:sz="6" w:space="0" w:color="000000"/>
            </w:tcBorders>
          </w:tcPr>
          <w:p w14:paraId="33F344ED" w14:textId="77777777" w:rsidR="00EC50EB" w:rsidRPr="009D7C92" w:rsidRDefault="00EC50EB" w:rsidP="00EE703D">
            <w:pPr>
              <w:jc w:val="left"/>
              <w:rPr>
                <w:b/>
                <w:i/>
                <w:color w:val="auto"/>
              </w:rPr>
            </w:pPr>
            <w:r w:rsidRPr="009D7C92">
              <w:rPr>
                <w:b/>
                <w:i/>
                <w:color w:val="auto"/>
              </w:rPr>
              <w:t>Poruchy kostrovej a svalovej sústavy a spojivového tkaniva</w:t>
            </w:r>
          </w:p>
        </w:tc>
      </w:tr>
      <w:tr w:rsidR="00EC50EB" w:rsidRPr="009D7C92" w14:paraId="59D4D3F9" w14:textId="77777777" w:rsidTr="00685680">
        <w:tblPrEx>
          <w:tblCellMar>
            <w:left w:w="113" w:type="dxa"/>
            <w:right w:w="44" w:type="dxa"/>
          </w:tblCellMar>
        </w:tblPrEx>
        <w:trPr>
          <w:trHeight w:val="526"/>
        </w:trPr>
        <w:tc>
          <w:tcPr>
            <w:tcW w:w="2167" w:type="dxa"/>
            <w:tcBorders>
              <w:top w:val="single" w:sz="6" w:space="0" w:color="000000"/>
              <w:left w:val="single" w:sz="6" w:space="0" w:color="000000"/>
              <w:bottom w:val="single" w:sz="6" w:space="0" w:color="000000"/>
              <w:right w:val="single" w:sz="6" w:space="0" w:color="000000"/>
            </w:tcBorders>
          </w:tcPr>
          <w:p w14:paraId="45134068" w14:textId="77777777" w:rsidR="00EC50EB" w:rsidRPr="009D7C92" w:rsidRDefault="00E62C4D" w:rsidP="00EE703D">
            <w:pPr>
              <w:jc w:val="left"/>
              <w:rPr>
                <w:color w:val="auto"/>
              </w:rPr>
            </w:pPr>
            <w:r w:rsidRPr="009D7C92">
              <w:rPr>
                <w:color w:val="auto"/>
              </w:rPr>
              <w:t>Časté</w:t>
            </w:r>
          </w:p>
        </w:tc>
        <w:tc>
          <w:tcPr>
            <w:tcW w:w="2522" w:type="dxa"/>
            <w:gridSpan w:val="2"/>
            <w:tcBorders>
              <w:top w:val="single" w:sz="6" w:space="0" w:color="000000"/>
              <w:left w:val="single" w:sz="6" w:space="0" w:color="000000"/>
              <w:bottom w:val="single" w:sz="6" w:space="0" w:color="000000"/>
              <w:right w:val="single" w:sz="6" w:space="0" w:color="000000"/>
            </w:tcBorders>
          </w:tcPr>
          <w:p w14:paraId="0E9ABC49" w14:textId="2857CE99" w:rsidR="00EC50EB" w:rsidRPr="009D7C92" w:rsidRDefault="006870C1" w:rsidP="00211D25">
            <w:pPr>
              <w:jc w:val="left"/>
              <w:rPr>
                <w:color w:val="auto"/>
              </w:rPr>
            </w:pPr>
            <w:r w:rsidRPr="009D7C92">
              <w:rPr>
                <w:color w:val="auto"/>
              </w:rPr>
              <w:t>s</w:t>
            </w:r>
            <w:r w:rsidR="00EC50EB" w:rsidRPr="009D7C92">
              <w:rPr>
                <w:color w:val="auto"/>
              </w:rPr>
              <w:t xml:space="preserve">valové </w:t>
            </w:r>
            <w:r w:rsidR="005F7837" w:rsidRPr="009D7C92">
              <w:rPr>
                <w:color w:val="auto"/>
              </w:rPr>
              <w:t>spazmy</w:t>
            </w:r>
            <w:r w:rsidR="00EC50EB" w:rsidRPr="009D7C92">
              <w:rPr>
                <w:color w:val="auto"/>
              </w:rPr>
              <w:t xml:space="preserve">, myalgia </w:t>
            </w:r>
          </w:p>
        </w:tc>
        <w:tc>
          <w:tcPr>
            <w:tcW w:w="2009" w:type="dxa"/>
            <w:tcBorders>
              <w:top w:val="single" w:sz="6" w:space="0" w:color="000000"/>
              <w:left w:val="single" w:sz="6" w:space="0" w:color="000000"/>
              <w:bottom w:val="single" w:sz="6" w:space="0" w:color="000000"/>
              <w:right w:val="single" w:sz="6" w:space="0" w:color="000000"/>
            </w:tcBorders>
          </w:tcPr>
          <w:p w14:paraId="61360293" w14:textId="77777777" w:rsidR="00EC50EB" w:rsidRPr="009D7C92" w:rsidRDefault="006870C1" w:rsidP="00F87817">
            <w:pPr>
              <w:jc w:val="left"/>
              <w:rPr>
                <w:color w:val="auto"/>
              </w:rPr>
            </w:pPr>
            <w:r w:rsidRPr="009D7C92">
              <w:rPr>
                <w:color w:val="auto"/>
              </w:rPr>
              <w:t>o</w:t>
            </w:r>
            <w:r w:rsidR="00EC50EB" w:rsidRPr="009D7C92">
              <w:rPr>
                <w:color w:val="auto"/>
              </w:rPr>
              <w:t xml:space="preserve">puch členkov, svalové kŕče </w:t>
            </w:r>
          </w:p>
        </w:tc>
        <w:tc>
          <w:tcPr>
            <w:tcW w:w="2473" w:type="dxa"/>
            <w:gridSpan w:val="2"/>
            <w:tcBorders>
              <w:top w:val="single" w:sz="6" w:space="0" w:color="000000"/>
              <w:left w:val="single" w:sz="6" w:space="0" w:color="000000"/>
              <w:bottom w:val="single" w:sz="6" w:space="0" w:color="000000"/>
              <w:right w:val="single" w:sz="6" w:space="0" w:color="000000"/>
            </w:tcBorders>
          </w:tcPr>
          <w:p w14:paraId="700DBB3C" w14:textId="77777777" w:rsidR="00EC50EB" w:rsidRPr="009D7C92" w:rsidRDefault="00EC50EB">
            <w:pPr>
              <w:jc w:val="left"/>
              <w:rPr>
                <w:color w:val="auto"/>
              </w:rPr>
            </w:pPr>
          </w:p>
        </w:tc>
      </w:tr>
      <w:tr w:rsidR="00EC50EB" w:rsidRPr="009D7C92" w14:paraId="0CBCEAA0" w14:textId="77777777" w:rsidTr="00243692">
        <w:tblPrEx>
          <w:tblCellMar>
            <w:left w:w="113" w:type="dxa"/>
            <w:right w:w="44" w:type="dxa"/>
          </w:tblCellMar>
        </w:tblPrEx>
        <w:trPr>
          <w:trHeight w:val="498"/>
        </w:trPr>
        <w:tc>
          <w:tcPr>
            <w:tcW w:w="2167" w:type="dxa"/>
            <w:tcBorders>
              <w:top w:val="single" w:sz="6" w:space="0" w:color="000000"/>
              <w:left w:val="single" w:sz="6" w:space="0" w:color="000000"/>
              <w:bottom w:val="single" w:sz="6" w:space="0" w:color="000000"/>
              <w:right w:val="single" w:sz="6" w:space="0" w:color="000000"/>
            </w:tcBorders>
          </w:tcPr>
          <w:p w14:paraId="54D4D5F1" w14:textId="77777777" w:rsidR="00EC50EB" w:rsidRPr="009D7C92" w:rsidRDefault="006870C1" w:rsidP="00EE703D">
            <w:pPr>
              <w:jc w:val="left"/>
              <w:rPr>
                <w:color w:val="auto"/>
              </w:rPr>
            </w:pPr>
            <w:r w:rsidRPr="009D7C92">
              <w:rPr>
                <w:color w:val="auto"/>
              </w:rPr>
              <w:t>Menej časté</w:t>
            </w:r>
          </w:p>
        </w:tc>
        <w:tc>
          <w:tcPr>
            <w:tcW w:w="2522" w:type="dxa"/>
            <w:gridSpan w:val="2"/>
            <w:tcBorders>
              <w:top w:val="single" w:sz="6" w:space="0" w:color="000000"/>
              <w:left w:val="single" w:sz="6" w:space="0" w:color="000000"/>
              <w:bottom w:val="single" w:sz="6" w:space="0" w:color="000000"/>
              <w:right w:val="single" w:sz="6" w:space="0" w:color="000000"/>
            </w:tcBorders>
          </w:tcPr>
          <w:p w14:paraId="04205A44" w14:textId="77777777" w:rsidR="00EC50EB" w:rsidRPr="009D7C92" w:rsidRDefault="006870C1" w:rsidP="00211D25">
            <w:pPr>
              <w:jc w:val="left"/>
              <w:rPr>
                <w:color w:val="auto"/>
              </w:rPr>
            </w:pPr>
            <w:r w:rsidRPr="009D7C92">
              <w:rPr>
                <w:color w:val="auto"/>
              </w:rPr>
              <w:t>a</w:t>
            </w:r>
            <w:r w:rsidR="00EC50EB" w:rsidRPr="009D7C92">
              <w:rPr>
                <w:color w:val="auto"/>
              </w:rPr>
              <w:t xml:space="preserve">rtralgia </w:t>
            </w:r>
          </w:p>
        </w:tc>
        <w:tc>
          <w:tcPr>
            <w:tcW w:w="2009" w:type="dxa"/>
            <w:tcBorders>
              <w:top w:val="single" w:sz="6" w:space="0" w:color="000000"/>
              <w:left w:val="single" w:sz="6" w:space="0" w:color="000000"/>
              <w:bottom w:val="single" w:sz="6" w:space="0" w:color="000000"/>
              <w:right w:val="single" w:sz="6" w:space="0" w:color="000000"/>
            </w:tcBorders>
          </w:tcPr>
          <w:p w14:paraId="6833A2C4" w14:textId="77777777" w:rsidR="00EC50EB" w:rsidRPr="009D7C92" w:rsidRDefault="006870C1" w:rsidP="00F87817">
            <w:pPr>
              <w:jc w:val="left"/>
              <w:rPr>
                <w:color w:val="auto"/>
              </w:rPr>
            </w:pPr>
            <w:r w:rsidRPr="009D7C92">
              <w:rPr>
                <w:color w:val="auto"/>
              </w:rPr>
              <w:t>a</w:t>
            </w:r>
            <w:r w:rsidR="00EC50EB" w:rsidRPr="009D7C92">
              <w:rPr>
                <w:color w:val="auto"/>
              </w:rPr>
              <w:t xml:space="preserve">rtralgia, myalgia, bolesť chrbta </w:t>
            </w:r>
          </w:p>
        </w:tc>
        <w:tc>
          <w:tcPr>
            <w:tcW w:w="2473" w:type="dxa"/>
            <w:gridSpan w:val="2"/>
            <w:tcBorders>
              <w:top w:val="single" w:sz="6" w:space="0" w:color="000000"/>
              <w:left w:val="single" w:sz="6" w:space="0" w:color="000000"/>
              <w:bottom w:val="single" w:sz="6" w:space="0" w:color="000000"/>
              <w:right w:val="single" w:sz="6" w:space="0" w:color="000000"/>
            </w:tcBorders>
          </w:tcPr>
          <w:p w14:paraId="1FF81EA9" w14:textId="77777777" w:rsidR="00EC50EB" w:rsidRPr="009D7C92" w:rsidRDefault="006870C1">
            <w:pPr>
              <w:jc w:val="left"/>
              <w:rPr>
                <w:color w:val="auto"/>
              </w:rPr>
            </w:pPr>
            <w:r w:rsidRPr="009D7C92">
              <w:rPr>
                <w:color w:val="auto"/>
              </w:rPr>
              <w:t>s</w:t>
            </w:r>
            <w:r w:rsidR="00EC50EB" w:rsidRPr="009D7C92">
              <w:rPr>
                <w:color w:val="auto"/>
              </w:rPr>
              <w:t>valové kŕče</w:t>
            </w:r>
          </w:p>
        </w:tc>
      </w:tr>
      <w:tr w:rsidR="00EC50EB" w:rsidRPr="009D7C92" w14:paraId="7A2BC23E" w14:textId="77777777" w:rsidTr="002B66E0">
        <w:tblPrEx>
          <w:tblCellMar>
            <w:left w:w="113" w:type="dxa"/>
            <w:right w:w="44" w:type="dxa"/>
          </w:tblCellMar>
        </w:tblPrEx>
        <w:trPr>
          <w:trHeight w:val="332"/>
        </w:trPr>
        <w:tc>
          <w:tcPr>
            <w:tcW w:w="9171" w:type="dxa"/>
            <w:gridSpan w:val="6"/>
            <w:tcBorders>
              <w:top w:val="single" w:sz="6" w:space="0" w:color="000000"/>
              <w:left w:val="single" w:sz="6" w:space="0" w:color="000000"/>
              <w:bottom w:val="single" w:sz="6" w:space="0" w:color="000000"/>
              <w:right w:val="single" w:sz="6" w:space="0" w:color="000000"/>
            </w:tcBorders>
          </w:tcPr>
          <w:p w14:paraId="4681BC90" w14:textId="77777777" w:rsidR="00EC50EB" w:rsidRPr="009D7C92" w:rsidRDefault="00EC50EB" w:rsidP="00EE703D">
            <w:pPr>
              <w:jc w:val="left"/>
              <w:rPr>
                <w:b/>
                <w:i/>
                <w:color w:val="auto"/>
              </w:rPr>
            </w:pPr>
            <w:r w:rsidRPr="009D7C92">
              <w:rPr>
                <w:b/>
                <w:i/>
                <w:color w:val="auto"/>
              </w:rPr>
              <w:t>Poruchy obličiek a močových ciest</w:t>
            </w:r>
          </w:p>
        </w:tc>
      </w:tr>
      <w:tr w:rsidR="00EC50EB" w:rsidRPr="009D7C92" w14:paraId="0211334E" w14:textId="77777777" w:rsidTr="00243692">
        <w:tblPrEx>
          <w:tblCellMar>
            <w:left w:w="113" w:type="dxa"/>
            <w:right w:w="44" w:type="dxa"/>
          </w:tblCellMar>
        </w:tblPrEx>
        <w:trPr>
          <w:trHeight w:val="1822"/>
        </w:trPr>
        <w:tc>
          <w:tcPr>
            <w:tcW w:w="2167" w:type="dxa"/>
            <w:tcBorders>
              <w:top w:val="single" w:sz="6" w:space="0" w:color="000000"/>
              <w:left w:val="single" w:sz="6" w:space="0" w:color="000000"/>
              <w:bottom w:val="single" w:sz="6" w:space="0" w:color="000000"/>
              <w:right w:val="single" w:sz="6" w:space="0" w:color="000000"/>
            </w:tcBorders>
          </w:tcPr>
          <w:p w14:paraId="7BC7ADDF" w14:textId="77777777" w:rsidR="00EC50EB" w:rsidRPr="009D7C92" w:rsidRDefault="006870C1" w:rsidP="00EE703D">
            <w:pPr>
              <w:jc w:val="left"/>
              <w:rPr>
                <w:color w:val="auto"/>
              </w:rPr>
            </w:pPr>
            <w:r w:rsidRPr="009D7C92">
              <w:rPr>
                <w:color w:val="auto"/>
              </w:rPr>
              <w:t>Menej časté</w:t>
            </w:r>
          </w:p>
        </w:tc>
        <w:tc>
          <w:tcPr>
            <w:tcW w:w="2522" w:type="dxa"/>
            <w:gridSpan w:val="2"/>
            <w:tcBorders>
              <w:top w:val="single" w:sz="6" w:space="0" w:color="000000"/>
              <w:left w:val="single" w:sz="6" w:space="0" w:color="000000"/>
              <w:bottom w:val="single" w:sz="6" w:space="0" w:color="000000"/>
              <w:right w:val="single" w:sz="6" w:space="0" w:color="000000"/>
            </w:tcBorders>
          </w:tcPr>
          <w:p w14:paraId="36662CD6" w14:textId="6EC1B004" w:rsidR="00EC50EB" w:rsidRPr="009D7C92" w:rsidRDefault="006870C1" w:rsidP="00211D25">
            <w:pPr>
              <w:jc w:val="left"/>
              <w:rPr>
                <w:color w:val="auto"/>
              </w:rPr>
            </w:pPr>
            <w:r w:rsidRPr="009D7C92">
              <w:rPr>
                <w:color w:val="auto"/>
              </w:rPr>
              <w:t>p</w:t>
            </w:r>
            <w:r w:rsidR="00EC50EB" w:rsidRPr="009D7C92">
              <w:rPr>
                <w:color w:val="auto"/>
              </w:rPr>
              <w:t>o</w:t>
            </w:r>
            <w:r w:rsidR="005F7837" w:rsidRPr="009D7C92">
              <w:rPr>
                <w:color w:val="auto"/>
              </w:rPr>
              <w:t>rucha</w:t>
            </w:r>
            <w:r w:rsidR="00EC50EB" w:rsidRPr="009D7C92">
              <w:rPr>
                <w:color w:val="auto"/>
              </w:rPr>
              <w:t xml:space="preserve"> funkcie obličiek vrátane akútneho zlyhania obličiek, </w:t>
            </w:r>
            <w:r w:rsidR="005F7837" w:rsidRPr="009D7C92">
              <w:rPr>
                <w:color w:val="auto"/>
              </w:rPr>
              <w:t>častejšie močenie</w:t>
            </w:r>
            <w:r w:rsidR="00EC50EB" w:rsidRPr="009D7C92">
              <w:rPr>
                <w:color w:val="auto"/>
              </w:rPr>
              <w:t>, zhoršeni</w:t>
            </w:r>
            <w:r w:rsidR="005F7837" w:rsidRPr="009D7C92">
              <w:rPr>
                <w:color w:val="auto"/>
              </w:rPr>
              <w:t>e</w:t>
            </w:r>
            <w:r w:rsidR="00EC50EB" w:rsidRPr="009D7C92">
              <w:rPr>
                <w:color w:val="auto"/>
              </w:rPr>
              <w:t xml:space="preserve"> už </w:t>
            </w:r>
            <w:r w:rsidR="005F7837" w:rsidRPr="009D7C92">
              <w:rPr>
                <w:color w:val="auto"/>
              </w:rPr>
              <w:t xml:space="preserve">prítomnej </w:t>
            </w:r>
            <w:r w:rsidR="00EC50EB" w:rsidRPr="009D7C92">
              <w:rPr>
                <w:color w:val="auto"/>
              </w:rPr>
              <w:t>proteinúrie, zvýšen</w:t>
            </w:r>
            <w:r w:rsidR="00DB0C91" w:rsidRPr="009D7C92">
              <w:rPr>
                <w:color w:val="auto"/>
              </w:rPr>
              <w:t>ie</w:t>
            </w:r>
            <w:r w:rsidR="00EC50EB" w:rsidRPr="009D7C92">
              <w:rPr>
                <w:color w:val="auto"/>
              </w:rPr>
              <w:t xml:space="preserve"> močoviny v krvi, zvýšen</w:t>
            </w:r>
            <w:r w:rsidR="00DB0C91" w:rsidRPr="009D7C92">
              <w:rPr>
                <w:color w:val="auto"/>
              </w:rPr>
              <w:t>ie</w:t>
            </w:r>
            <w:r w:rsidR="00EC50EB" w:rsidRPr="009D7C92">
              <w:rPr>
                <w:color w:val="auto"/>
              </w:rPr>
              <w:t xml:space="preserve"> kreatinínu v krvi </w:t>
            </w:r>
          </w:p>
        </w:tc>
        <w:tc>
          <w:tcPr>
            <w:tcW w:w="2009" w:type="dxa"/>
            <w:tcBorders>
              <w:top w:val="single" w:sz="6" w:space="0" w:color="000000"/>
              <w:left w:val="single" w:sz="6" w:space="0" w:color="000000"/>
              <w:bottom w:val="single" w:sz="6" w:space="0" w:color="000000"/>
              <w:right w:val="single" w:sz="6" w:space="0" w:color="000000"/>
            </w:tcBorders>
          </w:tcPr>
          <w:p w14:paraId="08D2EC15" w14:textId="77777777" w:rsidR="00EC50EB" w:rsidRPr="009D7C92" w:rsidRDefault="006870C1" w:rsidP="00F87817">
            <w:pPr>
              <w:jc w:val="left"/>
              <w:rPr>
                <w:color w:val="auto"/>
              </w:rPr>
            </w:pPr>
            <w:r w:rsidRPr="009D7C92">
              <w:rPr>
                <w:color w:val="auto"/>
              </w:rPr>
              <w:t>p</w:t>
            </w:r>
            <w:r w:rsidR="00EC50EB" w:rsidRPr="009D7C92">
              <w:rPr>
                <w:color w:val="auto"/>
              </w:rPr>
              <w:t>orucha močenia, noktúria, zvýšená frekvencia močenia</w:t>
            </w:r>
          </w:p>
        </w:tc>
        <w:tc>
          <w:tcPr>
            <w:tcW w:w="2473" w:type="dxa"/>
            <w:gridSpan w:val="2"/>
            <w:tcBorders>
              <w:top w:val="single" w:sz="6" w:space="0" w:color="000000"/>
              <w:left w:val="single" w:sz="6" w:space="0" w:color="000000"/>
              <w:bottom w:val="single" w:sz="6" w:space="0" w:color="000000"/>
              <w:right w:val="single" w:sz="6" w:space="0" w:color="000000"/>
            </w:tcBorders>
          </w:tcPr>
          <w:p w14:paraId="1EB7890B" w14:textId="77777777" w:rsidR="00EC50EB" w:rsidRPr="009D7C92" w:rsidRDefault="006870C1">
            <w:pPr>
              <w:jc w:val="left"/>
              <w:rPr>
                <w:color w:val="auto"/>
              </w:rPr>
            </w:pPr>
            <w:r w:rsidRPr="009D7C92">
              <w:rPr>
                <w:color w:val="auto"/>
              </w:rPr>
              <w:t>g</w:t>
            </w:r>
            <w:r w:rsidR="00EC50EB" w:rsidRPr="009D7C92">
              <w:rPr>
                <w:color w:val="auto"/>
              </w:rPr>
              <w:t>lykozúria, intersticiálna nefritída, renálna</w:t>
            </w:r>
            <w:r w:rsidRPr="009D7C92">
              <w:rPr>
                <w:color w:val="auto"/>
              </w:rPr>
              <w:t xml:space="preserve"> dysfunkcia, zlyhanie obličiek</w:t>
            </w:r>
          </w:p>
        </w:tc>
      </w:tr>
      <w:tr w:rsidR="00EC50EB" w:rsidRPr="009D7C92" w14:paraId="7282CC7B" w14:textId="77777777" w:rsidTr="002B66E0">
        <w:tblPrEx>
          <w:tblCellMar>
            <w:left w:w="113" w:type="dxa"/>
            <w:right w:w="44" w:type="dxa"/>
          </w:tblCellMar>
        </w:tblPrEx>
        <w:trPr>
          <w:trHeight w:val="277"/>
        </w:trPr>
        <w:tc>
          <w:tcPr>
            <w:tcW w:w="9171" w:type="dxa"/>
            <w:gridSpan w:val="6"/>
            <w:tcBorders>
              <w:top w:val="single" w:sz="6" w:space="0" w:color="000000"/>
              <w:left w:val="single" w:sz="6" w:space="0" w:color="000000"/>
              <w:bottom w:val="single" w:sz="6" w:space="0" w:color="000000"/>
              <w:right w:val="single" w:sz="6" w:space="0" w:color="000000"/>
            </w:tcBorders>
          </w:tcPr>
          <w:p w14:paraId="68E9F5AD" w14:textId="77777777" w:rsidR="00EC50EB" w:rsidRPr="009D7C92" w:rsidRDefault="00EC50EB" w:rsidP="00EE703D">
            <w:pPr>
              <w:jc w:val="left"/>
              <w:rPr>
                <w:b/>
                <w:i/>
                <w:color w:val="auto"/>
              </w:rPr>
            </w:pPr>
            <w:r w:rsidRPr="009D7C92">
              <w:rPr>
                <w:b/>
                <w:i/>
                <w:color w:val="auto"/>
              </w:rPr>
              <w:t>Poruchy reprodukčného systému a prsníkov</w:t>
            </w:r>
          </w:p>
        </w:tc>
      </w:tr>
      <w:tr w:rsidR="00EC50EB" w:rsidRPr="009D7C92" w14:paraId="64736370" w14:textId="77777777" w:rsidTr="00685680">
        <w:tblPrEx>
          <w:tblCellMar>
            <w:left w:w="113" w:type="dxa"/>
            <w:right w:w="44" w:type="dxa"/>
          </w:tblCellMar>
        </w:tblPrEx>
        <w:trPr>
          <w:trHeight w:val="240"/>
        </w:trPr>
        <w:tc>
          <w:tcPr>
            <w:tcW w:w="2167" w:type="dxa"/>
            <w:tcBorders>
              <w:top w:val="single" w:sz="6" w:space="0" w:color="000000"/>
              <w:left w:val="single" w:sz="6" w:space="0" w:color="000000"/>
              <w:bottom w:val="single" w:sz="6" w:space="0" w:color="000000"/>
              <w:right w:val="single" w:sz="6" w:space="0" w:color="000000"/>
            </w:tcBorders>
          </w:tcPr>
          <w:p w14:paraId="1EEB8B56" w14:textId="77777777" w:rsidR="00EC50EB" w:rsidRPr="009D7C92" w:rsidRDefault="00E62C4D" w:rsidP="00EE703D">
            <w:pPr>
              <w:jc w:val="left"/>
              <w:rPr>
                <w:color w:val="auto"/>
              </w:rPr>
            </w:pPr>
            <w:r w:rsidRPr="009D7C92">
              <w:rPr>
                <w:color w:val="auto"/>
              </w:rPr>
              <w:t>Časté</w:t>
            </w:r>
          </w:p>
        </w:tc>
        <w:tc>
          <w:tcPr>
            <w:tcW w:w="2522" w:type="dxa"/>
            <w:gridSpan w:val="2"/>
            <w:tcBorders>
              <w:top w:val="single" w:sz="6" w:space="0" w:color="000000"/>
              <w:left w:val="single" w:sz="6" w:space="0" w:color="000000"/>
              <w:bottom w:val="single" w:sz="6" w:space="0" w:color="000000"/>
              <w:right w:val="single" w:sz="6" w:space="0" w:color="000000"/>
            </w:tcBorders>
          </w:tcPr>
          <w:p w14:paraId="4D4D376F" w14:textId="77777777" w:rsidR="00EC50EB" w:rsidRPr="009D7C92" w:rsidRDefault="00EC50EB" w:rsidP="00211D25">
            <w:pPr>
              <w:jc w:val="left"/>
              <w:rPr>
                <w:color w:val="auto"/>
              </w:rPr>
            </w:pPr>
          </w:p>
        </w:tc>
        <w:tc>
          <w:tcPr>
            <w:tcW w:w="2009" w:type="dxa"/>
            <w:tcBorders>
              <w:top w:val="single" w:sz="6" w:space="0" w:color="000000"/>
              <w:left w:val="single" w:sz="6" w:space="0" w:color="000000"/>
              <w:bottom w:val="single" w:sz="6" w:space="0" w:color="000000"/>
              <w:right w:val="single" w:sz="6" w:space="0" w:color="000000"/>
            </w:tcBorders>
          </w:tcPr>
          <w:p w14:paraId="26548B52" w14:textId="77777777" w:rsidR="00EC50EB" w:rsidRPr="009D7C92" w:rsidRDefault="00EC50EB" w:rsidP="00F87817">
            <w:pPr>
              <w:jc w:val="left"/>
              <w:rPr>
                <w:color w:val="auto"/>
              </w:rPr>
            </w:pPr>
          </w:p>
        </w:tc>
        <w:tc>
          <w:tcPr>
            <w:tcW w:w="2473" w:type="dxa"/>
            <w:gridSpan w:val="2"/>
            <w:tcBorders>
              <w:top w:val="single" w:sz="6" w:space="0" w:color="000000"/>
              <w:left w:val="single" w:sz="6" w:space="0" w:color="000000"/>
              <w:bottom w:val="single" w:sz="6" w:space="0" w:color="000000"/>
              <w:right w:val="single" w:sz="6" w:space="0" w:color="000000"/>
            </w:tcBorders>
          </w:tcPr>
          <w:p w14:paraId="14719525" w14:textId="77777777" w:rsidR="00EC50EB" w:rsidRPr="009D7C92" w:rsidRDefault="006870C1">
            <w:pPr>
              <w:jc w:val="left"/>
              <w:rPr>
                <w:color w:val="auto"/>
              </w:rPr>
            </w:pPr>
            <w:r w:rsidRPr="009D7C92">
              <w:rPr>
                <w:color w:val="auto"/>
              </w:rPr>
              <w:t>i</w:t>
            </w:r>
            <w:r w:rsidR="00EC50EB" w:rsidRPr="009D7C92">
              <w:rPr>
                <w:color w:val="auto"/>
              </w:rPr>
              <w:t>mpotencia</w:t>
            </w:r>
          </w:p>
        </w:tc>
      </w:tr>
      <w:tr w:rsidR="00EC50EB" w:rsidRPr="009D7C92" w14:paraId="3E1C9E2B" w14:textId="77777777" w:rsidTr="00243692">
        <w:tblPrEx>
          <w:tblCellMar>
            <w:left w:w="113" w:type="dxa"/>
            <w:right w:w="44" w:type="dxa"/>
          </w:tblCellMar>
        </w:tblPrEx>
        <w:trPr>
          <w:trHeight w:val="551"/>
        </w:trPr>
        <w:tc>
          <w:tcPr>
            <w:tcW w:w="2167" w:type="dxa"/>
            <w:tcBorders>
              <w:top w:val="single" w:sz="6" w:space="0" w:color="000000"/>
              <w:left w:val="single" w:sz="6" w:space="0" w:color="000000"/>
              <w:bottom w:val="single" w:sz="6" w:space="0" w:color="000000"/>
              <w:right w:val="single" w:sz="6" w:space="0" w:color="000000"/>
            </w:tcBorders>
          </w:tcPr>
          <w:p w14:paraId="39BAA5F7" w14:textId="77777777" w:rsidR="00EC50EB" w:rsidRPr="009D7C92" w:rsidRDefault="006870C1" w:rsidP="00EE703D">
            <w:pPr>
              <w:jc w:val="left"/>
              <w:rPr>
                <w:color w:val="auto"/>
              </w:rPr>
            </w:pPr>
            <w:r w:rsidRPr="009D7C92">
              <w:rPr>
                <w:color w:val="auto"/>
              </w:rPr>
              <w:t>Menej časté</w:t>
            </w:r>
          </w:p>
        </w:tc>
        <w:tc>
          <w:tcPr>
            <w:tcW w:w="2522" w:type="dxa"/>
            <w:gridSpan w:val="2"/>
            <w:tcBorders>
              <w:top w:val="single" w:sz="6" w:space="0" w:color="000000"/>
              <w:left w:val="single" w:sz="6" w:space="0" w:color="000000"/>
              <w:bottom w:val="single" w:sz="6" w:space="0" w:color="000000"/>
              <w:right w:val="single" w:sz="6" w:space="0" w:color="000000"/>
            </w:tcBorders>
          </w:tcPr>
          <w:p w14:paraId="487DCC3F" w14:textId="178A7C79" w:rsidR="00EC50EB" w:rsidRPr="009D7C92" w:rsidRDefault="006870C1">
            <w:pPr>
              <w:jc w:val="left"/>
              <w:rPr>
                <w:color w:val="auto"/>
              </w:rPr>
            </w:pPr>
            <w:r w:rsidRPr="009D7C92">
              <w:rPr>
                <w:color w:val="auto"/>
              </w:rPr>
              <w:t>p</w:t>
            </w:r>
            <w:r w:rsidR="00EC50EB" w:rsidRPr="009D7C92">
              <w:rPr>
                <w:color w:val="auto"/>
              </w:rPr>
              <w:t xml:space="preserve">rechodná erektilná impotencia, znížené libido </w:t>
            </w:r>
          </w:p>
        </w:tc>
        <w:tc>
          <w:tcPr>
            <w:tcW w:w="2009" w:type="dxa"/>
            <w:tcBorders>
              <w:top w:val="single" w:sz="6" w:space="0" w:color="000000"/>
              <w:left w:val="single" w:sz="6" w:space="0" w:color="000000"/>
              <w:bottom w:val="single" w:sz="6" w:space="0" w:color="000000"/>
              <w:right w:val="single" w:sz="6" w:space="0" w:color="000000"/>
            </w:tcBorders>
          </w:tcPr>
          <w:p w14:paraId="1D116CB9" w14:textId="77777777" w:rsidR="00EC50EB" w:rsidRPr="009D7C92" w:rsidRDefault="006870C1" w:rsidP="00F87817">
            <w:pPr>
              <w:jc w:val="left"/>
              <w:rPr>
                <w:color w:val="auto"/>
              </w:rPr>
            </w:pPr>
            <w:r w:rsidRPr="009D7C92">
              <w:rPr>
                <w:color w:val="auto"/>
              </w:rPr>
              <w:t>i</w:t>
            </w:r>
            <w:r w:rsidR="00EC50EB" w:rsidRPr="009D7C92">
              <w:rPr>
                <w:color w:val="auto"/>
              </w:rPr>
              <w:t>mpotencia, gynekomastia</w:t>
            </w:r>
          </w:p>
        </w:tc>
        <w:tc>
          <w:tcPr>
            <w:tcW w:w="2473" w:type="dxa"/>
            <w:gridSpan w:val="2"/>
            <w:tcBorders>
              <w:top w:val="single" w:sz="6" w:space="0" w:color="000000"/>
              <w:left w:val="single" w:sz="6" w:space="0" w:color="000000"/>
              <w:bottom w:val="single" w:sz="6" w:space="0" w:color="000000"/>
              <w:right w:val="single" w:sz="6" w:space="0" w:color="000000"/>
            </w:tcBorders>
          </w:tcPr>
          <w:p w14:paraId="4084B4E5" w14:textId="77777777" w:rsidR="00EC50EB" w:rsidRPr="009D7C92" w:rsidRDefault="00EC50EB">
            <w:pPr>
              <w:jc w:val="left"/>
              <w:rPr>
                <w:color w:val="auto"/>
              </w:rPr>
            </w:pPr>
          </w:p>
        </w:tc>
      </w:tr>
      <w:tr w:rsidR="00EC50EB" w:rsidRPr="009D7C92" w14:paraId="253D7468" w14:textId="77777777" w:rsidTr="00685680">
        <w:tblPrEx>
          <w:tblCellMar>
            <w:left w:w="113" w:type="dxa"/>
            <w:right w:w="44" w:type="dxa"/>
          </w:tblCellMar>
        </w:tblPrEx>
        <w:trPr>
          <w:trHeight w:val="270"/>
        </w:trPr>
        <w:tc>
          <w:tcPr>
            <w:tcW w:w="2167" w:type="dxa"/>
            <w:tcBorders>
              <w:top w:val="single" w:sz="6" w:space="0" w:color="000000"/>
              <w:left w:val="single" w:sz="6" w:space="0" w:color="000000"/>
              <w:bottom w:val="single" w:sz="6" w:space="0" w:color="000000"/>
              <w:right w:val="single" w:sz="6" w:space="0" w:color="000000"/>
            </w:tcBorders>
          </w:tcPr>
          <w:p w14:paraId="6AEC9D74" w14:textId="77777777" w:rsidR="00EC50EB" w:rsidRPr="009D7C92" w:rsidRDefault="00EC50EB" w:rsidP="00EE703D">
            <w:pPr>
              <w:jc w:val="left"/>
              <w:rPr>
                <w:color w:val="auto"/>
              </w:rPr>
            </w:pPr>
            <w:r w:rsidRPr="009D7C92">
              <w:rPr>
                <w:color w:val="auto"/>
              </w:rPr>
              <w:t xml:space="preserve">Neznáme </w:t>
            </w:r>
          </w:p>
        </w:tc>
        <w:tc>
          <w:tcPr>
            <w:tcW w:w="2522" w:type="dxa"/>
            <w:gridSpan w:val="2"/>
            <w:tcBorders>
              <w:top w:val="single" w:sz="6" w:space="0" w:color="000000"/>
              <w:left w:val="single" w:sz="6" w:space="0" w:color="000000"/>
              <w:bottom w:val="single" w:sz="6" w:space="0" w:color="000000"/>
              <w:right w:val="single" w:sz="6" w:space="0" w:color="000000"/>
            </w:tcBorders>
          </w:tcPr>
          <w:p w14:paraId="12615012" w14:textId="77777777" w:rsidR="00EC50EB" w:rsidRPr="009D7C92" w:rsidRDefault="00685680" w:rsidP="00211D25">
            <w:pPr>
              <w:jc w:val="left"/>
              <w:rPr>
                <w:color w:val="auto"/>
              </w:rPr>
            </w:pPr>
            <w:r w:rsidRPr="009D7C92">
              <w:rPr>
                <w:color w:val="auto"/>
              </w:rPr>
              <w:t>g</w:t>
            </w:r>
            <w:r w:rsidR="00EC50EB" w:rsidRPr="009D7C92">
              <w:rPr>
                <w:color w:val="auto"/>
              </w:rPr>
              <w:t xml:space="preserve">ynekomastia </w:t>
            </w:r>
          </w:p>
        </w:tc>
        <w:tc>
          <w:tcPr>
            <w:tcW w:w="2009" w:type="dxa"/>
            <w:tcBorders>
              <w:top w:val="single" w:sz="6" w:space="0" w:color="000000"/>
              <w:left w:val="single" w:sz="6" w:space="0" w:color="000000"/>
              <w:bottom w:val="single" w:sz="6" w:space="0" w:color="000000"/>
              <w:right w:val="single" w:sz="6" w:space="0" w:color="000000"/>
            </w:tcBorders>
          </w:tcPr>
          <w:p w14:paraId="3A498FCA" w14:textId="77777777" w:rsidR="00EC50EB" w:rsidRPr="009D7C92" w:rsidRDefault="00EC50EB" w:rsidP="00F87817">
            <w:pPr>
              <w:jc w:val="left"/>
              <w:rPr>
                <w:color w:val="auto"/>
              </w:rPr>
            </w:pPr>
          </w:p>
        </w:tc>
        <w:tc>
          <w:tcPr>
            <w:tcW w:w="2473" w:type="dxa"/>
            <w:gridSpan w:val="2"/>
            <w:tcBorders>
              <w:top w:val="single" w:sz="6" w:space="0" w:color="000000"/>
              <w:left w:val="single" w:sz="6" w:space="0" w:color="000000"/>
              <w:bottom w:val="single" w:sz="6" w:space="0" w:color="000000"/>
              <w:right w:val="single" w:sz="6" w:space="0" w:color="000000"/>
            </w:tcBorders>
          </w:tcPr>
          <w:p w14:paraId="331E1CA3" w14:textId="77777777" w:rsidR="00EC50EB" w:rsidRPr="009D7C92" w:rsidRDefault="00EC50EB">
            <w:pPr>
              <w:jc w:val="left"/>
              <w:rPr>
                <w:color w:val="auto"/>
              </w:rPr>
            </w:pPr>
            <w:r w:rsidRPr="009D7C92">
              <w:rPr>
                <w:color w:val="auto"/>
              </w:rPr>
              <w:t xml:space="preserve"> </w:t>
            </w:r>
          </w:p>
        </w:tc>
      </w:tr>
      <w:tr w:rsidR="00EC50EB" w:rsidRPr="009D7C92" w14:paraId="4F6AAAE6" w14:textId="77777777" w:rsidTr="002B66E0">
        <w:tblPrEx>
          <w:tblCellMar>
            <w:left w:w="113" w:type="dxa"/>
            <w:right w:w="44" w:type="dxa"/>
          </w:tblCellMar>
        </w:tblPrEx>
        <w:trPr>
          <w:trHeight w:val="270"/>
        </w:trPr>
        <w:tc>
          <w:tcPr>
            <w:tcW w:w="9171" w:type="dxa"/>
            <w:gridSpan w:val="6"/>
            <w:tcBorders>
              <w:top w:val="single" w:sz="6" w:space="0" w:color="000000"/>
              <w:left w:val="single" w:sz="6" w:space="0" w:color="000000"/>
              <w:bottom w:val="single" w:sz="6" w:space="0" w:color="000000"/>
              <w:right w:val="single" w:sz="6" w:space="0" w:color="000000"/>
            </w:tcBorders>
          </w:tcPr>
          <w:p w14:paraId="41A76F6E" w14:textId="77777777" w:rsidR="00EC50EB" w:rsidRPr="009D7C92" w:rsidRDefault="00EC50EB" w:rsidP="00EE703D">
            <w:pPr>
              <w:jc w:val="left"/>
              <w:rPr>
                <w:b/>
                <w:i/>
                <w:color w:val="auto"/>
              </w:rPr>
            </w:pPr>
            <w:r w:rsidRPr="009D7C92">
              <w:rPr>
                <w:b/>
                <w:i/>
                <w:color w:val="auto"/>
              </w:rPr>
              <w:lastRenderedPageBreak/>
              <w:t>Celkové poruchy a reakcie v mieste podania</w:t>
            </w:r>
          </w:p>
        </w:tc>
      </w:tr>
      <w:tr w:rsidR="00EC50EB" w:rsidRPr="009D7C92" w14:paraId="6A96182B" w14:textId="77777777" w:rsidTr="00685680">
        <w:tblPrEx>
          <w:tblCellMar>
            <w:left w:w="113" w:type="dxa"/>
            <w:right w:w="44" w:type="dxa"/>
          </w:tblCellMar>
        </w:tblPrEx>
        <w:trPr>
          <w:trHeight w:val="270"/>
        </w:trPr>
        <w:tc>
          <w:tcPr>
            <w:tcW w:w="2167" w:type="dxa"/>
            <w:tcBorders>
              <w:top w:val="single" w:sz="6" w:space="0" w:color="000000"/>
              <w:left w:val="single" w:sz="6" w:space="0" w:color="000000"/>
              <w:bottom w:val="single" w:sz="6" w:space="0" w:color="000000"/>
              <w:right w:val="single" w:sz="6" w:space="0" w:color="000000"/>
            </w:tcBorders>
          </w:tcPr>
          <w:p w14:paraId="4A2B0E86" w14:textId="77777777" w:rsidR="00EC50EB" w:rsidRPr="009D7C92" w:rsidRDefault="00E62C4D" w:rsidP="00EE703D">
            <w:pPr>
              <w:jc w:val="left"/>
              <w:rPr>
                <w:color w:val="auto"/>
              </w:rPr>
            </w:pPr>
            <w:r w:rsidRPr="009D7C92">
              <w:rPr>
                <w:color w:val="auto"/>
              </w:rPr>
              <w:t>Veľmi časté</w:t>
            </w:r>
          </w:p>
        </w:tc>
        <w:tc>
          <w:tcPr>
            <w:tcW w:w="2522" w:type="dxa"/>
            <w:gridSpan w:val="2"/>
            <w:tcBorders>
              <w:top w:val="single" w:sz="6" w:space="0" w:color="000000"/>
              <w:left w:val="single" w:sz="6" w:space="0" w:color="000000"/>
              <w:bottom w:val="single" w:sz="6" w:space="0" w:color="000000"/>
              <w:right w:val="single" w:sz="6" w:space="0" w:color="000000"/>
            </w:tcBorders>
          </w:tcPr>
          <w:p w14:paraId="70D903C4" w14:textId="77777777" w:rsidR="00EC50EB" w:rsidRPr="009D7C92" w:rsidRDefault="00EC50EB" w:rsidP="00211D25">
            <w:pPr>
              <w:jc w:val="left"/>
              <w:rPr>
                <w:color w:val="auto"/>
              </w:rPr>
            </w:pPr>
          </w:p>
        </w:tc>
        <w:tc>
          <w:tcPr>
            <w:tcW w:w="2009" w:type="dxa"/>
            <w:tcBorders>
              <w:top w:val="single" w:sz="6" w:space="0" w:color="000000"/>
              <w:left w:val="single" w:sz="6" w:space="0" w:color="000000"/>
              <w:bottom w:val="single" w:sz="6" w:space="0" w:color="000000"/>
              <w:right w:val="single" w:sz="6" w:space="0" w:color="000000"/>
            </w:tcBorders>
          </w:tcPr>
          <w:p w14:paraId="50727548" w14:textId="77777777" w:rsidR="00EC50EB" w:rsidRPr="009D7C92" w:rsidRDefault="006870C1" w:rsidP="00F87817">
            <w:pPr>
              <w:jc w:val="left"/>
              <w:rPr>
                <w:color w:val="auto"/>
              </w:rPr>
            </w:pPr>
            <w:r w:rsidRPr="009D7C92">
              <w:rPr>
                <w:color w:val="auto"/>
              </w:rPr>
              <w:t>o</w:t>
            </w:r>
            <w:r w:rsidR="00EC50EB" w:rsidRPr="009D7C92">
              <w:rPr>
                <w:color w:val="auto"/>
              </w:rPr>
              <w:t>puch</w:t>
            </w:r>
          </w:p>
        </w:tc>
        <w:tc>
          <w:tcPr>
            <w:tcW w:w="2473" w:type="dxa"/>
            <w:gridSpan w:val="2"/>
            <w:tcBorders>
              <w:top w:val="single" w:sz="6" w:space="0" w:color="000000"/>
              <w:left w:val="single" w:sz="6" w:space="0" w:color="000000"/>
              <w:bottom w:val="single" w:sz="6" w:space="0" w:color="000000"/>
              <w:right w:val="single" w:sz="6" w:space="0" w:color="000000"/>
            </w:tcBorders>
          </w:tcPr>
          <w:p w14:paraId="520A2764" w14:textId="77777777" w:rsidR="00EC50EB" w:rsidRPr="009D7C92" w:rsidRDefault="00EC50EB">
            <w:pPr>
              <w:jc w:val="left"/>
              <w:rPr>
                <w:color w:val="auto"/>
              </w:rPr>
            </w:pPr>
          </w:p>
        </w:tc>
      </w:tr>
      <w:tr w:rsidR="00EC50EB" w:rsidRPr="009D7C92" w14:paraId="3BF2DA17" w14:textId="77777777" w:rsidTr="00685680">
        <w:tblPrEx>
          <w:tblCellMar>
            <w:left w:w="113" w:type="dxa"/>
            <w:right w:w="44" w:type="dxa"/>
          </w:tblCellMar>
        </w:tblPrEx>
        <w:trPr>
          <w:trHeight w:val="270"/>
        </w:trPr>
        <w:tc>
          <w:tcPr>
            <w:tcW w:w="2167" w:type="dxa"/>
            <w:tcBorders>
              <w:top w:val="single" w:sz="6" w:space="0" w:color="000000"/>
              <w:left w:val="single" w:sz="6" w:space="0" w:color="000000"/>
              <w:bottom w:val="single" w:sz="6" w:space="0" w:color="000000"/>
              <w:right w:val="single" w:sz="6" w:space="0" w:color="000000"/>
            </w:tcBorders>
          </w:tcPr>
          <w:p w14:paraId="1B2A1898" w14:textId="77777777" w:rsidR="00EC50EB" w:rsidRPr="009D7C92" w:rsidRDefault="00E62C4D" w:rsidP="00EE703D">
            <w:pPr>
              <w:jc w:val="left"/>
              <w:rPr>
                <w:color w:val="auto"/>
              </w:rPr>
            </w:pPr>
            <w:r w:rsidRPr="009D7C92">
              <w:rPr>
                <w:color w:val="auto"/>
              </w:rPr>
              <w:t>Časté</w:t>
            </w:r>
          </w:p>
        </w:tc>
        <w:tc>
          <w:tcPr>
            <w:tcW w:w="2522" w:type="dxa"/>
            <w:gridSpan w:val="2"/>
            <w:tcBorders>
              <w:top w:val="single" w:sz="6" w:space="0" w:color="000000"/>
              <w:left w:val="single" w:sz="6" w:space="0" w:color="000000"/>
              <w:bottom w:val="single" w:sz="6" w:space="0" w:color="000000"/>
              <w:right w:val="single" w:sz="6" w:space="0" w:color="000000"/>
            </w:tcBorders>
          </w:tcPr>
          <w:p w14:paraId="38FE3312" w14:textId="77777777" w:rsidR="00EC50EB" w:rsidRPr="009D7C92" w:rsidRDefault="006870C1" w:rsidP="00211D25">
            <w:pPr>
              <w:jc w:val="left"/>
              <w:rPr>
                <w:color w:val="auto"/>
              </w:rPr>
            </w:pPr>
            <w:r w:rsidRPr="009D7C92">
              <w:rPr>
                <w:color w:val="auto"/>
              </w:rPr>
              <w:t>b</w:t>
            </w:r>
            <w:r w:rsidR="00EC50EB" w:rsidRPr="009D7C92">
              <w:rPr>
                <w:color w:val="auto"/>
              </w:rPr>
              <w:t xml:space="preserve">olesť na hrudníku, únava </w:t>
            </w:r>
          </w:p>
        </w:tc>
        <w:tc>
          <w:tcPr>
            <w:tcW w:w="2009" w:type="dxa"/>
            <w:tcBorders>
              <w:top w:val="single" w:sz="6" w:space="0" w:color="000000"/>
              <w:left w:val="single" w:sz="6" w:space="0" w:color="000000"/>
              <w:bottom w:val="single" w:sz="6" w:space="0" w:color="000000"/>
              <w:right w:val="single" w:sz="6" w:space="0" w:color="000000"/>
            </w:tcBorders>
          </w:tcPr>
          <w:p w14:paraId="0AFA07B1" w14:textId="77777777" w:rsidR="00EC50EB" w:rsidRPr="009D7C92" w:rsidRDefault="006870C1" w:rsidP="00F87817">
            <w:pPr>
              <w:jc w:val="left"/>
              <w:rPr>
                <w:color w:val="auto"/>
              </w:rPr>
            </w:pPr>
            <w:r w:rsidRPr="009D7C92">
              <w:rPr>
                <w:color w:val="auto"/>
              </w:rPr>
              <w:t>ú</w:t>
            </w:r>
            <w:r w:rsidR="00EC50EB" w:rsidRPr="009D7C92">
              <w:rPr>
                <w:color w:val="auto"/>
              </w:rPr>
              <w:t>nava, asténia</w:t>
            </w:r>
          </w:p>
        </w:tc>
        <w:tc>
          <w:tcPr>
            <w:tcW w:w="2473" w:type="dxa"/>
            <w:gridSpan w:val="2"/>
            <w:tcBorders>
              <w:top w:val="single" w:sz="6" w:space="0" w:color="000000"/>
              <w:left w:val="single" w:sz="6" w:space="0" w:color="000000"/>
              <w:bottom w:val="single" w:sz="6" w:space="0" w:color="000000"/>
              <w:right w:val="single" w:sz="6" w:space="0" w:color="000000"/>
            </w:tcBorders>
          </w:tcPr>
          <w:p w14:paraId="3505D616" w14:textId="77777777" w:rsidR="00EC50EB" w:rsidRPr="009D7C92" w:rsidRDefault="00EC50EB">
            <w:pPr>
              <w:jc w:val="left"/>
              <w:rPr>
                <w:color w:val="auto"/>
              </w:rPr>
            </w:pPr>
          </w:p>
        </w:tc>
      </w:tr>
      <w:tr w:rsidR="00EC50EB" w:rsidRPr="009D7C92" w14:paraId="56A7BD40" w14:textId="77777777" w:rsidTr="00685680">
        <w:tblPrEx>
          <w:tblCellMar>
            <w:left w:w="113" w:type="dxa"/>
            <w:right w:w="44" w:type="dxa"/>
          </w:tblCellMar>
        </w:tblPrEx>
        <w:trPr>
          <w:trHeight w:val="526"/>
        </w:trPr>
        <w:tc>
          <w:tcPr>
            <w:tcW w:w="2167" w:type="dxa"/>
            <w:tcBorders>
              <w:top w:val="single" w:sz="6" w:space="0" w:color="000000"/>
              <w:left w:val="single" w:sz="6" w:space="0" w:color="000000"/>
              <w:bottom w:val="single" w:sz="6" w:space="0" w:color="000000"/>
              <w:right w:val="single" w:sz="6" w:space="0" w:color="000000"/>
            </w:tcBorders>
          </w:tcPr>
          <w:p w14:paraId="6EA584DC" w14:textId="77777777" w:rsidR="00EC50EB" w:rsidRPr="009D7C92" w:rsidRDefault="006870C1" w:rsidP="00EE703D">
            <w:pPr>
              <w:jc w:val="left"/>
              <w:rPr>
                <w:color w:val="auto"/>
              </w:rPr>
            </w:pPr>
            <w:r w:rsidRPr="009D7C92">
              <w:rPr>
                <w:color w:val="auto"/>
              </w:rPr>
              <w:t>Menej časté</w:t>
            </w:r>
          </w:p>
        </w:tc>
        <w:tc>
          <w:tcPr>
            <w:tcW w:w="2522" w:type="dxa"/>
            <w:gridSpan w:val="2"/>
            <w:tcBorders>
              <w:top w:val="single" w:sz="6" w:space="0" w:color="000000"/>
              <w:left w:val="single" w:sz="6" w:space="0" w:color="000000"/>
              <w:bottom w:val="single" w:sz="6" w:space="0" w:color="000000"/>
              <w:right w:val="single" w:sz="6" w:space="0" w:color="000000"/>
            </w:tcBorders>
          </w:tcPr>
          <w:p w14:paraId="5EE6EA53" w14:textId="452DBCE5" w:rsidR="00EC50EB" w:rsidRPr="009D7C92" w:rsidRDefault="005F7837" w:rsidP="00211D25">
            <w:pPr>
              <w:jc w:val="left"/>
              <w:rPr>
                <w:color w:val="auto"/>
              </w:rPr>
            </w:pPr>
            <w:r w:rsidRPr="009D7C92">
              <w:rPr>
                <w:color w:val="auto"/>
              </w:rPr>
              <w:t>pyrexia</w:t>
            </w:r>
          </w:p>
        </w:tc>
        <w:tc>
          <w:tcPr>
            <w:tcW w:w="2009" w:type="dxa"/>
            <w:tcBorders>
              <w:top w:val="single" w:sz="6" w:space="0" w:color="000000"/>
              <w:left w:val="single" w:sz="6" w:space="0" w:color="000000"/>
              <w:bottom w:val="single" w:sz="6" w:space="0" w:color="000000"/>
              <w:right w:val="single" w:sz="6" w:space="0" w:color="000000"/>
            </w:tcBorders>
          </w:tcPr>
          <w:p w14:paraId="5BB85C79" w14:textId="06B47217" w:rsidR="00EC50EB" w:rsidRPr="009D7C92" w:rsidRDefault="006870C1" w:rsidP="00F87817">
            <w:pPr>
              <w:jc w:val="left"/>
              <w:rPr>
                <w:color w:val="auto"/>
              </w:rPr>
            </w:pPr>
            <w:r w:rsidRPr="009D7C92">
              <w:rPr>
                <w:color w:val="auto"/>
              </w:rPr>
              <w:t>b</w:t>
            </w:r>
            <w:r w:rsidR="00EC50EB" w:rsidRPr="009D7C92">
              <w:rPr>
                <w:color w:val="auto"/>
              </w:rPr>
              <w:t xml:space="preserve">olesť na hrudi, bolesť, </w:t>
            </w:r>
            <w:r w:rsidR="005F7837" w:rsidRPr="009D7C92">
              <w:rPr>
                <w:color w:val="auto"/>
              </w:rPr>
              <w:t>celkový pocit choroby</w:t>
            </w:r>
          </w:p>
        </w:tc>
        <w:tc>
          <w:tcPr>
            <w:tcW w:w="2473" w:type="dxa"/>
            <w:gridSpan w:val="2"/>
            <w:tcBorders>
              <w:top w:val="single" w:sz="6" w:space="0" w:color="000000"/>
              <w:left w:val="single" w:sz="6" w:space="0" w:color="000000"/>
              <w:bottom w:val="single" w:sz="6" w:space="0" w:color="000000"/>
              <w:right w:val="single" w:sz="6" w:space="0" w:color="000000"/>
            </w:tcBorders>
          </w:tcPr>
          <w:p w14:paraId="4AC0847E" w14:textId="77777777" w:rsidR="00EC50EB" w:rsidRPr="009D7C92" w:rsidRDefault="00EC50EB">
            <w:pPr>
              <w:jc w:val="left"/>
              <w:rPr>
                <w:color w:val="auto"/>
              </w:rPr>
            </w:pPr>
            <w:r w:rsidRPr="009D7C92">
              <w:rPr>
                <w:color w:val="auto"/>
              </w:rPr>
              <w:t>horúčka</w:t>
            </w:r>
          </w:p>
        </w:tc>
      </w:tr>
      <w:tr w:rsidR="00EC50EB" w:rsidRPr="009D7C92" w14:paraId="5C40D05D" w14:textId="77777777" w:rsidTr="00685680">
        <w:tblPrEx>
          <w:tblCellMar>
            <w:left w:w="113" w:type="dxa"/>
            <w:right w:w="44" w:type="dxa"/>
          </w:tblCellMar>
        </w:tblPrEx>
        <w:trPr>
          <w:trHeight w:val="270"/>
        </w:trPr>
        <w:tc>
          <w:tcPr>
            <w:tcW w:w="2167" w:type="dxa"/>
            <w:tcBorders>
              <w:top w:val="single" w:sz="6" w:space="0" w:color="000000"/>
              <w:left w:val="single" w:sz="6" w:space="0" w:color="000000"/>
              <w:bottom w:val="single" w:sz="6" w:space="0" w:color="000000"/>
              <w:right w:val="single" w:sz="6" w:space="0" w:color="000000"/>
            </w:tcBorders>
          </w:tcPr>
          <w:p w14:paraId="7C14142B" w14:textId="77777777" w:rsidR="00EC50EB" w:rsidRPr="009D7C92" w:rsidRDefault="00EC50EB" w:rsidP="00EE703D">
            <w:pPr>
              <w:jc w:val="left"/>
              <w:rPr>
                <w:color w:val="auto"/>
              </w:rPr>
            </w:pPr>
            <w:r w:rsidRPr="009D7C92">
              <w:rPr>
                <w:color w:val="auto"/>
              </w:rPr>
              <w:t xml:space="preserve">Zriedkavé </w:t>
            </w:r>
          </w:p>
        </w:tc>
        <w:tc>
          <w:tcPr>
            <w:tcW w:w="2522" w:type="dxa"/>
            <w:gridSpan w:val="2"/>
            <w:tcBorders>
              <w:top w:val="single" w:sz="6" w:space="0" w:color="000000"/>
              <w:left w:val="single" w:sz="6" w:space="0" w:color="000000"/>
              <w:bottom w:val="single" w:sz="6" w:space="0" w:color="000000"/>
              <w:right w:val="single" w:sz="6" w:space="0" w:color="000000"/>
            </w:tcBorders>
          </w:tcPr>
          <w:p w14:paraId="2956A03F" w14:textId="77777777" w:rsidR="00EC50EB" w:rsidRPr="009D7C92" w:rsidRDefault="006870C1" w:rsidP="00211D25">
            <w:pPr>
              <w:jc w:val="left"/>
              <w:rPr>
                <w:color w:val="auto"/>
              </w:rPr>
            </w:pPr>
            <w:r w:rsidRPr="009D7C92">
              <w:rPr>
                <w:color w:val="auto"/>
              </w:rPr>
              <w:t>a</w:t>
            </w:r>
            <w:r w:rsidR="00EC50EB" w:rsidRPr="009D7C92">
              <w:rPr>
                <w:color w:val="auto"/>
              </w:rPr>
              <w:t xml:space="preserve">sténia </w:t>
            </w:r>
          </w:p>
        </w:tc>
        <w:tc>
          <w:tcPr>
            <w:tcW w:w="2009" w:type="dxa"/>
            <w:tcBorders>
              <w:top w:val="single" w:sz="6" w:space="0" w:color="000000"/>
              <w:left w:val="single" w:sz="6" w:space="0" w:color="000000"/>
              <w:bottom w:val="single" w:sz="6" w:space="0" w:color="000000"/>
              <w:right w:val="single" w:sz="6" w:space="0" w:color="000000"/>
            </w:tcBorders>
          </w:tcPr>
          <w:p w14:paraId="7B4E56A4" w14:textId="77777777" w:rsidR="00EC50EB" w:rsidRPr="009D7C92" w:rsidRDefault="00EC50EB" w:rsidP="00F87817">
            <w:pPr>
              <w:jc w:val="left"/>
              <w:rPr>
                <w:color w:val="auto"/>
              </w:rPr>
            </w:pPr>
          </w:p>
        </w:tc>
        <w:tc>
          <w:tcPr>
            <w:tcW w:w="2473" w:type="dxa"/>
            <w:gridSpan w:val="2"/>
            <w:tcBorders>
              <w:top w:val="single" w:sz="6" w:space="0" w:color="000000"/>
              <w:left w:val="single" w:sz="6" w:space="0" w:color="000000"/>
              <w:bottom w:val="single" w:sz="6" w:space="0" w:color="000000"/>
              <w:right w:val="single" w:sz="6" w:space="0" w:color="000000"/>
            </w:tcBorders>
          </w:tcPr>
          <w:p w14:paraId="075ED5E8" w14:textId="77777777" w:rsidR="00EC50EB" w:rsidRPr="009D7C92" w:rsidRDefault="00EC50EB">
            <w:pPr>
              <w:jc w:val="left"/>
              <w:rPr>
                <w:color w:val="auto"/>
              </w:rPr>
            </w:pPr>
            <w:r w:rsidRPr="009D7C92">
              <w:rPr>
                <w:color w:val="auto"/>
              </w:rPr>
              <w:t xml:space="preserve"> </w:t>
            </w:r>
          </w:p>
        </w:tc>
      </w:tr>
      <w:tr w:rsidR="00EC50EB" w:rsidRPr="009D7C92" w14:paraId="4DB1D316" w14:textId="77777777" w:rsidTr="00685680">
        <w:tblPrEx>
          <w:tblCellMar>
            <w:left w:w="113" w:type="dxa"/>
            <w:right w:w="44" w:type="dxa"/>
          </w:tblCellMar>
        </w:tblPrEx>
        <w:trPr>
          <w:trHeight w:val="270"/>
        </w:trPr>
        <w:tc>
          <w:tcPr>
            <w:tcW w:w="2167" w:type="dxa"/>
            <w:tcBorders>
              <w:top w:val="single" w:sz="6" w:space="0" w:color="000000"/>
              <w:left w:val="single" w:sz="6" w:space="0" w:color="000000"/>
              <w:bottom w:val="single" w:sz="6" w:space="0" w:color="000000"/>
              <w:right w:val="single" w:sz="6" w:space="0" w:color="000000"/>
            </w:tcBorders>
          </w:tcPr>
          <w:p w14:paraId="3D866AA2" w14:textId="77777777" w:rsidR="00EC50EB" w:rsidRPr="009D7C92" w:rsidRDefault="00EC50EB" w:rsidP="00EE703D">
            <w:pPr>
              <w:jc w:val="left"/>
              <w:rPr>
                <w:color w:val="auto"/>
              </w:rPr>
            </w:pPr>
            <w:r w:rsidRPr="009D7C92">
              <w:rPr>
                <w:color w:val="auto"/>
              </w:rPr>
              <w:t>Neznáme</w:t>
            </w:r>
          </w:p>
        </w:tc>
        <w:tc>
          <w:tcPr>
            <w:tcW w:w="2522" w:type="dxa"/>
            <w:gridSpan w:val="2"/>
            <w:tcBorders>
              <w:top w:val="single" w:sz="6" w:space="0" w:color="000000"/>
              <w:left w:val="single" w:sz="6" w:space="0" w:color="000000"/>
              <w:bottom w:val="single" w:sz="6" w:space="0" w:color="000000"/>
              <w:right w:val="single" w:sz="6" w:space="0" w:color="000000"/>
            </w:tcBorders>
          </w:tcPr>
          <w:p w14:paraId="68B5A370" w14:textId="77777777" w:rsidR="00EC50EB" w:rsidRPr="009D7C92" w:rsidRDefault="00EC50EB" w:rsidP="00211D25">
            <w:pPr>
              <w:jc w:val="left"/>
              <w:rPr>
                <w:color w:val="auto"/>
              </w:rPr>
            </w:pPr>
          </w:p>
        </w:tc>
        <w:tc>
          <w:tcPr>
            <w:tcW w:w="2009" w:type="dxa"/>
            <w:tcBorders>
              <w:top w:val="single" w:sz="6" w:space="0" w:color="000000"/>
              <w:left w:val="single" w:sz="6" w:space="0" w:color="000000"/>
              <w:bottom w:val="single" w:sz="6" w:space="0" w:color="000000"/>
              <w:right w:val="single" w:sz="6" w:space="0" w:color="000000"/>
            </w:tcBorders>
          </w:tcPr>
          <w:p w14:paraId="1B4BF0AF" w14:textId="77777777" w:rsidR="00EC50EB" w:rsidRPr="009D7C92" w:rsidRDefault="00EC50EB" w:rsidP="00F87817">
            <w:pPr>
              <w:jc w:val="left"/>
              <w:rPr>
                <w:color w:val="auto"/>
              </w:rPr>
            </w:pPr>
          </w:p>
        </w:tc>
        <w:tc>
          <w:tcPr>
            <w:tcW w:w="2473" w:type="dxa"/>
            <w:gridSpan w:val="2"/>
            <w:tcBorders>
              <w:top w:val="single" w:sz="6" w:space="0" w:color="000000"/>
              <w:left w:val="single" w:sz="6" w:space="0" w:color="000000"/>
              <w:bottom w:val="single" w:sz="6" w:space="0" w:color="000000"/>
              <w:right w:val="single" w:sz="6" w:space="0" w:color="000000"/>
            </w:tcBorders>
          </w:tcPr>
          <w:p w14:paraId="4B5D19C1" w14:textId="77777777" w:rsidR="00EC50EB" w:rsidRPr="009D7C92" w:rsidRDefault="006870C1">
            <w:pPr>
              <w:jc w:val="left"/>
              <w:rPr>
                <w:color w:val="auto"/>
              </w:rPr>
            </w:pPr>
            <w:r w:rsidRPr="009D7C92">
              <w:rPr>
                <w:color w:val="auto"/>
              </w:rPr>
              <w:t>s</w:t>
            </w:r>
            <w:r w:rsidR="00EC50EB" w:rsidRPr="009D7C92">
              <w:rPr>
                <w:color w:val="auto"/>
              </w:rPr>
              <w:t>labosť</w:t>
            </w:r>
          </w:p>
        </w:tc>
      </w:tr>
      <w:tr w:rsidR="00EC50EB" w:rsidRPr="009D7C92" w14:paraId="0A4A2BF0" w14:textId="77777777" w:rsidTr="002B66E0">
        <w:tblPrEx>
          <w:tblCellMar>
            <w:left w:w="113" w:type="dxa"/>
            <w:right w:w="44" w:type="dxa"/>
          </w:tblCellMar>
        </w:tblPrEx>
        <w:trPr>
          <w:trHeight w:val="270"/>
        </w:trPr>
        <w:tc>
          <w:tcPr>
            <w:tcW w:w="9171" w:type="dxa"/>
            <w:gridSpan w:val="6"/>
            <w:tcBorders>
              <w:top w:val="single" w:sz="6" w:space="0" w:color="000000"/>
              <w:left w:val="single" w:sz="6" w:space="0" w:color="000000"/>
              <w:bottom w:val="single" w:sz="6" w:space="0" w:color="000000"/>
              <w:right w:val="single" w:sz="6" w:space="0" w:color="000000"/>
            </w:tcBorders>
          </w:tcPr>
          <w:p w14:paraId="39FBC1E4" w14:textId="77777777" w:rsidR="00EC50EB" w:rsidRPr="009D7C92" w:rsidRDefault="00E62C4D" w:rsidP="00EE703D">
            <w:pPr>
              <w:jc w:val="left"/>
              <w:rPr>
                <w:b/>
                <w:i/>
                <w:color w:val="auto"/>
              </w:rPr>
            </w:pPr>
            <w:r w:rsidRPr="009D7C92">
              <w:rPr>
                <w:b/>
                <w:i/>
                <w:color w:val="auto"/>
              </w:rPr>
              <w:t>Laboratórne a funkčné vyšetrenia</w:t>
            </w:r>
          </w:p>
        </w:tc>
      </w:tr>
      <w:tr w:rsidR="00EC50EB" w:rsidRPr="009D7C92" w14:paraId="60AA827E" w14:textId="77777777" w:rsidTr="00685680">
        <w:tblPrEx>
          <w:tblCellMar>
            <w:left w:w="113" w:type="dxa"/>
            <w:right w:w="44" w:type="dxa"/>
          </w:tblCellMar>
        </w:tblPrEx>
        <w:trPr>
          <w:trHeight w:val="525"/>
        </w:trPr>
        <w:tc>
          <w:tcPr>
            <w:tcW w:w="2167" w:type="dxa"/>
            <w:tcBorders>
              <w:top w:val="single" w:sz="6" w:space="0" w:color="000000"/>
              <w:left w:val="single" w:sz="6" w:space="0" w:color="000000"/>
              <w:bottom w:val="single" w:sz="6" w:space="0" w:color="000000"/>
              <w:right w:val="single" w:sz="6" w:space="0" w:color="000000"/>
            </w:tcBorders>
          </w:tcPr>
          <w:p w14:paraId="5A843D13" w14:textId="77777777" w:rsidR="00EC50EB" w:rsidRPr="009D7C92" w:rsidRDefault="006870C1" w:rsidP="00EE703D">
            <w:pPr>
              <w:jc w:val="left"/>
              <w:rPr>
                <w:color w:val="auto"/>
              </w:rPr>
            </w:pPr>
            <w:r w:rsidRPr="009D7C92">
              <w:rPr>
                <w:color w:val="auto"/>
              </w:rPr>
              <w:t>Menej časté</w:t>
            </w:r>
            <w:r w:rsidR="00EC50EB" w:rsidRPr="009D7C92">
              <w:rPr>
                <w:color w:val="auto"/>
              </w:rPr>
              <w:t xml:space="preserve"> </w:t>
            </w:r>
          </w:p>
        </w:tc>
        <w:tc>
          <w:tcPr>
            <w:tcW w:w="2522" w:type="dxa"/>
            <w:gridSpan w:val="2"/>
            <w:tcBorders>
              <w:top w:val="single" w:sz="6" w:space="0" w:color="000000"/>
              <w:left w:val="single" w:sz="6" w:space="0" w:color="000000"/>
              <w:bottom w:val="single" w:sz="6" w:space="0" w:color="000000"/>
              <w:right w:val="single" w:sz="6" w:space="0" w:color="000000"/>
            </w:tcBorders>
          </w:tcPr>
          <w:p w14:paraId="1E27E629" w14:textId="77777777" w:rsidR="00EC50EB" w:rsidRPr="009D7C92" w:rsidRDefault="00EC50EB" w:rsidP="00211D25">
            <w:pPr>
              <w:jc w:val="left"/>
              <w:rPr>
                <w:color w:val="auto"/>
              </w:rPr>
            </w:pPr>
            <w:r w:rsidRPr="009D7C92">
              <w:rPr>
                <w:color w:val="auto"/>
              </w:rPr>
              <w:t xml:space="preserve"> </w:t>
            </w:r>
          </w:p>
        </w:tc>
        <w:tc>
          <w:tcPr>
            <w:tcW w:w="2009" w:type="dxa"/>
            <w:tcBorders>
              <w:top w:val="single" w:sz="6" w:space="0" w:color="000000"/>
              <w:left w:val="single" w:sz="6" w:space="0" w:color="000000"/>
              <w:bottom w:val="single" w:sz="6" w:space="0" w:color="000000"/>
              <w:right w:val="single" w:sz="6" w:space="0" w:color="000000"/>
            </w:tcBorders>
          </w:tcPr>
          <w:p w14:paraId="7BB567B7" w14:textId="77777777" w:rsidR="00EC50EB" w:rsidRPr="009D7C92" w:rsidRDefault="006870C1" w:rsidP="00F87817">
            <w:pPr>
              <w:jc w:val="left"/>
              <w:rPr>
                <w:color w:val="auto"/>
              </w:rPr>
            </w:pPr>
            <w:r w:rsidRPr="009D7C92">
              <w:rPr>
                <w:color w:val="auto"/>
              </w:rPr>
              <w:t>z</w:t>
            </w:r>
            <w:r w:rsidR="00EC50EB" w:rsidRPr="009D7C92">
              <w:rPr>
                <w:color w:val="auto"/>
              </w:rPr>
              <w:t>výšenie hmotnosti, zníženie hmotnosti</w:t>
            </w:r>
          </w:p>
        </w:tc>
        <w:tc>
          <w:tcPr>
            <w:tcW w:w="2473" w:type="dxa"/>
            <w:gridSpan w:val="2"/>
            <w:tcBorders>
              <w:top w:val="single" w:sz="6" w:space="0" w:color="000000"/>
              <w:left w:val="single" w:sz="6" w:space="0" w:color="000000"/>
              <w:bottom w:val="single" w:sz="6" w:space="0" w:color="000000"/>
              <w:right w:val="single" w:sz="6" w:space="0" w:color="000000"/>
            </w:tcBorders>
          </w:tcPr>
          <w:p w14:paraId="7958D9DA" w14:textId="77777777" w:rsidR="00EC50EB" w:rsidRPr="009D7C92" w:rsidRDefault="00EC50EB">
            <w:pPr>
              <w:jc w:val="left"/>
              <w:rPr>
                <w:color w:val="auto"/>
              </w:rPr>
            </w:pPr>
          </w:p>
        </w:tc>
      </w:tr>
    </w:tbl>
    <w:bookmarkEnd w:id="9"/>
    <w:p w14:paraId="26AF16A2" w14:textId="29D14A5F" w:rsidR="00EB25B2" w:rsidRDefault="00323CDC" w:rsidP="00243692">
      <w:pPr>
        <w:jc w:val="left"/>
        <w:rPr>
          <w:color w:val="auto"/>
        </w:rPr>
      </w:pPr>
      <w:r w:rsidRPr="009D7C92">
        <w:rPr>
          <w:color w:val="auto"/>
        </w:rPr>
        <w:t>* Vo väčšine prípadov s cholestázou</w:t>
      </w:r>
      <w:bookmarkStart w:id="10" w:name="_Hlk529962990"/>
    </w:p>
    <w:p w14:paraId="764F1FC4" w14:textId="079C3BF3" w:rsidR="00323CDC" w:rsidRPr="009D7C92" w:rsidRDefault="000A4B22" w:rsidP="00243692">
      <w:pPr>
        <w:jc w:val="left"/>
        <w:rPr>
          <w:color w:val="auto"/>
        </w:rPr>
      </w:pPr>
      <w:r w:rsidRPr="009D7C92">
        <w:t>**</w:t>
      </w:r>
      <w:r w:rsidR="00685680" w:rsidRPr="009D7C92">
        <w:t xml:space="preserve"> </w:t>
      </w:r>
      <w:r w:rsidRPr="009D7C92">
        <w:t>Nemelanómová rakovina kože:</w:t>
      </w:r>
      <w:r w:rsidRPr="009D7C92">
        <w:rPr>
          <w:color w:val="auto"/>
        </w:rPr>
        <w:t xml:space="preserve"> Na základe dostupných údajov z epidemiologických štúdií bol pozorovaný kumulatívny </w:t>
      </w:r>
      <w:r w:rsidR="005F1144" w:rsidRPr="009D7C92">
        <w:rPr>
          <w:color w:val="auto"/>
        </w:rPr>
        <w:t xml:space="preserve">dávkovo závislý </w:t>
      </w:r>
      <w:r w:rsidRPr="009D7C92">
        <w:rPr>
          <w:color w:val="auto"/>
        </w:rPr>
        <w:t>vzťah medzi HCT</w:t>
      </w:r>
      <w:r w:rsidR="00685680" w:rsidRPr="009D7C92">
        <w:rPr>
          <w:color w:val="auto"/>
        </w:rPr>
        <w:t>Z</w:t>
      </w:r>
      <w:r w:rsidRPr="009D7C92">
        <w:rPr>
          <w:color w:val="auto"/>
        </w:rPr>
        <w:t xml:space="preserve"> a NMSC (pozri tiež časti 4.4 a 5.1).</w:t>
      </w:r>
      <w:bookmarkEnd w:id="10"/>
    </w:p>
    <w:p w14:paraId="54829D29" w14:textId="77777777" w:rsidR="00323CDC" w:rsidRPr="009D7C92" w:rsidRDefault="00323CDC" w:rsidP="00243692">
      <w:pPr>
        <w:jc w:val="left"/>
        <w:rPr>
          <w:color w:val="auto"/>
          <w:u w:val="single"/>
        </w:rPr>
      </w:pPr>
    </w:p>
    <w:p w14:paraId="05BE6DA0" w14:textId="36C321BB" w:rsidR="00EB25B2" w:rsidRDefault="00323CDC" w:rsidP="00243692">
      <w:pPr>
        <w:jc w:val="left"/>
        <w:rPr>
          <w:b/>
          <w:color w:val="auto"/>
        </w:rPr>
      </w:pPr>
      <w:r w:rsidRPr="009D7C92">
        <w:rPr>
          <w:color w:val="auto"/>
          <w:u w:val="single"/>
        </w:rPr>
        <w:t>Hlásenie podozr</w:t>
      </w:r>
      <w:r w:rsidR="003511D4" w:rsidRPr="009D7C92">
        <w:rPr>
          <w:color w:val="auto"/>
          <w:u w:val="single"/>
        </w:rPr>
        <w:t>ení</w:t>
      </w:r>
      <w:r w:rsidRPr="009D7C92">
        <w:rPr>
          <w:color w:val="auto"/>
          <w:u w:val="single"/>
        </w:rPr>
        <w:t xml:space="preserve"> </w:t>
      </w:r>
      <w:r w:rsidR="003511D4" w:rsidRPr="009D7C92">
        <w:rPr>
          <w:color w:val="auto"/>
          <w:u w:val="single"/>
        </w:rPr>
        <w:t xml:space="preserve">na </w:t>
      </w:r>
      <w:r w:rsidRPr="009D7C92">
        <w:rPr>
          <w:color w:val="auto"/>
          <w:u w:val="single"/>
        </w:rPr>
        <w:t>nežiaduc</w:t>
      </w:r>
      <w:r w:rsidR="003511D4" w:rsidRPr="009D7C92">
        <w:rPr>
          <w:color w:val="auto"/>
          <w:u w:val="single"/>
        </w:rPr>
        <w:t>e</w:t>
      </w:r>
      <w:r w:rsidRPr="009D7C92">
        <w:rPr>
          <w:color w:val="auto"/>
          <w:u w:val="single"/>
        </w:rPr>
        <w:t xml:space="preserve"> reakci</w:t>
      </w:r>
      <w:r w:rsidR="003511D4" w:rsidRPr="009D7C92">
        <w:rPr>
          <w:color w:val="auto"/>
          <w:u w:val="single"/>
        </w:rPr>
        <w:t>e</w:t>
      </w:r>
    </w:p>
    <w:p w14:paraId="2EA6C40E" w14:textId="77777777" w:rsidR="0096555D" w:rsidRPr="009D7C92" w:rsidRDefault="0096555D" w:rsidP="00243692">
      <w:pPr>
        <w:widowControl w:val="0"/>
        <w:autoSpaceDE w:val="0"/>
        <w:autoSpaceDN w:val="0"/>
        <w:adjustRightInd w:val="0"/>
        <w:ind w:right="0"/>
        <w:jc w:val="left"/>
        <w:rPr>
          <w:color w:val="auto"/>
          <w:lang w:eastAsia="en-US"/>
        </w:rPr>
      </w:pPr>
      <w:r w:rsidRPr="009D7C92">
        <w:rPr>
          <w:color w:val="auto"/>
          <w:lang w:eastAsia="en-US"/>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9D7C92">
        <w:rPr>
          <w:color w:val="auto"/>
          <w:highlight w:val="lightGray"/>
          <w:lang w:eastAsia="en-US"/>
        </w:rPr>
        <w:t>národné centrum hlásenia</w:t>
      </w:r>
      <w:r w:rsidRPr="009D7C92">
        <w:rPr>
          <w:highlight w:val="lightGray"/>
          <w:lang w:eastAsia="en-US"/>
        </w:rPr>
        <w:t xml:space="preserve"> uvedené v </w:t>
      </w:r>
      <w:hyperlink r:id="rId7" w:history="1">
        <w:r w:rsidRPr="009D7C92">
          <w:rPr>
            <w:color w:val="0000FF"/>
            <w:highlight w:val="lightGray"/>
            <w:u w:val="single"/>
            <w:lang w:eastAsia="en-US"/>
          </w:rPr>
          <w:t>Prílohe V</w:t>
        </w:r>
      </w:hyperlink>
      <w:r w:rsidRPr="009D7C92">
        <w:rPr>
          <w:lang w:eastAsia="en-US"/>
        </w:rPr>
        <w:t>.</w:t>
      </w:r>
    </w:p>
    <w:p w14:paraId="4EBC2354" w14:textId="0FB496A6" w:rsidR="00323CDC" w:rsidRPr="009D7C92" w:rsidRDefault="00323CDC" w:rsidP="00EE703D">
      <w:pPr>
        <w:jc w:val="left"/>
        <w:rPr>
          <w:color w:val="auto"/>
        </w:rPr>
      </w:pPr>
    </w:p>
    <w:p w14:paraId="550D3485" w14:textId="52361566" w:rsidR="00EB25B2" w:rsidRDefault="00323CDC" w:rsidP="00243692">
      <w:pPr>
        <w:ind w:left="567" w:right="0" w:hanging="567"/>
        <w:jc w:val="left"/>
        <w:rPr>
          <w:b/>
          <w:color w:val="auto"/>
        </w:rPr>
      </w:pPr>
      <w:r w:rsidRPr="009D7C92">
        <w:rPr>
          <w:b/>
          <w:color w:val="auto"/>
        </w:rPr>
        <w:t>4.9</w:t>
      </w:r>
      <w:r w:rsidR="003511D4" w:rsidRPr="009D7C92">
        <w:rPr>
          <w:b/>
          <w:color w:val="auto"/>
        </w:rPr>
        <w:tab/>
      </w:r>
      <w:r w:rsidRPr="009D7C92">
        <w:rPr>
          <w:b/>
          <w:color w:val="auto"/>
          <w:lang w:eastAsia="sk-SK"/>
        </w:rPr>
        <w:t>Predávkovanie</w:t>
      </w:r>
    </w:p>
    <w:p w14:paraId="0EEB3B35" w14:textId="1E0408B7" w:rsidR="00323CDC" w:rsidRPr="009D7C92" w:rsidRDefault="00323CDC" w:rsidP="00EE703D">
      <w:pPr>
        <w:jc w:val="left"/>
        <w:rPr>
          <w:color w:val="auto"/>
        </w:rPr>
      </w:pPr>
    </w:p>
    <w:p w14:paraId="2AB19B10" w14:textId="38BD9D72" w:rsidR="00EB25B2" w:rsidRDefault="00323CDC" w:rsidP="00243692">
      <w:pPr>
        <w:jc w:val="left"/>
        <w:rPr>
          <w:b/>
          <w:color w:val="auto"/>
        </w:rPr>
      </w:pPr>
      <w:r w:rsidRPr="009D7C92">
        <w:rPr>
          <w:b/>
          <w:color w:val="auto"/>
        </w:rPr>
        <w:t>Súvisiace s ramiprilom</w:t>
      </w:r>
    </w:p>
    <w:p w14:paraId="7828A52C" w14:textId="5D4DF40E" w:rsidR="00EB25B2" w:rsidRDefault="00323CDC" w:rsidP="00EE703D">
      <w:pPr>
        <w:jc w:val="left"/>
        <w:rPr>
          <w:color w:val="auto"/>
        </w:rPr>
      </w:pPr>
      <w:r w:rsidRPr="009D7C92">
        <w:rPr>
          <w:color w:val="auto"/>
        </w:rPr>
        <w:t>Symptómy spojené s predávkovaním inhibítormi</w:t>
      </w:r>
      <w:r w:rsidR="00311D10" w:rsidRPr="009D7C92">
        <w:rPr>
          <w:color w:val="auto"/>
        </w:rPr>
        <w:t xml:space="preserve"> ACE</w:t>
      </w:r>
      <w:r w:rsidRPr="009D7C92">
        <w:rPr>
          <w:color w:val="auto"/>
        </w:rPr>
        <w:t xml:space="preserve"> môžu zahŕňať nadmernú periférnu vazodilatáciu (s výraznou hypotenziou, šokom), bradykardiu, poruchy elektrolytov a zlyhanie obličiek. Pacient musí byť starostlivo sledovaný a liečba musí byť symptomatická a podporná. Navrhované opatrenia zahŕňajú primárnu detoxikáciu (</w:t>
      </w:r>
      <w:r w:rsidR="00CF4928" w:rsidRPr="009D7C92">
        <w:rPr>
          <w:color w:val="auto"/>
        </w:rPr>
        <w:t>gastrická</w:t>
      </w:r>
      <w:r w:rsidR="00F15315" w:rsidRPr="009D7C92">
        <w:rPr>
          <w:color w:val="auto"/>
        </w:rPr>
        <w:t xml:space="preserve"> laváž</w:t>
      </w:r>
      <w:r w:rsidRPr="009D7C92">
        <w:rPr>
          <w:color w:val="auto"/>
        </w:rPr>
        <w:t>, podávanie adsorbentov) a opatrenia na obnovenie hemodynamickej stability, vrátane podávania alfa</w:t>
      </w:r>
      <w:r w:rsidRPr="009D7C92">
        <w:rPr>
          <w:color w:val="auto"/>
          <w:vertAlign w:val="subscript"/>
        </w:rPr>
        <w:t>1</w:t>
      </w:r>
      <w:r w:rsidRPr="009D7C92">
        <w:rPr>
          <w:color w:val="auto"/>
        </w:rPr>
        <w:t>-adrenergných agonistov alebo podávania angiotenzínu II (angiotenzínamid). Ramipril</w:t>
      </w:r>
      <w:r w:rsidR="00D55B8C" w:rsidRPr="009D7C92">
        <w:rPr>
          <w:color w:val="auto"/>
        </w:rPr>
        <w:t>át</w:t>
      </w:r>
      <w:r w:rsidRPr="009D7C92">
        <w:rPr>
          <w:color w:val="auto"/>
        </w:rPr>
        <w:t>, aktívny metabolit ramiprilu</w:t>
      </w:r>
      <w:r w:rsidR="00F15315" w:rsidRPr="009D7C92">
        <w:rPr>
          <w:color w:val="auto"/>
        </w:rPr>
        <w:t>,</w:t>
      </w:r>
      <w:r w:rsidRPr="009D7C92">
        <w:rPr>
          <w:color w:val="auto"/>
        </w:rPr>
        <w:t xml:space="preserve"> sa z celkového obehu ťažko odstraňuje hemodialýzou.</w:t>
      </w:r>
    </w:p>
    <w:p w14:paraId="4BD666B4" w14:textId="77777777" w:rsidR="00EB25B2" w:rsidRDefault="00EB25B2" w:rsidP="00EE703D">
      <w:pPr>
        <w:jc w:val="left"/>
        <w:rPr>
          <w:color w:val="auto"/>
        </w:rPr>
      </w:pPr>
    </w:p>
    <w:p w14:paraId="5382E393" w14:textId="1298AE88" w:rsidR="00EB25B2" w:rsidRDefault="00323CDC" w:rsidP="00243692">
      <w:pPr>
        <w:jc w:val="left"/>
        <w:rPr>
          <w:b/>
          <w:color w:val="auto"/>
        </w:rPr>
      </w:pPr>
      <w:r w:rsidRPr="009D7C92">
        <w:rPr>
          <w:b/>
          <w:color w:val="auto"/>
        </w:rPr>
        <w:t>Súvisiace s amlodipínom</w:t>
      </w:r>
    </w:p>
    <w:p w14:paraId="36493FC3" w14:textId="066C4B09" w:rsidR="00EB25B2" w:rsidRDefault="00323CDC" w:rsidP="00EE703D">
      <w:pPr>
        <w:jc w:val="left"/>
        <w:rPr>
          <w:color w:val="auto"/>
        </w:rPr>
      </w:pPr>
      <w:r w:rsidRPr="009D7C92">
        <w:rPr>
          <w:color w:val="auto"/>
        </w:rPr>
        <w:t xml:space="preserve">U ľudí sú skúsenosti s </w:t>
      </w:r>
      <w:r w:rsidR="007E352D" w:rsidRPr="009D7C92">
        <w:rPr>
          <w:color w:val="auto"/>
        </w:rPr>
        <w:t xml:space="preserve">úmyselným </w:t>
      </w:r>
      <w:r w:rsidRPr="009D7C92">
        <w:rPr>
          <w:color w:val="auto"/>
        </w:rPr>
        <w:t>predávkovaním obmedzené.</w:t>
      </w:r>
    </w:p>
    <w:p w14:paraId="6083311F" w14:textId="3E5D011F" w:rsidR="00323CDC" w:rsidRPr="009D7C92" w:rsidRDefault="00323CDC" w:rsidP="00211D25">
      <w:pPr>
        <w:pStyle w:val="Normlnywebov"/>
        <w:spacing w:before="0" w:beforeAutospacing="0" w:after="0" w:afterAutospacing="0"/>
        <w:rPr>
          <w:sz w:val="22"/>
          <w:szCs w:val="22"/>
        </w:rPr>
      </w:pPr>
      <w:r w:rsidRPr="009D7C92">
        <w:rPr>
          <w:sz w:val="22"/>
          <w:szCs w:val="22"/>
        </w:rPr>
        <w:t xml:space="preserve">Dostupné údaje naznačujú, že </w:t>
      </w:r>
      <w:r w:rsidR="00C71015" w:rsidRPr="009D7C92">
        <w:rPr>
          <w:sz w:val="22"/>
          <w:szCs w:val="22"/>
        </w:rPr>
        <w:t xml:space="preserve">závažné </w:t>
      </w:r>
      <w:r w:rsidRPr="009D7C92">
        <w:rPr>
          <w:sz w:val="22"/>
          <w:szCs w:val="22"/>
        </w:rPr>
        <w:t xml:space="preserve">predávkovanie môže viesť k nadmernej periférnej vazodilatácii a prípadne k reflexnej tachykardii. Bola hlásená </w:t>
      </w:r>
      <w:r w:rsidR="00C71015" w:rsidRPr="009D7C92">
        <w:rPr>
          <w:sz w:val="22"/>
          <w:szCs w:val="22"/>
        </w:rPr>
        <w:t xml:space="preserve">významná </w:t>
      </w:r>
      <w:r w:rsidRPr="009D7C92">
        <w:rPr>
          <w:sz w:val="22"/>
          <w:szCs w:val="22"/>
        </w:rPr>
        <w:t xml:space="preserve">a pravdepodobne predĺžená systémová hypotenzia a šok s fatálnym </w:t>
      </w:r>
      <w:r w:rsidR="00C71015" w:rsidRPr="009D7C92">
        <w:rPr>
          <w:sz w:val="22"/>
          <w:szCs w:val="22"/>
        </w:rPr>
        <w:t>následkom.</w:t>
      </w:r>
    </w:p>
    <w:p w14:paraId="240062BB" w14:textId="77777777" w:rsidR="00323CDC" w:rsidRPr="009D7C92" w:rsidRDefault="00323CDC" w:rsidP="00F87817">
      <w:pPr>
        <w:jc w:val="left"/>
        <w:rPr>
          <w:color w:val="auto"/>
        </w:rPr>
      </w:pPr>
    </w:p>
    <w:p w14:paraId="3DD86C10" w14:textId="77777777" w:rsidR="00323CDC" w:rsidRPr="009D7C92" w:rsidRDefault="00323CDC">
      <w:pPr>
        <w:jc w:val="left"/>
        <w:rPr>
          <w:b/>
          <w:color w:val="auto"/>
        </w:rPr>
      </w:pPr>
      <w:r w:rsidRPr="009D7C92">
        <w:rPr>
          <w:b/>
          <w:color w:val="auto"/>
        </w:rPr>
        <w:t>Súvisiace s hydrochlorotiazidom</w:t>
      </w:r>
    </w:p>
    <w:p w14:paraId="32B66A45" w14:textId="1100CB05" w:rsidR="00323CDC" w:rsidRPr="009D7C92" w:rsidRDefault="00323CDC">
      <w:pPr>
        <w:jc w:val="left"/>
        <w:rPr>
          <w:color w:val="auto"/>
        </w:rPr>
      </w:pPr>
      <w:r w:rsidRPr="009D7C92">
        <w:rPr>
          <w:color w:val="auto"/>
        </w:rPr>
        <w:t xml:space="preserve">U pacientov </w:t>
      </w:r>
      <w:r w:rsidR="00C71015" w:rsidRPr="009D7C92">
        <w:rPr>
          <w:color w:val="auto"/>
        </w:rPr>
        <w:t xml:space="preserve">s predispozíciou </w:t>
      </w:r>
      <w:r w:rsidRPr="009D7C92">
        <w:rPr>
          <w:color w:val="auto"/>
        </w:rPr>
        <w:t xml:space="preserve">(napr. </w:t>
      </w:r>
      <w:r w:rsidR="004604FA" w:rsidRPr="009D7C92">
        <w:rPr>
          <w:color w:val="auto"/>
        </w:rPr>
        <w:t>h</w:t>
      </w:r>
      <w:r w:rsidRPr="009D7C92">
        <w:rPr>
          <w:color w:val="auto"/>
        </w:rPr>
        <w:t>yperplázia prostaty) môže predávkovanie hydrochlorotiazidom vyvolať akútnu retenciu moču.</w:t>
      </w:r>
    </w:p>
    <w:p w14:paraId="1B17A559" w14:textId="77777777" w:rsidR="00323CDC" w:rsidRPr="009D7C92" w:rsidRDefault="00323CDC" w:rsidP="00243692">
      <w:pPr>
        <w:jc w:val="left"/>
        <w:rPr>
          <w:i/>
          <w:color w:val="auto"/>
        </w:rPr>
      </w:pPr>
    </w:p>
    <w:p w14:paraId="6C37E4D9" w14:textId="03875185" w:rsidR="00EB25B2" w:rsidRDefault="00323CDC" w:rsidP="00EE703D">
      <w:pPr>
        <w:jc w:val="left"/>
        <w:rPr>
          <w:color w:val="auto"/>
        </w:rPr>
      </w:pPr>
      <w:r w:rsidRPr="009D7C92">
        <w:rPr>
          <w:color w:val="auto"/>
        </w:rPr>
        <w:t>Predávkovanie hydrochlorotiazidom je spojené s depléciou elektrolytov (hypokal</w:t>
      </w:r>
      <w:r w:rsidR="00C71015" w:rsidRPr="009D7C92">
        <w:rPr>
          <w:color w:val="auto"/>
        </w:rPr>
        <w:t>i</w:t>
      </w:r>
      <w:r w:rsidRPr="009D7C92">
        <w:rPr>
          <w:color w:val="auto"/>
        </w:rPr>
        <w:t>émia, hypochlorémia, hyponatr</w:t>
      </w:r>
      <w:r w:rsidR="00C71015" w:rsidRPr="009D7C92">
        <w:rPr>
          <w:color w:val="auto"/>
        </w:rPr>
        <w:t>i</w:t>
      </w:r>
      <w:r w:rsidRPr="009D7C92">
        <w:rPr>
          <w:color w:val="auto"/>
        </w:rPr>
        <w:t xml:space="preserve">émia) a dehydratáciou vyplývajúcou z nadmernej diurézy. Najčastejšie </w:t>
      </w:r>
      <w:r w:rsidR="00C71015" w:rsidRPr="009D7C92">
        <w:rPr>
          <w:color w:val="auto"/>
        </w:rPr>
        <w:t xml:space="preserve">prejavy </w:t>
      </w:r>
      <w:r w:rsidRPr="009D7C92">
        <w:rPr>
          <w:color w:val="auto"/>
        </w:rPr>
        <w:t>a príznaky predávkovania sú nauzea a somnolencia. Hypokal</w:t>
      </w:r>
      <w:r w:rsidR="00F35D4C" w:rsidRPr="009D7C92">
        <w:rPr>
          <w:color w:val="auto"/>
        </w:rPr>
        <w:t>i</w:t>
      </w:r>
      <w:r w:rsidRPr="009D7C92">
        <w:rPr>
          <w:color w:val="auto"/>
        </w:rPr>
        <w:t xml:space="preserve">émia môže mať za následok svalové </w:t>
      </w:r>
      <w:r w:rsidR="00C71015" w:rsidRPr="009D7C92">
        <w:rPr>
          <w:color w:val="auto"/>
        </w:rPr>
        <w:t xml:space="preserve">spazmy </w:t>
      </w:r>
      <w:r w:rsidRPr="009D7C92">
        <w:rPr>
          <w:color w:val="auto"/>
        </w:rPr>
        <w:t xml:space="preserve">a/alebo </w:t>
      </w:r>
      <w:r w:rsidR="00C71015" w:rsidRPr="009D7C92">
        <w:rPr>
          <w:color w:val="auto"/>
        </w:rPr>
        <w:t xml:space="preserve">zvýrazniť </w:t>
      </w:r>
      <w:r w:rsidRPr="009D7C92">
        <w:rPr>
          <w:color w:val="auto"/>
        </w:rPr>
        <w:t>srdcové arytmie spojené so sú</w:t>
      </w:r>
      <w:r w:rsidR="0059364E" w:rsidRPr="009D7C92">
        <w:rPr>
          <w:color w:val="auto"/>
        </w:rPr>
        <w:t>bežným</w:t>
      </w:r>
      <w:r w:rsidRPr="009D7C92">
        <w:rPr>
          <w:color w:val="auto"/>
        </w:rPr>
        <w:t xml:space="preserve"> užívaním </w:t>
      </w:r>
      <w:r w:rsidR="00C71015" w:rsidRPr="009D7C92">
        <w:rPr>
          <w:color w:val="auto"/>
        </w:rPr>
        <w:t xml:space="preserve">srdcových </w:t>
      </w:r>
      <w:r w:rsidRPr="009D7C92">
        <w:rPr>
          <w:color w:val="auto"/>
        </w:rPr>
        <w:t xml:space="preserve">glykozidov alebo určitých </w:t>
      </w:r>
      <w:r w:rsidR="00C71015" w:rsidRPr="009D7C92">
        <w:rPr>
          <w:color w:val="auto"/>
        </w:rPr>
        <w:t>antiarytmík</w:t>
      </w:r>
      <w:r w:rsidRPr="009D7C92">
        <w:rPr>
          <w:color w:val="auto"/>
        </w:rPr>
        <w:t>.</w:t>
      </w:r>
    </w:p>
    <w:p w14:paraId="25D46ED2" w14:textId="77777777" w:rsidR="00323CDC" w:rsidRPr="009D7C92" w:rsidRDefault="00323CDC" w:rsidP="00211D25">
      <w:pPr>
        <w:jc w:val="left"/>
        <w:rPr>
          <w:color w:val="auto"/>
        </w:rPr>
      </w:pPr>
    </w:p>
    <w:p w14:paraId="0E8979B3" w14:textId="794F0619" w:rsidR="00EB25B2" w:rsidRDefault="00323CDC" w:rsidP="00243692">
      <w:pPr>
        <w:jc w:val="left"/>
        <w:rPr>
          <w:i/>
          <w:color w:val="auto"/>
        </w:rPr>
      </w:pPr>
      <w:r w:rsidRPr="009D7C92">
        <w:rPr>
          <w:i/>
          <w:color w:val="auto"/>
        </w:rPr>
        <w:t>Liečba</w:t>
      </w:r>
    </w:p>
    <w:p w14:paraId="061AB03D" w14:textId="67A9E26B" w:rsidR="00EB25B2" w:rsidRDefault="00323CDC" w:rsidP="00EE703D">
      <w:pPr>
        <w:jc w:val="left"/>
        <w:rPr>
          <w:color w:val="auto"/>
        </w:rPr>
      </w:pPr>
      <w:r w:rsidRPr="009D7C92">
        <w:rPr>
          <w:color w:val="auto"/>
        </w:rPr>
        <w:t>Liečba je symptomatická a podporná. Môže sa zvážiť primárna detoxikácia, napríklad podávaním adsorb</w:t>
      </w:r>
      <w:r w:rsidR="00C71015" w:rsidRPr="009D7C92">
        <w:rPr>
          <w:color w:val="auto"/>
        </w:rPr>
        <w:t>e</w:t>
      </w:r>
      <w:r w:rsidRPr="009D7C92">
        <w:rPr>
          <w:color w:val="auto"/>
        </w:rPr>
        <w:t xml:space="preserve">ntov. V prípade hypotenzie sa musí okrem </w:t>
      </w:r>
      <w:r w:rsidR="00C71015" w:rsidRPr="009D7C92">
        <w:rPr>
          <w:color w:val="auto"/>
        </w:rPr>
        <w:t xml:space="preserve">náhrad </w:t>
      </w:r>
      <w:r w:rsidRPr="009D7C92">
        <w:rPr>
          <w:color w:val="auto"/>
        </w:rPr>
        <w:t>objemu a sol</w:t>
      </w:r>
      <w:r w:rsidR="00C71015" w:rsidRPr="009D7C92">
        <w:rPr>
          <w:color w:val="auto"/>
        </w:rPr>
        <w:t>í</w:t>
      </w:r>
      <w:r w:rsidRPr="009D7C92">
        <w:rPr>
          <w:color w:val="auto"/>
        </w:rPr>
        <w:t xml:space="preserve"> zvážiť podávanie α</w:t>
      </w:r>
      <w:r w:rsidRPr="009D7C92">
        <w:rPr>
          <w:color w:val="auto"/>
          <w:vertAlign w:val="subscript"/>
        </w:rPr>
        <w:t>1</w:t>
      </w:r>
      <w:r w:rsidRPr="009D7C92">
        <w:rPr>
          <w:color w:val="auto"/>
        </w:rPr>
        <w:t>-adrenergných agonistov (</w:t>
      </w:r>
      <w:r w:rsidRPr="00DB566D">
        <w:rPr>
          <w:color w:val="auto"/>
        </w:rPr>
        <w:t>napr. nor</w:t>
      </w:r>
      <w:r w:rsidR="00590CD4" w:rsidRPr="00DB566D">
        <w:rPr>
          <w:color w:val="auto"/>
        </w:rPr>
        <w:t>adrenalínu</w:t>
      </w:r>
      <w:r w:rsidRPr="00DB566D">
        <w:rPr>
          <w:color w:val="auto"/>
        </w:rPr>
        <w:t>,</w:t>
      </w:r>
      <w:r w:rsidRPr="009D7C92">
        <w:rPr>
          <w:color w:val="auto"/>
        </w:rPr>
        <w:t xml:space="preserve"> dopamínu) alebo angiotenzínu II (angiotenzínamid).</w:t>
      </w:r>
    </w:p>
    <w:p w14:paraId="7C7E456E" w14:textId="7B600E17" w:rsidR="00EB25B2" w:rsidRDefault="00323CDC" w:rsidP="00211D25">
      <w:pPr>
        <w:jc w:val="left"/>
        <w:rPr>
          <w:color w:val="auto"/>
        </w:rPr>
      </w:pPr>
      <w:r w:rsidRPr="009D7C92">
        <w:rPr>
          <w:color w:val="auto"/>
        </w:rPr>
        <w:t xml:space="preserve">Vasokonstriktor môže byť užitočný pri obnovení cievneho tonusu a krvného tlaku za predpokladu, že </w:t>
      </w:r>
      <w:r w:rsidR="00C71015" w:rsidRPr="009D7C92">
        <w:rPr>
          <w:color w:val="auto"/>
        </w:rPr>
        <w:t xml:space="preserve">použitie </w:t>
      </w:r>
      <w:r w:rsidRPr="009D7C92">
        <w:rPr>
          <w:color w:val="auto"/>
        </w:rPr>
        <w:t>nie je kontraindikovan</w:t>
      </w:r>
      <w:r w:rsidR="00C71015" w:rsidRPr="009D7C92">
        <w:rPr>
          <w:color w:val="auto"/>
        </w:rPr>
        <w:t>é</w:t>
      </w:r>
      <w:r w:rsidRPr="009D7C92">
        <w:rPr>
          <w:color w:val="auto"/>
        </w:rPr>
        <w:t xml:space="preserve">. Intravenózny glukonát vápenatý môže byť </w:t>
      </w:r>
      <w:r w:rsidR="00C71015" w:rsidRPr="009D7C92">
        <w:rPr>
          <w:color w:val="auto"/>
        </w:rPr>
        <w:t>vhodný na</w:t>
      </w:r>
      <w:r w:rsidRPr="009D7C92">
        <w:rPr>
          <w:color w:val="auto"/>
        </w:rPr>
        <w:t xml:space="preserve"> zvráten</w:t>
      </w:r>
      <w:r w:rsidR="00C71015" w:rsidRPr="009D7C92">
        <w:rPr>
          <w:color w:val="auto"/>
        </w:rPr>
        <w:t>ie</w:t>
      </w:r>
      <w:r w:rsidRPr="009D7C92">
        <w:rPr>
          <w:color w:val="auto"/>
        </w:rPr>
        <w:t xml:space="preserve"> účinkov blokády kalciového kanála.</w:t>
      </w:r>
    </w:p>
    <w:p w14:paraId="5F5C24F2" w14:textId="1AAF9B3C" w:rsidR="00323CDC" w:rsidRPr="009D7C92" w:rsidRDefault="00C71015" w:rsidP="00F87817">
      <w:pPr>
        <w:jc w:val="left"/>
        <w:rPr>
          <w:color w:val="auto"/>
        </w:rPr>
      </w:pPr>
      <w:r w:rsidRPr="009D7C92">
        <w:rPr>
          <w:color w:val="auto"/>
        </w:rPr>
        <w:lastRenderedPageBreak/>
        <w:t>Na</w:t>
      </w:r>
      <w:r w:rsidR="00323CDC" w:rsidRPr="009D7C92">
        <w:rPr>
          <w:color w:val="auto"/>
        </w:rPr>
        <w:t xml:space="preserve"> elimináci</w:t>
      </w:r>
      <w:r w:rsidR="00236532" w:rsidRPr="009D7C92">
        <w:rPr>
          <w:color w:val="auto"/>
        </w:rPr>
        <w:t>u ramiprilu alebo ramiprilá</w:t>
      </w:r>
      <w:r w:rsidR="00323CDC" w:rsidRPr="009D7C92">
        <w:rPr>
          <w:color w:val="auto"/>
        </w:rPr>
        <w:t xml:space="preserve">tu sú k dispozícii obmedzené/žiadne skúsenosti týkajúce sa účinnosti </w:t>
      </w:r>
      <w:r w:rsidRPr="009D7C92">
        <w:rPr>
          <w:color w:val="auto"/>
        </w:rPr>
        <w:t xml:space="preserve">forsírovanej </w:t>
      </w:r>
      <w:r w:rsidR="00323CDC" w:rsidRPr="009D7C92">
        <w:rPr>
          <w:color w:val="auto"/>
        </w:rPr>
        <w:t xml:space="preserve">diurézy, zmeny pH moču, hemofiltrácie alebo dialýzy. Ak sa napriek tomu uvažuje o dialýze alebo hemofilizácii, </w:t>
      </w:r>
      <w:r w:rsidRPr="009D7C92">
        <w:rPr>
          <w:color w:val="auto"/>
        </w:rPr>
        <w:t xml:space="preserve">majú sa </w:t>
      </w:r>
      <w:r w:rsidR="00323CDC" w:rsidRPr="009D7C92">
        <w:rPr>
          <w:color w:val="auto"/>
        </w:rPr>
        <w:t>zváž</w:t>
      </w:r>
      <w:r w:rsidRPr="009D7C92">
        <w:rPr>
          <w:color w:val="auto"/>
        </w:rPr>
        <w:t>iť</w:t>
      </w:r>
      <w:r w:rsidR="00323CDC" w:rsidRPr="009D7C92">
        <w:rPr>
          <w:color w:val="auto"/>
        </w:rPr>
        <w:t xml:space="preserve"> riziká anafylaktoidných reakcií </w:t>
      </w:r>
      <w:r w:rsidR="00CA6BB5" w:rsidRPr="009D7C92">
        <w:rPr>
          <w:color w:val="auto"/>
        </w:rPr>
        <w:t>pri použití</w:t>
      </w:r>
      <w:r w:rsidRPr="009D7C92">
        <w:rPr>
          <w:color w:val="auto"/>
        </w:rPr>
        <w:t> </w:t>
      </w:r>
      <w:r w:rsidR="00CA6BB5" w:rsidRPr="009D7C92">
        <w:rPr>
          <w:color w:val="auto"/>
        </w:rPr>
        <w:t>vysokopriepustných</w:t>
      </w:r>
      <w:r w:rsidRPr="009D7C92">
        <w:rPr>
          <w:color w:val="auto"/>
        </w:rPr>
        <w:t xml:space="preserve"> </w:t>
      </w:r>
      <w:r w:rsidR="00323CDC" w:rsidRPr="009D7C92">
        <w:rPr>
          <w:color w:val="auto"/>
        </w:rPr>
        <w:t>membrán</w:t>
      </w:r>
      <w:r w:rsidRPr="009D7C92">
        <w:rPr>
          <w:color w:val="auto"/>
        </w:rPr>
        <w:t>.</w:t>
      </w:r>
    </w:p>
    <w:p w14:paraId="4785BE98" w14:textId="2F0985C9" w:rsidR="00EB25B2" w:rsidRDefault="00323CDC">
      <w:pPr>
        <w:jc w:val="left"/>
        <w:rPr>
          <w:color w:val="auto"/>
        </w:rPr>
      </w:pPr>
      <w:r w:rsidRPr="009D7C92">
        <w:rPr>
          <w:color w:val="auto"/>
        </w:rPr>
        <w:t xml:space="preserve">V niektorých prípadoch môže byť užitočné podstúpiť </w:t>
      </w:r>
      <w:r w:rsidR="00CA6BB5" w:rsidRPr="009D7C92">
        <w:rPr>
          <w:color w:val="auto"/>
        </w:rPr>
        <w:t>gastrickú laváž</w:t>
      </w:r>
      <w:r w:rsidRPr="009D7C92">
        <w:rPr>
          <w:color w:val="auto"/>
        </w:rPr>
        <w:t>. U zdravých dobrovoľníkov sa ukázalo, že používanie aktívneho uhlia do 2 hodín po podaní 10 mg amlodipínu znižuje rýchlosť absorpcie amlodipínu.</w:t>
      </w:r>
    </w:p>
    <w:p w14:paraId="07DF8EED" w14:textId="1B5E4C8F" w:rsidR="00323CDC" w:rsidRPr="009D7C92" w:rsidRDefault="00323CDC">
      <w:pPr>
        <w:jc w:val="left"/>
        <w:rPr>
          <w:color w:val="auto"/>
        </w:rPr>
      </w:pPr>
      <w:r w:rsidRPr="009D7C92">
        <w:rPr>
          <w:color w:val="auto"/>
        </w:rPr>
        <w:t xml:space="preserve">Keďže </w:t>
      </w:r>
      <w:r w:rsidR="00E23A04" w:rsidRPr="009D7C92">
        <w:rPr>
          <w:color w:val="auto"/>
        </w:rPr>
        <w:t xml:space="preserve">je </w:t>
      </w:r>
      <w:r w:rsidRPr="009D7C92">
        <w:rPr>
          <w:color w:val="auto"/>
        </w:rPr>
        <w:t xml:space="preserve">amlodipín </w:t>
      </w:r>
      <w:r w:rsidR="00CA6BB5" w:rsidRPr="009D7C92">
        <w:rPr>
          <w:color w:val="auto"/>
        </w:rPr>
        <w:t xml:space="preserve">výrazne </w:t>
      </w:r>
      <w:r w:rsidRPr="009D7C92">
        <w:rPr>
          <w:color w:val="auto"/>
        </w:rPr>
        <w:t xml:space="preserve">viazaný na proteíny, nie je pravdepodobné, že by </w:t>
      </w:r>
      <w:r w:rsidR="00E23A04" w:rsidRPr="009D7C92">
        <w:rPr>
          <w:color w:val="auto"/>
        </w:rPr>
        <w:t xml:space="preserve">bola </w:t>
      </w:r>
      <w:r w:rsidRPr="009D7C92">
        <w:rPr>
          <w:color w:val="auto"/>
        </w:rPr>
        <w:t>dialýza prospešná. Odstránenie tiazidových diuretík dialýzou je tiež zanedbateľné.</w:t>
      </w:r>
    </w:p>
    <w:p w14:paraId="267ADE0F" w14:textId="17F00E88" w:rsidR="00323CDC" w:rsidRPr="009D7C92" w:rsidRDefault="00323CDC">
      <w:pPr>
        <w:jc w:val="left"/>
        <w:rPr>
          <w:color w:val="auto"/>
        </w:rPr>
      </w:pPr>
      <w:r w:rsidRPr="009D7C92">
        <w:rPr>
          <w:color w:val="auto"/>
        </w:rPr>
        <w:t>Liečba má obnoviť rovnováhu tekutín a elektrolytov, korekcia hyponatr</w:t>
      </w:r>
      <w:r w:rsidR="00CA6BB5" w:rsidRPr="009D7C92">
        <w:rPr>
          <w:color w:val="auto"/>
        </w:rPr>
        <w:t>i</w:t>
      </w:r>
      <w:r w:rsidRPr="009D7C92">
        <w:rPr>
          <w:color w:val="auto"/>
        </w:rPr>
        <w:t>émie by mala byť postupná.</w:t>
      </w:r>
    </w:p>
    <w:p w14:paraId="52A5B59F" w14:textId="11C90724" w:rsidR="00323CDC" w:rsidRPr="009D7C92" w:rsidRDefault="00323CDC">
      <w:pPr>
        <w:jc w:val="left"/>
        <w:rPr>
          <w:color w:val="auto"/>
        </w:rPr>
      </w:pPr>
      <w:r w:rsidRPr="009D7C92">
        <w:rPr>
          <w:color w:val="auto"/>
        </w:rPr>
        <w:t xml:space="preserve">Je potrebné vykonať aktívnu kardiovaskulárnu podporu vrátane častého monitorovania srdcových a respiračných funkcií, </w:t>
      </w:r>
      <w:r w:rsidR="00CA6BB5" w:rsidRPr="009D7C92">
        <w:rPr>
          <w:color w:val="auto"/>
        </w:rPr>
        <w:t>vyvýšiť</w:t>
      </w:r>
      <w:r w:rsidRPr="009D7C92">
        <w:rPr>
          <w:color w:val="auto"/>
        </w:rPr>
        <w:t xml:space="preserve"> končatiny a venovať pozornosť objemu cirkulujúc</w:t>
      </w:r>
      <w:r w:rsidR="00CA6BB5" w:rsidRPr="009D7C92">
        <w:rPr>
          <w:color w:val="auto"/>
        </w:rPr>
        <w:t>ich</w:t>
      </w:r>
      <w:r w:rsidRPr="009D7C92">
        <w:rPr>
          <w:color w:val="auto"/>
        </w:rPr>
        <w:t xml:space="preserve"> tekut</w:t>
      </w:r>
      <w:r w:rsidR="00CA6BB5" w:rsidRPr="009D7C92">
        <w:rPr>
          <w:color w:val="auto"/>
        </w:rPr>
        <w:t>ín</w:t>
      </w:r>
      <w:r w:rsidRPr="009D7C92">
        <w:rPr>
          <w:color w:val="auto"/>
        </w:rPr>
        <w:t xml:space="preserve"> a </w:t>
      </w:r>
      <w:r w:rsidR="00CA6BB5" w:rsidRPr="009D7C92">
        <w:rPr>
          <w:color w:val="auto"/>
        </w:rPr>
        <w:t>výdaju</w:t>
      </w:r>
      <w:r w:rsidRPr="009D7C92">
        <w:rPr>
          <w:color w:val="auto"/>
        </w:rPr>
        <w:t xml:space="preserve"> moču.</w:t>
      </w:r>
    </w:p>
    <w:p w14:paraId="3A357C3D" w14:textId="6823B576" w:rsidR="00323CDC" w:rsidRPr="009D7C92" w:rsidRDefault="00323CDC">
      <w:pPr>
        <w:jc w:val="left"/>
        <w:rPr>
          <w:color w:val="auto"/>
        </w:rPr>
      </w:pPr>
    </w:p>
    <w:p w14:paraId="30EC0415" w14:textId="3CF55159" w:rsidR="00323CDC" w:rsidRPr="009D7C92" w:rsidRDefault="00323CDC">
      <w:pPr>
        <w:jc w:val="left"/>
        <w:rPr>
          <w:color w:val="auto"/>
        </w:rPr>
      </w:pPr>
    </w:p>
    <w:p w14:paraId="693FCFD5" w14:textId="7FDFDCB1" w:rsidR="00EB25B2" w:rsidRDefault="00323CDC" w:rsidP="00243692">
      <w:pPr>
        <w:ind w:left="567" w:right="0" w:hanging="567"/>
        <w:jc w:val="left"/>
        <w:rPr>
          <w:b/>
          <w:color w:val="auto"/>
        </w:rPr>
      </w:pPr>
      <w:r w:rsidRPr="009D7C92">
        <w:rPr>
          <w:b/>
          <w:color w:val="auto"/>
        </w:rPr>
        <w:t>5.</w:t>
      </w:r>
      <w:r w:rsidRPr="009D7C92">
        <w:rPr>
          <w:b/>
          <w:color w:val="auto"/>
        </w:rPr>
        <w:tab/>
      </w:r>
      <w:r w:rsidRPr="009D7C92">
        <w:rPr>
          <w:b/>
          <w:color w:val="auto"/>
          <w:lang w:eastAsia="sk-SK"/>
        </w:rPr>
        <w:t>FARMAKOLOGICKÉ</w:t>
      </w:r>
      <w:r w:rsidRPr="009D7C92">
        <w:rPr>
          <w:b/>
          <w:color w:val="auto"/>
        </w:rPr>
        <w:t xml:space="preserve"> VLASTNOSTI</w:t>
      </w:r>
    </w:p>
    <w:p w14:paraId="70CFB982" w14:textId="2A3EA93C" w:rsidR="00323CDC" w:rsidRPr="009D7C92" w:rsidRDefault="00323CDC" w:rsidP="00EE703D">
      <w:pPr>
        <w:jc w:val="left"/>
        <w:rPr>
          <w:color w:val="auto"/>
        </w:rPr>
      </w:pPr>
    </w:p>
    <w:p w14:paraId="5406DA07" w14:textId="4A226F0E" w:rsidR="00EB25B2" w:rsidRDefault="00323CDC" w:rsidP="00243692">
      <w:pPr>
        <w:ind w:left="567" w:right="0" w:hanging="567"/>
        <w:jc w:val="left"/>
        <w:rPr>
          <w:b/>
          <w:color w:val="auto"/>
        </w:rPr>
      </w:pPr>
      <w:r w:rsidRPr="009D7C92">
        <w:rPr>
          <w:b/>
          <w:color w:val="auto"/>
        </w:rPr>
        <w:t>5.1</w:t>
      </w:r>
      <w:r w:rsidR="003511D4" w:rsidRPr="009D7C92">
        <w:rPr>
          <w:b/>
          <w:color w:val="auto"/>
        </w:rPr>
        <w:tab/>
      </w:r>
      <w:r w:rsidRPr="009D7C92">
        <w:rPr>
          <w:b/>
          <w:color w:val="auto"/>
          <w:lang w:eastAsia="sk-SK"/>
        </w:rPr>
        <w:t>Farmakodynamické</w:t>
      </w:r>
      <w:r w:rsidRPr="009D7C92">
        <w:rPr>
          <w:b/>
          <w:color w:val="auto"/>
        </w:rPr>
        <w:t xml:space="preserve"> vlastnosti</w:t>
      </w:r>
    </w:p>
    <w:p w14:paraId="3D6C029F" w14:textId="40EF3DD6" w:rsidR="00323CDC" w:rsidRPr="009D7C92" w:rsidRDefault="00323CDC" w:rsidP="00EE703D">
      <w:pPr>
        <w:jc w:val="left"/>
        <w:rPr>
          <w:color w:val="auto"/>
        </w:rPr>
      </w:pPr>
    </w:p>
    <w:p w14:paraId="73AD7157" w14:textId="5556C607" w:rsidR="00323CDC" w:rsidRPr="009D7C92" w:rsidRDefault="00323CDC" w:rsidP="00211D25">
      <w:pPr>
        <w:jc w:val="left"/>
        <w:rPr>
          <w:color w:val="auto"/>
        </w:rPr>
      </w:pPr>
      <w:r w:rsidRPr="009D7C92">
        <w:rPr>
          <w:color w:val="auto"/>
        </w:rPr>
        <w:t xml:space="preserve">Farmakoterapeutická skupina: </w:t>
      </w:r>
      <w:r w:rsidR="005A6A40" w:rsidRPr="009D7C92">
        <w:rPr>
          <w:color w:val="auto"/>
        </w:rPr>
        <w:t>I</w:t>
      </w:r>
      <w:r w:rsidR="003511D4" w:rsidRPr="009D7C92">
        <w:rPr>
          <w:color w:val="auto"/>
        </w:rPr>
        <w:t>nhibítory</w:t>
      </w:r>
      <w:r w:rsidR="005A6A40" w:rsidRPr="009D7C92">
        <w:rPr>
          <w:color w:val="auto"/>
        </w:rPr>
        <w:t xml:space="preserve"> enzýmu konvertujúceho angiotenzín</w:t>
      </w:r>
      <w:r w:rsidR="003511D4" w:rsidRPr="009D7C92">
        <w:rPr>
          <w:color w:val="auto"/>
        </w:rPr>
        <w:t xml:space="preserve">, iné kombinácie </w:t>
      </w:r>
      <w:r w:rsidRPr="009D7C92">
        <w:rPr>
          <w:color w:val="auto"/>
        </w:rPr>
        <w:t>ATC</w:t>
      </w:r>
      <w:r w:rsidR="003511D4" w:rsidRPr="009D7C92">
        <w:rPr>
          <w:color w:val="auto"/>
        </w:rPr>
        <w:t xml:space="preserve"> kód</w:t>
      </w:r>
      <w:r w:rsidRPr="009D7C92">
        <w:rPr>
          <w:color w:val="auto"/>
        </w:rPr>
        <w:t xml:space="preserve">: </w:t>
      </w:r>
      <w:r w:rsidRPr="009D7C92">
        <w:t>C09BX03</w:t>
      </w:r>
    </w:p>
    <w:p w14:paraId="5FE1FFCE" w14:textId="7CF7DAAC" w:rsidR="00323CDC" w:rsidRPr="009D7C92" w:rsidRDefault="00323CDC" w:rsidP="00211D25">
      <w:pPr>
        <w:jc w:val="left"/>
        <w:rPr>
          <w:color w:val="auto"/>
        </w:rPr>
      </w:pPr>
    </w:p>
    <w:p w14:paraId="2C7FC635" w14:textId="2FC7D433" w:rsidR="00EB25B2" w:rsidRDefault="00323CDC" w:rsidP="00243692">
      <w:pPr>
        <w:jc w:val="left"/>
        <w:rPr>
          <w:b/>
          <w:color w:val="auto"/>
        </w:rPr>
      </w:pPr>
      <w:r w:rsidRPr="009D7C92">
        <w:rPr>
          <w:b/>
          <w:color w:val="auto"/>
        </w:rPr>
        <w:t>Mechanizmus účinku ramiprilu</w:t>
      </w:r>
    </w:p>
    <w:p w14:paraId="5A2F4BF7" w14:textId="260B5690" w:rsidR="00323CDC" w:rsidRPr="009D7C92" w:rsidRDefault="00323CDC" w:rsidP="00EE703D">
      <w:pPr>
        <w:jc w:val="left"/>
        <w:rPr>
          <w:color w:val="auto"/>
        </w:rPr>
      </w:pPr>
      <w:r w:rsidRPr="009D7C92">
        <w:rPr>
          <w:color w:val="auto"/>
        </w:rPr>
        <w:t>Ramipril</w:t>
      </w:r>
      <w:r w:rsidR="00F35D4C" w:rsidRPr="009D7C92">
        <w:rPr>
          <w:color w:val="auto"/>
        </w:rPr>
        <w:t>á</w:t>
      </w:r>
      <w:r w:rsidRPr="009D7C92">
        <w:rPr>
          <w:color w:val="auto"/>
        </w:rPr>
        <w:t>t, aktívny metabolit proliečiva ramiprilu, inhibuje enzým dipeptidylkarboxypeptidáz</w:t>
      </w:r>
      <w:r w:rsidR="00B8044B" w:rsidRPr="009D7C92">
        <w:rPr>
          <w:color w:val="auto"/>
        </w:rPr>
        <w:t>u</w:t>
      </w:r>
      <w:r w:rsidRPr="009D7C92">
        <w:rPr>
          <w:color w:val="auto"/>
        </w:rPr>
        <w:t xml:space="preserve"> I (synonymá: enzým</w:t>
      </w:r>
      <w:r w:rsidR="00B8044B" w:rsidRPr="009D7C92">
        <w:rPr>
          <w:color w:val="auto"/>
        </w:rPr>
        <w:t xml:space="preserve"> konvertujúci angiotenzín</w:t>
      </w:r>
      <w:r w:rsidRPr="009D7C92">
        <w:rPr>
          <w:color w:val="auto"/>
        </w:rPr>
        <w:t>; kinináza II). V plazme a tkanive tento enzým katalyzuje konverziu angiotenzínu I na aktívnu vazokonstrikčnú látku</w:t>
      </w:r>
      <w:r w:rsidR="00B8044B" w:rsidRPr="009D7C92">
        <w:rPr>
          <w:color w:val="auto"/>
        </w:rPr>
        <w:t>,</w:t>
      </w:r>
      <w:r w:rsidRPr="009D7C92">
        <w:rPr>
          <w:color w:val="auto"/>
        </w:rPr>
        <w:t xml:space="preserve"> angiotenzín II, ako aj rozpad aktívneho vazodilatačného bradykinínu. Znížená tvorba angiotenzínu II a inhibícia rozpadu bradykinínu vedú k</w:t>
      </w:r>
      <w:r w:rsidR="00256CCE">
        <w:rPr>
          <w:color w:val="auto"/>
        </w:rPr>
        <w:t> </w:t>
      </w:r>
      <w:r w:rsidRPr="009D7C92">
        <w:rPr>
          <w:color w:val="auto"/>
        </w:rPr>
        <w:t>vazodilatácii.</w:t>
      </w:r>
      <w:r w:rsidRPr="009D7C92">
        <w:rPr>
          <w:color w:val="auto"/>
        </w:rPr>
        <w:cr/>
      </w:r>
    </w:p>
    <w:p w14:paraId="05B3F13E" w14:textId="753140AE" w:rsidR="00EB25B2" w:rsidRDefault="00323CDC" w:rsidP="00211D25">
      <w:pPr>
        <w:jc w:val="left"/>
        <w:rPr>
          <w:color w:val="auto"/>
        </w:rPr>
      </w:pPr>
      <w:r w:rsidRPr="009D7C92">
        <w:rPr>
          <w:color w:val="auto"/>
        </w:rPr>
        <w:t>Pretože angiotenzín II stimuluje</w:t>
      </w:r>
      <w:r w:rsidR="00B8044B" w:rsidRPr="009D7C92">
        <w:rPr>
          <w:color w:val="auto"/>
        </w:rPr>
        <w:t xml:space="preserve"> aj</w:t>
      </w:r>
      <w:r w:rsidRPr="009D7C92">
        <w:rPr>
          <w:color w:val="auto"/>
        </w:rPr>
        <w:t xml:space="preserve"> uvoľňovanie aldosterónu, ramiprilát spôsobuje zníženie sekrécie aldosterónu. Priemerná reakcia na monoterapiu inhibítorom </w:t>
      </w:r>
      <w:r w:rsidR="00311D10" w:rsidRPr="009D7C92">
        <w:rPr>
          <w:color w:val="auto"/>
        </w:rPr>
        <w:t xml:space="preserve">ACE </w:t>
      </w:r>
      <w:r w:rsidRPr="009D7C92">
        <w:rPr>
          <w:color w:val="auto"/>
        </w:rPr>
        <w:t>bola nižšia u</w:t>
      </w:r>
      <w:r w:rsidR="00E90D6E" w:rsidRPr="009D7C92">
        <w:rPr>
          <w:color w:val="auto"/>
        </w:rPr>
        <w:t xml:space="preserve"> pacientov čiernej </w:t>
      </w:r>
      <w:r w:rsidR="00B8044B" w:rsidRPr="009D7C92">
        <w:rPr>
          <w:color w:val="auto"/>
        </w:rPr>
        <w:t xml:space="preserve">rasy </w:t>
      </w:r>
      <w:r w:rsidRPr="009D7C92">
        <w:rPr>
          <w:color w:val="auto"/>
        </w:rPr>
        <w:t>s</w:t>
      </w:r>
      <w:r w:rsidR="00256CCE">
        <w:rPr>
          <w:color w:val="auto"/>
        </w:rPr>
        <w:t> </w:t>
      </w:r>
      <w:r w:rsidRPr="009D7C92">
        <w:rPr>
          <w:color w:val="auto"/>
        </w:rPr>
        <w:t>hypertenziou (AfroCaribbean) (zvyčajne u pacientov s hypertenziou s</w:t>
      </w:r>
      <w:r w:rsidR="00B8044B" w:rsidRPr="009D7C92">
        <w:rPr>
          <w:color w:val="auto"/>
        </w:rPr>
        <w:t> </w:t>
      </w:r>
      <w:r w:rsidRPr="009D7C92">
        <w:rPr>
          <w:color w:val="auto"/>
        </w:rPr>
        <w:t>nízk</w:t>
      </w:r>
      <w:r w:rsidR="00B8044B" w:rsidRPr="009D7C92">
        <w:rPr>
          <w:color w:val="auto"/>
        </w:rPr>
        <w:t>ou hladinou</w:t>
      </w:r>
      <w:r w:rsidRPr="009D7C92">
        <w:rPr>
          <w:color w:val="auto"/>
        </w:rPr>
        <w:t xml:space="preserve"> renín</w:t>
      </w:r>
      <w:r w:rsidR="00B8044B" w:rsidRPr="009D7C92">
        <w:rPr>
          <w:color w:val="auto"/>
        </w:rPr>
        <w:t>u</w:t>
      </w:r>
      <w:r w:rsidRPr="009D7C92">
        <w:rPr>
          <w:color w:val="auto"/>
        </w:rPr>
        <w:t>) ako u</w:t>
      </w:r>
      <w:r w:rsidR="00256CCE">
        <w:rPr>
          <w:color w:val="auto"/>
        </w:rPr>
        <w:t> </w:t>
      </w:r>
      <w:r w:rsidRPr="009D7C92">
        <w:rPr>
          <w:color w:val="auto"/>
        </w:rPr>
        <w:t xml:space="preserve">pacientov, ktorí nie sú </w:t>
      </w:r>
      <w:r w:rsidR="00E90D6E" w:rsidRPr="009D7C92">
        <w:rPr>
          <w:color w:val="auto"/>
        </w:rPr>
        <w:t xml:space="preserve">čiernej </w:t>
      </w:r>
      <w:r w:rsidR="00B8044B" w:rsidRPr="009D7C92">
        <w:rPr>
          <w:color w:val="auto"/>
        </w:rPr>
        <w:t>rasy</w:t>
      </w:r>
      <w:r w:rsidRPr="009D7C92">
        <w:rPr>
          <w:color w:val="auto"/>
        </w:rPr>
        <w:t>.</w:t>
      </w:r>
    </w:p>
    <w:p w14:paraId="1599B028" w14:textId="73304090" w:rsidR="00323CDC" w:rsidRPr="009D7C92" w:rsidRDefault="00323CDC" w:rsidP="00211D25">
      <w:pPr>
        <w:jc w:val="left"/>
        <w:rPr>
          <w:color w:val="auto"/>
        </w:rPr>
      </w:pPr>
    </w:p>
    <w:p w14:paraId="56DF5D16" w14:textId="2FCD4E4F" w:rsidR="00EB25B2" w:rsidRDefault="00323CDC" w:rsidP="00243692">
      <w:pPr>
        <w:jc w:val="left"/>
        <w:rPr>
          <w:i/>
          <w:color w:val="auto"/>
        </w:rPr>
      </w:pPr>
      <w:r w:rsidRPr="009D7C92">
        <w:rPr>
          <w:i/>
          <w:color w:val="auto"/>
        </w:rPr>
        <w:t>Farmakodynamické účinky</w:t>
      </w:r>
    </w:p>
    <w:p w14:paraId="574BDF22" w14:textId="7242044A" w:rsidR="00EB25B2" w:rsidRDefault="00323CDC" w:rsidP="00EE703D">
      <w:pPr>
        <w:jc w:val="left"/>
        <w:rPr>
          <w:color w:val="auto"/>
        </w:rPr>
      </w:pPr>
      <w:r w:rsidRPr="009D7C92">
        <w:rPr>
          <w:color w:val="auto"/>
        </w:rPr>
        <w:t>Podávanie ramiprilu spôsobuje výrazné zníženie periférnej arteriálnej rezistencie. Vo všeobecnosti nedochádza k významným zmenám v prietoku renálnej plazmy a rýchlosti glomerulárnej filtrácie. Podávanie ramiprilu pacientom s hypertenziou vedie k zníženiu krvného tlaku v ľahu a v stoji bez kompenzačného zvýšenia srdcovej frekvencie.</w:t>
      </w:r>
    </w:p>
    <w:p w14:paraId="0C498CFD" w14:textId="69AB71AF" w:rsidR="00EB25B2" w:rsidRDefault="00323CDC" w:rsidP="00211D25">
      <w:pPr>
        <w:jc w:val="left"/>
        <w:rPr>
          <w:color w:val="auto"/>
        </w:rPr>
      </w:pPr>
      <w:r w:rsidRPr="009D7C92">
        <w:rPr>
          <w:color w:val="auto"/>
        </w:rPr>
        <w:t>U väčšiny pacientov sa nástup antihypertenz</w:t>
      </w:r>
      <w:r w:rsidR="00B8044B" w:rsidRPr="009D7C92">
        <w:rPr>
          <w:color w:val="auto"/>
        </w:rPr>
        <w:t>ív</w:t>
      </w:r>
      <w:r w:rsidRPr="009D7C92">
        <w:rPr>
          <w:color w:val="auto"/>
        </w:rPr>
        <w:t>n</w:t>
      </w:r>
      <w:r w:rsidR="00B8044B" w:rsidRPr="009D7C92">
        <w:rPr>
          <w:color w:val="auto"/>
        </w:rPr>
        <w:t>e</w:t>
      </w:r>
      <w:r w:rsidRPr="009D7C92">
        <w:rPr>
          <w:color w:val="auto"/>
        </w:rPr>
        <w:t>ho účinku jednorazovej dávky prejaví 1 až 2 hodiny po perorálnom podaní. Maximálny účinok jednorazovej dávky sa zvyčajne dosiahne 3 až 6 hodín po perorálnom podaní. Antihypertenzívny účinok jednorazovej dávky zvyčajne trvá 24 hodín.</w:t>
      </w:r>
    </w:p>
    <w:p w14:paraId="68C1BBC9" w14:textId="71352881" w:rsidR="00EB25B2" w:rsidRDefault="00323CDC" w:rsidP="00F87817">
      <w:pPr>
        <w:jc w:val="left"/>
        <w:rPr>
          <w:color w:val="auto"/>
        </w:rPr>
      </w:pPr>
      <w:r w:rsidRPr="009D7C92">
        <w:rPr>
          <w:color w:val="auto"/>
        </w:rPr>
        <w:t xml:space="preserve">Maximálny antihypertenzívny účinok pokračujúcej liečby ramiprilom je všeobecne zrejmý po 3 až 4 týždňoch. Ukázalo sa, že antihypertenzívny účinok pretrváva pri dlhodobej </w:t>
      </w:r>
      <w:r w:rsidR="00B8044B" w:rsidRPr="009D7C92">
        <w:rPr>
          <w:color w:val="auto"/>
        </w:rPr>
        <w:t xml:space="preserve">liečbe </w:t>
      </w:r>
      <w:r w:rsidRPr="009D7C92">
        <w:rPr>
          <w:color w:val="auto"/>
        </w:rPr>
        <w:t>trvajúcej 2 roky.</w:t>
      </w:r>
    </w:p>
    <w:p w14:paraId="2ACF860A" w14:textId="1F5FC637" w:rsidR="00EB25B2" w:rsidRDefault="00323CDC">
      <w:pPr>
        <w:jc w:val="left"/>
        <w:rPr>
          <w:color w:val="auto"/>
        </w:rPr>
      </w:pPr>
      <w:r w:rsidRPr="009D7C92">
        <w:rPr>
          <w:color w:val="auto"/>
        </w:rPr>
        <w:t>Náhle prerušenie liečby ramiprilom nevedie k rýchlemu a nadmernému zvýšeniu krvného tlaku.</w:t>
      </w:r>
    </w:p>
    <w:p w14:paraId="51BF2997" w14:textId="77777777" w:rsidR="00323CDC" w:rsidRPr="009D7C92" w:rsidRDefault="00323CDC">
      <w:pPr>
        <w:jc w:val="left"/>
        <w:rPr>
          <w:color w:val="auto"/>
        </w:rPr>
      </w:pPr>
    </w:p>
    <w:p w14:paraId="2DAB63AB" w14:textId="77777777" w:rsidR="00323CDC" w:rsidRPr="009D7C92" w:rsidRDefault="00323CDC">
      <w:pPr>
        <w:jc w:val="left"/>
        <w:rPr>
          <w:color w:val="auto"/>
        </w:rPr>
      </w:pPr>
      <w:r w:rsidRPr="009D7C92">
        <w:rPr>
          <w:color w:val="auto"/>
        </w:rPr>
        <w:t>Klinická účinnosť a bezpečnosť</w:t>
      </w:r>
    </w:p>
    <w:p w14:paraId="231B5A7C" w14:textId="77777777" w:rsidR="00323CDC" w:rsidRPr="009D7C92" w:rsidRDefault="00323CDC">
      <w:pPr>
        <w:jc w:val="left"/>
        <w:rPr>
          <w:bCs/>
          <w:iCs/>
          <w:color w:val="auto"/>
          <w:u w:val="single"/>
        </w:rPr>
      </w:pPr>
    </w:p>
    <w:p w14:paraId="6B6B05D6" w14:textId="089E1A9F" w:rsidR="00323CDC" w:rsidRPr="009D7C92" w:rsidRDefault="00323CDC">
      <w:pPr>
        <w:jc w:val="left"/>
        <w:rPr>
          <w:bCs/>
          <w:iCs/>
          <w:color w:val="auto"/>
        </w:rPr>
      </w:pPr>
      <w:r w:rsidRPr="009D7C92">
        <w:rPr>
          <w:bCs/>
          <w:iCs/>
          <w:color w:val="auto"/>
        </w:rPr>
        <w:t>Dve veľké</w:t>
      </w:r>
      <w:r w:rsidR="005722AA" w:rsidRPr="009D7C92">
        <w:rPr>
          <w:bCs/>
          <w:iCs/>
          <w:color w:val="auto"/>
        </w:rPr>
        <w:t>,</w:t>
      </w:r>
      <w:r w:rsidRPr="009D7C92">
        <w:rPr>
          <w:bCs/>
          <w:iCs/>
          <w:color w:val="auto"/>
        </w:rPr>
        <w:t xml:space="preserve"> randomizované, kontrolované </w:t>
      </w:r>
      <w:r w:rsidR="00B8044B" w:rsidRPr="009D7C92">
        <w:rPr>
          <w:bCs/>
          <w:iCs/>
          <w:color w:val="auto"/>
        </w:rPr>
        <w:t xml:space="preserve">skúšania </w:t>
      </w:r>
      <w:r w:rsidRPr="009D7C92">
        <w:rPr>
          <w:bCs/>
          <w:iCs/>
          <w:color w:val="auto"/>
        </w:rPr>
        <w:t>(ONTARGET (ONgoing Telmisartan Alone and in combination with Ramipril Global Endpoint Trial) a VA NEPHRON-D (The Veterans Affairs Nephropathy in Diabetes)) skúmali použitie kombinácie inhibítora ACE s blokátor</w:t>
      </w:r>
      <w:r w:rsidR="00B8044B" w:rsidRPr="009D7C92">
        <w:rPr>
          <w:bCs/>
          <w:iCs/>
          <w:color w:val="auto"/>
        </w:rPr>
        <w:t>om</w:t>
      </w:r>
      <w:r w:rsidRPr="009D7C92">
        <w:rPr>
          <w:bCs/>
          <w:iCs/>
          <w:color w:val="auto"/>
        </w:rPr>
        <w:t xml:space="preserve"> receptora</w:t>
      </w:r>
      <w:r w:rsidR="00B8044B" w:rsidRPr="009D7C92">
        <w:rPr>
          <w:bCs/>
          <w:iCs/>
          <w:color w:val="auto"/>
        </w:rPr>
        <w:t xml:space="preserve"> angiotenzínu II</w:t>
      </w:r>
      <w:r w:rsidRPr="009D7C92">
        <w:rPr>
          <w:bCs/>
          <w:iCs/>
          <w:color w:val="auto"/>
        </w:rPr>
        <w:t>.</w:t>
      </w:r>
    </w:p>
    <w:p w14:paraId="03CBC4D4" w14:textId="0150CCA4" w:rsidR="00323CDC" w:rsidRPr="009D7C92" w:rsidRDefault="00323CDC">
      <w:pPr>
        <w:jc w:val="left"/>
        <w:rPr>
          <w:bCs/>
          <w:iCs/>
          <w:color w:val="auto"/>
        </w:rPr>
      </w:pPr>
      <w:r w:rsidRPr="009D7C92">
        <w:rPr>
          <w:bCs/>
          <w:iCs/>
          <w:color w:val="auto"/>
        </w:rPr>
        <w:t>ONTARGET bol</w:t>
      </w:r>
      <w:r w:rsidR="00B8044B" w:rsidRPr="009D7C92">
        <w:rPr>
          <w:bCs/>
          <w:iCs/>
          <w:color w:val="auto"/>
        </w:rPr>
        <w:t>o</w:t>
      </w:r>
      <w:r w:rsidRPr="009D7C92">
        <w:rPr>
          <w:bCs/>
          <w:iCs/>
          <w:color w:val="auto"/>
        </w:rPr>
        <w:t xml:space="preserve"> </w:t>
      </w:r>
      <w:r w:rsidR="00B8044B" w:rsidRPr="009D7C92">
        <w:rPr>
          <w:bCs/>
          <w:iCs/>
          <w:color w:val="auto"/>
        </w:rPr>
        <w:t>skúšanie</w:t>
      </w:r>
      <w:r w:rsidRPr="009D7C92">
        <w:rPr>
          <w:bCs/>
          <w:iCs/>
          <w:color w:val="auto"/>
        </w:rPr>
        <w:t xml:space="preserve"> vykona</w:t>
      </w:r>
      <w:r w:rsidR="00B8044B" w:rsidRPr="009D7C92">
        <w:rPr>
          <w:bCs/>
          <w:iCs/>
          <w:color w:val="auto"/>
        </w:rPr>
        <w:t>né</w:t>
      </w:r>
      <w:r w:rsidRPr="009D7C92">
        <w:rPr>
          <w:bCs/>
          <w:iCs/>
          <w:color w:val="auto"/>
        </w:rPr>
        <w:t xml:space="preserve"> </w:t>
      </w:r>
      <w:r w:rsidR="00B8044B" w:rsidRPr="009D7C92">
        <w:rPr>
          <w:bCs/>
          <w:iCs/>
          <w:color w:val="auto"/>
        </w:rPr>
        <w:t>s</w:t>
      </w:r>
      <w:r w:rsidRPr="009D7C92">
        <w:rPr>
          <w:bCs/>
          <w:iCs/>
          <w:color w:val="auto"/>
        </w:rPr>
        <w:t xml:space="preserve"> pacient</w:t>
      </w:r>
      <w:r w:rsidR="00B8044B" w:rsidRPr="009D7C92">
        <w:rPr>
          <w:bCs/>
          <w:iCs/>
          <w:color w:val="auto"/>
        </w:rPr>
        <w:t>ami</w:t>
      </w:r>
      <w:r w:rsidRPr="009D7C92">
        <w:rPr>
          <w:bCs/>
          <w:iCs/>
          <w:color w:val="auto"/>
        </w:rPr>
        <w:t xml:space="preserve"> s anamnézou kardiovaskulárneho alebo cerebrovaskulárneho ochorenia alebo diabet</w:t>
      </w:r>
      <w:r w:rsidR="00B8044B" w:rsidRPr="009D7C92">
        <w:rPr>
          <w:bCs/>
          <w:iCs/>
          <w:color w:val="auto"/>
        </w:rPr>
        <w:t>om</w:t>
      </w:r>
      <w:r w:rsidRPr="009D7C92">
        <w:rPr>
          <w:bCs/>
          <w:iCs/>
          <w:color w:val="auto"/>
        </w:rPr>
        <w:t xml:space="preserve"> mellitus 2. typu</w:t>
      </w:r>
      <w:r w:rsidR="00E90D6E" w:rsidRPr="009D7C92">
        <w:rPr>
          <w:bCs/>
          <w:iCs/>
          <w:color w:val="auto"/>
        </w:rPr>
        <w:t xml:space="preserve"> spolu s dôkazom poškodenia </w:t>
      </w:r>
      <w:r w:rsidR="00E90D6E" w:rsidRPr="009D7C92">
        <w:rPr>
          <w:bCs/>
          <w:iCs/>
          <w:color w:val="auto"/>
        </w:rPr>
        <w:lastRenderedPageBreak/>
        <w:t>koncových</w:t>
      </w:r>
      <w:r w:rsidRPr="009D7C92">
        <w:rPr>
          <w:bCs/>
          <w:iCs/>
          <w:color w:val="auto"/>
        </w:rPr>
        <w:t xml:space="preserve"> orgánov. VA NEPHRON-D bol</w:t>
      </w:r>
      <w:r w:rsidR="005722AA" w:rsidRPr="009D7C92">
        <w:rPr>
          <w:bCs/>
          <w:iCs/>
          <w:color w:val="auto"/>
        </w:rPr>
        <w:t>o</w:t>
      </w:r>
      <w:r w:rsidRPr="009D7C92">
        <w:rPr>
          <w:bCs/>
          <w:iCs/>
          <w:color w:val="auto"/>
        </w:rPr>
        <w:t xml:space="preserve"> </w:t>
      </w:r>
      <w:r w:rsidR="00B8044B" w:rsidRPr="009D7C92">
        <w:rPr>
          <w:bCs/>
          <w:iCs/>
          <w:color w:val="auto"/>
        </w:rPr>
        <w:t>skúšanie</w:t>
      </w:r>
      <w:r w:rsidRPr="009D7C92">
        <w:rPr>
          <w:bCs/>
          <w:iCs/>
          <w:color w:val="auto"/>
        </w:rPr>
        <w:t xml:space="preserve"> u pacientov s diabet</w:t>
      </w:r>
      <w:r w:rsidR="00B8044B" w:rsidRPr="009D7C92">
        <w:rPr>
          <w:bCs/>
          <w:iCs/>
          <w:color w:val="auto"/>
        </w:rPr>
        <w:t>om</w:t>
      </w:r>
      <w:r w:rsidRPr="009D7C92">
        <w:rPr>
          <w:bCs/>
          <w:iCs/>
          <w:color w:val="auto"/>
        </w:rPr>
        <w:t xml:space="preserve"> mellitus 2. typu a diabetickou nefropatiou.</w:t>
      </w:r>
    </w:p>
    <w:p w14:paraId="3974FEB5" w14:textId="5651C93E" w:rsidR="00323CDC" w:rsidRPr="009D7C92" w:rsidRDefault="00323CDC">
      <w:pPr>
        <w:jc w:val="left"/>
        <w:rPr>
          <w:bCs/>
          <w:iCs/>
          <w:color w:val="auto"/>
        </w:rPr>
      </w:pPr>
      <w:r w:rsidRPr="009D7C92">
        <w:rPr>
          <w:bCs/>
          <w:iCs/>
          <w:color w:val="auto"/>
        </w:rPr>
        <w:t xml:space="preserve">Tieto </w:t>
      </w:r>
      <w:r w:rsidR="00B8044B" w:rsidRPr="009D7C92">
        <w:rPr>
          <w:bCs/>
          <w:iCs/>
          <w:color w:val="auto"/>
        </w:rPr>
        <w:t>skúšania</w:t>
      </w:r>
      <w:r w:rsidRPr="009D7C92">
        <w:rPr>
          <w:bCs/>
          <w:iCs/>
          <w:color w:val="auto"/>
        </w:rPr>
        <w:t xml:space="preserve"> nepreukázali signifikantný priaznivý vplyv na renálne a/alebo kardiovaskulárne výsledky a mortalitu, pričom sa pozorovalo zvýšené riziko hyperkaliémie, akútneho poškodenia obličiek a/alebo hypotenzie v porovnaní s monoterapiou. Vzhľadom na podobné farmakodynamické vlastnosti sú tieto výsledky relevantné aj pre iné inhibítory ACE a blokátory receptora angiotenzínu II.</w:t>
      </w:r>
      <w:r w:rsidR="00EA710E" w:rsidRPr="009D7C92">
        <w:rPr>
          <w:bCs/>
          <w:iCs/>
          <w:color w:val="auto"/>
        </w:rPr>
        <w:t xml:space="preserve"> </w:t>
      </w:r>
      <w:r w:rsidRPr="009D7C92">
        <w:rPr>
          <w:bCs/>
          <w:iCs/>
          <w:color w:val="auto"/>
        </w:rPr>
        <w:t>Inhibítory ACE a blokátory receptora angiotenzínu II sa nemajú používať súbežne u pacientov s diabetickou nefropatiou.</w:t>
      </w:r>
    </w:p>
    <w:p w14:paraId="585C32B4" w14:textId="6878A2B5" w:rsidR="00323CDC" w:rsidRPr="009D7C92" w:rsidRDefault="00B8044B">
      <w:pPr>
        <w:jc w:val="left"/>
        <w:rPr>
          <w:bCs/>
          <w:iCs/>
          <w:color w:val="auto"/>
        </w:rPr>
      </w:pPr>
      <w:r w:rsidRPr="009D7C92">
        <w:rPr>
          <w:bCs/>
          <w:iCs/>
          <w:color w:val="auto"/>
        </w:rPr>
        <w:t xml:space="preserve">Skúšanie </w:t>
      </w:r>
      <w:r w:rsidR="00323CDC" w:rsidRPr="009D7C92">
        <w:rPr>
          <w:bCs/>
          <w:iCs/>
          <w:color w:val="auto"/>
        </w:rPr>
        <w:t>ALTITUDE (Aliskiren Trial in Type 2 Diabetes Using Cardiovascular and Renal Disease Endpoints) bol</w:t>
      </w:r>
      <w:r w:rsidRPr="009D7C92">
        <w:rPr>
          <w:bCs/>
          <w:iCs/>
          <w:color w:val="auto"/>
        </w:rPr>
        <w:t>o</w:t>
      </w:r>
      <w:r w:rsidR="00323CDC" w:rsidRPr="009D7C92">
        <w:rPr>
          <w:bCs/>
          <w:iCs/>
          <w:color w:val="auto"/>
        </w:rPr>
        <w:t xml:space="preserve"> zameran</w:t>
      </w:r>
      <w:r w:rsidRPr="009D7C92">
        <w:rPr>
          <w:bCs/>
          <w:iCs/>
          <w:color w:val="auto"/>
        </w:rPr>
        <w:t>é</w:t>
      </w:r>
      <w:r w:rsidR="00323CDC" w:rsidRPr="009D7C92">
        <w:rPr>
          <w:bCs/>
          <w:iCs/>
          <w:color w:val="auto"/>
        </w:rPr>
        <w:t xml:space="preserve"> na testovanie prínosu pridania aliskir</w:t>
      </w:r>
      <w:r w:rsidRPr="009D7C92">
        <w:rPr>
          <w:bCs/>
          <w:iCs/>
          <w:color w:val="auto"/>
        </w:rPr>
        <w:t>é</w:t>
      </w:r>
      <w:r w:rsidR="00323CDC" w:rsidRPr="009D7C92">
        <w:rPr>
          <w:bCs/>
          <w:iCs/>
          <w:color w:val="auto"/>
        </w:rPr>
        <w:t>nu k</w:t>
      </w:r>
      <w:r w:rsidR="00AD7368" w:rsidRPr="009D7C92">
        <w:rPr>
          <w:bCs/>
          <w:iCs/>
          <w:color w:val="auto"/>
        </w:rPr>
        <w:t> </w:t>
      </w:r>
      <w:r w:rsidR="00323CDC" w:rsidRPr="009D7C92">
        <w:rPr>
          <w:bCs/>
          <w:iCs/>
          <w:color w:val="auto"/>
        </w:rPr>
        <w:t>štandardnej</w:t>
      </w:r>
      <w:r w:rsidR="00AD7368" w:rsidRPr="009D7C92">
        <w:rPr>
          <w:bCs/>
          <w:iCs/>
          <w:color w:val="auto"/>
        </w:rPr>
        <w:t xml:space="preserve"> </w:t>
      </w:r>
      <w:r w:rsidRPr="009D7C92">
        <w:rPr>
          <w:bCs/>
          <w:iCs/>
          <w:color w:val="auto"/>
        </w:rPr>
        <w:t>liečbe</w:t>
      </w:r>
      <w:r w:rsidR="00323CDC" w:rsidRPr="009D7C92">
        <w:rPr>
          <w:bCs/>
          <w:iCs/>
          <w:color w:val="auto"/>
        </w:rPr>
        <w:t xml:space="preserve"> inhibítor</w:t>
      </w:r>
      <w:r w:rsidRPr="009D7C92">
        <w:rPr>
          <w:bCs/>
          <w:iCs/>
          <w:color w:val="auto"/>
        </w:rPr>
        <w:t>om ACE</w:t>
      </w:r>
      <w:r w:rsidR="00323CDC" w:rsidRPr="009D7C92">
        <w:rPr>
          <w:bCs/>
          <w:iCs/>
          <w:color w:val="auto"/>
        </w:rPr>
        <w:t xml:space="preserve"> alebo blokátor</w:t>
      </w:r>
      <w:r w:rsidRPr="009D7C92">
        <w:rPr>
          <w:bCs/>
          <w:iCs/>
          <w:color w:val="auto"/>
        </w:rPr>
        <w:t>om</w:t>
      </w:r>
      <w:r w:rsidR="00323CDC" w:rsidRPr="009D7C92">
        <w:rPr>
          <w:bCs/>
          <w:iCs/>
          <w:color w:val="auto"/>
        </w:rPr>
        <w:t xml:space="preserve"> receptora angiotenzínu II u pacientov s diabet</w:t>
      </w:r>
      <w:r w:rsidR="00334690" w:rsidRPr="009D7C92">
        <w:rPr>
          <w:bCs/>
          <w:iCs/>
          <w:color w:val="auto"/>
        </w:rPr>
        <w:t>om</w:t>
      </w:r>
      <w:r w:rsidR="00323CDC" w:rsidRPr="009D7C92">
        <w:rPr>
          <w:bCs/>
          <w:iCs/>
          <w:color w:val="auto"/>
        </w:rPr>
        <w:t xml:space="preserve"> mellitus 2. typu a</w:t>
      </w:r>
      <w:r w:rsidR="00334690" w:rsidRPr="009D7C92">
        <w:rPr>
          <w:bCs/>
          <w:iCs/>
          <w:color w:val="auto"/>
        </w:rPr>
        <w:t> </w:t>
      </w:r>
      <w:r w:rsidR="00323CDC" w:rsidRPr="009D7C92">
        <w:rPr>
          <w:bCs/>
          <w:iCs/>
          <w:color w:val="auto"/>
        </w:rPr>
        <w:t>s</w:t>
      </w:r>
      <w:r w:rsidR="00334690" w:rsidRPr="009D7C92">
        <w:rPr>
          <w:bCs/>
          <w:iCs/>
          <w:color w:val="auto"/>
        </w:rPr>
        <w:t xml:space="preserve"> chronickým </w:t>
      </w:r>
      <w:r w:rsidR="00323CDC" w:rsidRPr="009D7C92">
        <w:rPr>
          <w:bCs/>
          <w:iCs/>
          <w:color w:val="auto"/>
        </w:rPr>
        <w:t xml:space="preserve">ochorením obličiek, kardiovaskulárnym ochorením alebo oboma. Štúdia bola ukončená predčasne kvôli zvýšenému riziku nežiaducich účinkov. Kardiovaskulárna smrť a cievna mozgová príhoda boli v skupine </w:t>
      </w:r>
      <w:r w:rsidR="00334690" w:rsidRPr="009D7C92">
        <w:rPr>
          <w:bCs/>
          <w:iCs/>
          <w:color w:val="auto"/>
        </w:rPr>
        <w:t>s </w:t>
      </w:r>
      <w:r w:rsidR="00323CDC" w:rsidRPr="009D7C92">
        <w:rPr>
          <w:bCs/>
          <w:iCs/>
          <w:color w:val="auto"/>
        </w:rPr>
        <w:t>aliskir</w:t>
      </w:r>
      <w:r w:rsidR="00334690" w:rsidRPr="009D7C92">
        <w:rPr>
          <w:bCs/>
          <w:iCs/>
          <w:color w:val="auto"/>
        </w:rPr>
        <w:t>é</w:t>
      </w:r>
      <w:r w:rsidR="00323CDC" w:rsidRPr="009D7C92">
        <w:rPr>
          <w:bCs/>
          <w:iCs/>
          <w:color w:val="auto"/>
        </w:rPr>
        <w:t>n</w:t>
      </w:r>
      <w:r w:rsidR="00334690" w:rsidRPr="009D7C92">
        <w:rPr>
          <w:bCs/>
          <w:iCs/>
          <w:color w:val="auto"/>
        </w:rPr>
        <w:t>om</w:t>
      </w:r>
      <w:r w:rsidR="00323CDC" w:rsidRPr="009D7C92">
        <w:rPr>
          <w:bCs/>
          <w:iCs/>
          <w:color w:val="auto"/>
        </w:rPr>
        <w:t xml:space="preserve"> numericky častejšie ako v skupine s placebom a nežiaduce udalosti a závažné nežiaduce účinky (hyperkaliémia, hypotenzia a dysfunkcia obličiek) boli častejšie hlásené v skupine s aliskir</w:t>
      </w:r>
      <w:r w:rsidR="00334690" w:rsidRPr="009D7C92">
        <w:rPr>
          <w:bCs/>
          <w:iCs/>
          <w:color w:val="auto"/>
        </w:rPr>
        <w:t>é</w:t>
      </w:r>
      <w:r w:rsidR="00323CDC" w:rsidRPr="009D7C92">
        <w:rPr>
          <w:bCs/>
          <w:iCs/>
          <w:color w:val="auto"/>
        </w:rPr>
        <w:t>nom ako v skupine s placebom.</w:t>
      </w:r>
    </w:p>
    <w:p w14:paraId="64121222" w14:textId="77777777" w:rsidR="00323CDC" w:rsidRPr="009D7C92" w:rsidRDefault="00323CDC">
      <w:pPr>
        <w:jc w:val="left"/>
        <w:rPr>
          <w:color w:val="auto"/>
        </w:rPr>
      </w:pPr>
    </w:p>
    <w:p w14:paraId="59812BA2" w14:textId="3843EE71" w:rsidR="00EB25B2" w:rsidRDefault="00323CDC" w:rsidP="00243692">
      <w:pPr>
        <w:jc w:val="left"/>
        <w:rPr>
          <w:b/>
          <w:color w:val="auto"/>
        </w:rPr>
      </w:pPr>
      <w:r w:rsidRPr="009D7C92">
        <w:rPr>
          <w:b/>
          <w:color w:val="auto"/>
        </w:rPr>
        <w:t>Mechanizmus účinku amlodipínu</w:t>
      </w:r>
    </w:p>
    <w:p w14:paraId="34B5A225" w14:textId="211F4350" w:rsidR="00EB25B2" w:rsidRDefault="00323CDC" w:rsidP="00EE703D">
      <w:pPr>
        <w:jc w:val="left"/>
        <w:rPr>
          <w:color w:val="auto"/>
        </w:rPr>
      </w:pPr>
      <w:r w:rsidRPr="009D7C92">
        <w:rPr>
          <w:color w:val="auto"/>
        </w:rPr>
        <w:t xml:space="preserve">Amlodipín je inhibítor </w:t>
      </w:r>
      <w:r w:rsidR="00404B9C" w:rsidRPr="009D7C92">
        <w:rPr>
          <w:color w:val="auto"/>
        </w:rPr>
        <w:t>vstupu</w:t>
      </w:r>
      <w:r w:rsidRPr="009D7C92">
        <w:rPr>
          <w:color w:val="auto"/>
        </w:rPr>
        <w:t xml:space="preserve"> vápnikových iónov </w:t>
      </w:r>
      <w:r w:rsidR="00404B9C" w:rsidRPr="009D7C92">
        <w:rPr>
          <w:color w:val="auto"/>
        </w:rPr>
        <w:t xml:space="preserve">zo </w:t>
      </w:r>
      <w:r w:rsidRPr="009D7C92">
        <w:rPr>
          <w:color w:val="auto"/>
        </w:rPr>
        <w:t>skupiny dihydropyridín</w:t>
      </w:r>
      <w:r w:rsidR="00404B9C" w:rsidRPr="009D7C92">
        <w:rPr>
          <w:color w:val="auto"/>
        </w:rPr>
        <w:t>ov</w:t>
      </w:r>
      <w:r w:rsidRPr="009D7C92">
        <w:rPr>
          <w:color w:val="auto"/>
        </w:rPr>
        <w:t xml:space="preserve"> (blokátor pomalého kanála alebo antagonista iónov vápnika) a inhibuje transmembránový </w:t>
      </w:r>
      <w:r w:rsidR="00404B9C" w:rsidRPr="009D7C92">
        <w:rPr>
          <w:color w:val="auto"/>
        </w:rPr>
        <w:t>vstup</w:t>
      </w:r>
      <w:r w:rsidRPr="009D7C92">
        <w:rPr>
          <w:color w:val="auto"/>
        </w:rPr>
        <w:t xml:space="preserve"> iónov vápnika do hladkého svalstva srdca a ciev.</w:t>
      </w:r>
    </w:p>
    <w:p w14:paraId="015168FE" w14:textId="47661ADF" w:rsidR="00EB25B2" w:rsidRDefault="00323CDC" w:rsidP="00211D25">
      <w:pPr>
        <w:jc w:val="left"/>
        <w:rPr>
          <w:color w:val="auto"/>
        </w:rPr>
      </w:pPr>
      <w:r w:rsidRPr="009D7C92">
        <w:rPr>
          <w:color w:val="auto"/>
        </w:rPr>
        <w:t>Mechanizmus antihypertenzívneho účinku amlodipínu je spôsobený priamym relaxačným účinkom na hladké svalstvo ciev. Presný mechanizmus, ktorým amlodipín zmierňuje angínu pe</w:t>
      </w:r>
      <w:r w:rsidR="00404B9C" w:rsidRPr="009D7C92">
        <w:rPr>
          <w:color w:val="auto"/>
        </w:rPr>
        <w:t>k</w:t>
      </w:r>
      <w:r w:rsidRPr="009D7C92">
        <w:rPr>
          <w:color w:val="auto"/>
        </w:rPr>
        <w:t xml:space="preserve">toris, nebol úplne </w:t>
      </w:r>
      <w:r w:rsidR="005722AA" w:rsidRPr="009D7C92">
        <w:rPr>
          <w:color w:val="auto"/>
        </w:rPr>
        <w:t>zistený</w:t>
      </w:r>
      <w:r w:rsidRPr="009D7C92">
        <w:rPr>
          <w:color w:val="auto"/>
        </w:rPr>
        <w:t>, ale amlodipín znižuje celkovú ischemickú záťaž nasledujúcimi dvomi účinkami:</w:t>
      </w:r>
    </w:p>
    <w:p w14:paraId="161180E5" w14:textId="1E63D2EF" w:rsidR="00323CDC" w:rsidRPr="009D7C92" w:rsidRDefault="00323CDC" w:rsidP="00F87817">
      <w:pPr>
        <w:jc w:val="left"/>
        <w:rPr>
          <w:color w:val="auto"/>
        </w:rPr>
      </w:pPr>
    </w:p>
    <w:p w14:paraId="404A95E8" w14:textId="3321A971" w:rsidR="00EB25B2" w:rsidRDefault="00323CDC" w:rsidP="00F87817">
      <w:pPr>
        <w:numPr>
          <w:ilvl w:val="0"/>
          <w:numId w:val="15"/>
        </w:numPr>
        <w:ind w:left="426" w:hanging="426"/>
        <w:jc w:val="left"/>
        <w:rPr>
          <w:color w:val="auto"/>
        </w:rPr>
      </w:pPr>
      <w:r w:rsidRPr="009D7C92">
        <w:rPr>
          <w:color w:val="auto"/>
        </w:rPr>
        <w:t>Amlodipín dilatuje periférne arterioly</w:t>
      </w:r>
      <w:r w:rsidR="00404B9C" w:rsidRPr="009D7C92">
        <w:rPr>
          <w:color w:val="auto"/>
        </w:rPr>
        <w:t>,</w:t>
      </w:r>
      <w:r w:rsidRPr="009D7C92">
        <w:rPr>
          <w:color w:val="auto"/>
        </w:rPr>
        <w:t xml:space="preserve"> a tým znižuje celkovú periférnu rezistenciu (afterload), proti ktorej srdce </w:t>
      </w:r>
      <w:r w:rsidR="00404B9C" w:rsidRPr="009D7C92">
        <w:rPr>
          <w:color w:val="auto"/>
        </w:rPr>
        <w:t>pumpuje</w:t>
      </w:r>
      <w:r w:rsidRPr="009D7C92">
        <w:rPr>
          <w:color w:val="auto"/>
        </w:rPr>
        <w:t xml:space="preserve">. Keďže srdcová frekvencia zostáva stabilná, toto </w:t>
      </w:r>
      <w:r w:rsidR="00033CFD" w:rsidRPr="009D7C92">
        <w:rPr>
          <w:color w:val="auto"/>
        </w:rPr>
        <w:t xml:space="preserve">uvoľnenie (unloading) </w:t>
      </w:r>
      <w:r w:rsidRPr="009D7C92">
        <w:rPr>
          <w:color w:val="auto"/>
        </w:rPr>
        <w:t>srdca znižuje spotrebu energie myokardu a požiadavky na kyslík.</w:t>
      </w:r>
    </w:p>
    <w:p w14:paraId="41917359" w14:textId="2D6E1205" w:rsidR="00EB25B2" w:rsidRDefault="00323CDC">
      <w:pPr>
        <w:numPr>
          <w:ilvl w:val="0"/>
          <w:numId w:val="15"/>
        </w:numPr>
        <w:ind w:left="426" w:hanging="426"/>
        <w:jc w:val="left"/>
        <w:rPr>
          <w:color w:val="auto"/>
        </w:rPr>
      </w:pPr>
      <w:r w:rsidRPr="009D7C92">
        <w:rPr>
          <w:color w:val="auto"/>
        </w:rPr>
        <w:t xml:space="preserve">Mechanizmus účinku amlodipínu tiež pravdepodobne zahŕňa dilatáciu hlavných koronárnych artérií a koronárnych arteriol v </w:t>
      </w:r>
      <w:r w:rsidR="004752B7" w:rsidRPr="009D7C92">
        <w:rPr>
          <w:color w:val="auto"/>
        </w:rPr>
        <w:t>zdravých</w:t>
      </w:r>
      <w:r w:rsidRPr="009D7C92">
        <w:rPr>
          <w:color w:val="auto"/>
        </w:rPr>
        <w:t xml:space="preserve">, </w:t>
      </w:r>
      <w:r w:rsidR="004752B7" w:rsidRPr="009D7C92">
        <w:rPr>
          <w:color w:val="auto"/>
        </w:rPr>
        <w:t>aj</w:t>
      </w:r>
      <w:r w:rsidRPr="009D7C92">
        <w:rPr>
          <w:color w:val="auto"/>
        </w:rPr>
        <w:t xml:space="preserve"> v ischemických oblastiach. Táto dilatácia zvyšuje prívod kyslíka </w:t>
      </w:r>
      <w:r w:rsidR="00404B9C" w:rsidRPr="009D7C92">
        <w:rPr>
          <w:color w:val="auto"/>
        </w:rPr>
        <w:t xml:space="preserve">do </w:t>
      </w:r>
      <w:r w:rsidRPr="009D7C92">
        <w:rPr>
          <w:color w:val="auto"/>
        </w:rPr>
        <w:t>myokardu u pacientov so spazm</w:t>
      </w:r>
      <w:r w:rsidR="00404B9C" w:rsidRPr="009D7C92">
        <w:rPr>
          <w:color w:val="auto"/>
        </w:rPr>
        <w:t>ami</w:t>
      </w:r>
      <w:r w:rsidRPr="009D7C92">
        <w:rPr>
          <w:color w:val="auto"/>
        </w:rPr>
        <w:t xml:space="preserve"> koronárnych artérií (Prinzmetalova alebo variantná angína).</w:t>
      </w:r>
    </w:p>
    <w:p w14:paraId="000DAD74" w14:textId="72B6059B" w:rsidR="00EB25B2" w:rsidRDefault="00323CDC">
      <w:pPr>
        <w:jc w:val="left"/>
        <w:rPr>
          <w:color w:val="auto"/>
        </w:rPr>
      </w:pPr>
      <w:r w:rsidRPr="009D7C92">
        <w:rPr>
          <w:color w:val="auto"/>
        </w:rPr>
        <w:t xml:space="preserve">U pacientov s hypertenziou zabezpečuje dávkovanie </w:t>
      </w:r>
      <w:r w:rsidR="0065733E" w:rsidRPr="009D7C92">
        <w:rPr>
          <w:color w:val="auto"/>
        </w:rPr>
        <w:t>jedenkrát</w:t>
      </w:r>
      <w:r w:rsidRPr="009D7C92">
        <w:rPr>
          <w:color w:val="auto"/>
        </w:rPr>
        <w:t xml:space="preserve"> denne klinicky významné zníženie krvného tlaku v polohe </w:t>
      </w:r>
      <w:r w:rsidR="004752B7" w:rsidRPr="009D7C92">
        <w:rPr>
          <w:color w:val="auto"/>
        </w:rPr>
        <w:t>ležmo</w:t>
      </w:r>
      <w:r w:rsidRPr="009D7C92">
        <w:rPr>
          <w:color w:val="auto"/>
        </w:rPr>
        <w:t xml:space="preserve"> aj v stoji počas 24 hodinového intervalu.</w:t>
      </w:r>
      <w:r w:rsidRPr="009D7C92">
        <w:rPr>
          <w:color w:val="auto"/>
        </w:rPr>
        <w:cr/>
      </w:r>
      <w:r w:rsidRPr="009D7C92">
        <w:rPr>
          <w:color w:val="auto"/>
        </w:rPr>
        <w:br/>
        <w:t xml:space="preserve">V dôsledku pomalého nástupu účinku nie je akútna hypotenzia </w:t>
      </w:r>
      <w:r w:rsidR="004752B7" w:rsidRPr="009D7C92">
        <w:rPr>
          <w:color w:val="auto"/>
        </w:rPr>
        <w:t>prejavom</w:t>
      </w:r>
      <w:r w:rsidRPr="009D7C92">
        <w:rPr>
          <w:color w:val="auto"/>
        </w:rPr>
        <w:t xml:space="preserve"> podávania amlodipínu.</w:t>
      </w:r>
    </w:p>
    <w:p w14:paraId="245521AD" w14:textId="4C020990" w:rsidR="00EB25B2" w:rsidRDefault="00323CDC">
      <w:pPr>
        <w:jc w:val="left"/>
        <w:rPr>
          <w:color w:val="auto"/>
        </w:rPr>
      </w:pPr>
      <w:r w:rsidRPr="009D7C92">
        <w:rPr>
          <w:color w:val="auto"/>
        </w:rPr>
        <w:t>U pacientov s ang</w:t>
      </w:r>
      <w:r w:rsidR="004752B7" w:rsidRPr="009D7C92">
        <w:rPr>
          <w:color w:val="auto"/>
        </w:rPr>
        <w:t>í</w:t>
      </w:r>
      <w:r w:rsidRPr="009D7C92">
        <w:rPr>
          <w:color w:val="auto"/>
        </w:rPr>
        <w:t>nou pe</w:t>
      </w:r>
      <w:r w:rsidR="004752B7" w:rsidRPr="009D7C92">
        <w:rPr>
          <w:color w:val="auto"/>
        </w:rPr>
        <w:t>k</w:t>
      </w:r>
      <w:r w:rsidRPr="009D7C92">
        <w:rPr>
          <w:color w:val="auto"/>
        </w:rPr>
        <w:t xml:space="preserve">toris </w:t>
      </w:r>
      <w:r w:rsidR="005722AA" w:rsidRPr="009D7C92">
        <w:rPr>
          <w:color w:val="auto"/>
        </w:rPr>
        <w:t xml:space="preserve">podávanie </w:t>
      </w:r>
      <w:r w:rsidRPr="009D7C92">
        <w:rPr>
          <w:color w:val="auto"/>
        </w:rPr>
        <w:t>amlodipín</w:t>
      </w:r>
      <w:r w:rsidR="005722AA" w:rsidRPr="009D7C92">
        <w:rPr>
          <w:color w:val="auto"/>
        </w:rPr>
        <w:t>u</w:t>
      </w:r>
      <w:r w:rsidRPr="009D7C92">
        <w:rPr>
          <w:color w:val="auto"/>
        </w:rPr>
        <w:t xml:space="preserve"> </w:t>
      </w:r>
      <w:r w:rsidR="0065733E" w:rsidRPr="009D7C92">
        <w:rPr>
          <w:color w:val="auto"/>
        </w:rPr>
        <w:t>jedenkrát</w:t>
      </w:r>
      <w:r w:rsidRPr="009D7C92">
        <w:rPr>
          <w:color w:val="auto"/>
        </w:rPr>
        <w:t xml:space="preserve"> denne zvyšuje celkový čas </w:t>
      </w:r>
      <w:r w:rsidR="004752B7" w:rsidRPr="009D7C92">
        <w:rPr>
          <w:color w:val="auto"/>
        </w:rPr>
        <w:t>fyzickej záťaže</w:t>
      </w:r>
      <w:r w:rsidRPr="009D7C92">
        <w:rPr>
          <w:color w:val="auto"/>
        </w:rPr>
        <w:t>, čas do nástupu angíny a čas do 1 mm depresie segmentu ST a znižuje frekvenciu záchvatu angíny a spotrebu tabliet glycer</w:t>
      </w:r>
      <w:r w:rsidR="004752B7" w:rsidRPr="009D7C92">
        <w:rPr>
          <w:color w:val="auto"/>
        </w:rPr>
        <w:t>ol</w:t>
      </w:r>
      <w:r w:rsidRPr="009D7C92">
        <w:rPr>
          <w:color w:val="auto"/>
        </w:rPr>
        <w:t>trinitrátu.</w:t>
      </w:r>
    </w:p>
    <w:p w14:paraId="34687B91" w14:textId="0535B5B4" w:rsidR="00EB25B2" w:rsidRDefault="00323CDC">
      <w:pPr>
        <w:jc w:val="left"/>
        <w:rPr>
          <w:color w:val="auto"/>
        </w:rPr>
      </w:pPr>
      <w:r w:rsidRPr="009D7C92">
        <w:rPr>
          <w:color w:val="auto"/>
        </w:rPr>
        <w:t>Amlodipín sa nespája so žiadnymi nepriaznivými metabolickými účinkami alebo zmenami v plazmatických lipidoch a je vhodný na použitie u pacientov s astmou, cukrovkou a dnou.</w:t>
      </w:r>
    </w:p>
    <w:p w14:paraId="7FDC2CCE" w14:textId="3986A4DE" w:rsidR="00323CDC" w:rsidRPr="009D7C92" w:rsidRDefault="00323CDC">
      <w:pPr>
        <w:jc w:val="left"/>
        <w:rPr>
          <w:color w:val="auto"/>
        </w:rPr>
      </w:pPr>
    </w:p>
    <w:p w14:paraId="228C1E26" w14:textId="78886C71" w:rsidR="00EB25B2" w:rsidRDefault="00323CDC" w:rsidP="00243692">
      <w:pPr>
        <w:jc w:val="left"/>
        <w:rPr>
          <w:b/>
          <w:color w:val="auto"/>
        </w:rPr>
      </w:pPr>
      <w:r w:rsidRPr="009D7C92">
        <w:rPr>
          <w:b/>
          <w:color w:val="auto"/>
        </w:rPr>
        <w:t>Mechanizmus účinku hydrochlorotiazidu</w:t>
      </w:r>
    </w:p>
    <w:p w14:paraId="43C305BD" w14:textId="25E346D7" w:rsidR="00323CDC" w:rsidRPr="009D7C92" w:rsidRDefault="00323CDC" w:rsidP="00EE703D">
      <w:pPr>
        <w:jc w:val="left"/>
        <w:rPr>
          <w:color w:val="auto"/>
        </w:rPr>
      </w:pPr>
      <w:r w:rsidRPr="009D7C92">
        <w:rPr>
          <w:color w:val="auto"/>
        </w:rPr>
        <w:t>Hydrochlorotiazid je tiazidové diuretikum. Mechanizmus antihypertenz</w:t>
      </w:r>
      <w:r w:rsidR="000421D5" w:rsidRPr="009D7C92">
        <w:rPr>
          <w:color w:val="auto"/>
        </w:rPr>
        <w:t>ív</w:t>
      </w:r>
      <w:r w:rsidRPr="009D7C92">
        <w:rPr>
          <w:color w:val="auto"/>
        </w:rPr>
        <w:t>n</w:t>
      </w:r>
      <w:r w:rsidR="000421D5" w:rsidRPr="009D7C92">
        <w:rPr>
          <w:color w:val="auto"/>
        </w:rPr>
        <w:t>e</w:t>
      </w:r>
      <w:r w:rsidRPr="009D7C92">
        <w:rPr>
          <w:color w:val="auto"/>
        </w:rPr>
        <w:t>ho účinku tiazidových diuretík nie je úplne známy. Inhibuje reabsorpciu sodíka a chloridov v distálnom tubule, čo vedie k vylučovaniu približne 15% glomerulárne filtrovaného sodíka a podobne chlorid</w:t>
      </w:r>
      <w:r w:rsidR="000421D5" w:rsidRPr="009D7C92">
        <w:rPr>
          <w:color w:val="auto"/>
        </w:rPr>
        <w:t>ov</w:t>
      </w:r>
      <w:r w:rsidRPr="009D7C92">
        <w:rPr>
          <w:color w:val="auto"/>
        </w:rPr>
        <w:t xml:space="preserve">. Zvýšené vylučovanie týchto iónov obličkami je sprevádzané zvýšeným vylučovaním moču (v dôsledku osmotického viazania vody). </w:t>
      </w:r>
      <w:r w:rsidR="000421D5" w:rsidRPr="009D7C92">
        <w:rPr>
          <w:color w:val="auto"/>
        </w:rPr>
        <w:t>Dochádza k z</w:t>
      </w:r>
      <w:r w:rsidRPr="009D7C92">
        <w:rPr>
          <w:color w:val="auto"/>
        </w:rPr>
        <w:t>výšeni</w:t>
      </w:r>
      <w:r w:rsidR="000421D5" w:rsidRPr="009D7C92">
        <w:rPr>
          <w:color w:val="auto"/>
        </w:rPr>
        <w:t>u</w:t>
      </w:r>
      <w:r w:rsidRPr="009D7C92">
        <w:rPr>
          <w:color w:val="auto"/>
        </w:rPr>
        <w:t xml:space="preserve"> vylučovania draslíka a horčíka, zníženi</w:t>
      </w:r>
      <w:r w:rsidR="000421D5" w:rsidRPr="009D7C92">
        <w:rPr>
          <w:color w:val="auto"/>
        </w:rPr>
        <w:t>u</w:t>
      </w:r>
      <w:r w:rsidRPr="009D7C92">
        <w:rPr>
          <w:color w:val="auto"/>
        </w:rPr>
        <w:t xml:space="preserve"> vylučovania kyseliny močovej. Vysoké dávky hydrochlorotiazidu môžu zvýšiť vylučovanie bikarbonátu v dôsledku inhibície karboanhydratázy, čo má za následok zásadité pH moču. Acidóza alebo alkalóza nemajú významný vplyv na saluretické a diuretické účinky hydrochlorotiazidu. Rýchlosť glomerulárnej filtrácie sa na začiatku </w:t>
      </w:r>
      <w:r w:rsidR="000B18A3" w:rsidRPr="009D7C92">
        <w:rPr>
          <w:color w:val="auto"/>
        </w:rPr>
        <w:t xml:space="preserve">liečby </w:t>
      </w:r>
      <w:r w:rsidRPr="009D7C92">
        <w:rPr>
          <w:color w:val="auto"/>
        </w:rPr>
        <w:t>zníži na minimálnu mieru. Počas dlhodobej liečby hydrochlorotiazidom sa znižuje renálne vylučovanie vápnika. Tento mechanizmus môže viesť k hyperkalc</w:t>
      </w:r>
      <w:r w:rsidR="000B18A3" w:rsidRPr="009D7C92">
        <w:rPr>
          <w:color w:val="auto"/>
        </w:rPr>
        <w:t>i</w:t>
      </w:r>
      <w:r w:rsidRPr="009D7C92">
        <w:rPr>
          <w:color w:val="auto"/>
        </w:rPr>
        <w:t>émii.</w:t>
      </w:r>
    </w:p>
    <w:p w14:paraId="2BBFFF13" w14:textId="24B511C8" w:rsidR="00323CDC" w:rsidRPr="00DB566D" w:rsidRDefault="00323CDC" w:rsidP="00211D25">
      <w:pPr>
        <w:jc w:val="left"/>
        <w:rPr>
          <w:color w:val="auto"/>
        </w:rPr>
      </w:pPr>
      <w:r w:rsidRPr="009D7C92">
        <w:rPr>
          <w:color w:val="auto"/>
        </w:rPr>
        <w:lastRenderedPageBreak/>
        <w:t xml:space="preserve">Možnými mechanizmami </w:t>
      </w:r>
      <w:r w:rsidRPr="00DB566D">
        <w:rPr>
          <w:color w:val="auto"/>
        </w:rPr>
        <w:t>antihypertenzívneho účinku hydrochlorotiazidu by mohli byť: modifikovaná sodíková bilancia, zníženie objemu extracelulárnej vody a plazmy, zmena rezistencie obličkových ciev, ako aj znížená odpoveď na nor</w:t>
      </w:r>
      <w:r w:rsidR="00EC3A0C" w:rsidRPr="00DB566D">
        <w:rPr>
          <w:color w:val="auto"/>
        </w:rPr>
        <w:t>adrenalín</w:t>
      </w:r>
      <w:r w:rsidRPr="00DB566D">
        <w:rPr>
          <w:color w:val="auto"/>
        </w:rPr>
        <w:t xml:space="preserve"> a angiotenzín II. </w:t>
      </w:r>
      <w:r w:rsidR="000B18A3" w:rsidRPr="00DB566D">
        <w:rPr>
          <w:color w:val="auto"/>
        </w:rPr>
        <w:t>D</w:t>
      </w:r>
      <w:r w:rsidRPr="00DB566D">
        <w:rPr>
          <w:color w:val="auto"/>
        </w:rPr>
        <w:t xml:space="preserve">iskutuje </w:t>
      </w:r>
      <w:r w:rsidR="000B18A3" w:rsidRPr="00DB566D">
        <w:rPr>
          <w:color w:val="auto"/>
        </w:rPr>
        <w:t xml:space="preserve">sa </w:t>
      </w:r>
      <w:r w:rsidR="009B291B" w:rsidRPr="00DB566D">
        <w:rPr>
          <w:color w:val="auto"/>
        </w:rPr>
        <w:t>aj</w:t>
      </w:r>
      <w:r w:rsidR="000B18A3" w:rsidRPr="00DB566D">
        <w:rPr>
          <w:color w:val="auto"/>
        </w:rPr>
        <w:t xml:space="preserve"> </w:t>
      </w:r>
      <w:r w:rsidRPr="00DB566D">
        <w:rPr>
          <w:color w:val="auto"/>
        </w:rPr>
        <w:t>o znížení rezistencie periférnych krvných ciev, pravdepodobne v dôsledku zníženia koncentrácie sodíka v stenách krvných ciev, čo má za následok zníženú citlivo</w:t>
      </w:r>
      <w:r w:rsidR="00EC3A0C" w:rsidRPr="00DB566D">
        <w:rPr>
          <w:color w:val="auto"/>
        </w:rPr>
        <w:t xml:space="preserve">sť </w:t>
      </w:r>
      <w:r w:rsidRPr="00DB566D">
        <w:rPr>
          <w:color w:val="auto"/>
        </w:rPr>
        <w:t>ciev</w:t>
      </w:r>
      <w:r w:rsidR="000B18A3" w:rsidRPr="00DB566D">
        <w:rPr>
          <w:color w:val="auto"/>
        </w:rPr>
        <w:t>nej steny</w:t>
      </w:r>
      <w:r w:rsidRPr="00DB566D">
        <w:rPr>
          <w:color w:val="auto"/>
        </w:rPr>
        <w:t xml:space="preserve"> na nor</w:t>
      </w:r>
      <w:r w:rsidR="00EC3A0C" w:rsidRPr="00DB566D">
        <w:rPr>
          <w:color w:val="auto"/>
        </w:rPr>
        <w:t>adrenalín</w:t>
      </w:r>
      <w:r w:rsidRPr="00DB566D">
        <w:rPr>
          <w:color w:val="auto"/>
        </w:rPr>
        <w:t>.</w:t>
      </w:r>
    </w:p>
    <w:p w14:paraId="7FA94674" w14:textId="77777777" w:rsidR="00323CDC" w:rsidRPr="00DB566D" w:rsidRDefault="00323CDC" w:rsidP="00CC4DF3">
      <w:pPr>
        <w:jc w:val="left"/>
        <w:rPr>
          <w:color w:val="auto"/>
        </w:rPr>
      </w:pPr>
    </w:p>
    <w:p w14:paraId="1C00C615" w14:textId="5177DA55" w:rsidR="000A4B22" w:rsidRPr="009D7C92" w:rsidRDefault="000A4B22" w:rsidP="00F87817">
      <w:pPr>
        <w:jc w:val="left"/>
        <w:rPr>
          <w:color w:val="auto"/>
        </w:rPr>
      </w:pPr>
      <w:r w:rsidRPr="00DB566D">
        <w:rPr>
          <w:color w:val="auto"/>
        </w:rPr>
        <w:t>Nemelanómová rakovina kože: Na základe dostupných údajov z epidemiologických štúdií bol pozorovaný vzťah medzi HCTZ a</w:t>
      </w:r>
      <w:r w:rsidR="00AA4AB5" w:rsidRPr="00DB566D">
        <w:rPr>
          <w:color w:val="auto"/>
        </w:rPr>
        <w:t xml:space="preserve"> výskytom </w:t>
      </w:r>
      <w:r w:rsidRPr="00DB566D">
        <w:rPr>
          <w:color w:val="auto"/>
        </w:rPr>
        <w:t>NMSC</w:t>
      </w:r>
      <w:r w:rsidR="00BB129F" w:rsidRPr="00DB566D">
        <w:rPr>
          <w:color w:val="auto"/>
        </w:rPr>
        <w:t xml:space="preserve"> v závislosti od kumulatívnej dávky</w:t>
      </w:r>
      <w:r w:rsidR="000B18A3" w:rsidRPr="00DB566D">
        <w:rPr>
          <w:color w:val="auto"/>
        </w:rPr>
        <w:t>.</w:t>
      </w:r>
      <w:r w:rsidRPr="00DB566D">
        <w:rPr>
          <w:color w:val="auto"/>
        </w:rPr>
        <w:t xml:space="preserve"> Jedna štúdia zahŕňala populáciu pozostávajúcu zo 71 533 prípadov BCC a 8 629 prípadov SCC zodpovedajúcich</w:t>
      </w:r>
      <w:r w:rsidRPr="009D7C92">
        <w:rPr>
          <w:color w:val="auto"/>
        </w:rPr>
        <w:t xml:space="preserve"> 1 430 833 a 172 462 </w:t>
      </w:r>
      <w:r w:rsidR="00AA4AB5" w:rsidRPr="009D7C92">
        <w:rPr>
          <w:color w:val="auto"/>
        </w:rPr>
        <w:t>kontrolám v</w:t>
      </w:r>
      <w:r w:rsidRPr="009D7C92">
        <w:rPr>
          <w:color w:val="auto"/>
        </w:rPr>
        <w:t xml:space="preserve"> populáci</w:t>
      </w:r>
      <w:r w:rsidR="007E6617" w:rsidRPr="009D7C92">
        <w:rPr>
          <w:color w:val="auto"/>
        </w:rPr>
        <w:t>i</w:t>
      </w:r>
      <w:r w:rsidRPr="009D7C92">
        <w:rPr>
          <w:color w:val="auto"/>
        </w:rPr>
        <w:t xml:space="preserve">. </w:t>
      </w:r>
      <w:r w:rsidR="00AA4AB5" w:rsidRPr="009D7C92">
        <w:rPr>
          <w:color w:val="auto"/>
        </w:rPr>
        <w:t>Užívanie vysokých dávok</w:t>
      </w:r>
      <w:r w:rsidRPr="009D7C92">
        <w:rPr>
          <w:color w:val="auto"/>
        </w:rPr>
        <w:t xml:space="preserve"> HCTZ (≥ 50 000 mg kumulatívn</w:t>
      </w:r>
      <w:r w:rsidR="00AA4AB5" w:rsidRPr="009D7C92">
        <w:rPr>
          <w:color w:val="auto"/>
        </w:rPr>
        <w:t>ych</w:t>
      </w:r>
      <w:r w:rsidRPr="009D7C92">
        <w:rPr>
          <w:color w:val="auto"/>
        </w:rPr>
        <w:t>) bol</w:t>
      </w:r>
      <w:r w:rsidR="00AA4AB5" w:rsidRPr="009D7C92">
        <w:rPr>
          <w:color w:val="auto"/>
        </w:rPr>
        <w:t>o</w:t>
      </w:r>
      <w:r w:rsidRPr="009D7C92">
        <w:rPr>
          <w:color w:val="auto"/>
        </w:rPr>
        <w:t xml:space="preserve"> spojen</w:t>
      </w:r>
      <w:r w:rsidR="00AA4AB5" w:rsidRPr="009D7C92">
        <w:rPr>
          <w:color w:val="auto"/>
        </w:rPr>
        <w:t>é</w:t>
      </w:r>
      <w:r w:rsidRPr="009D7C92">
        <w:rPr>
          <w:color w:val="auto"/>
        </w:rPr>
        <w:t xml:space="preserve"> s</w:t>
      </w:r>
      <w:r w:rsidR="00AA4AB5" w:rsidRPr="009D7C92">
        <w:rPr>
          <w:color w:val="auto"/>
        </w:rPr>
        <w:t> korigovanou mierou pravdepodobnosti</w:t>
      </w:r>
      <w:r w:rsidRPr="009D7C92">
        <w:rPr>
          <w:color w:val="auto"/>
        </w:rPr>
        <w:t xml:space="preserve"> </w:t>
      </w:r>
      <w:r w:rsidR="00AA4AB5" w:rsidRPr="009D7C92">
        <w:rPr>
          <w:color w:val="auto"/>
        </w:rPr>
        <w:t>(</w:t>
      </w:r>
      <w:r w:rsidRPr="009D7C92">
        <w:rPr>
          <w:color w:val="auto"/>
        </w:rPr>
        <w:t>OR</w:t>
      </w:r>
      <w:r w:rsidR="00AA4AB5" w:rsidRPr="009D7C92">
        <w:rPr>
          <w:color w:val="auto"/>
        </w:rPr>
        <w:t>)</w:t>
      </w:r>
      <w:r w:rsidRPr="009D7C92">
        <w:rPr>
          <w:color w:val="auto"/>
        </w:rPr>
        <w:t xml:space="preserve"> 1,29 (95% </w:t>
      </w:r>
      <w:r w:rsidR="00AA4AB5" w:rsidRPr="009D7C92">
        <w:rPr>
          <w:color w:val="auto"/>
        </w:rPr>
        <w:t>interval spoľahlivosti (</w:t>
      </w:r>
      <w:r w:rsidRPr="009D7C92">
        <w:rPr>
          <w:color w:val="auto"/>
        </w:rPr>
        <w:t>I</w:t>
      </w:r>
      <w:r w:rsidR="000B18A3" w:rsidRPr="009D7C92">
        <w:rPr>
          <w:color w:val="auto"/>
        </w:rPr>
        <w:t>S</w:t>
      </w:r>
      <w:r w:rsidR="00AA4AB5" w:rsidRPr="009D7C92">
        <w:rPr>
          <w:color w:val="auto"/>
        </w:rPr>
        <w:t>)</w:t>
      </w:r>
      <w:r w:rsidRPr="009D7C92">
        <w:rPr>
          <w:color w:val="auto"/>
        </w:rPr>
        <w:t>: 1,23-1,35) pre BCC a 3,98 (95% I</w:t>
      </w:r>
      <w:r w:rsidR="000B18A3" w:rsidRPr="009D7C92">
        <w:rPr>
          <w:color w:val="auto"/>
        </w:rPr>
        <w:t>S</w:t>
      </w:r>
      <w:r w:rsidRPr="009D7C92">
        <w:rPr>
          <w:color w:val="auto"/>
        </w:rPr>
        <w:t>: 3,68-4,31) pre SCC. Pre BCC aj SCC bol pozorovaný j</w:t>
      </w:r>
      <w:r w:rsidR="00AA4AB5" w:rsidRPr="009D7C92">
        <w:rPr>
          <w:color w:val="auto"/>
        </w:rPr>
        <w:t>ednoznačný</w:t>
      </w:r>
      <w:r w:rsidRPr="009D7C92">
        <w:rPr>
          <w:color w:val="auto"/>
        </w:rPr>
        <w:t xml:space="preserve"> vzťah </w:t>
      </w:r>
      <w:r w:rsidR="00AA4AB5" w:rsidRPr="009D7C92">
        <w:rPr>
          <w:color w:val="auto"/>
        </w:rPr>
        <w:t xml:space="preserve">medzi </w:t>
      </w:r>
      <w:r w:rsidRPr="009D7C92">
        <w:rPr>
          <w:color w:val="auto"/>
        </w:rPr>
        <w:t>kumulatívn</w:t>
      </w:r>
      <w:r w:rsidR="00AA4AB5" w:rsidRPr="009D7C92">
        <w:rPr>
          <w:color w:val="auto"/>
        </w:rPr>
        <w:t>ou dávkou a</w:t>
      </w:r>
      <w:r w:rsidRPr="009D7C92">
        <w:rPr>
          <w:color w:val="auto"/>
        </w:rPr>
        <w:t xml:space="preserve"> </w:t>
      </w:r>
      <w:r w:rsidR="00AA4AB5" w:rsidRPr="009D7C92">
        <w:rPr>
          <w:color w:val="auto"/>
        </w:rPr>
        <w:t>odozvou</w:t>
      </w:r>
      <w:r w:rsidRPr="009D7C92">
        <w:rPr>
          <w:color w:val="auto"/>
        </w:rPr>
        <w:t xml:space="preserve">. Ďalšia štúdia </w:t>
      </w:r>
      <w:r w:rsidR="00AA4AB5" w:rsidRPr="009D7C92">
        <w:rPr>
          <w:color w:val="auto"/>
        </w:rPr>
        <w:t xml:space="preserve">naznačila </w:t>
      </w:r>
      <w:r w:rsidRPr="009D7C92">
        <w:rPr>
          <w:color w:val="auto"/>
        </w:rPr>
        <w:t xml:space="preserve">možnú súvislosť medzi rakovinou pier (SCC) a expozíciou HCTZ: 633 prípadov rakoviny pier </w:t>
      </w:r>
      <w:r w:rsidR="00900D59" w:rsidRPr="009D7C92">
        <w:rPr>
          <w:color w:val="auto"/>
        </w:rPr>
        <w:t>z</w:t>
      </w:r>
      <w:r w:rsidR="00AA4AB5" w:rsidRPr="009D7C92">
        <w:rPr>
          <w:color w:val="auto"/>
        </w:rPr>
        <w:t>odpovedalo</w:t>
      </w:r>
      <w:r w:rsidRPr="009D7C92">
        <w:rPr>
          <w:color w:val="auto"/>
        </w:rPr>
        <w:t xml:space="preserve"> 63</w:t>
      </w:r>
      <w:r w:rsidR="00B4541C" w:rsidRPr="009D7C92">
        <w:rPr>
          <w:color w:val="auto"/>
        </w:rPr>
        <w:t> </w:t>
      </w:r>
      <w:r w:rsidRPr="009D7C92">
        <w:rPr>
          <w:color w:val="auto"/>
        </w:rPr>
        <w:t>067</w:t>
      </w:r>
      <w:r w:rsidR="00B4541C" w:rsidRPr="009D7C92">
        <w:rPr>
          <w:color w:val="auto"/>
        </w:rPr>
        <w:t xml:space="preserve"> </w:t>
      </w:r>
      <w:r w:rsidR="00AA4AB5" w:rsidRPr="009D7C92">
        <w:rPr>
          <w:color w:val="auto"/>
        </w:rPr>
        <w:t>kontrolám v populácii</w:t>
      </w:r>
      <w:r w:rsidRPr="009D7C92">
        <w:rPr>
          <w:color w:val="auto"/>
        </w:rPr>
        <w:t xml:space="preserve">, pričom sa použila stratégia </w:t>
      </w:r>
      <w:r w:rsidR="00AA4AB5" w:rsidRPr="009D7C92">
        <w:rPr>
          <w:color w:val="auto"/>
        </w:rPr>
        <w:t>výberu z rizikových skupín</w:t>
      </w:r>
      <w:r w:rsidRPr="009D7C92">
        <w:rPr>
          <w:color w:val="auto"/>
        </w:rPr>
        <w:t xml:space="preserve">. </w:t>
      </w:r>
      <w:r w:rsidR="00AA4AB5" w:rsidRPr="009D7C92">
        <w:rPr>
          <w:color w:val="auto"/>
        </w:rPr>
        <w:t>Vzťah medzi k</w:t>
      </w:r>
      <w:r w:rsidRPr="009D7C92">
        <w:rPr>
          <w:color w:val="auto"/>
        </w:rPr>
        <w:t>umulatív</w:t>
      </w:r>
      <w:r w:rsidR="00AA4AB5" w:rsidRPr="009D7C92">
        <w:rPr>
          <w:color w:val="auto"/>
        </w:rPr>
        <w:t>nou</w:t>
      </w:r>
      <w:r w:rsidRPr="009D7C92">
        <w:rPr>
          <w:color w:val="auto"/>
        </w:rPr>
        <w:t xml:space="preserve"> dávk</w:t>
      </w:r>
      <w:r w:rsidR="00AA4AB5" w:rsidRPr="009D7C92">
        <w:rPr>
          <w:color w:val="auto"/>
        </w:rPr>
        <w:t>ou a</w:t>
      </w:r>
      <w:r w:rsidR="00BB129F" w:rsidRPr="009D7C92">
        <w:rPr>
          <w:color w:val="auto"/>
        </w:rPr>
        <w:t xml:space="preserve"> </w:t>
      </w:r>
      <w:r w:rsidRPr="009D7C92">
        <w:rPr>
          <w:color w:val="auto"/>
        </w:rPr>
        <w:t>odozv</w:t>
      </w:r>
      <w:r w:rsidR="00AA4AB5" w:rsidRPr="009D7C92">
        <w:rPr>
          <w:color w:val="auto"/>
        </w:rPr>
        <w:t>ou</w:t>
      </w:r>
      <w:r w:rsidRPr="009D7C92">
        <w:rPr>
          <w:color w:val="auto"/>
        </w:rPr>
        <w:t xml:space="preserve"> </w:t>
      </w:r>
      <w:r w:rsidR="00A92489" w:rsidRPr="009D7C92">
        <w:rPr>
          <w:color w:val="auto"/>
        </w:rPr>
        <w:t>bol dokázaný</w:t>
      </w:r>
      <w:r w:rsidR="00BB129F" w:rsidRPr="009D7C92">
        <w:rPr>
          <w:color w:val="auto"/>
        </w:rPr>
        <w:t xml:space="preserve"> s </w:t>
      </w:r>
      <w:r w:rsidRPr="009D7C92">
        <w:rPr>
          <w:color w:val="auto"/>
        </w:rPr>
        <w:t>OR 2,1 (95% I</w:t>
      </w:r>
      <w:r w:rsidR="000B18A3" w:rsidRPr="009D7C92">
        <w:rPr>
          <w:color w:val="auto"/>
        </w:rPr>
        <w:t>S</w:t>
      </w:r>
      <w:r w:rsidRPr="009D7C92">
        <w:rPr>
          <w:color w:val="auto"/>
        </w:rPr>
        <w:t>:</w:t>
      </w:r>
      <w:r w:rsidR="00AF3B6A" w:rsidRPr="009D7C92">
        <w:rPr>
          <w:color w:val="auto"/>
        </w:rPr>
        <w:t xml:space="preserve"> </w:t>
      </w:r>
      <w:r w:rsidRPr="009D7C92">
        <w:rPr>
          <w:color w:val="auto"/>
        </w:rPr>
        <w:t>1,7-2,6)</w:t>
      </w:r>
      <w:r w:rsidR="00A92489" w:rsidRPr="009D7C92">
        <w:rPr>
          <w:color w:val="auto"/>
        </w:rPr>
        <w:t>, ktorá</w:t>
      </w:r>
      <w:r w:rsidRPr="009D7C92">
        <w:rPr>
          <w:color w:val="auto"/>
        </w:rPr>
        <w:t xml:space="preserve"> </w:t>
      </w:r>
      <w:r w:rsidR="00A92489" w:rsidRPr="009D7C92">
        <w:rPr>
          <w:color w:val="auto"/>
        </w:rPr>
        <w:t>vzrástla</w:t>
      </w:r>
      <w:r w:rsidRPr="009D7C92">
        <w:rPr>
          <w:color w:val="auto"/>
        </w:rPr>
        <w:t xml:space="preserve"> na 3,9 (3,0-4,9) pr</w:t>
      </w:r>
      <w:r w:rsidR="00A92489" w:rsidRPr="009D7C92">
        <w:rPr>
          <w:color w:val="auto"/>
        </w:rPr>
        <w:t>i</w:t>
      </w:r>
      <w:r w:rsidRPr="009D7C92">
        <w:rPr>
          <w:color w:val="auto"/>
        </w:rPr>
        <w:t xml:space="preserve"> vysok</w:t>
      </w:r>
      <w:r w:rsidR="00A92489" w:rsidRPr="009D7C92">
        <w:rPr>
          <w:color w:val="auto"/>
        </w:rPr>
        <w:t>ých dávkach</w:t>
      </w:r>
      <w:r w:rsidRPr="009D7C92">
        <w:rPr>
          <w:color w:val="auto"/>
        </w:rPr>
        <w:t xml:space="preserve"> (~ 25 000 mg) a </w:t>
      </w:r>
      <w:r w:rsidR="00A92489" w:rsidRPr="009D7C92">
        <w:rPr>
          <w:color w:val="auto"/>
        </w:rPr>
        <w:t>na</w:t>
      </w:r>
      <w:r w:rsidRPr="009D7C92">
        <w:rPr>
          <w:color w:val="auto"/>
        </w:rPr>
        <w:t xml:space="preserve"> 7,7 (5,7-10,5) pre najvyššiu kumulatívnu dávku (~ 100 000 mg) (pozri tiež časť 4.4).</w:t>
      </w:r>
    </w:p>
    <w:p w14:paraId="64BBC382" w14:textId="77777777" w:rsidR="000A4B22" w:rsidRPr="009D7C92" w:rsidRDefault="000A4B22">
      <w:pPr>
        <w:jc w:val="left"/>
        <w:rPr>
          <w:color w:val="auto"/>
        </w:rPr>
      </w:pPr>
    </w:p>
    <w:p w14:paraId="12482EB1" w14:textId="77777777" w:rsidR="00323CDC" w:rsidRPr="009D7C92" w:rsidRDefault="00323CDC">
      <w:pPr>
        <w:jc w:val="left"/>
        <w:rPr>
          <w:color w:val="auto"/>
          <w:u w:val="single"/>
        </w:rPr>
      </w:pPr>
      <w:r w:rsidRPr="009D7C92">
        <w:rPr>
          <w:color w:val="auto"/>
          <w:u w:val="single"/>
        </w:rPr>
        <w:t>Farmakodynamické účinky</w:t>
      </w:r>
    </w:p>
    <w:p w14:paraId="248865CE" w14:textId="7DFFBCF3" w:rsidR="00EB25B2" w:rsidRDefault="004A1AD9">
      <w:pPr>
        <w:jc w:val="left"/>
        <w:rPr>
          <w:color w:val="auto"/>
        </w:rPr>
      </w:pPr>
      <w:r w:rsidRPr="009D7C92">
        <w:rPr>
          <w:color w:val="auto"/>
        </w:rPr>
        <w:t>H</w:t>
      </w:r>
      <w:r w:rsidR="00323CDC" w:rsidRPr="009D7C92">
        <w:rPr>
          <w:color w:val="auto"/>
        </w:rPr>
        <w:t xml:space="preserve">ydrochlorotiazid </w:t>
      </w:r>
      <w:r w:rsidRPr="009D7C92">
        <w:rPr>
          <w:color w:val="auto"/>
        </w:rPr>
        <w:t>vyvoláva</w:t>
      </w:r>
      <w:r w:rsidR="00BB129F" w:rsidRPr="009D7C92">
        <w:rPr>
          <w:color w:val="auto"/>
        </w:rPr>
        <w:t xml:space="preserve"> </w:t>
      </w:r>
      <w:r w:rsidR="00323CDC" w:rsidRPr="009D7C92">
        <w:rPr>
          <w:color w:val="auto"/>
        </w:rPr>
        <w:t xml:space="preserve">nástup diurézy </w:t>
      </w:r>
      <w:r w:rsidR="005235D3" w:rsidRPr="009D7C92">
        <w:rPr>
          <w:color w:val="auto"/>
        </w:rPr>
        <w:t>o</w:t>
      </w:r>
      <w:r w:rsidR="00323CDC" w:rsidRPr="009D7C92">
        <w:rPr>
          <w:color w:val="auto"/>
        </w:rPr>
        <w:t xml:space="preserve"> 2 hodiny a </w:t>
      </w:r>
      <w:r w:rsidR="005235D3" w:rsidRPr="009D7C92">
        <w:rPr>
          <w:color w:val="auto"/>
        </w:rPr>
        <w:t xml:space="preserve">maximálny </w:t>
      </w:r>
      <w:r w:rsidR="00323CDC" w:rsidRPr="009D7C92">
        <w:rPr>
          <w:color w:val="auto"/>
        </w:rPr>
        <w:t xml:space="preserve">účinok nastáva približne </w:t>
      </w:r>
      <w:r w:rsidR="005235D3" w:rsidRPr="009D7C92">
        <w:rPr>
          <w:color w:val="auto"/>
        </w:rPr>
        <w:t>o</w:t>
      </w:r>
      <w:r w:rsidR="00323CDC" w:rsidRPr="009D7C92">
        <w:rPr>
          <w:color w:val="auto"/>
        </w:rPr>
        <w:t xml:space="preserve"> 4 hodiny, pričom účinok pretrváva približne 6 až 12 hodín.</w:t>
      </w:r>
    </w:p>
    <w:p w14:paraId="42572D65" w14:textId="0376BD65" w:rsidR="00323CDC" w:rsidRPr="009D7C92" w:rsidRDefault="00323CDC">
      <w:pPr>
        <w:jc w:val="left"/>
        <w:rPr>
          <w:color w:val="auto"/>
        </w:rPr>
      </w:pPr>
      <w:r w:rsidRPr="009D7C92">
        <w:rPr>
          <w:color w:val="auto"/>
        </w:rPr>
        <w:t>K nástupu antihypertenz</w:t>
      </w:r>
      <w:r w:rsidR="005235D3" w:rsidRPr="009D7C92">
        <w:rPr>
          <w:color w:val="auto"/>
        </w:rPr>
        <w:t>ív</w:t>
      </w:r>
      <w:r w:rsidRPr="009D7C92">
        <w:rPr>
          <w:color w:val="auto"/>
        </w:rPr>
        <w:t>n</w:t>
      </w:r>
      <w:r w:rsidR="005235D3" w:rsidRPr="009D7C92">
        <w:rPr>
          <w:color w:val="auto"/>
        </w:rPr>
        <w:t>e</w:t>
      </w:r>
      <w:r w:rsidRPr="009D7C92">
        <w:rPr>
          <w:color w:val="auto"/>
        </w:rPr>
        <w:t xml:space="preserve">ho účinku dochádza po 3 až 4 dňoch a môže trvať až jeden týždeň po ukončení liečby. Počas </w:t>
      </w:r>
      <w:r w:rsidR="005235D3" w:rsidRPr="009D7C92">
        <w:rPr>
          <w:color w:val="auto"/>
        </w:rPr>
        <w:t xml:space="preserve">dlhodobého </w:t>
      </w:r>
      <w:r w:rsidRPr="009D7C92">
        <w:rPr>
          <w:color w:val="auto"/>
        </w:rPr>
        <w:t>podávania je antihypertenzívny účinok hydrochlorotiazidu u väčšiny pacientov závislý od dávky v dávkach od 12,5 mg</w:t>
      </w:r>
      <w:r w:rsidR="00AF3B6A" w:rsidRPr="009D7C92">
        <w:rPr>
          <w:color w:val="auto"/>
        </w:rPr>
        <w:t>/</w:t>
      </w:r>
      <w:r w:rsidRPr="009D7C92">
        <w:rPr>
          <w:color w:val="auto"/>
        </w:rPr>
        <w:t>deň do 50-75 mg</w:t>
      </w:r>
      <w:r w:rsidR="00AF3B6A" w:rsidRPr="009D7C92">
        <w:rPr>
          <w:color w:val="auto"/>
        </w:rPr>
        <w:t>/</w:t>
      </w:r>
      <w:r w:rsidRPr="009D7C92">
        <w:rPr>
          <w:color w:val="auto"/>
        </w:rPr>
        <w:t>deň.</w:t>
      </w:r>
    </w:p>
    <w:p w14:paraId="25755708" w14:textId="77777777" w:rsidR="00323CDC" w:rsidRPr="009D7C92" w:rsidRDefault="00323CDC">
      <w:pPr>
        <w:jc w:val="left"/>
        <w:rPr>
          <w:color w:val="auto"/>
        </w:rPr>
      </w:pPr>
      <w:r w:rsidRPr="009D7C92">
        <w:rPr>
          <w:color w:val="auto"/>
        </w:rPr>
        <w:t>Účinok znižujúci krvný tlak je sprevádzaný miernym zvýšením filtračnej frakcie, renálnej vaskulárnej rezistencie a plazmatickej aktivity renínu.</w:t>
      </w:r>
    </w:p>
    <w:p w14:paraId="2198917E" w14:textId="5700C0D2" w:rsidR="00323CDC" w:rsidRPr="009D7C92" w:rsidRDefault="00323CDC">
      <w:pPr>
        <w:jc w:val="left"/>
        <w:rPr>
          <w:color w:val="auto"/>
        </w:rPr>
      </w:pPr>
      <w:r w:rsidRPr="009D7C92">
        <w:rPr>
          <w:color w:val="auto"/>
        </w:rPr>
        <w:t xml:space="preserve">Prekročenie určitej dávky, terapeutický účinok tiazidových diuretík zostáva nezmenený, zatiaľ čo nepriaznivé účinky sa naďalej zvyšujú: v prípade neúčinnosti nie je </w:t>
      </w:r>
      <w:r w:rsidR="005235D3" w:rsidRPr="009D7C92">
        <w:rPr>
          <w:color w:val="auto"/>
        </w:rPr>
        <w:t>vhodné</w:t>
      </w:r>
      <w:r w:rsidRPr="009D7C92">
        <w:rPr>
          <w:color w:val="auto"/>
        </w:rPr>
        <w:t xml:space="preserve"> a často </w:t>
      </w:r>
      <w:r w:rsidR="005235D3" w:rsidRPr="009D7C92">
        <w:rPr>
          <w:color w:val="auto"/>
        </w:rPr>
        <w:t xml:space="preserve">je </w:t>
      </w:r>
      <w:r w:rsidRPr="009D7C92">
        <w:rPr>
          <w:color w:val="auto"/>
        </w:rPr>
        <w:t>zle tolerovan</w:t>
      </w:r>
      <w:r w:rsidR="005235D3" w:rsidRPr="009D7C92">
        <w:rPr>
          <w:color w:val="auto"/>
        </w:rPr>
        <w:t>é</w:t>
      </w:r>
      <w:r w:rsidRPr="009D7C92">
        <w:rPr>
          <w:color w:val="auto"/>
        </w:rPr>
        <w:t xml:space="preserve"> zvýšenie dávky nad odporúčané dávkovanie. (Pozri časť 4</w:t>
      </w:r>
      <w:r w:rsidR="005235D3" w:rsidRPr="009D7C92">
        <w:rPr>
          <w:color w:val="auto"/>
        </w:rPr>
        <w:t>.</w:t>
      </w:r>
      <w:r w:rsidRPr="009D7C92">
        <w:rPr>
          <w:color w:val="auto"/>
        </w:rPr>
        <w:t>2)</w:t>
      </w:r>
      <w:r w:rsidR="005235D3" w:rsidRPr="009D7C92">
        <w:rPr>
          <w:color w:val="auto"/>
        </w:rPr>
        <w:t>.</w:t>
      </w:r>
    </w:p>
    <w:p w14:paraId="75126277" w14:textId="52F20C95" w:rsidR="00323CDC" w:rsidRPr="009D7C92" w:rsidRDefault="00323CDC">
      <w:pPr>
        <w:jc w:val="left"/>
        <w:rPr>
          <w:color w:val="auto"/>
        </w:rPr>
      </w:pPr>
      <w:r w:rsidRPr="009D7C92">
        <w:rPr>
          <w:color w:val="auto"/>
        </w:rPr>
        <w:t>U pacientov s nefrogénnym diabet</w:t>
      </w:r>
      <w:r w:rsidR="005235D3" w:rsidRPr="009D7C92">
        <w:rPr>
          <w:color w:val="auto"/>
        </w:rPr>
        <w:t>om</w:t>
      </w:r>
      <w:r w:rsidRPr="009D7C92">
        <w:rPr>
          <w:color w:val="auto"/>
        </w:rPr>
        <w:t xml:space="preserve"> insipidus znižuje hydrochlorotiazid </w:t>
      </w:r>
      <w:r w:rsidR="00D145A1" w:rsidRPr="009D7C92">
        <w:rPr>
          <w:color w:val="auto"/>
        </w:rPr>
        <w:t>výdaj</w:t>
      </w:r>
      <w:r w:rsidRPr="009D7C92">
        <w:rPr>
          <w:color w:val="auto"/>
        </w:rPr>
        <w:t xml:space="preserve"> moču a zvyšuje osmolalitu moč</w:t>
      </w:r>
      <w:r w:rsidR="005235D3" w:rsidRPr="009D7C92">
        <w:rPr>
          <w:color w:val="auto"/>
        </w:rPr>
        <w:t>u</w:t>
      </w:r>
      <w:r w:rsidRPr="009D7C92">
        <w:rPr>
          <w:color w:val="auto"/>
        </w:rPr>
        <w:t>.</w:t>
      </w:r>
    </w:p>
    <w:p w14:paraId="5D586B4F" w14:textId="100171D2" w:rsidR="00323CDC" w:rsidRPr="009D7C92" w:rsidRDefault="00323CDC">
      <w:pPr>
        <w:jc w:val="left"/>
        <w:rPr>
          <w:color w:val="auto"/>
        </w:rPr>
      </w:pPr>
      <w:r w:rsidRPr="009D7C92">
        <w:rPr>
          <w:color w:val="auto"/>
        </w:rPr>
        <w:t>Hydrochlorotiazid nie je účinný u pacientov s chronick</w:t>
      </w:r>
      <w:r w:rsidR="00D145A1" w:rsidRPr="009D7C92">
        <w:rPr>
          <w:color w:val="auto"/>
        </w:rPr>
        <w:t>ou</w:t>
      </w:r>
      <w:r w:rsidRPr="009D7C92">
        <w:rPr>
          <w:color w:val="auto"/>
        </w:rPr>
        <w:t xml:space="preserve"> po</w:t>
      </w:r>
      <w:r w:rsidR="00D145A1" w:rsidRPr="009D7C92">
        <w:rPr>
          <w:color w:val="auto"/>
        </w:rPr>
        <w:t>ruchou</w:t>
      </w:r>
      <w:r w:rsidRPr="009D7C92">
        <w:rPr>
          <w:color w:val="auto"/>
        </w:rPr>
        <w:t xml:space="preserve"> funkcie obličiek (klírens kreatinínu &lt;30 ml/min a/alebo sérový kreatinín vyšší ako 1,8 mg</w:t>
      </w:r>
      <w:r w:rsidR="00AF3B6A" w:rsidRPr="009D7C92">
        <w:rPr>
          <w:color w:val="auto"/>
        </w:rPr>
        <w:t>/</w:t>
      </w:r>
      <w:r w:rsidRPr="009D7C92">
        <w:rPr>
          <w:color w:val="auto"/>
        </w:rPr>
        <w:t>100 ml).</w:t>
      </w:r>
    </w:p>
    <w:p w14:paraId="2419AE1C" w14:textId="77777777" w:rsidR="00323CDC" w:rsidRPr="009D7C92" w:rsidRDefault="00323CDC">
      <w:pPr>
        <w:jc w:val="left"/>
        <w:rPr>
          <w:color w:val="auto"/>
        </w:rPr>
      </w:pPr>
    </w:p>
    <w:p w14:paraId="33B06724" w14:textId="2AD9973B" w:rsidR="00EB25B2" w:rsidRDefault="003511D4" w:rsidP="00243692">
      <w:pPr>
        <w:jc w:val="left"/>
        <w:rPr>
          <w:color w:val="auto"/>
          <w:u w:val="single"/>
        </w:rPr>
      </w:pPr>
      <w:r w:rsidRPr="009D7C92">
        <w:rPr>
          <w:color w:val="auto"/>
          <w:u w:val="single"/>
        </w:rPr>
        <w:t>Pediatrická populácia</w:t>
      </w:r>
      <w:r w:rsidR="00323CDC" w:rsidRPr="009D7C92">
        <w:rPr>
          <w:color w:val="auto"/>
          <w:u w:val="single"/>
        </w:rPr>
        <w:t xml:space="preserve"> (vo veku od 6 rokov)</w:t>
      </w:r>
    </w:p>
    <w:p w14:paraId="170DE59E" w14:textId="788B89DF" w:rsidR="00323CDC" w:rsidRPr="009D7C92" w:rsidRDefault="00323CDC" w:rsidP="00EE703D">
      <w:pPr>
        <w:jc w:val="left"/>
        <w:rPr>
          <w:color w:val="auto"/>
        </w:rPr>
      </w:pPr>
      <w:r w:rsidRPr="009D7C92">
        <w:rPr>
          <w:color w:val="auto"/>
        </w:rPr>
        <w:t xml:space="preserve">Európska agentúra </w:t>
      </w:r>
      <w:r w:rsidR="00D145A1" w:rsidRPr="009D7C92">
        <w:rPr>
          <w:color w:val="auto"/>
        </w:rPr>
        <w:t xml:space="preserve">pre lieky </w:t>
      </w:r>
      <w:r w:rsidRPr="009D7C92">
        <w:rPr>
          <w:color w:val="auto"/>
        </w:rPr>
        <w:t xml:space="preserve">udelila výnimku pre </w:t>
      </w:r>
      <w:r w:rsidR="00D145A1" w:rsidRPr="009D7C92">
        <w:rPr>
          <w:color w:val="auto"/>
        </w:rPr>
        <w:t>r</w:t>
      </w:r>
      <w:r w:rsidRPr="009D7C92">
        <w:rPr>
          <w:color w:val="auto"/>
        </w:rPr>
        <w:t>amipril</w:t>
      </w:r>
      <w:r w:rsidR="00AF3B6A" w:rsidRPr="009D7C92">
        <w:rPr>
          <w:color w:val="auto"/>
        </w:rPr>
        <w:t>/</w:t>
      </w:r>
      <w:r w:rsidR="00D145A1" w:rsidRPr="009D7C92">
        <w:rPr>
          <w:color w:val="auto"/>
        </w:rPr>
        <w:t>a</w:t>
      </w:r>
      <w:r w:rsidRPr="009D7C92">
        <w:rPr>
          <w:color w:val="auto"/>
        </w:rPr>
        <w:t>mlodip</w:t>
      </w:r>
      <w:r w:rsidR="00AF3B6A" w:rsidRPr="009D7C92">
        <w:rPr>
          <w:color w:val="auto"/>
        </w:rPr>
        <w:t>í</w:t>
      </w:r>
      <w:r w:rsidRPr="009D7C92">
        <w:rPr>
          <w:color w:val="auto"/>
        </w:rPr>
        <w:t>n</w:t>
      </w:r>
      <w:r w:rsidR="00AF3B6A" w:rsidRPr="009D7C92">
        <w:rPr>
          <w:color w:val="auto"/>
        </w:rPr>
        <w:t>/</w:t>
      </w:r>
      <w:r w:rsidR="00D145A1" w:rsidRPr="009D7C92">
        <w:rPr>
          <w:color w:val="auto"/>
        </w:rPr>
        <w:t>h</w:t>
      </w:r>
      <w:r w:rsidRPr="009D7C92">
        <w:rPr>
          <w:color w:val="auto"/>
        </w:rPr>
        <w:t>ydrochlorothiazid, ktor</w:t>
      </w:r>
      <w:r w:rsidR="00D145A1" w:rsidRPr="009D7C92">
        <w:rPr>
          <w:color w:val="auto"/>
        </w:rPr>
        <w:t>á</w:t>
      </w:r>
      <w:r w:rsidRPr="009D7C92">
        <w:rPr>
          <w:color w:val="auto"/>
        </w:rPr>
        <w:t xml:space="preserve"> </w:t>
      </w:r>
      <w:r w:rsidR="00D145A1" w:rsidRPr="009D7C92">
        <w:rPr>
          <w:color w:val="auto"/>
        </w:rPr>
        <w:t>sa týka</w:t>
      </w:r>
      <w:r w:rsidR="009B2DAD" w:rsidRPr="009D7C92">
        <w:rPr>
          <w:color w:val="auto"/>
        </w:rPr>
        <w:t xml:space="preserve"> daného</w:t>
      </w:r>
      <w:r w:rsidR="00330148" w:rsidRPr="009D7C92">
        <w:rPr>
          <w:color w:val="auto"/>
        </w:rPr>
        <w:t xml:space="preserve"> </w:t>
      </w:r>
      <w:r w:rsidRPr="009D7C92">
        <w:rPr>
          <w:color w:val="auto"/>
        </w:rPr>
        <w:t>liek</w:t>
      </w:r>
      <w:r w:rsidR="00D145A1" w:rsidRPr="009D7C92">
        <w:rPr>
          <w:color w:val="auto"/>
        </w:rPr>
        <w:t>u</w:t>
      </w:r>
      <w:r w:rsidRPr="009D7C92">
        <w:rPr>
          <w:color w:val="auto"/>
        </w:rPr>
        <w:t xml:space="preserve">, vo všetkých podskupinách pediatrickej populácie </w:t>
      </w:r>
      <w:r w:rsidR="00D145A1" w:rsidRPr="009D7C92">
        <w:rPr>
          <w:color w:val="auto"/>
        </w:rPr>
        <w:t>pre</w:t>
      </w:r>
      <w:r w:rsidRPr="009D7C92">
        <w:rPr>
          <w:color w:val="auto"/>
        </w:rPr>
        <w:t xml:space="preserve"> liečb</w:t>
      </w:r>
      <w:r w:rsidR="00D145A1" w:rsidRPr="009D7C92">
        <w:rPr>
          <w:color w:val="auto"/>
        </w:rPr>
        <w:t>u</w:t>
      </w:r>
      <w:r w:rsidRPr="009D7C92">
        <w:rPr>
          <w:color w:val="auto"/>
        </w:rPr>
        <w:t xml:space="preserve"> hypertenzie na základe toho, že liek nepredstavuje významný terapeutický prínos oproti existujúcej liečbe pediatrických pacientov. (Informácie o pediatrickom používaní pozri v časti 4.2).</w:t>
      </w:r>
    </w:p>
    <w:p w14:paraId="0B2EAC07" w14:textId="77777777" w:rsidR="00323CDC" w:rsidRPr="009D7C92" w:rsidRDefault="00323CDC" w:rsidP="00211D25">
      <w:pPr>
        <w:jc w:val="left"/>
        <w:rPr>
          <w:b/>
          <w:color w:val="auto"/>
        </w:rPr>
      </w:pPr>
    </w:p>
    <w:p w14:paraId="508AAE4D" w14:textId="7D8B4E3D" w:rsidR="00EB25B2" w:rsidRDefault="00323CDC" w:rsidP="00243692">
      <w:pPr>
        <w:ind w:left="567" w:right="0" w:hanging="567"/>
        <w:jc w:val="left"/>
        <w:rPr>
          <w:b/>
          <w:color w:val="auto"/>
        </w:rPr>
      </w:pPr>
      <w:r w:rsidRPr="009D7C92">
        <w:rPr>
          <w:b/>
          <w:color w:val="auto"/>
        </w:rPr>
        <w:t>5.2</w:t>
      </w:r>
      <w:r w:rsidR="00BA06D4" w:rsidRPr="009D7C92">
        <w:rPr>
          <w:b/>
          <w:color w:val="auto"/>
        </w:rPr>
        <w:tab/>
      </w:r>
      <w:r w:rsidRPr="009D7C92">
        <w:rPr>
          <w:b/>
          <w:color w:val="auto"/>
          <w:lang w:eastAsia="sk-SK"/>
        </w:rPr>
        <w:t>Farmakokinetické</w:t>
      </w:r>
      <w:r w:rsidRPr="009D7C92">
        <w:rPr>
          <w:b/>
          <w:color w:val="auto"/>
        </w:rPr>
        <w:t xml:space="preserve"> vlastnosti</w:t>
      </w:r>
    </w:p>
    <w:p w14:paraId="0B35D198" w14:textId="49EB7AC0" w:rsidR="00323CDC" w:rsidRPr="009D7C92" w:rsidRDefault="00323CDC" w:rsidP="00EE703D">
      <w:pPr>
        <w:jc w:val="left"/>
        <w:rPr>
          <w:color w:val="auto"/>
        </w:rPr>
      </w:pPr>
    </w:p>
    <w:p w14:paraId="043D84CA" w14:textId="3F62217C" w:rsidR="00EB25B2" w:rsidRDefault="00323CDC" w:rsidP="00243692">
      <w:pPr>
        <w:jc w:val="left"/>
        <w:rPr>
          <w:b/>
          <w:color w:val="auto"/>
        </w:rPr>
      </w:pPr>
      <w:r w:rsidRPr="009D7C92">
        <w:rPr>
          <w:b/>
          <w:color w:val="auto"/>
        </w:rPr>
        <w:t>Ramipril</w:t>
      </w:r>
    </w:p>
    <w:p w14:paraId="1452117F" w14:textId="32AB6239" w:rsidR="00EB25B2" w:rsidRDefault="00BA06D4" w:rsidP="00243692">
      <w:pPr>
        <w:jc w:val="left"/>
        <w:rPr>
          <w:color w:val="auto"/>
          <w:u w:val="single"/>
        </w:rPr>
      </w:pPr>
      <w:r w:rsidRPr="009D7C92">
        <w:rPr>
          <w:color w:val="auto"/>
          <w:u w:val="single"/>
        </w:rPr>
        <w:t>Absorpcia</w:t>
      </w:r>
    </w:p>
    <w:p w14:paraId="64ABE93E" w14:textId="73E3E5D1" w:rsidR="00EB25B2" w:rsidRDefault="00323CDC" w:rsidP="00EE703D">
      <w:pPr>
        <w:jc w:val="left"/>
        <w:rPr>
          <w:color w:val="auto"/>
        </w:rPr>
      </w:pPr>
      <w:r w:rsidRPr="009D7C92">
        <w:rPr>
          <w:color w:val="auto"/>
        </w:rPr>
        <w:t xml:space="preserve">Po perorálnom podaní sa ramipril rýchlo vstrebáva z gastrointestinálneho traktu: maximálne plazmatické koncentrácie ramiprilu sa dosiahnu do jednej hodiny. Na základe </w:t>
      </w:r>
      <w:r w:rsidR="00EE1500" w:rsidRPr="009D7C92">
        <w:rPr>
          <w:color w:val="auto"/>
        </w:rPr>
        <w:t xml:space="preserve">množstva vylúčeného </w:t>
      </w:r>
      <w:r w:rsidRPr="009D7C92">
        <w:rPr>
          <w:color w:val="auto"/>
        </w:rPr>
        <w:t>moč</w:t>
      </w:r>
      <w:r w:rsidR="00EE1500" w:rsidRPr="009D7C92">
        <w:rPr>
          <w:color w:val="auto"/>
        </w:rPr>
        <w:t>om</w:t>
      </w:r>
      <w:r w:rsidRPr="009D7C92">
        <w:rPr>
          <w:color w:val="auto"/>
        </w:rPr>
        <w:t xml:space="preserve"> je rozsah absorpcie najmenej 56% a nie je významne ovplyvnený prítomnosťou potravy v gastrointestinálnom trakte. Biologická dostupnosť aktívneho metabolitu</w:t>
      </w:r>
      <w:r w:rsidR="003A3BFA" w:rsidRPr="009D7C92">
        <w:rPr>
          <w:color w:val="auto"/>
        </w:rPr>
        <w:t>,</w:t>
      </w:r>
      <w:r w:rsidRPr="009D7C92">
        <w:rPr>
          <w:color w:val="auto"/>
        </w:rPr>
        <w:t xml:space="preserve"> ramipril</w:t>
      </w:r>
      <w:r w:rsidR="00236532" w:rsidRPr="009D7C92">
        <w:rPr>
          <w:color w:val="auto"/>
        </w:rPr>
        <w:t>á</w:t>
      </w:r>
      <w:r w:rsidRPr="009D7C92">
        <w:rPr>
          <w:color w:val="auto"/>
        </w:rPr>
        <w:t>tu</w:t>
      </w:r>
      <w:r w:rsidR="003A3BFA" w:rsidRPr="009D7C92">
        <w:rPr>
          <w:color w:val="auto"/>
        </w:rPr>
        <w:t>,</w:t>
      </w:r>
      <w:r w:rsidRPr="009D7C92">
        <w:rPr>
          <w:color w:val="auto"/>
        </w:rPr>
        <w:t xml:space="preserve"> po perorálnom podaní 2,5 mg a 5 mg ramiprilu je 45%.</w:t>
      </w:r>
    </w:p>
    <w:p w14:paraId="08EFC14A" w14:textId="08F47D36" w:rsidR="00EB25B2" w:rsidRDefault="00323CDC" w:rsidP="00211D25">
      <w:pPr>
        <w:jc w:val="left"/>
        <w:rPr>
          <w:color w:val="auto"/>
        </w:rPr>
      </w:pPr>
      <w:r w:rsidRPr="009D7C92">
        <w:rPr>
          <w:color w:val="auto"/>
        </w:rPr>
        <w:t>Maximálne pl</w:t>
      </w:r>
      <w:r w:rsidR="00236532" w:rsidRPr="009D7C92">
        <w:rPr>
          <w:color w:val="auto"/>
        </w:rPr>
        <w:t>azmatické koncentrácie ramiprilá</w:t>
      </w:r>
      <w:r w:rsidRPr="009D7C92">
        <w:rPr>
          <w:color w:val="auto"/>
        </w:rPr>
        <w:t>tu, jediného aktívneho metabolitu ramiprilu, sa dosahujú 2-4 hodiny po užití ramiprilu. Rovnovážne pl</w:t>
      </w:r>
      <w:r w:rsidR="00236532" w:rsidRPr="009D7C92">
        <w:rPr>
          <w:color w:val="auto"/>
        </w:rPr>
        <w:t>azmatické koncentrácie ramiprilá</w:t>
      </w:r>
      <w:r w:rsidRPr="009D7C92">
        <w:rPr>
          <w:color w:val="auto"/>
        </w:rPr>
        <w:t>tu po jednorazovom dávkovaní s obvyklými dávkami ramiprilu sa dosiahnu približne do štvrtého dňa liečby.</w:t>
      </w:r>
    </w:p>
    <w:p w14:paraId="482502F2" w14:textId="03142AD5" w:rsidR="00323CDC" w:rsidRPr="009D7C92" w:rsidRDefault="00323CDC" w:rsidP="00F87817">
      <w:pPr>
        <w:jc w:val="left"/>
        <w:rPr>
          <w:color w:val="auto"/>
        </w:rPr>
      </w:pPr>
    </w:p>
    <w:p w14:paraId="7DB05A86" w14:textId="267444E1" w:rsidR="00EB25B2" w:rsidRDefault="00323CDC">
      <w:pPr>
        <w:jc w:val="left"/>
        <w:rPr>
          <w:color w:val="auto"/>
          <w:u w:val="single"/>
        </w:rPr>
      </w:pPr>
      <w:r w:rsidRPr="009D7C92">
        <w:rPr>
          <w:color w:val="auto"/>
          <w:u w:val="single"/>
        </w:rPr>
        <w:t>Distribúcia</w:t>
      </w:r>
    </w:p>
    <w:p w14:paraId="66DA206F" w14:textId="250BD33A" w:rsidR="00EB25B2" w:rsidRDefault="00323CDC">
      <w:pPr>
        <w:jc w:val="left"/>
        <w:rPr>
          <w:color w:val="auto"/>
        </w:rPr>
      </w:pPr>
      <w:r w:rsidRPr="009D7C92">
        <w:rPr>
          <w:color w:val="auto"/>
        </w:rPr>
        <w:lastRenderedPageBreak/>
        <w:t>Väzba ramiprilu na sérové proteíny je približne 73% a ramipril</w:t>
      </w:r>
      <w:r w:rsidR="00236532" w:rsidRPr="009D7C92">
        <w:rPr>
          <w:color w:val="auto"/>
        </w:rPr>
        <w:t>á</w:t>
      </w:r>
      <w:r w:rsidRPr="009D7C92">
        <w:rPr>
          <w:color w:val="auto"/>
        </w:rPr>
        <w:t>t</w:t>
      </w:r>
      <w:r w:rsidR="00236532" w:rsidRPr="009D7C92">
        <w:rPr>
          <w:color w:val="auto"/>
        </w:rPr>
        <w:t>u</w:t>
      </w:r>
      <w:r w:rsidRPr="009D7C92">
        <w:rPr>
          <w:color w:val="auto"/>
        </w:rPr>
        <w:t xml:space="preserve"> približne 56%.</w:t>
      </w:r>
    </w:p>
    <w:p w14:paraId="553516DB" w14:textId="3EC1F6D1" w:rsidR="00323CDC" w:rsidRPr="009D7C92" w:rsidRDefault="00323CDC">
      <w:pPr>
        <w:jc w:val="left"/>
        <w:rPr>
          <w:color w:val="auto"/>
        </w:rPr>
      </w:pPr>
    </w:p>
    <w:p w14:paraId="01EBB3B9" w14:textId="51B32D7D" w:rsidR="00EB25B2" w:rsidRDefault="00BA06D4" w:rsidP="00243692">
      <w:pPr>
        <w:jc w:val="left"/>
        <w:rPr>
          <w:color w:val="auto"/>
          <w:u w:val="single"/>
        </w:rPr>
      </w:pPr>
      <w:r w:rsidRPr="009D7C92">
        <w:rPr>
          <w:color w:val="auto"/>
          <w:u w:val="single"/>
        </w:rPr>
        <w:t>Biotransformácia</w:t>
      </w:r>
    </w:p>
    <w:p w14:paraId="0D36F9AE" w14:textId="61E4F0F2" w:rsidR="00EB25B2" w:rsidRDefault="00323CDC" w:rsidP="00EE703D">
      <w:pPr>
        <w:jc w:val="left"/>
        <w:rPr>
          <w:color w:val="auto"/>
        </w:rPr>
      </w:pPr>
      <w:r w:rsidRPr="009D7C92">
        <w:rPr>
          <w:color w:val="auto"/>
        </w:rPr>
        <w:t>Ramipril sa takmer úplne metabolizuje na ramiprilát a na ester diketopiperazínu, kyselinu diketopiperazínovú a glukuronidy ramiprilu a ramiprilátu.</w:t>
      </w:r>
    </w:p>
    <w:p w14:paraId="1A668F2E" w14:textId="0D1543A5" w:rsidR="00323CDC" w:rsidRPr="009D7C92" w:rsidRDefault="00323CDC" w:rsidP="00211D25">
      <w:pPr>
        <w:jc w:val="left"/>
        <w:rPr>
          <w:color w:val="auto"/>
        </w:rPr>
      </w:pPr>
    </w:p>
    <w:p w14:paraId="77A534D6" w14:textId="26FC5A45" w:rsidR="00EB25B2" w:rsidRDefault="00323CDC" w:rsidP="00243692">
      <w:pPr>
        <w:jc w:val="left"/>
        <w:rPr>
          <w:color w:val="auto"/>
          <w:u w:val="single"/>
        </w:rPr>
      </w:pPr>
      <w:r w:rsidRPr="009D7C92">
        <w:rPr>
          <w:color w:val="auto"/>
          <w:u w:val="single"/>
        </w:rPr>
        <w:t>Eliminácia</w:t>
      </w:r>
    </w:p>
    <w:p w14:paraId="6069687D" w14:textId="3A1FC130" w:rsidR="00EB25B2" w:rsidRDefault="00323CDC" w:rsidP="00EE703D">
      <w:pPr>
        <w:jc w:val="left"/>
        <w:rPr>
          <w:color w:val="auto"/>
        </w:rPr>
      </w:pPr>
      <w:r w:rsidRPr="009D7C92">
        <w:rPr>
          <w:color w:val="auto"/>
        </w:rPr>
        <w:t xml:space="preserve">Vylučovanie metabolitov je </w:t>
      </w:r>
      <w:r w:rsidR="003A3BFA" w:rsidRPr="009D7C92">
        <w:rPr>
          <w:color w:val="auto"/>
        </w:rPr>
        <w:t xml:space="preserve">hlavne cez </w:t>
      </w:r>
      <w:r w:rsidRPr="009D7C92">
        <w:rPr>
          <w:color w:val="auto"/>
        </w:rPr>
        <w:t>obličk</w:t>
      </w:r>
      <w:r w:rsidR="003A3BFA" w:rsidRPr="009D7C92">
        <w:rPr>
          <w:color w:val="auto"/>
        </w:rPr>
        <w:t>y</w:t>
      </w:r>
      <w:r w:rsidRPr="009D7C92">
        <w:rPr>
          <w:color w:val="auto"/>
        </w:rPr>
        <w:t>.</w:t>
      </w:r>
    </w:p>
    <w:p w14:paraId="43D33F6E" w14:textId="6F432A26" w:rsidR="00EB25B2" w:rsidRDefault="00323CDC" w:rsidP="00211D25">
      <w:pPr>
        <w:jc w:val="left"/>
        <w:rPr>
          <w:color w:val="auto"/>
        </w:rPr>
      </w:pPr>
      <w:r w:rsidRPr="009D7C92">
        <w:rPr>
          <w:color w:val="auto"/>
        </w:rPr>
        <w:t>Plazmatické koncentrácie ramiprilátu klesajú polyfázick</w:t>
      </w:r>
      <w:r w:rsidR="003A3BFA" w:rsidRPr="009D7C92">
        <w:rPr>
          <w:color w:val="auto"/>
        </w:rPr>
        <w:t>y</w:t>
      </w:r>
      <w:r w:rsidRPr="009D7C92">
        <w:rPr>
          <w:color w:val="auto"/>
        </w:rPr>
        <w:t>. Vzhľadom na svoju silnú, saturovateľnú väzbu na ACE a pomalú disociáciu z enzýmu vykazuje ramipril</w:t>
      </w:r>
      <w:r w:rsidR="00236532" w:rsidRPr="009D7C92">
        <w:rPr>
          <w:color w:val="auto"/>
        </w:rPr>
        <w:t>á</w:t>
      </w:r>
      <w:r w:rsidRPr="009D7C92">
        <w:rPr>
          <w:color w:val="auto"/>
        </w:rPr>
        <w:t>t predĺženú terminálnu eliminačnú fázu pri veľmi nízkych plazmatických koncentráciách.</w:t>
      </w:r>
    </w:p>
    <w:p w14:paraId="04ABDADA" w14:textId="7EB4DA3A" w:rsidR="00EB25B2" w:rsidRDefault="00323CDC" w:rsidP="00F87817">
      <w:pPr>
        <w:jc w:val="left"/>
        <w:rPr>
          <w:color w:val="auto"/>
        </w:rPr>
      </w:pPr>
      <w:r w:rsidRPr="009D7C92">
        <w:rPr>
          <w:color w:val="auto"/>
        </w:rPr>
        <w:t xml:space="preserve">Po </w:t>
      </w:r>
      <w:r w:rsidR="003A3BFA" w:rsidRPr="009D7C92">
        <w:rPr>
          <w:color w:val="auto"/>
        </w:rPr>
        <w:t xml:space="preserve">opakovaných </w:t>
      </w:r>
      <w:r w:rsidRPr="009D7C92">
        <w:rPr>
          <w:color w:val="auto"/>
        </w:rPr>
        <w:t xml:space="preserve">dávkach ramiprilu </w:t>
      </w:r>
      <w:r w:rsidR="0065733E" w:rsidRPr="009D7C92">
        <w:rPr>
          <w:color w:val="auto"/>
        </w:rPr>
        <w:t>jedenkrát</w:t>
      </w:r>
      <w:r w:rsidRPr="009D7C92">
        <w:rPr>
          <w:color w:val="auto"/>
        </w:rPr>
        <w:t xml:space="preserve"> denne bol </w:t>
      </w:r>
      <w:r w:rsidR="003A3BFA" w:rsidRPr="009D7C92">
        <w:rPr>
          <w:color w:val="auto"/>
        </w:rPr>
        <w:t xml:space="preserve">efektívny </w:t>
      </w:r>
      <w:r w:rsidRPr="009D7C92">
        <w:rPr>
          <w:color w:val="auto"/>
        </w:rPr>
        <w:t>polčas koncentrácií ramiprilátu 13-17 hodín pri dávkach 5-10 mg a dlhší pri nižších dávkach 1,25-2,5 mg. Tento rozdiel súvisí so saturovateľnou kapacitou enzýmu viazať ramiprilát.</w:t>
      </w:r>
    </w:p>
    <w:p w14:paraId="649EA8E0" w14:textId="7B24EEF5" w:rsidR="00EB25B2" w:rsidRDefault="003509A9">
      <w:pPr>
        <w:jc w:val="left"/>
        <w:rPr>
          <w:color w:val="auto"/>
        </w:rPr>
      </w:pPr>
      <w:r w:rsidRPr="009D7C92">
        <w:rPr>
          <w:color w:val="auto"/>
        </w:rPr>
        <w:t>Podanie</w:t>
      </w:r>
      <w:r w:rsidR="00323CDC" w:rsidRPr="009D7C92">
        <w:rPr>
          <w:color w:val="auto"/>
        </w:rPr>
        <w:t xml:space="preserve"> jednorazov</w:t>
      </w:r>
      <w:r w:rsidRPr="009D7C92">
        <w:rPr>
          <w:color w:val="auto"/>
        </w:rPr>
        <w:t>ej</w:t>
      </w:r>
      <w:r w:rsidR="00323CDC" w:rsidRPr="009D7C92">
        <w:rPr>
          <w:color w:val="auto"/>
        </w:rPr>
        <w:t xml:space="preserve"> peroráln</w:t>
      </w:r>
      <w:r w:rsidRPr="009D7C92">
        <w:rPr>
          <w:color w:val="auto"/>
        </w:rPr>
        <w:t>ej</w:t>
      </w:r>
      <w:r w:rsidR="00323CDC" w:rsidRPr="009D7C92">
        <w:rPr>
          <w:color w:val="auto"/>
        </w:rPr>
        <w:t xml:space="preserve"> dávk</w:t>
      </w:r>
      <w:r w:rsidR="00357607" w:rsidRPr="009D7C92">
        <w:rPr>
          <w:color w:val="auto"/>
        </w:rPr>
        <w:t>y</w:t>
      </w:r>
      <w:r w:rsidR="00323CDC" w:rsidRPr="009D7C92">
        <w:rPr>
          <w:color w:val="auto"/>
        </w:rPr>
        <w:t xml:space="preserve"> 10 mg ramiprilu </w:t>
      </w:r>
      <w:r w:rsidRPr="009D7C92">
        <w:rPr>
          <w:color w:val="auto"/>
        </w:rPr>
        <w:t>bolo</w:t>
      </w:r>
      <w:r w:rsidR="003A3BFA" w:rsidRPr="009D7C92">
        <w:rPr>
          <w:color w:val="auto"/>
        </w:rPr>
        <w:t xml:space="preserve"> </w:t>
      </w:r>
      <w:r w:rsidR="00323CDC" w:rsidRPr="009D7C92">
        <w:rPr>
          <w:color w:val="auto"/>
        </w:rPr>
        <w:t>v materskom mlieku nedetekovateľn</w:t>
      </w:r>
      <w:r w:rsidRPr="009D7C92">
        <w:rPr>
          <w:color w:val="auto"/>
        </w:rPr>
        <w:t>é</w:t>
      </w:r>
      <w:r w:rsidR="00323CDC" w:rsidRPr="009D7C92">
        <w:rPr>
          <w:color w:val="auto"/>
        </w:rPr>
        <w:t xml:space="preserve">. Účinok </w:t>
      </w:r>
      <w:r w:rsidR="003A3BFA" w:rsidRPr="009D7C92">
        <w:rPr>
          <w:color w:val="auto"/>
        </w:rPr>
        <w:t xml:space="preserve">opakovaných </w:t>
      </w:r>
      <w:r w:rsidR="00323CDC" w:rsidRPr="009D7C92">
        <w:rPr>
          <w:color w:val="auto"/>
        </w:rPr>
        <w:t>dávok však nie je známy.</w:t>
      </w:r>
    </w:p>
    <w:p w14:paraId="3A72D903" w14:textId="155E6D5F" w:rsidR="00323CDC" w:rsidRPr="009D7C92" w:rsidRDefault="00323CDC">
      <w:pPr>
        <w:jc w:val="left"/>
        <w:rPr>
          <w:color w:val="auto"/>
        </w:rPr>
      </w:pPr>
    </w:p>
    <w:p w14:paraId="35C17995" w14:textId="52F03200" w:rsidR="00EB25B2" w:rsidRDefault="00323CDC" w:rsidP="00243692">
      <w:pPr>
        <w:jc w:val="left"/>
        <w:rPr>
          <w:i/>
          <w:color w:val="auto"/>
        </w:rPr>
      </w:pPr>
      <w:r w:rsidRPr="009D7C92">
        <w:rPr>
          <w:i/>
          <w:color w:val="auto"/>
        </w:rPr>
        <w:t>Pacienti s po</w:t>
      </w:r>
      <w:r w:rsidR="00DA748E" w:rsidRPr="009D7C92">
        <w:rPr>
          <w:i/>
          <w:color w:val="auto"/>
        </w:rPr>
        <w:t>ruchou</w:t>
      </w:r>
      <w:r w:rsidRPr="009D7C92">
        <w:rPr>
          <w:i/>
          <w:color w:val="auto"/>
        </w:rPr>
        <w:t xml:space="preserve"> funkcie obličiek (pozri časť 4.2)</w:t>
      </w:r>
    </w:p>
    <w:p w14:paraId="5A622BA9" w14:textId="63BB13B9" w:rsidR="00EB25B2" w:rsidRDefault="00323CDC" w:rsidP="00EE703D">
      <w:pPr>
        <w:jc w:val="left"/>
        <w:rPr>
          <w:color w:val="auto"/>
        </w:rPr>
      </w:pPr>
      <w:r w:rsidRPr="009D7C92">
        <w:rPr>
          <w:color w:val="auto"/>
        </w:rPr>
        <w:t>Vylučovanie ramipril</w:t>
      </w:r>
      <w:r w:rsidR="00236532" w:rsidRPr="009D7C92">
        <w:rPr>
          <w:color w:val="auto"/>
        </w:rPr>
        <w:t>á</w:t>
      </w:r>
      <w:r w:rsidRPr="009D7C92">
        <w:rPr>
          <w:color w:val="auto"/>
        </w:rPr>
        <w:t>tu obličkami je u pacientov so zhoršenou funkciou obličiek znížené a renálny klírens ramipril</w:t>
      </w:r>
      <w:r w:rsidR="00236532" w:rsidRPr="009D7C92">
        <w:rPr>
          <w:color w:val="auto"/>
        </w:rPr>
        <w:t>á</w:t>
      </w:r>
      <w:r w:rsidRPr="009D7C92">
        <w:rPr>
          <w:color w:val="auto"/>
        </w:rPr>
        <w:t>tu je úmerný klírensu kreatinínu. Výsledkom sú zvýšené plazmatické koncentrácie ramipril</w:t>
      </w:r>
      <w:r w:rsidR="00236532" w:rsidRPr="009D7C92">
        <w:rPr>
          <w:color w:val="auto"/>
        </w:rPr>
        <w:t>á</w:t>
      </w:r>
      <w:r w:rsidRPr="009D7C92">
        <w:rPr>
          <w:color w:val="auto"/>
        </w:rPr>
        <w:t>tu, ktoré klesajú pomalšie ako u pacientov s normálnou funkciou obličiek.</w:t>
      </w:r>
    </w:p>
    <w:p w14:paraId="39B90D37" w14:textId="27D01E1B" w:rsidR="00323CDC" w:rsidRPr="009D7C92" w:rsidRDefault="00323CDC" w:rsidP="00211D25">
      <w:pPr>
        <w:jc w:val="left"/>
        <w:rPr>
          <w:color w:val="auto"/>
        </w:rPr>
      </w:pPr>
    </w:p>
    <w:p w14:paraId="0331C6C5" w14:textId="1AF0855D" w:rsidR="00EB25B2" w:rsidRDefault="00323CDC" w:rsidP="00243692">
      <w:pPr>
        <w:jc w:val="left"/>
        <w:rPr>
          <w:i/>
          <w:color w:val="auto"/>
        </w:rPr>
      </w:pPr>
      <w:r w:rsidRPr="009D7C92">
        <w:rPr>
          <w:i/>
          <w:color w:val="auto"/>
        </w:rPr>
        <w:t>Pacienti s po</w:t>
      </w:r>
      <w:r w:rsidR="00DA748E" w:rsidRPr="009D7C92">
        <w:rPr>
          <w:i/>
          <w:color w:val="auto"/>
        </w:rPr>
        <w:t>ruchou</w:t>
      </w:r>
      <w:r w:rsidRPr="009D7C92">
        <w:rPr>
          <w:i/>
          <w:color w:val="auto"/>
        </w:rPr>
        <w:t xml:space="preserve"> funkcie pečene (pozri časť 4.2)</w:t>
      </w:r>
    </w:p>
    <w:p w14:paraId="27A314E9" w14:textId="1838FC81" w:rsidR="00EB25B2" w:rsidRDefault="00323CDC" w:rsidP="00EE703D">
      <w:pPr>
        <w:jc w:val="left"/>
        <w:rPr>
          <w:color w:val="auto"/>
        </w:rPr>
      </w:pPr>
      <w:r w:rsidRPr="009D7C92">
        <w:rPr>
          <w:color w:val="auto"/>
        </w:rPr>
        <w:t>U pacientov s po</w:t>
      </w:r>
      <w:r w:rsidR="00DA748E" w:rsidRPr="009D7C92">
        <w:rPr>
          <w:color w:val="auto"/>
        </w:rPr>
        <w:t>ruchou</w:t>
      </w:r>
      <w:r w:rsidRPr="009D7C92">
        <w:rPr>
          <w:color w:val="auto"/>
        </w:rPr>
        <w:t xml:space="preserve"> funkci</w:t>
      </w:r>
      <w:r w:rsidR="00DA748E" w:rsidRPr="009D7C92">
        <w:rPr>
          <w:color w:val="auto"/>
        </w:rPr>
        <w:t>e</w:t>
      </w:r>
      <w:r w:rsidRPr="009D7C92">
        <w:rPr>
          <w:color w:val="auto"/>
        </w:rPr>
        <w:t xml:space="preserve"> pečene sa metabolizmus ramiprilu na ramipril</w:t>
      </w:r>
      <w:r w:rsidR="00236532" w:rsidRPr="009D7C92">
        <w:rPr>
          <w:color w:val="auto"/>
        </w:rPr>
        <w:t>á</w:t>
      </w:r>
      <w:r w:rsidRPr="009D7C92">
        <w:rPr>
          <w:color w:val="auto"/>
        </w:rPr>
        <w:t>t oneskoril kvôli zníženej aktivite pečeňových esteráz a hladiny plazmatického ramiprilu u týchto pacientov sa zvýšili. Maximálne koncentrácie ramipril</w:t>
      </w:r>
      <w:r w:rsidR="00236532" w:rsidRPr="009D7C92">
        <w:rPr>
          <w:color w:val="auto"/>
        </w:rPr>
        <w:t>á</w:t>
      </w:r>
      <w:r w:rsidRPr="009D7C92">
        <w:rPr>
          <w:color w:val="auto"/>
        </w:rPr>
        <w:t>tu u týchto pacientov sa však nelíšia od tých, ktoré sa pozorovali u pacientov s normálnou funkciou pečene.</w:t>
      </w:r>
    </w:p>
    <w:p w14:paraId="28D28721" w14:textId="77777777" w:rsidR="00323CDC" w:rsidRPr="009D7C92" w:rsidRDefault="00323CDC" w:rsidP="00211D25">
      <w:pPr>
        <w:jc w:val="left"/>
        <w:rPr>
          <w:color w:val="auto"/>
        </w:rPr>
      </w:pPr>
    </w:p>
    <w:p w14:paraId="366601F8" w14:textId="5D3BB1C9" w:rsidR="00EB25B2" w:rsidRDefault="00323CDC" w:rsidP="00243692">
      <w:pPr>
        <w:jc w:val="left"/>
        <w:rPr>
          <w:b/>
          <w:color w:val="auto"/>
        </w:rPr>
      </w:pPr>
      <w:r w:rsidRPr="009D7C92">
        <w:rPr>
          <w:b/>
          <w:color w:val="auto"/>
        </w:rPr>
        <w:t>Amlodip</w:t>
      </w:r>
      <w:r w:rsidR="003A5262" w:rsidRPr="009D7C92">
        <w:rPr>
          <w:b/>
          <w:color w:val="auto"/>
        </w:rPr>
        <w:t>ín</w:t>
      </w:r>
    </w:p>
    <w:p w14:paraId="026650FA" w14:textId="56204C74" w:rsidR="00EB25B2" w:rsidRDefault="00323CDC" w:rsidP="00243692">
      <w:pPr>
        <w:jc w:val="left"/>
        <w:rPr>
          <w:color w:val="auto"/>
          <w:u w:val="single"/>
        </w:rPr>
      </w:pPr>
      <w:r w:rsidRPr="009D7C92">
        <w:rPr>
          <w:color w:val="auto"/>
          <w:u w:val="single"/>
        </w:rPr>
        <w:t>Absorpcia, distribúcia, väzba na plazmatické proteíny</w:t>
      </w:r>
    </w:p>
    <w:p w14:paraId="2A3D3E0B" w14:textId="3021CF37" w:rsidR="00EB25B2" w:rsidRDefault="00323CDC" w:rsidP="00EE703D">
      <w:pPr>
        <w:jc w:val="left"/>
        <w:rPr>
          <w:color w:val="auto"/>
        </w:rPr>
      </w:pPr>
      <w:r w:rsidRPr="009D7C92">
        <w:rPr>
          <w:color w:val="auto"/>
        </w:rPr>
        <w:t xml:space="preserve">Po perorálnom podaní terapeutických dávok sa amlodipín dobre absorbuje s maximálnymi </w:t>
      </w:r>
      <w:r w:rsidR="00CD313A" w:rsidRPr="009D7C92">
        <w:rPr>
          <w:color w:val="auto"/>
        </w:rPr>
        <w:t xml:space="preserve">koncentráciami </w:t>
      </w:r>
      <w:r w:rsidRPr="009D7C92">
        <w:rPr>
          <w:color w:val="auto"/>
        </w:rPr>
        <w:t xml:space="preserve">v krvi medzi 6-12 hodinami po </w:t>
      </w:r>
      <w:r w:rsidR="00BC71AB" w:rsidRPr="009D7C92">
        <w:rPr>
          <w:color w:val="auto"/>
        </w:rPr>
        <w:t>podaní</w:t>
      </w:r>
      <w:r w:rsidRPr="009D7C92">
        <w:rPr>
          <w:color w:val="auto"/>
        </w:rPr>
        <w:t xml:space="preserve">. Absolútna biologická dostupnosť sa odhaduje na 64 až 80%. Distribučný objem je približne 21 l/kg. Štúdie </w:t>
      </w:r>
      <w:r w:rsidRPr="009D7C92">
        <w:rPr>
          <w:i/>
          <w:color w:val="auto"/>
        </w:rPr>
        <w:t>in vitro</w:t>
      </w:r>
      <w:r w:rsidRPr="009D7C92">
        <w:rPr>
          <w:color w:val="auto"/>
        </w:rPr>
        <w:t xml:space="preserve"> ukázali, že približne 97,5% cirkulujúceho amlodipínu sa viaže na plazmatické proteíny.</w:t>
      </w:r>
    </w:p>
    <w:p w14:paraId="0A8200D2" w14:textId="1C1738FD" w:rsidR="00EB25B2" w:rsidRDefault="00323CDC" w:rsidP="00211D25">
      <w:pPr>
        <w:jc w:val="left"/>
        <w:rPr>
          <w:color w:val="auto"/>
        </w:rPr>
      </w:pPr>
      <w:r w:rsidRPr="009D7C92">
        <w:rPr>
          <w:color w:val="auto"/>
        </w:rPr>
        <w:t>Biologická dostupnosť amlodipínu nie je ovplyvnená príjmom potravy.</w:t>
      </w:r>
    </w:p>
    <w:p w14:paraId="16FFDCA2" w14:textId="333B936D" w:rsidR="00323CDC" w:rsidRPr="009D7C92" w:rsidRDefault="00323CDC" w:rsidP="00F87817">
      <w:pPr>
        <w:jc w:val="left"/>
        <w:rPr>
          <w:color w:val="auto"/>
        </w:rPr>
      </w:pPr>
    </w:p>
    <w:p w14:paraId="38663415" w14:textId="41F20ABE" w:rsidR="00EB25B2" w:rsidRDefault="00323CDC" w:rsidP="00243692">
      <w:pPr>
        <w:jc w:val="left"/>
        <w:rPr>
          <w:color w:val="auto"/>
          <w:u w:val="single"/>
        </w:rPr>
      </w:pPr>
      <w:r w:rsidRPr="009D7C92">
        <w:rPr>
          <w:color w:val="auto"/>
          <w:u w:val="single"/>
        </w:rPr>
        <w:t>Biotransformácia/eliminácia</w:t>
      </w:r>
    </w:p>
    <w:p w14:paraId="43E8E185" w14:textId="7D92E3C6" w:rsidR="00EB25B2" w:rsidRDefault="00CD313A" w:rsidP="00EE703D">
      <w:pPr>
        <w:jc w:val="left"/>
        <w:rPr>
          <w:color w:val="auto"/>
        </w:rPr>
      </w:pPr>
      <w:r w:rsidRPr="009D7C92">
        <w:rPr>
          <w:color w:val="auto"/>
        </w:rPr>
        <w:t xml:space="preserve">Terminálny eliminačný plazmatický </w:t>
      </w:r>
      <w:r w:rsidR="00323CDC" w:rsidRPr="009D7C92">
        <w:rPr>
          <w:color w:val="auto"/>
        </w:rPr>
        <w:t xml:space="preserve">polčas je približne 35-50 hodín a je </w:t>
      </w:r>
      <w:r w:rsidRPr="009D7C92">
        <w:rPr>
          <w:color w:val="auto"/>
        </w:rPr>
        <w:t xml:space="preserve">zhodný </w:t>
      </w:r>
      <w:r w:rsidR="00323CDC" w:rsidRPr="009D7C92">
        <w:rPr>
          <w:color w:val="auto"/>
        </w:rPr>
        <w:t>s dávkovaním jedenkrát denne. Amlodipín sa extenzívne metabolizuje v pečeni na inaktívne metabolity, pričom 10</w:t>
      </w:r>
      <w:r w:rsidR="009D7FBC" w:rsidRPr="009D7C92">
        <w:rPr>
          <w:color w:val="auto"/>
        </w:rPr>
        <w:t xml:space="preserve"> </w:t>
      </w:r>
      <w:r w:rsidR="00323CDC" w:rsidRPr="009D7C92">
        <w:rPr>
          <w:color w:val="auto"/>
        </w:rPr>
        <w:t>% materskej zlúčeniny a</w:t>
      </w:r>
      <w:r w:rsidR="009D7FBC" w:rsidRPr="009D7C92">
        <w:rPr>
          <w:color w:val="auto"/>
        </w:rPr>
        <w:t> </w:t>
      </w:r>
      <w:r w:rsidR="00323CDC" w:rsidRPr="009D7C92">
        <w:rPr>
          <w:color w:val="auto"/>
        </w:rPr>
        <w:t>60</w:t>
      </w:r>
      <w:r w:rsidR="009D7FBC" w:rsidRPr="009D7C92">
        <w:rPr>
          <w:color w:val="auto"/>
        </w:rPr>
        <w:t xml:space="preserve"> </w:t>
      </w:r>
      <w:r w:rsidR="00323CDC" w:rsidRPr="009D7C92">
        <w:rPr>
          <w:color w:val="auto"/>
        </w:rPr>
        <w:t>% metabolitov sa vylučuje močom.</w:t>
      </w:r>
    </w:p>
    <w:p w14:paraId="641296B3" w14:textId="3929242C" w:rsidR="00323CDC" w:rsidRPr="009D7C92" w:rsidRDefault="00323CDC" w:rsidP="00211D25">
      <w:pPr>
        <w:jc w:val="left"/>
        <w:rPr>
          <w:color w:val="auto"/>
        </w:rPr>
      </w:pPr>
    </w:p>
    <w:p w14:paraId="582087A0" w14:textId="07393172" w:rsidR="00EB25B2" w:rsidRDefault="00323CDC" w:rsidP="00243692">
      <w:pPr>
        <w:jc w:val="left"/>
        <w:rPr>
          <w:i/>
          <w:color w:val="auto"/>
        </w:rPr>
      </w:pPr>
      <w:r w:rsidRPr="009D7C92">
        <w:rPr>
          <w:i/>
          <w:color w:val="auto"/>
        </w:rPr>
        <w:t>Použitie pri po</w:t>
      </w:r>
      <w:r w:rsidR="00CD313A" w:rsidRPr="009D7C92">
        <w:rPr>
          <w:i/>
          <w:color w:val="auto"/>
        </w:rPr>
        <w:t>ruche</w:t>
      </w:r>
      <w:r w:rsidRPr="009D7C92">
        <w:rPr>
          <w:i/>
          <w:color w:val="auto"/>
        </w:rPr>
        <w:t xml:space="preserve"> funkcie pečene</w:t>
      </w:r>
    </w:p>
    <w:p w14:paraId="72FFFCEF" w14:textId="578DFD6D" w:rsidR="00EB25B2" w:rsidRDefault="00323CDC" w:rsidP="00EE703D">
      <w:pPr>
        <w:jc w:val="left"/>
        <w:rPr>
          <w:color w:val="auto"/>
        </w:rPr>
      </w:pPr>
      <w:r w:rsidRPr="009D7C92">
        <w:rPr>
          <w:color w:val="auto"/>
        </w:rPr>
        <w:t>K dispozícii sú veľmi obmedzené klinické údaje týkajúce sa podávania amlodipínu paciento</w:t>
      </w:r>
      <w:r w:rsidR="00CD313A" w:rsidRPr="009D7C92">
        <w:rPr>
          <w:color w:val="auto"/>
        </w:rPr>
        <w:t>m</w:t>
      </w:r>
      <w:r w:rsidRPr="009D7C92">
        <w:rPr>
          <w:color w:val="auto"/>
        </w:rPr>
        <w:t xml:space="preserve"> s po</w:t>
      </w:r>
      <w:r w:rsidR="00CD313A" w:rsidRPr="009D7C92">
        <w:rPr>
          <w:color w:val="auto"/>
        </w:rPr>
        <w:t>ruchou</w:t>
      </w:r>
      <w:r w:rsidRPr="009D7C92">
        <w:rPr>
          <w:color w:val="auto"/>
        </w:rPr>
        <w:t xml:space="preserve"> funkcie pečene. Pacienti s insuficienciou pečene majú znížený klírens amlodipínu, čo má za následok dlhší polčas a zvýšenie AUC približne o 40-60</w:t>
      </w:r>
      <w:r w:rsidR="00AF3B6A" w:rsidRPr="009D7C92">
        <w:rPr>
          <w:color w:val="auto"/>
        </w:rPr>
        <w:t xml:space="preserve"> </w:t>
      </w:r>
      <w:r w:rsidRPr="009D7C92">
        <w:rPr>
          <w:color w:val="auto"/>
        </w:rPr>
        <w:t>%.</w:t>
      </w:r>
    </w:p>
    <w:p w14:paraId="29C98E46" w14:textId="04CEA99C" w:rsidR="00323CDC" w:rsidRPr="009D7C92" w:rsidRDefault="00323CDC" w:rsidP="00211D25">
      <w:pPr>
        <w:jc w:val="left"/>
        <w:rPr>
          <w:color w:val="auto"/>
        </w:rPr>
      </w:pPr>
    </w:p>
    <w:p w14:paraId="619747AC" w14:textId="7D4025C5" w:rsidR="00EB25B2" w:rsidRDefault="00323CDC" w:rsidP="00243692">
      <w:pPr>
        <w:jc w:val="left"/>
        <w:rPr>
          <w:i/>
          <w:color w:val="auto"/>
        </w:rPr>
      </w:pPr>
      <w:r w:rsidRPr="009D7C92">
        <w:rPr>
          <w:i/>
          <w:color w:val="auto"/>
        </w:rPr>
        <w:t>Použitie u starších osôb</w:t>
      </w:r>
    </w:p>
    <w:p w14:paraId="03A56C3A" w14:textId="17B80D5A" w:rsidR="00EB25B2" w:rsidRDefault="00323CDC" w:rsidP="00EE703D">
      <w:pPr>
        <w:jc w:val="left"/>
        <w:rPr>
          <w:color w:val="auto"/>
        </w:rPr>
      </w:pPr>
      <w:r w:rsidRPr="009D7C92">
        <w:rPr>
          <w:color w:val="auto"/>
        </w:rPr>
        <w:t xml:space="preserve">Čas dosiahnutia maximálnych plazmatických koncentrácií amlodipínu je podobný u starších a mladších </w:t>
      </w:r>
      <w:r w:rsidR="00CD313A" w:rsidRPr="009D7C92">
        <w:rPr>
          <w:color w:val="auto"/>
        </w:rPr>
        <w:t>osôb</w:t>
      </w:r>
      <w:r w:rsidRPr="009D7C92">
        <w:rPr>
          <w:color w:val="auto"/>
        </w:rPr>
        <w:t>. Klírens amlodipínu má tendenciu klesať, čo má za následok zvýšenie AUC a</w:t>
      </w:r>
      <w:r w:rsidR="00CD313A" w:rsidRPr="009D7C92">
        <w:rPr>
          <w:color w:val="auto"/>
        </w:rPr>
        <w:t xml:space="preserve"> predĺženie eliminačného </w:t>
      </w:r>
      <w:r w:rsidRPr="009D7C92">
        <w:rPr>
          <w:color w:val="auto"/>
        </w:rPr>
        <w:t>polčas</w:t>
      </w:r>
      <w:r w:rsidR="00CD313A" w:rsidRPr="009D7C92">
        <w:rPr>
          <w:color w:val="auto"/>
        </w:rPr>
        <w:t>u</w:t>
      </w:r>
      <w:r w:rsidRPr="009D7C92">
        <w:rPr>
          <w:color w:val="auto"/>
        </w:rPr>
        <w:t xml:space="preserve"> u starších pacientov. Zvýšenie AUC a</w:t>
      </w:r>
      <w:r w:rsidR="00CD313A" w:rsidRPr="009D7C92">
        <w:rPr>
          <w:color w:val="auto"/>
        </w:rPr>
        <w:t xml:space="preserve"> predĺženie</w:t>
      </w:r>
      <w:r w:rsidRPr="009D7C92">
        <w:rPr>
          <w:color w:val="auto"/>
        </w:rPr>
        <w:t xml:space="preserve"> </w:t>
      </w:r>
      <w:r w:rsidR="00AB498A" w:rsidRPr="009D7C92">
        <w:rPr>
          <w:color w:val="auto"/>
        </w:rPr>
        <w:t xml:space="preserve">eliminačného </w:t>
      </w:r>
      <w:r w:rsidRPr="009D7C92">
        <w:rPr>
          <w:color w:val="auto"/>
        </w:rPr>
        <w:t>polčas</w:t>
      </w:r>
      <w:r w:rsidR="00CD313A" w:rsidRPr="009D7C92">
        <w:rPr>
          <w:color w:val="auto"/>
        </w:rPr>
        <w:t>u</w:t>
      </w:r>
      <w:r w:rsidRPr="009D7C92">
        <w:rPr>
          <w:color w:val="auto"/>
        </w:rPr>
        <w:t xml:space="preserve"> u pacientov s kongestívnym zly</w:t>
      </w:r>
      <w:r w:rsidR="00CD313A" w:rsidRPr="009D7C92">
        <w:rPr>
          <w:color w:val="auto"/>
        </w:rPr>
        <w:t>hávaním srdca</w:t>
      </w:r>
      <w:r w:rsidRPr="009D7C92">
        <w:rPr>
          <w:color w:val="auto"/>
        </w:rPr>
        <w:t xml:space="preserve"> boli </w:t>
      </w:r>
      <w:r w:rsidR="00CD313A" w:rsidRPr="009D7C92">
        <w:rPr>
          <w:color w:val="auto"/>
        </w:rPr>
        <w:t>v</w:t>
      </w:r>
      <w:r w:rsidRPr="009D7C92">
        <w:rPr>
          <w:color w:val="auto"/>
        </w:rPr>
        <w:t xml:space="preserve"> sledovanej vekovej skupin</w:t>
      </w:r>
      <w:r w:rsidR="00CD313A" w:rsidRPr="009D7C92">
        <w:rPr>
          <w:color w:val="auto"/>
        </w:rPr>
        <w:t>e</w:t>
      </w:r>
      <w:r w:rsidRPr="009D7C92">
        <w:rPr>
          <w:color w:val="auto"/>
        </w:rPr>
        <w:t xml:space="preserve"> pacientov</w:t>
      </w:r>
      <w:r w:rsidR="00CD313A" w:rsidRPr="009D7C92">
        <w:rPr>
          <w:color w:val="auto"/>
        </w:rPr>
        <w:t xml:space="preserve"> očakávané</w:t>
      </w:r>
      <w:r w:rsidRPr="009D7C92">
        <w:rPr>
          <w:color w:val="auto"/>
        </w:rPr>
        <w:t>.</w:t>
      </w:r>
    </w:p>
    <w:p w14:paraId="21FCCB65" w14:textId="6157165C" w:rsidR="00A249FA" w:rsidRPr="009D7C92" w:rsidRDefault="00A249FA" w:rsidP="00211D25">
      <w:pPr>
        <w:jc w:val="left"/>
        <w:rPr>
          <w:color w:val="auto"/>
        </w:rPr>
      </w:pPr>
    </w:p>
    <w:p w14:paraId="7A139A42" w14:textId="77777777" w:rsidR="00323CDC" w:rsidRPr="009D7C92" w:rsidRDefault="00323CDC" w:rsidP="00F87817">
      <w:pPr>
        <w:jc w:val="left"/>
        <w:rPr>
          <w:b/>
          <w:color w:val="auto"/>
        </w:rPr>
      </w:pPr>
      <w:r w:rsidRPr="009D7C92">
        <w:rPr>
          <w:b/>
          <w:color w:val="auto"/>
        </w:rPr>
        <w:t>Hydrochlorotiazid</w:t>
      </w:r>
    </w:p>
    <w:p w14:paraId="5D11DB7F" w14:textId="77777777" w:rsidR="00323CDC" w:rsidRPr="009D7C92" w:rsidRDefault="00BA06D4">
      <w:pPr>
        <w:jc w:val="left"/>
        <w:rPr>
          <w:bCs/>
          <w:color w:val="auto"/>
          <w:u w:val="single"/>
        </w:rPr>
      </w:pPr>
      <w:r w:rsidRPr="009D7C92">
        <w:rPr>
          <w:bCs/>
          <w:color w:val="auto"/>
          <w:u w:val="single"/>
        </w:rPr>
        <w:t>Absorpcia</w:t>
      </w:r>
    </w:p>
    <w:p w14:paraId="111E8B5B" w14:textId="77777777" w:rsidR="00323CDC" w:rsidRPr="009D7C92" w:rsidRDefault="00323CDC">
      <w:pPr>
        <w:jc w:val="left"/>
        <w:rPr>
          <w:color w:val="auto"/>
        </w:rPr>
      </w:pPr>
      <w:r w:rsidRPr="009D7C92">
        <w:rPr>
          <w:color w:val="auto"/>
        </w:rPr>
        <w:lastRenderedPageBreak/>
        <w:t>Po perorálnom podaní hydrochlorotiazidu je absorpcia rýchla (T</w:t>
      </w:r>
      <w:r w:rsidRPr="009D7C92">
        <w:rPr>
          <w:color w:val="auto"/>
          <w:vertAlign w:val="subscript"/>
        </w:rPr>
        <w:t>max</w:t>
      </w:r>
      <w:r w:rsidRPr="009D7C92">
        <w:rPr>
          <w:color w:val="auto"/>
        </w:rPr>
        <w:t xml:space="preserve"> približne 2 hodiny). Zvýšenie priemernej AUC je lineárne a úmerné dávke v terapeutickom rozmedzí.</w:t>
      </w:r>
    </w:p>
    <w:p w14:paraId="5BD4CAF8" w14:textId="77777777" w:rsidR="00323CDC" w:rsidRPr="009D7C92" w:rsidRDefault="00323CDC">
      <w:pPr>
        <w:jc w:val="left"/>
        <w:rPr>
          <w:color w:val="auto"/>
        </w:rPr>
      </w:pPr>
      <w:r w:rsidRPr="009D7C92">
        <w:rPr>
          <w:color w:val="auto"/>
        </w:rPr>
        <w:t>Účinok jedla na absorpciu hydrochlorotiazidu má malý klinický vplyv. Po perorálnom podaní je absolútna biologická dostupnosť hydrochlorotiazidu 70</w:t>
      </w:r>
      <w:r w:rsidR="00AF3B6A" w:rsidRPr="009D7C92">
        <w:rPr>
          <w:color w:val="auto"/>
        </w:rPr>
        <w:t xml:space="preserve"> </w:t>
      </w:r>
      <w:r w:rsidRPr="009D7C92">
        <w:rPr>
          <w:color w:val="auto"/>
        </w:rPr>
        <w:t>%.</w:t>
      </w:r>
    </w:p>
    <w:p w14:paraId="0D7B6CAE" w14:textId="6501BD49" w:rsidR="00323CDC" w:rsidRPr="009D7C92" w:rsidRDefault="00323CDC">
      <w:pPr>
        <w:jc w:val="left"/>
        <w:rPr>
          <w:color w:val="auto"/>
        </w:rPr>
      </w:pPr>
      <w:r w:rsidRPr="009D7C92">
        <w:rPr>
          <w:color w:val="auto"/>
        </w:rPr>
        <w:t>U pacientov s kongestívnym zlyh</w:t>
      </w:r>
      <w:r w:rsidR="00CD313A" w:rsidRPr="009D7C92">
        <w:rPr>
          <w:color w:val="auto"/>
        </w:rPr>
        <w:t>ávaním</w:t>
      </w:r>
      <w:r w:rsidRPr="009D7C92">
        <w:rPr>
          <w:color w:val="auto"/>
        </w:rPr>
        <w:t xml:space="preserve"> srdca sa zhoršuje absorpcia hydrochlorotiazidu.</w:t>
      </w:r>
    </w:p>
    <w:p w14:paraId="7C359F45" w14:textId="0AE4F9E2" w:rsidR="00EB25B2" w:rsidRDefault="00323CDC">
      <w:pPr>
        <w:jc w:val="left"/>
        <w:rPr>
          <w:color w:val="auto"/>
        </w:rPr>
      </w:pPr>
      <w:r w:rsidRPr="009D7C92">
        <w:rPr>
          <w:color w:val="auto"/>
        </w:rPr>
        <w:t>Nepretržité podávanie nemení metabolizmus hydrochlorotiazidu. Po 3 mesiacoch liečby dennou dávkou 50 mg hydrochlorotiazidu je absorpcia, eliminácia alebo vylučovanie podobné ako pri krátkodobej liečbe.</w:t>
      </w:r>
    </w:p>
    <w:p w14:paraId="030B42B1" w14:textId="77777777" w:rsidR="00323CDC" w:rsidRPr="009D7C92" w:rsidRDefault="00323CDC">
      <w:pPr>
        <w:jc w:val="left"/>
        <w:rPr>
          <w:bCs/>
          <w:color w:val="auto"/>
        </w:rPr>
      </w:pPr>
    </w:p>
    <w:p w14:paraId="302C0EBB" w14:textId="0D5311D2" w:rsidR="00EB25B2" w:rsidRDefault="00323CDC">
      <w:pPr>
        <w:jc w:val="left"/>
        <w:rPr>
          <w:bCs/>
          <w:color w:val="auto"/>
          <w:u w:val="single"/>
        </w:rPr>
      </w:pPr>
      <w:r w:rsidRPr="009D7C92">
        <w:rPr>
          <w:bCs/>
          <w:color w:val="auto"/>
          <w:u w:val="single"/>
        </w:rPr>
        <w:t>Distribúcia</w:t>
      </w:r>
    </w:p>
    <w:p w14:paraId="3A016708" w14:textId="1678CCE3" w:rsidR="00323CDC" w:rsidRPr="009D7C92" w:rsidRDefault="00323CDC">
      <w:pPr>
        <w:jc w:val="left"/>
        <w:rPr>
          <w:bCs/>
          <w:color w:val="auto"/>
        </w:rPr>
      </w:pPr>
      <w:r w:rsidRPr="009D7C92">
        <w:rPr>
          <w:bCs/>
          <w:color w:val="auto"/>
        </w:rPr>
        <w:t xml:space="preserve">Hydrochlorotiazid sa akumuluje v erytrocytoch a dosahuje maximálnu koncentráciu 4 hodiny po perorálnom podaní. Po 10 hodinách je koncentrácia v erytrocytoch približne 3-násobkom koncentrácie </w:t>
      </w:r>
      <w:r w:rsidR="00CD313A" w:rsidRPr="009D7C92">
        <w:rPr>
          <w:bCs/>
          <w:color w:val="auto"/>
        </w:rPr>
        <w:t xml:space="preserve">v </w:t>
      </w:r>
      <w:r w:rsidRPr="009D7C92">
        <w:rPr>
          <w:bCs/>
          <w:color w:val="auto"/>
        </w:rPr>
        <w:t>plazm</w:t>
      </w:r>
      <w:r w:rsidR="00CD313A" w:rsidRPr="009D7C92">
        <w:rPr>
          <w:bCs/>
          <w:color w:val="auto"/>
        </w:rPr>
        <w:t>e</w:t>
      </w:r>
      <w:r w:rsidRPr="009D7C92">
        <w:rPr>
          <w:bCs/>
          <w:color w:val="auto"/>
        </w:rPr>
        <w:t xml:space="preserve">. Bolo hlásené naviazanie na plazmatické bielkoviny približne 40 </w:t>
      </w:r>
      <w:r w:rsidR="00AF3B6A" w:rsidRPr="009D7C92">
        <w:rPr>
          <w:bCs/>
          <w:color w:val="auto"/>
        </w:rPr>
        <w:t>–</w:t>
      </w:r>
      <w:r w:rsidRPr="009D7C92">
        <w:rPr>
          <w:bCs/>
          <w:color w:val="auto"/>
        </w:rPr>
        <w:t xml:space="preserve"> 70% a zdanlivý distribučný objem sa odhadoval na 4 - 8 </w:t>
      </w:r>
      <w:r w:rsidR="00AF3B6A" w:rsidRPr="009D7C92">
        <w:rPr>
          <w:bCs/>
          <w:color w:val="auto"/>
        </w:rPr>
        <w:t>l</w:t>
      </w:r>
      <w:r w:rsidRPr="009D7C92">
        <w:rPr>
          <w:bCs/>
          <w:color w:val="auto"/>
        </w:rPr>
        <w:t>/kg.</w:t>
      </w:r>
    </w:p>
    <w:p w14:paraId="253DEEBB" w14:textId="46DF5A0A" w:rsidR="00EB25B2" w:rsidRDefault="00CD313A">
      <w:pPr>
        <w:jc w:val="left"/>
        <w:rPr>
          <w:color w:val="auto"/>
        </w:rPr>
      </w:pPr>
      <w:r w:rsidRPr="009D7C92">
        <w:rPr>
          <w:color w:val="auto"/>
        </w:rPr>
        <w:t>Eliminačný p</w:t>
      </w:r>
      <w:r w:rsidR="00323CDC" w:rsidRPr="009D7C92">
        <w:rPr>
          <w:color w:val="auto"/>
        </w:rPr>
        <w:t xml:space="preserve">olčas sa veľmi líši medzi jednotlivými </w:t>
      </w:r>
      <w:r w:rsidRPr="009D7C92">
        <w:rPr>
          <w:color w:val="auto"/>
        </w:rPr>
        <w:t>osobami:</w:t>
      </w:r>
      <w:r w:rsidR="00323CDC" w:rsidRPr="009D7C92">
        <w:rPr>
          <w:color w:val="auto"/>
        </w:rPr>
        <w:t xml:space="preserve"> je medzi 6 a 25 hodinami.</w:t>
      </w:r>
    </w:p>
    <w:p w14:paraId="719B32C8" w14:textId="77777777" w:rsidR="00323CDC" w:rsidRPr="009D7C92" w:rsidRDefault="00323CDC">
      <w:pPr>
        <w:jc w:val="left"/>
        <w:rPr>
          <w:bCs/>
          <w:color w:val="auto"/>
        </w:rPr>
      </w:pPr>
    </w:p>
    <w:p w14:paraId="69F81286" w14:textId="77777777" w:rsidR="00323CDC" w:rsidRPr="009D7C92" w:rsidRDefault="00BA06D4">
      <w:pPr>
        <w:jc w:val="left"/>
        <w:rPr>
          <w:bCs/>
          <w:color w:val="auto"/>
        </w:rPr>
      </w:pPr>
      <w:r w:rsidRPr="009D7C92">
        <w:rPr>
          <w:bCs/>
          <w:color w:val="auto"/>
          <w:u w:val="single"/>
        </w:rPr>
        <w:t>Biotransformácia</w:t>
      </w:r>
    </w:p>
    <w:p w14:paraId="53FC4AC2" w14:textId="018E06AE" w:rsidR="00EB25B2" w:rsidRDefault="00323CDC">
      <w:pPr>
        <w:jc w:val="left"/>
        <w:rPr>
          <w:color w:val="auto"/>
        </w:rPr>
      </w:pPr>
      <w:r w:rsidRPr="009D7C92">
        <w:rPr>
          <w:color w:val="auto"/>
        </w:rPr>
        <w:t>Hydrochlorotiazid podlieha zanedbateľnému metabolizmu v pečeni a nepreukázalo sa, že by indukoval alebo inhiboval akékoľvek izoenzýmy CYP450.</w:t>
      </w:r>
    </w:p>
    <w:p w14:paraId="21950B51" w14:textId="77777777" w:rsidR="00323CDC" w:rsidRPr="009D7C92" w:rsidRDefault="00323CDC">
      <w:pPr>
        <w:jc w:val="left"/>
        <w:rPr>
          <w:bCs/>
          <w:color w:val="auto"/>
        </w:rPr>
      </w:pPr>
    </w:p>
    <w:p w14:paraId="6DDFE795" w14:textId="77777777" w:rsidR="00323CDC" w:rsidRPr="009D7C92" w:rsidRDefault="00BA06D4">
      <w:pPr>
        <w:jc w:val="left"/>
        <w:rPr>
          <w:bCs/>
          <w:color w:val="auto"/>
          <w:u w:val="single"/>
        </w:rPr>
      </w:pPr>
      <w:r w:rsidRPr="009D7C92">
        <w:rPr>
          <w:bCs/>
          <w:color w:val="auto"/>
          <w:u w:val="single"/>
        </w:rPr>
        <w:t>Eliminácia</w:t>
      </w:r>
    </w:p>
    <w:p w14:paraId="41C43212" w14:textId="40A2FAE8" w:rsidR="00323CDC" w:rsidRPr="009D7C92" w:rsidRDefault="00323CDC">
      <w:pPr>
        <w:jc w:val="left"/>
        <w:rPr>
          <w:color w:val="auto"/>
        </w:rPr>
      </w:pPr>
      <w:r w:rsidRPr="009D7C92">
        <w:rPr>
          <w:color w:val="auto"/>
        </w:rPr>
        <w:t>Hydrochlorotiazid sa eliminuje z plazmy hlavne v nezmenenom stave s</w:t>
      </w:r>
      <w:r w:rsidR="00CD313A" w:rsidRPr="009D7C92">
        <w:rPr>
          <w:color w:val="auto"/>
        </w:rPr>
        <w:t xml:space="preserve"> </w:t>
      </w:r>
      <w:r w:rsidRPr="009D7C92">
        <w:rPr>
          <w:color w:val="auto"/>
        </w:rPr>
        <w:t>polčasom približne 6 až 15 hodín v terminálnej eliminačnej fáze. V priebehu 72 hodín sa 60 až 80</w:t>
      </w:r>
      <w:r w:rsidR="00AF3B6A" w:rsidRPr="009D7C92">
        <w:rPr>
          <w:color w:val="auto"/>
        </w:rPr>
        <w:t xml:space="preserve"> </w:t>
      </w:r>
      <w:r w:rsidRPr="009D7C92">
        <w:rPr>
          <w:color w:val="auto"/>
        </w:rPr>
        <w:t>% jednorazovej perorálnej dávky vylúči močom, 95</w:t>
      </w:r>
      <w:r w:rsidR="00AF3B6A" w:rsidRPr="009D7C92">
        <w:rPr>
          <w:color w:val="auto"/>
        </w:rPr>
        <w:t xml:space="preserve"> </w:t>
      </w:r>
      <w:r w:rsidRPr="009D7C92">
        <w:rPr>
          <w:color w:val="auto"/>
        </w:rPr>
        <w:t xml:space="preserve">% </w:t>
      </w:r>
      <w:r w:rsidR="00CD313A" w:rsidRPr="009D7C92">
        <w:rPr>
          <w:color w:val="auto"/>
        </w:rPr>
        <w:t>v </w:t>
      </w:r>
      <w:r w:rsidRPr="009D7C92">
        <w:rPr>
          <w:color w:val="auto"/>
        </w:rPr>
        <w:t>nezmenen</w:t>
      </w:r>
      <w:r w:rsidR="00CD313A" w:rsidRPr="009D7C92">
        <w:rPr>
          <w:color w:val="auto"/>
        </w:rPr>
        <w:t>ej forme</w:t>
      </w:r>
      <w:r w:rsidRPr="009D7C92">
        <w:rPr>
          <w:color w:val="auto"/>
        </w:rPr>
        <w:t xml:space="preserve"> a</w:t>
      </w:r>
      <w:r w:rsidR="00AF3B6A" w:rsidRPr="009D7C92">
        <w:rPr>
          <w:color w:val="auto"/>
        </w:rPr>
        <w:t> </w:t>
      </w:r>
      <w:r w:rsidRPr="009D7C92">
        <w:rPr>
          <w:color w:val="auto"/>
        </w:rPr>
        <w:t>4</w:t>
      </w:r>
      <w:r w:rsidR="00AF3B6A" w:rsidRPr="009D7C92">
        <w:rPr>
          <w:color w:val="auto"/>
        </w:rPr>
        <w:t xml:space="preserve"> </w:t>
      </w:r>
      <w:r w:rsidRPr="009D7C92">
        <w:rPr>
          <w:color w:val="auto"/>
        </w:rPr>
        <w:t>% ako hydrolyzát 2-amino-4-chlór-m-benzéndisulfónamidu (ABCS). Až 24</w:t>
      </w:r>
      <w:r w:rsidR="00AF3B6A" w:rsidRPr="009D7C92">
        <w:rPr>
          <w:color w:val="auto"/>
        </w:rPr>
        <w:t xml:space="preserve"> </w:t>
      </w:r>
      <w:r w:rsidRPr="009D7C92">
        <w:rPr>
          <w:color w:val="auto"/>
        </w:rPr>
        <w:t xml:space="preserve">% perorálnej dávky sa </w:t>
      </w:r>
      <w:r w:rsidR="00364F27" w:rsidRPr="009D7C92">
        <w:rPr>
          <w:color w:val="auto"/>
        </w:rPr>
        <w:t xml:space="preserve">vylúči </w:t>
      </w:r>
      <w:r w:rsidRPr="009D7C92">
        <w:rPr>
          <w:color w:val="auto"/>
        </w:rPr>
        <w:t>stolic</w:t>
      </w:r>
      <w:r w:rsidR="00364F27" w:rsidRPr="009D7C92">
        <w:rPr>
          <w:color w:val="auto"/>
        </w:rPr>
        <w:t>ou</w:t>
      </w:r>
      <w:r w:rsidRPr="009D7C92">
        <w:rPr>
          <w:color w:val="auto"/>
        </w:rPr>
        <w:t xml:space="preserve"> a zanedbateľné množstvo sa vylučuje do žlče. Pri zlyh</w:t>
      </w:r>
      <w:r w:rsidR="00CB7D13" w:rsidRPr="009D7C92">
        <w:rPr>
          <w:color w:val="auto"/>
        </w:rPr>
        <w:t>ávaní</w:t>
      </w:r>
      <w:r w:rsidRPr="009D7C92">
        <w:rPr>
          <w:color w:val="auto"/>
        </w:rPr>
        <w:t xml:space="preserve"> obličiek a srdca sa znižuje renálny klírens hydrochlorotiazidu a </w:t>
      </w:r>
      <w:r w:rsidR="00CB7D13" w:rsidRPr="009D7C92">
        <w:rPr>
          <w:color w:val="auto"/>
        </w:rPr>
        <w:t xml:space="preserve">predlžuje </w:t>
      </w:r>
      <w:r w:rsidRPr="009D7C92">
        <w:rPr>
          <w:color w:val="auto"/>
        </w:rPr>
        <w:t xml:space="preserve">sa </w:t>
      </w:r>
      <w:r w:rsidR="00CB7D13" w:rsidRPr="009D7C92">
        <w:rPr>
          <w:color w:val="auto"/>
        </w:rPr>
        <w:t xml:space="preserve">eliminačný </w:t>
      </w:r>
      <w:r w:rsidRPr="009D7C92">
        <w:rPr>
          <w:color w:val="auto"/>
        </w:rPr>
        <w:t>polčas. U starších pacientov je to rovnaké, s ďalším zvýšením maximálnej plazmatickej koncentrácie.</w:t>
      </w:r>
    </w:p>
    <w:p w14:paraId="1EC1A898" w14:textId="77777777" w:rsidR="00323CDC" w:rsidRPr="009D7C92" w:rsidRDefault="00323CDC">
      <w:pPr>
        <w:jc w:val="left"/>
        <w:rPr>
          <w:color w:val="auto"/>
        </w:rPr>
      </w:pPr>
    </w:p>
    <w:p w14:paraId="10CCD19E" w14:textId="2490FB74" w:rsidR="00EB25B2" w:rsidRDefault="00323CDC">
      <w:pPr>
        <w:jc w:val="left"/>
        <w:rPr>
          <w:bCs/>
          <w:i/>
          <w:color w:val="auto"/>
        </w:rPr>
      </w:pPr>
      <w:r w:rsidRPr="009D7C92">
        <w:rPr>
          <w:bCs/>
          <w:i/>
          <w:color w:val="auto"/>
        </w:rPr>
        <w:t>Kardiovaskulárna nedostatočnosť</w:t>
      </w:r>
    </w:p>
    <w:p w14:paraId="34554027" w14:textId="5E2E0843" w:rsidR="00323CDC" w:rsidRPr="009D7C92" w:rsidRDefault="00323CDC">
      <w:pPr>
        <w:jc w:val="left"/>
        <w:rPr>
          <w:color w:val="auto"/>
        </w:rPr>
      </w:pPr>
      <w:r w:rsidRPr="009D7C92">
        <w:rPr>
          <w:color w:val="auto"/>
        </w:rPr>
        <w:t>Klírens hydrochlorotiazidu môže byť znížený u pacientov s kongestívnym zlyh</w:t>
      </w:r>
      <w:r w:rsidR="00CB7D13" w:rsidRPr="009D7C92">
        <w:rPr>
          <w:color w:val="auto"/>
        </w:rPr>
        <w:t>ávaním</w:t>
      </w:r>
      <w:r w:rsidRPr="009D7C92">
        <w:rPr>
          <w:color w:val="auto"/>
        </w:rPr>
        <w:t xml:space="preserve"> srdca.</w:t>
      </w:r>
    </w:p>
    <w:p w14:paraId="458AEE30" w14:textId="77777777" w:rsidR="00323CDC" w:rsidRPr="009D7C92" w:rsidRDefault="00323CDC">
      <w:pPr>
        <w:jc w:val="left"/>
        <w:rPr>
          <w:color w:val="auto"/>
        </w:rPr>
      </w:pPr>
    </w:p>
    <w:p w14:paraId="1C924569" w14:textId="720BFF48" w:rsidR="00EB25B2" w:rsidRDefault="00323CDC">
      <w:pPr>
        <w:jc w:val="left"/>
        <w:rPr>
          <w:bCs/>
          <w:i/>
          <w:color w:val="auto"/>
        </w:rPr>
      </w:pPr>
      <w:r w:rsidRPr="009D7C92">
        <w:rPr>
          <w:bCs/>
          <w:i/>
          <w:color w:val="auto"/>
        </w:rPr>
        <w:t>Hepatálna insuficiencia</w:t>
      </w:r>
    </w:p>
    <w:p w14:paraId="260EF206" w14:textId="08675B31" w:rsidR="00323CDC" w:rsidRPr="009D7C92" w:rsidRDefault="00CB7D13">
      <w:pPr>
        <w:jc w:val="left"/>
        <w:rPr>
          <w:color w:val="auto"/>
        </w:rPr>
      </w:pPr>
      <w:r w:rsidRPr="009D7C92">
        <w:rPr>
          <w:color w:val="auto"/>
        </w:rPr>
        <w:t>Pri</w:t>
      </w:r>
      <w:r w:rsidR="00984565">
        <w:rPr>
          <w:color w:val="auto"/>
        </w:rPr>
        <w:t xml:space="preserve"> </w:t>
      </w:r>
      <w:r w:rsidR="00323CDC" w:rsidRPr="009D7C92">
        <w:rPr>
          <w:color w:val="auto"/>
        </w:rPr>
        <w:t>cirhóze pečene neboli pozorované žiadne významné zmeny vo farmakokinetike hydrochlorotiazidu.</w:t>
      </w:r>
    </w:p>
    <w:p w14:paraId="26678B73" w14:textId="514D5C33" w:rsidR="00323CDC" w:rsidRPr="009D7C92" w:rsidRDefault="00323CDC">
      <w:pPr>
        <w:jc w:val="left"/>
        <w:rPr>
          <w:color w:val="auto"/>
        </w:rPr>
      </w:pPr>
      <w:r w:rsidRPr="009D7C92">
        <w:rPr>
          <w:color w:val="auto"/>
        </w:rPr>
        <w:t>Hydrochlorotiazid sa nemá podávať v</w:t>
      </w:r>
      <w:r w:rsidR="00CB7D13" w:rsidRPr="009D7C92">
        <w:rPr>
          <w:color w:val="auto"/>
        </w:rPr>
        <w:t xml:space="preserve"> prípade</w:t>
      </w:r>
      <w:r w:rsidRPr="009D7C92">
        <w:rPr>
          <w:color w:val="auto"/>
        </w:rPr>
        <w:t xml:space="preserve"> </w:t>
      </w:r>
      <w:r w:rsidR="00CB7D13" w:rsidRPr="009D7C92">
        <w:rPr>
          <w:color w:val="auto"/>
        </w:rPr>
        <w:t xml:space="preserve">hepatálnej </w:t>
      </w:r>
      <w:r w:rsidRPr="009D7C92">
        <w:rPr>
          <w:color w:val="auto"/>
        </w:rPr>
        <w:t>kóm</w:t>
      </w:r>
      <w:r w:rsidR="00CB7D13" w:rsidRPr="009D7C92">
        <w:rPr>
          <w:color w:val="auto"/>
        </w:rPr>
        <w:t>y</w:t>
      </w:r>
      <w:r w:rsidRPr="009D7C92">
        <w:rPr>
          <w:color w:val="auto"/>
        </w:rPr>
        <w:t xml:space="preserve"> alebo prekóm</w:t>
      </w:r>
      <w:r w:rsidR="00CB7D13" w:rsidRPr="009D7C92">
        <w:rPr>
          <w:color w:val="auto"/>
        </w:rPr>
        <w:t>y</w:t>
      </w:r>
      <w:r w:rsidRPr="009D7C92">
        <w:rPr>
          <w:color w:val="auto"/>
        </w:rPr>
        <w:t>. Liek by sa mal používať opatrne u pacientov s progresívnym ochorením pečene (pozri časť 4.4).</w:t>
      </w:r>
    </w:p>
    <w:p w14:paraId="6D5D8840" w14:textId="77777777" w:rsidR="00323CDC" w:rsidRPr="009D7C92" w:rsidRDefault="00323CDC">
      <w:pPr>
        <w:jc w:val="left"/>
        <w:rPr>
          <w:color w:val="auto"/>
        </w:rPr>
      </w:pPr>
    </w:p>
    <w:p w14:paraId="327D8AA9" w14:textId="64458440" w:rsidR="00EB25B2" w:rsidRDefault="00323CDC" w:rsidP="00243692">
      <w:pPr>
        <w:ind w:left="567" w:right="0" w:hanging="567"/>
        <w:jc w:val="left"/>
        <w:rPr>
          <w:b/>
          <w:color w:val="auto"/>
        </w:rPr>
      </w:pPr>
      <w:r w:rsidRPr="009D7C92">
        <w:rPr>
          <w:b/>
          <w:color w:val="auto"/>
        </w:rPr>
        <w:t>5.3</w:t>
      </w:r>
      <w:r w:rsidR="00BA06D4" w:rsidRPr="009D7C92">
        <w:rPr>
          <w:b/>
          <w:color w:val="auto"/>
        </w:rPr>
        <w:tab/>
      </w:r>
      <w:r w:rsidRPr="009D7C92">
        <w:rPr>
          <w:b/>
          <w:color w:val="auto"/>
          <w:lang w:eastAsia="sk-SK"/>
        </w:rPr>
        <w:t>Predklinické</w:t>
      </w:r>
      <w:r w:rsidRPr="009D7C92">
        <w:rPr>
          <w:b/>
          <w:color w:val="auto"/>
        </w:rPr>
        <w:t xml:space="preserve"> údaje o bezpečnosti</w:t>
      </w:r>
    </w:p>
    <w:p w14:paraId="2F86A30C" w14:textId="079294E1" w:rsidR="00323CDC" w:rsidRPr="009D7C92" w:rsidRDefault="00323CDC" w:rsidP="00EE703D">
      <w:pPr>
        <w:jc w:val="left"/>
        <w:rPr>
          <w:color w:val="auto"/>
        </w:rPr>
      </w:pPr>
    </w:p>
    <w:p w14:paraId="153D541B" w14:textId="14095CE4" w:rsidR="00EB25B2" w:rsidRDefault="00323CDC" w:rsidP="00243692">
      <w:pPr>
        <w:jc w:val="left"/>
        <w:rPr>
          <w:b/>
          <w:color w:val="auto"/>
        </w:rPr>
      </w:pPr>
      <w:r w:rsidRPr="009D7C92">
        <w:rPr>
          <w:b/>
          <w:color w:val="auto"/>
        </w:rPr>
        <w:t>Súvisiace s ramiprilom</w:t>
      </w:r>
    </w:p>
    <w:p w14:paraId="6CD05A0F" w14:textId="39C293B7" w:rsidR="00EB25B2" w:rsidRDefault="00FA6523" w:rsidP="00EE703D">
      <w:pPr>
        <w:jc w:val="left"/>
        <w:rPr>
          <w:color w:val="auto"/>
        </w:rPr>
      </w:pPr>
      <w:r w:rsidRPr="009D7C92">
        <w:rPr>
          <w:i/>
          <w:color w:val="auto"/>
        </w:rPr>
        <w:t>Reprodukčná toxikológia</w:t>
      </w:r>
    </w:p>
    <w:p w14:paraId="50E9C3EB" w14:textId="77777777" w:rsidR="00FA6523" w:rsidRPr="009D7C92" w:rsidRDefault="00323CDC" w:rsidP="00211D25">
      <w:pPr>
        <w:jc w:val="left"/>
        <w:rPr>
          <w:color w:val="auto"/>
        </w:rPr>
      </w:pPr>
      <w:r w:rsidRPr="009D7C92">
        <w:rPr>
          <w:color w:val="auto"/>
        </w:rPr>
        <w:t>Štúdie reprodukčnej toxicity na potkanoch, králikoch a opiciach neukázali žiadne teratogénne vlastnosti.</w:t>
      </w:r>
    </w:p>
    <w:p w14:paraId="330DE9B6" w14:textId="77777777" w:rsidR="00323CDC" w:rsidRPr="009D7C92" w:rsidRDefault="00FA6523" w:rsidP="00F87817">
      <w:pPr>
        <w:jc w:val="left"/>
        <w:rPr>
          <w:color w:val="auto"/>
        </w:rPr>
      </w:pPr>
      <w:r w:rsidRPr="009D7C92">
        <w:rPr>
          <w:i/>
          <w:color w:val="auto"/>
        </w:rPr>
        <w:t>Poškodenie plodnosti</w:t>
      </w:r>
    </w:p>
    <w:p w14:paraId="101BF1E1" w14:textId="78A99856" w:rsidR="00EB25B2" w:rsidRDefault="00323CDC">
      <w:pPr>
        <w:jc w:val="left"/>
        <w:rPr>
          <w:color w:val="auto"/>
        </w:rPr>
      </w:pPr>
      <w:r w:rsidRPr="009D7C92">
        <w:rPr>
          <w:color w:val="auto"/>
        </w:rPr>
        <w:t>Fertilita nebola zhoršená ani u samcov ani u samíc potkanov.</w:t>
      </w:r>
    </w:p>
    <w:p w14:paraId="1BFA0317" w14:textId="77777777" w:rsidR="00FA6523" w:rsidRPr="009D7C92" w:rsidRDefault="00FA6523">
      <w:pPr>
        <w:jc w:val="left"/>
        <w:rPr>
          <w:color w:val="auto"/>
        </w:rPr>
      </w:pPr>
    </w:p>
    <w:p w14:paraId="615538B5" w14:textId="73AA029F" w:rsidR="00323CDC" w:rsidRPr="009D7C92" w:rsidRDefault="00323CDC">
      <w:pPr>
        <w:jc w:val="left"/>
        <w:rPr>
          <w:color w:val="auto"/>
        </w:rPr>
      </w:pPr>
      <w:r w:rsidRPr="009D7C92">
        <w:rPr>
          <w:color w:val="auto"/>
        </w:rPr>
        <w:t>Podávanie ramiprilu samiciam potkanov počas fetálneho obdobia a laktácie viedlo ku nevratnému poškodeniu obličiek (dilatácia obličkovej panv</w:t>
      </w:r>
      <w:r w:rsidR="009B485A" w:rsidRPr="009D7C92">
        <w:rPr>
          <w:color w:val="auto"/>
        </w:rPr>
        <w:t>ičky</w:t>
      </w:r>
      <w:r w:rsidRPr="009D7C92">
        <w:rPr>
          <w:color w:val="auto"/>
        </w:rPr>
        <w:t>) u potomkov v denných dávkach 50 mg/kg telesnej hmotnosti alebo vyšších.</w:t>
      </w:r>
    </w:p>
    <w:p w14:paraId="1D6D702B" w14:textId="40FF6CB9" w:rsidR="00AF1354" w:rsidRPr="009D7C92" w:rsidRDefault="00AF1354">
      <w:pPr>
        <w:jc w:val="left"/>
        <w:rPr>
          <w:color w:val="auto"/>
        </w:rPr>
      </w:pPr>
      <w:r w:rsidRPr="009D7C92">
        <w:rPr>
          <w:color w:val="auto"/>
        </w:rPr>
        <w:t>Nevratné poškodenie obličiek sa pozorovalo aj u veľmi mladých potkanov, ktorým sa podala jedn</w:t>
      </w:r>
      <w:r w:rsidR="00D87955" w:rsidRPr="009D7C92">
        <w:rPr>
          <w:color w:val="auto"/>
        </w:rPr>
        <w:t>orazová</w:t>
      </w:r>
      <w:r w:rsidRPr="009D7C92">
        <w:rPr>
          <w:color w:val="auto"/>
        </w:rPr>
        <w:t xml:space="preserve"> dávka ramiprilu.</w:t>
      </w:r>
    </w:p>
    <w:p w14:paraId="0A74D121" w14:textId="21FABF63" w:rsidR="00323CDC" w:rsidRPr="009D7C92" w:rsidRDefault="00323CDC">
      <w:pPr>
        <w:jc w:val="left"/>
        <w:rPr>
          <w:color w:val="auto"/>
        </w:rPr>
      </w:pPr>
    </w:p>
    <w:p w14:paraId="1B1B051B" w14:textId="1D4618AD" w:rsidR="00EB25B2" w:rsidRDefault="00323CDC" w:rsidP="00243692">
      <w:pPr>
        <w:jc w:val="left"/>
        <w:rPr>
          <w:b/>
          <w:color w:val="auto"/>
        </w:rPr>
      </w:pPr>
      <w:r w:rsidRPr="009D7C92">
        <w:rPr>
          <w:b/>
          <w:color w:val="auto"/>
        </w:rPr>
        <w:t>Súvisiace s amlodipínom</w:t>
      </w:r>
    </w:p>
    <w:p w14:paraId="769F9168" w14:textId="252D5B06" w:rsidR="00EB25B2" w:rsidRDefault="00323CDC" w:rsidP="00243692">
      <w:pPr>
        <w:jc w:val="left"/>
        <w:rPr>
          <w:i/>
          <w:color w:val="auto"/>
        </w:rPr>
      </w:pPr>
      <w:r w:rsidRPr="009D7C92">
        <w:rPr>
          <w:i/>
          <w:color w:val="auto"/>
        </w:rPr>
        <w:t>Reprodukčná toxikológia</w:t>
      </w:r>
    </w:p>
    <w:p w14:paraId="71BF5257" w14:textId="776B2C74" w:rsidR="00323CDC" w:rsidRPr="009D7C92" w:rsidRDefault="00323CDC" w:rsidP="00EE703D">
      <w:pPr>
        <w:jc w:val="left"/>
        <w:rPr>
          <w:color w:val="auto"/>
        </w:rPr>
      </w:pPr>
      <w:r w:rsidRPr="009D7C92">
        <w:rPr>
          <w:color w:val="auto"/>
        </w:rPr>
        <w:lastRenderedPageBreak/>
        <w:t xml:space="preserve">Reprodukčné štúdie na potkanoch a myšiach ukázali oneskorený </w:t>
      </w:r>
      <w:r w:rsidR="009B485A" w:rsidRPr="009D7C92">
        <w:rPr>
          <w:color w:val="auto"/>
        </w:rPr>
        <w:t>čas vrhu</w:t>
      </w:r>
      <w:r w:rsidRPr="009D7C92">
        <w:rPr>
          <w:color w:val="auto"/>
        </w:rPr>
        <w:t xml:space="preserve">, predĺžené trvanie </w:t>
      </w:r>
      <w:r w:rsidR="009B485A" w:rsidRPr="009D7C92">
        <w:rPr>
          <w:color w:val="auto"/>
        </w:rPr>
        <w:t xml:space="preserve">vrhu </w:t>
      </w:r>
      <w:r w:rsidRPr="009D7C92">
        <w:rPr>
          <w:color w:val="auto"/>
        </w:rPr>
        <w:t>a kratšie prežívanie mláďat v dávkach približne 50-násobne vyšších ako je maximálna odporúčaná dávka pre ľudí na základ</w:t>
      </w:r>
      <w:r w:rsidR="00AF3B6A" w:rsidRPr="009D7C92">
        <w:rPr>
          <w:color w:val="auto"/>
        </w:rPr>
        <w:t>e mg</w:t>
      </w:r>
      <w:r w:rsidRPr="009D7C92">
        <w:rPr>
          <w:color w:val="auto"/>
        </w:rPr>
        <w:t>/kg.</w:t>
      </w:r>
    </w:p>
    <w:p w14:paraId="53C6C0A0" w14:textId="6595575F" w:rsidR="00323CDC" w:rsidRPr="009D7C92" w:rsidRDefault="00323CDC" w:rsidP="00211D25">
      <w:pPr>
        <w:jc w:val="left"/>
        <w:rPr>
          <w:color w:val="auto"/>
        </w:rPr>
      </w:pPr>
    </w:p>
    <w:p w14:paraId="629A3040" w14:textId="5809B52B" w:rsidR="00EB25B2" w:rsidRDefault="00323CDC" w:rsidP="00243692">
      <w:pPr>
        <w:jc w:val="left"/>
        <w:rPr>
          <w:i/>
          <w:color w:val="auto"/>
        </w:rPr>
      </w:pPr>
      <w:r w:rsidRPr="009D7C92">
        <w:rPr>
          <w:i/>
          <w:color w:val="auto"/>
        </w:rPr>
        <w:t>Poškodenie plodnosti</w:t>
      </w:r>
    </w:p>
    <w:p w14:paraId="5039EFA0" w14:textId="0778111C" w:rsidR="00EB25B2" w:rsidRDefault="00323CDC" w:rsidP="00EE703D">
      <w:pPr>
        <w:jc w:val="left"/>
        <w:rPr>
          <w:color w:val="auto"/>
        </w:rPr>
      </w:pPr>
      <w:r w:rsidRPr="009D7C92">
        <w:rPr>
          <w:color w:val="auto"/>
        </w:rPr>
        <w:t>Nepozoroval sa žiadny vplyv na fertilitu potkanov liečených amlodipínom (samci počas 64 dní a samičky 14 dní pred párením) v dávkach do 10 mg</w:t>
      </w:r>
      <w:r w:rsidR="00AF3B6A" w:rsidRPr="009D7C92">
        <w:rPr>
          <w:color w:val="auto"/>
        </w:rPr>
        <w:t>/</w:t>
      </w:r>
      <w:r w:rsidRPr="009D7C92">
        <w:rPr>
          <w:color w:val="auto"/>
        </w:rPr>
        <w:t>kg/deň (8-násobok maximálnej odporúčanej dávky u ľudí 10 mg pri mg/m</w:t>
      </w:r>
      <w:r w:rsidRPr="009D7C92">
        <w:rPr>
          <w:color w:val="auto"/>
          <w:vertAlign w:val="superscript"/>
        </w:rPr>
        <w:t>2</w:t>
      </w:r>
      <w:r w:rsidRPr="009D7C92">
        <w:rPr>
          <w:color w:val="auto"/>
        </w:rPr>
        <w:t>). V inej štúdii na potkanoch, v ktorej boli samce potkanov liečené amlodipín</w:t>
      </w:r>
      <w:r w:rsidR="009B485A" w:rsidRPr="009D7C92">
        <w:rPr>
          <w:color w:val="auto"/>
        </w:rPr>
        <w:t>ium</w:t>
      </w:r>
      <w:r w:rsidRPr="009D7C92">
        <w:rPr>
          <w:color w:val="auto"/>
        </w:rPr>
        <w:t xml:space="preserve">besilátom počas 30 dní v dávke porovnateľnej s dávkou u ľudí na základe mg/kg, boli zistené znížené </w:t>
      </w:r>
      <w:r w:rsidR="009B485A" w:rsidRPr="009D7C92">
        <w:rPr>
          <w:color w:val="auto"/>
        </w:rPr>
        <w:t xml:space="preserve">plazmatické </w:t>
      </w:r>
      <w:r w:rsidRPr="009D7C92">
        <w:rPr>
          <w:color w:val="auto"/>
        </w:rPr>
        <w:t xml:space="preserve">hladiny </w:t>
      </w:r>
      <w:r w:rsidR="009B485A" w:rsidRPr="009D7C92">
        <w:rPr>
          <w:color w:val="auto"/>
        </w:rPr>
        <w:t xml:space="preserve">folikulostimulačného hormónu </w:t>
      </w:r>
      <w:r w:rsidRPr="009D7C92">
        <w:rPr>
          <w:color w:val="auto"/>
        </w:rPr>
        <w:t>a testosterón</w:t>
      </w:r>
      <w:r w:rsidR="009B485A" w:rsidRPr="009D7C92">
        <w:rPr>
          <w:color w:val="auto"/>
        </w:rPr>
        <w:t>u</w:t>
      </w:r>
      <w:r w:rsidRPr="009D7C92">
        <w:rPr>
          <w:color w:val="auto"/>
        </w:rPr>
        <w:t>, ako aj zníženie hustoty spermií a poč</w:t>
      </w:r>
      <w:r w:rsidR="009B485A" w:rsidRPr="009D7C92">
        <w:rPr>
          <w:color w:val="auto"/>
        </w:rPr>
        <w:t>tu</w:t>
      </w:r>
      <w:r w:rsidRPr="009D7C92">
        <w:rPr>
          <w:color w:val="auto"/>
        </w:rPr>
        <w:t xml:space="preserve"> zrelých spermat</w:t>
      </w:r>
      <w:r w:rsidR="009B485A" w:rsidRPr="009D7C92">
        <w:rPr>
          <w:color w:val="auto"/>
        </w:rPr>
        <w:t>íd</w:t>
      </w:r>
      <w:r w:rsidRPr="009D7C92">
        <w:rPr>
          <w:color w:val="auto"/>
        </w:rPr>
        <w:t xml:space="preserve"> a Sertoliho buniek.</w:t>
      </w:r>
    </w:p>
    <w:p w14:paraId="381C4CA0" w14:textId="102E0FCA" w:rsidR="00323CDC" w:rsidRPr="009D7C92" w:rsidRDefault="00323CDC" w:rsidP="00211D25">
      <w:pPr>
        <w:jc w:val="left"/>
        <w:rPr>
          <w:color w:val="auto"/>
        </w:rPr>
      </w:pPr>
    </w:p>
    <w:p w14:paraId="59AAA7F0" w14:textId="24351486" w:rsidR="00EB25B2" w:rsidRDefault="00323CDC" w:rsidP="00F87817">
      <w:pPr>
        <w:jc w:val="left"/>
        <w:rPr>
          <w:color w:val="auto"/>
        </w:rPr>
      </w:pPr>
      <w:r w:rsidRPr="009D7C92">
        <w:rPr>
          <w:color w:val="auto"/>
        </w:rPr>
        <w:t>* Na základe hmotnosti pacienta 50 kg</w:t>
      </w:r>
    </w:p>
    <w:p w14:paraId="1609FEF7" w14:textId="77777777" w:rsidR="00323CDC" w:rsidRPr="009D7C92" w:rsidRDefault="00323CDC" w:rsidP="00243692">
      <w:pPr>
        <w:jc w:val="left"/>
      </w:pPr>
    </w:p>
    <w:p w14:paraId="188702D4" w14:textId="77777777" w:rsidR="00323CDC" w:rsidRPr="009D7C92" w:rsidRDefault="00323CDC" w:rsidP="00243692">
      <w:pPr>
        <w:jc w:val="left"/>
      </w:pPr>
    </w:p>
    <w:p w14:paraId="0E84423B" w14:textId="77777777" w:rsidR="00113ECA" w:rsidRPr="009D7C92" w:rsidRDefault="00113ECA" w:rsidP="00243692">
      <w:pPr>
        <w:ind w:left="567" w:right="0" w:hanging="567"/>
        <w:jc w:val="left"/>
        <w:rPr>
          <w:b/>
          <w:color w:val="auto"/>
          <w:lang w:eastAsia="sk-SK"/>
        </w:rPr>
      </w:pPr>
      <w:r w:rsidRPr="009D7C92">
        <w:rPr>
          <w:b/>
          <w:color w:val="auto"/>
          <w:lang w:eastAsia="sk-SK"/>
        </w:rPr>
        <w:t>6.</w:t>
      </w:r>
      <w:r w:rsidRPr="009D7C92">
        <w:rPr>
          <w:b/>
          <w:color w:val="auto"/>
          <w:lang w:eastAsia="sk-SK"/>
        </w:rPr>
        <w:tab/>
        <w:t>FARMACEUTICKÉ INFORMÁCIE</w:t>
      </w:r>
    </w:p>
    <w:p w14:paraId="02ED824A" w14:textId="77777777" w:rsidR="00113ECA" w:rsidRPr="009D7C92" w:rsidRDefault="00113ECA" w:rsidP="00243692">
      <w:pPr>
        <w:ind w:left="567" w:right="0" w:hanging="567"/>
        <w:jc w:val="left"/>
        <w:rPr>
          <w:color w:val="auto"/>
          <w:lang w:eastAsia="sk-SK"/>
        </w:rPr>
      </w:pPr>
    </w:p>
    <w:p w14:paraId="6CAC14D7" w14:textId="77777777" w:rsidR="00113ECA" w:rsidRPr="009D7C92" w:rsidRDefault="00113ECA" w:rsidP="00243692">
      <w:pPr>
        <w:ind w:left="567" w:right="0" w:hanging="567"/>
        <w:jc w:val="left"/>
        <w:rPr>
          <w:color w:val="auto"/>
          <w:lang w:eastAsia="sk-SK"/>
        </w:rPr>
      </w:pPr>
      <w:r w:rsidRPr="009D7C92">
        <w:rPr>
          <w:b/>
          <w:color w:val="auto"/>
          <w:lang w:eastAsia="sk-SK"/>
        </w:rPr>
        <w:t>6.1</w:t>
      </w:r>
      <w:r w:rsidRPr="009D7C92">
        <w:rPr>
          <w:b/>
          <w:color w:val="auto"/>
          <w:lang w:eastAsia="sk-SK"/>
        </w:rPr>
        <w:tab/>
      </w:r>
      <w:r w:rsidRPr="009D7C92">
        <w:rPr>
          <w:b/>
          <w:color w:val="auto"/>
        </w:rPr>
        <w:t>Zoznam</w:t>
      </w:r>
      <w:r w:rsidRPr="009D7C92">
        <w:rPr>
          <w:b/>
          <w:color w:val="auto"/>
          <w:lang w:eastAsia="sk-SK"/>
        </w:rPr>
        <w:t xml:space="preserve"> pomocných látok</w:t>
      </w:r>
    </w:p>
    <w:p w14:paraId="20A872A6" w14:textId="40D98877" w:rsidR="00323CDC" w:rsidRPr="009D7C92" w:rsidRDefault="00323CDC" w:rsidP="00EE703D">
      <w:pPr>
        <w:jc w:val="left"/>
        <w:rPr>
          <w:color w:val="auto"/>
        </w:rPr>
      </w:pPr>
    </w:p>
    <w:p w14:paraId="7942FC21" w14:textId="7455127F" w:rsidR="00323CDC" w:rsidRPr="009D7C92" w:rsidRDefault="00113ECA" w:rsidP="00243692">
      <w:pPr>
        <w:jc w:val="left"/>
        <w:rPr>
          <w:b/>
          <w:color w:val="auto"/>
        </w:rPr>
      </w:pPr>
      <w:r w:rsidRPr="009D7C92">
        <w:rPr>
          <w:b/>
          <w:color w:val="auto"/>
        </w:rPr>
        <w:t>Obsah</w:t>
      </w:r>
      <w:r w:rsidR="00323CDC" w:rsidRPr="009D7C92">
        <w:rPr>
          <w:b/>
          <w:color w:val="auto"/>
        </w:rPr>
        <w:t xml:space="preserve"> kaps</w:t>
      </w:r>
      <w:r w:rsidRPr="009D7C92">
        <w:rPr>
          <w:b/>
          <w:color w:val="auto"/>
        </w:rPr>
        <w:t>uly</w:t>
      </w:r>
    </w:p>
    <w:p w14:paraId="19CF762D" w14:textId="77777777" w:rsidR="001A69D4" w:rsidRPr="009D7C92" w:rsidRDefault="001A69D4" w:rsidP="00243692">
      <w:pPr>
        <w:ind w:left="567" w:right="0" w:hanging="567"/>
        <w:jc w:val="left"/>
        <w:rPr>
          <w:color w:val="auto"/>
          <w:lang w:eastAsia="sk-SK"/>
        </w:rPr>
      </w:pPr>
      <w:r w:rsidRPr="009D7C92">
        <w:rPr>
          <w:color w:val="auto"/>
          <w:lang w:eastAsia="sk-SK"/>
        </w:rPr>
        <w:t>mikrokryštalická celulóza</w:t>
      </w:r>
    </w:p>
    <w:p w14:paraId="46F55D4F" w14:textId="7EB38719" w:rsidR="001A69D4" w:rsidRPr="009D7C92" w:rsidRDefault="001A69D4" w:rsidP="00EE703D">
      <w:pPr>
        <w:ind w:left="567" w:right="0" w:hanging="567"/>
        <w:jc w:val="left"/>
        <w:rPr>
          <w:color w:val="auto"/>
          <w:lang w:eastAsia="sk-SK"/>
        </w:rPr>
      </w:pPr>
      <w:r w:rsidRPr="009D7C92">
        <w:rPr>
          <w:color w:val="auto"/>
          <w:lang w:eastAsia="sk-SK"/>
        </w:rPr>
        <w:t>bezvodý hydrog</w:t>
      </w:r>
      <w:r w:rsidR="00CD3003" w:rsidRPr="009D7C92">
        <w:rPr>
          <w:color w:val="auto"/>
          <w:lang w:eastAsia="sk-SK"/>
        </w:rPr>
        <w:t>e</w:t>
      </w:r>
      <w:r w:rsidRPr="009D7C92">
        <w:rPr>
          <w:color w:val="auto"/>
          <w:lang w:eastAsia="sk-SK"/>
        </w:rPr>
        <w:t>nfosforečnan vápenatý</w:t>
      </w:r>
    </w:p>
    <w:p w14:paraId="4E098C0C" w14:textId="4852B8C0" w:rsidR="00323CDC" w:rsidRPr="009D7C92" w:rsidRDefault="00093C91" w:rsidP="00211D25">
      <w:pPr>
        <w:jc w:val="left"/>
        <w:rPr>
          <w:color w:val="auto"/>
        </w:rPr>
      </w:pPr>
      <w:r w:rsidRPr="009D7C92">
        <w:rPr>
          <w:color w:val="auto"/>
        </w:rPr>
        <w:t>k</w:t>
      </w:r>
      <w:r w:rsidR="00323CDC" w:rsidRPr="009D7C92">
        <w:rPr>
          <w:color w:val="auto"/>
        </w:rPr>
        <w:t>ukuričný škrob</w:t>
      </w:r>
      <w:r w:rsidR="00CD3003" w:rsidRPr="009D7C92">
        <w:rPr>
          <w:color w:val="auto"/>
        </w:rPr>
        <w:t>,</w:t>
      </w:r>
      <w:r w:rsidR="00323CDC" w:rsidRPr="009D7C92">
        <w:rPr>
          <w:color w:val="auto"/>
        </w:rPr>
        <w:t xml:space="preserve"> predželat</w:t>
      </w:r>
      <w:r w:rsidR="00CD3003" w:rsidRPr="009D7C92">
        <w:rPr>
          <w:color w:val="auto"/>
        </w:rPr>
        <w:t>i</w:t>
      </w:r>
      <w:r w:rsidR="00323CDC" w:rsidRPr="009D7C92">
        <w:rPr>
          <w:color w:val="auto"/>
        </w:rPr>
        <w:t>novaný</w:t>
      </w:r>
    </w:p>
    <w:p w14:paraId="5F4E74DC" w14:textId="77777777" w:rsidR="00323CDC" w:rsidRPr="009D7C92" w:rsidRDefault="00093C91" w:rsidP="00F87817">
      <w:pPr>
        <w:jc w:val="left"/>
        <w:rPr>
          <w:color w:val="auto"/>
        </w:rPr>
      </w:pPr>
      <w:r w:rsidRPr="009D7C92">
        <w:rPr>
          <w:color w:val="auto"/>
        </w:rPr>
        <w:t>s</w:t>
      </w:r>
      <w:r w:rsidR="00323CDC" w:rsidRPr="009D7C92">
        <w:rPr>
          <w:color w:val="auto"/>
        </w:rPr>
        <w:t>odná soľ karboxymetylškrobu (typ A)</w:t>
      </w:r>
    </w:p>
    <w:p w14:paraId="02F981BA" w14:textId="59EF8276" w:rsidR="00EB25B2" w:rsidRDefault="001A69D4">
      <w:pPr>
        <w:autoSpaceDE w:val="0"/>
        <w:autoSpaceDN w:val="0"/>
        <w:adjustRightInd w:val="0"/>
        <w:ind w:right="0"/>
        <w:jc w:val="left"/>
        <w:rPr>
          <w:color w:val="auto"/>
        </w:rPr>
      </w:pPr>
      <w:r w:rsidRPr="009D7C92">
        <w:rPr>
          <w:color w:val="auto"/>
        </w:rPr>
        <w:t>stearyl</w:t>
      </w:r>
      <w:r w:rsidR="007E10F5">
        <w:rPr>
          <w:color w:val="auto"/>
        </w:rPr>
        <w:t>-</w:t>
      </w:r>
      <w:r w:rsidRPr="009D7C92">
        <w:rPr>
          <w:color w:val="auto"/>
        </w:rPr>
        <w:t>fumar</w:t>
      </w:r>
      <w:r w:rsidR="007E10F5">
        <w:rPr>
          <w:color w:val="auto"/>
        </w:rPr>
        <w:t>át</w:t>
      </w:r>
      <w:r w:rsidRPr="009D7C92">
        <w:rPr>
          <w:color w:val="auto"/>
        </w:rPr>
        <w:t xml:space="preserve"> sodný</w:t>
      </w:r>
    </w:p>
    <w:p w14:paraId="7166DA80" w14:textId="77777777" w:rsidR="001A69D4" w:rsidRPr="009D7C92" w:rsidRDefault="001A69D4">
      <w:pPr>
        <w:jc w:val="left"/>
        <w:rPr>
          <w:color w:val="auto"/>
        </w:rPr>
      </w:pPr>
    </w:p>
    <w:p w14:paraId="11D95FA8" w14:textId="77777777" w:rsidR="00323CDC" w:rsidRPr="009D7C92" w:rsidRDefault="001A69D4" w:rsidP="00243692">
      <w:pPr>
        <w:jc w:val="left"/>
        <w:rPr>
          <w:b/>
          <w:color w:val="auto"/>
        </w:rPr>
      </w:pPr>
      <w:r w:rsidRPr="009D7C92">
        <w:rPr>
          <w:b/>
          <w:color w:val="auto"/>
        </w:rPr>
        <w:t>Obal kapsuly (5 mg</w:t>
      </w:r>
      <w:r w:rsidR="00323CDC" w:rsidRPr="009D7C92">
        <w:rPr>
          <w:b/>
          <w:color w:val="auto"/>
        </w:rPr>
        <w:t xml:space="preserve">/5 mg/25 </w:t>
      </w:r>
      <w:r w:rsidRPr="009D7C92">
        <w:rPr>
          <w:b/>
          <w:color w:val="auto"/>
        </w:rPr>
        <w:t>mg):</w:t>
      </w:r>
    </w:p>
    <w:p w14:paraId="5B376CF2" w14:textId="5EFF167A" w:rsidR="00323CDC" w:rsidRPr="009D7C92" w:rsidRDefault="00093C91" w:rsidP="00EE703D">
      <w:pPr>
        <w:jc w:val="left"/>
        <w:rPr>
          <w:color w:val="auto"/>
        </w:rPr>
      </w:pPr>
      <w:r w:rsidRPr="009D7C92">
        <w:rPr>
          <w:color w:val="auto"/>
        </w:rPr>
        <w:t>č</w:t>
      </w:r>
      <w:r w:rsidR="00323CDC" w:rsidRPr="009D7C92">
        <w:rPr>
          <w:color w:val="auto"/>
        </w:rPr>
        <w:t>ervený oxid železitý (E</w:t>
      </w:r>
      <w:r w:rsidR="001A69D4" w:rsidRPr="009D7C92">
        <w:rPr>
          <w:color w:val="auto"/>
        </w:rPr>
        <w:t xml:space="preserve"> </w:t>
      </w:r>
      <w:r w:rsidR="00323CDC" w:rsidRPr="009D7C92">
        <w:rPr>
          <w:color w:val="auto"/>
        </w:rPr>
        <w:t>172)</w:t>
      </w:r>
    </w:p>
    <w:p w14:paraId="785B739A" w14:textId="77777777" w:rsidR="00323CDC" w:rsidRPr="009D7C92" w:rsidRDefault="00093C91" w:rsidP="00211D25">
      <w:pPr>
        <w:jc w:val="left"/>
        <w:rPr>
          <w:color w:val="auto"/>
        </w:rPr>
      </w:pPr>
      <w:r w:rsidRPr="009D7C92">
        <w:rPr>
          <w:color w:val="auto"/>
        </w:rPr>
        <w:t>ž</w:t>
      </w:r>
      <w:r w:rsidR="00323CDC" w:rsidRPr="009D7C92">
        <w:rPr>
          <w:color w:val="auto"/>
        </w:rPr>
        <w:t>ltý oxid železitý (E</w:t>
      </w:r>
      <w:r w:rsidR="001A69D4" w:rsidRPr="009D7C92">
        <w:rPr>
          <w:color w:val="auto"/>
        </w:rPr>
        <w:t xml:space="preserve"> </w:t>
      </w:r>
      <w:r w:rsidR="00323CDC" w:rsidRPr="009D7C92">
        <w:rPr>
          <w:color w:val="auto"/>
        </w:rPr>
        <w:t>172)</w:t>
      </w:r>
    </w:p>
    <w:p w14:paraId="676EC62A" w14:textId="7B0E1DE9" w:rsidR="00323CDC" w:rsidRPr="009D7C92" w:rsidRDefault="00093C91" w:rsidP="00F87817">
      <w:pPr>
        <w:jc w:val="left"/>
        <w:rPr>
          <w:color w:val="auto"/>
        </w:rPr>
      </w:pPr>
      <w:r w:rsidRPr="009D7C92">
        <w:rPr>
          <w:color w:val="auto"/>
        </w:rPr>
        <w:t>o</w:t>
      </w:r>
      <w:r w:rsidR="00323CDC" w:rsidRPr="009D7C92">
        <w:rPr>
          <w:color w:val="auto"/>
        </w:rPr>
        <w:t>xid titaničitý (E</w:t>
      </w:r>
      <w:r w:rsidR="001A69D4" w:rsidRPr="009D7C92">
        <w:rPr>
          <w:color w:val="auto"/>
        </w:rPr>
        <w:t xml:space="preserve"> </w:t>
      </w:r>
      <w:r w:rsidR="00323CDC" w:rsidRPr="009D7C92">
        <w:rPr>
          <w:color w:val="auto"/>
        </w:rPr>
        <w:t>171)</w:t>
      </w:r>
    </w:p>
    <w:p w14:paraId="38F26063" w14:textId="679E5A72" w:rsidR="00EB25B2" w:rsidRDefault="00093C91">
      <w:pPr>
        <w:jc w:val="left"/>
        <w:rPr>
          <w:color w:val="auto"/>
        </w:rPr>
      </w:pPr>
      <w:r w:rsidRPr="009D7C92">
        <w:rPr>
          <w:color w:val="auto"/>
        </w:rPr>
        <w:t>ž</w:t>
      </w:r>
      <w:r w:rsidR="00323CDC" w:rsidRPr="009D7C92">
        <w:rPr>
          <w:color w:val="auto"/>
        </w:rPr>
        <w:t>elatína</w:t>
      </w:r>
    </w:p>
    <w:p w14:paraId="0602BA33" w14:textId="77777777" w:rsidR="00323CDC" w:rsidRPr="009D7C92" w:rsidRDefault="00323CDC">
      <w:pPr>
        <w:jc w:val="left"/>
        <w:rPr>
          <w:color w:val="auto"/>
        </w:rPr>
      </w:pPr>
    </w:p>
    <w:p w14:paraId="31ADE476" w14:textId="77777777" w:rsidR="00323CDC" w:rsidRPr="009D7C92" w:rsidRDefault="00323CDC" w:rsidP="00243692">
      <w:pPr>
        <w:jc w:val="left"/>
        <w:rPr>
          <w:b/>
          <w:color w:val="auto"/>
        </w:rPr>
      </w:pPr>
      <w:r w:rsidRPr="009D7C92">
        <w:rPr>
          <w:b/>
          <w:color w:val="auto"/>
        </w:rPr>
        <w:t>Obal kapsuly (10 mg/5 mg</w:t>
      </w:r>
      <w:r w:rsidR="001A69D4" w:rsidRPr="009D7C92">
        <w:rPr>
          <w:b/>
          <w:color w:val="auto"/>
        </w:rPr>
        <w:t>/25 mg):</w:t>
      </w:r>
    </w:p>
    <w:p w14:paraId="45688910" w14:textId="4100A958" w:rsidR="00EB25B2" w:rsidRDefault="00093C91" w:rsidP="00EE703D">
      <w:pPr>
        <w:jc w:val="left"/>
        <w:rPr>
          <w:color w:val="auto"/>
        </w:rPr>
      </w:pPr>
      <w:r w:rsidRPr="009D7C92">
        <w:rPr>
          <w:color w:val="auto"/>
        </w:rPr>
        <w:t>č</w:t>
      </w:r>
      <w:r w:rsidR="00323CDC" w:rsidRPr="009D7C92">
        <w:rPr>
          <w:color w:val="auto"/>
        </w:rPr>
        <w:t>ervený oxid železitý (E</w:t>
      </w:r>
      <w:r w:rsidR="001A69D4" w:rsidRPr="009D7C92">
        <w:rPr>
          <w:color w:val="auto"/>
        </w:rPr>
        <w:t xml:space="preserve"> </w:t>
      </w:r>
      <w:r w:rsidR="00323CDC" w:rsidRPr="009D7C92">
        <w:rPr>
          <w:color w:val="auto"/>
        </w:rPr>
        <w:t>172)</w:t>
      </w:r>
    </w:p>
    <w:p w14:paraId="788868BF" w14:textId="77777777" w:rsidR="00323CDC" w:rsidRPr="009D7C92" w:rsidRDefault="00093C91" w:rsidP="00211D25">
      <w:pPr>
        <w:jc w:val="left"/>
        <w:rPr>
          <w:color w:val="auto"/>
        </w:rPr>
      </w:pPr>
      <w:r w:rsidRPr="009D7C92">
        <w:rPr>
          <w:color w:val="auto"/>
        </w:rPr>
        <w:t>ž</w:t>
      </w:r>
      <w:r w:rsidR="00323CDC" w:rsidRPr="009D7C92">
        <w:rPr>
          <w:color w:val="auto"/>
        </w:rPr>
        <w:t>ltý oxid železitý (E</w:t>
      </w:r>
      <w:r w:rsidR="001A69D4" w:rsidRPr="009D7C92">
        <w:rPr>
          <w:color w:val="auto"/>
        </w:rPr>
        <w:t xml:space="preserve"> </w:t>
      </w:r>
      <w:r w:rsidR="00323CDC" w:rsidRPr="009D7C92">
        <w:rPr>
          <w:color w:val="auto"/>
        </w:rPr>
        <w:t>172)</w:t>
      </w:r>
    </w:p>
    <w:p w14:paraId="565F0626" w14:textId="516D7E51" w:rsidR="00EB25B2" w:rsidRDefault="00093C91" w:rsidP="00F87817">
      <w:pPr>
        <w:jc w:val="left"/>
        <w:rPr>
          <w:color w:val="auto"/>
        </w:rPr>
      </w:pPr>
      <w:r w:rsidRPr="009D7C92">
        <w:rPr>
          <w:color w:val="auto"/>
        </w:rPr>
        <w:t>o</w:t>
      </w:r>
      <w:r w:rsidR="00323CDC" w:rsidRPr="009D7C92">
        <w:rPr>
          <w:color w:val="auto"/>
        </w:rPr>
        <w:t>xid titaničitý (E</w:t>
      </w:r>
      <w:r w:rsidR="001A69D4" w:rsidRPr="009D7C92">
        <w:rPr>
          <w:color w:val="auto"/>
        </w:rPr>
        <w:t xml:space="preserve"> </w:t>
      </w:r>
      <w:r w:rsidR="00323CDC" w:rsidRPr="009D7C92">
        <w:rPr>
          <w:color w:val="auto"/>
        </w:rPr>
        <w:t>171)</w:t>
      </w:r>
    </w:p>
    <w:p w14:paraId="167BC9C2" w14:textId="7093D219" w:rsidR="00EB25B2" w:rsidRDefault="00093C91">
      <w:pPr>
        <w:jc w:val="left"/>
        <w:rPr>
          <w:color w:val="auto"/>
        </w:rPr>
      </w:pPr>
      <w:r w:rsidRPr="009D7C92">
        <w:rPr>
          <w:color w:val="auto"/>
        </w:rPr>
        <w:t>ž</w:t>
      </w:r>
      <w:r w:rsidR="00323CDC" w:rsidRPr="009D7C92">
        <w:rPr>
          <w:color w:val="auto"/>
        </w:rPr>
        <w:t>elatína</w:t>
      </w:r>
    </w:p>
    <w:p w14:paraId="619E469D" w14:textId="77777777" w:rsidR="00323CDC" w:rsidRPr="009D7C92" w:rsidRDefault="00323CDC">
      <w:pPr>
        <w:jc w:val="left"/>
        <w:rPr>
          <w:color w:val="auto"/>
        </w:rPr>
      </w:pPr>
    </w:p>
    <w:p w14:paraId="25F7C4CF" w14:textId="71EFFFC4" w:rsidR="00EB25B2" w:rsidRDefault="00323CDC" w:rsidP="00243692">
      <w:pPr>
        <w:jc w:val="left"/>
        <w:rPr>
          <w:b/>
          <w:color w:val="auto"/>
        </w:rPr>
      </w:pPr>
      <w:r w:rsidRPr="009D7C92">
        <w:rPr>
          <w:b/>
          <w:color w:val="auto"/>
        </w:rPr>
        <w:t>Obal kapsuly (10 mg/10 mg/25 mg)</w:t>
      </w:r>
      <w:r w:rsidR="001A69D4" w:rsidRPr="009D7C92">
        <w:rPr>
          <w:b/>
          <w:color w:val="auto"/>
        </w:rPr>
        <w:t>:</w:t>
      </w:r>
    </w:p>
    <w:p w14:paraId="2D460EEB" w14:textId="1F33F79E" w:rsidR="00EB25B2" w:rsidRDefault="00093C91" w:rsidP="00EE703D">
      <w:pPr>
        <w:jc w:val="left"/>
        <w:rPr>
          <w:color w:val="auto"/>
        </w:rPr>
      </w:pPr>
      <w:r w:rsidRPr="009D7C92">
        <w:rPr>
          <w:color w:val="auto"/>
        </w:rPr>
        <w:t>č</w:t>
      </w:r>
      <w:r w:rsidR="00323CDC" w:rsidRPr="009D7C92">
        <w:rPr>
          <w:color w:val="auto"/>
        </w:rPr>
        <w:t>ervený oxid železitý (E</w:t>
      </w:r>
      <w:r w:rsidR="001A69D4" w:rsidRPr="009D7C92">
        <w:rPr>
          <w:color w:val="auto"/>
        </w:rPr>
        <w:t xml:space="preserve"> </w:t>
      </w:r>
      <w:r w:rsidR="00323CDC" w:rsidRPr="009D7C92">
        <w:rPr>
          <w:color w:val="auto"/>
        </w:rPr>
        <w:t>172)</w:t>
      </w:r>
    </w:p>
    <w:p w14:paraId="2761744B" w14:textId="77777777" w:rsidR="00323CDC" w:rsidRPr="009D7C92" w:rsidRDefault="00093C91" w:rsidP="00211D25">
      <w:pPr>
        <w:jc w:val="left"/>
        <w:rPr>
          <w:color w:val="auto"/>
        </w:rPr>
      </w:pPr>
      <w:r w:rsidRPr="009D7C92">
        <w:rPr>
          <w:color w:val="auto"/>
        </w:rPr>
        <w:t>ž</w:t>
      </w:r>
      <w:r w:rsidR="00323CDC" w:rsidRPr="009D7C92">
        <w:rPr>
          <w:color w:val="auto"/>
        </w:rPr>
        <w:t>ltý oxid železitý (E</w:t>
      </w:r>
      <w:r w:rsidR="001A69D4" w:rsidRPr="009D7C92">
        <w:rPr>
          <w:color w:val="auto"/>
        </w:rPr>
        <w:t xml:space="preserve"> </w:t>
      </w:r>
      <w:r w:rsidR="00323CDC" w:rsidRPr="009D7C92">
        <w:rPr>
          <w:color w:val="auto"/>
        </w:rPr>
        <w:t>172)</w:t>
      </w:r>
    </w:p>
    <w:p w14:paraId="60B7170B" w14:textId="77777777" w:rsidR="00323CDC" w:rsidRPr="009D7C92" w:rsidRDefault="00093C91" w:rsidP="00F87817">
      <w:pPr>
        <w:jc w:val="left"/>
        <w:rPr>
          <w:color w:val="auto"/>
        </w:rPr>
      </w:pPr>
      <w:r w:rsidRPr="009D7C92">
        <w:rPr>
          <w:color w:val="auto"/>
        </w:rPr>
        <w:t>č</w:t>
      </w:r>
      <w:r w:rsidR="00323CDC" w:rsidRPr="009D7C92">
        <w:rPr>
          <w:color w:val="auto"/>
        </w:rPr>
        <w:t>ierny oxid železitý (E</w:t>
      </w:r>
      <w:r w:rsidR="001A69D4" w:rsidRPr="009D7C92">
        <w:rPr>
          <w:color w:val="auto"/>
        </w:rPr>
        <w:t xml:space="preserve"> </w:t>
      </w:r>
      <w:r w:rsidR="00323CDC" w:rsidRPr="009D7C92">
        <w:rPr>
          <w:color w:val="auto"/>
        </w:rPr>
        <w:t>172)</w:t>
      </w:r>
    </w:p>
    <w:p w14:paraId="73B71F6A" w14:textId="27AF3427" w:rsidR="00EB25B2" w:rsidRDefault="00093C91">
      <w:pPr>
        <w:jc w:val="left"/>
        <w:rPr>
          <w:color w:val="auto"/>
        </w:rPr>
      </w:pPr>
      <w:r w:rsidRPr="009D7C92">
        <w:rPr>
          <w:color w:val="auto"/>
        </w:rPr>
        <w:t>o</w:t>
      </w:r>
      <w:r w:rsidR="00323CDC" w:rsidRPr="009D7C92">
        <w:rPr>
          <w:color w:val="auto"/>
        </w:rPr>
        <w:t>xid titaničitý (E</w:t>
      </w:r>
      <w:r w:rsidR="001A69D4" w:rsidRPr="009D7C92">
        <w:rPr>
          <w:color w:val="auto"/>
        </w:rPr>
        <w:t xml:space="preserve"> </w:t>
      </w:r>
      <w:r w:rsidR="00323CDC" w:rsidRPr="009D7C92">
        <w:rPr>
          <w:color w:val="auto"/>
        </w:rPr>
        <w:t>171)</w:t>
      </w:r>
    </w:p>
    <w:p w14:paraId="533D21BD" w14:textId="07708826" w:rsidR="00EB25B2" w:rsidRDefault="00093C91">
      <w:pPr>
        <w:jc w:val="left"/>
        <w:rPr>
          <w:color w:val="auto"/>
        </w:rPr>
      </w:pPr>
      <w:r w:rsidRPr="009D7C92">
        <w:rPr>
          <w:color w:val="auto"/>
        </w:rPr>
        <w:t>ž</w:t>
      </w:r>
      <w:r w:rsidR="00323CDC" w:rsidRPr="009D7C92">
        <w:rPr>
          <w:color w:val="auto"/>
        </w:rPr>
        <w:t>elatína</w:t>
      </w:r>
    </w:p>
    <w:p w14:paraId="68A9E17F" w14:textId="77777777" w:rsidR="00323CDC" w:rsidRPr="009D7C92" w:rsidRDefault="00323CDC">
      <w:pPr>
        <w:jc w:val="left"/>
        <w:rPr>
          <w:color w:val="auto"/>
        </w:rPr>
      </w:pPr>
    </w:p>
    <w:p w14:paraId="6B442FCA" w14:textId="0323D454" w:rsidR="00EB25B2" w:rsidRDefault="00323CDC" w:rsidP="00243692">
      <w:pPr>
        <w:jc w:val="left"/>
        <w:rPr>
          <w:b/>
          <w:color w:val="auto"/>
        </w:rPr>
      </w:pPr>
      <w:r w:rsidRPr="009D7C92">
        <w:rPr>
          <w:b/>
          <w:color w:val="auto"/>
        </w:rPr>
        <w:t>Obal kapsuly (5 mg/5 mg/12,5 mg)</w:t>
      </w:r>
      <w:r w:rsidR="001A69D4" w:rsidRPr="009D7C92">
        <w:rPr>
          <w:b/>
          <w:color w:val="auto"/>
        </w:rPr>
        <w:t>:</w:t>
      </w:r>
    </w:p>
    <w:p w14:paraId="31EA5A4F" w14:textId="109548AD" w:rsidR="00EB25B2" w:rsidRDefault="00093C91" w:rsidP="00EE703D">
      <w:pPr>
        <w:jc w:val="left"/>
        <w:rPr>
          <w:color w:val="auto"/>
        </w:rPr>
      </w:pPr>
      <w:r w:rsidRPr="009D7C92">
        <w:rPr>
          <w:color w:val="auto"/>
        </w:rPr>
        <w:t>č</w:t>
      </w:r>
      <w:r w:rsidR="00323CDC" w:rsidRPr="009D7C92">
        <w:rPr>
          <w:color w:val="auto"/>
        </w:rPr>
        <w:t>ervený oxid železitý (E</w:t>
      </w:r>
      <w:r w:rsidR="001A69D4" w:rsidRPr="009D7C92">
        <w:rPr>
          <w:color w:val="auto"/>
        </w:rPr>
        <w:t xml:space="preserve"> </w:t>
      </w:r>
      <w:r w:rsidR="00323CDC" w:rsidRPr="009D7C92">
        <w:rPr>
          <w:color w:val="auto"/>
        </w:rPr>
        <w:t>172)</w:t>
      </w:r>
    </w:p>
    <w:p w14:paraId="762AA319" w14:textId="77777777" w:rsidR="00323CDC" w:rsidRPr="009D7C92" w:rsidRDefault="00093C91" w:rsidP="00211D25">
      <w:pPr>
        <w:jc w:val="left"/>
        <w:rPr>
          <w:color w:val="auto"/>
        </w:rPr>
      </w:pPr>
      <w:r w:rsidRPr="009D7C92">
        <w:rPr>
          <w:color w:val="auto"/>
        </w:rPr>
        <w:t>č</w:t>
      </w:r>
      <w:r w:rsidR="00323CDC" w:rsidRPr="009D7C92">
        <w:rPr>
          <w:color w:val="auto"/>
        </w:rPr>
        <w:t>ierny oxid železitý (E</w:t>
      </w:r>
      <w:r w:rsidR="001A69D4" w:rsidRPr="009D7C92">
        <w:rPr>
          <w:color w:val="auto"/>
        </w:rPr>
        <w:t xml:space="preserve"> </w:t>
      </w:r>
      <w:r w:rsidR="00323CDC" w:rsidRPr="009D7C92">
        <w:rPr>
          <w:color w:val="auto"/>
        </w:rPr>
        <w:t>172)</w:t>
      </w:r>
    </w:p>
    <w:p w14:paraId="06976158" w14:textId="4A11C421" w:rsidR="00EB25B2" w:rsidRDefault="00093C91" w:rsidP="00F87817">
      <w:pPr>
        <w:jc w:val="left"/>
        <w:rPr>
          <w:color w:val="auto"/>
        </w:rPr>
      </w:pPr>
      <w:r w:rsidRPr="009D7C92">
        <w:rPr>
          <w:color w:val="auto"/>
        </w:rPr>
        <w:t>o</w:t>
      </w:r>
      <w:r w:rsidR="00323CDC" w:rsidRPr="009D7C92">
        <w:rPr>
          <w:color w:val="auto"/>
        </w:rPr>
        <w:t>xid titaničitý (E</w:t>
      </w:r>
      <w:r w:rsidR="001A69D4" w:rsidRPr="009D7C92">
        <w:rPr>
          <w:color w:val="auto"/>
        </w:rPr>
        <w:t xml:space="preserve"> </w:t>
      </w:r>
      <w:r w:rsidR="00323CDC" w:rsidRPr="009D7C92">
        <w:rPr>
          <w:color w:val="auto"/>
        </w:rPr>
        <w:t>171)</w:t>
      </w:r>
    </w:p>
    <w:p w14:paraId="787E1BDF" w14:textId="269E0812" w:rsidR="00EB25B2" w:rsidRDefault="00093C91">
      <w:pPr>
        <w:jc w:val="left"/>
        <w:rPr>
          <w:color w:val="auto"/>
        </w:rPr>
      </w:pPr>
      <w:r w:rsidRPr="009D7C92">
        <w:rPr>
          <w:color w:val="auto"/>
        </w:rPr>
        <w:t>ž</w:t>
      </w:r>
      <w:r w:rsidR="00323CDC" w:rsidRPr="009D7C92">
        <w:rPr>
          <w:color w:val="auto"/>
        </w:rPr>
        <w:t>elatína</w:t>
      </w:r>
    </w:p>
    <w:p w14:paraId="19002EFA" w14:textId="77777777" w:rsidR="00EB25B2" w:rsidRDefault="00EB25B2">
      <w:pPr>
        <w:jc w:val="left"/>
        <w:rPr>
          <w:color w:val="auto"/>
        </w:rPr>
      </w:pPr>
    </w:p>
    <w:p w14:paraId="0ABC96CD" w14:textId="77777777" w:rsidR="00093C91" w:rsidRPr="009D7C92" w:rsidRDefault="00093C91" w:rsidP="00243692">
      <w:pPr>
        <w:ind w:left="567" w:right="0" w:hanging="567"/>
        <w:jc w:val="left"/>
        <w:rPr>
          <w:color w:val="auto"/>
          <w:lang w:eastAsia="sk-SK"/>
        </w:rPr>
      </w:pPr>
      <w:r w:rsidRPr="009D7C92">
        <w:rPr>
          <w:b/>
          <w:color w:val="auto"/>
          <w:lang w:eastAsia="sk-SK"/>
        </w:rPr>
        <w:t>6.2</w:t>
      </w:r>
      <w:r w:rsidRPr="009D7C92">
        <w:rPr>
          <w:b/>
          <w:color w:val="auto"/>
          <w:lang w:eastAsia="sk-SK"/>
        </w:rPr>
        <w:tab/>
        <w:t>Inkompatibility</w:t>
      </w:r>
    </w:p>
    <w:p w14:paraId="7FF1E620" w14:textId="28868288" w:rsidR="00323CDC" w:rsidRPr="009D7C92" w:rsidRDefault="00323CDC" w:rsidP="00EE703D">
      <w:pPr>
        <w:jc w:val="left"/>
        <w:rPr>
          <w:color w:val="auto"/>
        </w:rPr>
      </w:pPr>
    </w:p>
    <w:p w14:paraId="7E16478B" w14:textId="77777777" w:rsidR="00093C91" w:rsidRPr="009D7C92" w:rsidRDefault="00093C91" w:rsidP="00243692">
      <w:pPr>
        <w:ind w:left="567" w:right="0" w:hanging="567"/>
        <w:jc w:val="left"/>
        <w:rPr>
          <w:color w:val="auto"/>
          <w:lang w:eastAsia="sk-SK"/>
        </w:rPr>
      </w:pPr>
      <w:r w:rsidRPr="009D7C92">
        <w:rPr>
          <w:color w:val="auto"/>
          <w:szCs w:val="24"/>
          <w:lang w:eastAsia="sk-SK"/>
        </w:rPr>
        <w:t>Neaplikovateľné</w:t>
      </w:r>
      <w:r w:rsidRPr="009D7C92">
        <w:rPr>
          <w:color w:val="auto"/>
          <w:lang w:eastAsia="sk-SK"/>
        </w:rPr>
        <w:t>.</w:t>
      </w:r>
    </w:p>
    <w:p w14:paraId="37C38B52" w14:textId="4B4A5AA5" w:rsidR="00323CDC" w:rsidRPr="009D7C92" w:rsidRDefault="00323CDC" w:rsidP="00EE703D">
      <w:pPr>
        <w:jc w:val="left"/>
        <w:rPr>
          <w:color w:val="auto"/>
        </w:rPr>
      </w:pPr>
    </w:p>
    <w:p w14:paraId="52DBC767" w14:textId="332F6E4D" w:rsidR="00EB25B2" w:rsidRDefault="00093C91" w:rsidP="00243692">
      <w:pPr>
        <w:ind w:left="567" w:right="0" w:hanging="567"/>
        <w:jc w:val="left"/>
        <w:rPr>
          <w:color w:val="auto"/>
          <w:lang w:eastAsia="sk-SK"/>
        </w:rPr>
      </w:pPr>
      <w:r w:rsidRPr="009D7C92">
        <w:rPr>
          <w:b/>
          <w:color w:val="auto"/>
          <w:lang w:eastAsia="sk-SK"/>
        </w:rPr>
        <w:lastRenderedPageBreak/>
        <w:t>6.3</w:t>
      </w:r>
      <w:r w:rsidRPr="009D7C92">
        <w:rPr>
          <w:b/>
          <w:color w:val="auto"/>
          <w:lang w:eastAsia="sk-SK"/>
        </w:rPr>
        <w:tab/>
        <w:t>Čas použiteľnosti</w:t>
      </w:r>
    </w:p>
    <w:p w14:paraId="06137508" w14:textId="4F74E757" w:rsidR="00323CDC" w:rsidRPr="009D7C92" w:rsidRDefault="00323CDC" w:rsidP="00EE703D">
      <w:pPr>
        <w:jc w:val="left"/>
        <w:rPr>
          <w:color w:val="auto"/>
        </w:rPr>
      </w:pPr>
    </w:p>
    <w:p w14:paraId="3716F521" w14:textId="56DD015D" w:rsidR="00EB25B2" w:rsidRDefault="00305D24" w:rsidP="00211D25">
      <w:pPr>
        <w:jc w:val="left"/>
        <w:rPr>
          <w:color w:val="auto"/>
        </w:rPr>
      </w:pPr>
      <w:r w:rsidRPr="009D7C92">
        <w:rPr>
          <w:color w:val="auto"/>
        </w:rPr>
        <w:t>Ramipril/Amlodipín/Hydrochlorotiazid Adamed 5 mg/5 mg/25 mg</w:t>
      </w:r>
      <w:r w:rsidR="005D6278" w:rsidRPr="009D7C92">
        <w:rPr>
          <w:color w:val="auto"/>
        </w:rPr>
        <w:t>:</w:t>
      </w:r>
    </w:p>
    <w:p w14:paraId="6C9230AB" w14:textId="77777777" w:rsidR="00323CDC" w:rsidRPr="009D7C92" w:rsidRDefault="005D6278" w:rsidP="00F87817">
      <w:pPr>
        <w:jc w:val="left"/>
        <w:rPr>
          <w:color w:val="auto"/>
        </w:rPr>
      </w:pPr>
      <w:r w:rsidRPr="009D7C92">
        <w:rPr>
          <w:color w:val="auto"/>
        </w:rPr>
        <w:t>30 mesiacov</w:t>
      </w:r>
    </w:p>
    <w:p w14:paraId="06C6B155" w14:textId="0D2BD4F1" w:rsidR="00EB25B2" w:rsidRDefault="00E826A8">
      <w:pPr>
        <w:jc w:val="left"/>
        <w:rPr>
          <w:color w:val="auto"/>
        </w:rPr>
      </w:pPr>
      <w:r w:rsidRPr="009D7C92">
        <w:rPr>
          <w:color w:val="auto"/>
        </w:rPr>
        <w:t>R</w:t>
      </w:r>
      <w:r w:rsidR="00305D24" w:rsidRPr="009D7C92">
        <w:rPr>
          <w:color w:val="auto"/>
        </w:rPr>
        <w:t>amipril/Amlodipín/Hydrochlorotiazid</w:t>
      </w:r>
      <w:r w:rsidR="00CD3003" w:rsidRPr="009D7C92">
        <w:rPr>
          <w:color w:val="auto"/>
        </w:rPr>
        <w:t xml:space="preserve"> Adamed</w:t>
      </w:r>
      <w:r w:rsidR="00305D24" w:rsidRPr="009D7C92">
        <w:rPr>
          <w:color w:val="auto"/>
        </w:rPr>
        <w:t xml:space="preserve"> </w:t>
      </w:r>
      <w:r w:rsidR="005D6278" w:rsidRPr="009D7C92">
        <w:rPr>
          <w:color w:val="auto"/>
        </w:rPr>
        <w:t>10 mg</w:t>
      </w:r>
      <w:r w:rsidR="00305D24" w:rsidRPr="009D7C92">
        <w:rPr>
          <w:color w:val="auto"/>
        </w:rPr>
        <w:t>/</w:t>
      </w:r>
      <w:r w:rsidR="005D6278" w:rsidRPr="009D7C92">
        <w:rPr>
          <w:color w:val="auto"/>
        </w:rPr>
        <w:t>10 mg</w:t>
      </w:r>
      <w:r w:rsidR="00305D24" w:rsidRPr="009D7C92">
        <w:rPr>
          <w:color w:val="auto"/>
        </w:rPr>
        <w:t>/</w:t>
      </w:r>
      <w:r w:rsidR="005D6278" w:rsidRPr="009D7C92">
        <w:rPr>
          <w:color w:val="auto"/>
        </w:rPr>
        <w:t>25 mg, 10 mg</w:t>
      </w:r>
      <w:r w:rsidR="00305D24" w:rsidRPr="009D7C92">
        <w:rPr>
          <w:color w:val="auto"/>
        </w:rPr>
        <w:t>/</w:t>
      </w:r>
      <w:r w:rsidR="005D6278" w:rsidRPr="009D7C92">
        <w:rPr>
          <w:color w:val="auto"/>
        </w:rPr>
        <w:t>5 mg</w:t>
      </w:r>
      <w:r w:rsidR="00305D24" w:rsidRPr="009D7C92">
        <w:rPr>
          <w:color w:val="auto"/>
        </w:rPr>
        <w:t>/</w:t>
      </w:r>
      <w:r w:rsidR="005D6278" w:rsidRPr="009D7C92">
        <w:rPr>
          <w:color w:val="auto"/>
        </w:rPr>
        <w:t>25 mg, 5 mg</w:t>
      </w:r>
      <w:r w:rsidR="00305D24" w:rsidRPr="009D7C92">
        <w:rPr>
          <w:color w:val="auto"/>
        </w:rPr>
        <w:t>/</w:t>
      </w:r>
      <w:r w:rsidR="005D6278" w:rsidRPr="009D7C92">
        <w:rPr>
          <w:color w:val="auto"/>
        </w:rPr>
        <w:t>5 mg</w:t>
      </w:r>
      <w:r w:rsidR="00305D24" w:rsidRPr="009D7C92">
        <w:rPr>
          <w:color w:val="auto"/>
        </w:rPr>
        <w:t>/</w:t>
      </w:r>
      <w:r w:rsidR="005D6278" w:rsidRPr="009D7C92">
        <w:rPr>
          <w:color w:val="auto"/>
        </w:rPr>
        <w:t>12</w:t>
      </w:r>
      <w:r w:rsidR="00CD3003" w:rsidRPr="009D7C92">
        <w:rPr>
          <w:color w:val="auto"/>
        </w:rPr>
        <w:t>,</w:t>
      </w:r>
      <w:r w:rsidR="005D6278" w:rsidRPr="009D7C92">
        <w:rPr>
          <w:color w:val="auto"/>
        </w:rPr>
        <w:t>5 mg:</w:t>
      </w:r>
    </w:p>
    <w:p w14:paraId="2E0829B2" w14:textId="77777777" w:rsidR="00323CDC" w:rsidRPr="009D7C92" w:rsidRDefault="005D6278">
      <w:pPr>
        <w:jc w:val="left"/>
        <w:rPr>
          <w:color w:val="auto"/>
        </w:rPr>
      </w:pPr>
      <w:r w:rsidRPr="009D7C92">
        <w:rPr>
          <w:color w:val="auto"/>
        </w:rPr>
        <w:t>36 mesiacov</w:t>
      </w:r>
    </w:p>
    <w:p w14:paraId="0A346909" w14:textId="77777777" w:rsidR="00323CDC" w:rsidRPr="009D7C92" w:rsidRDefault="00323CDC">
      <w:pPr>
        <w:jc w:val="left"/>
        <w:rPr>
          <w:color w:val="auto"/>
        </w:rPr>
      </w:pPr>
    </w:p>
    <w:p w14:paraId="17AE29CE" w14:textId="77777777" w:rsidR="00093C91" w:rsidRPr="009D7C92" w:rsidRDefault="00093C91" w:rsidP="00243692">
      <w:pPr>
        <w:ind w:left="567" w:right="0" w:hanging="567"/>
        <w:jc w:val="left"/>
        <w:rPr>
          <w:color w:val="auto"/>
          <w:lang w:eastAsia="sk-SK"/>
        </w:rPr>
      </w:pPr>
      <w:r w:rsidRPr="009D7C92">
        <w:rPr>
          <w:b/>
          <w:color w:val="auto"/>
          <w:lang w:eastAsia="sk-SK"/>
        </w:rPr>
        <w:t>6.4</w:t>
      </w:r>
      <w:r w:rsidRPr="009D7C92">
        <w:rPr>
          <w:b/>
          <w:color w:val="auto"/>
          <w:lang w:eastAsia="sk-SK"/>
        </w:rPr>
        <w:tab/>
        <w:t>Špeciálne upozornenia na uchovávanie</w:t>
      </w:r>
    </w:p>
    <w:p w14:paraId="0F868BC5" w14:textId="35364727" w:rsidR="00323CDC" w:rsidRPr="009D7C92" w:rsidRDefault="00323CDC" w:rsidP="00EE703D">
      <w:pPr>
        <w:jc w:val="left"/>
        <w:rPr>
          <w:color w:val="auto"/>
        </w:rPr>
      </w:pPr>
    </w:p>
    <w:p w14:paraId="0F8DC227" w14:textId="1BE52663" w:rsidR="00EB25B2" w:rsidRDefault="00DE76DC" w:rsidP="00211D25">
      <w:pPr>
        <w:jc w:val="left"/>
        <w:rPr>
          <w:color w:val="auto"/>
        </w:rPr>
      </w:pPr>
      <w:r w:rsidRPr="009D7C92">
        <w:rPr>
          <w:color w:val="auto"/>
        </w:rPr>
        <w:t>Uchovávajte pri teplote do 30</w:t>
      </w:r>
      <w:r w:rsidR="00CD3003" w:rsidRPr="009D7C92">
        <w:rPr>
          <w:color w:val="auto"/>
        </w:rPr>
        <w:t xml:space="preserve"> </w:t>
      </w:r>
      <w:r w:rsidRPr="009D7C92">
        <w:rPr>
          <w:color w:val="auto"/>
        </w:rPr>
        <w:t>°C.</w:t>
      </w:r>
    </w:p>
    <w:p w14:paraId="7A4536D6" w14:textId="7E5485FF" w:rsidR="00323CDC" w:rsidRPr="009D7C92" w:rsidRDefault="00323CDC" w:rsidP="00F87817">
      <w:pPr>
        <w:jc w:val="left"/>
        <w:rPr>
          <w:color w:val="auto"/>
        </w:rPr>
      </w:pPr>
    </w:p>
    <w:p w14:paraId="4C5E1574" w14:textId="7A8403AA" w:rsidR="00EB25B2" w:rsidRDefault="00093C91" w:rsidP="00243692">
      <w:pPr>
        <w:ind w:left="567" w:right="0" w:hanging="567"/>
        <w:jc w:val="left"/>
        <w:rPr>
          <w:b/>
          <w:color w:val="0000FF"/>
          <w:lang w:eastAsia="sk-SK"/>
        </w:rPr>
      </w:pPr>
      <w:r w:rsidRPr="009D7C92">
        <w:rPr>
          <w:b/>
          <w:color w:val="auto"/>
          <w:lang w:eastAsia="sk-SK"/>
        </w:rPr>
        <w:t>6.5</w:t>
      </w:r>
      <w:r w:rsidRPr="009D7C92">
        <w:rPr>
          <w:b/>
          <w:color w:val="auto"/>
          <w:lang w:eastAsia="sk-SK"/>
        </w:rPr>
        <w:tab/>
        <w:t>Druh obalu a obsah balenia</w:t>
      </w:r>
    </w:p>
    <w:p w14:paraId="0AA292D3" w14:textId="0BA577E2" w:rsidR="00323CDC" w:rsidRPr="009D7C92" w:rsidRDefault="00323CDC" w:rsidP="00EE703D">
      <w:pPr>
        <w:jc w:val="left"/>
        <w:rPr>
          <w:color w:val="auto"/>
        </w:rPr>
      </w:pPr>
    </w:p>
    <w:p w14:paraId="5069E153" w14:textId="358D9143" w:rsidR="00EB25B2" w:rsidRDefault="00323CDC" w:rsidP="00211D25">
      <w:pPr>
        <w:jc w:val="left"/>
        <w:rPr>
          <w:color w:val="auto"/>
        </w:rPr>
      </w:pPr>
      <w:r w:rsidRPr="009D7C92">
        <w:rPr>
          <w:color w:val="auto"/>
        </w:rPr>
        <w:t xml:space="preserve">10, 28, 30, 60 a 100 </w:t>
      </w:r>
      <w:r w:rsidR="00CD3003" w:rsidRPr="009D7C92">
        <w:rPr>
          <w:color w:val="auto"/>
        </w:rPr>
        <w:t xml:space="preserve">tvrdých </w:t>
      </w:r>
      <w:r w:rsidRPr="009D7C92">
        <w:rPr>
          <w:color w:val="auto"/>
        </w:rPr>
        <w:t>kapsúl</w:t>
      </w:r>
      <w:r w:rsidR="00CD3003" w:rsidRPr="009D7C92">
        <w:rPr>
          <w:color w:val="auto"/>
        </w:rPr>
        <w:t xml:space="preserve"> v</w:t>
      </w:r>
      <w:r w:rsidRPr="009D7C92">
        <w:rPr>
          <w:color w:val="auto"/>
        </w:rPr>
        <w:t xml:space="preserve"> blistrov</w:t>
      </w:r>
      <w:r w:rsidR="00CD3003" w:rsidRPr="009D7C92">
        <w:rPr>
          <w:color w:val="auto"/>
        </w:rPr>
        <w:t>ých</w:t>
      </w:r>
      <w:r w:rsidRPr="009D7C92">
        <w:rPr>
          <w:color w:val="auto"/>
        </w:rPr>
        <w:t xml:space="preserve"> balenia</w:t>
      </w:r>
      <w:r w:rsidR="00CD3003" w:rsidRPr="009D7C92">
        <w:rPr>
          <w:color w:val="auto"/>
        </w:rPr>
        <w:t>ch</w:t>
      </w:r>
      <w:r w:rsidRPr="009D7C92">
        <w:rPr>
          <w:color w:val="auto"/>
        </w:rPr>
        <w:t xml:space="preserve"> PA-hliník-PVC (laminát) a hliníkov</w:t>
      </w:r>
      <w:r w:rsidR="00CD3003" w:rsidRPr="009D7C92">
        <w:rPr>
          <w:color w:val="auto"/>
        </w:rPr>
        <w:t>ej</w:t>
      </w:r>
      <w:r w:rsidRPr="009D7C92">
        <w:rPr>
          <w:color w:val="auto"/>
        </w:rPr>
        <w:t xml:space="preserve"> fóli</w:t>
      </w:r>
      <w:r w:rsidR="00CD3003" w:rsidRPr="009D7C92">
        <w:rPr>
          <w:color w:val="auto"/>
        </w:rPr>
        <w:t>i</w:t>
      </w:r>
      <w:r w:rsidRPr="009D7C92">
        <w:rPr>
          <w:color w:val="auto"/>
        </w:rPr>
        <w:t xml:space="preserve"> v </w:t>
      </w:r>
      <w:r w:rsidR="00892523" w:rsidRPr="009D7C92">
        <w:rPr>
          <w:color w:val="auto"/>
        </w:rPr>
        <w:t>škatuľke</w:t>
      </w:r>
      <w:r w:rsidRPr="009D7C92">
        <w:rPr>
          <w:color w:val="auto"/>
        </w:rPr>
        <w:t>.</w:t>
      </w:r>
    </w:p>
    <w:p w14:paraId="5CDD031D" w14:textId="77777777" w:rsidR="00093C91" w:rsidRPr="009D7C92" w:rsidRDefault="00093C91" w:rsidP="00243692">
      <w:pPr>
        <w:ind w:left="567" w:right="0" w:hanging="567"/>
        <w:jc w:val="left"/>
        <w:rPr>
          <w:color w:val="auto"/>
          <w:lang w:eastAsia="sk-SK"/>
        </w:rPr>
      </w:pPr>
      <w:r w:rsidRPr="009D7C92">
        <w:rPr>
          <w:color w:val="auto"/>
          <w:szCs w:val="24"/>
          <w:lang w:eastAsia="sk-SK"/>
        </w:rPr>
        <w:t>Na trh nemusia byť uvedené</w:t>
      </w:r>
      <w:r w:rsidRPr="009D7C92">
        <w:rPr>
          <w:color w:val="auto"/>
          <w:lang w:eastAsia="sk-SK"/>
        </w:rPr>
        <w:t xml:space="preserve"> všetky veľkosti balenia.</w:t>
      </w:r>
    </w:p>
    <w:p w14:paraId="25CD5F2E" w14:textId="70AD7E95" w:rsidR="00323CDC" w:rsidRPr="009D7C92" w:rsidRDefault="00323CDC" w:rsidP="00EE703D">
      <w:pPr>
        <w:jc w:val="left"/>
        <w:rPr>
          <w:color w:val="auto"/>
        </w:rPr>
      </w:pPr>
    </w:p>
    <w:p w14:paraId="52C933EA" w14:textId="4ADE0B0C" w:rsidR="00323CDC" w:rsidRPr="009D7C92" w:rsidRDefault="00323CDC" w:rsidP="00211D25">
      <w:pPr>
        <w:jc w:val="left"/>
        <w:rPr>
          <w:color w:val="auto"/>
        </w:rPr>
      </w:pPr>
    </w:p>
    <w:p w14:paraId="0BD9676F" w14:textId="77777777" w:rsidR="00093C91" w:rsidRPr="009D7C92" w:rsidRDefault="00093C91" w:rsidP="00243692">
      <w:pPr>
        <w:ind w:left="567" w:right="0" w:hanging="567"/>
        <w:jc w:val="left"/>
        <w:rPr>
          <w:b/>
          <w:bCs/>
          <w:color w:val="auto"/>
          <w:szCs w:val="24"/>
          <w:lang w:eastAsia="sk-SK"/>
        </w:rPr>
      </w:pPr>
      <w:r w:rsidRPr="009D7C92">
        <w:rPr>
          <w:b/>
          <w:color w:val="auto"/>
          <w:lang w:eastAsia="sk-SK"/>
        </w:rPr>
        <w:t>6.6</w:t>
      </w:r>
      <w:r w:rsidRPr="009D7C92">
        <w:rPr>
          <w:b/>
          <w:color w:val="auto"/>
          <w:lang w:eastAsia="sk-SK"/>
        </w:rPr>
        <w:tab/>
      </w:r>
      <w:r w:rsidRPr="009D7C92">
        <w:rPr>
          <w:b/>
          <w:bCs/>
          <w:color w:val="auto"/>
          <w:szCs w:val="24"/>
          <w:lang w:eastAsia="sk-SK"/>
        </w:rPr>
        <w:t>Špeciálne opatrenia na likvidáciu</w:t>
      </w:r>
    </w:p>
    <w:p w14:paraId="2E61D57B" w14:textId="435A9B02" w:rsidR="00323CDC" w:rsidRPr="009D7C92" w:rsidRDefault="00323CDC" w:rsidP="00EE703D">
      <w:pPr>
        <w:jc w:val="left"/>
        <w:rPr>
          <w:color w:val="auto"/>
        </w:rPr>
      </w:pPr>
    </w:p>
    <w:p w14:paraId="7A47A673" w14:textId="05F978CB" w:rsidR="00093C91" w:rsidRPr="009D7C92" w:rsidRDefault="00093C91" w:rsidP="00243692">
      <w:pPr>
        <w:ind w:left="567" w:right="0" w:hanging="567"/>
        <w:jc w:val="left"/>
        <w:rPr>
          <w:color w:val="auto"/>
          <w:lang w:eastAsia="sk-SK"/>
        </w:rPr>
      </w:pPr>
      <w:r w:rsidRPr="009D7C92">
        <w:rPr>
          <w:color w:val="auto"/>
          <w:lang w:eastAsia="sk-SK"/>
        </w:rPr>
        <w:t>Žiadne zvláštne požiadavky</w:t>
      </w:r>
      <w:r w:rsidR="00CD3003" w:rsidRPr="009D7C92">
        <w:rPr>
          <w:color w:val="auto"/>
          <w:lang w:eastAsia="sk-SK"/>
        </w:rPr>
        <w:t>.</w:t>
      </w:r>
    </w:p>
    <w:p w14:paraId="29C970A8" w14:textId="4E9BA7C9" w:rsidR="00323CDC" w:rsidRPr="009D7C92" w:rsidRDefault="00323CDC" w:rsidP="00EE703D">
      <w:pPr>
        <w:jc w:val="left"/>
        <w:rPr>
          <w:color w:val="auto"/>
        </w:rPr>
      </w:pPr>
    </w:p>
    <w:p w14:paraId="08F6135C" w14:textId="130A7E9A" w:rsidR="00EB25B2" w:rsidRDefault="00BA06D4" w:rsidP="00211D25">
      <w:pPr>
        <w:jc w:val="left"/>
        <w:rPr>
          <w:color w:val="auto"/>
        </w:rPr>
      </w:pPr>
      <w:r w:rsidRPr="009D7C92">
        <w:t>Všetok nepoužitý liek alebo odpad vzniknutý z lieku sa má zlikvidovať v súlade s národnými požiadavkami</w:t>
      </w:r>
      <w:r w:rsidR="00323CDC" w:rsidRPr="009D7C92">
        <w:rPr>
          <w:color w:val="auto"/>
        </w:rPr>
        <w:t>.</w:t>
      </w:r>
    </w:p>
    <w:p w14:paraId="304042C7" w14:textId="4480B205" w:rsidR="00323CDC" w:rsidRPr="009D7C92" w:rsidRDefault="00323CDC" w:rsidP="00F87817">
      <w:pPr>
        <w:jc w:val="left"/>
        <w:rPr>
          <w:color w:val="auto"/>
        </w:rPr>
      </w:pPr>
    </w:p>
    <w:p w14:paraId="2C4E8ADC" w14:textId="183A4827" w:rsidR="00323CDC" w:rsidRPr="009D7C92" w:rsidRDefault="00323CDC">
      <w:pPr>
        <w:jc w:val="left"/>
        <w:rPr>
          <w:color w:val="auto"/>
        </w:rPr>
      </w:pPr>
    </w:p>
    <w:p w14:paraId="5C31E719" w14:textId="77777777" w:rsidR="00093C91" w:rsidRPr="009D7C92" w:rsidRDefault="00093C91" w:rsidP="00243692">
      <w:pPr>
        <w:ind w:left="567" w:right="0" w:hanging="567"/>
        <w:jc w:val="left"/>
        <w:rPr>
          <w:b/>
          <w:color w:val="auto"/>
          <w:lang w:eastAsia="sk-SK"/>
        </w:rPr>
      </w:pPr>
      <w:r w:rsidRPr="009D7C92">
        <w:rPr>
          <w:b/>
          <w:color w:val="auto"/>
          <w:lang w:eastAsia="sk-SK"/>
        </w:rPr>
        <w:t>7.</w:t>
      </w:r>
      <w:r w:rsidRPr="009D7C92">
        <w:rPr>
          <w:b/>
          <w:color w:val="auto"/>
          <w:lang w:eastAsia="sk-SK"/>
        </w:rPr>
        <w:tab/>
        <w:t>DRŽITEĽ ROZHODNUTIA O REGISTRÁCII</w:t>
      </w:r>
    </w:p>
    <w:p w14:paraId="017B875F" w14:textId="0EEECDF2" w:rsidR="00323CDC" w:rsidRPr="009D7C92" w:rsidRDefault="00323CDC" w:rsidP="00EE703D">
      <w:pPr>
        <w:jc w:val="left"/>
        <w:rPr>
          <w:color w:val="auto"/>
        </w:rPr>
      </w:pPr>
    </w:p>
    <w:p w14:paraId="7B050074" w14:textId="77777777" w:rsidR="00093C91" w:rsidRPr="009D7C92" w:rsidRDefault="00093C91" w:rsidP="00243692">
      <w:pPr>
        <w:pStyle w:val="Style8"/>
        <w:widowControl/>
        <w:spacing w:line="240" w:lineRule="auto"/>
        <w:jc w:val="left"/>
        <w:rPr>
          <w:rStyle w:val="FontStyle34"/>
          <w:sz w:val="22"/>
          <w:szCs w:val="22"/>
          <w:lang w:val="sk-SK" w:eastAsia="pl-PL"/>
        </w:rPr>
      </w:pPr>
      <w:r w:rsidRPr="009D7C92">
        <w:rPr>
          <w:rStyle w:val="FontStyle34"/>
          <w:sz w:val="22"/>
          <w:szCs w:val="22"/>
          <w:lang w:val="sk-SK"/>
        </w:rPr>
        <w:t>Adamed Pharma S.A.</w:t>
      </w:r>
    </w:p>
    <w:p w14:paraId="63515A9B" w14:textId="796AEB1A" w:rsidR="00EB25B2" w:rsidRDefault="00093C91" w:rsidP="00243692">
      <w:pPr>
        <w:pStyle w:val="Style8"/>
        <w:widowControl/>
        <w:spacing w:line="240" w:lineRule="auto"/>
        <w:jc w:val="left"/>
        <w:rPr>
          <w:rStyle w:val="FontStyle34"/>
          <w:sz w:val="22"/>
          <w:szCs w:val="22"/>
          <w:lang w:val="sk-SK"/>
        </w:rPr>
      </w:pPr>
      <w:r w:rsidRPr="009D7C92">
        <w:rPr>
          <w:rStyle w:val="FontStyle34"/>
          <w:sz w:val="22"/>
          <w:szCs w:val="22"/>
          <w:lang w:val="sk-SK"/>
        </w:rPr>
        <w:t>Pieńków, ul. M. Adamkiewicza 6A</w:t>
      </w:r>
    </w:p>
    <w:p w14:paraId="3FE1A427" w14:textId="77777777" w:rsidR="00093C91" w:rsidRPr="009D7C92" w:rsidRDefault="00093C91" w:rsidP="00243692">
      <w:pPr>
        <w:pStyle w:val="Style8"/>
        <w:widowControl/>
        <w:spacing w:line="240" w:lineRule="auto"/>
        <w:jc w:val="left"/>
        <w:rPr>
          <w:rStyle w:val="FontStyle34"/>
          <w:sz w:val="22"/>
          <w:szCs w:val="22"/>
          <w:lang w:val="sk-SK"/>
        </w:rPr>
      </w:pPr>
      <w:r w:rsidRPr="009D7C92">
        <w:rPr>
          <w:rStyle w:val="FontStyle34"/>
          <w:sz w:val="22"/>
          <w:szCs w:val="22"/>
          <w:lang w:val="sk-SK"/>
        </w:rPr>
        <w:t>05-152 Czosnów</w:t>
      </w:r>
    </w:p>
    <w:p w14:paraId="4E63354C" w14:textId="77777777" w:rsidR="00093C91" w:rsidRPr="009D7C92" w:rsidRDefault="00093C91" w:rsidP="00243692">
      <w:pPr>
        <w:pStyle w:val="Style8"/>
        <w:widowControl/>
        <w:spacing w:line="240" w:lineRule="auto"/>
        <w:jc w:val="left"/>
        <w:rPr>
          <w:rStyle w:val="FontStyle34"/>
          <w:sz w:val="22"/>
          <w:szCs w:val="22"/>
          <w:lang w:val="sk-SK"/>
        </w:rPr>
      </w:pPr>
      <w:r w:rsidRPr="009D7C92">
        <w:rPr>
          <w:rStyle w:val="FontStyle34"/>
          <w:sz w:val="22"/>
          <w:szCs w:val="22"/>
          <w:lang w:val="sk-SK"/>
        </w:rPr>
        <w:t>Poľsko</w:t>
      </w:r>
    </w:p>
    <w:p w14:paraId="4F00893D" w14:textId="7A5F8537" w:rsidR="00323CDC" w:rsidRPr="009D7C92" w:rsidRDefault="00323CDC" w:rsidP="00EE703D">
      <w:pPr>
        <w:jc w:val="left"/>
        <w:rPr>
          <w:color w:val="auto"/>
        </w:rPr>
      </w:pPr>
    </w:p>
    <w:p w14:paraId="629DC0D3" w14:textId="3D869A0C" w:rsidR="00323CDC" w:rsidRPr="009D7C92" w:rsidRDefault="00323CDC" w:rsidP="00211D25">
      <w:pPr>
        <w:jc w:val="left"/>
        <w:rPr>
          <w:color w:val="auto"/>
        </w:rPr>
      </w:pPr>
    </w:p>
    <w:p w14:paraId="58FB4C6C" w14:textId="77777777" w:rsidR="00093C91" w:rsidRPr="009D7C92" w:rsidRDefault="00093C91" w:rsidP="00243692">
      <w:pPr>
        <w:ind w:left="567" w:right="0" w:hanging="567"/>
        <w:jc w:val="left"/>
        <w:rPr>
          <w:b/>
          <w:color w:val="auto"/>
          <w:lang w:eastAsia="sk-SK"/>
        </w:rPr>
      </w:pPr>
      <w:r w:rsidRPr="009D7C92">
        <w:rPr>
          <w:b/>
          <w:color w:val="auto"/>
          <w:lang w:eastAsia="sk-SK"/>
        </w:rPr>
        <w:t>8.</w:t>
      </w:r>
      <w:r w:rsidRPr="009D7C92">
        <w:rPr>
          <w:b/>
          <w:color w:val="auto"/>
          <w:lang w:eastAsia="sk-SK"/>
        </w:rPr>
        <w:tab/>
        <w:t>REGISTRAČNÉ ČÍSLA</w:t>
      </w:r>
    </w:p>
    <w:p w14:paraId="3BAFA90C" w14:textId="6FD09CFE" w:rsidR="00323CDC" w:rsidRPr="009D7C92" w:rsidRDefault="00323CDC" w:rsidP="00EE703D">
      <w:pPr>
        <w:jc w:val="left"/>
        <w:rPr>
          <w:color w:val="auto"/>
        </w:rPr>
      </w:pPr>
    </w:p>
    <w:p w14:paraId="28045001" w14:textId="07570F98" w:rsidR="00243692" w:rsidRPr="009D7C92" w:rsidRDefault="00243692" w:rsidP="00243692">
      <w:pPr>
        <w:jc w:val="left"/>
        <w:rPr>
          <w:color w:val="auto"/>
        </w:rPr>
      </w:pPr>
      <w:r w:rsidRPr="009D7C92">
        <w:rPr>
          <w:color w:val="auto"/>
        </w:rPr>
        <w:t>Ramipril/Amlodipín/Hydrochlorotiazid Adamed 5 mg/5 mg/12,5 mg</w:t>
      </w:r>
      <w:r w:rsidR="003D0C51" w:rsidRPr="009D7C92">
        <w:rPr>
          <w:color w:val="auto"/>
        </w:rPr>
        <w:t>:</w:t>
      </w:r>
      <w:r w:rsidR="00A5695D">
        <w:rPr>
          <w:color w:val="auto"/>
        </w:rPr>
        <w:t xml:space="preserve"> </w:t>
      </w:r>
      <w:r w:rsidR="00A5695D" w:rsidRPr="00A5695D">
        <w:rPr>
          <w:color w:val="auto"/>
        </w:rPr>
        <w:t>58/0196/19-S</w:t>
      </w:r>
    </w:p>
    <w:p w14:paraId="487DFC32" w14:textId="1E26CC8B" w:rsidR="00243692" w:rsidRPr="009D7C92" w:rsidRDefault="00243692" w:rsidP="00243692">
      <w:pPr>
        <w:jc w:val="left"/>
        <w:rPr>
          <w:color w:val="auto"/>
        </w:rPr>
      </w:pPr>
      <w:r w:rsidRPr="009D7C92">
        <w:rPr>
          <w:color w:val="auto"/>
        </w:rPr>
        <w:t>Ramipril/Amlodipín/Hydrochlorotiazid Adamed 5 mg/5 mg/25 mg</w:t>
      </w:r>
      <w:r w:rsidR="003D0C51" w:rsidRPr="009D7C92">
        <w:rPr>
          <w:color w:val="auto"/>
        </w:rPr>
        <w:t>:</w:t>
      </w:r>
      <w:r w:rsidR="00A5695D">
        <w:rPr>
          <w:color w:val="auto"/>
        </w:rPr>
        <w:t xml:space="preserve"> 58/0197</w:t>
      </w:r>
      <w:r w:rsidR="00A5695D" w:rsidRPr="00A5695D">
        <w:rPr>
          <w:color w:val="auto"/>
        </w:rPr>
        <w:t>/19-S</w:t>
      </w:r>
    </w:p>
    <w:p w14:paraId="430DD043" w14:textId="775F4366" w:rsidR="00EB25B2" w:rsidRDefault="00243692" w:rsidP="00243692">
      <w:pPr>
        <w:jc w:val="left"/>
        <w:rPr>
          <w:color w:val="auto"/>
        </w:rPr>
      </w:pPr>
      <w:r w:rsidRPr="009D7C92">
        <w:rPr>
          <w:color w:val="auto"/>
        </w:rPr>
        <w:t>Ramipril/Amlodipín/Hydrochlorotiazid Adamed 10 mg/5 mg/25 mg</w:t>
      </w:r>
      <w:r w:rsidR="003D0C51" w:rsidRPr="009D7C92">
        <w:rPr>
          <w:color w:val="auto"/>
        </w:rPr>
        <w:t>:</w:t>
      </w:r>
      <w:r w:rsidR="00A5695D">
        <w:rPr>
          <w:color w:val="auto"/>
        </w:rPr>
        <w:t xml:space="preserve"> 58/0198</w:t>
      </w:r>
      <w:r w:rsidR="00A5695D" w:rsidRPr="00A5695D">
        <w:rPr>
          <w:color w:val="auto"/>
        </w:rPr>
        <w:t>/19-S</w:t>
      </w:r>
    </w:p>
    <w:p w14:paraId="6A2138E5" w14:textId="321F999B" w:rsidR="00243692" w:rsidRPr="009D7C92" w:rsidRDefault="00243692" w:rsidP="00243692">
      <w:pPr>
        <w:jc w:val="left"/>
        <w:rPr>
          <w:color w:val="auto"/>
        </w:rPr>
      </w:pPr>
      <w:r w:rsidRPr="009D7C92">
        <w:rPr>
          <w:color w:val="auto"/>
        </w:rPr>
        <w:t>Ramipril/Amlodipín/Hydrochlorotiazid Adamed 10 mg/10 mg/25 mg</w:t>
      </w:r>
      <w:r w:rsidR="003D0C51" w:rsidRPr="009D7C92">
        <w:rPr>
          <w:color w:val="auto"/>
        </w:rPr>
        <w:t>:</w:t>
      </w:r>
      <w:r w:rsidR="00A5695D">
        <w:rPr>
          <w:color w:val="auto"/>
        </w:rPr>
        <w:t xml:space="preserve"> 58/0199</w:t>
      </w:r>
      <w:r w:rsidR="00A5695D" w:rsidRPr="00A5695D">
        <w:rPr>
          <w:color w:val="auto"/>
        </w:rPr>
        <w:t>/19-S</w:t>
      </w:r>
    </w:p>
    <w:p w14:paraId="5CF4F4B8" w14:textId="77777777" w:rsidR="00323CDC" w:rsidRPr="009D7C92" w:rsidRDefault="00323CDC" w:rsidP="00211D25">
      <w:pPr>
        <w:jc w:val="left"/>
        <w:rPr>
          <w:color w:val="auto"/>
        </w:rPr>
      </w:pPr>
    </w:p>
    <w:p w14:paraId="3C5D1BFF" w14:textId="3123A5EC" w:rsidR="00323CDC" w:rsidRPr="009D7C92" w:rsidRDefault="00323CDC" w:rsidP="00F87817">
      <w:pPr>
        <w:jc w:val="left"/>
        <w:rPr>
          <w:color w:val="auto"/>
        </w:rPr>
      </w:pPr>
    </w:p>
    <w:p w14:paraId="5B07E7B7" w14:textId="77777777" w:rsidR="00093C91" w:rsidRPr="009D7C92" w:rsidRDefault="00093C91" w:rsidP="00243692">
      <w:pPr>
        <w:ind w:left="567" w:right="0" w:hanging="567"/>
        <w:jc w:val="left"/>
        <w:rPr>
          <w:b/>
          <w:color w:val="auto"/>
          <w:lang w:eastAsia="sk-SK"/>
        </w:rPr>
      </w:pPr>
      <w:r w:rsidRPr="009D7C92">
        <w:rPr>
          <w:b/>
          <w:color w:val="auto"/>
          <w:lang w:eastAsia="sk-SK"/>
        </w:rPr>
        <w:t>9.</w:t>
      </w:r>
      <w:r w:rsidRPr="009D7C92">
        <w:rPr>
          <w:b/>
          <w:color w:val="auto"/>
          <w:lang w:eastAsia="sk-SK"/>
        </w:rPr>
        <w:tab/>
        <w:t>DÁTUM PRVEJ REGISTRÁCIE/ PREDĹŽENIA REGISTRÁCIE</w:t>
      </w:r>
    </w:p>
    <w:p w14:paraId="59514EC4" w14:textId="77777777" w:rsidR="00093C91" w:rsidRPr="009D7C92" w:rsidRDefault="00093C91" w:rsidP="00EE703D">
      <w:pPr>
        <w:jc w:val="left"/>
        <w:rPr>
          <w:color w:val="auto"/>
        </w:rPr>
      </w:pPr>
    </w:p>
    <w:p w14:paraId="03FB8006" w14:textId="1C79A4B4" w:rsidR="00EB25B2" w:rsidRDefault="00093C91" w:rsidP="00243692">
      <w:pPr>
        <w:ind w:right="0"/>
        <w:jc w:val="left"/>
        <w:rPr>
          <w:color w:val="auto"/>
          <w:lang w:eastAsia="sk-SK"/>
        </w:rPr>
      </w:pPr>
      <w:r w:rsidRPr="009D7C92">
        <w:rPr>
          <w:color w:val="auto"/>
          <w:lang w:eastAsia="sk-SK"/>
        </w:rPr>
        <w:t>Dátum prvej registrácie:</w:t>
      </w:r>
      <w:r w:rsidR="009909C5">
        <w:rPr>
          <w:color w:val="auto"/>
          <w:lang w:eastAsia="sk-SK"/>
        </w:rPr>
        <w:t xml:space="preserve"> 24. júna 2019</w:t>
      </w:r>
    </w:p>
    <w:p w14:paraId="18445F4A" w14:textId="77777777" w:rsidR="00323CDC" w:rsidRPr="009D7C92" w:rsidRDefault="00323CDC" w:rsidP="00EE703D">
      <w:pPr>
        <w:jc w:val="left"/>
        <w:rPr>
          <w:color w:val="auto"/>
        </w:rPr>
      </w:pPr>
    </w:p>
    <w:p w14:paraId="120861E4" w14:textId="254AD951" w:rsidR="00323CDC" w:rsidRPr="009D7C92" w:rsidRDefault="00323CDC" w:rsidP="00211D25">
      <w:pPr>
        <w:jc w:val="left"/>
        <w:rPr>
          <w:color w:val="auto"/>
        </w:rPr>
      </w:pPr>
    </w:p>
    <w:p w14:paraId="66A030A8" w14:textId="77777777" w:rsidR="00093C91" w:rsidRPr="009D7C92" w:rsidRDefault="00093C91" w:rsidP="00243692">
      <w:pPr>
        <w:ind w:left="567" w:right="0" w:hanging="567"/>
        <w:jc w:val="left"/>
        <w:rPr>
          <w:b/>
          <w:color w:val="auto"/>
          <w:lang w:eastAsia="sk-SK"/>
        </w:rPr>
      </w:pPr>
      <w:r w:rsidRPr="009D7C92">
        <w:rPr>
          <w:b/>
          <w:color w:val="auto"/>
          <w:lang w:eastAsia="sk-SK"/>
        </w:rPr>
        <w:t>10.</w:t>
      </w:r>
      <w:r w:rsidRPr="009D7C92">
        <w:rPr>
          <w:b/>
          <w:color w:val="auto"/>
          <w:lang w:eastAsia="sk-SK"/>
        </w:rPr>
        <w:tab/>
        <w:t>DÁTUM REVÍZIE TEXTU</w:t>
      </w:r>
    </w:p>
    <w:p w14:paraId="2A778C27" w14:textId="437FC0BB" w:rsidR="00323CDC" w:rsidRPr="009D7C92" w:rsidRDefault="00323CDC" w:rsidP="00EE703D">
      <w:pPr>
        <w:jc w:val="left"/>
        <w:rPr>
          <w:color w:val="auto"/>
        </w:rPr>
      </w:pPr>
    </w:p>
    <w:p w14:paraId="474875F4" w14:textId="5B1BE01F" w:rsidR="00323CDC" w:rsidRPr="009D7C92" w:rsidRDefault="00093F74" w:rsidP="00243692">
      <w:pPr>
        <w:pStyle w:val="Style8"/>
        <w:widowControl/>
        <w:spacing w:line="240" w:lineRule="auto"/>
        <w:jc w:val="left"/>
        <w:rPr>
          <w:rStyle w:val="FontStyle34"/>
          <w:sz w:val="22"/>
          <w:szCs w:val="22"/>
          <w:lang w:val="sk-SK" w:eastAsia="pl-PL"/>
        </w:rPr>
      </w:pPr>
      <w:r>
        <w:rPr>
          <w:rStyle w:val="FontStyle34"/>
          <w:sz w:val="22"/>
          <w:szCs w:val="22"/>
          <w:lang w:val="sk-SK"/>
        </w:rPr>
        <w:t>0</w:t>
      </w:r>
      <w:r w:rsidR="00955BE7">
        <w:rPr>
          <w:rStyle w:val="FontStyle34"/>
          <w:sz w:val="22"/>
          <w:szCs w:val="22"/>
          <w:lang w:val="sk-SK"/>
        </w:rPr>
        <w:t>8</w:t>
      </w:r>
      <w:r w:rsidR="00AC2ABB" w:rsidRPr="009D7C92">
        <w:rPr>
          <w:rStyle w:val="FontStyle34"/>
          <w:sz w:val="22"/>
          <w:szCs w:val="22"/>
          <w:lang w:val="sk-SK"/>
        </w:rPr>
        <w:t>/</w:t>
      </w:r>
      <w:r w:rsidR="00093C91" w:rsidRPr="009D7C92">
        <w:rPr>
          <w:rStyle w:val="FontStyle34"/>
          <w:sz w:val="22"/>
          <w:szCs w:val="22"/>
          <w:lang w:val="sk-SK"/>
        </w:rPr>
        <w:t>20</w:t>
      </w:r>
      <w:r w:rsidR="009909C5">
        <w:rPr>
          <w:rStyle w:val="FontStyle34"/>
          <w:sz w:val="22"/>
          <w:szCs w:val="22"/>
          <w:lang w:val="sk-SK"/>
        </w:rPr>
        <w:t>20</w:t>
      </w:r>
    </w:p>
    <w:p w14:paraId="41E1FDEA" w14:textId="1BCC0DDA" w:rsidR="00323CDC" w:rsidRPr="009D7C92" w:rsidRDefault="00323CDC" w:rsidP="00EE703D">
      <w:pPr>
        <w:jc w:val="left"/>
        <w:rPr>
          <w:color w:val="auto"/>
        </w:rPr>
      </w:pPr>
    </w:p>
    <w:sectPr w:rsidR="00323CDC" w:rsidRPr="009D7C92" w:rsidSect="006A579F">
      <w:headerReference w:type="even" r:id="rId8"/>
      <w:headerReference w:type="default" r:id="rId9"/>
      <w:footerReference w:type="even" r:id="rId10"/>
      <w:footerReference w:type="default" r:id="rId11"/>
      <w:pgSz w:w="11910" w:h="16845"/>
      <w:pgMar w:top="1418" w:right="1418" w:bottom="1418" w:left="1418" w:header="714" w:footer="624" w:gutter="0"/>
      <w:cols w:space="708"/>
      <w:rtlGutter/>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C21AF6" w14:textId="77777777" w:rsidR="00B606F7" w:rsidRDefault="00B606F7" w:rsidP="00255EDA">
      <w:r>
        <w:separator/>
      </w:r>
    </w:p>
  </w:endnote>
  <w:endnote w:type="continuationSeparator" w:id="0">
    <w:p w14:paraId="65B62124" w14:textId="77777777" w:rsidR="00B606F7" w:rsidRDefault="00B606F7" w:rsidP="00255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D2338E" w14:textId="77777777" w:rsidR="00B71576" w:rsidRDefault="00B71576" w:rsidP="00255EDA"/>
  <w:p w14:paraId="5F108282" w14:textId="6A6BC353" w:rsidR="00B71576" w:rsidRDefault="00B71576" w:rsidP="00255EDA">
    <w:pPr>
      <w:rPr>
        <w:sz w:val="24"/>
      </w:rPr>
    </w:pPr>
    <w:r>
      <w:rPr>
        <w:rFonts w:ascii="Calibri" w:hAnsi="Calibri"/>
      </w:rPr>
      <w:tab/>
    </w:r>
    <w:r>
      <w:fldChar w:fldCharType="begin"/>
    </w:r>
    <w:r>
      <w:instrText xml:space="preserve"> PAGE   \* MERGEFORMAT </w:instrText>
    </w:r>
    <w:r>
      <w:fldChar w:fldCharType="separate"/>
    </w:r>
    <w:r>
      <w:rPr>
        <w:rFonts w:ascii="Arial" w:hAnsi="Arial" w:cs="Arial"/>
        <w:sz w:val="17"/>
      </w:rPr>
      <w:t>2</w:t>
    </w:r>
    <w:r>
      <w:rPr>
        <w:rFonts w:ascii="Arial" w:hAnsi="Arial" w:cs="Arial"/>
        <w:sz w:val="17"/>
      </w:rPr>
      <w:fldChar w:fldCharType="end"/>
    </w:r>
    <w:r>
      <w:rPr>
        <w:rFonts w:ascii="Arial" w:hAnsi="Arial"/>
        <w:sz w:val="17"/>
      </w:rPr>
      <w:t xml:space="preserve"> </w:t>
    </w:r>
    <w:r>
      <w:rPr>
        <w:rFonts w:ascii="Arial" w:hAnsi="Arial"/>
        <w:sz w:val="17"/>
      </w:rPr>
      <w:tab/>
    </w:r>
  </w:p>
  <w:p w14:paraId="7B5AD918" w14:textId="77777777" w:rsidR="00B71576" w:rsidRDefault="00B71576" w:rsidP="00255ED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92E595" w14:textId="77777777" w:rsidR="00B71576" w:rsidRPr="00032D0E" w:rsidRDefault="00B71576" w:rsidP="00032D0E">
    <w:pPr>
      <w:pStyle w:val="Pta"/>
      <w:jc w:val="center"/>
      <w:rPr>
        <w:sz w:val="18"/>
        <w:szCs w:val="18"/>
      </w:rPr>
    </w:pPr>
    <w:r w:rsidRPr="00032D0E">
      <w:rPr>
        <w:sz w:val="18"/>
        <w:szCs w:val="18"/>
      </w:rPr>
      <w:fldChar w:fldCharType="begin"/>
    </w:r>
    <w:r w:rsidRPr="00032D0E">
      <w:rPr>
        <w:sz w:val="18"/>
        <w:szCs w:val="18"/>
      </w:rPr>
      <w:instrText>PAGE   \* MERGEFORMAT</w:instrText>
    </w:r>
    <w:r w:rsidRPr="00032D0E">
      <w:rPr>
        <w:sz w:val="18"/>
        <w:szCs w:val="18"/>
      </w:rPr>
      <w:fldChar w:fldCharType="separate"/>
    </w:r>
    <w:r w:rsidR="0040242E">
      <w:rPr>
        <w:noProof/>
        <w:sz w:val="18"/>
        <w:szCs w:val="18"/>
      </w:rPr>
      <w:t>1</w:t>
    </w:r>
    <w:r w:rsidRPr="00032D0E">
      <w:rPr>
        <w:sz w:val="18"/>
        <w:szCs w:val="18"/>
      </w:rPr>
      <w:fldChar w:fldCharType="end"/>
    </w:r>
  </w:p>
  <w:p w14:paraId="307E5A66" w14:textId="77777777" w:rsidR="00B71576" w:rsidRDefault="00B71576">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15595E" w14:textId="77777777" w:rsidR="00B606F7" w:rsidRDefault="00B606F7" w:rsidP="00255EDA">
      <w:r>
        <w:separator/>
      </w:r>
    </w:p>
  </w:footnote>
  <w:footnote w:type="continuationSeparator" w:id="0">
    <w:p w14:paraId="10F255ED" w14:textId="77777777" w:rsidR="00B606F7" w:rsidRDefault="00B606F7" w:rsidP="00255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F44399" w14:textId="769C6F6E" w:rsidR="00B71576" w:rsidRDefault="00B71576" w:rsidP="00255EDA">
    <w:r>
      <w:t>AT/H/0469/001-005/II/009</w:t>
    </w:r>
  </w:p>
  <w:p w14:paraId="205827BD" w14:textId="77777777" w:rsidR="00B71576" w:rsidRDefault="00B71576" w:rsidP="00255ED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83FD9" w14:textId="470FD40A" w:rsidR="00B71576" w:rsidRPr="00060513" w:rsidRDefault="00B71576" w:rsidP="006A579F">
    <w:pPr>
      <w:tabs>
        <w:tab w:val="left" w:pos="567"/>
      </w:tabs>
      <w:suppressAutoHyphens/>
      <w:ind w:right="0"/>
      <w:jc w:val="left"/>
      <w:rPr>
        <w:color w:val="auto"/>
        <w:sz w:val="18"/>
        <w:szCs w:val="18"/>
        <w:lang w:eastAsia="zh-CN"/>
      </w:rPr>
    </w:pPr>
    <w:r w:rsidRPr="00060513">
      <w:rPr>
        <w:bCs/>
        <w:sz w:val="18"/>
        <w:szCs w:val="18"/>
        <w:lang w:eastAsia="es-ES"/>
      </w:rPr>
      <w:t>Príloha č. 1 k notifikácii o zmene, ev. č.: 2020/01978-Z1B, 2020/03051-Z1B</w:t>
    </w:r>
  </w:p>
  <w:p w14:paraId="2BA61C82" w14:textId="77777777" w:rsidR="00B71576" w:rsidRPr="00032D0E" w:rsidRDefault="00B71576" w:rsidP="006A579F">
    <w:pPr>
      <w:tabs>
        <w:tab w:val="left" w:pos="567"/>
        <w:tab w:val="center" w:pos="4153"/>
        <w:tab w:val="right" w:pos="8306"/>
      </w:tabs>
      <w:ind w:right="0"/>
      <w:jc w:val="left"/>
      <w:rPr>
        <w:rFonts w:ascii="Helvetica" w:hAnsi="Helvetica"/>
        <w:color w:val="auto"/>
        <w:sz w:val="18"/>
        <w:szCs w:val="18"/>
        <w:lang w:val="cs-CZ" w:eastAsia="en-US"/>
      </w:rPr>
    </w:pPr>
  </w:p>
  <w:p w14:paraId="1EA0754E" w14:textId="77777777" w:rsidR="00B71576" w:rsidRPr="00032D0E" w:rsidRDefault="00B71576">
    <w:pPr>
      <w:pStyle w:val="Hlavika"/>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3128B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4ACF7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A263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F8E0B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D6F5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D474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6AC7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2DA7C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BEA11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F7E65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B1067F"/>
    <w:multiLevelType w:val="multilevel"/>
    <w:tmpl w:val="4BB25C92"/>
    <w:lvl w:ilvl="0">
      <w:start w:val="1"/>
      <w:numFmt w:val="decimal"/>
      <w:lvlText w:val="%1."/>
      <w:lvlJc w:val="left"/>
      <w:pPr>
        <w:ind w:left="722" w:hanging="571"/>
      </w:pPr>
      <w:rPr>
        <w:rFonts w:ascii="Arial" w:eastAsia="Times New Roman" w:hAnsi="Arial" w:cs="Times New Roman" w:hint="default"/>
        <w:b/>
        <w:bCs/>
        <w:spacing w:val="-6"/>
        <w:w w:val="102"/>
        <w:sz w:val="22"/>
        <w:szCs w:val="22"/>
      </w:rPr>
    </w:lvl>
    <w:lvl w:ilvl="1">
      <w:start w:val="1"/>
      <w:numFmt w:val="decimal"/>
      <w:lvlText w:val="%1.%2"/>
      <w:lvlJc w:val="left"/>
      <w:pPr>
        <w:ind w:left="682" w:hanging="571"/>
      </w:pPr>
      <w:rPr>
        <w:rFonts w:ascii="Arial" w:eastAsia="Times New Roman" w:hAnsi="Arial" w:cs="Times New Roman" w:hint="default"/>
        <w:b/>
        <w:bCs/>
        <w:spacing w:val="-6"/>
        <w:w w:val="102"/>
        <w:sz w:val="22"/>
        <w:szCs w:val="22"/>
      </w:rPr>
    </w:lvl>
    <w:lvl w:ilvl="2">
      <w:start w:val="1"/>
      <w:numFmt w:val="bullet"/>
      <w:lvlText w:val=""/>
      <w:lvlJc w:val="left"/>
      <w:pPr>
        <w:ind w:left="1113" w:hanging="361"/>
      </w:pPr>
      <w:rPr>
        <w:rFonts w:ascii="Symbol" w:eastAsia="Times New Roman" w:hAnsi="Symbol" w:hint="default"/>
        <w:w w:val="102"/>
        <w:sz w:val="22"/>
      </w:rPr>
    </w:lvl>
    <w:lvl w:ilvl="3">
      <w:start w:val="1"/>
      <w:numFmt w:val="bullet"/>
      <w:lvlText w:val="•"/>
      <w:lvlJc w:val="left"/>
      <w:pPr>
        <w:ind w:left="960" w:hanging="361"/>
      </w:pPr>
      <w:rPr>
        <w:rFonts w:hint="default"/>
      </w:rPr>
    </w:lvl>
    <w:lvl w:ilvl="4">
      <w:start w:val="1"/>
      <w:numFmt w:val="bullet"/>
      <w:lvlText w:val="•"/>
      <w:lvlJc w:val="left"/>
      <w:pPr>
        <w:ind w:left="1080" w:hanging="361"/>
      </w:pPr>
      <w:rPr>
        <w:rFonts w:hint="default"/>
      </w:rPr>
    </w:lvl>
    <w:lvl w:ilvl="5">
      <w:start w:val="1"/>
      <w:numFmt w:val="bullet"/>
      <w:lvlText w:val="•"/>
      <w:lvlJc w:val="left"/>
      <w:pPr>
        <w:ind w:left="1120" w:hanging="361"/>
      </w:pPr>
      <w:rPr>
        <w:rFonts w:hint="default"/>
      </w:rPr>
    </w:lvl>
    <w:lvl w:ilvl="6">
      <w:start w:val="1"/>
      <w:numFmt w:val="bullet"/>
      <w:lvlText w:val="•"/>
      <w:lvlJc w:val="left"/>
      <w:pPr>
        <w:ind w:left="2802" w:hanging="361"/>
      </w:pPr>
      <w:rPr>
        <w:rFonts w:hint="default"/>
      </w:rPr>
    </w:lvl>
    <w:lvl w:ilvl="7">
      <w:start w:val="1"/>
      <w:numFmt w:val="bullet"/>
      <w:lvlText w:val="•"/>
      <w:lvlJc w:val="left"/>
      <w:pPr>
        <w:ind w:left="4484" w:hanging="361"/>
      </w:pPr>
      <w:rPr>
        <w:rFonts w:hint="default"/>
      </w:rPr>
    </w:lvl>
    <w:lvl w:ilvl="8">
      <w:start w:val="1"/>
      <w:numFmt w:val="bullet"/>
      <w:lvlText w:val="•"/>
      <w:lvlJc w:val="left"/>
      <w:pPr>
        <w:ind w:left="6166" w:hanging="361"/>
      </w:pPr>
      <w:rPr>
        <w:rFonts w:hint="default"/>
      </w:rPr>
    </w:lvl>
  </w:abstractNum>
  <w:abstractNum w:abstractNumId="11" w15:restartNumberingAfterBreak="0">
    <w:nsid w:val="03950D13"/>
    <w:multiLevelType w:val="hybridMultilevel"/>
    <w:tmpl w:val="AB2C325C"/>
    <w:lvl w:ilvl="0" w:tplc="333AC84C">
      <w:start w:val="1"/>
      <w:numFmt w:val="bullet"/>
      <w:lvlText w:val="-"/>
      <w:lvlJc w:val="left"/>
      <w:pPr>
        <w:ind w:left="720" w:hanging="360"/>
      </w:pPr>
      <w:rPr>
        <w:rFonts w:ascii="Times New Roman" w:eastAsia="Times New Roman" w:hAnsi="Times New Roman"/>
        <w:b w:val="0"/>
        <w:i w:val="0"/>
        <w:strike w:val="0"/>
        <w:dstrike w:val="0"/>
        <w:color w:val="000000"/>
        <w:sz w:val="23"/>
        <w:u w:val="none" w:color="000000"/>
        <w:vertAlign w:val="baseline"/>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3E87E2E"/>
    <w:multiLevelType w:val="hybridMultilevel"/>
    <w:tmpl w:val="F8C893E2"/>
    <w:lvl w:ilvl="0" w:tplc="E182D0FA">
      <w:start w:val="1"/>
      <w:numFmt w:val="decimal"/>
      <w:lvlText w:val="%1)"/>
      <w:lvlJc w:val="left"/>
      <w:pPr>
        <w:ind w:left="10"/>
      </w:pPr>
      <w:rPr>
        <w:rFonts w:ascii="Times New Roman" w:eastAsia="Times New Roman" w:hAnsi="Times New Roman" w:cs="Times New Roman"/>
        <w:b w:val="0"/>
        <w:i w:val="0"/>
        <w:strike w:val="0"/>
        <w:dstrike w:val="0"/>
        <w:color w:val="000000"/>
        <w:sz w:val="23"/>
        <w:szCs w:val="23"/>
        <w:u w:val="none" w:color="000000"/>
        <w:vertAlign w:val="baseline"/>
      </w:rPr>
    </w:lvl>
    <w:lvl w:ilvl="1" w:tplc="887C77DC">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vertAlign w:val="baseline"/>
      </w:rPr>
    </w:lvl>
    <w:lvl w:ilvl="2" w:tplc="C82E0D1C">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vertAlign w:val="baseline"/>
      </w:rPr>
    </w:lvl>
    <w:lvl w:ilvl="3" w:tplc="268897AE">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vertAlign w:val="baseline"/>
      </w:rPr>
    </w:lvl>
    <w:lvl w:ilvl="4" w:tplc="8EE44384">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vertAlign w:val="baseline"/>
      </w:rPr>
    </w:lvl>
    <w:lvl w:ilvl="5" w:tplc="AA58A5A8">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vertAlign w:val="baseline"/>
      </w:rPr>
    </w:lvl>
    <w:lvl w:ilvl="6" w:tplc="A84605F8">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vertAlign w:val="baseline"/>
      </w:rPr>
    </w:lvl>
    <w:lvl w:ilvl="7" w:tplc="685604F2">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vertAlign w:val="baseline"/>
      </w:rPr>
    </w:lvl>
    <w:lvl w:ilvl="8" w:tplc="00340570">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vertAlign w:val="baseline"/>
      </w:rPr>
    </w:lvl>
  </w:abstractNum>
  <w:abstractNum w:abstractNumId="13" w15:restartNumberingAfterBreak="0">
    <w:nsid w:val="0A39583C"/>
    <w:multiLevelType w:val="multilevel"/>
    <w:tmpl w:val="1806F9CA"/>
    <w:lvl w:ilvl="0">
      <w:start w:val="1"/>
      <w:numFmt w:val="decimal"/>
      <w:lvlText w:val="%1."/>
      <w:lvlJc w:val="left"/>
      <w:pPr>
        <w:ind w:left="682" w:hanging="571"/>
      </w:pPr>
      <w:rPr>
        <w:rFonts w:ascii="Times New Roman" w:eastAsia="Times New Roman" w:hAnsi="Times New Roman" w:cs="Times New Roman" w:hint="default"/>
        <w:b/>
        <w:bCs/>
        <w:spacing w:val="0"/>
        <w:w w:val="102"/>
        <w:sz w:val="22"/>
        <w:szCs w:val="22"/>
      </w:rPr>
    </w:lvl>
    <w:lvl w:ilvl="1">
      <w:start w:val="1"/>
      <w:numFmt w:val="decimal"/>
      <w:lvlText w:val="%1.%2"/>
      <w:lvlJc w:val="left"/>
      <w:pPr>
        <w:ind w:left="112" w:hanging="571"/>
      </w:pPr>
      <w:rPr>
        <w:rFonts w:ascii="Times New Roman" w:eastAsia="Times New Roman" w:hAnsi="Times New Roman" w:cs="Times New Roman" w:hint="default"/>
        <w:b/>
        <w:bCs/>
        <w:spacing w:val="0"/>
        <w:w w:val="102"/>
        <w:sz w:val="22"/>
        <w:szCs w:val="22"/>
      </w:rPr>
    </w:lvl>
    <w:lvl w:ilvl="2">
      <w:numFmt w:val="bullet"/>
      <w:lvlText w:val="•"/>
      <w:lvlJc w:val="left"/>
      <w:pPr>
        <w:ind w:left="1596" w:hanging="571"/>
      </w:pPr>
      <w:rPr>
        <w:rFonts w:hint="default"/>
      </w:rPr>
    </w:lvl>
    <w:lvl w:ilvl="3">
      <w:numFmt w:val="bullet"/>
      <w:lvlText w:val="•"/>
      <w:lvlJc w:val="left"/>
      <w:pPr>
        <w:ind w:left="2513" w:hanging="571"/>
      </w:pPr>
      <w:rPr>
        <w:rFonts w:hint="default"/>
      </w:rPr>
    </w:lvl>
    <w:lvl w:ilvl="4">
      <w:numFmt w:val="bullet"/>
      <w:lvlText w:val="•"/>
      <w:lvlJc w:val="left"/>
      <w:pPr>
        <w:ind w:left="3430" w:hanging="571"/>
      </w:pPr>
      <w:rPr>
        <w:rFonts w:hint="default"/>
      </w:rPr>
    </w:lvl>
    <w:lvl w:ilvl="5">
      <w:numFmt w:val="bullet"/>
      <w:lvlText w:val="•"/>
      <w:lvlJc w:val="left"/>
      <w:pPr>
        <w:ind w:left="4346" w:hanging="571"/>
      </w:pPr>
      <w:rPr>
        <w:rFonts w:hint="default"/>
      </w:rPr>
    </w:lvl>
    <w:lvl w:ilvl="6">
      <w:numFmt w:val="bullet"/>
      <w:lvlText w:val="•"/>
      <w:lvlJc w:val="left"/>
      <w:pPr>
        <w:ind w:left="5263" w:hanging="571"/>
      </w:pPr>
      <w:rPr>
        <w:rFonts w:hint="default"/>
      </w:rPr>
    </w:lvl>
    <w:lvl w:ilvl="7">
      <w:numFmt w:val="bullet"/>
      <w:lvlText w:val="•"/>
      <w:lvlJc w:val="left"/>
      <w:pPr>
        <w:ind w:left="6180" w:hanging="571"/>
      </w:pPr>
      <w:rPr>
        <w:rFonts w:hint="default"/>
      </w:rPr>
    </w:lvl>
    <w:lvl w:ilvl="8">
      <w:numFmt w:val="bullet"/>
      <w:lvlText w:val="•"/>
      <w:lvlJc w:val="left"/>
      <w:pPr>
        <w:ind w:left="7096" w:hanging="571"/>
      </w:pPr>
      <w:rPr>
        <w:rFonts w:hint="default"/>
      </w:rPr>
    </w:lvl>
  </w:abstractNum>
  <w:abstractNum w:abstractNumId="14" w15:restartNumberingAfterBreak="0">
    <w:nsid w:val="12BA113A"/>
    <w:multiLevelType w:val="hybridMultilevel"/>
    <w:tmpl w:val="344A71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221107A"/>
    <w:multiLevelType w:val="hybridMultilevel"/>
    <w:tmpl w:val="74B0E570"/>
    <w:lvl w:ilvl="0" w:tplc="333AC84C">
      <w:start w:val="1"/>
      <w:numFmt w:val="bullet"/>
      <w:lvlText w:val="-"/>
      <w:lvlJc w:val="left"/>
      <w:pPr>
        <w:ind w:left="720" w:hanging="360"/>
      </w:pPr>
      <w:rPr>
        <w:rFonts w:ascii="Times New Roman" w:eastAsia="Times New Roman" w:hAnsi="Times New Roman"/>
        <w:b w:val="0"/>
        <w:i w:val="0"/>
        <w:strike w:val="0"/>
        <w:dstrike w:val="0"/>
        <w:color w:val="000000"/>
        <w:sz w:val="23"/>
        <w:u w:val="none" w:color="000000"/>
        <w:vertAlign w:val="baseline"/>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0417AD1"/>
    <w:multiLevelType w:val="hybridMultilevel"/>
    <w:tmpl w:val="FC9EDF78"/>
    <w:lvl w:ilvl="0" w:tplc="7A463242">
      <w:start w:val="1"/>
      <w:numFmt w:val="bullet"/>
      <w:lvlText w:val="-"/>
      <w:lvlJc w:val="left"/>
      <w:pPr>
        <w:ind w:left="571"/>
      </w:pPr>
      <w:rPr>
        <w:rFonts w:ascii="Times New Roman" w:eastAsia="Times New Roman" w:hAnsi="Times New Roman"/>
        <w:b w:val="0"/>
        <w:i w:val="0"/>
        <w:strike w:val="0"/>
        <w:dstrike w:val="0"/>
        <w:color w:val="000000"/>
        <w:sz w:val="23"/>
        <w:u w:val="none" w:color="000000"/>
        <w:vertAlign w:val="baseline"/>
      </w:rPr>
    </w:lvl>
    <w:lvl w:ilvl="1" w:tplc="888E4584">
      <w:start w:val="1"/>
      <w:numFmt w:val="bullet"/>
      <w:lvlText w:val="•"/>
      <w:lvlJc w:val="left"/>
      <w:pPr>
        <w:ind w:left="856"/>
      </w:pPr>
      <w:rPr>
        <w:rFonts w:ascii="Times New Roman" w:eastAsia="Times New Roman" w:hAnsi="Times New Roman"/>
        <w:b w:val="0"/>
        <w:i w:val="0"/>
        <w:strike w:val="0"/>
        <w:dstrike w:val="0"/>
        <w:color w:val="000000"/>
        <w:sz w:val="23"/>
        <w:u w:val="none" w:color="000000"/>
        <w:vertAlign w:val="baseline"/>
      </w:rPr>
    </w:lvl>
    <w:lvl w:ilvl="2" w:tplc="6DA83002">
      <w:start w:val="1"/>
      <w:numFmt w:val="bullet"/>
      <w:lvlText w:val="▪"/>
      <w:lvlJc w:val="left"/>
      <w:pPr>
        <w:ind w:left="1650"/>
      </w:pPr>
      <w:rPr>
        <w:rFonts w:ascii="Times New Roman" w:eastAsia="Times New Roman" w:hAnsi="Times New Roman"/>
        <w:b w:val="0"/>
        <w:i w:val="0"/>
        <w:strike w:val="0"/>
        <w:dstrike w:val="0"/>
        <w:color w:val="000000"/>
        <w:sz w:val="23"/>
        <w:u w:val="none" w:color="000000"/>
        <w:vertAlign w:val="baseline"/>
      </w:rPr>
    </w:lvl>
    <w:lvl w:ilvl="3" w:tplc="0584FBD0">
      <w:start w:val="1"/>
      <w:numFmt w:val="bullet"/>
      <w:lvlText w:val="•"/>
      <w:lvlJc w:val="left"/>
      <w:pPr>
        <w:ind w:left="2371"/>
      </w:pPr>
      <w:rPr>
        <w:rFonts w:ascii="Times New Roman" w:eastAsia="Times New Roman" w:hAnsi="Times New Roman"/>
        <w:b w:val="0"/>
        <w:i w:val="0"/>
        <w:strike w:val="0"/>
        <w:dstrike w:val="0"/>
        <w:color w:val="000000"/>
        <w:sz w:val="23"/>
        <w:u w:val="none" w:color="000000"/>
        <w:vertAlign w:val="baseline"/>
      </w:rPr>
    </w:lvl>
    <w:lvl w:ilvl="4" w:tplc="0F42A328">
      <w:start w:val="1"/>
      <w:numFmt w:val="bullet"/>
      <w:lvlText w:val="o"/>
      <w:lvlJc w:val="left"/>
      <w:pPr>
        <w:ind w:left="3091"/>
      </w:pPr>
      <w:rPr>
        <w:rFonts w:ascii="Times New Roman" w:eastAsia="Times New Roman" w:hAnsi="Times New Roman"/>
        <w:b w:val="0"/>
        <w:i w:val="0"/>
        <w:strike w:val="0"/>
        <w:dstrike w:val="0"/>
        <w:color w:val="000000"/>
        <w:sz w:val="23"/>
        <w:u w:val="none" w:color="000000"/>
        <w:vertAlign w:val="baseline"/>
      </w:rPr>
    </w:lvl>
    <w:lvl w:ilvl="5" w:tplc="E2C8AA2A">
      <w:start w:val="1"/>
      <w:numFmt w:val="bullet"/>
      <w:lvlText w:val="▪"/>
      <w:lvlJc w:val="left"/>
      <w:pPr>
        <w:ind w:left="3811"/>
      </w:pPr>
      <w:rPr>
        <w:rFonts w:ascii="Times New Roman" w:eastAsia="Times New Roman" w:hAnsi="Times New Roman"/>
        <w:b w:val="0"/>
        <w:i w:val="0"/>
        <w:strike w:val="0"/>
        <w:dstrike w:val="0"/>
        <w:color w:val="000000"/>
        <w:sz w:val="23"/>
        <w:u w:val="none" w:color="000000"/>
        <w:vertAlign w:val="baseline"/>
      </w:rPr>
    </w:lvl>
    <w:lvl w:ilvl="6" w:tplc="87CADBF4">
      <w:start w:val="1"/>
      <w:numFmt w:val="bullet"/>
      <w:lvlText w:val="•"/>
      <w:lvlJc w:val="left"/>
      <w:pPr>
        <w:ind w:left="4531"/>
      </w:pPr>
      <w:rPr>
        <w:rFonts w:ascii="Times New Roman" w:eastAsia="Times New Roman" w:hAnsi="Times New Roman"/>
        <w:b w:val="0"/>
        <w:i w:val="0"/>
        <w:strike w:val="0"/>
        <w:dstrike w:val="0"/>
        <w:color w:val="000000"/>
        <w:sz w:val="23"/>
        <w:u w:val="none" w:color="000000"/>
        <w:vertAlign w:val="baseline"/>
      </w:rPr>
    </w:lvl>
    <w:lvl w:ilvl="7" w:tplc="9E665582">
      <w:start w:val="1"/>
      <w:numFmt w:val="bullet"/>
      <w:lvlText w:val="o"/>
      <w:lvlJc w:val="left"/>
      <w:pPr>
        <w:ind w:left="5251"/>
      </w:pPr>
      <w:rPr>
        <w:rFonts w:ascii="Times New Roman" w:eastAsia="Times New Roman" w:hAnsi="Times New Roman"/>
        <w:b w:val="0"/>
        <w:i w:val="0"/>
        <w:strike w:val="0"/>
        <w:dstrike w:val="0"/>
        <w:color w:val="000000"/>
        <w:sz w:val="23"/>
        <w:u w:val="none" w:color="000000"/>
        <w:vertAlign w:val="baseline"/>
      </w:rPr>
    </w:lvl>
    <w:lvl w:ilvl="8" w:tplc="F84C13EE">
      <w:start w:val="1"/>
      <w:numFmt w:val="bullet"/>
      <w:lvlText w:val="▪"/>
      <w:lvlJc w:val="left"/>
      <w:pPr>
        <w:ind w:left="5971"/>
      </w:pPr>
      <w:rPr>
        <w:rFonts w:ascii="Times New Roman" w:eastAsia="Times New Roman" w:hAnsi="Times New Roman"/>
        <w:b w:val="0"/>
        <w:i w:val="0"/>
        <w:strike w:val="0"/>
        <w:dstrike w:val="0"/>
        <w:color w:val="000000"/>
        <w:sz w:val="23"/>
        <w:u w:val="none" w:color="000000"/>
        <w:vertAlign w:val="baseline"/>
      </w:rPr>
    </w:lvl>
  </w:abstractNum>
  <w:abstractNum w:abstractNumId="17" w15:restartNumberingAfterBreak="0">
    <w:nsid w:val="349B4CC7"/>
    <w:multiLevelType w:val="hybridMultilevel"/>
    <w:tmpl w:val="80A26D7A"/>
    <w:lvl w:ilvl="0" w:tplc="E856E7EC">
      <w:start w:val="1"/>
      <w:numFmt w:val="bullet"/>
      <w:lvlText w:val="-"/>
      <w:lvlJc w:val="left"/>
      <w:pPr>
        <w:ind w:left="720" w:hanging="360"/>
      </w:pPr>
      <w:rPr>
        <w:rFonts w:ascii="Times New Roman" w:eastAsia="Times New Roman" w:hAnsi="Times New Roman"/>
        <w:b w:val="0"/>
        <w:i w:val="0"/>
        <w:strike w:val="0"/>
        <w:dstrike w:val="0"/>
        <w:color w:val="000000"/>
        <w:sz w:val="23"/>
        <w:u w:val="none" w:color="000000"/>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83A4A3F"/>
    <w:multiLevelType w:val="hybridMultilevel"/>
    <w:tmpl w:val="30CAFD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C0D0BE3"/>
    <w:multiLevelType w:val="hybridMultilevel"/>
    <w:tmpl w:val="909045B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449126DF"/>
    <w:multiLevelType w:val="hybridMultilevel"/>
    <w:tmpl w:val="F4F885F4"/>
    <w:lvl w:ilvl="0" w:tplc="333AC84C">
      <w:start w:val="1"/>
      <w:numFmt w:val="bullet"/>
      <w:lvlText w:val="-"/>
      <w:lvlJc w:val="left"/>
      <w:pPr>
        <w:ind w:left="1291" w:hanging="360"/>
      </w:pPr>
      <w:rPr>
        <w:rFonts w:ascii="Times New Roman" w:eastAsia="Times New Roman" w:hAnsi="Times New Roman"/>
        <w:b w:val="0"/>
        <w:i w:val="0"/>
        <w:strike w:val="0"/>
        <w:dstrike w:val="0"/>
        <w:color w:val="000000"/>
        <w:sz w:val="23"/>
        <w:u w:val="none" w:color="000000"/>
        <w:vertAlign w:val="baseline"/>
      </w:rPr>
    </w:lvl>
    <w:lvl w:ilvl="1" w:tplc="04150003">
      <w:start w:val="1"/>
      <w:numFmt w:val="bullet"/>
      <w:lvlText w:val="o"/>
      <w:lvlJc w:val="left"/>
      <w:pPr>
        <w:ind w:left="2011" w:hanging="360"/>
      </w:pPr>
      <w:rPr>
        <w:rFonts w:ascii="Courier New" w:hAnsi="Courier New" w:hint="default"/>
      </w:rPr>
    </w:lvl>
    <w:lvl w:ilvl="2" w:tplc="04150005" w:tentative="1">
      <w:start w:val="1"/>
      <w:numFmt w:val="bullet"/>
      <w:lvlText w:val=""/>
      <w:lvlJc w:val="left"/>
      <w:pPr>
        <w:ind w:left="2731" w:hanging="360"/>
      </w:pPr>
      <w:rPr>
        <w:rFonts w:ascii="Wingdings" w:hAnsi="Wingdings" w:hint="default"/>
      </w:rPr>
    </w:lvl>
    <w:lvl w:ilvl="3" w:tplc="04150001" w:tentative="1">
      <w:start w:val="1"/>
      <w:numFmt w:val="bullet"/>
      <w:lvlText w:val=""/>
      <w:lvlJc w:val="left"/>
      <w:pPr>
        <w:ind w:left="3451" w:hanging="360"/>
      </w:pPr>
      <w:rPr>
        <w:rFonts w:ascii="Symbol" w:hAnsi="Symbol" w:hint="default"/>
      </w:rPr>
    </w:lvl>
    <w:lvl w:ilvl="4" w:tplc="04150003" w:tentative="1">
      <w:start w:val="1"/>
      <w:numFmt w:val="bullet"/>
      <w:lvlText w:val="o"/>
      <w:lvlJc w:val="left"/>
      <w:pPr>
        <w:ind w:left="4171" w:hanging="360"/>
      </w:pPr>
      <w:rPr>
        <w:rFonts w:ascii="Courier New" w:hAnsi="Courier New" w:hint="default"/>
      </w:rPr>
    </w:lvl>
    <w:lvl w:ilvl="5" w:tplc="04150005" w:tentative="1">
      <w:start w:val="1"/>
      <w:numFmt w:val="bullet"/>
      <w:lvlText w:val=""/>
      <w:lvlJc w:val="left"/>
      <w:pPr>
        <w:ind w:left="4891" w:hanging="360"/>
      </w:pPr>
      <w:rPr>
        <w:rFonts w:ascii="Wingdings" w:hAnsi="Wingdings" w:hint="default"/>
      </w:rPr>
    </w:lvl>
    <w:lvl w:ilvl="6" w:tplc="04150001" w:tentative="1">
      <w:start w:val="1"/>
      <w:numFmt w:val="bullet"/>
      <w:lvlText w:val=""/>
      <w:lvlJc w:val="left"/>
      <w:pPr>
        <w:ind w:left="5611" w:hanging="360"/>
      </w:pPr>
      <w:rPr>
        <w:rFonts w:ascii="Symbol" w:hAnsi="Symbol" w:hint="default"/>
      </w:rPr>
    </w:lvl>
    <w:lvl w:ilvl="7" w:tplc="04150003" w:tentative="1">
      <w:start w:val="1"/>
      <w:numFmt w:val="bullet"/>
      <w:lvlText w:val="o"/>
      <w:lvlJc w:val="left"/>
      <w:pPr>
        <w:ind w:left="6331" w:hanging="360"/>
      </w:pPr>
      <w:rPr>
        <w:rFonts w:ascii="Courier New" w:hAnsi="Courier New" w:hint="default"/>
      </w:rPr>
    </w:lvl>
    <w:lvl w:ilvl="8" w:tplc="04150005" w:tentative="1">
      <w:start w:val="1"/>
      <w:numFmt w:val="bullet"/>
      <w:lvlText w:val=""/>
      <w:lvlJc w:val="left"/>
      <w:pPr>
        <w:ind w:left="7051" w:hanging="360"/>
      </w:pPr>
      <w:rPr>
        <w:rFonts w:ascii="Wingdings" w:hAnsi="Wingdings" w:hint="default"/>
      </w:rPr>
    </w:lvl>
  </w:abstractNum>
  <w:abstractNum w:abstractNumId="21" w15:restartNumberingAfterBreak="0">
    <w:nsid w:val="4DBF6DAF"/>
    <w:multiLevelType w:val="hybridMultilevel"/>
    <w:tmpl w:val="4E8E2FF6"/>
    <w:lvl w:ilvl="0" w:tplc="333AC84C">
      <w:start w:val="1"/>
      <w:numFmt w:val="bullet"/>
      <w:lvlText w:val="-"/>
      <w:lvlJc w:val="left"/>
      <w:pPr>
        <w:ind w:left="571"/>
      </w:pPr>
      <w:rPr>
        <w:rFonts w:ascii="Times New Roman" w:eastAsia="Times New Roman" w:hAnsi="Times New Roman"/>
        <w:b w:val="0"/>
        <w:i w:val="0"/>
        <w:strike w:val="0"/>
        <w:dstrike w:val="0"/>
        <w:color w:val="000000"/>
        <w:sz w:val="23"/>
        <w:u w:val="none" w:color="000000"/>
        <w:vertAlign w:val="baseline"/>
      </w:rPr>
    </w:lvl>
    <w:lvl w:ilvl="1" w:tplc="888E4584">
      <w:start w:val="1"/>
      <w:numFmt w:val="bullet"/>
      <w:lvlText w:val="•"/>
      <w:lvlJc w:val="left"/>
      <w:pPr>
        <w:ind w:left="856"/>
      </w:pPr>
      <w:rPr>
        <w:rFonts w:ascii="Times New Roman" w:eastAsia="Times New Roman" w:hAnsi="Times New Roman"/>
        <w:b w:val="0"/>
        <w:i w:val="0"/>
        <w:strike w:val="0"/>
        <w:dstrike w:val="0"/>
        <w:color w:val="000000"/>
        <w:sz w:val="23"/>
        <w:u w:val="none" w:color="000000"/>
        <w:vertAlign w:val="baseline"/>
      </w:rPr>
    </w:lvl>
    <w:lvl w:ilvl="2" w:tplc="6DA83002">
      <w:start w:val="1"/>
      <w:numFmt w:val="bullet"/>
      <w:lvlText w:val="▪"/>
      <w:lvlJc w:val="left"/>
      <w:pPr>
        <w:ind w:left="1650"/>
      </w:pPr>
      <w:rPr>
        <w:rFonts w:ascii="Times New Roman" w:eastAsia="Times New Roman" w:hAnsi="Times New Roman"/>
        <w:b w:val="0"/>
        <w:i w:val="0"/>
        <w:strike w:val="0"/>
        <w:dstrike w:val="0"/>
        <w:color w:val="000000"/>
        <w:sz w:val="23"/>
        <w:u w:val="none" w:color="000000"/>
        <w:vertAlign w:val="baseline"/>
      </w:rPr>
    </w:lvl>
    <w:lvl w:ilvl="3" w:tplc="0584FBD0">
      <w:start w:val="1"/>
      <w:numFmt w:val="bullet"/>
      <w:lvlText w:val="•"/>
      <w:lvlJc w:val="left"/>
      <w:pPr>
        <w:ind w:left="2371"/>
      </w:pPr>
      <w:rPr>
        <w:rFonts w:ascii="Times New Roman" w:eastAsia="Times New Roman" w:hAnsi="Times New Roman"/>
        <w:b w:val="0"/>
        <w:i w:val="0"/>
        <w:strike w:val="0"/>
        <w:dstrike w:val="0"/>
        <w:color w:val="000000"/>
        <w:sz w:val="23"/>
        <w:u w:val="none" w:color="000000"/>
        <w:vertAlign w:val="baseline"/>
      </w:rPr>
    </w:lvl>
    <w:lvl w:ilvl="4" w:tplc="0F42A328">
      <w:start w:val="1"/>
      <w:numFmt w:val="bullet"/>
      <w:lvlText w:val="o"/>
      <w:lvlJc w:val="left"/>
      <w:pPr>
        <w:ind w:left="3091"/>
      </w:pPr>
      <w:rPr>
        <w:rFonts w:ascii="Times New Roman" w:eastAsia="Times New Roman" w:hAnsi="Times New Roman"/>
        <w:b w:val="0"/>
        <w:i w:val="0"/>
        <w:strike w:val="0"/>
        <w:dstrike w:val="0"/>
        <w:color w:val="000000"/>
        <w:sz w:val="23"/>
        <w:u w:val="none" w:color="000000"/>
        <w:vertAlign w:val="baseline"/>
      </w:rPr>
    </w:lvl>
    <w:lvl w:ilvl="5" w:tplc="E2C8AA2A">
      <w:start w:val="1"/>
      <w:numFmt w:val="bullet"/>
      <w:lvlText w:val="▪"/>
      <w:lvlJc w:val="left"/>
      <w:pPr>
        <w:ind w:left="3811"/>
      </w:pPr>
      <w:rPr>
        <w:rFonts w:ascii="Times New Roman" w:eastAsia="Times New Roman" w:hAnsi="Times New Roman"/>
        <w:b w:val="0"/>
        <w:i w:val="0"/>
        <w:strike w:val="0"/>
        <w:dstrike w:val="0"/>
        <w:color w:val="000000"/>
        <w:sz w:val="23"/>
        <w:u w:val="none" w:color="000000"/>
        <w:vertAlign w:val="baseline"/>
      </w:rPr>
    </w:lvl>
    <w:lvl w:ilvl="6" w:tplc="87CADBF4">
      <w:start w:val="1"/>
      <w:numFmt w:val="bullet"/>
      <w:lvlText w:val="•"/>
      <w:lvlJc w:val="left"/>
      <w:pPr>
        <w:ind w:left="4531"/>
      </w:pPr>
      <w:rPr>
        <w:rFonts w:ascii="Times New Roman" w:eastAsia="Times New Roman" w:hAnsi="Times New Roman"/>
        <w:b w:val="0"/>
        <w:i w:val="0"/>
        <w:strike w:val="0"/>
        <w:dstrike w:val="0"/>
        <w:color w:val="000000"/>
        <w:sz w:val="23"/>
        <w:u w:val="none" w:color="000000"/>
        <w:vertAlign w:val="baseline"/>
      </w:rPr>
    </w:lvl>
    <w:lvl w:ilvl="7" w:tplc="9E665582">
      <w:start w:val="1"/>
      <w:numFmt w:val="bullet"/>
      <w:lvlText w:val="o"/>
      <w:lvlJc w:val="left"/>
      <w:pPr>
        <w:ind w:left="5251"/>
      </w:pPr>
      <w:rPr>
        <w:rFonts w:ascii="Times New Roman" w:eastAsia="Times New Roman" w:hAnsi="Times New Roman"/>
        <w:b w:val="0"/>
        <w:i w:val="0"/>
        <w:strike w:val="0"/>
        <w:dstrike w:val="0"/>
        <w:color w:val="000000"/>
        <w:sz w:val="23"/>
        <w:u w:val="none" w:color="000000"/>
        <w:vertAlign w:val="baseline"/>
      </w:rPr>
    </w:lvl>
    <w:lvl w:ilvl="8" w:tplc="F84C13EE">
      <w:start w:val="1"/>
      <w:numFmt w:val="bullet"/>
      <w:lvlText w:val="▪"/>
      <w:lvlJc w:val="left"/>
      <w:pPr>
        <w:ind w:left="5971"/>
      </w:pPr>
      <w:rPr>
        <w:rFonts w:ascii="Times New Roman" w:eastAsia="Times New Roman" w:hAnsi="Times New Roman"/>
        <w:b w:val="0"/>
        <w:i w:val="0"/>
        <w:strike w:val="0"/>
        <w:dstrike w:val="0"/>
        <w:color w:val="000000"/>
        <w:sz w:val="23"/>
        <w:u w:val="none" w:color="000000"/>
        <w:vertAlign w:val="baseline"/>
      </w:rPr>
    </w:lvl>
  </w:abstractNum>
  <w:abstractNum w:abstractNumId="22" w15:restartNumberingAfterBreak="0">
    <w:nsid w:val="57B628A5"/>
    <w:multiLevelType w:val="hybridMultilevel"/>
    <w:tmpl w:val="D6DC317E"/>
    <w:lvl w:ilvl="0" w:tplc="333AC84C">
      <w:start w:val="1"/>
      <w:numFmt w:val="bullet"/>
      <w:lvlText w:val="-"/>
      <w:lvlJc w:val="left"/>
      <w:pPr>
        <w:ind w:left="705"/>
      </w:pPr>
      <w:rPr>
        <w:rFonts w:ascii="Times New Roman" w:eastAsia="Times New Roman" w:hAnsi="Times New Roman"/>
        <w:b w:val="0"/>
        <w:i w:val="0"/>
        <w:strike w:val="0"/>
        <w:dstrike w:val="0"/>
        <w:color w:val="000000"/>
        <w:sz w:val="23"/>
        <w:u w:val="none" w:color="000000"/>
        <w:vertAlign w:val="baseline"/>
      </w:rPr>
    </w:lvl>
    <w:lvl w:ilvl="1" w:tplc="BACA7B58">
      <w:start w:val="1"/>
      <w:numFmt w:val="bullet"/>
      <w:lvlText w:val="o"/>
      <w:lvlJc w:val="left"/>
      <w:pPr>
        <w:ind w:left="1080"/>
      </w:pPr>
      <w:rPr>
        <w:rFonts w:ascii="Times New Roman" w:eastAsia="Times New Roman" w:hAnsi="Times New Roman"/>
        <w:b w:val="0"/>
        <w:i w:val="0"/>
        <w:strike w:val="0"/>
        <w:dstrike w:val="0"/>
        <w:color w:val="000000"/>
        <w:sz w:val="23"/>
        <w:u w:val="none" w:color="000000"/>
        <w:vertAlign w:val="baseline"/>
      </w:rPr>
    </w:lvl>
    <w:lvl w:ilvl="2" w:tplc="81B43A5C">
      <w:start w:val="1"/>
      <w:numFmt w:val="bullet"/>
      <w:lvlText w:val="▪"/>
      <w:lvlJc w:val="left"/>
      <w:pPr>
        <w:ind w:left="1800"/>
      </w:pPr>
      <w:rPr>
        <w:rFonts w:ascii="Times New Roman" w:eastAsia="Times New Roman" w:hAnsi="Times New Roman"/>
        <w:b w:val="0"/>
        <w:i w:val="0"/>
        <w:strike w:val="0"/>
        <w:dstrike w:val="0"/>
        <w:color w:val="000000"/>
        <w:sz w:val="23"/>
        <w:u w:val="none" w:color="000000"/>
        <w:vertAlign w:val="baseline"/>
      </w:rPr>
    </w:lvl>
    <w:lvl w:ilvl="3" w:tplc="672678BC">
      <w:start w:val="1"/>
      <w:numFmt w:val="bullet"/>
      <w:lvlText w:val="•"/>
      <w:lvlJc w:val="left"/>
      <w:pPr>
        <w:ind w:left="2520"/>
      </w:pPr>
      <w:rPr>
        <w:rFonts w:ascii="Times New Roman" w:eastAsia="Times New Roman" w:hAnsi="Times New Roman"/>
        <w:b w:val="0"/>
        <w:i w:val="0"/>
        <w:strike w:val="0"/>
        <w:dstrike w:val="0"/>
        <w:color w:val="000000"/>
        <w:sz w:val="23"/>
        <w:u w:val="none" w:color="000000"/>
        <w:vertAlign w:val="baseline"/>
      </w:rPr>
    </w:lvl>
    <w:lvl w:ilvl="4" w:tplc="4F083426">
      <w:start w:val="1"/>
      <w:numFmt w:val="bullet"/>
      <w:lvlText w:val="o"/>
      <w:lvlJc w:val="left"/>
      <w:pPr>
        <w:ind w:left="3240"/>
      </w:pPr>
      <w:rPr>
        <w:rFonts w:ascii="Times New Roman" w:eastAsia="Times New Roman" w:hAnsi="Times New Roman"/>
        <w:b w:val="0"/>
        <w:i w:val="0"/>
        <w:strike w:val="0"/>
        <w:dstrike w:val="0"/>
        <w:color w:val="000000"/>
        <w:sz w:val="23"/>
        <w:u w:val="none" w:color="000000"/>
        <w:vertAlign w:val="baseline"/>
      </w:rPr>
    </w:lvl>
    <w:lvl w:ilvl="5" w:tplc="E7B6C9EE">
      <w:start w:val="1"/>
      <w:numFmt w:val="bullet"/>
      <w:lvlText w:val="▪"/>
      <w:lvlJc w:val="left"/>
      <w:pPr>
        <w:ind w:left="3960"/>
      </w:pPr>
      <w:rPr>
        <w:rFonts w:ascii="Times New Roman" w:eastAsia="Times New Roman" w:hAnsi="Times New Roman"/>
        <w:b w:val="0"/>
        <w:i w:val="0"/>
        <w:strike w:val="0"/>
        <w:dstrike w:val="0"/>
        <w:color w:val="000000"/>
        <w:sz w:val="23"/>
        <w:u w:val="none" w:color="000000"/>
        <w:vertAlign w:val="baseline"/>
      </w:rPr>
    </w:lvl>
    <w:lvl w:ilvl="6" w:tplc="4B347992">
      <w:start w:val="1"/>
      <w:numFmt w:val="bullet"/>
      <w:lvlText w:val="•"/>
      <w:lvlJc w:val="left"/>
      <w:pPr>
        <w:ind w:left="4680"/>
      </w:pPr>
      <w:rPr>
        <w:rFonts w:ascii="Times New Roman" w:eastAsia="Times New Roman" w:hAnsi="Times New Roman"/>
        <w:b w:val="0"/>
        <w:i w:val="0"/>
        <w:strike w:val="0"/>
        <w:dstrike w:val="0"/>
        <w:color w:val="000000"/>
        <w:sz w:val="23"/>
        <w:u w:val="none" w:color="000000"/>
        <w:vertAlign w:val="baseline"/>
      </w:rPr>
    </w:lvl>
    <w:lvl w:ilvl="7" w:tplc="3B9672D4">
      <w:start w:val="1"/>
      <w:numFmt w:val="bullet"/>
      <w:lvlText w:val="o"/>
      <w:lvlJc w:val="left"/>
      <w:pPr>
        <w:ind w:left="5400"/>
      </w:pPr>
      <w:rPr>
        <w:rFonts w:ascii="Times New Roman" w:eastAsia="Times New Roman" w:hAnsi="Times New Roman"/>
        <w:b w:val="0"/>
        <w:i w:val="0"/>
        <w:strike w:val="0"/>
        <w:dstrike w:val="0"/>
        <w:color w:val="000000"/>
        <w:sz w:val="23"/>
        <w:u w:val="none" w:color="000000"/>
        <w:vertAlign w:val="baseline"/>
      </w:rPr>
    </w:lvl>
    <w:lvl w:ilvl="8" w:tplc="B36E03A2">
      <w:start w:val="1"/>
      <w:numFmt w:val="bullet"/>
      <w:lvlText w:val="▪"/>
      <w:lvlJc w:val="left"/>
      <w:pPr>
        <w:ind w:left="6120"/>
      </w:pPr>
      <w:rPr>
        <w:rFonts w:ascii="Times New Roman" w:eastAsia="Times New Roman" w:hAnsi="Times New Roman"/>
        <w:b w:val="0"/>
        <w:i w:val="0"/>
        <w:strike w:val="0"/>
        <w:dstrike w:val="0"/>
        <w:color w:val="000000"/>
        <w:sz w:val="23"/>
        <w:u w:val="none" w:color="000000"/>
        <w:vertAlign w:val="baseline"/>
      </w:rPr>
    </w:lvl>
  </w:abstractNum>
  <w:abstractNum w:abstractNumId="23" w15:restartNumberingAfterBreak="0">
    <w:nsid w:val="5F633346"/>
    <w:multiLevelType w:val="hybridMultilevel"/>
    <w:tmpl w:val="A57C091C"/>
    <w:lvl w:ilvl="0" w:tplc="E856E7EC">
      <w:start w:val="1"/>
      <w:numFmt w:val="bullet"/>
      <w:lvlText w:val="-"/>
      <w:lvlJc w:val="left"/>
      <w:pPr>
        <w:ind w:left="571"/>
      </w:pPr>
      <w:rPr>
        <w:rFonts w:ascii="Times New Roman" w:eastAsia="Times New Roman" w:hAnsi="Times New Roman"/>
        <w:b w:val="0"/>
        <w:i w:val="0"/>
        <w:strike w:val="0"/>
        <w:dstrike w:val="0"/>
        <w:color w:val="000000"/>
        <w:sz w:val="23"/>
        <w:u w:val="none" w:color="000000"/>
        <w:vertAlign w:val="baseline"/>
      </w:rPr>
    </w:lvl>
    <w:lvl w:ilvl="1" w:tplc="C6A06B28">
      <w:start w:val="1"/>
      <w:numFmt w:val="bullet"/>
      <w:lvlText w:val="o"/>
      <w:lvlJc w:val="left"/>
      <w:pPr>
        <w:ind w:left="1080"/>
      </w:pPr>
      <w:rPr>
        <w:rFonts w:ascii="Times New Roman" w:eastAsia="Times New Roman" w:hAnsi="Times New Roman"/>
        <w:b w:val="0"/>
        <w:i w:val="0"/>
        <w:strike w:val="0"/>
        <w:dstrike w:val="0"/>
        <w:color w:val="000000"/>
        <w:sz w:val="23"/>
        <w:u w:val="none" w:color="000000"/>
        <w:vertAlign w:val="baseline"/>
      </w:rPr>
    </w:lvl>
    <w:lvl w:ilvl="2" w:tplc="7094456E">
      <w:start w:val="1"/>
      <w:numFmt w:val="bullet"/>
      <w:lvlText w:val="▪"/>
      <w:lvlJc w:val="left"/>
      <w:pPr>
        <w:ind w:left="1800"/>
      </w:pPr>
      <w:rPr>
        <w:rFonts w:ascii="Times New Roman" w:eastAsia="Times New Roman" w:hAnsi="Times New Roman"/>
        <w:b w:val="0"/>
        <w:i w:val="0"/>
        <w:strike w:val="0"/>
        <w:dstrike w:val="0"/>
        <w:color w:val="000000"/>
        <w:sz w:val="23"/>
        <w:u w:val="none" w:color="000000"/>
        <w:vertAlign w:val="baseline"/>
      </w:rPr>
    </w:lvl>
    <w:lvl w:ilvl="3" w:tplc="0C72F40E">
      <w:start w:val="1"/>
      <w:numFmt w:val="bullet"/>
      <w:lvlText w:val="•"/>
      <w:lvlJc w:val="left"/>
      <w:pPr>
        <w:ind w:left="2520"/>
      </w:pPr>
      <w:rPr>
        <w:rFonts w:ascii="Times New Roman" w:eastAsia="Times New Roman" w:hAnsi="Times New Roman"/>
        <w:b w:val="0"/>
        <w:i w:val="0"/>
        <w:strike w:val="0"/>
        <w:dstrike w:val="0"/>
        <w:color w:val="000000"/>
        <w:sz w:val="23"/>
        <w:u w:val="none" w:color="000000"/>
        <w:vertAlign w:val="baseline"/>
      </w:rPr>
    </w:lvl>
    <w:lvl w:ilvl="4" w:tplc="3F4A6F40">
      <w:start w:val="1"/>
      <w:numFmt w:val="bullet"/>
      <w:lvlText w:val="o"/>
      <w:lvlJc w:val="left"/>
      <w:pPr>
        <w:ind w:left="3240"/>
      </w:pPr>
      <w:rPr>
        <w:rFonts w:ascii="Times New Roman" w:eastAsia="Times New Roman" w:hAnsi="Times New Roman"/>
        <w:b w:val="0"/>
        <w:i w:val="0"/>
        <w:strike w:val="0"/>
        <w:dstrike w:val="0"/>
        <w:color w:val="000000"/>
        <w:sz w:val="23"/>
        <w:u w:val="none" w:color="000000"/>
        <w:vertAlign w:val="baseline"/>
      </w:rPr>
    </w:lvl>
    <w:lvl w:ilvl="5" w:tplc="8B5A85DA">
      <w:start w:val="1"/>
      <w:numFmt w:val="bullet"/>
      <w:lvlText w:val="▪"/>
      <w:lvlJc w:val="left"/>
      <w:pPr>
        <w:ind w:left="3960"/>
      </w:pPr>
      <w:rPr>
        <w:rFonts w:ascii="Times New Roman" w:eastAsia="Times New Roman" w:hAnsi="Times New Roman"/>
        <w:b w:val="0"/>
        <w:i w:val="0"/>
        <w:strike w:val="0"/>
        <w:dstrike w:val="0"/>
        <w:color w:val="000000"/>
        <w:sz w:val="23"/>
        <w:u w:val="none" w:color="000000"/>
        <w:vertAlign w:val="baseline"/>
      </w:rPr>
    </w:lvl>
    <w:lvl w:ilvl="6" w:tplc="87D6C274">
      <w:start w:val="1"/>
      <w:numFmt w:val="bullet"/>
      <w:lvlText w:val="•"/>
      <w:lvlJc w:val="left"/>
      <w:pPr>
        <w:ind w:left="4680"/>
      </w:pPr>
      <w:rPr>
        <w:rFonts w:ascii="Times New Roman" w:eastAsia="Times New Roman" w:hAnsi="Times New Roman"/>
        <w:b w:val="0"/>
        <w:i w:val="0"/>
        <w:strike w:val="0"/>
        <w:dstrike w:val="0"/>
        <w:color w:val="000000"/>
        <w:sz w:val="23"/>
        <w:u w:val="none" w:color="000000"/>
        <w:vertAlign w:val="baseline"/>
      </w:rPr>
    </w:lvl>
    <w:lvl w:ilvl="7" w:tplc="897CD238">
      <w:start w:val="1"/>
      <w:numFmt w:val="bullet"/>
      <w:lvlText w:val="o"/>
      <w:lvlJc w:val="left"/>
      <w:pPr>
        <w:ind w:left="5400"/>
      </w:pPr>
      <w:rPr>
        <w:rFonts w:ascii="Times New Roman" w:eastAsia="Times New Roman" w:hAnsi="Times New Roman"/>
        <w:b w:val="0"/>
        <w:i w:val="0"/>
        <w:strike w:val="0"/>
        <w:dstrike w:val="0"/>
        <w:color w:val="000000"/>
        <w:sz w:val="23"/>
        <w:u w:val="none" w:color="000000"/>
        <w:vertAlign w:val="baseline"/>
      </w:rPr>
    </w:lvl>
    <w:lvl w:ilvl="8" w:tplc="4EB270CA">
      <w:start w:val="1"/>
      <w:numFmt w:val="bullet"/>
      <w:lvlText w:val="▪"/>
      <w:lvlJc w:val="left"/>
      <w:pPr>
        <w:ind w:left="6120"/>
      </w:pPr>
      <w:rPr>
        <w:rFonts w:ascii="Times New Roman" w:eastAsia="Times New Roman" w:hAnsi="Times New Roman"/>
        <w:b w:val="0"/>
        <w:i w:val="0"/>
        <w:strike w:val="0"/>
        <w:dstrike w:val="0"/>
        <w:color w:val="000000"/>
        <w:sz w:val="23"/>
        <w:u w:val="none" w:color="000000"/>
        <w:vertAlign w:val="baseline"/>
      </w:rPr>
    </w:lvl>
  </w:abstractNum>
  <w:abstractNum w:abstractNumId="24" w15:restartNumberingAfterBreak="0">
    <w:nsid w:val="724754BB"/>
    <w:multiLevelType w:val="hybridMultilevel"/>
    <w:tmpl w:val="951A742C"/>
    <w:lvl w:ilvl="0" w:tplc="15BAD178">
      <w:start w:val="7"/>
      <w:numFmt w:val="decimal"/>
      <w:lvlText w:val="%1."/>
      <w:lvlJc w:val="left"/>
      <w:pPr>
        <w:ind w:left="571"/>
      </w:pPr>
      <w:rPr>
        <w:rFonts w:ascii="Times New Roman" w:eastAsia="Times New Roman" w:hAnsi="Times New Roman" w:cs="Times New Roman"/>
        <w:b/>
        <w:bCs/>
        <w:i w:val="0"/>
        <w:strike w:val="0"/>
        <w:dstrike w:val="0"/>
        <w:color w:val="000000"/>
        <w:sz w:val="23"/>
        <w:szCs w:val="23"/>
        <w:u w:val="none" w:color="000000"/>
        <w:vertAlign w:val="baseline"/>
      </w:rPr>
    </w:lvl>
    <w:lvl w:ilvl="1" w:tplc="A66E3B2C">
      <w:start w:val="1"/>
      <w:numFmt w:val="lowerLetter"/>
      <w:lvlText w:val="%2"/>
      <w:lvlJc w:val="left"/>
      <w:pPr>
        <w:ind w:left="1080"/>
      </w:pPr>
      <w:rPr>
        <w:rFonts w:ascii="Times New Roman" w:eastAsia="Times New Roman" w:hAnsi="Times New Roman" w:cs="Times New Roman"/>
        <w:b/>
        <w:bCs/>
        <w:i w:val="0"/>
        <w:strike w:val="0"/>
        <w:dstrike w:val="0"/>
        <w:color w:val="000000"/>
        <w:sz w:val="23"/>
        <w:szCs w:val="23"/>
        <w:u w:val="none" w:color="000000"/>
        <w:vertAlign w:val="baseline"/>
      </w:rPr>
    </w:lvl>
    <w:lvl w:ilvl="2" w:tplc="5734FD64">
      <w:start w:val="1"/>
      <w:numFmt w:val="lowerRoman"/>
      <w:lvlText w:val="%3"/>
      <w:lvlJc w:val="left"/>
      <w:pPr>
        <w:ind w:left="1800"/>
      </w:pPr>
      <w:rPr>
        <w:rFonts w:ascii="Times New Roman" w:eastAsia="Times New Roman" w:hAnsi="Times New Roman" w:cs="Times New Roman"/>
        <w:b/>
        <w:bCs/>
        <w:i w:val="0"/>
        <w:strike w:val="0"/>
        <w:dstrike w:val="0"/>
        <w:color w:val="000000"/>
        <w:sz w:val="23"/>
        <w:szCs w:val="23"/>
        <w:u w:val="none" w:color="000000"/>
        <w:vertAlign w:val="baseline"/>
      </w:rPr>
    </w:lvl>
    <w:lvl w:ilvl="3" w:tplc="9B80E368">
      <w:start w:val="1"/>
      <w:numFmt w:val="decimal"/>
      <w:lvlText w:val="%4"/>
      <w:lvlJc w:val="left"/>
      <w:pPr>
        <w:ind w:left="2520"/>
      </w:pPr>
      <w:rPr>
        <w:rFonts w:ascii="Times New Roman" w:eastAsia="Times New Roman" w:hAnsi="Times New Roman" w:cs="Times New Roman"/>
        <w:b/>
        <w:bCs/>
        <w:i w:val="0"/>
        <w:strike w:val="0"/>
        <w:dstrike w:val="0"/>
        <w:color w:val="000000"/>
        <w:sz w:val="23"/>
        <w:szCs w:val="23"/>
        <w:u w:val="none" w:color="000000"/>
        <w:vertAlign w:val="baseline"/>
      </w:rPr>
    </w:lvl>
    <w:lvl w:ilvl="4" w:tplc="A656DB32">
      <w:start w:val="1"/>
      <w:numFmt w:val="lowerLetter"/>
      <w:lvlText w:val="%5"/>
      <w:lvlJc w:val="left"/>
      <w:pPr>
        <w:ind w:left="3240"/>
      </w:pPr>
      <w:rPr>
        <w:rFonts w:ascii="Times New Roman" w:eastAsia="Times New Roman" w:hAnsi="Times New Roman" w:cs="Times New Roman"/>
        <w:b/>
        <w:bCs/>
        <w:i w:val="0"/>
        <w:strike w:val="0"/>
        <w:dstrike w:val="0"/>
        <w:color w:val="000000"/>
        <w:sz w:val="23"/>
        <w:szCs w:val="23"/>
        <w:u w:val="none" w:color="000000"/>
        <w:vertAlign w:val="baseline"/>
      </w:rPr>
    </w:lvl>
    <w:lvl w:ilvl="5" w:tplc="A03C8C6E">
      <w:start w:val="1"/>
      <w:numFmt w:val="lowerRoman"/>
      <w:lvlText w:val="%6"/>
      <w:lvlJc w:val="left"/>
      <w:pPr>
        <w:ind w:left="3960"/>
      </w:pPr>
      <w:rPr>
        <w:rFonts w:ascii="Times New Roman" w:eastAsia="Times New Roman" w:hAnsi="Times New Roman" w:cs="Times New Roman"/>
        <w:b/>
        <w:bCs/>
        <w:i w:val="0"/>
        <w:strike w:val="0"/>
        <w:dstrike w:val="0"/>
        <w:color w:val="000000"/>
        <w:sz w:val="23"/>
        <w:szCs w:val="23"/>
        <w:u w:val="none" w:color="000000"/>
        <w:vertAlign w:val="baseline"/>
      </w:rPr>
    </w:lvl>
    <w:lvl w:ilvl="6" w:tplc="BDCE432A">
      <w:start w:val="1"/>
      <w:numFmt w:val="decimal"/>
      <w:lvlText w:val="%7"/>
      <w:lvlJc w:val="left"/>
      <w:pPr>
        <w:ind w:left="4680"/>
      </w:pPr>
      <w:rPr>
        <w:rFonts w:ascii="Times New Roman" w:eastAsia="Times New Roman" w:hAnsi="Times New Roman" w:cs="Times New Roman"/>
        <w:b/>
        <w:bCs/>
        <w:i w:val="0"/>
        <w:strike w:val="0"/>
        <w:dstrike w:val="0"/>
        <w:color w:val="000000"/>
        <w:sz w:val="23"/>
        <w:szCs w:val="23"/>
        <w:u w:val="none" w:color="000000"/>
        <w:vertAlign w:val="baseline"/>
      </w:rPr>
    </w:lvl>
    <w:lvl w:ilvl="7" w:tplc="33268F4E">
      <w:start w:val="1"/>
      <w:numFmt w:val="lowerLetter"/>
      <w:lvlText w:val="%8"/>
      <w:lvlJc w:val="left"/>
      <w:pPr>
        <w:ind w:left="5400"/>
      </w:pPr>
      <w:rPr>
        <w:rFonts w:ascii="Times New Roman" w:eastAsia="Times New Roman" w:hAnsi="Times New Roman" w:cs="Times New Roman"/>
        <w:b/>
        <w:bCs/>
        <w:i w:val="0"/>
        <w:strike w:val="0"/>
        <w:dstrike w:val="0"/>
        <w:color w:val="000000"/>
        <w:sz w:val="23"/>
        <w:szCs w:val="23"/>
        <w:u w:val="none" w:color="000000"/>
        <w:vertAlign w:val="baseline"/>
      </w:rPr>
    </w:lvl>
    <w:lvl w:ilvl="8" w:tplc="23A82C98">
      <w:start w:val="1"/>
      <w:numFmt w:val="lowerRoman"/>
      <w:lvlText w:val="%9"/>
      <w:lvlJc w:val="left"/>
      <w:pPr>
        <w:ind w:left="6120"/>
      </w:pPr>
      <w:rPr>
        <w:rFonts w:ascii="Times New Roman" w:eastAsia="Times New Roman" w:hAnsi="Times New Roman" w:cs="Times New Roman"/>
        <w:b/>
        <w:bCs/>
        <w:i w:val="0"/>
        <w:strike w:val="0"/>
        <w:dstrike w:val="0"/>
        <w:color w:val="000000"/>
        <w:sz w:val="23"/>
        <w:szCs w:val="23"/>
        <w:u w:val="none" w:color="000000"/>
        <w:vertAlign w:val="baseline"/>
      </w:rPr>
    </w:lvl>
  </w:abstractNum>
  <w:abstractNum w:abstractNumId="25" w15:restartNumberingAfterBreak="0">
    <w:nsid w:val="78BA50BB"/>
    <w:multiLevelType w:val="hybridMultilevel"/>
    <w:tmpl w:val="A2B482CE"/>
    <w:lvl w:ilvl="0" w:tplc="04150011">
      <w:start w:val="1"/>
      <w:numFmt w:val="decimal"/>
      <w:lvlText w:val="%1)"/>
      <w:lvlJc w:val="left"/>
      <w:pPr>
        <w:ind w:left="10"/>
      </w:pPr>
      <w:rPr>
        <w:rFonts w:cs="Times New Roman"/>
        <w:b w:val="0"/>
        <w:i w:val="0"/>
        <w:strike w:val="0"/>
        <w:dstrike w:val="0"/>
        <w:color w:val="000000"/>
        <w:sz w:val="23"/>
        <w:szCs w:val="23"/>
        <w:u w:val="none" w:color="000000"/>
        <w:vertAlign w:val="baseline"/>
      </w:rPr>
    </w:lvl>
    <w:lvl w:ilvl="1" w:tplc="887C77DC">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vertAlign w:val="baseline"/>
      </w:rPr>
    </w:lvl>
    <w:lvl w:ilvl="2" w:tplc="C82E0D1C">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vertAlign w:val="baseline"/>
      </w:rPr>
    </w:lvl>
    <w:lvl w:ilvl="3" w:tplc="268897AE">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vertAlign w:val="baseline"/>
      </w:rPr>
    </w:lvl>
    <w:lvl w:ilvl="4" w:tplc="8EE44384">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vertAlign w:val="baseline"/>
      </w:rPr>
    </w:lvl>
    <w:lvl w:ilvl="5" w:tplc="AA58A5A8">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vertAlign w:val="baseline"/>
      </w:rPr>
    </w:lvl>
    <w:lvl w:ilvl="6" w:tplc="A84605F8">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vertAlign w:val="baseline"/>
      </w:rPr>
    </w:lvl>
    <w:lvl w:ilvl="7" w:tplc="685604F2">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vertAlign w:val="baseline"/>
      </w:rPr>
    </w:lvl>
    <w:lvl w:ilvl="8" w:tplc="00340570">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vertAlign w:val="baseline"/>
      </w:rPr>
    </w:lvl>
  </w:abstractNum>
  <w:abstractNum w:abstractNumId="26" w15:restartNumberingAfterBreak="0">
    <w:nsid w:val="79D23EE1"/>
    <w:multiLevelType w:val="hybridMultilevel"/>
    <w:tmpl w:val="E4321852"/>
    <w:lvl w:ilvl="0" w:tplc="333AC84C">
      <w:start w:val="1"/>
      <w:numFmt w:val="bullet"/>
      <w:lvlText w:val="-"/>
      <w:lvlJc w:val="left"/>
      <w:pPr>
        <w:ind w:left="1291" w:hanging="360"/>
      </w:pPr>
      <w:rPr>
        <w:rFonts w:ascii="Times New Roman" w:eastAsia="Times New Roman" w:hAnsi="Times New Roman"/>
        <w:b w:val="0"/>
        <w:i w:val="0"/>
        <w:strike w:val="0"/>
        <w:dstrike w:val="0"/>
        <w:color w:val="000000"/>
        <w:sz w:val="23"/>
        <w:u w:val="none" w:color="000000"/>
        <w:vertAlign w:val="baseline"/>
      </w:rPr>
    </w:lvl>
    <w:lvl w:ilvl="1" w:tplc="04150003" w:tentative="1">
      <w:start w:val="1"/>
      <w:numFmt w:val="bullet"/>
      <w:lvlText w:val="o"/>
      <w:lvlJc w:val="left"/>
      <w:pPr>
        <w:ind w:left="2011" w:hanging="360"/>
      </w:pPr>
      <w:rPr>
        <w:rFonts w:ascii="Courier New" w:hAnsi="Courier New" w:hint="default"/>
      </w:rPr>
    </w:lvl>
    <w:lvl w:ilvl="2" w:tplc="04150005" w:tentative="1">
      <w:start w:val="1"/>
      <w:numFmt w:val="bullet"/>
      <w:lvlText w:val=""/>
      <w:lvlJc w:val="left"/>
      <w:pPr>
        <w:ind w:left="2731" w:hanging="360"/>
      </w:pPr>
      <w:rPr>
        <w:rFonts w:ascii="Wingdings" w:hAnsi="Wingdings" w:hint="default"/>
      </w:rPr>
    </w:lvl>
    <w:lvl w:ilvl="3" w:tplc="04150001" w:tentative="1">
      <w:start w:val="1"/>
      <w:numFmt w:val="bullet"/>
      <w:lvlText w:val=""/>
      <w:lvlJc w:val="left"/>
      <w:pPr>
        <w:ind w:left="3451" w:hanging="360"/>
      </w:pPr>
      <w:rPr>
        <w:rFonts w:ascii="Symbol" w:hAnsi="Symbol" w:hint="default"/>
      </w:rPr>
    </w:lvl>
    <w:lvl w:ilvl="4" w:tplc="04150003" w:tentative="1">
      <w:start w:val="1"/>
      <w:numFmt w:val="bullet"/>
      <w:lvlText w:val="o"/>
      <w:lvlJc w:val="left"/>
      <w:pPr>
        <w:ind w:left="4171" w:hanging="360"/>
      </w:pPr>
      <w:rPr>
        <w:rFonts w:ascii="Courier New" w:hAnsi="Courier New" w:hint="default"/>
      </w:rPr>
    </w:lvl>
    <w:lvl w:ilvl="5" w:tplc="04150005" w:tentative="1">
      <w:start w:val="1"/>
      <w:numFmt w:val="bullet"/>
      <w:lvlText w:val=""/>
      <w:lvlJc w:val="left"/>
      <w:pPr>
        <w:ind w:left="4891" w:hanging="360"/>
      </w:pPr>
      <w:rPr>
        <w:rFonts w:ascii="Wingdings" w:hAnsi="Wingdings" w:hint="default"/>
      </w:rPr>
    </w:lvl>
    <w:lvl w:ilvl="6" w:tplc="04150001" w:tentative="1">
      <w:start w:val="1"/>
      <w:numFmt w:val="bullet"/>
      <w:lvlText w:val=""/>
      <w:lvlJc w:val="left"/>
      <w:pPr>
        <w:ind w:left="5611" w:hanging="360"/>
      </w:pPr>
      <w:rPr>
        <w:rFonts w:ascii="Symbol" w:hAnsi="Symbol" w:hint="default"/>
      </w:rPr>
    </w:lvl>
    <w:lvl w:ilvl="7" w:tplc="04150003" w:tentative="1">
      <w:start w:val="1"/>
      <w:numFmt w:val="bullet"/>
      <w:lvlText w:val="o"/>
      <w:lvlJc w:val="left"/>
      <w:pPr>
        <w:ind w:left="6331" w:hanging="360"/>
      </w:pPr>
      <w:rPr>
        <w:rFonts w:ascii="Courier New" w:hAnsi="Courier New" w:hint="default"/>
      </w:rPr>
    </w:lvl>
    <w:lvl w:ilvl="8" w:tplc="04150005" w:tentative="1">
      <w:start w:val="1"/>
      <w:numFmt w:val="bullet"/>
      <w:lvlText w:val=""/>
      <w:lvlJc w:val="left"/>
      <w:pPr>
        <w:ind w:left="7051" w:hanging="360"/>
      </w:pPr>
      <w:rPr>
        <w:rFonts w:ascii="Wingdings" w:hAnsi="Wingdings" w:hint="default"/>
      </w:rPr>
    </w:lvl>
  </w:abstractNum>
  <w:abstractNum w:abstractNumId="27" w15:restartNumberingAfterBreak="0">
    <w:nsid w:val="7D9C1C3D"/>
    <w:multiLevelType w:val="hybridMultilevel"/>
    <w:tmpl w:val="F51492AE"/>
    <w:lvl w:ilvl="0" w:tplc="333AC84C">
      <w:start w:val="1"/>
      <w:numFmt w:val="bullet"/>
      <w:lvlText w:val="-"/>
      <w:lvlJc w:val="left"/>
      <w:pPr>
        <w:ind w:left="1291" w:hanging="360"/>
      </w:pPr>
      <w:rPr>
        <w:rFonts w:ascii="Times New Roman" w:eastAsia="Times New Roman" w:hAnsi="Times New Roman"/>
        <w:b w:val="0"/>
        <w:i w:val="0"/>
        <w:strike w:val="0"/>
        <w:dstrike w:val="0"/>
        <w:color w:val="000000"/>
        <w:sz w:val="23"/>
        <w:u w:val="none" w:color="000000"/>
        <w:vertAlign w:val="baseline"/>
      </w:rPr>
    </w:lvl>
    <w:lvl w:ilvl="1" w:tplc="04150001">
      <w:start w:val="1"/>
      <w:numFmt w:val="bullet"/>
      <w:lvlText w:val=""/>
      <w:lvlJc w:val="left"/>
      <w:pPr>
        <w:ind w:left="2011" w:hanging="360"/>
      </w:pPr>
      <w:rPr>
        <w:rFonts w:ascii="Symbol" w:hAnsi="Symbol" w:hint="default"/>
      </w:rPr>
    </w:lvl>
    <w:lvl w:ilvl="2" w:tplc="04150005" w:tentative="1">
      <w:start w:val="1"/>
      <w:numFmt w:val="bullet"/>
      <w:lvlText w:val=""/>
      <w:lvlJc w:val="left"/>
      <w:pPr>
        <w:ind w:left="2731" w:hanging="360"/>
      </w:pPr>
      <w:rPr>
        <w:rFonts w:ascii="Wingdings" w:hAnsi="Wingdings" w:hint="default"/>
      </w:rPr>
    </w:lvl>
    <w:lvl w:ilvl="3" w:tplc="04150001" w:tentative="1">
      <w:start w:val="1"/>
      <w:numFmt w:val="bullet"/>
      <w:lvlText w:val=""/>
      <w:lvlJc w:val="left"/>
      <w:pPr>
        <w:ind w:left="3451" w:hanging="360"/>
      </w:pPr>
      <w:rPr>
        <w:rFonts w:ascii="Symbol" w:hAnsi="Symbol" w:hint="default"/>
      </w:rPr>
    </w:lvl>
    <w:lvl w:ilvl="4" w:tplc="04150003" w:tentative="1">
      <w:start w:val="1"/>
      <w:numFmt w:val="bullet"/>
      <w:lvlText w:val="o"/>
      <w:lvlJc w:val="left"/>
      <w:pPr>
        <w:ind w:left="4171" w:hanging="360"/>
      </w:pPr>
      <w:rPr>
        <w:rFonts w:ascii="Courier New" w:hAnsi="Courier New" w:hint="default"/>
      </w:rPr>
    </w:lvl>
    <w:lvl w:ilvl="5" w:tplc="04150005" w:tentative="1">
      <w:start w:val="1"/>
      <w:numFmt w:val="bullet"/>
      <w:lvlText w:val=""/>
      <w:lvlJc w:val="left"/>
      <w:pPr>
        <w:ind w:left="4891" w:hanging="360"/>
      </w:pPr>
      <w:rPr>
        <w:rFonts w:ascii="Wingdings" w:hAnsi="Wingdings" w:hint="default"/>
      </w:rPr>
    </w:lvl>
    <w:lvl w:ilvl="6" w:tplc="04150001" w:tentative="1">
      <w:start w:val="1"/>
      <w:numFmt w:val="bullet"/>
      <w:lvlText w:val=""/>
      <w:lvlJc w:val="left"/>
      <w:pPr>
        <w:ind w:left="5611" w:hanging="360"/>
      </w:pPr>
      <w:rPr>
        <w:rFonts w:ascii="Symbol" w:hAnsi="Symbol" w:hint="default"/>
      </w:rPr>
    </w:lvl>
    <w:lvl w:ilvl="7" w:tplc="04150003" w:tentative="1">
      <w:start w:val="1"/>
      <w:numFmt w:val="bullet"/>
      <w:lvlText w:val="o"/>
      <w:lvlJc w:val="left"/>
      <w:pPr>
        <w:ind w:left="6331" w:hanging="360"/>
      </w:pPr>
      <w:rPr>
        <w:rFonts w:ascii="Courier New" w:hAnsi="Courier New" w:hint="default"/>
      </w:rPr>
    </w:lvl>
    <w:lvl w:ilvl="8" w:tplc="04150005" w:tentative="1">
      <w:start w:val="1"/>
      <w:numFmt w:val="bullet"/>
      <w:lvlText w:val=""/>
      <w:lvlJc w:val="left"/>
      <w:pPr>
        <w:ind w:left="7051" w:hanging="360"/>
      </w:pPr>
      <w:rPr>
        <w:rFonts w:ascii="Wingdings" w:hAnsi="Wingdings" w:hint="default"/>
      </w:rPr>
    </w:lvl>
  </w:abstractNum>
  <w:abstractNum w:abstractNumId="28" w15:restartNumberingAfterBreak="0">
    <w:nsid w:val="7DD105A5"/>
    <w:multiLevelType w:val="hybridMultilevel"/>
    <w:tmpl w:val="8974BFC2"/>
    <w:lvl w:ilvl="0" w:tplc="333AC84C">
      <w:start w:val="1"/>
      <w:numFmt w:val="bullet"/>
      <w:lvlText w:val="-"/>
      <w:lvlJc w:val="left"/>
      <w:pPr>
        <w:ind w:left="1425" w:hanging="360"/>
      </w:pPr>
      <w:rPr>
        <w:rFonts w:ascii="Times New Roman" w:eastAsia="Times New Roman" w:hAnsi="Times New Roman"/>
        <w:b w:val="0"/>
        <w:i w:val="0"/>
        <w:strike w:val="0"/>
        <w:dstrike w:val="0"/>
        <w:color w:val="000000"/>
        <w:sz w:val="23"/>
        <w:u w:val="none" w:color="000000"/>
        <w:vertAlign w:val="baseline"/>
      </w:rPr>
    </w:lvl>
    <w:lvl w:ilvl="1" w:tplc="04150003" w:tentative="1">
      <w:start w:val="1"/>
      <w:numFmt w:val="bullet"/>
      <w:lvlText w:val="o"/>
      <w:lvlJc w:val="left"/>
      <w:pPr>
        <w:ind w:left="2145" w:hanging="360"/>
      </w:pPr>
      <w:rPr>
        <w:rFonts w:ascii="Courier New" w:hAnsi="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hint="default"/>
      </w:rPr>
    </w:lvl>
    <w:lvl w:ilvl="8" w:tplc="04150005" w:tentative="1">
      <w:start w:val="1"/>
      <w:numFmt w:val="bullet"/>
      <w:lvlText w:val=""/>
      <w:lvlJc w:val="left"/>
      <w:pPr>
        <w:ind w:left="7185" w:hanging="360"/>
      </w:pPr>
      <w:rPr>
        <w:rFonts w:ascii="Wingdings" w:hAnsi="Wingdings" w:hint="default"/>
      </w:rPr>
    </w:lvl>
  </w:abstractNum>
  <w:num w:numId="1">
    <w:abstractNumId w:val="22"/>
  </w:num>
  <w:num w:numId="2">
    <w:abstractNumId w:val="23"/>
  </w:num>
  <w:num w:numId="3">
    <w:abstractNumId w:val="16"/>
  </w:num>
  <w:num w:numId="4">
    <w:abstractNumId w:val="12"/>
  </w:num>
  <w:num w:numId="5">
    <w:abstractNumId w:val="24"/>
  </w:num>
  <w:num w:numId="6">
    <w:abstractNumId w:val="13"/>
  </w:num>
  <w:num w:numId="7">
    <w:abstractNumId w:val="15"/>
  </w:num>
  <w:num w:numId="8">
    <w:abstractNumId w:val="26"/>
  </w:num>
  <w:num w:numId="9">
    <w:abstractNumId w:val="28"/>
  </w:num>
  <w:num w:numId="10">
    <w:abstractNumId w:val="11"/>
  </w:num>
  <w:num w:numId="11">
    <w:abstractNumId w:val="20"/>
  </w:num>
  <w:num w:numId="12">
    <w:abstractNumId w:val="27"/>
  </w:num>
  <w:num w:numId="13">
    <w:abstractNumId w:val="21"/>
  </w:num>
  <w:num w:numId="14">
    <w:abstractNumId w:val="25"/>
  </w:num>
  <w:num w:numId="15">
    <w:abstractNumId w:val="19"/>
  </w:num>
  <w:num w:numId="16">
    <w:abstractNumId w:val="18"/>
  </w:num>
  <w:num w:numId="17">
    <w:abstractNumId w:val="14"/>
  </w:num>
  <w:num w:numId="18">
    <w:abstractNumId w:val="10"/>
  </w:num>
  <w:num w:numId="19">
    <w:abstractNumId w:val="8"/>
  </w:num>
  <w:num w:numId="20">
    <w:abstractNumId w:val="3"/>
  </w:num>
  <w:num w:numId="21">
    <w:abstractNumId w:val="2"/>
  </w:num>
  <w:num w:numId="22">
    <w:abstractNumId w:val="1"/>
  </w:num>
  <w:num w:numId="23">
    <w:abstractNumId w:val="0"/>
  </w:num>
  <w:num w:numId="24">
    <w:abstractNumId w:val="9"/>
  </w:num>
  <w:num w:numId="25">
    <w:abstractNumId w:val="7"/>
  </w:num>
  <w:num w:numId="26">
    <w:abstractNumId w:val="6"/>
  </w:num>
  <w:num w:numId="27">
    <w:abstractNumId w:val="5"/>
  </w:num>
  <w:num w:numId="28">
    <w:abstractNumId w:val="4"/>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872"/>
    <w:rsid w:val="0000233A"/>
    <w:rsid w:val="00006CE5"/>
    <w:rsid w:val="00007A55"/>
    <w:rsid w:val="000226EA"/>
    <w:rsid w:val="000249AE"/>
    <w:rsid w:val="00026763"/>
    <w:rsid w:val="00032D0E"/>
    <w:rsid w:val="00033CFD"/>
    <w:rsid w:val="000421D5"/>
    <w:rsid w:val="00043184"/>
    <w:rsid w:val="00050533"/>
    <w:rsid w:val="00051A64"/>
    <w:rsid w:val="000557B7"/>
    <w:rsid w:val="00060181"/>
    <w:rsid w:val="00060513"/>
    <w:rsid w:val="00067C53"/>
    <w:rsid w:val="00071EE0"/>
    <w:rsid w:val="00075A0B"/>
    <w:rsid w:val="00075B5F"/>
    <w:rsid w:val="00082967"/>
    <w:rsid w:val="00084DFB"/>
    <w:rsid w:val="000908FA"/>
    <w:rsid w:val="00091476"/>
    <w:rsid w:val="00091B27"/>
    <w:rsid w:val="00093C91"/>
    <w:rsid w:val="00093F74"/>
    <w:rsid w:val="000A4B22"/>
    <w:rsid w:val="000B18A3"/>
    <w:rsid w:val="000B2310"/>
    <w:rsid w:val="000B61DD"/>
    <w:rsid w:val="000B7C74"/>
    <w:rsid w:val="000C096D"/>
    <w:rsid w:val="000C12EF"/>
    <w:rsid w:val="000C5991"/>
    <w:rsid w:val="000D1173"/>
    <w:rsid w:val="000D1C41"/>
    <w:rsid w:val="000D2EF3"/>
    <w:rsid w:val="000E0BBC"/>
    <w:rsid w:val="000F3049"/>
    <w:rsid w:val="000F456E"/>
    <w:rsid w:val="000F4964"/>
    <w:rsid w:val="000F5F0C"/>
    <w:rsid w:val="000F66D6"/>
    <w:rsid w:val="001002F5"/>
    <w:rsid w:val="00103D77"/>
    <w:rsid w:val="00106FBD"/>
    <w:rsid w:val="001100C7"/>
    <w:rsid w:val="001105AB"/>
    <w:rsid w:val="00110E50"/>
    <w:rsid w:val="00112A17"/>
    <w:rsid w:val="00113ECA"/>
    <w:rsid w:val="0011524E"/>
    <w:rsid w:val="00115A91"/>
    <w:rsid w:val="00120CF4"/>
    <w:rsid w:val="00122CC8"/>
    <w:rsid w:val="001321C0"/>
    <w:rsid w:val="00135A74"/>
    <w:rsid w:val="00137ED2"/>
    <w:rsid w:val="00142509"/>
    <w:rsid w:val="0014516C"/>
    <w:rsid w:val="00146BC2"/>
    <w:rsid w:val="00147771"/>
    <w:rsid w:val="001550C3"/>
    <w:rsid w:val="00170EB7"/>
    <w:rsid w:val="001771BB"/>
    <w:rsid w:val="001822D6"/>
    <w:rsid w:val="0018648A"/>
    <w:rsid w:val="001A47EB"/>
    <w:rsid w:val="001A5564"/>
    <w:rsid w:val="001A6686"/>
    <w:rsid w:val="001A69D4"/>
    <w:rsid w:val="001B5A5E"/>
    <w:rsid w:val="001C4472"/>
    <w:rsid w:val="001D1FC3"/>
    <w:rsid w:val="001E42FC"/>
    <w:rsid w:val="001F7C3C"/>
    <w:rsid w:val="00210DD8"/>
    <w:rsid w:val="00211D25"/>
    <w:rsid w:val="00226D17"/>
    <w:rsid w:val="00231625"/>
    <w:rsid w:val="0023473A"/>
    <w:rsid w:val="00236532"/>
    <w:rsid w:val="00237939"/>
    <w:rsid w:val="00243692"/>
    <w:rsid w:val="00245186"/>
    <w:rsid w:val="0024673E"/>
    <w:rsid w:val="00255EDA"/>
    <w:rsid w:val="002563A5"/>
    <w:rsid w:val="00256C89"/>
    <w:rsid w:val="00256CCE"/>
    <w:rsid w:val="00257790"/>
    <w:rsid w:val="00260BC0"/>
    <w:rsid w:val="0027155C"/>
    <w:rsid w:val="00280DE5"/>
    <w:rsid w:val="00281B8F"/>
    <w:rsid w:val="00282293"/>
    <w:rsid w:val="0029556B"/>
    <w:rsid w:val="002961F9"/>
    <w:rsid w:val="0029723E"/>
    <w:rsid w:val="00297523"/>
    <w:rsid w:val="002A235E"/>
    <w:rsid w:val="002A7ECE"/>
    <w:rsid w:val="002B368C"/>
    <w:rsid w:val="002B59D6"/>
    <w:rsid w:val="002B66E0"/>
    <w:rsid w:val="002B6A9F"/>
    <w:rsid w:val="002B712A"/>
    <w:rsid w:val="002C28DF"/>
    <w:rsid w:val="002C37B4"/>
    <w:rsid w:val="002C5DA5"/>
    <w:rsid w:val="002D0552"/>
    <w:rsid w:val="002D5F1C"/>
    <w:rsid w:val="002D609E"/>
    <w:rsid w:val="002E1D14"/>
    <w:rsid w:val="002F27BE"/>
    <w:rsid w:val="002F434E"/>
    <w:rsid w:val="0030143C"/>
    <w:rsid w:val="00302143"/>
    <w:rsid w:val="00304DCE"/>
    <w:rsid w:val="00305076"/>
    <w:rsid w:val="00305D24"/>
    <w:rsid w:val="003102E3"/>
    <w:rsid w:val="00311D10"/>
    <w:rsid w:val="00313BA7"/>
    <w:rsid w:val="0031465D"/>
    <w:rsid w:val="00323CDC"/>
    <w:rsid w:val="003245B8"/>
    <w:rsid w:val="00326E33"/>
    <w:rsid w:val="00330148"/>
    <w:rsid w:val="00333349"/>
    <w:rsid w:val="00334690"/>
    <w:rsid w:val="003352FC"/>
    <w:rsid w:val="003438CE"/>
    <w:rsid w:val="00343DFC"/>
    <w:rsid w:val="00344467"/>
    <w:rsid w:val="003450A1"/>
    <w:rsid w:val="003502D1"/>
    <w:rsid w:val="00350592"/>
    <w:rsid w:val="003509A9"/>
    <w:rsid w:val="003511D4"/>
    <w:rsid w:val="00353B5E"/>
    <w:rsid w:val="0035692C"/>
    <w:rsid w:val="00357607"/>
    <w:rsid w:val="003615A3"/>
    <w:rsid w:val="00364F27"/>
    <w:rsid w:val="003738F6"/>
    <w:rsid w:val="00376006"/>
    <w:rsid w:val="00384357"/>
    <w:rsid w:val="00393423"/>
    <w:rsid w:val="003A3902"/>
    <w:rsid w:val="003A3BFA"/>
    <w:rsid w:val="003A5262"/>
    <w:rsid w:val="003A772A"/>
    <w:rsid w:val="003B1889"/>
    <w:rsid w:val="003C024F"/>
    <w:rsid w:val="003D0C51"/>
    <w:rsid w:val="003D2381"/>
    <w:rsid w:val="003E27A3"/>
    <w:rsid w:val="003E40AD"/>
    <w:rsid w:val="003E4850"/>
    <w:rsid w:val="003E6865"/>
    <w:rsid w:val="003E7436"/>
    <w:rsid w:val="0040242E"/>
    <w:rsid w:val="00404B9C"/>
    <w:rsid w:val="00404EE1"/>
    <w:rsid w:val="00423C9B"/>
    <w:rsid w:val="0042421E"/>
    <w:rsid w:val="004258B2"/>
    <w:rsid w:val="00426DAA"/>
    <w:rsid w:val="00435928"/>
    <w:rsid w:val="004359D3"/>
    <w:rsid w:val="00436652"/>
    <w:rsid w:val="00436698"/>
    <w:rsid w:val="00440A1C"/>
    <w:rsid w:val="00443EC2"/>
    <w:rsid w:val="00445499"/>
    <w:rsid w:val="00452404"/>
    <w:rsid w:val="004549AF"/>
    <w:rsid w:val="00456A88"/>
    <w:rsid w:val="004604FA"/>
    <w:rsid w:val="00464249"/>
    <w:rsid w:val="004752B7"/>
    <w:rsid w:val="004836A0"/>
    <w:rsid w:val="0048605B"/>
    <w:rsid w:val="0049090E"/>
    <w:rsid w:val="004A1AD9"/>
    <w:rsid w:val="004B3C06"/>
    <w:rsid w:val="004B7A2F"/>
    <w:rsid w:val="004C3113"/>
    <w:rsid w:val="004C4769"/>
    <w:rsid w:val="004C4C9B"/>
    <w:rsid w:val="004C6C34"/>
    <w:rsid w:val="004D11AF"/>
    <w:rsid w:val="004D17AD"/>
    <w:rsid w:val="004D5853"/>
    <w:rsid w:val="004E4729"/>
    <w:rsid w:val="004E5224"/>
    <w:rsid w:val="00502B7C"/>
    <w:rsid w:val="0051201C"/>
    <w:rsid w:val="0051490B"/>
    <w:rsid w:val="005235D3"/>
    <w:rsid w:val="00524352"/>
    <w:rsid w:val="00525CA9"/>
    <w:rsid w:val="005274D4"/>
    <w:rsid w:val="00530B98"/>
    <w:rsid w:val="00532AE1"/>
    <w:rsid w:val="005339A5"/>
    <w:rsid w:val="005341FA"/>
    <w:rsid w:val="00534A7A"/>
    <w:rsid w:val="00535D8D"/>
    <w:rsid w:val="00537DBD"/>
    <w:rsid w:val="00544D16"/>
    <w:rsid w:val="00544D3C"/>
    <w:rsid w:val="005538CA"/>
    <w:rsid w:val="0055561D"/>
    <w:rsid w:val="00556380"/>
    <w:rsid w:val="005722AA"/>
    <w:rsid w:val="00573DD8"/>
    <w:rsid w:val="00575080"/>
    <w:rsid w:val="00575831"/>
    <w:rsid w:val="00575A1F"/>
    <w:rsid w:val="00584503"/>
    <w:rsid w:val="00590CD4"/>
    <w:rsid w:val="0059364E"/>
    <w:rsid w:val="00593C9E"/>
    <w:rsid w:val="00595CCD"/>
    <w:rsid w:val="005A6A40"/>
    <w:rsid w:val="005A78C5"/>
    <w:rsid w:val="005B01CB"/>
    <w:rsid w:val="005B4082"/>
    <w:rsid w:val="005B44AF"/>
    <w:rsid w:val="005B646A"/>
    <w:rsid w:val="005B7B9A"/>
    <w:rsid w:val="005C19CC"/>
    <w:rsid w:val="005C223D"/>
    <w:rsid w:val="005C6D69"/>
    <w:rsid w:val="005D5453"/>
    <w:rsid w:val="005D6278"/>
    <w:rsid w:val="005D7FA2"/>
    <w:rsid w:val="005E4203"/>
    <w:rsid w:val="005F1144"/>
    <w:rsid w:val="005F4E28"/>
    <w:rsid w:val="005F7837"/>
    <w:rsid w:val="006055EF"/>
    <w:rsid w:val="00605C47"/>
    <w:rsid w:val="00605FBC"/>
    <w:rsid w:val="00606090"/>
    <w:rsid w:val="0060676C"/>
    <w:rsid w:val="00606FBE"/>
    <w:rsid w:val="00607215"/>
    <w:rsid w:val="006169D1"/>
    <w:rsid w:val="00634AAB"/>
    <w:rsid w:val="006364B8"/>
    <w:rsid w:val="00637C6B"/>
    <w:rsid w:val="00641821"/>
    <w:rsid w:val="006459DE"/>
    <w:rsid w:val="006470DE"/>
    <w:rsid w:val="00651B8A"/>
    <w:rsid w:val="00656438"/>
    <w:rsid w:val="0065733E"/>
    <w:rsid w:val="00665A0A"/>
    <w:rsid w:val="0066655E"/>
    <w:rsid w:val="00667F86"/>
    <w:rsid w:val="00671E80"/>
    <w:rsid w:val="0067349F"/>
    <w:rsid w:val="00681191"/>
    <w:rsid w:val="00683AAF"/>
    <w:rsid w:val="00685503"/>
    <w:rsid w:val="00685680"/>
    <w:rsid w:val="006870C1"/>
    <w:rsid w:val="0069010A"/>
    <w:rsid w:val="006A178D"/>
    <w:rsid w:val="006A579F"/>
    <w:rsid w:val="006A5D85"/>
    <w:rsid w:val="006B03C4"/>
    <w:rsid w:val="006B2300"/>
    <w:rsid w:val="006B28C7"/>
    <w:rsid w:val="006C0216"/>
    <w:rsid w:val="006C20FF"/>
    <w:rsid w:val="006C537A"/>
    <w:rsid w:val="006D45D0"/>
    <w:rsid w:val="006E18E4"/>
    <w:rsid w:val="006E70BA"/>
    <w:rsid w:val="006F7C4F"/>
    <w:rsid w:val="0070098C"/>
    <w:rsid w:val="00705B06"/>
    <w:rsid w:val="0070758C"/>
    <w:rsid w:val="007129E7"/>
    <w:rsid w:val="0071707D"/>
    <w:rsid w:val="007243BE"/>
    <w:rsid w:val="00726596"/>
    <w:rsid w:val="00740349"/>
    <w:rsid w:val="00743764"/>
    <w:rsid w:val="00746ED1"/>
    <w:rsid w:val="0075324F"/>
    <w:rsid w:val="00753828"/>
    <w:rsid w:val="007556E4"/>
    <w:rsid w:val="00772DC1"/>
    <w:rsid w:val="00775E88"/>
    <w:rsid w:val="00780322"/>
    <w:rsid w:val="007806B4"/>
    <w:rsid w:val="00782437"/>
    <w:rsid w:val="007918E9"/>
    <w:rsid w:val="007A67DE"/>
    <w:rsid w:val="007B2608"/>
    <w:rsid w:val="007B30F0"/>
    <w:rsid w:val="007C4AD3"/>
    <w:rsid w:val="007D2D59"/>
    <w:rsid w:val="007E10F5"/>
    <w:rsid w:val="007E352D"/>
    <w:rsid w:val="007E3E94"/>
    <w:rsid w:val="007E5218"/>
    <w:rsid w:val="007E6617"/>
    <w:rsid w:val="007F17F1"/>
    <w:rsid w:val="007F30F2"/>
    <w:rsid w:val="00802417"/>
    <w:rsid w:val="0080272D"/>
    <w:rsid w:val="008056B3"/>
    <w:rsid w:val="008205F2"/>
    <w:rsid w:val="00823CA0"/>
    <w:rsid w:val="008240BD"/>
    <w:rsid w:val="00833D7E"/>
    <w:rsid w:val="00836527"/>
    <w:rsid w:val="008367F7"/>
    <w:rsid w:val="00837BC3"/>
    <w:rsid w:val="0084049D"/>
    <w:rsid w:val="0084219B"/>
    <w:rsid w:val="00842796"/>
    <w:rsid w:val="00850AEA"/>
    <w:rsid w:val="00851A14"/>
    <w:rsid w:val="008540A4"/>
    <w:rsid w:val="008617E6"/>
    <w:rsid w:val="00861FD4"/>
    <w:rsid w:val="00872903"/>
    <w:rsid w:val="008757E1"/>
    <w:rsid w:val="00876864"/>
    <w:rsid w:val="00876DE9"/>
    <w:rsid w:val="00883811"/>
    <w:rsid w:val="00884E04"/>
    <w:rsid w:val="00886B9F"/>
    <w:rsid w:val="00892523"/>
    <w:rsid w:val="00894596"/>
    <w:rsid w:val="008953FE"/>
    <w:rsid w:val="008A3D34"/>
    <w:rsid w:val="008A44B1"/>
    <w:rsid w:val="008A4FE5"/>
    <w:rsid w:val="008A7A19"/>
    <w:rsid w:val="008B19DD"/>
    <w:rsid w:val="008B3CEE"/>
    <w:rsid w:val="008B3E94"/>
    <w:rsid w:val="008B56EE"/>
    <w:rsid w:val="008C3EFD"/>
    <w:rsid w:val="008C6D7D"/>
    <w:rsid w:val="008C7804"/>
    <w:rsid w:val="008D0142"/>
    <w:rsid w:val="008E2254"/>
    <w:rsid w:val="008E293E"/>
    <w:rsid w:val="008E7192"/>
    <w:rsid w:val="008F4001"/>
    <w:rsid w:val="008F41DC"/>
    <w:rsid w:val="008F71AD"/>
    <w:rsid w:val="00900D59"/>
    <w:rsid w:val="00901B30"/>
    <w:rsid w:val="00907D79"/>
    <w:rsid w:val="009109EA"/>
    <w:rsid w:val="00915256"/>
    <w:rsid w:val="00915D9C"/>
    <w:rsid w:val="00930275"/>
    <w:rsid w:val="009319BE"/>
    <w:rsid w:val="0093549C"/>
    <w:rsid w:val="00935D8B"/>
    <w:rsid w:val="00936AA4"/>
    <w:rsid w:val="00940DC6"/>
    <w:rsid w:val="00942326"/>
    <w:rsid w:val="009475D7"/>
    <w:rsid w:val="00950320"/>
    <w:rsid w:val="00955BE7"/>
    <w:rsid w:val="00961572"/>
    <w:rsid w:val="0096555D"/>
    <w:rsid w:val="00965997"/>
    <w:rsid w:val="009667CD"/>
    <w:rsid w:val="00972FFF"/>
    <w:rsid w:val="009836EE"/>
    <w:rsid w:val="00984565"/>
    <w:rsid w:val="009909C5"/>
    <w:rsid w:val="00992281"/>
    <w:rsid w:val="00996E2F"/>
    <w:rsid w:val="009A32D8"/>
    <w:rsid w:val="009A54A8"/>
    <w:rsid w:val="009A5AFB"/>
    <w:rsid w:val="009A608D"/>
    <w:rsid w:val="009A6FCB"/>
    <w:rsid w:val="009B291B"/>
    <w:rsid w:val="009B2DAD"/>
    <w:rsid w:val="009B312F"/>
    <w:rsid w:val="009B485A"/>
    <w:rsid w:val="009B747A"/>
    <w:rsid w:val="009B7A61"/>
    <w:rsid w:val="009C02EC"/>
    <w:rsid w:val="009C0820"/>
    <w:rsid w:val="009C43E4"/>
    <w:rsid w:val="009C61DA"/>
    <w:rsid w:val="009D13C7"/>
    <w:rsid w:val="009D1E5C"/>
    <w:rsid w:val="009D6975"/>
    <w:rsid w:val="009D6DF1"/>
    <w:rsid w:val="009D7518"/>
    <w:rsid w:val="009D7C92"/>
    <w:rsid w:val="009D7FBC"/>
    <w:rsid w:val="009E0CF7"/>
    <w:rsid w:val="009E5488"/>
    <w:rsid w:val="009E5FB7"/>
    <w:rsid w:val="009E6059"/>
    <w:rsid w:val="009F05D8"/>
    <w:rsid w:val="00A242FB"/>
    <w:rsid w:val="00A249FA"/>
    <w:rsid w:val="00A24B3A"/>
    <w:rsid w:val="00A35EEA"/>
    <w:rsid w:val="00A37591"/>
    <w:rsid w:val="00A4327D"/>
    <w:rsid w:val="00A454D5"/>
    <w:rsid w:val="00A470F1"/>
    <w:rsid w:val="00A51E2C"/>
    <w:rsid w:val="00A51E42"/>
    <w:rsid w:val="00A55192"/>
    <w:rsid w:val="00A5695D"/>
    <w:rsid w:val="00A57FF5"/>
    <w:rsid w:val="00A60391"/>
    <w:rsid w:val="00A668E3"/>
    <w:rsid w:val="00A66A4E"/>
    <w:rsid w:val="00A74938"/>
    <w:rsid w:val="00A755F6"/>
    <w:rsid w:val="00A76BD4"/>
    <w:rsid w:val="00A77404"/>
    <w:rsid w:val="00A91033"/>
    <w:rsid w:val="00A92489"/>
    <w:rsid w:val="00A957C6"/>
    <w:rsid w:val="00AA132A"/>
    <w:rsid w:val="00AA2299"/>
    <w:rsid w:val="00AA4AB5"/>
    <w:rsid w:val="00AA512F"/>
    <w:rsid w:val="00AA52AF"/>
    <w:rsid w:val="00AA7D64"/>
    <w:rsid w:val="00AB0DBC"/>
    <w:rsid w:val="00AB11CD"/>
    <w:rsid w:val="00AB498A"/>
    <w:rsid w:val="00AC0A80"/>
    <w:rsid w:val="00AC2ABB"/>
    <w:rsid w:val="00AC371A"/>
    <w:rsid w:val="00AD1EB6"/>
    <w:rsid w:val="00AD40FE"/>
    <w:rsid w:val="00AD5AF9"/>
    <w:rsid w:val="00AD6F00"/>
    <w:rsid w:val="00AD7368"/>
    <w:rsid w:val="00AD77E4"/>
    <w:rsid w:val="00AD7DF7"/>
    <w:rsid w:val="00AE09DB"/>
    <w:rsid w:val="00AF051B"/>
    <w:rsid w:val="00AF06A8"/>
    <w:rsid w:val="00AF1354"/>
    <w:rsid w:val="00AF34DB"/>
    <w:rsid w:val="00AF3B6A"/>
    <w:rsid w:val="00B0118B"/>
    <w:rsid w:val="00B01C3A"/>
    <w:rsid w:val="00B06A8E"/>
    <w:rsid w:val="00B1560B"/>
    <w:rsid w:val="00B163E1"/>
    <w:rsid w:val="00B23A1B"/>
    <w:rsid w:val="00B2548A"/>
    <w:rsid w:val="00B25F04"/>
    <w:rsid w:val="00B26FB6"/>
    <w:rsid w:val="00B27850"/>
    <w:rsid w:val="00B30363"/>
    <w:rsid w:val="00B30B16"/>
    <w:rsid w:val="00B34DEC"/>
    <w:rsid w:val="00B434FD"/>
    <w:rsid w:val="00B435F2"/>
    <w:rsid w:val="00B4541C"/>
    <w:rsid w:val="00B459F7"/>
    <w:rsid w:val="00B460DA"/>
    <w:rsid w:val="00B46615"/>
    <w:rsid w:val="00B526A7"/>
    <w:rsid w:val="00B52C0A"/>
    <w:rsid w:val="00B539DF"/>
    <w:rsid w:val="00B606F7"/>
    <w:rsid w:val="00B61EB6"/>
    <w:rsid w:val="00B7126E"/>
    <w:rsid w:val="00B71576"/>
    <w:rsid w:val="00B74708"/>
    <w:rsid w:val="00B748B4"/>
    <w:rsid w:val="00B7521F"/>
    <w:rsid w:val="00B8044B"/>
    <w:rsid w:val="00B80751"/>
    <w:rsid w:val="00B85C3A"/>
    <w:rsid w:val="00B8654C"/>
    <w:rsid w:val="00B930A7"/>
    <w:rsid w:val="00B9720A"/>
    <w:rsid w:val="00B9770F"/>
    <w:rsid w:val="00BA06D4"/>
    <w:rsid w:val="00BA114B"/>
    <w:rsid w:val="00BA594C"/>
    <w:rsid w:val="00BB129F"/>
    <w:rsid w:val="00BB2B68"/>
    <w:rsid w:val="00BB7504"/>
    <w:rsid w:val="00BC65AA"/>
    <w:rsid w:val="00BC71AB"/>
    <w:rsid w:val="00BD20AC"/>
    <w:rsid w:val="00BD4F99"/>
    <w:rsid w:val="00BD4FF2"/>
    <w:rsid w:val="00BD6D16"/>
    <w:rsid w:val="00BD6F34"/>
    <w:rsid w:val="00BE01E7"/>
    <w:rsid w:val="00BE25A7"/>
    <w:rsid w:val="00BE29F5"/>
    <w:rsid w:val="00BE4663"/>
    <w:rsid w:val="00BF113C"/>
    <w:rsid w:val="00BF22CB"/>
    <w:rsid w:val="00BF3ADB"/>
    <w:rsid w:val="00BF6F58"/>
    <w:rsid w:val="00BF7222"/>
    <w:rsid w:val="00C03D2A"/>
    <w:rsid w:val="00C04C52"/>
    <w:rsid w:val="00C04CA5"/>
    <w:rsid w:val="00C06D9C"/>
    <w:rsid w:val="00C129A9"/>
    <w:rsid w:val="00C22843"/>
    <w:rsid w:val="00C3276F"/>
    <w:rsid w:val="00C35C3B"/>
    <w:rsid w:val="00C413E6"/>
    <w:rsid w:val="00C42E4B"/>
    <w:rsid w:val="00C4587B"/>
    <w:rsid w:val="00C45974"/>
    <w:rsid w:val="00C4726A"/>
    <w:rsid w:val="00C5190F"/>
    <w:rsid w:val="00C52A19"/>
    <w:rsid w:val="00C52F4E"/>
    <w:rsid w:val="00C5300D"/>
    <w:rsid w:val="00C61B0D"/>
    <w:rsid w:val="00C64B01"/>
    <w:rsid w:val="00C70529"/>
    <w:rsid w:val="00C71015"/>
    <w:rsid w:val="00C75A0B"/>
    <w:rsid w:val="00C91167"/>
    <w:rsid w:val="00C97672"/>
    <w:rsid w:val="00CA0E92"/>
    <w:rsid w:val="00CA1251"/>
    <w:rsid w:val="00CA319A"/>
    <w:rsid w:val="00CA6BB5"/>
    <w:rsid w:val="00CB0D66"/>
    <w:rsid w:val="00CB6CD7"/>
    <w:rsid w:val="00CB7D13"/>
    <w:rsid w:val="00CC1F5E"/>
    <w:rsid w:val="00CC2EF8"/>
    <w:rsid w:val="00CC4DF3"/>
    <w:rsid w:val="00CD287A"/>
    <w:rsid w:val="00CD3003"/>
    <w:rsid w:val="00CD313A"/>
    <w:rsid w:val="00CD464B"/>
    <w:rsid w:val="00CD4679"/>
    <w:rsid w:val="00CD7D6D"/>
    <w:rsid w:val="00CE6C1E"/>
    <w:rsid w:val="00CF4610"/>
    <w:rsid w:val="00CF4928"/>
    <w:rsid w:val="00CF7472"/>
    <w:rsid w:val="00CF7A1B"/>
    <w:rsid w:val="00D02241"/>
    <w:rsid w:val="00D0394F"/>
    <w:rsid w:val="00D044A7"/>
    <w:rsid w:val="00D05797"/>
    <w:rsid w:val="00D07004"/>
    <w:rsid w:val="00D11FBA"/>
    <w:rsid w:val="00D13B48"/>
    <w:rsid w:val="00D14591"/>
    <w:rsid w:val="00D145A1"/>
    <w:rsid w:val="00D17618"/>
    <w:rsid w:val="00D176C8"/>
    <w:rsid w:val="00D2105C"/>
    <w:rsid w:val="00D213EA"/>
    <w:rsid w:val="00D2494E"/>
    <w:rsid w:val="00D3552E"/>
    <w:rsid w:val="00D41825"/>
    <w:rsid w:val="00D44827"/>
    <w:rsid w:val="00D45706"/>
    <w:rsid w:val="00D55B8C"/>
    <w:rsid w:val="00D6410D"/>
    <w:rsid w:val="00D723DE"/>
    <w:rsid w:val="00D7658B"/>
    <w:rsid w:val="00D80005"/>
    <w:rsid w:val="00D80B85"/>
    <w:rsid w:val="00D857D4"/>
    <w:rsid w:val="00D86A9B"/>
    <w:rsid w:val="00D87955"/>
    <w:rsid w:val="00D87B66"/>
    <w:rsid w:val="00D90097"/>
    <w:rsid w:val="00DA3A23"/>
    <w:rsid w:val="00DA4559"/>
    <w:rsid w:val="00DA48E3"/>
    <w:rsid w:val="00DA748E"/>
    <w:rsid w:val="00DB0048"/>
    <w:rsid w:val="00DB0C91"/>
    <w:rsid w:val="00DB1111"/>
    <w:rsid w:val="00DB566D"/>
    <w:rsid w:val="00DB772B"/>
    <w:rsid w:val="00DC237B"/>
    <w:rsid w:val="00DD0533"/>
    <w:rsid w:val="00DD20ED"/>
    <w:rsid w:val="00DD2D1F"/>
    <w:rsid w:val="00DD7871"/>
    <w:rsid w:val="00DE59D0"/>
    <w:rsid w:val="00DE69AB"/>
    <w:rsid w:val="00DE76DC"/>
    <w:rsid w:val="00DF1AB7"/>
    <w:rsid w:val="00DF2481"/>
    <w:rsid w:val="00DF53FF"/>
    <w:rsid w:val="00DF73C7"/>
    <w:rsid w:val="00E007F6"/>
    <w:rsid w:val="00E10EBA"/>
    <w:rsid w:val="00E11B58"/>
    <w:rsid w:val="00E12160"/>
    <w:rsid w:val="00E23A04"/>
    <w:rsid w:val="00E26B48"/>
    <w:rsid w:val="00E42261"/>
    <w:rsid w:val="00E45182"/>
    <w:rsid w:val="00E50FC8"/>
    <w:rsid w:val="00E547C0"/>
    <w:rsid w:val="00E615AE"/>
    <w:rsid w:val="00E62C4D"/>
    <w:rsid w:val="00E6499F"/>
    <w:rsid w:val="00E6645F"/>
    <w:rsid w:val="00E70556"/>
    <w:rsid w:val="00E706FC"/>
    <w:rsid w:val="00E75E21"/>
    <w:rsid w:val="00E826A8"/>
    <w:rsid w:val="00E84BDB"/>
    <w:rsid w:val="00E90D6E"/>
    <w:rsid w:val="00E934E4"/>
    <w:rsid w:val="00EA710E"/>
    <w:rsid w:val="00EB24D0"/>
    <w:rsid w:val="00EB25B2"/>
    <w:rsid w:val="00EB2C13"/>
    <w:rsid w:val="00EB43C4"/>
    <w:rsid w:val="00EB6872"/>
    <w:rsid w:val="00EB7E06"/>
    <w:rsid w:val="00EC30D2"/>
    <w:rsid w:val="00EC3A0C"/>
    <w:rsid w:val="00EC50EB"/>
    <w:rsid w:val="00EC569C"/>
    <w:rsid w:val="00ED30AB"/>
    <w:rsid w:val="00EE1500"/>
    <w:rsid w:val="00EE33D6"/>
    <w:rsid w:val="00EE703D"/>
    <w:rsid w:val="00EF0B83"/>
    <w:rsid w:val="00EF293C"/>
    <w:rsid w:val="00EF30AA"/>
    <w:rsid w:val="00EF48E4"/>
    <w:rsid w:val="00EF76A9"/>
    <w:rsid w:val="00F00425"/>
    <w:rsid w:val="00F122D0"/>
    <w:rsid w:val="00F15315"/>
    <w:rsid w:val="00F16C51"/>
    <w:rsid w:val="00F16F1B"/>
    <w:rsid w:val="00F219B2"/>
    <w:rsid w:val="00F25537"/>
    <w:rsid w:val="00F3480B"/>
    <w:rsid w:val="00F35D4C"/>
    <w:rsid w:val="00F45718"/>
    <w:rsid w:val="00F649D5"/>
    <w:rsid w:val="00F72BC6"/>
    <w:rsid w:val="00F73462"/>
    <w:rsid w:val="00F85246"/>
    <w:rsid w:val="00F86871"/>
    <w:rsid w:val="00F86C0C"/>
    <w:rsid w:val="00F87817"/>
    <w:rsid w:val="00F9041F"/>
    <w:rsid w:val="00FA0660"/>
    <w:rsid w:val="00FA2269"/>
    <w:rsid w:val="00FA4D1D"/>
    <w:rsid w:val="00FA6523"/>
    <w:rsid w:val="00FA6948"/>
    <w:rsid w:val="00FB0647"/>
    <w:rsid w:val="00FB3E85"/>
    <w:rsid w:val="00FB51CA"/>
    <w:rsid w:val="00FC447C"/>
    <w:rsid w:val="00FC50D4"/>
    <w:rsid w:val="00FD345F"/>
    <w:rsid w:val="00FE016E"/>
    <w:rsid w:val="00FE0281"/>
    <w:rsid w:val="00FE6952"/>
    <w:rsid w:val="00FF5198"/>
    <w:rsid w:val="00FF547E"/>
  </w:rsids>
  <m:mathPr>
    <m:mathFont m:val="Cambria Math"/>
    <m:brkBin m:val="before"/>
    <m:brkBinSub m:val="--"/>
    <m:smallFrac m:val="0"/>
    <m:dispDef/>
    <m:lMargin m:val="0"/>
    <m:rMargin m:val="0"/>
    <m:defJc m:val="centerGroup"/>
    <m:wrapIndent m:val="1440"/>
    <m:intLim m:val="subSup"/>
    <m:naryLim m:val="undOvr"/>
  </m:mathPr>
  <w:themeFontLang w:val="pl-PL"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624DA9"/>
  <w15:chartTrackingRefBased/>
  <w15:docId w15:val="{97D7FC27-2100-46D5-87E0-AF7627F0E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sk-SK"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55EDA"/>
    <w:pPr>
      <w:ind w:right="13"/>
      <w:jc w:val="both"/>
    </w:pPr>
    <w:rPr>
      <w:rFonts w:ascii="Times New Roman" w:hAnsi="Times New Roman"/>
      <w:color w:val="000000"/>
      <w:sz w:val="22"/>
      <w:szCs w:val="22"/>
    </w:rPr>
  </w:style>
  <w:style w:type="paragraph" w:styleId="Nadpis1">
    <w:name w:val="heading 1"/>
    <w:basedOn w:val="Normlny"/>
    <w:next w:val="Normlny"/>
    <w:link w:val="Nadpis1Char"/>
    <w:uiPriority w:val="99"/>
    <w:qFormat/>
    <w:rsid w:val="008953FE"/>
    <w:pPr>
      <w:keepNext/>
      <w:keepLines/>
      <w:spacing w:after="2" w:line="254" w:lineRule="auto"/>
      <w:ind w:left="2023" w:right="0" w:hanging="10"/>
      <w:jc w:val="left"/>
      <w:outlineLvl w:val="0"/>
    </w:pPr>
    <w:rPr>
      <w:b/>
      <w:sz w:val="23"/>
    </w:rPr>
  </w:style>
  <w:style w:type="paragraph" w:styleId="Nadpis2">
    <w:name w:val="heading 2"/>
    <w:basedOn w:val="Normlny"/>
    <w:next w:val="Normlny"/>
    <w:link w:val="Nadpis2Char"/>
    <w:uiPriority w:val="99"/>
    <w:qFormat/>
    <w:rsid w:val="008953FE"/>
    <w:pPr>
      <w:keepNext/>
      <w:keepLines/>
      <w:spacing w:line="259" w:lineRule="auto"/>
      <w:ind w:left="10" w:right="0" w:hanging="10"/>
      <w:jc w:val="left"/>
      <w:outlineLvl w:val="1"/>
    </w:pPr>
    <w:rPr>
      <w:sz w:val="23"/>
      <w:u w:val="single" w:color="000000"/>
    </w:rPr>
  </w:style>
  <w:style w:type="paragraph" w:styleId="Nadpis3">
    <w:name w:val="heading 3"/>
    <w:basedOn w:val="Normlny"/>
    <w:next w:val="Normlny"/>
    <w:link w:val="Nadpis3Char"/>
    <w:uiPriority w:val="99"/>
    <w:qFormat/>
    <w:rsid w:val="00961572"/>
    <w:pPr>
      <w:keepNext/>
      <w:keepLines/>
      <w:tabs>
        <w:tab w:val="center" w:pos="3999"/>
      </w:tabs>
      <w:ind w:right="0"/>
      <w:jc w:val="left"/>
      <w:outlineLvl w:val="2"/>
    </w:pPr>
    <w:rPr>
      <w:b/>
      <w:u w:color="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8953FE"/>
    <w:rPr>
      <w:rFonts w:ascii="Times New Roman" w:hAnsi="Times New Roman" w:cs="Times New Roman"/>
      <w:b/>
      <w:color w:val="000000"/>
      <w:sz w:val="22"/>
    </w:rPr>
  </w:style>
  <w:style w:type="character" w:customStyle="1" w:styleId="Nadpis2Char">
    <w:name w:val="Nadpis 2 Char"/>
    <w:link w:val="Nadpis2"/>
    <w:uiPriority w:val="99"/>
    <w:locked/>
    <w:rsid w:val="008953FE"/>
    <w:rPr>
      <w:rFonts w:ascii="Times New Roman" w:hAnsi="Times New Roman" w:cs="Times New Roman"/>
      <w:color w:val="000000"/>
      <w:sz w:val="22"/>
      <w:u w:val="single" w:color="000000"/>
    </w:rPr>
  </w:style>
  <w:style w:type="character" w:customStyle="1" w:styleId="Nadpis3Char">
    <w:name w:val="Nadpis 3 Char"/>
    <w:link w:val="Nadpis3"/>
    <w:uiPriority w:val="99"/>
    <w:locked/>
    <w:rsid w:val="00961572"/>
    <w:rPr>
      <w:rFonts w:ascii="Times New Roman" w:hAnsi="Times New Roman" w:cs="Times New Roman"/>
      <w:b/>
      <w:color w:val="000000"/>
      <w:sz w:val="22"/>
      <w:u w:color="000000"/>
      <w:lang w:val="sk-SK"/>
    </w:rPr>
  </w:style>
  <w:style w:type="table" w:customStyle="1" w:styleId="TableGrid">
    <w:name w:val="TableGrid"/>
    <w:uiPriority w:val="99"/>
    <w:rsid w:val="008953FE"/>
    <w:rPr>
      <w:sz w:val="22"/>
      <w:szCs w:val="22"/>
    </w:rPr>
    <w:tblPr>
      <w:tblCellMar>
        <w:top w:w="0" w:type="dxa"/>
        <w:left w:w="0" w:type="dxa"/>
        <w:bottom w:w="0" w:type="dxa"/>
        <w:right w:w="0" w:type="dxa"/>
      </w:tblCellMar>
    </w:tblPr>
  </w:style>
  <w:style w:type="paragraph" w:styleId="Hlavika">
    <w:name w:val="header"/>
    <w:basedOn w:val="Normlny"/>
    <w:link w:val="HlavikaChar"/>
    <w:uiPriority w:val="99"/>
    <w:rsid w:val="00255EDA"/>
    <w:pPr>
      <w:tabs>
        <w:tab w:val="center" w:pos="4536"/>
        <w:tab w:val="right" w:pos="9072"/>
      </w:tabs>
    </w:pPr>
  </w:style>
  <w:style w:type="character" w:customStyle="1" w:styleId="HlavikaChar">
    <w:name w:val="Hlavička Char"/>
    <w:link w:val="Hlavika"/>
    <w:uiPriority w:val="99"/>
    <w:locked/>
    <w:rsid w:val="00255EDA"/>
    <w:rPr>
      <w:rFonts w:ascii="Times New Roman" w:hAnsi="Times New Roman" w:cs="Times New Roman"/>
      <w:color w:val="000000"/>
      <w:sz w:val="23"/>
    </w:rPr>
  </w:style>
  <w:style w:type="paragraph" w:styleId="Pta">
    <w:name w:val="footer"/>
    <w:basedOn w:val="Normlny"/>
    <w:link w:val="PtaChar"/>
    <w:uiPriority w:val="99"/>
    <w:rsid w:val="001550C3"/>
    <w:pPr>
      <w:tabs>
        <w:tab w:val="center" w:pos="4536"/>
        <w:tab w:val="right" w:pos="9072"/>
      </w:tabs>
    </w:pPr>
  </w:style>
  <w:style w:type="character" w:customStyle="1" w:styleId="PtaChar">
    <w:name w:val="Päta Char"/>
    <w:link w:val="Pta"/>
    <w:uiPriority w:val="99"/>
    <w:locked/>
    <w:rsid w:val="001550C3"/>
    <w:rPr>
      <w:rFonts w:ascii="Times New Roman" w:hAnsi="Times New Roman" w:cs="Times New Roman"/>
      <w:color w:val="000000"/>
      <w:lang w:val="sk-SK"/>
    </w:rPr>
  </w:style>
  <w:style w:type="paragraph" w:customStyle="1" w:styleId="Default">
    <w:name w:val="Default"/>
    <w:rsid w:val="00CA1251"/>
    <w:pPr>
      <w:autoSpaceDE w:val="0"/>
      <w:autoSpaceDN w:val="0"/>
      <w:adjustRightInd w:val="0"/>
    </w:pPr>
    <w:rPr>
      <w:rFonts w:ascii="Times New Roman" w:hAnsi="Times New Roman"/>
      <w:color w:val="000000"/>
      <w:sz w:val="24"/>
      <w:szCs w:val="24"/>
    </w:rPr>
  </w:style>
  <w:style w:type="paragraph" w:styleId="Textbubliny">
    <w:name w:val="Balloon Text"/>
    <w:basedOn w:val="Normlny"/>
    <w:link w:val="TextbublinyChar"/>
    <w:uiPriority w:val="99"/>
    <w:semiHidden/>
    <w:rsid w:val="00A668E3"/>
    <w:rPr>
      <w:rFonts w:ascii="Tahoma" w:hAnsi="Tahoma" w:cs="Tahoma"/>
      <w:sz w:val="16"/>
      <w:szCs w:val="16"/>
    </w:rPr>
  </w:style>
  <w:style w:type="character" w:customStyle="1" w:styleId="TextbublinyChar">
    <w:name w:val="Text bubliny Char"/>
    <w:link w:val="Textbubliny"/>
    <w:uiPriority w:val="99"/>
    <w:semiHidden/>
    <w:locked/>
    <w:rsid w:val="00A668E3"/>
    <w:rPr>
      <w:rFonts w:ascii="Tahoma" w:hAnsi="Tahoma" w:cs="Tahoma"/>
      <w:color w:val="000000"/>
      <w:sz w:val="16"/>
      <w:szCs w:val="16"/>
      <w:lang w:val="sk-SK"/>
    </w:rPr>
  </w:style>
  <w:style w:type="character" w:styleId="Odkaznakomentr">
    <w:name w:val="annotation reference"/>
    <w:uiPriority w:val="99"/>
    <w:semiHidden/>
    <w:rsid w:val="00607215"/>
    <w:rPr>
      <w:rFonts w:cs="Times New Roman"/>
      <w:sz w:val="16"/>
      <w:szCs w:val="16"/>
    </w:rPr>
  </w:style>
  <w:style w:type="paragraph" w:styleId="Textkomentra">
    <w:name w:val="annotation text"/>
    <w:basedOn w:val="Normlny"/>
    <w:link w:val="TextkomentraChar"/>
    <w:uiPriority w:val="99"/>
    <w:semiHidden/>
    <w:rsid w:val="00607215"/>
    <w:rPr>
      <w:sz w:val="20"/>
      <w:szCs w:val="20"/>
    </w:rPr>
  </w:style>
  <w:style w:type="character" w:customStyle="1" w:styleId="TextkomentraChar">
    <w:name w:val="Text komentára Char"/>
    <w:link w:val="Textkomentra"/>
    <w:uiPriority w:val="99"/>
    <w:semiHidden/>
    <w:locked/>
    <w:rsid w:val="00607215"/>
    <w:rPr>
      <w:rFonts w:ascii="Times New Roman" w:hAnsi="Times New Roman" w:cs="Times New Roman"/>
      <w:color w:val="000000"/>
      <w:sz w:val="20"/>
      <w:szCs w:val="20"/>
      <w:lang w:val="sk-SK"/>
    </w:rPr>
  </w:style>
  <w:style w:type="paragraph" w:styleId="Predmetkomentra">
    <w:name w:val="annotation subject"/>
    <w:basedOn w:val="Textkomentra"/>
    <w:next w:val="Textkomentra"/>
    <w:link w:val="PredmetkomentraChar"/>
    <w:uiPriority w:val="99"/>
    <w:semiHidden/>
    <w:rsid w:val="00607215"/>
    <w:rPr>
      <w:b/>
      <w:bCs/>
    </w:rPr>
  </w:style>
  <w:style w:type="character" w:customStyle="1" w:styleId="PredmetkomentraChar">
    <w:name w:val="Predmet komentára Char"/>
    <w:link w:val="Predmetkomentra"/>
    <w:uiPriority w:val="99"/>
    <w:semiHidden/>
    <w:locked/>
    <w:rsid w:val="00607215"/>
    <w:rPr>
      <w:rFonts w:ascii="Times New Roman" w:hAnsi="Times New Roman" w:cs="Times New Roman"/>
      <w:b/>
      <w:bCs/>
      <w:color w:val="000000"/>
      <w:sz w:val="20"/>
      <w:szCs w:val="20"/>
      <w:lang w:val="sk-SK"/>
    </w:rPr>
  </w:style>
  <w:style w:type="paragraph" w:styleId="Odsekzoznamu">
    <w:name w:val="List Paragraph"/>
    <w:basedOn w:val="Normlny"/>
    <w:uiPriority w:val="99"/>
    <w:qFormat/>
    <w:rsid w:val="00302143"/>
    <w:pPr>
      <w:widowControl w:val="0"/>
      <w:ind w:right="0"/>
      <w:jc w:val="left"/>
    </w:pPr>
    <w:rPr>
      <w:rFonts w:ascii="Calibri" w:hAnsi="Calibri"/>
      <w:color w:val="auto"/>
      <w:lang w:eastAsia="en-US"/>
    </w:rPr>
  </w:style>
  <w:style w:type="paragraph" w:styleId="Normlnywebov">
    <w:name w:val="Normal (Web)"/>
    <w:basedOn w:val="Normlny"/>
    <w:uiPriority w:val="99"/>
    <w:rsid w:val="0066655E"/>
    <w:pPr>
      <w:spacing w:before="100" w:beforeAutospacing="1" w:after="100" w:afterAutospacing="1"/>
      <w:ind w:right="0"/>
      <w:jc w:val="left"/>
    </w:pPr>
    <w:rPr>
      <w:color w:val="auto"/>
      <w:sz w:val="24"/>
      <w:szCs w:val="24"/>
    </w:rPr>
  </w:style>
  <w:style w:type="table" w:styleId="Mriekatabuky">
    <w:name w:val="Table Grid"/>
    <w:basedOn w:val="Normlnatabuka"/>
    <w:locked/>
    <w:rsid w:val="0021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byajntabuka5">
    <w:name w:val="Plain Table 5"/>
    <w:basedOn w:val="Normlnatabuka"/>
    <w:uiPriority w:val="45"/>
    <w:rsid w:val="00726596"/>
    <w:tblPr>
      <w:tblStyleRowBandSize w:val="1"/>
      <w:tblStyleColBandSize w:val="1"/>
    </w:tblPr>
    <w:tblStylePr w:type="firstRow">
      <w:rPr>
        <w:rFonts w:ascii="Calibri Light" w:eastAsia="Segoe UI Emoji" w:hAnsi="Calibri Light" w:cs="Times New Roman"/>
        <w:i/>
        <w:iCs/>
        <w:sz w:val="26"/>
      </w:rPr>
      <w:tblPr/>
      <w:tcPr>
        <w:tcBorders>
          <w:bottom w:val="single" w:sz="4" w:space="0" w:color="7F7F7F"/>
        </w:tcBorders>
        <w:shd w:val="clear" w:color="auto" w:fill="FFFFFF"/>
      </w:tcPr>
    </w:tblStylePr>
    <w:tblStylePr w:type="lastRow">
      <w:rPr>
        <w:rFonts w:ascii="Calibri Light" w:eastAsia="Segoe UI Emoji"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Segoe UI Emoji" w:hAnsi="Calibri Light" w:cs="Times New Roman"/>
        <w:i/>
        <w:iCs/>
        <w:sz w:val="26"/>
      </w:rPr>
      <w:tblPr/>
      <w:tcPr>
        <w:tcBorders>
          <w:right w:val="single" w:sz="4" w:space="0" w:color="7F7F7F"/>
        </w:tcBorders>
        <w:shd w:val="clear" w:color="auto" w:fill="FFFFFF"/>
      </w:tcPr>
    </w:tblStylePr>
    <w:tblStylePr w:type="lastCol">
      <w:rPr>
        <w:rFonts w:ascii="Calibri Light" w:eastAsia="Segoe UI Emoji"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Style8">
    <w:name w:val="Style8"/>
    <w:basedOn w:val="Normlny"/>
    <w:uiPriority w:val="99"/>
    <w:rsid w:val="00093C91"/>
    <w:pPr>
      <w:widowControl w:val="0"/>
      <w:autoSpaceDE w:val="0"/>
      <w:autoSpaceDN w:val="0"/>
      <w:adjustRightInd w:val="0"/>
      <w:spacing w:line="250" w:lineRule="exact"/>
      <w:ind w:right="0"/>
    </w:pPr>
    <w:rPr>
      <w:color w:val="auto"/>
      <w:sz w:val="24"/>
      <w:szCs w:val="24"/>
      <w:lang w:val="es-ES" w:eastAsia="es-ES"/>
    </w:rPr>
  </w:style>
  <w:style w:type="character" w:customStyle="1" w:styleId="FontStyle34">
    <w:name w:val="Font Style34"/>
    <w:uiPriority w:val="99"/>
    <w:rsid w:val="00093C91"/>
    <w:rPr>
      <w:rFonts w:ascii="Times New Roman" w:hAnsi="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052638">
      <w:marLeft w:val="0"/>
      <w:marRight w:val="0"/>
      <w:marTop w:val="0"/>
      <w:marBottom w:val="0"/>
      <w:divBdr>
        <w:top w:val="none" w:sz="0" w:space="0" w:color="auto"/>
        <w:left w:val="none" w:sz="0" w:space="0" w:color="auto"/>
        <w:bottom w:val="none" w:sz="0" w:space="0" w:color="auto"/>
        <w:right w:val="none" w:sz="0" w:space="0" w:color="auto"/>
      </w:divBdr>
    </w:div>
    <w:div w:id="1038968257">
      <w:bodyDiv w:val="1"/>
      <w:marLeft w:val="0"/>
      <w:marRight w:val="0"/>
      <w:marTop w:val="0"/>
      <w:marBottom w:val="0"/>
      <w:divBdr>
        <w:top w:val="none" w:sz="0" w:space="0" w:color="auto"/>
        <w:left w:val="none" w:sz="0" w:space="0" w:color="auto"/>
        <w:bottom w:val="none" w:sz="0" w:space="0" w:color="auto"/>
        <w:right w:val="none" w:sz="0" w:space="0" w:color="auto"/>
      </w:divBdr>
    </w:div>
    <w:div w:id="1312709668">
      <w:bodyDiv w:val="1"/>
      <w:marLeft w:val="0"/>
      <w:marRight w:val="0"/>
      <w:marTop w:val="0"/>
      <w:marBottom w:val="0"/>
      <w:divBdr>
        <w:top w:val="none" w:sz="0" w:space="0" w:color="auto"/>
        <w:left w:val="none" w:sz="0" w:space="0" w:color="auto"/>
        <w:bottom w:val="none" w:sz="0" w:space="0" w:color="auto"/>
        <w:right w:val="none" w:sz="0" w:space="0" w:color="auto"/>
      </w:divBdr>
    </w:div>
    <w:div w:id="134783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27</Pages>
  <Words>10526</Words>
  <Characters>60004</Characters>
  <Application>Microsoft Office Word</Application>
  <DocSecurity>0</DocSecurity>
  <Lines>500</Lines>
  <Paragraphs>140</Paragraphs>
  <ScaleCrop>false</ScaleCrop>
  <HeadingPairs>
    <vt:vector size="4" baseType="variant">
      <vt:variant>
        <vt:lpstr>Názov</vt:lpstr>
      </vt:variant>
      <vt:variant>
        <vt:i4>1</vt:i4>
      </vt:variant>
      <vt:variant>
        <vt:lpstr>Tytuł</vt:lpstr>
      </vt:variant>
      <vt:variant>
        <vt:i4>1</vt:i4>
      </vt:variant>
    </vt:vector>
  </HeadingPairs>
  <TitlesOfParts>
    <vt:vector size="2" baseType="lpstr">
      <vt:lpstr>SUMMARY OF PRODUCT CHARACTERISTICS</vt:lpstr>
      <vt:lpstr>SUMMARY OF PRODUCT CHARACTERISTICS</vt:lpstr>
    </vt:vector>
  </TitlesOfParts>
  <Company>UCB Pharma</Company>
  <LinksUpToDate>false</LinksUpToDate>
  <CharactersWithSpaces>70390</CharactersWithSpaces>
  <SharedDoc>false</SharedDoc>
  <HLinks>
    <vt:vector size="12" baseType="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PRODUCT CHARACTERISTICS</dc:title>
  <dc:subject/>
  <dc:creator>SYSTEM</dc:creator>
  <cp:keywords/>
  <dc:description/>
  <cp:lastModifiedBy>Grančaiová, Zuzana</cp:lastModifiedBy>
  <cp:revision>24</cp:revision>
  <cp:lastPrinted>2017-05-09T15:05:00Z</cp:lastPrinted>
  <dcterms:created xsi:type="dcterms:W3CDTF">2019-06-20T11:52:00Z</dcterms:created>
  <dcterms:modified xsi:type="dcterms:W3CDTF">2020-08-24T06:38:00Z</dcterms:modified>
</cp:coreProperties>
</file>