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17" w:rsidRDefault="00B1758A">
      <w:pPr>
        <w:jc w:val="center"/>
        <w:rPr>
          <w:b/>
          <w:lang w:val="sk-SK"/>
        </w:rPr>
      </w:pPr>
      <w:r>
        <w:rPr>
          <w:b/>
          <w:lang w:val="sk-SK"/>
        </w:rPr>
        <w:t>SÚHRN CHARAKTERISTICKÝCH VLASTNOSTÍ LIEKU</w:t>
      </w:r>
    </w:p>
    <w:p w:rsidR="00D41417" w:rsidRDefault="00B1758A">
      <w:pPr>
        <w:spacing w:after="0" w:line="240" w:lineRule="auto"/>
        <w:ind w:left="0" w:right="0" w:firstLine="0"/>
        <w:contextualSpacing/>
        <w:rPr>
          <w:lang w:val="sk-SK"/>
        </w:rPr>
      </w:pPr>
      <w:r>
        <w:rPr>
          <w:lang w:val="sk-SK"/>
        </w:rPr>
        <w:t xml:space="preserve"> </w:t>
      </w:r>
    </w:p>
    <w:p w:rsidR="00D41417" w:rsidRDefault="00D41417">
      <w:pPr>
        <w:spacing w:after="0" w:line="240" w:lineRule="auto"/>
        <w:ind w:left="0" w:right="0" w:firstLine="0"/>
        <w:contextualSpacing/>
        <w:rPr>
          <w:lang w:val="sk-SK"/>
        </w:rPr>
      </w:pPr>
    </w:p>
    <w:p w:rsidR="00D41417" w:rsidRDefault="00B1758A">
      <w:pPr>
        <w:pStyle w:val="Nadpis1"/>
        <w:tabs>
          <w:tab w:val="center" w:pos="1359"/>
        </w:tabs>
        <w:spacing w:after="0" w:line="240" w:lineRule="auto"/>
        <w:ind w:left="0" w:right="1221" w:firstLine="0"/>
        <w:contextualSpacing/>
        <w:rPr>
          <w:lang w:val="sk-SK"/>
        </w:rPr>
      </w:pPr>
      <w:r>
        <w:rPr>
          <w:lang w:val="sk-SK"/>
        </w:rPr>
        <w:t xml:space="preserve">1. </w:t>
      </w:r>
      <w:r>
        <w:rPr>
          <w:lang w:val="sk-SK"/>
        </w:rPr>
        <w:tab/>
        <w:t>NÁZOV LIEKU</w:t>
      </w:r>
    </w:p>
    <w:p w:rsidR="00D41417" w:rsidRDefault="00B1758A">
      <w:pPr>
        <w:spacing w:after="0" w:line="240" w:lineRule="auto"/>
        <w:ind w:left="0" w:right="0" w:firstLine="0"/>
        <w:contextualSpacing/>
        <w:rPr>
          <w:lang w:val="sk-SK"/>
        </w:rPr>
      </w:pPr>
      <w:r>
        <w:rPr>
          <w:lang w:val="sk-SK"/>
        </w:rPr>
        <w:t xml:space="preserve"> </w:t>
      </w:r>
    </w:p>
    <w:p w:rsidR="00D41417" w:rsidRDefault="00151E44">
      <w:pPr>
        <w:spacing w:after="0" w:line="240" w:lineRule="auto"/>
        <w:ind w:left="0" w:right="0" w:hanging="10"/>
        <w:contextualSpacing/>
        <w:rPr>
          <w:lang w:val="sk-SK"/>
        </w:rPr>
      </w:pPr>
      <w:proofErr w:type="spellStart"/>
      <w:r>
        <w:rPr>
          <w:lang w:val="sk-SK"/>
        </w:rPr>
        <w:t>Segosana</w:t>
      </w:r>
      <w:proofErr w:type="spellEnd"/>
      <w:r w:rsidR="00B1758A">
        <w:rPr>
          <w:lang w:val="sk-SK"/>
        </w:rPr>
        <w:t xml:space="preserve"> 30 mg </w:t>
      </w:r>
    </w:p>
    <w:p w:rsidR="00D41417" w:rsidRPr="00151E44" w:rsidRDefault="00151E44">
      <w:pPr>
        <w:spacing w:after="0" w:line="240" w:lineRule="auto"/>
        <w:ind w:left="0" w:right="0" w:hanging="10"/>
        <w:contextualSpacing/>
        <w:rPr>
          <w:highlight w:val="lightGray"/>
          <w:lang w:val="sk-SK"/>
        </w:rPr>
      </w:pPr>
      <w:proofErr w:type="spellStart"/>
      <w:r w:rsidRPr="00ED60B4">
        <w:rPr>
          <w:highlight w:val="lightGray"/>
          <w:lang w:val="sk-SK"/>
        </w:rPr>
        <w:t>Segosana</w:t>
      </w:r>
      <w:proofErr w:type="spellEnd"/>
      <w:r w:rsidR="00B1758A" w:rsidRPr="00151E44">
        <w:rPr>
          <w:highlight w:val="lightGray"/>
          <w:lang w:val="sk-SK"/>
        </w:rPr>
        <w:t xml:space="preserve"> 45 mg </w:t>
      </w:r>
    </w:p>
    <w:p w:rsidR="00151E44" w:rsidRDefault="00151E44">
      <w:pPr>
        <w:spacing w:after="0" w:line="240" w:lineRule="auto"/>
        <w:ind w:left="0" w:right="0" w:hanging="10"/>
        <w:contextualSpacing/>
        <w:rPr>
          <w:highlight w:val="lightGray"/>
          <w:lang w:val="sk-SK"/>
        </w:rPr>
      </w:pPr>
      <w:proofErr w:type="spellStart"/>
      <w:r w:rsidRPr="00ED60B4">
        <w:rPr>
          <w:highlight w:val="lightGray"/>
          <w:lang w:val="sk-SK"/>
        </w:rPr>
        <w:t>Segosana</w:t>
      </w:r>
      <w:proofErr w:type="spellEnd"/>
      <w:r w:rsidR="004B50EC">
        <w:rPr>
          <w:highlight w:val="lightGray"/>
          <w:lang w:val="sk-SK"/>
        </w:rPr>
        <w:t xml:space="preserve"> </w:t>
      </w:r>
      <w:r w:rsidR="00B1758A">
        <w:rPr>
          <w:highlight w:val="lightGray"/>
          <w:lang w:val="sk-SK"/>
        </w:rPr>
        <w:t xml:space="preserve">75 mg </w:t>
      </w:r>
    </w:p>
    <w:p w:rsidR="00D41417" w:rsidRDefault="00B1758A">
      <w:pPr>
        <w:spacing w:after="0" w:line="240" w:lineRule="auto"/>
        <w:ind w:left="0" w:right="0" w:hanging="10"/>
        <w:contextualSpacing/>
        <w:rPr>
          <w:lang w:val="sk-SK"/>
        </w:rPr>
      </w:pPr>
      <w:r w:rsidRPr="00ED60B4">
        <w:rPr>
          <w:lang w:val="sk-SK"/>
        </w:rPr>
        <w:t>tvrdé kapsuly</w:t>
      </w: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3118"/>
        </w:tabs>
        <w:spacing w:after="0" w:line="240" w:lineRule="auto"/>
        <w:ind w:left="0" w:right="1221" w:firstLine="0"/>
        <w:contextualSpacing/>
        <w:rPr>
          <w:lang w:val="sk-SK"/>
        </w:rPr>
      </w:pPr>
      <w:r>
        <w:rPr>
          <w:lang w:val="sk-SK"/>
        </w:rPr>
        <w:t xml:space="preserve">2. </w:t>
      </w:r>
      <w:r>
        <w:rPr>
          <w:lang w:val="sk-SK"/>
        </w:rPr>
        <w:tab/>
        <w:t>KVALITATÍVNE A KVANTITATÍVNE ZLOŽENIE</w:t>
      </w:r>
    </w:p>
    <w:p w:rsidR="00D41417" w:rsidRDefault="00B1758A">
      <w:pPr>
        <w:spacing w:after="0" w:line="240" w:lineRule="auto"/>
        <w:ind w:left="0" w:right="0" w:firstLine="0"/>
        <w:contextualSpacing/>
        <w:rPr>
          <w:lang w:val="sk-SK"/>
        </w:rPr>
      </w:pPr>
      <w:r>
        <w:rPr>
          <w:lang w:val="sk-SK"/>
        </w:rPr>
        <w:t xml:space="preserve"> </w:t>
      </w:r>
    </w:p>
    <w:p w:rsidR="00D41417" w:rsidRDefault="00151E44">
      <w:pPr>
        <w:spacing w:after="0" w:line="240" w:lineRule="auto"/>
        <w:ind w:left="0" w:right="0" w:hanging="10"/>
        <w:contextualSpacing/>
        <w:rPr>
          <w:u w:val="single" w:color="000000"/>
          <w:lang w:val="sk-SK"/>
        </w:rPr>
      </w:pPr>
      <w:proofErr w:type="spellStart"/>
      <w:r>
        <w:rPr>
          <w:u w:val="single" w:color="000000"/>
          <w:lang w:val="sk-SK"/>
        </w:rPr>
        <w:t>Segosana</w:t>
      </w:r>
      <w:proofErr w:type="spellEnd"/>
      <w:r w:rsidR="00B1758A">
        <w:rPr>
          <w:u w:val="single" w:color="000000"/>
          <w:lang w:val="sk-SK"/>
        </w:rPr>
        <w:t xml:space="preserve"> 30 mg </w:t>
      </w:r>
    </w:p>
    <w:p w:rsidR="00D41417" w:rsidRDefault="00B1758A">
      <w:pPr>
        <w:spacing w:after="0" w:line="240" w:lineRule="auto"/>
        <w:ind w:left="0" w:right="0" w:hanging="10"/>
        <w:contextualSpacing/>
        <w:rPr>
          <w:lang w:val="sk-SK"/>
        </w:rPr>
      </w:pPr>
      <w:r>
        <w:rPr>
          <w:lang w:val="sk-SK"/>
        </w:rPr>
        <w:t xml:space="preserve">Každá tvrdá kapsula obsahuje </w:t>
      </w:r>
      <w:proofErr w:type="spellStart"/>
      <w:r>
        <w:rPr>
          <w:lang w:val="sk-SK"/>
        </w:rPr>
        <w:t>oseltamivírium</w:t>
      </w:r>
      <w:proofErr w:type="spellEnd"/>
      <w:r>
        <w:rPr>
          <w:lang w:val="sk-SK"/>
        </w:rPr>
        <w:t>-fosfát</w:t>
      </w:r>
      <w:r w:rsidR="00440E5E">
        <w:rPr>
          <w:lang w:val="sk-SK"/>
        </w:rPr>
        <w:t>,</w:t>
      </w:r>
      <w:r>
        <w:rPr>
          <w:lang w:val="sk-SK"/>
        </w:rPr>
        <w:t xml:space="preserve"> čo zodpovedá 30 mg </w:t>
      </w:r>
      <w:proofErr w:type="spellStart"/>
      <w:r>
        <w:rPr>
          <w:lang w:val="sk-SK"/>
        </w:rPr>
        <w:t>oseltamiviru</w:t>
      </w:r>
      <w:proofErr w:type="spellEnd"/>
      <w:r>
        <w:rPr>
          <w:lang w:val="sk-SK"/>
        </w:rPr>
        <w:t>.</w:t>
      </w:r>
    </w:p>
    <w:p w:rsidR="00D41417" w:rsidRDefault="00B1758A">
      <w:pPr>
        <w:spacing w:after="0" w:line="240" w:lineRule="auto"/>
        <w:ind w:left="0" w:right="0" w:firstLine="0"/>
        <w:contextualSpacing/>
        <w:rPr>
          <w:lang w:val="sk-SK"/>
        </w:rPr>
      </w:pPr>
      <w:r>
        <w:rPr>
          <w:lang w:val="sk-SK"/>
        </w:rPr>
        <w:t xml:space="preserve"> </w:t>
      </w:r>
    </w:p>
    <w:p w:rsidR="00D41417" w:rsidRDefault="00151E44">
      <w:pPr>
        <w:spacing w:after="0" w:line="240" w:lineRule="auto"/>
        <w:ind w:left="0" w:right="0"/>
        <w:contextualSpacing/>
        <w:rPr>
          <w:highlight w:val="lightGray"/>
          <w:u w:val="single" w:color="000000"/>
          <w:lang w:val="sk-SK"/>
        </w:rPr>
      </w:pPr>
      <w:proofErr w:type="spellStart"/>
      <w:r>
        <w:rPr>
          <w:highlight w:val="lightGray"/>
          <w:u w:val="single" w:color="000000"/>
          <w:lang w:val="sk-SK"/>
        </w:rPr>
        <w:t>Segosana</w:t>
      </w:r>
      <w:proofErr w:type="spellEnd"/>
      <w:r>
        <w:rPr>
          <w:highlight w:val="lightGray"/>
          <w:u w:val="single" w:color="000000"/>
          <w:lang w:val="sk-SK"/>
        </w:rPr>
        <w:t xml:space="preserve"> </w:t>
      </w:r>
      <w:r w:rsidR="00B1758A">
        <w:rPr>
          <w:highlight w:val="lightGray"/>
          <w:u w:val="single" w:color="000000"/>
          <w:lang w:val="sk-SK"/>
        </w:rPr>
        <w:t xml:space="preserve">45 mg </w:t>
      </w:r>
    </w:p>
    <w:p w:rsidR="00D41417" w:rsidRDefault="00B1758A">
      <w:pPr>
        <w:spacing w:after="0" w:line="240" w:lineRule="auto"/>
        <w:ind w:left="0" w:right="0"/>
        <w:contextualSpacing/>
        <w:rPr>
          <w:highlight w:val="lightGray"/>
          <w:lang w:val="sk-SK"/>
        </w:rPr>
      </w:pPr>
      <w:r>
        <w:rPr>
          <w:highlight w:val="lightGray"/>
          <w:lang w:val="sk-SK"/>
        </w:rPr>
        <w:t xml:space="preserve">Každá tvrdá kapsula obsahuje </w:t>
      </w:r>
      <w:proofErr w:type="spellStart"/>
      <w:r>
        <w:rPr>
          <w:highlight w:val="lightGray"/>
          <w:lang w:val="sk-SK"/>
        </w:rPr>
        <w:t>oseltamivírium</w:t>
      </w:r>
      <w:proofErr w:type="spellEnd"/>
      <w:r>
        <w:rPr>
          <w:highlight w:val="lightGray"/>
          <w:lang w:val="sk-SK"/>
        </w:rPr>
        <w:t>-fosfát</w:t>
      </w:r>
      <w:r w:rsidR="00440E5E">
        <w:rPr>
          <w:highlight w:val="lightGray"/>
          <w:lang w:val="sk-SK"/>
        </w:rPr>
        <w:t>,</w:t>
      </w:r>
      <w:r>
        <w:rPr>
          <w:highlight w:val="lightGray"/>
          <w:lang w:val="sk-SK"/>
        </w:rPr>
        <w:t xml:space="preserve"> čo zodpovedá 45 mg </w:t>
      </w:r>
      <w:proofErr w:type="spellStart"/>
      <w:r>
        <w:rPr>
          <w:highlight w:val="lightGray"/>
          <w:lang w:val="sk-SK"/>
        </w:rPr>
        <w:t>oseltamiviru</w:t>
      </w:r>
      <w:proofErr w:type="spellEnd"/>
      <w:r>
        <w:rPr>
          <w:highlight w:val="lightGray"/>
          <w:lang w:val="sk-SK"/>
        </w:rPr>
        <w:t>.</w:t>
      </w:r>
    </w:p>
    <w:p w:rsidR="00D41417" w:rsidRDefault="00B1758A">
      <w:pPr>
        <w:spacing w:after="0" w:line="240" w:lineRule="auto"/>
        <w:ind w:left="0" w:right="0" w:firstLine="0"/>
        <w:contextualSpacing/>
        <w:rPr>
          <w:highlight w:val="lightGray"/>
          <w:lang w:val="sk-SK"/>
        </w:rPr>
      </w:pPr>
      <w:r>
        <w:rPr>
          <w:highlight w:val="lightGray"/>
          <w:lang w:val="sk-SK"/>
        </w:rPr>
        <w:t xml:space="preserve"> </w:t>
      </w:r>
    </w:p>
    <w:p w:rsidR="00D41417" w:rsidRDefault="00151E44">
      <w:pPr>
        <w:spacing w:after="0" w:line="240" w:lineRule="auto"/>
        <w:ind w:left="0" w:right="0"/>
        <w:contextualSpacing/>
        <w:rPr>
          <w:highlight w:val="lightGray"/>
          <w:u w:val="single" w:color="000000"/>
          <w:lang w:val="sk-SK"/>
        </w:rPr>
      </w:pPr>
      <w:proofErr w:type="spellStart"/>
      <w:r>
        <w:rPr>
          <w:highlight w:val="lightGray"/>
          <w:u w:val="single" w:color="000000"/>
          <w:lang w:val="sk-SK"/>
        </w:rPr>
        <w:t>Segosana</w:t>
      </w:r>
      <w:proofErr w:type="spellEnd"/>
      <w:r>
        <w:rPr>
          <w:highlight w:val="lightGray"/>
          <w:u w:val="single" w:color="000000"/>
          <w:lang w:val="sk-SK"/>
        </w:rPr>
        <w:t xml:space="preserve"> </w:t>
      </w:r>
      <w:r w:rsidR="00B1758A">
        <w:rPr>
          <w:highlight w:val="lightGray"/>
          <w:u w:val="single" w:color="000000"/>
          <w:lang w:val="sk-SK"/>
        </w:rPr>
        <w:t xml:space="preserve">75 mg </w:t>
      </w:r>
    </w:p>
    <w:p w:rsidR="00D41417" w:rsidRDefault="00B1758A">
      <w:pPr>
        <w:spacing w:after="0" w:line="240" w:lineRule="auto"/>
        <w:ind w:left="0" w:right="0"/>
        <w:contextualSpacing/>
        <w:rPr>
          <w:lang w:val="sk-SK"/>
        </w:rPr>
      </w:pPr>
      <w:r>
        <w:rPr>
          <w:highlight w:val="lightGray"/>
          <w:lang w:val="sk-SK"/>
        </w:rPr>
        <w:t xml:space="preserve">Každá tvrdá kapsula obsahuje </w:t>
      </w:r>
      <w:proofErr w:type="spellStart"/>
      <w:r>
        <w:rPr>
          <w:highlight w:val="lightGray"/>
          <w:lang w:val="sk-SK"/>
        </w:rPr>
        <w:t>oseltamivírium</w:t>
      </w:r>
      <w:proofErr w:type="spellEnd"/>
      <w:r>
        <w:rPr>
          <w:highlight w:val="lightGray"/>
          <w:lang w:val="sk-SK"/>
        </w:rPr>
        <w:t>-fosfát</w:t>
      </w:r>
      <w:r w:rsidR="00440E5E">
        <w:rPr>
          <w:highlight w:val="lightGray"/>
          <w:lang w:val="sk-SK"/>
        </w:rPr>
        <w:t>,</w:t>
      </w:r>
      <w:r>
        <w:rPr>
          <w:highlight w:val="lightGray"/>
          <w:lang w:val="sk-SK"/>
        </w:rPr>
        <w:t xml:space="preserve"> čo zodpovedá 75 mg </w:t>
      </w:r>
      <w:proofErr w:type="spellStart"/>
      <w:r>
        <w:rPr>
          <w:highlight w:val="lightGray"/>
          <w:lang w:val="sk-SK"/>
        </w:rPr>
        <w:t>oseltamiviru</w:t>
      </w:r>
      <w:proofErr w:type="spellEnd"/>
      <w:r>
        <w:rPr>
          <w:highlight w:val="lightGray"/>
          <w:lang w:val="sk-SK"/>
        </w:rPr>
        <w:t>.</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Úplný zoznam pomocných látok, pozri časť 6.1.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1543"/>
        </w:tabs>
        <w:spacing w:after="0" w:line="240" w:lineRule="auto"/>
        <w:ind w:left="0" w:right="1221" w:firstLine="0"/>
        <w:contextualSpacing/>
        <w:rPr>
          <w:lang w:val="sk-SK"/>
        </w:rPr>
      </w:pPr>
      <w:r>
        <w:rPr>
          <w:lang w:val="sk-SK"/>
        </w:rPr>
        <w:t xml:space="preserve">3. </w:t>
      </w:r>
      <w:r>
        <w:rPr>
          <w:lang w:val="sk-SK"/>
        </w:rPr>
        <w:tab/>
        <w:t>LIEKOVÁ FORMA</w:t>
      </w:r>
    </w:p>
    <w:p w:rsidR="00D41417" w:rsidRDefault="00B1758A">
      <w:pPr>
        <w:spacing w:after="0" w:line="240" w:lineRule="auto"/>
        <w:ind w:left="0" w:right="0" w:firstLine="0"/>
        <w:contextualSpacing/>
        <w:rPr>
          <w:lang w:val="sk-SK"/>
        </w:rPr>
      </w:pPr>
      <w:r>
        <w:rPr>
          <w:lang w:val="sk-SK"/>
        </w:rPr>
        <w:t xml:space="preserve"> </w:t>
      </w:r>
    </w:p>
    <w:p w:rsidR="00D41417" w:rsidRDefault="00151E44">
      <w:pPr>
        <w:spacing w:after="0" w:line="240" w:lineRule="auto"/>
        <w:ind w:left="0" w:right="0"/>
        <w:contextualSpacing/>
        <w:rPr>
          <w:u w:val="single" w:color="000000"/>
          <w:lang w:val="sk-SK"/>
        </w:rPr>
      </w:pPr>
      <w:proofErr w:type="spellStart"/>
      <w:r>
        <w:rPr>
          <w:u w:val="single" w:color="000000"/>
          <w:lang w:val="sk-SK"/>
        </w:rPr>
        <w:t>Segosana</w:t>
      </w:r>
      <w:proofErr w:type="spellEnd"/>
      <w:r w:rsidR="00B1758A">
        <w:rPr>
          <w:u w:val="single" w:color="000000"/>
          <w:lang w:val="sk-SK"/>
        </w:rPr>
        <w:t xml:space="preserve"> 30 mg </w:t>
      </w:r>
    </w:p>
    <w:p w:rsidR="00D41417" w:rsidRDefault="00B1758A">
      <w:pPr>
        <w:spacing w:after="0" w:line="240" w:lineRule="auto"/>
        <w:ind w:left="0" w:right="0" w:firstLine="0"/>
        <w:contextualSpacing/>
        <w:rPr>
          <w:lang w:val="sk-SK"/>
        </w:rPr>
      </w:pPr>
      <w:r>
        <w:rPr>
          <w:lang w:val="sk-SK"/>
        </w:rPr>
        <w:t>Tvrdé želatínové kapsuly veľkosti „4“ so svetložltým nepriehľadným telom s čiernym pásom, s potlačou „M“ a svetložltým nepriehľadným viečkom s potlačou „30 mg“. Veľkosť je približne 14,37 mm.</w:t>
      </w:r>
    </w:p>
    <w:p w:rsidR="00D41417" w:rsidRDefault="00B1758A">
      <w:pPr>
        <w:spacing w:after="0" w:line="240" w:lineRule="auto"/>
        <w:ind w:left="0" w:right="0" w:firstLine="0"/>
        <w:contextualSpacing/>
        <w:rPr>
          <w:lang w:val="sk-SK"/>
        </w:rPr>
      </w:pPr>
      <w:r>
        <w:rPr>
          <w:lang w:val="sk-SK"/>
        </w:rPr>
        <w:t xml:space="preserve"> </w:t>
      </w:r>
    </w:p>
    <w:p w:rsidR="00D41417" w:rsidRDefault="00151E44">
      <w:pPr>
        <w:spacing w:after="0" w:line="240" w:lineRule="auto"/>
        <w:ind w:left="0" w:right="0"/>
        <w:contextualSpacing/>
        <w:rPr>
          <w:u w:val="single" w:color="000000"/>
          <w:lang w:val="sk-SK"/>
        </w:rPr>
      </w:pPr>
      <w:proofErr w:type="spellStart"/>
      <w:r>
        <w:rPr>
          <w:highlight w:val="lightGray"/>
          <w:u w:val="single" w:color="000000"/>
          <w:lang w:val="sk-SK"/>
        </w:rPr>
        <w:t>Segosana</w:t>
      </w:r>
      <w:proofErr w:type="spellEnd"/>
      <w:r w:rsidR="00B1758A" w:rsidRPr="00056DF3">
        <w:rPr>
          <w:highlight w:val="lightGray"/>
          <w:u w:val="single" w:color="000000"/>
          <w:lang w:val="sk-SK"/>
        </w:rPr>
        <w:t xml:space="preserve"> 45 mg </w:t>
      </w:r>
    </w:p>
    <w:p w:rsidR="00D41417" w:rsidRDefault="00B1758A">
      <w:pPr>
        <w:spacing w:after="0" w:line="240" w:lineRule="auto"/>
        <w:ind w:left="0" w:right="0" w:firstLine="0"/>
        <w:contextualSpacing/>
        <w:rPr>
          <w:lang w:val="sk-SK"/>
        </w:rPr>
      </w:pPr>
      <w:r w:rsidRPr="00056DF3">
        <w:rPr>
          <w:highlight w:val="lightGray"/>
          <w:lang w:val="sk-SK"/>
        </w:rPr>
        <w:t>Tvrdé želatínové kapsuly veľkosti „4“ so sivým nepriehľadným telom s čiernym pásom, s potlačou „M“ a sivým nepriehľadným viečkom s potlačou „45 mg“. Veľkosť je približne 14,37 mm.</w:t>
      </w:r>
    </w:p>
    <w:p w:rsidR="00D41417" w:rsidRDefault="00D41417">
      <w:pPr>
        <w:spacing w:after="0" w:line="240" w:lineRule="auto"/>
        <w:ind w:left="0" w:right="0" w:firstLine="0"/>
        <w:contextualSpacing/>
        <w:rPr>
          <w:lang w:val="sk-SK"/>
        </w:rPr>
      </w:pPr>
    </w:p>
    <w:p w:rsidR="00D41417" w:rsidRDefault="00151E44">
      <w:pPr>
        <w:spacing w:after="0" w:line="240" w:lineRule="auto"/>
        <w:ind w:left="0" w:right="0"/>
        <w:contextualSpacing/>
        <w:rPr>
          <w:lang w:val="sk-SK"/>
        </w:rPr>
      </w:pPr>
      <w:proofErr w:type="spellStart"/>
      <w:r>
        <w:rPr>
          <w:highlight w:val="lightGray"/>
          <w:u w:val="single" w:color="000000"/>
          <w:lang w:val="sk-SK"/>
        </w:rPr>
        <w:t>Segosana</w:t>
      </w:r>
      <w:proofErr w:type="spellEnd"/>
      <w:r w:rsidR="00B1758A" w:rsidRPr="00056DF3">
        <w:rPr>
          <w:highlight w:val="lightGray"/>
          <w:u w:val="single" w:color="000000"/>
          <w:lang w:val="sk-SK"/>
        </w:rPr>
        <w:t xml:space="preserve"> 75 mg </w:t>
      </w:r>
    </w:p>
    <w:p w:rsidR="00D41417" w:rsidRDefault="00B1758A">
      <w:pPr>
        <w:spacing w:after="0" w:line="240" w:lineRule="auto"/>
        <w:ind w:left="0" w:right="0" w:firstLine="0"/>
        <w:contextualSpacing/>
        <w:rPr>
          <w:lang w:val="sk-SK"/>
        </w:rPr>
      </w:pPr>
      <w:r w:rsidRPr="00056DF3">
        <w:rPr>
          <w:highlight w:val="lightGray"/>
          <w:lang w:val="sk-SK"/>
        </w:rPr>
        <w:t>Tvrdé želatínové kapsuly veľkosti „2“ so sivým nepriehľadným telom s čiernym pásom, s potlačou „M“ a svetložltým nepriehľadným viečkom s potlačou „75 mg“. Veľkosť je približne 17,66 mm.</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1536"/>
        </w:tabs>
        <w:spacing w:after="0" w:line="240" w:lineRule="auto"/>
        <w:ind w:left="0" w:right="1221" w:firstLine="0"/>
        <w:contextualSpacing/>
        <w:rPr>
          <w:lang w:val="sk-SK"/>
        </w:rPr>
      </w:pPr>
      <w:r>
        <w:rPr>
          <w:lang w:val="sk-SK"/>
        </w:rPr>
        <w:t xml:space="preserve">4. </w:t>
      </w:r>
      <w:r>
        <w:rPr>
          <w:lang w:val="sk-SK"/>
        </w:rPr>
        <w:tab/>
        <w:t xml:space="preserve">KLINICKÉ ÚDAJE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2"/>
        <w:tabs>
          <w:tab w:val="center" w:pos="1659"/>
        </w:tabs>
        <w:spacing w:after="0" w:line="240" w:lineRule="auto"/>
        <w:ind w:left="0" w:right="1221" w:firstLine="0"/>
        <w:contextualSpacing/>
        <w:rPr>
          <w:lang w:val="sk-SK"/>
        </w:rPr>
      </w:pPr>
      <w:r>
        <w:rPr>
          <w:b/>
          <w:u w:val="none"/>
          <w:lang w:val="sk-SK"/>
        </w:rPr>
        <w:t xml:space="preserve">4.1 </w:t>
      </w:r>
      <w:r>
        <w:rPr>
          <w:b/>
          <w:u w:val="none"/>
          <w:lang w:val="sk-SK"/>
        </w:rPr>
        <w:tab/>
        <w:t xml:space="preserve">Terapeutické indikácie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Liečba chrípky</w:t>
      </w:r>
    </w:p>
    <w:p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je indikovaný u dospelých a detí vrátane donosených novorodencov, u ktorých sa prejavujú symptómy typické pre chrípku, keď vírus chrípky cirkuluje v okolí. Účinnosť lieku sa prejavila, keď sa s liečbou začalo do dvoch dní od prejavenia prvých symptómov.</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Prevencia chrípky</w:t>
      </w:r>
      <w:r>
        <w:rPr>
          <w:lang w:val="sk-SK"/>
        </w:rPr>
        <w:t xml:space="preserve"> </w:t>
      </w:r>
    </w:p>
    <w:p w:rsidR="00D41417" w:rsidRDefault="00B1758A">
      <w:pPr>
        <w:numPr>
          <w:ilvl w:val="0"/>
          <w:numId w:val="1"/>
        </w:numPr>
        <w:spacing w:after="0" w:line="240" w:lineRule="auto"/>
        <w:ind w:left="426" w:right="0" w:hanging="426"/>
        <w:contextualSpacing/>
        <w:rPr>
          <w:lang w:val="sk-SK"/>
        </w:rPr>
      </w:pPr>
      <w:r>
        <w:rPr>
          <w:lang w:val="sk-SK"/>
        </w:rPr>
        <w:t xml:space="preserve">Prevencia po expozícii u jedincov vo veku 1 rok alebo starších po kontakte s jedincom, u ktorého bola klinicky diagnostikovaná chrípka, keď vírus chrípky cirkuluje v okolí. </w:t>
      </w:r>
    </w:p>
    <w:p w:rsidR="00D41417" w:rsidRDefault="00B1758A">
      <w:pPr>
        <w:numPr>
          <w:ilvl w:val="0"/>
          <w:numId w:val="1"/>
        </w:numPr>
        <w:spacing w:after="0" w:line="240" w:lineRule="auto"/>
        <w:ind w:left="426" w:right="0" w:hanging="426"/>
        <w:contextualSpacing/>
        <w:rPr>
          <w:lang w:val="sk-SK"/>
        </w:rPr>
      </w:pPr>
      <w:r>
        <w:rPr>
          <w:lang w:val="sk-SK"/>
        </w:rPr>
        <w:t xml:space="preserve">Vhodné použitie </w:t>
      </w:r>
      <w:proofErr w:type="spellStart"/>
      <w:r>
        <w:rPr>
          <w:lang w:val="sk-SK"/>
        </w:rPr>
        <w:t>oseltamiviru</w:t>
      </w:r>
      <w:proofErr w:type="spellEnd"/>
      <w:r>
        <w:rPr>
          <w:lang w:val="sk-SK"/>
        </w:rPr>
        <w:t xml:space="preserve"> na prevenciu chrípky sa určuje v závislosti od prípadu na základe okolností a populácie, ktorá potrebuje ochranu pred chrípkou. Vo výnimočných situáciách (napr. </w:t>
      </w:r>
      <w:r>
        <w:rPr>
          <w:lang w:val="sk-SK"/>
        </w:rPr>
        <w:lastRenderedPageBreak/>
        <w:t>ak kmeň cirkulujúceho vírusu nezodpovedá kmeňu vo vakcíne a v prípade pandémie) sa má sezónna prevencia zvážiť u jedincov od jedného roka alebo starších.</w:t>
      </w:r>
    </w:p>
    <w:p w:rsidR="00D41417" w:rsidRDefault="00B1758A">
      <w:pPr>
        <w:numPr>
          <w:ilvl w:val="0"/>
          <w:numId w:val="1"/>
        </w:numPr>
        <w:spacing w:after="0" w:line="240" w:lineRule="auto"/>
        <w:ind w:left="426" w:right="0" w:hanging="426"/>
        <w:contextualSpacing/>
        <w:rPr>
          <w:lang w:val="sk-SK"/>
        </w:rPr>
      </w:pPr>
      <w:r>
        <w:rPr>
          <w:lang w:val="sk-SK"/>
        </w:rPr>
        <w:t xml:space="preserve">V prípade vypuknutia pandémie chrípky je </w:t>
      </w:r>
      <w:proofErr w:type="spellStart"/>
      <w:r>
        <w:rPr>
          <w:lang w:val="sk-SK"/>
        </w:rPr>
        <w:t>oseltamivir</w:t>
      </w:r>
      <w:proofErr w:type="spellEnd"/>
      <w:r>
        <w:rPr>
          <w:lang w:val="sk-SK"/>
        </w:rPr>
        <w:t xml:space="preserve"> indikovaný na prevenciu u dojčiat vo veku do 1 roka po expozícii vírusu chrípky (pozri časť 5.2). </w:t>
      </w:r>
    </w:p>
    <w:p w:rsidR="00D41417" w:rsidRDefault="00B1758A">
      <w:pPr>
        <w:spacing w:after="0" w:line="240" w:lineRule="auto"/>
        <w:ind w:left="567" w:right="0" w:hanging="425"/>
        <w:contextualSpacing/>
        <w:rPr>
          <w:lang w:val="sk-SK"/>
        </w:rPr>
      </w:pPr>
      <w:r>
        <w:rPr>
          <w:lang w:val="sk-SK"/>
        </w:rPr>
        <w:t xml:space="preserve"> </w:t>
      </w:r>
    </w:p>
    <w:p w:rsidR="00D41417" w:rsidRDefault="00B1758A">
      <w:pPr>
        <w:spacing w:after="0" w:line="240" w:lineRule="auto"/>
        <w:ind w:left="0" w:right="0" w:hanging="10"/>
        <w:contextualSpacing/>
        <w:rPr>
          <w:lang w:val="sk-SK"/>
        </w:rPr>
      </w:pPr>
      <w:proofErr w:type="spellStart"/>
      <w:r>
        <w:rPr>
          <w:u w:val="single" w:color="000000"/>
          <w:lang w:val="sk-SK"/>
        </w:rPr>
        <w:t>Oseltamivir</w:t>
      </w:r>
      <w:proofErr w:type="spellEnd"/>
      <w:r>
        <w:rPr>
          <w:u w:val="single" w:color="000000"/>
          <w:lang w:val="sk-SK"/>
        </w:rPr>
        <w:t xml:space="preserve"> nie je náhrada za vakcináciu proti chrípke</w:t>
      </w:r>
      <w:r>
        <w:rPr>
          <w:lang w:val="sk-SK"/>
        </w:rPr>
        <w:t>.</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Použitie antivírusových liekov na liečbu a prevenciu chrípky sa má určiť na základe oficiálnych odporúčaní. Pri rozhodnutiach, týkajúcich sa použitia </w:t>
      </w:r>
      <w:proofErr w:type="spellStart"/>
      <w:r>
        <w:rPr>
          <w:lang w:val="sk-SK"/>
        </w:rPr>
        <w:t>oseltamiviru</w:t>
      </w:r>
      <w:proofErr w:type="spellEnd"/>
      <w:r>
        <w:rPr>
          <w:lang w:val="sk-SK"/>
        </w:rPr>
        <w:t xml:space="preserve"> na liečbu a profylaxiu, sa má brať do úvahy, čo je známe o charakteristikách cirkulujúcich vírusov chrípky, dostupné informácie o citlivosti lieku proti chrípke pre každé obdobie a vplyv ochorenia v rôznych geografických oblastiach a populáciách pacientov (pozri časť 5.1).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2081"/>
        </w:tabs>
        <w:spacing w:after="0" w:line="240" w:lineRule="auto"/>
        <w:ind w:left="0" w:right="0" w:firstLine="0"/>
        <w:contextualSpacing/>
        <w:rPr>
          <w:lang w:val="sk-SK"/>
        </w:rPr>
      </w:pPr>
      <w:r>
        <w:rPr>
          <w:b/>
          <w:lang w:val="sk-SK"/>
        </w:rPr>
        <w:t xml:space="preserve">4.2 </w:t>
      </w:r>
      <w:r>
        <w:rPr>
          <w:b/>
          <w:lang w:val="sk-SK"/>
        </w:rPr>
        <w:tab/>
        <w:t xml:space="preserve">Dávkovanie a spôsob podávania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Dávkovanie</w:t>
      </w:r>
      <w:r>
        <w:rPr>
          <w:u w:val="none"/>
          <w:lang w:val="sk-SK"/>
        </w:rPr>
        <w:t xml:space="preserve"> </w:t>
      </w:r>
    </w:p>
    <w:p w:rsidR="00D41417" w:rsidRDefault="00B1758A">
      <w:pPr>
        <w:spacing w:after="0" w:line="240" w:lineRule="auto"/>
        <w:ind w:left="0" w:right="0" w:firstLine="0"/>
        <w:contextualSpacing/>
        <w:rPr>
          <w:lang w:val="sk-SK"/>
        </w:rPr>
      </w:pPr>
      <w:r>
        <w:rPr>
          <w:lang w:val="sk-SK"/>
        </w:rPr>
        <w:t>75-miligramové dávky sa môžu podávať buď</w:t>
      </w:r>
    </w:p>
    <w:p w:rsidR="00D41417" w:rsidRDefault="00B1758A">
      <w:pPr>
        <w:numPr>
          <w:ilvl w:val="0"/>
          <w:numId w:val="2"/>
        </w:numPr>
        <w:spacing w:after="0" w:line="240" w:lineRule="auto"/>
        <w:ind w:left="426" w:right="0" w:hanging="426"/>
        <w:contextualSpacing/>
        <w:rPr>
          <w:lang w:val="sk-SK"/>
        </w:rPr>
      </w:pPr>
      <w:r>
        <w:rPr>
          <w:lang w:val="sk-SK"/>
        </w:rPr>
        <w:t>ako jedna 75 mg kapsula alebo</w:t>
      </w:r>
    </w:p>
    <w:p w:rsidR="00D41417" w:rsidRDefault="00B1758A">
      <w:pPr>
        <w:numPr>
          <w:ilvl w:val="0"/>
          <w:numId w:val="2"/>
        </w:numPr>
        <w:spacing w:after="0" w:line="240" w:lineRule="auto"/>
        <w:ind w:left="426" w:right="0" w:hanging="426"/>
        <w:contextualSpacing/>
        <w:rPr>
          <w:lang w:val="sk-SK"/>
        </w:rPr>
      </w:pPr>
      <w:r>
        <w:rPr>
          <w:lang w:val="sk-SK"/>
        </w:rPr>
        <w:t>ako jedna 30 mg kapsula a jedna 45 mg kapsula.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Komerčne vyrábaný </w:t>
      </w:r>
      <w:proofErr w:type="spellStart"/>
      <w:r>
        <w:rPr>
          <w:lang w:val="sk-SK"/>
        </w:rPr>
        <w:t>oseltamivir</w:t>
      </w:r>
      <w:proofErr w:type="spellEnd"/>
      <w:r>
        <w:rPr>
          <w:lang w:val="sk-SK"/>
        </w:rPr>
        <w:t xml:space="preserve"> prášok na perorálnu suspenziu (6 mg/ml) je uprednostňovaným liekom pre pediatrických a dospelých pacientov, ktorí majú ťažkosti s prehĺtaním kapsúl, alebo keď sú potrebné nižšie dávky.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Dospelí a dospievajúci vo veku 13 rokov a starší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contextualSpacing/>
        <w:rPr>
          <w:lang w:val="sk-SK"/>
        </w:rPr>
      </w:pPr>
      <w:r>
        <w:rPr>
          <w:i/>
          <w:u w:val="single" w:color="000000"/>
          <w:lang w:val="sk-SK"/>
        </w:rPr>
        <w:t>Liečba</w:t>
      </w:r>
      <w:r>
        <w:rPr>
          <w:lang w:val="sk-SK"/>
        </w:rPr>
        <w:t xml:space="preserve">: Odporúčaná perorálna dávka 75 mg </w:t>
      </w:r>
      <w:proofErr w:type="spellStart"/>
      <w:r>
        <w:rPr>
          <w:lang w:val="sk-SK"/>
        </w:rPr>
        <w:t>oseltamiviru</w:t>
      </w:r>
      <w:proofErr w:type="spellEnd"/>
      <w:r>
        <w:rPr>
          <w:lang w:val="sk-SK"/>
        </w:rPr>
        <w:t xml:space="preserve"> pre dospievajúcich (13 až 17 rokov) a dospelých je dvakrát denne počas 5 dní.</w:t>
      </w:r>
    </w:p>
    <w:p w:rsidR="00D41417" w:rsidRDefault="00B1758A">
      <w:pPr>
        <w:spacing w:after="0" w:line="240" w:lineRule="auto"/>
        <w:ind w:left="0" w:right="0" w:firstLine="0"/>
        <w:contextualSpacing/>
        <w:rPr>
          <w:lang w:val="sk-SK"/>
        </w:rPr>
      </w:pPr>
      <w:r>
        <w:rPr>
          <w:lang w:val="sk-SK"/>
        </w:rPr>
        <w:t xml:space="preserve"> </w:t>
      </w:r>
    </w:p>
    <w:tbl>
      <w:tblPr>
        <w:tblStyle w:val="TableGrid"/>
        <w:tblW w:w="7764" w:type="dxa"/>
        <w:tblInd w:w="12" w:type="dxa"/>
        <w:tblCellMar>
          <w:top w:w="53" w:type="dxa"/>
          <w:left w:w="115" w:type="dxa"/>
          <w:right w:w="115" w:type="dxa"/>
        </w:tblCellMar>
        <w:tblLook w:val="04A0" w:firstRow="1" w:lastRow="0" w:firstColumn="1" w:lastColumn="0" w:noHBand="0" w:noVBand="1"/>
      </w:tblPr>
      <w:tblGrid>
        <w:gridCol w:w="3079"/>
        <w:gridCol w:w="4685"/>
      </w:tblGrid>
      <w:tr w:rsidR="00D41417">
        <w:trPr>
          <w:trHeight w:val="262"/>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5 dní </w:t>
            </w:r>
          </w:p>
        </w:tc>
      </w:tr>
      <w:tr w:rsidR="00D41417">
        <w:trPr>
          <w:trHeight w:val="264"/>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dvakrát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Liečba sa má začať čo najskôr v priebehu dvoch dní po objavení symptómov chrípky.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 expozícii</w:t>
      </w:r>
      <w:r>
        <w:rPr>
          <w:lang w:val="sk-SK"/>
        </w:rPr>
        <w:t xml:space="preserve">: Odporúčaná dávka na prevenciu chrípky po úzkom kontakte s infikovanou osobou je 75 mg </w:t>
      </w:r>
      <w:proofErr w:type="spellStart"/>
      <w:r>
        <w:rPr>
          <w:lang w:val="sk-SK"/>
        </w:rPr>
        <w:t>oseltamiviru</w:t>
      </w:r>
      <w:proofErr w:type="spellEnd"/>
      <w:r>
        <w:rPr>
          <w:lang w:val="sk-SK"/>
        </w:rPr>
        <w:t xml:space="preserve"> jedenkrát denne počas 10 dní pre dospievajúcich (13 až 17 rokov) a dospelých.</w:t>
      </w:r>
    </w:p>
    <w:p w:rsidR="00D41417" w:rsidRDefault="00B1758A">
      <w:pPr>
        <w:spacing w:after="0" w:line="240" w:lineRule="auto"/>
        <w:ind w:left="0" w:right="0" w:firstLine="0"/>
        <w:contextualSpacing/>
        <w:rPr>
          <w:lang w:val="sk-SK"/>
        </w:rPr>
      </w:pPr>
      <w:r>
        <w:rPr>
          <w:lang w:val="sk-SK"/>
        </w:rPr>
        <w:t xml:space="preserve"> </w:t>
      </w:r>
    </w:p>
    <w:tbl>
      <w:tblPr>
        <w:tblStyle w:val="TableGrid"/>
        <w:tblW w:w="7764" w:type="dxa"/>
        <w:tblInd w:w="12" w:type="dxa"/>
        <w:tblCellMar>
          <w:top w:w="51" w:type="dxa"/>
          <w:left w:w="115" w:type="dxa"/>
          <w:right w:w="115" w:type="dxa"/>
        </w:tblCellMar>
        <w:tblLook w:val="04A0" w:firstRow="1" w:lastRow="0" w:firstColumn="1" w:lastColumn="0" w:noHBand="0" w:noVBand="1"/>
      </w:tblPr>
      <w:tblGrid>
        <w:gridCol w:w="3079"/>
        <w:gridCol w:w="4685"/>
      </w:tblGrid>
      <w:tr w:rsidR="00D41417">
        <w:trPr>
          <w:trHeight w:val="264"/>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10 dní </w:t>
            </w:r>
          </w:p>
        </w:tc>
      </w:tr>
      <w:tr w:rsidR="00D41417">
        <w:trPr>
          <w:trHeight w:val="262"/>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raz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Liečba sa má začať čo najskôr v priebehu dvoch dní od expozície infikovanej osobe.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počas epidémie chrípky v okolí:</w:t>
      </w:r>
      <w:r>
        <w:rPr>
          <w:i/>
          <w:u w:color="000000"/>
          <w:lang w:val="sk-SK"/>
        </w:rPr>
        <w:t xml:space="preserve"> </w:t>
      </w:r>
      <w:r>
        <w:rPr>
          <w:lang w:val="sk-SK"/>
        </w:rPr>
        <w:t xml:space="preserve">Odporúčaná dávka na prevenciu chrípky počas vypuknutia epidémie v okolí je 75 mg </w:t>
      </w:r>
      <w:proofErr w:type="spellStart"/>
      <w:r>
        <w:rPr>
          <w:lang w:val="sk-SK"/>
        </w:rPr>
        <w:t>oseltamiviru</w:t>
      </w:r>
      <w:proofErr w:type="spellEnd"/>
      <w:r>
        <w:rPr>
          <w:lang w:val="sk-SK"/>
        </w:rPr>
        <w:t xml:space="preserve"> jedenkrát denne počas 6 týždňov.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i/>
          <w:lang w:val="sk-SK"/>
        </w:rPr>
      </w:pPr>
      <w:r>
        <w:rPr>
          <w:i/>
          <w:u w:val="single" w:color="000000"/>
          <w:lang w:val="sk-SK"/>
        </w:rPr>
        <w:t>Pediatrická populácia</w:t>
      </w:r>
    </w:p>
    <w:p w:rsidR="00D41417" w:rsidRDefault="00D41417">
      <w:pPr>
        <w:spacing w:after="0" w:line="240" w:lineRule="auto"/>
        <w:ind w:left="0" w:right="0" w:hanging="10"/>
        <w:contextualSpacing/>
        <w:rPr>
          <w:lang w:val="sk-SK"/>
        </w:rPr>
      </w:pPr>
    </w:p>
    <w:p w:rsidR="00D41417" w:rsidRDefault="00B1758A">
      <w:pPr>
        <w:spacing w:after="0" w:line="240" w:lineRule="auto"/>
        <w:ind w:left="0" w:right="0" w:hanging="10"/>
        <w:contextualSpacing/>
        <w:rPr>
          <w:lang w:val="sk-SK"/>
        </w:rPr>
      </w:pPr>
      <w:r>
        <w:rPr>
          <w:i/>
          <w:lang w:val="sk-SK"/>
        </w:rPr>
        <w:t>Deti vo veku 1 až 12 rokov</w:t>
      </w:r>
    </w:p>
    <w:p w:rsidR="00D41417" w:rsidRDefault="00D41417">
      <w:pPr>
        <w:spacing w:after="0" w:line="240" w:lineRule="auto"/>
        <w:ind w:left="0" w:right="0" w:firstLine="0"/>
        <w:contextualSpacing/>
        <w:rPr>
          <w:lang w:val="sk-SK"/>
        </w:rPr>
      </w:pPr>
    </w:p>
    <w:p w:rsidR="00D41417" w:rsidRDefault="00151E44">
      <w:pPr>
        <w:spacing w:after="0" w:line="240" w:lineRule="auto"/>
        <w:ind w:left="0" w:right="0"/>
        <w:contextualSpacing/>
        <w:rPr>
          <w:lang w:val="sk-SK"/>
        </w:rPr>
      </w:pPr>
      <w:proofErr w:type="spellStart"/>
      <w:r>
        <w:rPr>
          <w:lang w:val="sk-SK"/>
        </w:rPr>
        <w:t>Segosana</w:t>
      </w:r>
      <w:proofErr w:type="spellEnd"/>
      <w:r w:rsidR="00B1758A">
        <w:rPr>
          <w:lang w:val="sk-SK"/>
        </w:rPr>
        <w:t xml:space="preserve"> 30 mg, 45 mg a 75 mg kapsuly sú dostupné pre pediatrickú populáciu. Môže byť tiež dostupný prášok </w:t>
      </w:r>
      <w:proofErr w:type="spellStart"/>
      <w:r w:rsidR="00B1758A">
        <w:rPr>
          <w:lang w:val="sk-SK"/>
        </w:rPr>
        <w:t>oseltamiviru</w:t>
      </w:r>
      <w:proofErr w:type="spellEnd"/>
      <w:r w:rsidR="00B1758A">
        <w:rPr>
          <w:lang w:val="sk-SK"/>
        </w:rPr>
        <w:t xml:space="preserve"> na perorálnu suspenziu, nie však pod týmto obchodným názvom.</w:t>
      </w:r>
    </w:p>
    <w:p w:rsidR="00D41417" w:rsidRDefault="00D41417">
      <w:pPr>
        <w:spacing w:after="0" w:line="240" w:lineRule="auto"/>
        <w:ind w:left="0" w:right="0"/>
        <w:contextualSpacing/>
        <w:rPr>
          <w:lang w:val="sk-SK"/>
        </w:rPr>
      </w:pPr>
    </w:p>
    <w:p w:rsidR="00D41417" w:rsidRDefault="00B1758A">
      <w:pPr>
        <w:spacing w:after="0" w:line="240" w:lineRule="auto"/>
        <w:ind w:left="0" w:right="0" w:firstLine="0"/>
        <w:contextualSpacing/>
        <w:rPr>
          <w:lang w:val="sk-SK"/>
        </w:rPr>
      </w:pPr>
      <w:r>
        <w:rPr>
          <w:i/>
          <w:u w:val="single" w:color="000000"/>
          <w:lang w:val="sk-SK"/>
        </w:rPr>
        <w:lastRenderedPageBreak/>
        <w:t>Liečba</w:t>
      </w:r>
      <w:r>
        <w:rPr>
          <w:i/>
          <w:lang w:val="sk-SK"/>
        </w:rPr>
        <w:t>:</w:t>
      </w:r>
      <w:r>
        <w:rPr>
          <w:lang w:val="sk-SK"/>
        </w:rPr>
        <w:t xml:space="preserve"> Odporúča sa nasledujúci dávkovací režim v závislosti od telesnej hmotnosti pre deti vo veku 1 rok alebo staršie: </w:t>
      </w:r>
    </w:p>
    <w:p w:rsidR="00D41417" w:rsidRDefault="00B1758A">
      <w:pPr>
        <w:spacing w:after="0" w:line="240" w:lineRule="auto"/>
        <w:ind w:left="0" w:right="0" w:firstLine="0"/>
        <w:contextualSpacing/>
        <w:rPr>
          <w:lang w:val="sk-SK"/>
        </w:rPr>
      </w:pPr>
      <w:r>
        <w:rPr>
          <w:lang w:val="sk-SK"/>
        </w:rPr>
        <w:t xml:space="preserve"> </w:t>
      </w:r>
    </w:p>
    <w:tbl>
      <w:tblPr>
        <w:tblStyle w:val="TableGrid"/>
        <w:tblW w:w="6795" w:type="dxa"/>
        <w:tblInd w:w="691" w:type="dxa"/>
        <w:tblCellMar>
          <w:top w:w="51" w:type="dxa"/>
          <w:left w:w="691" w:type="dxa"/>
          <w:right w:w="115" w:type="dxa"/>
        </w:tblCellMar>
        <w:tblLook w:val="04A0" w:firstRow="1" w:lastRow="0" w:firstColumn="1" w:lastColumn="0" w:noHBand="0" w:noVBand="1"/>
      </w:tblPr>
      <w:tblGrid>
        <w:gridCol w:w="2399"/>
        <w:gridCol w:w="4396"/>
      </w:tblGrid>
      <w:tr w:rsidR="00D41417">
        <w:trPr>
          <w:trHeight w:val="262"/>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Telesná hmotnosť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Odporúčaná dávka na 5 dní </w:t>
            </w:r>
          </w:p>
        </w:tc>
      </w:tr>
      <w:tr w:rsidR="00D41417">
        <w:trPr>
          <w:trHeight w:val="264"/>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10 kg až 15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30 mg dvakrát denne </w:t>
            </w:r>
          </w:p>
        </w:tc>
      </w:tr>
      <w:tr w:rsidR="00D41417">
        <w:trPr>
          <w:trHeight w:val="262"/>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15 kg až 23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45 mg dvakrát denne </w:t>
            </w:r>
          </w:p>
        </w:tc>
      </w:tr>
      <w:tr w:rsidR="00D41417">
        <w:trPr>
          <w:trHeight w:val="264"/>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23 kg až 40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60 mg dvakrát denne </w:t>
            </w:r>
          </w:p>
        </w:tc>
      </w:tr>
      <w:tr w:rsidR="00D41417">
        <w:trPr>
          <w:trHeight w:val="264"/>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40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75 mg dvakrát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Liečba sa má začať čo najskôr počas dvoch dní po objavení symptómov chrípky.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Prevencia po expozícii</w:t>
      </w:r>
      <w:r>
        <w:rPr>
          <w:i/>
          <w:lang w:val="sk-SK"/>
        </w:rPr>
        <w:t xml:space="preserve">: </w:t>
      </w:r>
      <w:r>
        <w:rPr>
          <w:lang w:val="sk-SK"/>
        </w:rPr>
        <w:t xml:space="preserve">Odporúčaná dávka </w:t>
      </w:r>
      <w:proofErr w:type="spellStart"/>
      <w:r>
        <w:rPr>
          <w:lang w:val="sk-SK"/>
        </w:rPr>
        <w:t>oseltamiviru</w:t>
      </w:r>
      <w:proofErr w:type="spellEnd"/>
      <w:r>
        <w:rPr>
          <w:lang w:val="sk-SK"/>
        </w:rPr>
        <w:t xml:space="preserve"> na prevenciu po expozícii je: </w:t>
      </w:r>
    </w:p>
    <w:p w:rsidR="00D41417" w:rsidRDefault="00B1758A">
      <w:pPr>
        <w:spacing w:after="0" w:line="240" w:lineRule="auto"/>
        <w:ind w:left="0" w:right="0" w:firstLine="0"/>
        <w:contextualSpacing/>
        <w:rPr>
          <w:lang w:val="sk-SK"/>
        </w:rPr>
      </w:pPr>
      <w:r>
        <w:rPr>
          <w:lang w:val="sk-SK"/>
        </w:rPr>
        <w:t xml:space="preserve"> </w:t>
      </w:r>
    </w:p>
    <w:tbl>
      <w:tblPr>
        <w:tblStyle w:val="TableGrid"/>
        <w:tblW w:w="6797" w:type="dxa"/>
        <w:tblInd w:w="691" w:type="dxa"/>
        <w:tblCellMar>
          <w:top w:w="51" w:type="dxa"/>
          <w:left w:w="691" w:type="dxa"/>
          <w:right w:w="115" w:type="dxa"/>
        </w:tblCellMar>
        <w:tblLook w:val="04A0" w:firstRow="1" w:lastRow="0" w:firstColumn="1" w:lastColumn="0" w:noHBand="0" w:noVBand="1"/>
      </w:tblPr>
      <w:tblGrid>
        <w:gridCol w:w="2400"/>
        <w:gridCol w:w="4397"/>
      </w:tblGrid>
      <w:tr w:rsidR="00D41417">
        <w:trPr>
          <w:trHeight w:val="262"/>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Telesná hmotnosť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Odporúčaná dávka na 10 dní </w:t>
            </w:r>
          </w:p>
        </w:tc>
      </w:tr>
      <w:tr w:rsidR="00D41417">
        <w:trPr>
          <w:trHeight w:val="264"/>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10 kg až 15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30 mg raz denne </w:t>
            </w:r>
          </w:p>
        </w:tc>
      </w:tr>
      <w:tr w:rsidR="00D41417">
        <w:trPr>
          <w:trHeight w:val="264"/>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15 kg až 23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45 mg raz denne </w:t>
            </w:r>
          </w:p>
        </w:tc>
      </w:tr>
      <w:tr w:rsidR="00D41417">
        <w:trPr>
          <w:trHeight w:val="262"/>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23 kg až 40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60 mg raz denne </w:t>
            </w:r>
          </w:p>
        </w:tc>
      </w:tr>
      <w:tr w:rsidR="00D41417">
        <w:trPr>
          <w:trHeight w:val="264"/>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40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75 mg raz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počas epidémie chrípky v okolí:</w:t>
      </w:r>
      <w:r>
        <w:rPr>
          <w:i/>
          <w:u w:color="000000"/>
          <w:lang w:val="sk-SK"/>
        </w:rPr>
        <w:t xml:space="preserve"> </w:t>
      </w:r>
      <w:r>
        <w:rPr>
          <w:lang w:val="sk-SK"/>
        </w:rPr>
        <w:t xml:space="preserve">Prevencia chrípky počas vypuknutia epidémie nebola sledovaná u detí do 12 rokov.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Dojčatá vo veku 0 - 12 mesiacov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Liečba:</w:t>
      </w:r>
      <w:r>
        <w:rPr>
          <w:i/>
          <w:lang w:val="sk-SK"/>
        </w:rPr>
        <w:t xml:space="preserve"> </w:t>
      </w:r>
    </w:p>
    <w:p w:rsidR="00D41417" w:rsidRDefault="00B1758A">
      <w:pPr>
        <w:spacing w:after="0" w:line="240" w:lineRule="auto"/>
        <w:ind w:left="0" w:right="0"/>
        <w:contextualSpacing/>
        <w:rPr>
          <w:lang w:val="sk-SK"/>
        </w:rPr>
      </w:pPr>
      <w:r>
        <w:rPr>
          <w:lang w:val="sk-SK"/>
        </w:rPr>
        <w:t xml:space="preserve">Odporúčaná liečebná dávka pre dojčatá vo veku 0 - 12 mesiacov je 3 mg/kg dvakrát denne. Dávkovanie vychádza z </w:t>
      </w:r>
      <w:proofErr w:type="spellStart"/>
      <w:r>
        <w:rPr>
          <w:lang w:val="sk-SK"/>
        </w:rPr>
        <w:t>farmakokinetických</w:t>
      </w:r>
      <w:proofErr w:type="spellEnd"/>
      <w:r>
        <w:rPr>
          <w:lang w:val="sk-SK"/>
        </w:rPr>
        <w:t xml:space="preserve"> údajov a bezpečnosti, ktoré naznačujú, že táto dávka zabezpečuje u dojčiat vo veku 0 - 12 mesiacov plazmatické koncentrácie „pro-</w:t>
      </w:r>
      <w:proofErr w:type="spellStart"/>
      <w:r>
        <w:rPr>
          <w:lang w:val="sk-SK"/>
        </w:rPr>
        <w:t>drug</w:t>
      </w:r>
      <w:proofErr w:type="spellEnd"/>
      <w:r>
        <w:rPr>
          <w:lang w:val="sk-SK"/>
        </w:rPr>
        <w:t xml:space="preserve">“ a aktívneho </w:t>
      </w:r>
      <w:proofErr w:type="spellStart"/>
      <w:r>
        <w:rPr>
          <w:lang w:val="sk-SK"/>
        </w:rPr>
        <w:t>metabolitu</w:t>
      </w:r>
      <w:proofErr w:type="spellEnd"/>
      <w:r>
        <w:rPr>
          <w:lang w:val="sk-SK"/>
        </w:rPr>
        <w:t xml:space="preserve">, o ktorých sa predpokladá, že sú klinicky účinné a majú bezpečnostný profil porovnateľný s tým, ktorý sa pozoroval u starších detí a u dospelých (pozri časť 5.2). Na liečbu dojčiat vo veku 0 - 12 mesiacov sa odporúča nasledujúci dávkovací režim: </w:t>
      </w:r>
    </w:p>
    <w:p w:rsidR="00D41417" w:rsidRDefault="00B1758A">
      <w:pPr>
        <w:spacing w:after="0" w:line="240" w:lineRule="auto"/>
        <w:ind w:left="0" w:right="0" w:firstLine="0"/>
        <w:contextualSpacing/>
        <w:rPr>
          <w:lang w:val="sk-SK"/>
        </w:rPr>
      </w:pPr>
      <w:r>
        <w:rPr>
          <w:lang w:val="sk-SK"/>
        </w:rPr>
        <w:t xml:space="preserve"> </w:t>
      </w:r>
    </w:p>
    <w:tbl>
      <w:tblPr>
        <w:tblStyle w:val="TableGrid"/>
        <w:tblW w:w="7865" w:type="dxa"/>
        <w:tblInd w:w="115" w:type="dxa"/>
        <w:tblCellMar>
          <w:top w:w="51" w:type="dxa"/>
          <w:left w:w="115" w:type="dxa"/>
          <w:right w:w="115" w:type="dxa"/>
        </w:tblCellMar>
        <w:tblLook w:val="04A0" w:firstRow="1" w:lastRow="0" w:firstColumn="1" w:lastColumn="0" w:noHBand="0" w:noVBand="1"/>
      </w:tblPr>
      <w:tblGrid>
        <w:gridCol w:w="2762"/>
        <w:gridCol w:w="5103"/>
      </w:tblGrid>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5 dní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 mg dvakrát denne </w:t>
            </w:r>
          </w:p>
        </w:tc>
      </w:tr>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mg dvakrát denne </w:t>
            </w:r>
          </w:p>
        </w:tc>
      </w:tr>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21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24 mg dvakrát denne </w:t>
            </w:r>
          </w:p>
        </w:tc>
      </w:tr>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27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dvakrát denne </w:t>
            </w:r>
          </w:p>
        </w:tc>
      </w:tr>
    </w:tbl>
    <w:p w:rsidR="00D41417" w:rsidRDefault="00B1758A">
      <w:pPr>
        <w:spacing w:after="0" w:line="240" w:lineRule="auto"/>
        <w:ind w:left="0" w:right="0" w:hanging="10"/>
        <w:contextualSpacing/>
        <w:rPr>
          <w:lang w:val="sk-SK"/>
        </w:rPr>
      </w:pPr>
      <w:r>
        <w:rPr>
          <w:rFonts w:eastAsia="MS Gothic"/>
          <w:lang w:val="sk-SK"/>
        </w:rPr>
        <w:t>* Táto tabuľka nie je navrhnutá tak, aby obsahovala všetky možné hmotnosti pre túto populáciu. Pre všetkých pacientov mladších ako 1 rok sa na určenie dávky majú použiť 3 mg/kg, a to bez ohľadu na telesnú hmotnosť pacienta.</w:t>
      </w: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Liečba sa má začať čo najskôr v priebehu dvoch dní po objavení symptómov chrípky.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Toto odporúčanie dávkovania nie je určené pre predčasne narodené deti, </w:t>
      </w:r>
      <w:proofErr w:type="spellStart"/>
      <w:r>
        <w:rPr>
          <w:lang w:val="sk-SK"/>
        </w:rPr>
        <w:t>t.j</w:t>
      </w:r>
      <w:proofErr w:type="spellEnd"/>
      <w:r>
        <w:rPr>
          <w:lang w:val="sk-SK"/>
        </w:rPr>
        <w:t xml:space="preserve">. pre tie, u ktorých je </w:t>
      </w:r>
      <w:proofErr w:type="spellStart"/>
      <w:r>
        <w:rPr>
          <w:lang w:val="sk-SK"/>
        </w:rPr>
        <w:t>postkoncepčný</w:t>
      </w:r>
      <w:proofErr w:type="spellEnd"/>
      <w:r>
        <w:rPr>
          <w:lang w:val="sk-SK"/>
        </w:rPr>
        <w:t xml:space="preserve"> vek menej ako 36 týždňov. Nie sú k dispozícii dostatočné údaje pre pacientov, u ktorých kvôli nezrelosti fyziologických funkcií môže byť potrebné odlišné dávkovanie. </w:t>
      </w:r>
    </w:p>
    <w:p w:rsidR="00D41417" w:rsidRDefault="00B1758A">
      <w:pPr>
        <w:spacing w:after="0" w:line="240" w:lineRule="auto"/>
        <w:ind w:left="0" w:right="0" w:firstLine="0"/>
        <w:contextualSpacing/>
        <w:rPr>
          <w:lang w:val="sk-SK"/>
        </w:rPr>
      </w:pPr>
      <w:r>
        <w:rPr>
          <w:lang w:val="sk-SK"/>
        </w:rPr>
        <w:lastRenderedPageBreak/>
        <w:t xml:space="preserve"> </w:t>
      </w:r>
    </w:p>
    <w:p w:rsidR="00D41417" w:rsidRDefault="00B1758A">
      <w:pPr>
        <w:spacing w:after="0" w:line="240" w:lineRule="auto"/>
        <w:ind w:left="0" w:right="0" w:hanging="10"/>
        <w:contextualSpacing/>
        <w:rPr>
          <w:lang w:val="sk-SK"/>
        </w:rPr>
      </w:pPr>
      <w:r>
        <w:rPr>
          <w:i/>
          <w:u w:val="single" w:color="000000"/>
          <w:lang w:val="sk-SK"/>
        </w:rPr>
        <w:t>Prevencia po expozícii:</w:t>
      </w:r>
      <w:r>
        <w:rPr>
          <w:lang w:val="sk-SK"/>
        </w:rPr>
        <w:t xml:space="preserve"> </w:t>
      </w:r>
    </w:p>
    <w:p w:rsidR="00D41417" w:rsidRDefault="00B1758A">
      <w:pPr>
        <w:spacing w:after="0" w:line="240" w:lineRule="auto"/>
        <w:ind w:left="0" w:right="0"/>
        <w:contextualSpacing/>
        <w:rPr>
          <w:lang w:val="sk-SK"/>
        </w:rPr>
      </w:pPr>
      <w:r>
        <w:rPr>
          <w:lang w:val="sk-SK"/>
        </w:rPr>
        <w:t xml:space="preserve">Odporúčaná dávka na prevenciu pre dojčatá vo veku do 1 roka počas vypuknutia pandémie chrípky je polovica dennej liečebnej dávky. Dávkovanie vychádza z klinických údajov u detí vo veku 1 rok alebo starších a u dospelých, ktoré ukazujú, že preventívna dávka rovnajúca sa polovici dennej liečebnej dávky je pri prevencii chrípky klinicky účinná. Na prevenciu chrípky u dojčiat vo veku 0 - 12 mesiacov sa odporúča nasledujúci dávkovací režim upravený na vek (pozri simuláciu expozície, časť 5.2): </w:t>
      </w:r>
    </w:p>
    <w:p w:rsidR="00D41417" w:rsidRDefault="00B1758A">
      <w:pPr>
        <w:spacing w:after="0" w:line="240" w:lineRule="auto"/>
        <w:ind w:left="0" w:right="0" w:firstLine="0"/>
        <w:contextualSpacing/>
        <w:rPr>
          <w:lang w:val="sk-SK"/>
        </w:rPr>
      </w:pPr>
      <w:r>
        <w:rPr>
          <w:lang w:val="sk-SK"/>
        </w:rPr>
        <w:t xml:space="preserve"> </w:t>
      </w:r>
    </w:p>
    <w:tbl>
      <w:tblPr>
        <w:tblStyle w:val="TableGrid"/>
        <w:tblW w:w="7764" w:type="dxa"/>
        <w:tblInd w:w="115" w:type="dxa"/>
        <w:tblCellMar>
          <w:top w:w="53" w:type="dxa"/>
          <w:left w:w="115" w:type="dxa"/>
          <w:right w:w="115" w:type="dxa"/>
        </w:tblCellMar>
        <w:tblLook w:val="04A0" w:firstRow="1" w:lastRow="0" w:firstColumn="1" w:lastColumn="0" w:noHBand="0" w:noVBand="1"/>
      </w:tblPr>
      <w:tblGrid>
        <w:gridCol w:w="3079"/>
        <w:gridCol w:w="4685"/>
      </w:tblGrid>
      <w:tr w:rsidR="00D41417">
        <w:trPr>
          <w:trHeight w:val="262"/>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Vek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10 dní </w:t>
            </w:r>
          </w:p>
        </w:tc>
      </w:tr>
      <w:tr w:rsidR="00D41417">
        <w:trPr>
          <w:trHeight w:val="264"/>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0 - 12 mesiacov</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 mg/kg raz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Toto odporúčanie dávkovania nie je určené pre predčasne narodené deti, </w:t>
      </w:r>
      <w:proofErr w:type="spellStart"/>
      <w:r>
        <w:rPr>
          <w:lang w:val="sk-SK"/>
        </w:rPr>
        <w:t>t.j</w:t>
      </w:r>
      <w:proofErr w:type="spellEnd"/>
      <w:r>
        <w:rPr>
          <w:lang w:val="sk-SK"/>
        </w:rPr>
        <w:t xml:space="preserve">. pre tie, u ktorých je </w:t>
      </w:r>
      <w:proofErr w:type="spellStart"/>
      <w:r>
        <w:rPr>
          <w:lang w:val="sk-SK"/>
        </w:rPr>
        <w:t>postkoncepčný</w:t>
      </w:r>
      <w:proofErr w:type="spellEnd"/>
      <w:r>
        <w:rPr>
          <w:lang w:val="sk-SK"/>
        </w:rPr>
        <w:t xml:space="preserve"> vek menej ako 36 týždňov. Nie sú k dispozícii dostatočné údaje pre pacientov, u ktorých kvôli nezrelosti fyziologických funkcií môže byť potrebné odlišné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Použitie v prevencii počas epidémie chrípky v okolí:</w:t>
      </w:r>
      <w:r>
        <w:rPr>
          <w:i/>
          <w:lang w:val="sk-SK"/>
        </w:rPr>
        <w:t xml:space="preserve"> </w:t>
      </w:r>
      <w:r>
        <w:rPr>
          <w:lang w:val="sk-SK"/>
        </w:rPr>
        <w:t xml:space="preserve">Použitie v prevencii počas epidémie chrípky u detí vo veku 0 - 12 mesiacov nebolo predmetom štúdií.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Osobitné skupiny pacientov</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lang w:val="sk-SK"/>
        </w:rPr>
      </w:pPr>
      <w:r>
        <w:rPr>
          <w:i/>
          <w:lang w:val="sk-SK"/>
        </w:rPr>
        <w:t xml:space="preserve">Poškodenie pečene </w:t>
      </w:r>
    </w:p>
    <w:p w:rsidR="00D41417" w:rsidRDefault="00B1758A">
      <w:pPr>
        <w:spacing w:after="0" w:line="240" w:lineRule="auto"/>
        <w:ind w:left="0" w:right="0"/>
        <w:contextualSpacing/>
        <w:rPr>
          <w:lang w:val="sk-SK"/>
        </w:rPr>
      </w:pPr>
      <w:r>
        <w:rPr>
          <w:lang w:val="sk-SK"/>
        </w:rPr>
        <w:t xml:space="preserve">U pacientov s dysfunkciou pečene nie je potrebné upraviť dávkovanie na liečbu, ani na prevenciu. Neuskutočnili sa žiadne štúdie u pediatrických pacientov s poruchou funkcie pečene.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Poškodenie obličiek</w:t>
      </w:r>
    </w:p>
    <w:p w:rsidR="00D41417" w:rsidRDefault="00B1758A">
      <w:pPr>
        <w:spacing w:after="0" w:line="240" w:lineRule="auto"/>
        <w:ind w:left="0" w:right="0"/>
        <w:contextualSpacing/>
        <w:rPr>
          <w:lang w:val="sk-SK"/>
        </w:rPr>
      </w:pPr>
      <w:r>
        <w:rPr>
          <w:i/>
          <w:u w:val="single" w:color="000000"/>
          <w:lang w:val="sk-SK"/>
        </w:rPr>
        <w:t>Liečba chrípky</w:t>
      </w:r>
      <w:r>
        <w:rPr>
          <w:lang w:val="sk-SK"/>
        </w:rPr>
        <w:t xml:space="preserve">: U dospelých a dospievajúcich (13 až 17 rokov) jedincov so stredne ťažkým alebo s ťažkým poškodením funkcie obličiek sa odporúča upraviť dávkovanie. Odporúčané dávky sú uvedené v nasledujúcej tabuľke. </w:t>
      </w:r>
    </w:p>
    <w:p w:rsidR="00D41417" w:rsidRDefault="00B1758A">
      <w:pPr>
        <w:spacing w:after="0" w:line="240" w:lineRule="auto"/>
        <w:ind w:left="0" w:right="0" w:firstLine="0"/>
        <w:contextualSpacing/>
        <w:rPr>
          <w:lang w:val="sk-SK"/>
        </w:rPr>
      </w:pPr>
      <w:r>
        <w:rPr>
          <w:lang w:val="sk-SK"/>
        </w:rPr>
        <w:t xml:space="preserve"> </w:t>
      </w:r>
    </w:p>
    <w:tbl>
      <w:tblPr>
        <w:tblStyle w:val="TableGrid"/>
        <w:tblW w:w="9072" w:type="dxa"/>
        <w:tblInd w:w="132" w:type="dxa"/>
        <w:tblCellMar>
          <w:top w:w="51" w:type="dxa"/>
          <w:left w:w="132" w:type="dxa"/>
          <w:right w:w="24" w:type="dxa"/>
        </w:tblCellMar>
        <w:tblLook w:val="04A0" w:firstRow="1" w:lastRow="0" w:firstColumn="1" w:lastColumn="0" w:noHBand="0" w:noVBand="1"/>
      </w:tblPr>
      <w:tblGrid>
        <w:gridCol w:w="4537"/>
        <w:gridCol w:w="4535"/>
      </w:tblGrid>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proofErr w:type="spellStart"/>
            <w:r>
              <w:rPr>
                <w:b/>
                <w:lang w:val="sk-SK"/>
              </w:rPr>
              <w:t>Klírens</w:t>
            </w:r>
            <w:proofErr w:type="spellEnd"/>
            <w:r>
              <w:rPr>
                <w:b/>
                <w:lang w:val="sk-SK"/>
              </w:rPr>
              <w:t xml:space="preserve"> </w:t>
            </w:r>
            <w:proofErr w:type="spellStart"/>
            <w:r>
              <w:rPr>
                <w:b/>
                <w:lang w:val="sk-SK"/>
              </w:rPr>
              <w:t>kreatinínu</w:t>
            </w:r>
            <w:proofErr w:type="spellEnd"/>
            <w:r>
              <w:rPr>
                <w:b/>
                <w:lang w:val="sk-SK"/>
              </w:rPr>
              <w:t xml:space="preserve">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Odporučená dávka na liečbu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dvakrát denne </w:t>
            </w:r>
          </w:p>
        </w:tc>
      </w:tr>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30 až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dvakrát denne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10 až 30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raz denne </w:t>
            </w:r>
          </w:p>
        </w:tc>
      </w:tr>
      <w:tr w:rsidR="00D41417" w:rsidRPr="00E1009E">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10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Neodporúča sa (nie sú k dispozícii žiadne údaje)</w:t>
            </w:r>
          </w:p>
        </w:tc>
      </w:tr>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proofErr w:type="spellStart"/>
            <w:r>
              <w:rPr>
                <w:lang w:val="sk-SK"/>
              </w:rPr>
              <w:t>Hemodialyzovaní</w:t>
            </w:r>
            <w:proofErr w:type="spellEnd"/>
            <w:r>
              <w:rPr>
                <w:lang w:val="sk-SK"/>
              </w:rPr>
              <w:t xml:space="preserve"> pacienti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po každej hemodialýze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Pacienti na </w:t>
            </w:r>
            <w:proofErr w:type="spellStart"/>
            <w:r>
              <w:rPr>
                <w:lang w:val="sk-SK"/>
              </w:rPr>
              <w:t>peritoneálnej</w:t>
            </w:r>
            <w:proofErr w:type="spellEnd"/>
            <w:r>
              <w:rPr>
                <w:lang w:val="sk-SK"/>
              </w:rPr>
              <w:t xml:space="preserve"> dialýze*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jednu dávku </w:t>
            </w:r>
          </w:p>
        </w:tc>
      </w:tr>
    </w:tbl>
    <w:p w:rsidR="00D41417" w:rsidRDefault="00B1758A">
      <w:pPr>
        <w:numPr>
          <w:ilvl w:val="0"/>
          <w:numId w:val="3"/>
        </w:numPr>
        <w:spacing w:after="0" w:line="240" w:lineRule="auto"/>
        <w:ind w:right="0" w:hanging="142"/>
        <w:contextualSpacing/>
        <w:rPr>
          <w:lang w:val="sk-SK"/>
        </w:rPr>
      </w:pPr>
      <w:r>
        <w:rPr>
          <w:lang w:val="sk-SK"/>
        </w:rPr>
        <w:t xml:space="preserve">Údaje získané zo štúdií pacientov na kontinuálnej ambulantnej </w:t>
      </w:r>
      <w:proofErr w:type="spellStart"/>
      <w:r>
        <w:rPr>
          <w:lang w:val="sk-SK"/>
        </w:rPr>
        <w:t>peritoneálnej</w:t>
      </w:r>
      <w:proofErr w:type="spellEnd"/>
      <w:r>
        <w:rPr>
          <w:lang w:val="sk-SK"/>
        </w:rPr>
        <w:t xml:space="preserve"> dialýze (CAPD); je predpoklad, že </w:t>
      </w:r>
      <w:proofErr w:type="spellStart"/>
      <w:r>
        <w:rPr>
          <w:lang w:val="sk-SK"/>
        </w:rPr>
        <w:t>klírens</w:t>
      </w:r>
      <w:proofErr w:type="spellEnd"/>
      <w:r>
        <w:rPr>
          <w:lang w:val="sk-SK"/>
        </w:rPr>
        <w:t xml:space="preserve"> </w:t>
      </w:r>
      <w:proofErr w:type="spellStart"/>
      <w:r>
        <w:rPr>
          <w:lang w:val="sk-SK"/>
        </w:rPr>
        <w:t>oseltamiviru</w:t>
      </w:r>
      <w:proofErr w:type="spellEnd"/>
      <w:r>
        <w:rPr>
          <w:lang w:val="sk-SK"/>
        </w:rPr>
        <w:t xml:space="preserve"> </w:t>
      </w:r>
      <w:proofErr w:type="spellStart"/>
      <w:r>
        <w:rPr>
          <w:lang w:val="sk-SK"/>
        </w:rPr>
        <w:t>karboxylátu</w:t>
      </w:r>
      <w:proofErr w:type="spellEnd"/>
      <w:r>
        <w:rPr>
          <w:lang w:val="sk-SK"/>
        </w:rPr>
        <w:t xml:space="preserve"> bude vyšší, ak sa používa automatizovaná </w:t>
      </w:r>
      <w:proofErr w:type="spellStart"/>
      <w:r>
        <w:rPr>
          <w:lang w:val="sk-SK"/>
        </w:rPr>
        <w:t>peritoneálna</w:t>
      </w:r>
      <w:proofErr w:type="spellEnd"/>
      <w:r>
        <w:rPr>
          <w:lang w:val="sk-SK"/>
        </w:rPr>
        <w:t xml:space="preserve"> dialýza (APD). Ak je to nevyhnutné, </w:t>
      </w:r>
      <w:proofErr w:type="spellStart"/>
      <w:r>
        <w:rPr>
          <w:lang w:val="sk-SK"/>
        </w:rPr>
        <w:t>nefrológ</w:t>
      </w:r>
      <w:proofErr w:type="spellEnd"/>
      <w:r>
        <w:rPr>
          <w:lang w:val="sk-SK"/>
        </w:rPr>
        <w:t xml:space="preserve"> môže zmeniť liečbu z APD na CAPD.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chrípky</w:t>
      </w:r>
      <w:r>
        <w:rPr>
          <w:lang w:val="sk-SK"/>
        </w:rPr>
        <w:t xml:space="preserve">: U dospelých a dospievajúcich (13 až 17 rokov) so stredne ťažkým alebo s ťažkým poškodením obličiek sa odporúča upraviť dávkovanie podľa nasledujúcej tabuľky. </w:t>
      </w:r>
    </w:p>
    <w:p w:rsidR="00D41417" w:rsidRDefault="00B1758A">
      <w:pPr>
        <w:spacing w:after="0" w:line="240" w:lineRule="auto"/>
        <w:ind w:left="0" w:right="0" w:firstLine="0"/>
        <w:contextualSpacing/>
        <w:rPr>
          <w:lang w:val="sk-SK"/>
        </w:rPr>
      </w:pPr>
      <w:r>
        <w:rPr>
          <w:lang w:val="sk-SK"/>
        </w:rPr>
        <w:t xml:space="preserve"> </w:t>
      </w:r>
    </w:p>
    <w:tbl>
      <w:tblPr>
        <w:tblStyle w:val="TableGrid"/>
        <w:tblW w:w="9072" w:type="dxa"/>
        <w:tblInd w:w="132" w:type="dxa"/>
        <w:tblCellMar>
          <w:top w:w="51" w:type="dxa"/>
          <w:left w:w="132" w:type="dxa"/>
          <w:right w:w="77" w:type="dxa"/>
        </w:tblCellMar>
        <w:tblLook w:val="04A0" w:firstRow="1" w:lastRow="0" w:firstColumn="1" w:lastColumn="0" w:noHBand="0" w:noVBand="1"/>
      </w:tblPr>
      <w:tblGrid>
        <w:gridCol w:w="4537"/>
        <w:gridCol w:w="4535"/>
      </w:tblGrid>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proofErr w:type="spellStart"/>
            <w:r>
              <w:rPr>
                <w:b/>
                <w:lang w:val="sk-SK"/>
              </w:rPr>
              <w:t>Klírens</w:t>
            </w:r>
            <w:proofErr w:type="spellEnd"/>
            <w:r>
              <w:rPr>
                <w:b/>
                <w:lang w:val="sk-SK"/>
              </w:rPr>
              <w:t xml:space="preserve"> </w:t>
            </w:r>
            <w:proofErr w:type="spellStart"/>
            <w:r>
              <w:rPr>
                <w:b/>
                <w:lang w:val="sk-SK"/>
              </w:rPr>
              <w:t>kreatinínu</w:t>
            </w:r>
            <w:proofErr w:type="spellEnd"/>
            <w:r>
              <w:rPr>
                <w:b/>
                <w:lang w:val="sk-SK"/>
              </w:rPr>
              <w:t xml:space="preserve">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Odporučená dávka na prevenciu </w:t>
            </w:r>
          </w:p>
        </w:tc>
      </w:tr>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raz denne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30 až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raz denne </w:t>
            </w:r>
          </w:p>
        </w:tc>
      </w:tr>
      <w:tr w:rsidR="00D41417">
        <w:trPr>
          <w:trHeight w:val="22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10 až 30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30 mg každý druhý deň</w:t>
            </w:r>
          </w:p>
        </w:tc>
      </w:tr>
      <w:tr w:rsidR="00D41417" w:rsidRPr="00E1009E">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10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Neodporúča sa (nie sú k dispozícii žiadne údaje) </w:t>
            </w:r>
          </w:p>
        </w:tc>
      </w:tr>
      <w:tr w:rsidR="00D41417" w:rsidRPr="00E1009E">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proofErr w:type="spellStart"/>
            <w:r>
              <w:rPr>
                <w:lang w:val="sk-SK"/>
              </w:rPr>
              <w:t>Hemodialyzovaní</w:t>
            </w:r>
            <w:proofErr w:type="spellEnd"/>
            <w:r>
              <w:rPr>
                <w:lang w:val="sk-SK"/>
              </w:rPr>
              <w:t xml:space="preserve"> pacienti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po každej druhej hemodialýze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Pacienti na </w:t>
            </w:r>
            <w:proofErr w:type="spellStart"/>
            <w:r>
              <w:rPr>
                <w:lang w:val="sk-SK"/>
              </w:rPr>
              <w:t>peritoneálnej</w:t>
            </w:r>
            <w:proofErr w:type="spellEnd"/>
            <w:r>
              <w:rPr>
                <w:lang w:val="sk-SK"/>
              </w:rPr>
              <w:t xml:space="preserve"> dialýze*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raz týždenne </w:t>
            </w:r>
          </w:p>
        </w:tc>
      </w:tr>
    </w:tbl>
    <w:p w:rsidR="00D41417" w:rsidRDefault="00B1758A">
      <w:pPr>
        <w:numPr>
          <w:ilvl w:val="0"/>
          <w:numId w:val="3"/>
        </w:numPr>
        <w:spacing w:after="0" w:line="240" w:lineRule="auto"/>
        <w:ind w:right="0" w:hanging="142"/>
        <w:contextualSpacing/>
        <w:rPr>
          <w:lang w:val="sk-SK"/>
        </w:rPr>
      </w:pPr>
      <w:r>
        <w:rPr>
          <w:lang w:val="sk-SK"/>
        </w:rPr>
        <w:lastRenderedPageBreak/>
        <w:t xml:space="preserve">Údaje získané zo štúdií pacientov na kontinuálnej ambulantnej </w:t>
      </w:r>
      <w:proofErr w:type="spellStart"/>
      <w:r>
        <w:rPr>
          <w:lang w:val="sk-SK"/>
        </w:rPr>
        <w:t>peritoneálnej</w:t>
      </w:r>
      <w:proofErr w:type="spellEnd"/>
      <w:r>
        <w:rPr>
          <w:lang w:val="sk-SK"/>
        </w:rPr>
        <w:t xml:space="preserve"> dialýze (CAPD); je predpoklad, že </w:t>
      </w:r>
      <w:proofErr w:type="spellStart"/>
      <w:r>
        <w:rPr>
          <w:lang w:val="sk-SK"/>
        </w:rPr>
        <w:t>klírens</w:t>
      </w:r>
      <w:proofErr w:type="spellEnd"/>
      <w:r>
        <w:rPr>
          <w:lang w:val="sk-SK"/>
        </w:rPr>
        <w:t xml:space="preserve"> </w:t>
      </w:r>
      <w:proofErr w:type="spellStart"/>
      <w:r>
        <w:rPr>
          <w:lang w:val="sk-SK"/>
        </w:rPr>
        <w:t>oseltamiviru</w:t>
      </w:r>
      <w:proofErr w:type="spellEnd"/>
      <w:r>
        <w:rPr>
          <w:lang w:val="sk-SK"/>
        </w:rPr>
        <w:t xml:space="preserve"> </w:t>
      </w:r>
      <w:proofErr w:type="spellStart"/>
      <w:r>
        <w:rPr>
          <w:lang w:val="sk-SK"/>
        </w:rPr>
        <w:t>karboxylátu</w:t>
      </w:r>
      <w:proofErr w:type="spellEnd"/>
      <w:r>
        <w:rPr>
          <w:lang w:val="sk-SK"/>
        </w:rPr>
        <w:t xml:space="preserve"> bude vyšší, ak sa používa automatizovaná </w:t>
      </w:r>
      <w:proofErr w:type="spellStart"/>
      <w:r>
        <w:rPr>
          <w:lang w:val="sk-SK"/>
        </w:rPr>
        <w:t>peritoneálna</w:t>
      </w:r>
      <w:proofErr w:type="spellEnd"/>
      <w:r>
        <w:rPr>
          <w:lang w:val="sk-SK"/>
        </w:rPr>
        <w:t xml:space="preserve"> dialýza (APD). Ak je to nevyhnutné, </w:t>
      </w:r>
      <w:proofErr w:type="spellStart"/>
      <w:r>
        <w:rPr>
          <w:lang w:val="sk-SK"/>
        </w:rPr>
        <w:t>nefrológ</w:t>
      </w:r>
      <w:proofErr w:type="spellEnd"/>
      <w:r>
        <w:rPr>
          <w:lang w:val="sk-SK"/>
        </w:rPr>
        <w:t xml:space="preserve"> môže zmeniť liečbu z APD na CAPD.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Nie sú dostupné dostatočné klinické údaje u dojčiat a detí (vo veku 12 rokov a mladšie) s poškodením  obličiek, ktoré by umožnili určiť odporúčané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Starší pacienti </w:t>
      </w:r>
    </w:p>
    <w:p w:rsidR="00D41417" w:rsidRDefault="00B1758A">
      <w:pPr>
        <w:spacing w:after="0" w:line="240" w:lineRule="auto"/>
        <w:ind w:left="0" w:right="0"/>
        <w:contextualSpacing/>
        <w:rPr>
          <w:lang w:val="sk-SK"/>
        </w:rPr>
      </w:pPr>
      <w:r>
        <w:rPr>
          <w:lang w:val="sk-SK"/>
        </w:rPr>
        <w:t xml:space="preserve">Ak nie je náznak ťažkého alebo stredne ťažkého poškodenia obličiek, nie je potrebné upraviť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Pacienti s oslabeným imunitným systémom</w:t>
      </w:r>
    </w:p>
    <w:p w:rsidR="00D41417" w:rsidRDefault="00B1758A">
      <w:pPr>
        <w:spacing w:after="0" w:line="240" w:lineRule="auto"/>
        <w:ind w:left="0" w:right="0" w:hanging="10"/>
        <w:contextualSpacing/>
        <w:rPr>
          <w:lang w:val="sk-SK"/>
        </w:rPr>
      </w:pPr>
      <w:r>
        <w:rPr>
          <w:i/>
          <w:lang w:val="sk-SK"/>
        </w:rPr>
        <w:t xml:space="preserve">Liečba: </w:t>
      </w:r>
      <w:r>
        <w:rPr>
          <w:lang w:val="sk-SK"/>
        </w:rPr>
        <w:t xml:space="preserve">Odporúčaná perorálna dávka u dospelých je 75 mg </w:t>
      </w:r>
      <w:proofErr w:type="spellStart"/>
      <w:r>
        <w:rPr>
          <w:lang w:val="sk-SK"/>
        </w:rPr>
        <w:t>oseltamiviru</w:t>
      </w:r>
      <w:proofErr w:type="spellEnd"/>
      <w:r>
        <w:rPr>
          <w:lang w:val="sk-SK"/>
        </w:rPr>
        <w:t xml:space="preserve"> dvakrát denne 10 dní (pozri časti 4.4, 4.8 a 5.1). Liečba sa má začať čo najskôr ako je možné v rámci prvých dvoch dní od nástupu príznakov chrípky.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lang w:val="sk-SK"/>
        </w:rPr>
        <w:t>Sezónna profylaxia:</w:t>
      </w:r>
      <w:r>
        <w:rPr>
          <w:lang w:val="sk-SK"/>
        </w:rPr>
        <w:t xml:space="preserve"> Dlhšie trvanie sezónnej profylaxie až do 12 týždňov bolo vyhodnotené u pacientov s oslabeným imunitným systémom (pozri časti 4.4, 4.8 a 5.1).</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Spôsob podávania</w:t>
      </w:r>
      <w:r>
        <w:rPr>
          <w:u w:val="none"/>
          <w:lang w:val="sk-SK"/>
        </w:rPr>
        <w:t xml:space="preserve"> </w:t>
      </w:r>
    </w:p>
    <w:p w:rsidR="00D41417" w:rsidRDefault="00B1758A">
      <w:pPr>
        <w:spacing w:after="0" w:line="240" w:lineRule="auto"/>
        <w:ind w:left="0" w:right="0"/>
        <w:contextualSpacing/>
        <w:rPr>
          <w:lang w:val="sk-SK"/>
        </w:rPr>
      </w:pPr>
      <w:r>
        <w:rPr>
          <w:lang w:val="sk-SK"/>
        </w:rPr>
        <w:t xml:space="preserve">Perorálne použitie. </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Pacienti, ktorí nie sú schopní prehĺtať kapsuly, môžu užívať vhodné dávky prášku </w:t>
      </w:r>
      <w:proofErr w:type="spellStart"/>
      <w:r>
        <w:rPr>
          <w:lang w:val="sk-SK"/>
        </w:rPr>
        <w:t>oseltamiviru</w:t>
      </w:r>
      <w:proofErr w:type="spellEnd"/>
      <w:r>
        <w:rPr>
          <w:lang w:val="sk-SK"/>
        </w:rPr>
        <w:t xml:space="preserve"> na perorálnu suspenziu, nie však pod týmto obchodným názvom.</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Pokyny na prípravu núdzovej formy lieku, pozri časť 6.6. </w:t>
      </w:r>
    </w:p>
    <w:p w:rsidR="00D41417" w:rsidRDefault="00D41417">
      <w:pPr>
        <w:spacing w:after="0" w:line="240" w:lineRule="auto"/>
        <w:ind w:left="0" w:right="0" w:firstLine="0"/>
        <w:contextualSpacing/>
        <w:rPr>
          <w:lang w:val="sk-SK"/>
        </w:rPr>
      </w:pPr>
    </w:p>
    <w:p w:rsidR="00D41417" w:rsidRDefault="00B1758A">
      <w:pPr>
        <w:tabs>
          <w:tab w:val="center" w:pos="1350"/>
        </w:tabs>
        <w:spacing w:after="0" w:line="240" w:lineRule="auto"/>
        <w:ind w:left="0" w:right="0" w:firstLine="0"/>
        <w:contextualSpacing/>
        <w:rPr>
          <w:lang w:val="sk-SK"/>
        </w:rPr>
      </w:pPr>
      <w:r>
        <w:rPr>
          <w:b/>
          <w:lang w:val="sk-SK"/>
        </w:rPr>
        <w:t xml:space="preserve">4.3 </w:t>
      </w:r>
      <w:r>
        <w:rPr>
          <w:b/>
          <w:lang w:val="sk-SK"/>
        </w:rPr>
        <w:tab/>
        <w:t xml:space="preserve">Kontraindikácie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spacing w:after="0" w:line="240" w:lineRule="auto"/>
        <w:ind w:left="0" w:right="0"/>
        <w:contextualSpacing/>
        <w:rPr>
          <w:lang w:val="sk-SK"/>
        </w:rPr>
      </w:pPr>
      <w:r>
        <w:rPr>
          <w:lang w:val="sk-SK"/>
        </w:rPr>
        <w:t xml:space="preserve">Precitlivenosť na liečivo alebo na ktorúkoľvek z pomocných látok uvedených v časti 6.1.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3"/>
        <w:tabs>
          <w:tab w:val="center" w:pos="2832"/>
        </w:tabs>
        <w:spacing w:after="0" w:line="240" w:lineRule="auto"/>
        <w:ind w:left="0" w:right="1221" w:firstLine="0"/>
        <w:contextualSpacing/>
        <w:rPr>
          <w:lang w:val="sk-SK"/>
        </w:rPr>
      </w:pPr>
      <w:r>
        <w:rPr>
          <w:lang w:val="sk-SK"/>
        </w:rPr>
        <w:t xml:space="preserve">4.4 </w:t>
      </w:r>
      <w:r>
        <w:rPr>
          <w:lang w:val="sk-SK"/>
        </w:rPr>
        <w:tab/>
        <w:t xml:space="preserve">Osobitné upozornenia a opatrenia pri používaní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je účinný len proti chorobe spôsobenej chrípkovými vírusmi. Neexistuje žiadny dôkaz pre účinnosť </w:t>
      </w:r>
      <w:proofErr w:type="spellStart"/>
      <w:r>
        <w:rPr>
          <w:lang w:val="sk-SK"/>
        </w:rPr>
        <w:t>oseltamiviru</w:t>
      </w:r>
      <w:proofErr w:type="spellEnd"/>
      <w:r>
        <w:rPr>
          <w:lang w:val="sk-SK"/>
        </w:rPr>
        <w:t xml:space="preserve"> pri akejkoľvek chorobe spôsobenej inými agensmi ako sú chrípkové vírusy (pozri časť 5.1).</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u w:val="single" w:color="000000"/>
          <w:lang w:val="sk-SK"/>
        </w:rPr>
        <w:t>Oseltamivir</w:t>
      </w:r>
      <w:proofErr w:type="spellEnd"/>
      <w:r>
        <w:rPr>
          <w:u w:val="single" w:color="000000"/>
          <w:lang w:val="sk-SK"/>
        </w:rPr>
        <w:t xml:space="preserve"> nie je náhrada za vakcináciu chrípky</w:t>
      </w:r>
      <w:r>
        <w:rPr>
          <w:lang w:val="sk-SK"/>
        </w:rPr>
        <w:t xml:space="preserve">. Použitie </w:t>
      </w:r>
      <w:proofErr w:type="spellStart"/>
      <w:r>
        <w:rPr>
          <w:lang w:val="sk-SK"/>
        </w:rPr>
        <w:t>oseltamiviru</w:t>
      </w:r>
      <w:proofErr w:type="spellEnd"/>
      <w:r>
        <w:rPr>
          <w:lang w:val="sk-SK"/>
        </w:rPr>
        <w:t xml:space="preserve"> nesmie ovplyvniť posúdenie každoročnej vakcinácie proti chrípke u jednotlivcov. Ochrana proti chrípke trvá len dovtedy, kým sa podáva </w:t>
      </w:r>
      <w:proofErr w:type="spellStart"/>
      <w:r>
        <w:rPr>
          <w:lang w:val="sk-SK"/>
        </w:rPr>
        <w:t>oseltamivir</w:t>
      </w:r>
      <w:proofErr w:type="spellEnd"/>
      <w:r>
        <w:rPr>
          <w:lang w:val="sk-SK"/>
        </w:rPr>
        <w:t xml:space="preserve">. </w:t>
      </w:r>
      <w:proofErr w:type="spellStart"/>
      <w:r>
        <w:rPr>
          <w:lang w:val="sk-SK"/>
        </w:rPr>
        <w:t>Oseltamivir</w:t>
      </w:r>
      <w:proofErr w:type="spellEnd"/>
      <w:r>
        <w:rPr>
          <w:lang w:val="sk-SK"/>
        </w:rPr>
        <w:t xml:space="preserve"> sa používa na liečbu a prevenciu chrípky, len keď spoľahlivé epidemiologické údaje naznačujú, že vírus chrípky cirkuluje v okolí. </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Citlivosť cirkulujúceho kmeňa vírusu chrípky na </w:t>
      </w:r>
      <w:proofErr w:type="spellStart"/>
      <w:r>
        <w:rPr>
          <w:lang w:val="sk-SK"/>
        </w:rPr>
        <w:t>oseltamivir</w:t>
      </w:r>
      <w:proofErr w:type="spellEnd"/>
      <w:r>
        <w:rPr>
          <w:lang w:val="sk-SK"/>
        </w:rPr>
        <w:t xml:space="preserve"> sa ukázala byť veľmi variabilná (pozri časť 5.1). Preto predpisujúci lekári majú brať do úvahy posledné dostupné informácie o citlivosti aktuálne cirkulujúcich kmeňov na </w:t>
      </w:r>
      <w:proofErr w:type="spellStart"/>
      <w:r>
        <w:rPr>
          <w:lang w:val="sk-SK"/>
        </w:rPr>
        <w:t>oseltamivir</w:t>
      </w:r>
      <w:proofErr w:type="spellEnd"/>
      <w:r>
        <w:rPr>
          <w:lang w:val="sk-SK"/>
        </w:rPr>
        <w:t xml:space="preserve">, keď zvažujú, či použiť </w:t>
      </w:r>
      <w:proofErr w:type="spellStart"/>
      <w:r>
        <w:rPr>
          <w:lang w:val="sk-SK"/>
        </w:rPr>
        <w:t>oseltamivir</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proofErr w:type="spellStart"/>
      <w:r>
        <w:rPr>
          <w:lang w:val="sk-SK"/>
        </w:rPr>
        <w:t>Konkomitantné</w:t>
      </w:r>
      <w:proofErr w:type="spellEnd"/>
      <w:r>
        <w:rPr>
          <w:lang w:val="sk-SK"/>
        </w:rPr>
        <w:t xml:space="preserve"> závažné stavy</w:t>
      </w:r>
      <w:r>
        <w:rPr>
          <w:u w:val="none"/>
          <w:lang w:val="sk-SK"/>
        </w:rPr>
        <w:t xml:space="preserve"> </w:t>
      </w:r>
    </w:p>
    <w:p w:rsidR="00D41417" w:rsidRDefault="00B1758A">
      <w:pPr>
        <w:spacing w:after="0" w:line="240" w:lineRule="auto"/>
        <w:ind w:left="0" w:right="0"/>
        <w:contextualSpacing/>
        <w:rPr>
          <w:lang w:val="sk-SK"/>
        </w:rPr>
      </w:pPr>
      <w:r>
        <w:rPr>
          <w:lang w:val="sk-SK"/>
        </w:rPr>
        <w:t xml:space="preserve">Nie sú dostupné žiadne informácie o bezpečnosti a účinnosti </w:t>
      </w:r>
      <w:proofErr w:type="spellStart"/>
      <w:r>
        <w:rPr>
          <w:lang w:val="sk-SK"/>
        </w:rPr>
        <w:t>oseltamiviru</w:t>
      </w:r>
      <w:proofErr w:type="spellEnd"/>
      <w:r>
        <w:rPr>
          <w:lang w:val="sk-SK"/>
        </w:rPr>
        <w:t xml:space="preserve"> u pacientov s akýmkoľvek dostatočne závažným alebo nestabilným klinickým stavom, s hroziacim rizikom hospitalizácie.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Pacienti s oslabeným imunitným systémom</w:t>
      </w:r>
      <w:r>
        <w:rPr>
          <w:u w:val="none"/>
          <w:lang w:val="sk-SK"/>
        </w:rPr>
        <w:t xml:space="preserve"> </w:t>
      </w:r>
    </w:p>
    <w:p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či už v liečbe alebo v profylaxii chrípky u pacientov s oslabeným imunitným systémom nebola jednoznačne stanovená. Dĺžka trvania liečby chrípky u dospelých pacientov </w:t>
      </w:r>
      <w:r>
        <w:rPr>
          <w:u w:color="000000"/>
          <w:lang w:val="sk-SK"/>
        </w:rPr>
        <w:t xml:space="preserve">s oslabeným imunitným systémom však </w:t>
      </w:r>
      <w:r>
        <w:rPr>
          <w:lang w:val="sk-SK"/>
        </w:rPr>
        <w:t xml:space="preserve">má byť 10 dní, keďže v tejto skupine pacientov neboli vykonané štúdie kratšej liečby s </w:t>
      </w:r>
      <w:proofErr w:type="spellStart"/>
      <w:r>
        <w:rPr>
          <w:lang w:val="sk-SK"/>
        </w:rPr>
        <w:t>oseltamivirom</w:t>
      </w:r>
      <w:proofErr w:type="spellEnd"/>
      <w:r>
        <w:rPr>
          <w:lang w:val="sk-SK"/>
        </w:rPr>
        <w:t xml:space="preserve"> (pozri časť 5.1). </w:t>
      </w:r>
    </w:p>
    <w:p w:rsidR="00D41417" w:rsidRDefault="00B1758A">
      <w:pPr>
        <w:spacing w:after="0" w:line="240" w:lineRule="auto"/>
        <w:ind w:left="0" w:right="0" w:firstLine="0"/>
        <w:contextualSpacing/>
        <w:rPr>
          <w:lang w:val="sk-SK"/>
        </w:rPr>
      </w:pPr>
      <w:r>
        <w:rPr>
          <w:lang w:val="sk-SK"/>
        </w:rPr>
        <w:lastRenderedPageBreak/>
        <w:t xml:space="preserve"> </w:t>
      </w:r>
    </w:p>
    <w:p w:rsidR="00D41417" w:rsidRDefault="00B1758A">
      <w:pPr>
        <w:pStyle w:val="Nadpis2"/>
        <w:spacing w:after="0" w:line="240" w:lineRule="auto"/>
        <w:ind w:left="0" w:right="1221"/>
        <w:contextualSpacing/>
        <w:rPr>
          <w:lang w:val="sk-SK"/>
        </w:rPr>
      </w:pPr>
      <w:r>
        <w:rPr>
          <w:lang w:val="sk-SK"/>
        </w:rPr>
        <w:t>Srdcové/respiračné ochorenie</w:t>
      </w:r>
    </w:p>
    <w:p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pri liečbe pacientov s chronickým srdcovým ochorením a/alebo respiračným ochorením nebola stanovená. V tejto populácii sa nezistil žiadny rozdiel vo výskyte komplikácií medzi skupinou liečenou </w:t>
      </w:r>
      <w:proofErr w:type="spellStart"/>
      <w:r>
        <w:rPr>
          <w:lang w:val="sk-SK"/>
        </w:rPr>
        <w:t>oseltamivirom</w:t>
      </w:r>
      <w:proofErr w:type="spellEnd"/>
      <w:r>
        <w:rPr>
          <w:lang w:val="sk-SK"/>
        </w:rPr>
        <w:t xml:space="preserve"> a skupinou, ktorá dostávala placebo (pozri časť 5.1).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Pediatrická populácia</w:t>
      </w:r>
      <w:r>
        <w:rPr>
          <w:u w:val="none"/>
          <w:lang w:val="sk-SK"/>
        </w:rPr>
        <w:t xml:space="preserve"> </w:t>
      </w:r>
    </w:p>
    <w:p w:rsidR="00D41417" w:rsidRDefault="00B1758A">
      <w:pPr>
        <w:spacing w:after="0" w:line="240" w:lineRule="auto"/>
        <w:ind w:left="0" w:right="0"/>
        <w:contextualSpacing/>
        <w:rPr>
          <w:lang w:val="sk-SK"/>
        </w:rPr>
      </w:pPr>
      <w:r>
        <w:rPr>
          <w:lang w:val="sk-SK"/>
        </w:rPr>
        <w:t>V súčasnosti nie sú k dispozícii žiadne údaje, ktoré by umožnili stanoviť odporúčanie o dávkovaní pre predčasne narodené deti (</w:t>
      </w:r>
      <w:proofErr w:type="spellStart"/>
      <w:r>
        <w:rPr>
          <w:lang w:val="sk-SK"/>
        </w:rPr>
        <w:t>postkoncepčný</w:t>
      </w:r>
      <w:proofErr w:type="spellEnd"/>
      <w:r>
        <w:rPr>
          <w:lang w:val="sk-SK"/>
        </w:rPr>
        <w:t xml:space="preserve"> vek &lt; 36 týždňov). </w:t>
      </w:r>
    </w:p>
    <w:p w:rsidR="00D41417" w:rsidRPr="002E69E4" w:rsidRDefault="00B1758A" w:rsidP="00005EC2">
      <w:pPr>
        <w:spacing w:after="0" w:line="240" w:lineRule="auto"/>
        <w:ind w:left="0" w:right="0" w:firstLine="0"/>
        <w:contextualSpacing/>
        <w:rPr>
          <w:u w:val="single"/>
          <w:lang w:val="sk-SK"/>
        </w:rPr>
      </w:pPr>
      <w:r w:rsidRPr="002E69E4">
        <w:rPr>
          <w:u w:val="single"/>
          <w:lang w:val="sk-SK"/>
        </w:rPr>
        <w:t xml:space="preserve">Ťažká porucha funkcie obličiek </w:t>
      </w:r>
    </w:p>
    <w:p w:rsidR="00D41417" w:rsidRDefault="00B1758A">
      <w:pPr>
        <w:spacing w:after="0" w:line="240" w:lineRule="auto"/>
        <w:ind w:left="0" w:right="0"/>
        <w:contextualSpacing/>
        <w:rPr>
          <w:lang w:val="sk-SK"/>
        </w:rPr>
      </w:pPr>
      <w:r>
        <w:rPr>
          <w:lang w:val="sk-SK"/>
        </w:rPr>
        <w:t xml:space="preserve">Úprava dávkovania sa odporúča pri liečbe a prevencii u dospievajúcich (13 až 17 rokov) a dospelých s ťažkým poškodením obličiek. Nie sú dostupné dostatočné klinické údaje u dojčiat a detí (vo veku 1 rok alebo staršie) s poškodením obličiek, ktoré by umožnili určiť odporúčané dávkovanie (pozri časti 4.2 a 5.2).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proofErr w:type="spellStart"/>
      <w:r>
        <w:rPr>
          <w:lang w:val="sk-SK"/>
        </w:rPr>
        <w:t>Neuropsychiatrické</w:t>
      </w:r>
      <w:proofErr w:type="spellEnd"/>
      <w:r>
        <w:rPr>
          <w:lang w:val="sk-SK"/>
        </w:rPr>
        <w:t xml:space="preserve"> príhody</w:t>
      </w:r>
      <w:r>
        <w:rPr>
          <w:u w:val="none"/>
          <w:lang w:val="sk-SK"/>
        </w:rPr>
        <w:t xml:space="preserve"> </w:t>
      </w:r>
    </w:p>
    <w:p w:rsidR="00D41417" w:rsidRDefault="00B1758A">
      <w:pPr>
        <w:spacing w:after="0" w:line="240" w:lineRule="auto"/>
        <w:ind w:left="0" w:right="0"/>
        <w:contextualSpacing/>
        <w:rPr>
          <w:lang w:val="sk-SK"/>
        </w:rPr>
      </w:pPr>
      <w:r>
        <w:rPr>
          <w:lang w:val="sk-SK"/>
        </w:rPr>
        <w:t xml:space="preserve">U pacientov s chrípkou, najmä u detí a dospievajúcich, boli počas podávania </w:t>
      </w:r>
      <w:proofErr w:type="spellStart"/>
      <w:r>
        <w:rPr>
          <w:lang w:val="sk-SK"/>
        </w:rPr>
        <w:t>oseltamiviru</w:t>
      </w:r>
      <w:proofErr w:type="spellEnd"/>
      <w:r>
        <w:rPr>
          <w:lang w:val="sk-SK"/>
        </w:rPr>
        <w:t xml:space="preserve"> hlásené </w:t>
      </w:r>
      <w:proofErr w:type="spellStart"/>
      <w:r>
        <w:rPr>
          <w:lang w:val="sk-SK"/>
        </w:rPr>
        <w:t>neuropsychiatrické</w:t>
      </w:r>
      <w:proofErr w:type="spellEnd"/>
      <w:r>
        <w:rPr>
          <w:lang w:val="sk-SK"/>
        </w:rPr>
        <w:t xml:space="preserve"> prejavy. Takéto udalosti sa vyskytujú aj u pacientov s chrípkou, ktorí neužívali </w:t>
      </w:r>
      <w:proofErr w:type="spellStart"/>
      <w:r>
        <w:rPr>
          <w:lang w:val="sk-SK"/>
        </w:rPr>
        <w:t>oseltamivir</w:t>
      </w:r>
      <w:proofErr w:type="spellEnd"/>
      <w:r>
        <w:rPr>
          <w:lang w:val="sk-SK"/>
        </w:rPr>
        <w:t xml:space="preserve">. Pacientov je potrebné starostlivo sledovať so zreteľom na zmeny správania a takisto je potrebné dôkladne zvážiť prínos a riziko pokračujúcej liečby u každého jednotlivého pacienta (pozri časť 4.8). </w:t>
      </w:r>
    </w:p>
    <w:p w:rsidR="00D41417" w:rsidRDefault="00D41417">
      <w:pPr>
        <w:spacing w:after="0" w:line="240" w:lineRule="auto"/>
        <w:ind w:left="0" w:right="0"/>
        <w:contextualSpacing/>
        <w:rPr>
          <w:lang w:val="sk-SK"/>
        </w:rPr>
      </w:pPr>
    </w:p>
    <w:p w:rsidR="00D41417" w:rsidRDefault="00151E44">
      <w:pPr>
        <w:spacing w:after="0" w:line="240" w:lineRule="auto"/>
        <w:ind w:left="0" w:right="0"/>
        <w:contextualSpacing/>
        <w:rPr>
          <w:b/>
          <w:bCs/>
          <w:lang w:val="sk-SK"/>
        </w:rPr>
      </w:pPr>
      <w:proofErr w:type="spellStart"/>
      <w:r>
        <w:rPr>
          <w:b/>
          <w:bCs/>
          <w:lang w:val="sk-SK"/>
        </w:rPr>
        <w:t>Segosana</w:t>
      </w:r>
      <w:proofErr w:type="spellEnd"/>
      <w:r w:rsidR="00B1758A">
        <w:rPr>
          <w:b/>
          <w:bCs/>
          <w:lang w:val="sk-SK"/>
        </w:rPr>
        <w:t xml:space="preserve"> obsahuje sodík</w:t>
      </w:r>
    </w:p>
    <w:p w:rsidR="00D41417" w:rsidRDefault="00B1758A">
      <w:pPr>
        <w:spacing w:after="0" w:line="240" w:lineRule="auto"/>
        <w:ind w:left="0" w:right="0"/>
        <w:contextualSpacing/>
        <w:rPr>
          <w:lang w:val="sk-SK"/>
        </w:rPr>
      </w:pPr>
      <w:r>
        <w:rPr>
          <w:lang w:val="sk-SK"/>
        </w:rPr>
        <w:t xml:space="preserve">Tento liek obsahuje menej ako 1 mmol sodíka (23 mg) v kapsule, </w:t>
      </w:r>
      <w:proofErr w:type="spellStart"/>
      <w:r>
        <w:rPr>
          <w:lang w:val="sk-SK"/>
        </w:rPr>
        <w:t>t.j</w:t>
      </w:r>
      <w:proofErr w:type="spellEnd"/>
      <w:r>
        <w:rPr>
          <w:lang w:val="sk-SK"/>
        </w:rPr>
        <w:t>. v podstate zanedbateľné množstvo sodíka.</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1701"/>
        </w:tabs>
        <w:spacing w:after="0" w:line="240" w:lineRule="auto"/>
        <w:ind w:left="0" w:right="1221" w:firstLine="0"/>
        <w:contextualSpacing/>
        <w:rPr>
          <w:lang w:val="sk-SK"/>
        </w:rPr>
      </w:pPr>
      <w:r>
        <w:rPr>
          <w:lang w:val="sk-SK"/>
        </w:rPr>
        <w:t xml:space="preserve">4.5 </w:t>
      </w:r>
      <w:r>
        <w:rPr>
          <w:lang w:val="sk-SK"/>
        </w:rPr>
        <w:tab/>
        <w:t xml:space="preserve">Liekové a iné interakcie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Farmakokinetické</w:t>
      </w:r>
      <w:proofErr w:type="spellEnd"/>
      <w:r>
        <w:rPr>
          <w:lang w:val="sk-SK"/>
        </w:rPr>
        <w:t xml:space="preserve"> vlastnosti </w:t>
      </w:r>
      <w:proofErr w:type="spellStart"/>
      <w:r>
        <w:rPr>
          <w:lang w:val="sk-SK"/>
        </w:rPr>
        <w:t>oseltamiviru</w:t>
      </w:r>
      <w:proofErr w:type="spellEnd"/>
      <w:r>
        <w:rPr>
          <w:lang w:val="sk-SK"/>
        </w:rPr>
        <w:t xml:space="preserve">, napríklad nízka proteínová väzba a metabolizmus nezávislý od CYP450 a </w:t>
      </w:r>
      <w:proofErr w:type="spellStart"/>
      <w:r>
        <w:rPr>
          <w:lang w:val="sk-SK"/>
        </w:rPr>
        <w:t>glukuronidázových</w:t>
      </w:r>
      <w:proofErr w:type="spellEnd"/>
      <w:r>
        <w:rPr>
          <w:lang w:val="sk-SK"/>
        </w:rPr>
        <w:t xml:space="preserve"> systémov (pozri časť 5.2) naznačujú, že klinicky významné liekové interakcie prostredníctvom týchto mechanizmov sú nepravdepodobné.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proofErr w:type="spellStart"/>
      <w:r>
        <w:rPr>
          <w:lang w:val="sk-SK"/>
        </w:rPr>
        <w:t>Probenecid</w:t>
      </w:r>
      <w:proofErr w:type="spellEnd"/>
      <w:r>
        <w:rPr>
          <w:u w:val="none"/>
          <w:lang w:val="sk-SK"/>
        </w:rPr>
        <w:t xml:space="preserve"> </w:t>
      </w:r>
    </w:p>
    <w:p w:rsidR="00D41417" w:rsidRDefault="00B1758A">
      <w:pPr>
        <w:spacing w:after="0" w:line="240" w:lineRule="auto"/>
        <w:ind w:left="0" w:right="0"/>
        <w:contextualSpacing/>
        <w:rPr>
          <w:lang w:val="sk-SK"/>
        </w:rPr>
      </w:pPr>
      <w:r>
        <w:rPr>
          <w:lang w:val="sk-SK"/>
        </w:rPr>
        <w:t xml:space="preserve">Nie je potrebné upraviť dávkovanie, keď sa liek podáva spolu s </w:t>
      </w:r>
      <w:proofErr w:type="spellStart"/>
      <w:r>
        <w:rPr>
          <w:lang w:val="sk-SK"/>
        </w:rPr>
        <w:t>probenecidom</w:t>
      </w:r>
      <w:proofErr w:type="spellEnd"/>
      <w:r>
        <w:rPr>
          <w:lang w:val="sk-SK"/>
        </w:rPr>
        <w:t xml:space="preserve"> u pacientov s normálnou funkciou obličiek. Súbežné podávanie </w:t>
      </w:r>
      <w:proofErr w:type="spellStart"/>
      <w:r>
        <w:rPr>
          <w:lang w:val="sk-SK"/>
        </w:rPr>
        <w:t>probenecidu</w:t>
      </w:r>
      <w:proofErr w:type="spellEnd"/>
      <w:r>
        <w:rPr>
          <w:lang w:val="sk-SK"/>
        </w:rPr>
        <w:t xml:space="preserve">, silného inhibítora aniónovej dráhy </w:t>
      </w:r>
      <w:proofErr w:type="spellStart"/>
      <w:r>
        <w:rPr>
          <w:lang w:val="sk-SK"/>
        </w:rPr>
        <w:t>renálnej</w:t>
      </w:r>
      <w:proofErr w:type="spellEnd"/>
      <w:r>
        <w:rPr>
          <w:lang w:val="sk-SK"/>
        </w:rPr>
        <w:t xml:space="preserve"> </w:t>
      </w:r>
      <w:proofErr w:type="spellStart"/>
      <w:r>
        <w:rPr>
          <w:lang w:val="sk-SK"/>
        </w:rPr>
        <w:t>tubulárnej</w:t>
      </w:r>
      <w:proofErr w:type="spellEnd"/>
      <w:r>
        <w:rPr>
          <w:lang w:val="sk-SK"/>
        </w:rPr>
        <w:t xml:space="preserve"> sekrécie, má za následok približne 2-násobné zvýšenie expozície aktívnemu </w:t>
      </w:r>
      <w:proofErr w:type="spellStart"/>
      <w:r>
        <w:rPr>
          <w:lang w:val="sk-SK"/>
        </w:rPr>
        <w:t>metabolitu</w:t>
      </w:r>
      <w:proofErr w:type="spellEnd"/>
      <w:r>
        <w:rPr>
          <w:lang w:val="sk-SK"/>
        </w:rPr>
        <w:t xml:space="preserve"> </w:t>
      </w:r>
      <w:proofErr w:type="spellStart"/>
      <w:r>
        <w:rPr>
          <w:lang w:val="sk-SK"/>
        </w:rPr>
        <w:t>oseltamiviru</w:t>
      </w:r>
      <w:proofErr w:type="spellEnd"/>
      <w:r>
        <w:rPr>
          <w:lang w:val="sk-SK"/>
        </w:rPr>
        <w:t>.</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proofErr w:type="spellStart"/>
      <w:r>
        <w:rPr>
          <w:lang w:val="sk-SK"/>
        </w:rPr>
        <w:t>Amoxicilín</w:t>
      </w:r>
      <w:proofErr w:type="spellEnd"/>
      <w:r>
        <w:rPr>
          <w:u w:val="none"/>
          <w:lang w:val="sk-SK"/>
        </w:rPr>
        <w:t xml:space="preserve"> </w:t>
      </w:r>
    </w:p>
    <w:p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nemá žiadnu kinetickú interakciu s </w:t>
      </w:r>
      <w:proofErr w:type="spellStart"/>
      <w:r>
        <w:rPr>
          <w:lang w:val="sk-SK"/>
        </w:rPr>
        <w:t>amoxicilínom</w:t>
      </w:r>
      <w:proofErr w:type="spellEnd"/>
      <w:r>
        <w:rPr>
          <w:lang w:val="sk-SK"/>
        </w:rPr>
        <w:t xml:space="preserve">, ktorý sa eliminuje prostredníctvom rovnakej dráhy, čo naznačuje, že interakcia </w:t>
      </w:r>
      <w:proofErr w:type="spellStart"/>
      <w:r>
        <w:rPr>
          <w:lang w:val="sk-SK"/>
        </w:rPr>
        <w:t>oseltamiviru</w:t>
      </w:r>
      <w:proofErr w:type="spellEnd"/>
      <w:r>
        <w:rPr>
          <w:lang w:val="sk-SK"/>
        </w:rPr>
        <w:t xml:space="preserve"> s touto dráhou je slabá.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proofErr w:type="spellStart"/>
      <w:r>
        <w:rPr>
          <w:lang w:val="sk-SK"/>
        </w:rPr>
        <w:t>Renálna</w:t>
      </w:r>
      <w:proofErr w:type="spellEnd"/>
      <w:r>
        <w:rPr>
          <w:lang w:val="sk-SK"/>
        </w:rPr>
        <w:t xml:space="preserve"> eliminácia</w:t>
      </w:r>
      <w:r>
        <w:rPr>
          <w:u w:val="none"/>
          <w:lang w:val="sk-SK"/>
        </w:rPr>
        <w:t xml:space="preserve"> </w:t>
      </w:r>
    </w:p>
    <w:p w:rsidR="00D41417" w:rsidRDefault="00B1758A">
      <w:pPr>
        <w:spacing w:after="0" w:line="240" w:lineRule="auto"/>
        <w:ind w:left="0" w:right="0"/>
        <w:contextualSpacing/>
        <w:rPr>
          <w:lang w:val="sk-SK"/>
        </w:rPr>
      </w:pPr>
      <w:r>
        <w:rPr>
          <w:lang w:val="sk-SK"/>
        </w:rPr>
        <w:t xml:space="preserve">Klinicky významné liekové interakcie, zahŕňajúce </w:t>
      </w:r>
      <w:proofErr w:type="spellStart"/>
      <w:r>
        <w:rPr>
          <w:lang w:val="sk-SK"/>
        </w:rPr>
        <w:t>kompetíciu</w:t>
      </w:r>
      <w:proofErr w:type="spellEnd"/>
      <w:r>
        <w:rPr>
          <w:lang w:val="sk-SK"/>
        </w:rPr>
        <w:t xml:space="preserve"> o </w:t>
      </w:r>
      <w:proofErr w:type="spellStart"/>
      <w:r>
        <w:rPr>
          <w:lang w:val="sk-SK"/>
        </w:rPr>
        <w:t>renálnu</w:t>
      </w:r>
      <w:proofErr w:type="spellEnd"/>
      <w:r>
        <w:rPr>
          <w:lang w:val="sk-SK"/>
        </w:rPr>
        <w:t xml:space="preserve"> </w:t>
      </w:r>
      <w:proofErr w:type="spellStart"/>
      <w:r>
        <w:rPr>
          <w:lang w:val="sk-SK"/>
        </w:rPr>
        <w:t>tubulárnu</w:t>
      </w:r>
      <w:proofErr w:type="spellEnd"/>
      <w:r>
        <w:rPr>
          <w:lang w:val="sk-SK"/>
        </w:rPr>
        <w:t xml:space="preserve"> sekréciu, sú nepravdepodobné v dôsledku známeho bezpečnostného rozpätia pre väčšinu týchto látok, charakteristík vylučovania aktívneho </w:t>
      </w:r>
      <w:proofErr w:type="spellStart"/>
      <w:r>
        <w:rPr>
          <w:lang w:val="sk-SK"/>
        </w:rPr>
        <w:t>metabolitu</w:t>
      </w:r>
      <w:proofErr w:type="spellEnd"/>
      <w:r>
        <w:rPr>
          <w:lang w:val="sk-SK"/>
        </w:rPr>
        <w:t xml:space="preserve"> (</w:t>
      </w:r>
      <w:proofErr w:type="spellStart"/>
      <w:r>
        <w:rPr>
          <w:lang w:val="sk-SK"/>
        </w:rPr>
        <w:t>glomerulárna</w:t>
      </w:r>
      <w:proofErr w:type="spellEnd"/>
      <w:r>
        <w:rPr>
          <w:lang w:val="sk-SK"/>
        </w:rPr>
        <w:t xml:space="preserve"> filtrácia a aniónová </w:t>
      </w:r>
      <w:proofErr w:type="spellStart"/>
      <w:r>
        <w:rPr>
          <w:lang w:val="sk-SK"/>
        </w:rPr>
        <w:t>tubulárna</w:t>
      </w:r>
      <w:proofErr w:type="spellEnd"/>
      <w:r>
        <w:rPr>
          <w:lang w:val="sk-SK"/>
        </w:rPr>
        <w:t xml:space="preserve"> sekrécia) a exkrečnej kapacity týchto dráh. Avšak je potrebná opatrnosť,  keď sa </w:t>
      </w:r>
      <w:proofErr w:type="spellStart"/>
      <w:r>
        <w:rPr>
          <w:lang w:val="sk-SK"/>
        </w:rPr>
        <w:t>oseltamivir</w:t>
      </w:r>
      <w:proofErr w:type="spellEnd"/>
      <w:r>
        <w:rPr>
          <w:lang w:val="sk-SK"/>
        </w:rPr>
        <w:t xml:space="preserve"> predpisuje pacientom, ktorí užívajú spoločne vylučované lieky s úzkym terapeutickým rozpätím (napr. </w:t>
      </w:r>
      <w:proofErr w:type="spellStart"/>
      <w:r>
        <w:rPr>
          <w:lang w:val="sk-SK"/>
        </w:rPr>
        <w:t>chlórpropamid</w:t>
      </w:r>
      <w:proofErr w:type="spellEnd"/>
      <w:r>
        <w:rPr>
          <w:lang w:val="sk-SK"/>
        </w:rPr>
        <w:t xml:space="preserve">, </w:t>
      </w:r>
      <w:proofErr w:type="spellStart"/>
      <w:r>
        <w:rPr>
          <w:lang w:val="sk-SK"/>
        </w:rPr>
        <w:t>metotrexát</w:t>
      </w:r>
      <w:proofErr w:type="spellEnd"/>
      <w:r>
        <w:rPr>
          <w:lang w:val="sk-SK"/>
        </w:rPr>
        <w:t xml:space="preserve">, </w:t>
      </w:r>
      <w:proofErr w:type="spellStart"/>
      <w:r>
        <w:rPr>
          <w:lang w:val="sk-SK"/>
        </w:rPr>
        <w:t>fenylbutazón</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Ďalšie informácie</w:t>
      </w:r>
      <w:r>
        <w:rPr>
          <w:u w:val="none"/>
          <w:lang w:val="sk-SK"/>
        </w:rPr>
        <w:t xml:space="preserve"> </w:t>
      </w:r>
    </w:p>
    <w:p w:rsidR="00D41417" w:rsidRDefault="00B1758A">
      <w:pPr>
        <w:spacing w:after="0" w:line="240" w:lineRule="auto"/>
        <w:ind w:left="0" w:right="0"/>
        <w:contextualSpacing/>
        <w:rPr>
          <w:lang w:val="sk-SK"/>
        </w:rPr>
      </w:pPr>
      <w:r>
        <w:rPr>
          <w:lang w:val="sk-SK"/>
        </w:rPr>
        <w:t xml:space="preserve">Neboli pozorované žiadne </w:t>
      </w:r>
      <w:proofErr w:type="spellStart"/>
      <w:r>
        <w:rPr>
          <w:lang w:val="sk-SK"/>
        </w:rPr>
        <w:t>farmakokinetické</w:t>
      </w:r>
      <w:proofErr w:type="spellEnd"/>
      <w:r>
        <w:rPr>
          <w:lang w:val="sk-SK"/>
        </w:rPr>
        <w:t xml:space="preserve"> interakcie medzi </w:t>
      </w:r>
      <w:proofErr w:type="spellStart"/>
      <w:r>
        <w:rPr>
          <w:lang w:val="sk-SK"/>
        </w:rPr>
        <w:t>oseltamivirom</w:t>
      </w:r>
      <w:proofErr w:type="spellEnd"/>
      <w:r>
        <w:rPr>
          <w:lang w:val="sk-SK"/>
        </w:rPr>
        <w:t xml:space="preserve"> alebo jeho hlavným </w:t>
      </w:r>
      <w:proofErr w:type="spellStart"/>
      <w:r>
        <w:rPr>
          <w:lang w:val="sk-SK"/>
        </w:rPr>
        <w:t>metabolitom</w:t>
      </w:r>
      <w:proofErr w:type="spellEnd"/>
      <w:r>
        <w:rPr>
          <w:lang w:val="sk-SK"/>
        </w:rPr>
        <w:t xml:space="preserve">, keď sa </w:t>
      </w:r>
      <w:proofErr w:type="spellStart"/>
      <w:r>
        <w:rPr>
          <w:lang w:val="sk-SK"/>
        </w:rPr>
        <w:t>oseltamivir</w:t>
      </w:r>
      <w:proofErr w:type="spellEnd"/>
      <w:r>
        <w:rPr>
          <w:lang w:val="sk-SK"/>
        </w:rPr>
        <w:t xml:space="preserve"> podával súbežne s </w:t>
      </w:r>
      <w:proofErr w:type="spellStart"/>
      <w:r>
        <w:rPr>
          <w:lang w:val="sk-SK"/>
        </w:rPr>
        <w:t>paracetamolom</w:t>
      </w:r>
      <w:proofErr w:type="spellEnd"/>
      <w:r>
        <w:rPr>
          <w:lang w:val="sk-SK"/>
        </w:rPr>
        <w:t xml:space="preserve">, s kyselinou </w:t>
      </w:r>
      <w:proofErr w:type="spellStart"/>
      <w:r>
        <w:rPr>
          <w:lang w:val="sk-SK"/>
        </w:rPr>
        <w:t>acetylsalicylovou</w:t>
      </w:r>
      <w:proofErr w:type="spellEnd"/>
      <w:r>
        <w:rPr>
          <w:lang w:val="sk-SK"/>
        </w:rPr>
        <w:t xml:space="preserve">, s </w:t>
      </w:r>
      <w:proofErr w:type="spellStart"/>
      <w:r>
        <w:rPr>
          <w:lang w:val="sk-SK"/>
        </w:rPr>
        <w:t>cimetidínom</w:t>
      </w:r>
      <w:proofErr w:type="spellEnd"/>
      <w:r>
        <w:rPr>
          <w:lang w:val="sk-SK"/>
        </w:rPr>
        <w:t xml:space="preserve">, </w:t>
      </w:r>
      <w:proofErr w:type="spellStart"/>
      <w:r>
        <w:rPr>
          <w:lang w:val="sk-SK"/>
        </w:rPr>
        <w:t>antacidami</w:t>
      </w:r>
      <w:proofErr w:type="spellEnd"/>
      <w:r>
        <w:rPr>
          <w:lang w:val="sk-SK"/>
        </w:rPr>
        <w:t xml:space="preserve"> (hydroxidy horčíka a hliníka a uhličitany vápnika), s </w:t>
      </w:r>
      <w:proofErr w:type="spellStart"/>
      <w:r>
        <w:rPr>
          <w:lang w:val="sk-SK"/>
        </w:rPr>
        <w:t>rimantadínom</w:t>
      </w:r>
      <w:proofErr w:type="spellEnd"/>
      <w:r>
        <w:rPr>
          <w:lang w:val="sk-SK"/>
        </w:rPr>
        <w:t xml:space="preserve"> alebo s </w:t>
      </w:r>
      <w:proofErr w:type="spellStart"/>
      <w:r>
        <w:rPr>
          <w:lang w:val="sk-SK"/>
        </w:rPr>
        <w:t>warfarínom</w:t>
      </w:r>
      <w:proofErr w:type="spellEnd"/>
      <w:r>
        <w:rPr>
          <w:lang w:val="sk-SK"/>
        </w:rPr>
        <w:t xml:space="preserve"> (u pacientov stabilizovaných na </w:t>
      </w:r>
      <w:proofErr w:type="spellStart"/>
      <w:r>
        <w:rPr>
          <w:lang w:val="sk-SK"/>
        </w:rPr>
        <w:t>warfaríne</w:t>
      </w:r>
      <w:proofErr w:type="spellEnd"/>
      <w:r>
        <w:rPr>
          <w:lang w:val="sk-SK"/>
        </w:rPr>
        <w:t xml:space="preserve"> a bez chrípky). </w:t>
      </w:r>
    </w:p>
    <w:p w:rsidR="00D41417" w:rsidRDefault="00B1758A">
      <w:pPr>
        <w:spacing w:after="0" w:line="240" w:lineRule="auto"/>
        <w:ind w:left="0" w:right="0" w:firstLine="0"/>
        <w:contextualSpacing/>
        <w:rPr>
          <w:lang w:val="sk-SK"/>
        </w:rPr>
      </w:pPr>
      <w:r>
        <w:rPr>
          <w:b/>
          <w:lang w:val="sk-SK"/>
        </w:rPr>
        <w:lastRenderedPageBreak/>
        <w:t xml:space="preserve"> </w:t>
      </w:r>
    </w:p>
    <w:p w:rsidR="00D41417" w:rsidRDefault="00B1758A">
      <w:pPr>
        <w:tabs>
          <w:tab w:val="center" w:pos="1930"/>
        </w:tabs>
        <w:spacing w:after="0" w:line="240" w:lineRule="auto"/>
        <w:ind w:left="0" w:right="0" w:firstLine="0"/>
        <w:contextualSpacing/>
        <w:rPr>
          <w:lang w:val="sk-SK"/>
        </w:rPr>
      </w:pPr>
      <w:r>
        <w:rPr>
          <w:b/>
          <w:lang w:val="sk-SK"/>
        </w:rPr>
        <w:t xml:space="preserve">4.6 </w:t>
      </w:r>
      <w:r>
        <w:rPr>
          <w:b/>
          <w:lang w:val="sk-SK"/>
        </w:rPr>
        <w:tab/>
      </w:r>
      <w:proofErr w:type="spellStart"/>
      <w:r>
        <w:rPr>
          <w:b/>
          <w:lang w:val="sk-SK"/>
        </w:rPr>
        <w:t>Fertilita</w:t>
      </w:r>
      <w:proofErr w:type="spellEnd"/>
      <w:r>
        <w:rPr>
          <w:b/>
          <w:lang w:val="sk-SK"/>
        </w:rPr>
        <w:t xml:space="preserve">, gravidita a laktácia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Gravidita</w:t>
      </w:r>
      <w:r>
        <w:rPr>
          <w:u w:val="none"/>
          <w:lang w:val="sk-SK"/>
        </w:rPr>
        <w:t xml:space="preserve"> </w:t>
      </w:r>
    </w:p>
    <w:p w:rsidR="00D41417" w:rsidRDefault="00B1758A">
      <w:pPr>
        <w:spacing w:after="0" w:line="240" w:lineRule="auto"/>
        <w:ind w:left="0" w:right="0"/>
        <w:contextualSpacing/>
        <w:rPr>
          <w:lang w:val="sk-SK"/>
        </w:rPr>
      </w:pPr>
      <w:r>
        <w:rPr>
          <w:lang w:val="sk-SK"/>
        </w:rPr>
        <w:t xml:space="preserve">Chrípka je spájaná s nežiaducimi následkami na graviditu a na plod, s rizikom závažných vrodených </w:t>
      </w:r>
      <w:proofErr w:type="spellStart"/>
      <w:r>
        <w:rPr>
          <w:lang w:val="sk-SK"/>
        </w:rPr>
        <w:t>malformácií</w:t>
      </w:r>
      <w:proofErr w:type="spellEnd"/>
      <w:r>
        <w:rPr>
          <w:lang w:val="sk-SK"/>
        </w:rPr>
        <w:t xml:space="preserve">, vrátane vrodených srdcových chýb. Rozsiahle údaje o expozícii </w:t>
      </w:r>
      <w:proofErr w:type="spellStart"/>
      <w:r>
        <w:rPr>
          <w:lang w:val="sk-SK"/>
        </w:rPr>
        <w:t>oseltamiviru</w:t>
      </w:r>
      <w:proofErr w:type="spellEnd"/>
      <w:r>
        <w:rPr>
          <w:lang w:val="sk-SK"/>
        </w:rPr>
        <w:t xml:space="preserve"> u gravidných žien z hlásení po uvedení lieku na trh (viac ako 1000 údajov od žien vystavených expozícii počas prvého </w:t>
      </w:r>
      <w:proofErr w:type="spellStart"/>
      <w:r>
        <w:rPr>
          <w:lang w:val="sk-SK"/>
        </w:rPr>
        <w:t>trimestra</w:t>
      </w:r>
      <w:proofErr w:type="spellEnd"/>
      <w:r>
        <w:rPr>
          <w:lang w:val="sk-SK"/>
        </w:rPr>
        <w:t xml:space="preserve">) nenaznačujú škodlivý vplyv spôsobujúci </w:t>
      </w:r>
      <w:proofErr w:type="spellStart"/>
      <w:r>
        <w:rPr>
          <w:lang w:val="sk-SK"/>
        </w:rPr>
        <w:t>malformácie</w:t>
      </w:r>
      <w:proofErr w:type="spellEnd"/>
      <w:r>
        <w:rPr>
          <w:lang w:val="sk-SK"/>
        </w:rPr>
        <w:t xml:space="preserve"> ani </w:t>
      </w:r>
      <w:proofErr w:type="spellStart"/>
      <w:r>
        <w:rPr>
          <w:lang w:val="sk-SK"/>
        </w:rPr>
        <w:t>fetálnu</w:t>
      </w:r>
      <w:proofErr w:type="spellEnd"/>
      <w:r>
        <w:rPr>
          <w:lang w:val="sk-SK"/>
        </w:rPr>
        <w:t>/</w:t>
      </w:r>
      <w:proofErr w:type="spellStart"/>
      <w:r>
        <w:rPr>
          <w:lang w:val="sk-SK"/>
        </w:rPr>
        <w:t>neonatálnu</w:t>
      </w:r>
      <w:proofErr w:type="spellEnd"/>
      <w:r>
        <w:rPr>
          <w:lang w:val="sk-SK"/>
        </w:rPr>
        <w:t xml:space="preserve"> toxicitu </w:t>
      </w:r>
      <w:proofErr w:type="spellStart"/>
      <w:r>
        <w:rPr>
          <w:lang w:val="sk-SK"/>
        </w:rPr>
        <w:t>oseltamiviru</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Napriek tomu bolo v jednej </w:t>
      </w:r>
      <w:proofErr w:type="spellStart"/>
      <w:r>
        <w:rPr>
          <w:lang w:val="sk-SK"/>
        </w:rPr>
        <w:t>observačnej</w:t>
      </w:r>
      <w:proofErr w:type="spellEnd"/>
      <w:r>
        <w:rPr>
          <w:lang w:val="sk-SK"/>
        </w:rPr>
        <w:t xml:space="preserve"> štúdii zaznamenané, že zatiaľ čo celkové riziko </w:t>
      </w:r>
      <w:proofErr w:type="spellStart"/>
      <w:r>
        <w:rPr>
          <w:lang w:val="sk-SK"/>
        </w:rPr>
        <w:t>malformácií</w:t>
      </w:r>
      <w:proofErr w:type="spellEnd"/>
      <w:r>
        <w:rPr>
          <w:lang w:val="sk-SK"/>
        </w:rPr>
        <w:t xml:space="preserve"> zostalo nezvýšené, výsledky závažných vrodených srdcových chýb diagnostikované do 12 mesiacov od narodenia neboli jednoznačné. V tejto štúdii bola miera závažných vrodených srdcových chýb po expozícii </w:t>
      </w:r>
      <w:proofErr w:type="spellStart"/>
      <w:r>
        <w:rPr>
          <w:lang w:val="sk-SK"/>
        </w:rPr>
        <w:t>oseltamiviru</w:t>
      </w:r>
      <w:proofErr w:type="spellEnd"/>
      <w:r>
        <w:rPr>
          <w:lang w:val="sk-SK"/>
        </w:rPr>
        <w:t xml:space="preserve"> počas prvého </w:t>
      </w:r>
      <w:proofErr w:type="spellStart"/>
      <w:r>
        <w:rPr>
          <w:lang w:val="sk-SK"/>
        </w:rPr>
        <w:t>trimestra</w:t>
      </w:r>
      <w:proofErr w:type="spellEnd"/>
      <w:r>
        <w:rPr>
          <w:lang w:val="sk-SK"/>
        </w:rPr>
        <w:t xml:space="preserve"> 1,76 % (7 dojčiat z 397 gravidít), v porovnaní s 1,01 % u gravidít bez expozície v celkovej populácii (miera pravdepodobnosti 1,75; 95% interval spoľahlivosti 0,51 až 5,98). Klinický význam tohto zistenia nie je jasný, vzhľadom na obmedzené možnosti štúdie. Navyše táto štúdia bola príliš malá na to, aby spoľahlivo zhodnotila jednotlivé typy závažných </w:t>
      </w:r>
      <w:proofErr w:type="spellStart"/>
      <w:r>
        <w:rPr>
          <w:lang w:val="sk-SK"/>
        </w:rPr>
        <w:t>malformácií</w:t>
      </w:r>
      <w:proofErr w:type="spellEnd"/>
      <w:r>
        <w:rPr>
          <w:lang w:val="sk-SK"/>
        </w:rPr>
        <w:t xml:space="preserve">; navyše ženy vystavené expozícii </w:t>
      </w:r>
      <w:proofErr w:type="spellStart"/>
      <w:r>
        <w:rPr>
          <w:lang w:val="sk-SK"/>
        </w:rPr>
        <w:t>oseltamiviru</w:t>
      </w:r>
      <w:proofErr w:type="spellEnd"/>
      <w:r>
        <w:rPr>
          <w:lang w:val="sk-SK"/>
        </w:rPr>
        <w:t xml:space="preserve"> a ženy nevystavené expozícii </w:t>
      </w:r>
      <w:proofErr w:type="spellStart"/>
      <w:r>
        <w:rPr>
          <w:lang w:val="sk-SK"/>
        </w:rPr>
        <w:t>oseltamiviru</w:t>
      </w:r>
      <w:proofErr w:type="spellEnd"/>
      <w:r>
        <w:rPr>
          <w:lang w:val="sk-SK"/>
        </w:rPr>
        <w:t xml:space="preserve"> nebolo možné úplne porovnávať, najmä to, či prekonali alebo neprekonali chrípku.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Štúdie na zvieratách nepreukázali reprodukčnú toxicitu (pozri časť 5.3).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contextualSpacing/>
        <w:rPr>
          <w:lang w:val="sk-SK"/>
        </w:rPr>
      </w:pPr>
      <w:r>
        <w:rPr>
          <w:lang w:val="sk-SK"/>
        </w:rPr>
        <w:t xml:space="preserve">Použitie </w:t>
      </w:r>
      <w:proofErr w:type="spellStart"/>
      <w:r>
        <w:rPr>
          <w:lang w:val="sk-SK"/>
        </w:rPr>
        <w:t>oseltamiviru</w:t>
      </w:r>
      <w:proofErr w:type="spellEnd"/>
      <w:r>
        <w:rPr>
          <w:lang w:val="sk-SK"/>
        </w:rPr>
        <w:t xml:space="preserve"> počas gravidity sa má zvážiť iba v nevyhnutných prípadoch a po zvážení dostupných informácií o bezpečnosti a prínose (pre údaje o prínose u gravidných žien pozri časť 5.1 „Liečba chrípky u gravidných žien“) a patogenity cirkulujúceho chrípkového vírusového kmeňa.</w:t>
      </w:r>
    </w:p>
    <w:p w:rsidR="00D41417" w:rsidRDefault="00D41417">
      <w:pPr>
        <w:spacing w:after="0" w:line="240" w:lineRule="auto"/>
        <w:ind w:left="0" w:right="0" w:firstLine="0"/>
        <w:contextualSpacing/>
        <w:rPr>
          <w:lang w:val="sk-SK"/>
        </w:rPr>
      </w:pPr>
    </w:p>
    <w:p w:rsidR="00D41417" w:rsidRDefault="00B1758A">
      <w:pPr>
        <w:pStyle w:val="Nadpis2"/>
        <w:spacing w:after="0" w:line="240" w:lineRule="auto"/>
        <w:ind w:left="0" w:right="1221"/>
        <w:contextualSpacing/>
        <w:rPr>
          <w:lang w:val="sk-SK"/>
        </w:rPr>
      </w:pPr>
      <w:r>
        <w:rPr>
          <w:lang w:val="sk-SK"/>
        </w:rPr>
        <w:t>Dojčenie</w:t>
      </w:r>
      <w:r>
        <w:rPr>
          <w:u w:val="none"/>
          <w:lang w:val="sk-SK"/>
        </w:rPr>
        <w:t xml:space="preserve"> </w:t>
      </w:r>
    </w:p>
    <w:p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a aktívny </w:t>
      </w:r>
      <w:proofErr w:type="spellStart"/>
      <w:r>
        <w:rPr>
          <w:lang w:val="sk-SK"/>
        </w:rPr>
        <w:t>metabolit</w:t>
      </w:r>
      <w:proofErr w:type="spellEnd"/>
      <w:r>
        <w:rPr>
          <w:lang w:val="sk-SK"/>
        </w:rPr>
        <w:t xml:space="preserve"> sa vylučujú do mlieka </w:t>
      </w:r>
      <w:proofErr w:type="spellStart"/>
      <w:r>
        <w:rPr>
          <w:lang w:val="sk-SK"/>
        </w:rPr>
        <w:t>laktujúcich</w:t>
      </w:r>
      <w:proofErr w:type="spellEnd"/>
      <w:r>
        <w:rPr>
          <w:lang w:val="sk-SK"/>
        </w:rPr>
        <w:t xml:space="preserve"> samíc potkanov. Sú dostupné len veľmi obmedzené informácie o dojčených deťoch, ktorých matky užívali </w:t>
      </w:r>
      <w:proofErr w:type="spellStart"/>
      <w:r>
        <w:rPr>
          <w:lang w:val="sk-SK"/>
        </w:rPr>
        <w:t>oseltamivir</w:t>
      </w:r>
      <w:proofErr w:type="spellEnd"/>
      <w:r>
        <w:rPr>
          <w:lang w:val="sk-SK"/>
        </w:rPr>
        <w:t xml:space="preserve">, a o vylučovaní </w:t>
      </w:r>
      <w:proofErr w:type="spellStart"/>
      <w:r>
        <w:rPr>
          <w:lang w:val="sk-SK"/>
        </w:rPr>
        <w:t>oseltamiviru</w:t>
      </w:r>
      <w:proofErr w:type="spellEnd"/>
      <w:r>
        <w:rPr>
          <w:lang w:val="sk-SK"/>
        </w:rPr>
        <w:t xml:space="preserve"> do materského mlieka. Obmedzené údaje dokazujú, že sa zistila prítomnosť </w:t>
      </w:r>
      <w:proofErr w:type="spellStart"/>
      <w:r>
        <w:rPr>
          <w:lang w:val="sk-SK"/>
        </w:rPr>
        <w:t>oseltamiviru</w:t>
      </w:r>
      <w:proofErr w:type="spellEnd"/>
      <w:r>
        <w:rPr>
          <w:lang w:val="sk-SK"/>
        </w:rPr>
        <w:t xml:space="preserve"> aj aktívneho </w:t>
      </w:r>
      <w:proofErr w:type="spellStart"/>
      <w:r>
        <w:rPr>
          <w:lang w:val="sk-SK"/>
        </w:rPr>
        <w:t>metabolitu</w:t>
      </w:r>
      <w:proofErr w:type="spellEnd"/>
      <w:r>
        <w:rPr>
          <w:lang w:val="sk-SK"/>
        </w:rPr>
        <w:t xml:space="preserve"> v materskom mlieku, avšak ich hladiny boli nízke, čo by znamenalo </w:t>
      </w:r>
      <w:proofErr w:type="spellStart"/>
      <w:r>
        <w:rPr>
          <w:lang w:val="sk-SK"/>
        </w:rPr>
        <w:t>subterapeutickú</w:t>
      </w:r>
      <w:proofErr w:type="spellEnd"/>
      <w:r>
        <w:rPr>
          <w:lang w:val="sk-SK"/>
        </w:rPr>
        <w:t xml:space="preserve"> dávku pre dojčené dieťa. Berúc do úvahy tieto informácie, patogenitu cirkulujúceho chrípkového vírusového kmeňa a základný zdravotný stav dojčiacej ženy, možno zvážiť podávanie </w:t>
      </w:r>
      <w:proofErr w:type="spellStart"/>
      <w:r>
        <w:rPr>
          <w:lang w:val="sk-SK"/>
        </w:rPr>
        <w:t>oseltamiviru</w:t>
      </w:r>
      <w:proofErr w:type="spellEnd"/>
      <w:r>
        <w:rPr>
          <w:lang w:val="sk-SK"/>
        </w:rPr>
        <w:t xml:space="preserve"> v prípadoch, kde je možný prínos pre dojčiacu matku zrejmý.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proofErr w:type="spellStart"/>
      <w:r>
        <w:rPr>
          <w:lang w:val="sk-SK"/>
        </w:rPr>
        <w:t>Fertilita</w:t>
      </w:r>
      <w:proofErr w:type="spellEnd"/>
      <w:r>
        <w:rPr>
          <w:u w:val="none"/>
          <w:lang w:val="sk-SK"/>
        </w:rPr>
        <w:t xml:space="preserve"> </w:t>
      </w:r>
    </w:p>
    <w:p w:rsidR="00D41417" w:rsidRDefault="00B1758A">
      <w:pPr>
        <w:spacing w:after="0" w:line="240" w:lineRule="auto"/>
        <w:ind w:left="0" w:right="0"/>
        <w:contextualSpacing/>
        <w:rPr>
          <w:lang w:val="sk-SK"/>
        </w:rPr>
      </w:pPr>
      <w:r>
        <w:rPr>
          <w:lang w:val="sk-SK"/>
        </w:rPr>
        <w:t xml:space="preserve">Na základe predklinických údajov neexistuje dôkaz, že </w:t>
      </w:r>
      <w:proofErr w:type="spellStart"/>
      <w:r>
        <w:rPr>
          <w:lang w:val="sk-SK"/>
        </w:rPr>
        <w:t>oseltamivir</w:t>
      </w:r>
      <w:proofErr w:type="spellEnd"/>
      <w:r>
        <w:rPr>
          <w:lang w:val="sk-SK"/>
        </w:rPr>
        <w:t xml:space="preserve"> má vplyv na </w:t>
      </w:r>
      <w:proofErr w:type="spellStart"/>
      <w:r>
        <w:rPr>
          <w:lang w:val="sk-SK"/>
        </w:rPr>
        <w:t>fertilitu</w:t>
      </w:r>
      <w:proofErr w:type="spellEnd"/>
      <w:r>
        <w:rPr>
          <w:lang w:val="sk-SK"/>
        </w:rPr>
        <w:t xml:space="preserve"> mužov alebo žien (pozri časť 5.3).</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3260"/>
        </w:tabs>
        <w:spacing w:after="0" w:line="240" w:lineRule="auto"/>
        <w:ind w:left="0" w:right="0" w:firstLine="0"/>
        <w:contextualSpacing/>
        <w:rPr>
          <w:lang w:val="sk-SK"/>
        </w:rPr>
      </w:pPr>
      <w:r>
        <w:rPr>
          <w:b/>
          <w:lang w:val="sk-SK"/>
        </w:rPr>
        <w:t xml:space="preserve">4.7 </w:t>
      </w:r>
      <w:r>
        <w:rPr>
          <w:b/>
          <w:lang w:val="sk-SK"/>
        </w:rPr>
        <w:tab/>
        <w:t xml:space="preserve">Ovplyvnenie schopnosti viesť vozidlá a obsluhovať stroje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nemá žiadny vplyv na schopnosť viesť vozidlá a obsluhovať stroje.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1408"/>
        </w:tabs>
        <w:spacing w:after="0" w:line="240" w:lineRule="auto"/>
        <w:ind w:left="0" w:right="0" w:firstLine="0"/>
        <w:contextualSpacing/>
        <w:rPr>
          <w:lang w:val="sk-SK"/>
        </w:rPr>
      </w:pPr>
      <w:r>
        <w:rPr>
          <w:b/>
          <w:lang w:val="sk-SK"/>
        </w:rPr>
        <w:t xml:space="preserve">4.8 </w:t>
      </w:r>
      <w:r>
        <w:rPr>
          <w:b/>
          <w:lang w:val="sk-SK"/>
        </w:rPr>
        <w:tab/>
        <w:t xml:space="preserve">Nežiaduce účinky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Súhrn bezpečnostného profilu</w:t>
      </w:r>
      <w:r>
        <w:rPr>
          <w:u w:val="none"/>
          <w:lang w:val="sk-SK"/>
        </w:rPr>
        <w:t xml:space="preserve"> </w:t>
      </w:r>
    </w:p>
    <w:p w:rsidR="00D41417" w:rsidRDefault="00B1758A">
      <w:pPr>
        <w:spacing w:after="0" w:line="240" w:lineRule="auto"/>
        <w:ind w:left="0" w:right="0"/>
        <w:contextualSpacing/>
        <w:rPr>
          <w:lang w:val="sk-SK"/>
        </w:rPr>
      </w:pPr>
      <w:r>
        <w:rPr>
          <w:lang w:val="sk-SK"/>
        </w:rPr>
        <w:t xml:space="preserve">Celkový bezpečnostný profil </w:t>
      </w:r>
      <w:proofErr w:type="spellStart"/>
      <w:r>
        <w:rPr>
          <w:lang w:val="sk-SK"/>
        </w:rPr>
        <w:t>oseltamiviru</w:t>
      </w:r>
      <w:proofErr w:type="spellEnd"/>
      <w:r>
        <w:rPr>
          <w:lang w:val="sk-SK"/>
        </w:rPr>
        <w:t xml:space="preserve"> je založený na údajoch od 6 049 dospelých/dospievajúcich a 1</w:t>
      </w:r>
      <w:r>
        <w:rPr>
          <w:b/>
          <w:lang w:val="sk-SK"/>
        </w:rPr>
        <w:t xml:space="preserve"> </w:t>
      </w:r>
      <w:r>
        <w:rPr>
          <w:lang w:val="sk-SK"/>
        </w:rPr>
        <w:t xml:space="preserve">473 pediatrických pacientov užívajúcich </w:t>
      </w:r>
      <w:proofErr w:type="spellStart"/>
      <w:r>
        <w:rPr>
          <w:lang w:val="sk-SK"/>
        </w:rPr>
        <w:t>oseltamivir</w:t>
      </w:r>
      <w:proofErr w:type="spellEnd"/>
      <w:r>
        <w:rPr>
          <w:lang w:val="sk-SK"/>
        </w:rPr>
        <w:t xml:space="preserve"> alebo placebo na liečbu chrípky a na údajoch od 3</w:t>
      </w:r>
      <w:r>
        <w:rPr>
          <w:b/>
          <w:lang w:val="sk-SK"/>
        </w:rPr>
        <w:t xml:space="preserve"> </w:t>
      </w:r>
      <w:r>
        <w:rPr>
          <w:lang w:val="sk-SK"/>
        </w:rPr>
        <w:t xml:space="preserve">990 dospelých/dospievajúcich a 253 pediatrických pacientov užívajúcich </w:t>
      </w:r>
      <w:proofErr w:type="spellStart"/>
      <w:r>
        <w:rPr>
          <w:lang w:val="sk-SK"/>
        </w:rPr>
        <w:t>oseltamivir</w:t>
      </w:r>
      <w:proofErr w:type="spellEnd"/>
      <w:r>
        <w:rPr>
          <w:lang w:val="sk-SK"/>
        </w:rPr>
        <w:t xml:space="preserve"> alebo placebo/bez liečby na prevenciu chrípky v klinických štúdiách. Navyše 199 dospelých pacientov s oslabeným imunitným systémom dostávalo </w:t>
      </w:r>
      <w:proofErr w:type="spellStart"/>
      <w:r>
        <w:rPr>
          <w:lang w:val="sk-SK"/>
        </w:rPr>
        <w:t>oseltamivir</w:t>
      </w:r>
      <w:proofErr w:type="spellEnd"/>
      <w:r>
        <w:rPr>
          <w:lang w:val="sk-SK"/>
        </w:rPr>
        <w:t xml:space="preserve"> na liečbu chrípky a 475 pacientov s oslabeným imunitným systémom (vrátane 18 detí, z toho 10 s </w:t>
      </w:r>
      <w:proofErr w:type="spellStart"/>
      <w:r>
        <w:rPr>
          <w:lang w:val="sk-SK"/>
        </w:rPr>
        <w:t>oseltamivirom</w:t>
      </w:r>
      <w:proofErr w:type="spellEnd"/>
      <w:r>
        <w:rPr>
          <w:lang w:val="sk-SK"/>
        </w:rPr>
        <w:t xml:space="preserve"> a 8 s placebo) dostávalo </w:t>
      </w:r>
      <w:proofErr w:type="spellStart"/>
      <w:r>
        <w:rPr>
          <w:lang w:val="sk-SK"/>
        </w:rPr>
        <w:t>oseltamivir</w:t>
      </w:r>
      <w:proofErr w:type="spellEnd"/>
      <w:r>
        <w:rPr>
          <w:lang w:val="sk-SK"/>
        </w:rPr>
        <w:t xml:space="preserve"> alebo placebo na profylaxiu chrípky.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lastRenderedPageBreak/>
        <w:t>Najčastejšie hlásenými nežiaducimi reakciami (</w:t>
      </w:r>
      <w:proofErr w:type="spellStart"/>
      <w:r>
        <w:rPr>
          <w:lang w:val="sk-SK"/>
        </w:rPr>
        <w:t>adverse</w:t>
      </w:r>
      <w:proofErr w:type="spellEnd"/>
      <w:r>
        <w:rPr>
          <w:lang w:val="sk-SK"/>
        </w:rPr>
        <w:t xml:space="preserve"> </w:t>
      </w:r>
      <w:proofErr w:type="spellStart"/>
      <w:r>
        <w:rPr>
          <w:lang w:val="sk-SK"/>
        </w:rPr>
        <w:t>reactions</w:t>
      </w:r>
      <w:proofErr w:type="spellEnd"/>
      <w:r>
        <w:rPr>
          <w:lang w:val="sk-SK"/>
        </w:rPr>
        <w:t xml:space="preserve">, </w:t>
      </w:r>
      <w:proofErr w:type="spellStart"/>
      <w:r>
        <w:rPr>
          <w:lang w:val="sk-SK"/>
        </w:rPr>
        <w:t>ARs</w:t>
      </w:r>
      <w:proofErr w:type="spellEnd"/>
      <w:r>
        <w:rPr>
          <w:lang w:val="sk-SK"/>
        </w:rPr>
        <w:t xml:space="preserve">) u dospelých/ dospievajúcich v štúdiách zameraných na liečbu boli nauzea a vracanie a v štúdiách zameraných na prevenciu to bola nauzea. Väčšina týchto </w:t>
      </w:r>
      <w:proofErr w:type="spellStart"/>
      <w:r>
        <w:rPr>
          <w:lang w:val="sk-SK"/>
        </w:rPr>
        <w:t>ARs</w:t>
      </w:r>
      <w:proofErr w:type="spellEnd"/>
      <w:r>
        <w:rPr>
          <w:lang w:val="sk-SK"/>
        </w:rPr>
        <w:t xml:space="preserve"> bola hlásená ako jedna udalosť buď prvý, alebo druhý deň liečby a spontánne odznela v priebehu 1 - 2 dní. Najčastejšie hlásenou nežiaducou reakciou u detí bolo vracanie. U väčšiny pacientov tieto </w:t>
      </w:r>
      <w:proofErr w:type="spellStart"/>
      <w:r>
        <w:rPr>
          <w:lang w:val="sk-SK"/>
        </w:rPr>
        <w:t>ARs</w:t>
      </w:r>
      <w:proofErr w:type="spellEnd"/>
      <w:r>
        <w:rPr>
          <w:lang w:val="sk-SK"/>
        </w:rPr>
        <w:t xml:space="preserve"> neviedli k vysadeniu </w:t>
      </w:r>
      <w:proofErr w:type="spellStart"/>
      <w:r>
        <w:rPr>
          <w:lang w:val="sk-SK"/>
        </w:rPr>
        <w:t>oseltamiviru</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Po uvedení </w:t>
      </w:r>
      <w:proofErr w:type="spellStart"/>
      <w:r>
        <w:rPr>
          <w:lang w:val="sk-SK"/>
        </w:rPr>
        <w:t>oseltamiviru</w:t>
      </w:r>
      <w:proofErr w:type="spellEnd"/>
      <w:r>
        <w:rPr>
          <w:lang w:val="sk-SK"/>
        </w:rPr>
        <w:t xml:space="preserve"> na trh boli zriedkavo pozorované nasledujúce závažné nežiaduce reakcie: </w:t>
      </w:r>
      <w:proofErr w:type="spellStart"/>
      <w:r>
        <w:rPr>
          <w:lang w:val="sk-SK"/>
        </w:rPr>
        <w:t>anafylaktické</w:t>
      </w:r>
      <w:proofErr w:type="spellEnd"/>
      <w:r>
        <w:rPr>
          <w:lang w:val="sk-SK"/>
        </w:rPr>
        <w:t xml:space="preserve"> a </w:t>
      </w:r>
      <w:proofErr w:type="spellStart"/>
      <w:r>
        <w:rPr>
          <w:lang w:val="sk-SK"/>
        </w:rPr>
        <w:t>anafylaktoidné</w:t>
      </w:r>
      <w:proofErr w:type="spellEnd"/>
      <w:r>
        <w:rPr>
          <w:lang w:val="sk-SK"/>
        </w:rPr>
        <w:t xml:space="preserve"> reakcie, poškodenie pečene (fulminantná hepatitída, poruchy pečeňových funkcií a žltačka), </w:t>
      </w:r>
      <w:proofErr w:type="spellStart"/>
      <w:r>
        <w:rPr>
          <w:lang w:val="sk-SK"/>
        </w:rPr>
        <w:t>angioneurotický</w:t>
      </w:r>
      <w:proofErr w:type="spellEnd"/>
      <w:r>
        <w:rPr>
          <w:lang w:val="sk-SK"/>
        </w:rPr>
        <w:t xml:space="preserve"> edém, </w:t>
      </w:r>
      <w:proofErr w:type="spellStart"/>
      <w:r>
        <w:rPr>
          <w:lang w:val="sk-SK"/>
        </w:rPr>
        <w:t>Stevensov-Johnsonov</w:t>
      </w:r>
      <w:proofErr w:type="spellEnd"/>
      <w:r>
        <w:rPr>
          <w:lang w:val="sk-SK"/>
        </w:rPr>
        <w:t xml:space="preserve"> syndróm a toxická </w:t>
      </w:r>
      <w:proofErr w:type="spellStart"/>
      <w:r>
        <w:rPr>
          <w:lang w:val="sk-SK"/>
        </w:rPr>
        <w:t>epidermálna</w:t>
      </w:r>
      <w:proofErr w:type="spellEnd"/>
      <w:r>
        <w:rPr>
          <w:lang w:val="sk-SK"/>
        </w:rPr>
        <w:t xml:space="preserve"> </w:t>
      </w:r>
      <w:proofErr w:type="spellStart"/>
      <w:r>
        <w:rPr>
          <w:lang w:val="sk-SK"/>
        </w:rPr>
        <w:t>nekrolýza</w:t>
      </w:r>
      <w:proofErr w:type="spellEnd"/>
      <w:r>
        <w:rPr>
          <w:lang w:val="sk-SK"/>
        </w:rPr>
        <w:t xml:space="preserve">, </w:t>
      </w:r>
      <w:proofErr w:type="spellStart"/>
      <w:r>
        <w:rPr>
          <w:lang w:val="sk-SK"/>
        </w:rPr>
        <w:t>gastrointestinálne</w:t>
      </w:r>
      <w:proofErr w:type="spellEnd"/>
      <w:r>
        <w:rPr>
          <w:lang w:val="sk-SK"/>
        </w:rPr>
        <w:t xml:space="preserve"> krvácanie a </w:t>
      </w:r>
      <w:proofErr w:type="spellStart"/>
      <w:r>
        <w:rPr>
          <w:lang w:val="sk-SK"/>
        </w:rPr>
        <w:t>neuropsychiatrické</w:t>
      </w:r>
      <w:proofErr w:type="spellEnd"/>
      <w:r>
        <w:rPr>
          <w:lang w:val="sk-SK"/>
        </w:rPr>
        <w:t xml:space="preserve"> poruchy. (Čo sa týka </w:t>
      </w:r>
      <w:proofErr w:type="spellStart"/>
      <w:r>
        <w:rPr>
          <w:lang w:val="sk-SK"/>
        </w:rPr>
        <w:t>neuropsychiatrických</w:t>
      </w:r>
      <w:proofErr w:type="spellEnd"/>
      <w:r>
        <w:rPr>
          <w:lang w:val="sk-SK"/>
        </w:rPr>
        <w:t xml:space="preserve"> porúch, pozri časť 4.4)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Súhrn nežiaducich reakcií v tabuľke</w:t>
      </w:r>
      <w:r>
        <w:rPr>
          <w:u w:val="none"/>
          <w:lang w:val="sk-SK"/>
        </w:rPr>
        <w:t xml:space="preserve"> </w:t>
      </w:r>
    </w:p>
    <w:p w:rsidR="00D41417" w:rsidRDefault="00B1758A">
      <w:pPr>
        <w:spacing w:after="0" w:line="240" w:lineRule="auto"/>
        <w:ind w:left="0" w:right="0"/>
        <w:contextualSpacing/>
        <w:rPr>
          <w:lang w:val="sk-SK"/>
        </w:rPr>
      </w:pPr>
      <w:proofErr w:type="spellStart"/>
      <w:r>
        <w:rPr>
          <w:lang w:val="sk-SK"/>
        </w:rPr>
        <w:t>ARs</w:t>
      </w:r>
      <w:proofErr w:type="spellEnd"/>
      <w:r>
        <w:rPr>
          <w:lang w:val="sk-SK"/>
        </w:rPr>
        <w:t>, ktoré sú nižšie uvedené v tabuľke, spadajú do nasledujúcich kategórií: veľmi časté (</w:t>
      </w:r>
      <w:r>
        <w:rPr>
          <w:rFonts w:eastAsia="Segoe UI Symbol"/>
          <w:lang w:val="sk-SK"/>
        </w:rPr>
        <w:t>≥</w:t>
      </w:r>
      <w:r>
        <w:rPr>
          <w:lang w:val="sk-SK"/>
        </w:rPr>
        <w:t xml:space="preserve"> </w:t>
      </w:r>
      <w:r>
        <w:rPr>
          <w:i/>
          <w:lang w:val="sk-SK"/>
        </w:rPr>
        <w:t>1/10),</w:t>
      </w:r>
      <w:r>
        <w:rPr>
          <w:lang w:val="sk-SK"/>
        </w:rPr>
        <w:t xml:space="preserve"> časté (</w:t>
      </w:r>
      <w:r>
        <w:rPr>
          <w:rFonts w:eastAsia="Segoe UI Symbol"/>
          <w:lang w:val="sk-SK"/>
        </w:rPr>
        <w:t>≥</w:t>
      </w:r>
      <w:r>
        <w:rPr>
          <w:lang w:val="sk-SK"/>
        </w:rPr>
        <w:t xml:space="preserve"> </w:t>
      </w:r>
      <w:r>
        <w:rPr>
          <w:i/>
          <w:lang w:val="sk-SK"/>
        </w:rPr>
        <w:t>1/100</w:t>
      </w:r>
      <w:r>
        <w:rPr>
          <w:lang w:val="sk-SK"/>
        </w:rPr>
        <w:t xml:space="preserve"> až &lt; </w:t>
      </w:r>
      <w:r>
        <w:rPr>
          <w:i/>
          <w:lang w:val="sk-SK"/>
        </w:rPr>
        <w:t>1/10</w:t>
      </w:r>
      <w:r>
        <w:rPr>
          <w:lang w:val="sk-SK"/>
        </w:rPr>
        <w:t>), menej časté (</w:t>
      </w:r>
      <w:r>
        <w:rPr>
          <w:rFonts w:eastAsia="Segoe UI Symbol"/>
          <w:lang w:val="sk-SK"/>
        </w:rPr>
        <w:t>≥</w:t>
      </w:r>
      <w:r>
        <w:rPr>
          <w:lang w:val="sk-SK"/>
        </w:rPr>
        <w:t xml:space="preserve"> </w:t>
      </w:r>
      <w:r>
        <w:rPr>
          <w:i/>
          <w:lang w:val="sk-SK"/>
        </w:rPr>
        <w:t>1/1</w:t>
      </w:r>
      <w:r>
        <w:rPr>
          <w:lang w:val="sk-SK"/>
        </w:rPr>
        <w:t xml:space="preserve"> </w:t>
      </w:r>
      <w:r>
        <w:rPr>
          <w:i/>
          <w:lang w:val="sk-SK"/>
        </w:rPr>
        <w:t>000</w:t>
      </w:r>
      <w:r>
        <w:rPr>
          <w:lang w:val="sk-SK"/>
        </w:rPr>
        <w:t xml:space="preserve"> až &lt; </w:t>
      </w:r>
      <w:r>
        <w:rPr>
          <w:i/>
          <w:lang w:val="sk-SK"/>
        </w:rPr>
        <w:t>1/100</w:t>
      </w:r>
      <w:r>
        <w:rPr>
          <w:lang w:val="sk-SK"/>
        </w:rPr>
        <w:t>), zriedkavé (</w:t>
      </w:r>
      <w:r>
        <w:rPr>
          <w:rFonts w:eastAsia="Segoe UI Symbol"/>
          <w:lang w:val="sk-SK"/>
        </w:rPr>
        <w:t>≥</w:t>
      </w:r>
      <w:r>
        <w:rPr>
          <w:lang w:val="sk-SK"/>
        </w:rPr>
        <w:t xml:space="preserve"> </w:t>
      </w:r>
      <w:r>
        <w:rPr>
          <w:i/>
          <w:lang w:val="sk-SK"/>
        </w:rPr>
        <w:t>1/10</w:t>
      </w:r>
      <w:r>
        <w:rPr>
          <w:lang w:val="sk-SK"/>
        </w:rPr>
        <w:t xml:space="preserve"> </w:t>
      </w:r>
      <w:r>
        <w:rPr>
          <w:i/>
          <w:lang w:val="sk-SK"/>
        </w:rPr>
        <w:t>000</w:t>
      </w:r>
      <w:r>
        <w:rPr>
          <w:lang w:val="sk-SK"/>
        </w:rPr>
        <w:t xml:space="preserve"> až &lt; </w:t>
      </w:r>
      <w:r>
        <w:rPr>
          <w:i/>
          <w:lang w:val="sk-SK"/>
        </w:rPr>
        <w:t>1/1</w:t>
      </w:r>
      <w:r>
        <w:rPr>
          <w:lang w:val="sk-SK"/>
        </w:rPr>
        <w:t xml:space="preserve"> </w:t>
      </w:r>
      <w:r>
        <w:rPr>
          <w:i/>
          <w:lang w:val="sk-SK"/>
        </w:rPr>
        <w:t>000</w:t>
      </w:r>
      <w:r>
        <w:rPr>
          <w:lang w:val="sk-SK"/>
        </w:rPr>
        <w:t xml:space="preserve">) a veľmi zriedkavé (&lt; </w:t>
      </w:r>
      <w:r>
        <w:rPr>
          <w:i/>
          <w:lang w:val="sk-SK"/>
        </w:rPr>
        <w:t>1/10</w:t>
      </w:r>
      <w:r>
        <w:rPr>
          <w:lang w:val="sk-SK"/>
        </w:rPr>
        <w:t xml:space="preserve"> </w:t>
      </w:r>
      <w:r>
        <w:rPr>
          <w:i/>
          <w:lang w:val="sk-SK"/>
        </w:rPr>
        <w:t>000</w:t>
      </w:r>
      <w:r>
        <w:rPr>
          <w:lang w:val="sk-SK"/>
        </w:rPr>
        <w:t xml:space="preserve">). </w:t>
      </w:r>
      <w:proofErr w:type="spellStart"/>
      <w:r>
        <w:rPr>
          <w:lang w:val="sk-SK"/>
        </w:rPr>
        <w:t>ARs</w:t>
      </w:r>
      <w:proofErr w:type="spellEnd"/>
      <w:r>
        <w:rPr>
          <w:lang w:val="sk-SK"/>
        </w:rPr>
        <w:t xml:space="preserve"> sú zaradené do príslušnej kategórie v tabuľkách podľa súhrnných analýz z klinických štúdií.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Liečba a prevencia chrípky u dospelých a dospievajúcich</w:t>
      </w:r>
      <w:r>
        <w:rPr>
          <w:lang w:val="sk-SK"/>
        </w:rPr>
        <w:t>:</w:t>
      </w:r>
    </w:p>
    <w:p w:rsidR="00D41417" w:rsidRDefault="00B1758A">
      <w:pPr>
        <w:spacing w:after="0" w:line="240" w:lineRule="auto"/>
        <w:ind w:left="0" w:right="0"/>
        <w:contextualSpacing/>
        <w:rPr>
          <w:lang w:val="sk-SK"/>
        </w:rPr>
      </w:pPr>
      <w:r>
        <w:rPr>
          <w:lang w:val="sk-SK"/>
        </w:rPr>
        <w:t xml:space="preserve">V štúdiách zameraných na liečbu a prevenciu u dospelých/dospievajúcich sú </w:t>
      </w:r>
      <w:proofErr w:type="spellStart"/>
      <w:r>
        <w:rPr>
          <w:lang w:val="sk-SK"/>
        </w:rPr>
        <w:t>ARs</w:t>
      </w:r>
      <w:proofErr w:type="spellEnd"/>
      <w:r>
        <w:rPr>
          <w:lang w:val="sk-SK"/>
        </w:rPr>
        <w:t xml:space="preserve">, ktoré sa vyskytovali najčastejšie pri odporúčanej dávke (liečba: 75 mg dvakrát denne po dobu 5 dní a profylaxia: 75 mg jedenkrát denne po dobu 6 týždňov), uvedené v tabuľke 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Profil bezpečnosti zaznamenaný u osôb, ktoré dostávali odporúčanú dávku </w:t>
      </w:r>
      <w:proofErr w:type="spellStart"/>
      <w:r>
        <w:rPr>
          <w:lang w:val="sk-SK"/>
        </w:rPr>
        <w:t>oseltamiviru</w:t>
      </w:r>
      <w:proofErr w:type="spellEnd"/>
      <w:r>
        <w:rPr>
          <w:lang w:val="sk-SK"/>
        </w:rPr>
        <w:t xml:space="preserve"> na profylaxiu (75 mg jedenkrát denne po dobu 6 týždňov), bol kvalitatívne podobný ako profil pozorovaný v štúdiách zameraných na liečbu, napriek dlhšiemu trvaniu podávania dávky v štúdiách zameraných na profylaxiu.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firstLine="0"/>
        <w:contextualSpacing/>
        <w:rPr>
          <w:lang w:val="sk-SK"/>
        </w:rPr>
      </w:pPr>
      <w:r>
        <w:rPr>
          <w:lang w:val="sk-SK"/>
        </w:rPr>
        <w:t xml:space="preserve">Tabuľka 1: Nežiaduce reakcie v štúdiách skúmajúcich </w:t>
      </w:r>
      <w:proofErr w:type="spellStart"/>
      <w:r>
        <w:rPr>
          <w:lang w:val="sk-SK"/>
        </w:rPr>
        <w:t>oseltamivir</w:t>
      </w:r>
      <w:proofErr w:type="spellEnd"/>
      <w:r>
        <w:rPr>
          <w:lang w:val="sk-SK"/>
        </w:rPr>
        <w:t xml:space="preserve"> na liečbu a prevenciu chrípky u dospelých a dospievajúcich alebo počas </w:t>
      </w:r>
      <w:proofErr w:type="spellStart"/>
      <w:r>
        <w:rPr>
          <w:lang w:val="sk-SK"/>
        </w:rPr>
        <w:t>postmarketingového</w:t>
      </w:r>
      <w:proofErr w:type="spellEnd"/>
      <w:r>
        <w:rPr>
          <w:lang w:val="sk-SK"/>
        </w:rPr>
        <w:t xml:space="preserve"> sledovania </w:t>
      </w:r>
    </w:p>
    <w:p w:rsidR="00D41417" w:rsidRDefault="00B1758A">
      <w:pPr>
        <w:spacing w:after="0" w:line="240" w:lineRule="auto"/>
        <w:ind w:left="0" w:right="0" w:firstLine="0"/>
        <w:contextualSpacing/>
        <w:rPr>
          <w:lang w:val="sk-SK"/>
        </w:rPr>
      </w:pPr>
      <w:r>
        <w:rPr>
          <w:b/>
          <w:lang w:val="sk-SK"/>
        </w:rPr>
        <w:t xml:space="preserve"> </w:t>
      </w:r>
    </w:p>
    <w:tbl>
      <w:tblPr>
        <w:tblStyle w:val="Mriekatabuky"/>
        <w:tblW w:w="9302" w:type="dxa"/>
        <w:tblInd w:w="109" w:type="dxa"/>
        <w:tblLook w:val="04A0" w:firstRow="1" w:lastRow="0" w:firstColumn="1" w:lastColumn="0" w:noHBand="0" w:noVBand="1"/>
      </w:tblPr>
      <w:tblGrid>
        <w:gridCol w:w="2123"/>
        <w:gridCol w:w="1653"/>
        <w:gridCol w:w="1701"/>
        <w:gridCol w:w="1690"/>
        <w:gridCol w:w="2135"/>
      </w:tblGrid>
      <w:tr w:rsidR="00D41417" w:rsidRPr="00E1009E">
        <w:trPr>
          <w:trHeight w:val="293"/>
        </w:trPr>
        <w:tc>
          <w:tcPr>
            <w:tcW w:w="2122" w:type="dxa"/>
            <w:vMerge w:val="restart"/>
          </w:tcPr>
          <w:p w:rsidR="00D41417" w:rsidRDefault="00B1758A">
            <w:pPr>
              <w:spacing w:after="0" w:line="240" w:lineRule="auto"/>
              <w:ind w:left="0" w:right="0" w:firstLine="0"/>
              <w:contextualSpacing/>
              <w:rPr>
                <w:b/>
                <w:bCs/>
                <w:lang w:val="sk-SK"/>
              </w:rPr>
            </w:pPr>
            <w:r>
              <w:rPr>
                <w:b/>
                <w:bCs/>
                <w:lang w:val="sk-SK"/>
              </w:rPr>
              <w:t>Trieda orgánových</w:t>
            </w:r>
          </w:p>
          <w:p w:rsidR="00D41417" w:rsidRDefault="00B1758A">
            <w:pPr>
              <w:spacing w:after="0" w:line="240" w:lineRule="auto"/>
              <w:ind w:left="0" w:right="0" w:firstLine="0"/>
              <w:contextualSpacing/>
              <w:rPr>
                <w:b/>
                <w:bCs/>
                <w:lang w:val="sk-SK"/>
              </w:rPr>
            </w:pPr>
            <w:r>
              <w:rPr>
                <w:b/>
                <w:bCs/>
                <w:lang w:val="sk-SK"/>
              </w:rPr>
              <w:t>systémov (SOC)</w:t>
            </w:r>
          </w:p>
        </w:tc>
        <w:tc>
          <w:tcPr>
            <w:tcW w:w="7180" w:type="dxa"/>
            <w:gridSpan w:val="4"/>
          </w:tcPr>
          <w:p w:rsidR="00D41417" w:rsidRDefault="00B1758A">
            <w:pPr>
              <w:spacing w:after="0" w:line="240" w:lineRule="auto"/>
              <w:ind w:left="0" w:right="0" w:firstLine="0"/>
              <w:contextualSpacing/>
              <w:jc w:val="center"/>
              <w:rPr>
                <w:b/>
                <w:bCs/>
                <w:lang w:val="sk-SK"/>
              </w:rPr>
            </w:pPr>
            <w:r>
              <w:rPr>
                <w:b/>
                <w:bCs/>
                <w:lang w:val="sk-SK"/>
              </w:rPr>
              <w:t>Nežiaduce reakcie vzhľadom na frekvenciu</w:t>
            </w:r>
          </w:p>
        </w:tc>
      </w:tr>
      <w:tr w:rsidR="00D41417">
        <w:trPr>
          <w:trHeight w:val="292"/>
        </w:trPr>
        <w:tc>
          <w:tcPr>
            <w:tcW w:w="2122" w:type="dxa"/>
            <w:vMerge/>
          </w:tcPr>
          <w:p w:rsidR="00D41417" w:rsidRDefault="00D41417">
            <w:pPr>
              <w:spacing w:after="0" w:line="240" w:lineRule="auto"/>
              <w:ind w:left="0" w:right="0" w:firstLine="0"/>
              <w:contextualSpacing/>
              <w:rPr>
                <w:b/>
                <w:bCs/>
                <w:lang w:val="sk-SK"/>
              </w:rPr>
            </w:pPr>
          </w:p>
        </w:tc>
        <w:tc>
          <w:tcPr>
            <w:tcW w:w="1654" w:type="dxa"/>
          </w:tcPr>
          <w:p w:rsidR="00D41417" w:rsidRDefault="00B1758A">
            <w:pPr>
              <w:spacing w:after="0" w:line="240" w:lineRule="auto"/>
              <w:ind w:left="0" w:right="0" w:firstLine="0"/>
              <w:contextualSpacing/>
              <w:rPr>
                <w:b/>
                <w:bCs/>
                <w:lang w:val="sk-SK"/>
              </w:rPr>
            </w:pPr>
            <w:r>
              <w:rPr>
                <w:b/>
                <w:bCs/>
                <w:lang w:val="sk-SK"/>
              </w:rPr>
              <w:t>Veľmi časté</w:t>
            </w:r>
          </w:p>
        </w:tc>
        <w:tc>
          <w:tcPr>
            <w:tcW w:w="1701" w:type="dxa"/>
          </w:tcPr>
          <w:p w:rsidR="00D41417" w:rsidRDefault="00B1758A">
            <w:pPr>
              <w:spacing w:after="0" w:line="240" w:lineRule="auto"/>
              <w:ind w:left="0" w:right="0" w:firstLine="0"/>
              <w:contextualSpacing/>
              <w:rPr>
                <w:b/>
                <w:bCs/>
                <w:lang w:val="sk-SK"/>
              </w:rPr>
            </w:pPr>
            <w:r>
              <w:rPr>
                <w:b/>
                <w:bCs/>
                <w:lang w:val="sk-SK"/>
              </w:rPr>
              <w:t>Časté</w:t>
            </w:r>
          </w:p>
        </w:tc>
        <w:tc>
          <w:tcPr>
            <w:tcW w:w="1690" w:type="dxa"/>
          </w:tcPr>
          <w:p w:rsidR="00D41417" w:rsidRDefault="00B1758A">
            <w:pPr>
              <w:spacing w:after="0" w:line="240" w:lineRule="auto"/>
              <w:ind w:left="0" w:right="0" w:firstLine="0"/>
              <w:contextualSpacing/>
              <w:rPr>
                <w:b/>
                <w:bCs/>
                <w:lang w:val="sk-SK"/>
              </w:rPr>
            </w:pPr>
            <w:r>
              <w:rPr>
                <w:b/>
                <w:bCs/>
                <w:lang w:val="sk-SK"/>
              </w:rPr>
              <w:t>Menej časté</w:t>
            </w:r>
          </w:p>
        </w:tc>
        <w:tc>
          <w:tcPr>
            <w:tcW w:w="2135" w:type="dxa"/>
          </w:tcPr>
          <w:p w:rsidR="00D41417" w:rsidRDefault="00B1758A">
            <w:pPr>
              <w:spacing w:after="0" w:line="240" w:lineRule="auto"/>
              <w:ind w:left="0" w:right="0" w:firstLine="0"/>
              <w:contextualSpacing/>
              <w:rPr>
                <w:b/>
                <w:bCs/>
                <w:lang w:val="sk-SK"/>
              </w:rPr>
            </w:pPr>
            <w:r>
              <w:rPr>
                <w:b/>
                <w:bCs/>
                <w:lang w:val="sk-SK"/>
              </w:rPr>
              <w:t>Zriedkavé</w:t>
            </w:r>
          </w:p>
        </w:tc>
      </w:tr>
      <w:tr w:rsidR="00D41417" w:rsidRPr="00E1009E">
        <w:tc>
          <w:tcPr>
            <w:tcW w:w="2122" w:type="dxa"/>
          </w:tcPr>
          <w:p w:rsidR="00D41417" w:rsidRDefault="00B1758A">
            <w:pPr>
              <w:spacing w:after="0" w:line="240" w:lineRule="auto"/>
              <w:ind w:left="0" w:right="0" w:firstLine="0"/>
              <w:contextualSpacing/>
              <w:rPr>
                <w:b/>
                <w:bCs/>
                <w:lang w:val="sk-SK"/>
              </w:rPr>
            </w:pPr>
            <w:r>
              <w:rPr>
                <w:b/>
                <w:bCs/>
                <w:lang w:val="sk-SK"/>
              </w:rPr>
              <w:t>Infekcie a nákazy</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B1758A">
            <w:pPr>
              <w:spacing w:after="0" w:line="240" w:lineRule="auto"/>
              <w:ind w:left="0" w:right="0" w:firstLine="0"/>
              <w:contextualSpacing/>
              <w:rPr>
                <w:lang w:val="sk-SK"/>
              </w:rPr>
            </w:pPr>
            <w:r>
              <w:rPr>
                <w:lang w:val="sk-SK"/>
              </w:rPr>
              <w:t xml:space="preserve">Bronchitída, Herpes </w:t>
            </w:r>
            <w:proofErr w:type="spellStart"/>
            <w:r>
              <w:rPr>
                <w:lang w:val="sk-SK"/>
              </w:rPr>
              <w:t>simplex</w:t>
            </w:r>
            <w:proofErr w:type="spellEnd"/>
            <w:r>
              <w:rPr>
                <w:lang w:val="sk-SK"/>
              </w:rPr>
              <w:t xml:space="preserve">, </w:t>
            </w:r>
            <w:proofErr w:type="spellStart"/>
            <w:r>
              <w:rPr>
                <w:lang w:val="sk-SK"/>
              </w:rPr>
              <w:t>Nazofaryngitída</w:t>
            </w:r>
            <w:proofErr w:type="spellEnd"/>
            <w:r>
              <w:rPr>
                <w:lang w:val="sk-SK"/>
              </w:rPr>
              <w:t xml:space="preserve">, Infekcie horných dýchacích ciest, </w:t>
            </w:r>
            <w:proofErr w:type="spellStart"/>
            <w:r>
              <w:rPr>
                <w:lang w:val="sk-SK"/>
              </w:rPr>
              <w:t>Sinusitída</w:t>
            </w:r>
            <w:proofErr w:type="spellEnd"/>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D41417">
            <w:pPr>
              <w:spacing w:after="0" w:line="240" w:lineRule="auto"/>
              <w:ind w:left="0" w:right="0" w:firstLine="0"/>
              <w:contextualSpacing/>
              <w:rPr>
                <w:lang w:val="sk-SK"/>
              </w:rPr>
            </w:pP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 xml:space="preserve">Poruchy krvi a lymfatického systému </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proofErr w:type="spellStart"/>
            <w:r>
              <w:rPr>
                <w:lang w:val="sk-SK"/>
              </w:rPr>
              <w:t>Trombocytopénia</w:t>
            </w:r>
            <w:proofErr w:type="spellEnd"/>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imunitného systému</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proofErr w:type="spellStart"/>
            <w:r>
              <w:rPr>
                <w:lang w:val="sk-SK"/>
              </w:rPr>
              <w:t>Hypersenzitívna</w:t>
            </w:r>
            <w:proofErr w:type="spellEnd"/>
            <w:r>
              <w:rPr>
                <w:lang w:val="sk-SK"/>
              </w:rPr>
              <w:t xml:space="preserve"> reakcia</w:t>
            </w:r>
          </w:p>
        </w:tc>
        <w:tc>
          <w:tcPr>
            <w:tcW w:w="2135" w:type="dxa"/>
          </w:tcPr>
          <w:p w:rsidR="00D41417" w:rsidRDefault="00B1758A">
            <w:pPr>
              <w:spacing w:after="0" w:line="240" w:lineRule="auto"/>
              <w:ind w:left="0" w:right="0" w:firstLine="0"/>
              <w:contextualSpacing/>
              <w:rPr>
                <w:lang w:val="sk-SK"/>
              </w:rPr>
            </w:pPr>
            <w:proofErr w:type="spellStart"/>
            <w:r>
              <w:rPr>
                <w:lang w:val="sk-SK"/>
              </w:rPr>
              <w:t>Anafylaktické</w:t>
            </w:r>
            <w:proofErr w:type="spellEnd"/>
            <w:r>
              <w:rPr>
                <w:lang w:val="sk-SK"/>
              </w:rPr>
              <w:t xml:space="preserve"> reakcie, </w:t>
            </w:r>
            <w:proofErr w:type="spellStart"/>
            <w:r>
              <w:rPr>
                <w:lang w:val="sk-SK"/>
              </w:rPr>
              <w:t>Anafylaktoidné</w:t>
            </w:r>
            <w:proofErr w:type="spellEnd"/>
            <w:r>
              <w:rPr>
                <w:lang w:val="sk-SK"/>
              </w:rPr>
              <w:t xml:space="preserve"> reakcie</w:t>
            </w:r>
          </w:p>
        </w:tc>
      </w:tr>
      <w:tr w:rsidR="00D41417" w:rsidRPr="00E1009E">
        <w:tc>
          <w:tcPr>
            <w:tcW w:w="2122" w:type="dxa"/>
          </w:tcPr>
          <w:p w:rsidR="00D41417" w:rsidRDefault="00B1758A">
            <w:pPr>
              <w:spacing w:after="0" w:line="240" w:lineRule="auto"/>
              <w:ind w:left="0" w:right="0" w:firstLine="0"/>
              <w:contextualSpacing/>
              <w:rPr>
                <w:b/>
                <w:bCs/>
                <w:lang w:val="sk-SK"/>
              </w:rPr>
            </w:pPr>
            <w:r>
              <w:rPr>
                <w:b/>
                <w:bCs/>
                <w:lang w:val="sk-SK"/>
              </w:rPr>
              <w:t>Psychické poruchy</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r>
              <w:rPr>
                <w:lang w:val="sk-SK"/>
              </w:rPr>
              <w:t xml:space="preserve">Agitácia, Nezvyčajné správanie, Úzkosť, Zmätenosť, Bludy, Delírium, Halucinácie, Nočné mory, </w:t>
            </w:r>
            <w:proofErr w:type="spellStart"/>
            <w:r>
              <w:rPr>
                <w:lang w:val="sk-SK"/>
              </w:rPr>
              <w:t>Sebapoškodzovanie</w:t>
            </w:r>
            <w:proofErr w:type="spellEnd"/>
          </w:p>
        </w:tc>
      </w:tr>
      <w:tr w:rsidR="00D41417">
        <w:tc>
          <w:tcPr>
            <w:tcW w:w="2122" w:type="dxa"/>
          </w:tcPr>
          <w:p w:rsidR="00D41417" w:rsidRDefault="00B1758A">
            <w:pPr>
              <w:spacing w:after="0" w:line="240" w:lineRule="auto"/>
              <w:ind w:left="0" w:right="0" w:firstLine="0"/>
              <w:contextualSpacing/>
              <w:rPr>
                <w:b/>
                <w:bCs/>
                <w:lang w:val="sk-SK"/>
              </w:rPr>
            </w:pPr>
            <w:r>
              <w:rPr>
                <w:b/>
                <w:bCs/>
                <w:lang w:val="sk-SK"/>
              </w:rPr>
              <w:lastRenderedPageBreak/>
              <w:t>Poruchy nervového systému</w:t>
            </w:r>
          </w:p>
        </w:tc>
        <w:tc>
          <w:tcPr>
            <w:tcW w:w="1654" w:type="dxa"/>
          </w:tcPr>
          <w:p w:rsidR="00D41417" w:rsidRDefault="00B1758A">
            <w:pPr>
              <w:spacing w:after="0" w:line="240" w:lineRule="auto"/>
              <w:ind w:left="0" w:right="0" w:firstLine="0"/>
              <w:contextualSpacing/>
              <w:rPr>
                <w:lang w:val="sk-SK"/>
              </w:rPr>
            </w:pPr>
            <w:r>
              <w:rPr>
                <w:lang w:val="sk-SK"/>
              </w:rPr>
              <w:t>Bolesť hlavy</w:t>
            </w:r>
          </w:p>
        </w:tc>
        <w:tc>
          <w:tcPr>
            <w:tcW w:w="1701" w:type="dxa"/>
          </w:tcPr>
          <w:p w:rsidR="00D41417" w:rsidRDefault="00B1758A">
            <w:pPr>
              <w:spacing w:after="0" w:line="240" w:lineRule="auto"/>
              <w:ind w:left="0" w:right="0" w:firstLine="0"/>
              <w:contextualSpacing/>
              <w:rPr>
                <w:lang w:val="sk-SK"/>
              </w:rPr>
            </w:pPr>
            <w:proofErr w:type="spellStart"/>
            <w:r>
              <w:rPr>
                <w:lang w:val="sk-SK"/>
              </w:rPr>
              <w:t>Insomnia</w:t>
            </w:r>
            <w:proofErr w:type="spellEnd"/>
          </w:p>
        </w:tc>
        <w:tc>
          <w:tcPr>
            <w:tcW w:w="1690" w:type="dxa"/>
          </w:tcPr>
          <w:p w:rsidR="00D41417" w:rsidRDefault="00B1758A">
            <w:pPr>
              <w:spacing w:after="0" w:line="240" w:lineRule="auto"/>
              <w:ind w:left="0" w:right="0" w:firstLine="0"/>
              <w:contextualSpacing/>
              <w:rPr>
                <w:lang w:val="sk-SK"/>
              </w:rPr>
            </w:pPr>
            <w:r>
              <w:rPr>
                <w:lang w:val="sk-SK"/>
              </w:rPr>
              <w:t>Zmenená hladina vedomia, Kŕče</w:t>
            </w:r>
          </w:p>
        </w:tc>
        <w:tc>
          <w:tcPr>
            <w:tcW w:w="2135" w:type="dxa"/>
          </w:tcPr>
          <w:p w:rsidR="00D41417" w:rsidRDefault="00D41417">
            <w:pPr>
              <w:spacing w:after="0" w:line="240" w:lineRule="auto"/>
              <w:ind w:left="0" w:right="0" w:firstLine="0"/>
              <w:contextualSpacing/>
              <w:rPr>
                <w:lang w:val="sk-SK"/>
              </w:rPr>
            </w:pP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oka</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r>
              <w:rPr>
                <w:lang w:val="sk-SK"/>
              </w:rPr>
              <w:t>Porucha videnia</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srdca a srdcovej činnosti</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r>
              <w:rPr>
                <w:lang w:val="sk-SK"/>
              </w:rPr>
              <w:t xml:space="preserve">Srdcová </w:t>
            </w:r>
            <w:proofErr w:type="spellStart"/>
            <w:r>
              <w:rPr>
                <w:lang w:val="sk-SK"/>
              </w:rPr>
              <w:t>arytmia</w:t>
            </w:r>
            <w:proofErr w:type="spellEnd"/>
          </w:p>
        </w:tc>
        <w:tc>
          <w:tcPr>
            <w:tcW w:w="2135" w:type="dxa"/>
          </w:tcPr>
          <w:p w:rsidR="00D41417" w:rsidRDefault="00D41417">
            <w:pPr>
              <w:spacing w:after="0" w:line="240" w:lineRule="auto"/>
              <w:ind w:left="0" w:right="0" w:firstLine="0"/>
              <w:contextualSpacing/>
              <w:rPr>
                <w:lang w:val="sk-SK"/>
              </w:rPr>
            </w:pPr>
          </w:p>
        </w:tc>
      </w:tr>
      <w:tr w:rsidR="00D41417" w:rsidRPr="00E1009E">
        <w:tc>
          <w:tcPr>
            <w:tcW w:w="2122" w:type="dxa"/>
          </w:tcPr>
          <w:p w:rsidR="00D41417" w:rsidRDefault="00B1758A">
            <w:pPr>
              <w:spacing w:after="0" w:line="240" w:lineRule="auto"/>
              <w:ind w:left="0" w:right="0" w:firstLine="0"/>
              <w:contextualSpacing/>
              <w:rPr>
                <w:b/>
                <w:bCs/>
                <w:lang w:val="sk-SK"/>
              </w:rPr>
            </w:pPr>
            <w:r>
              <w:rPr>
                <w:b/>
                <w:bCs/>
                <w:lang w:val="sk-SK"/>
              </w:rPr>
              <w:t xml:space="preserve">Poruchy dýchacej sústavy, hrudníka a </w:t>
            </w:r>
            <w:proofErr w:type="spellStart"/>
            <w:r>
              <w:rPr>
                <w:b/>
                <w:bCs/>
                <w:lang w:val="sk-SK"/>
              </w:rPr>
              <w:t>mediastína</w:t>
            </w:r>
            <w:proofErr w:type="spellEnd"/>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B1758A">
            <w:pPr>
              <w:spacing w:after="0" w:line="240" w:lineRule="auto"/>
              <w:ind w:left="0" w:right="0" w:firstLine="0"/>
              <w:contextualSpacing/>
              <w:rPr>
                <w:lang w:val="sk-SK"/>
              </w:rPr>
            </w:pPr>
            <w:r>
              <w:rPr>
                <w:lang w:val="sk-SK"/>
              </w:rPr>
              <w:t>Kašeľ Bolesť hrdla, Výtok z nosa</w:t>
            </w: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D41417">
            <w:pPr>
              <w:spacing w:after="0" w:line="240" w:lineRule="auto"/>
              <w:ind w:left="0" w:right="0" w:firstLine="0"/>
              <w:contextualSpacing/>
              <w:rPr>
                <w:lang w:val="sk-SK"/>
              </w:rPr>
            </w:pP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 xml:space="preserve">Poruchy </w:t>
            </w:r>
            <w:proofErr w:type="spellStart"/>
            <w:r>
              <w:rPr>
                <w:b/>
                <w:bCs/>
                <w:lang w:val="sk-SK"/>
              </w:rPr>
              <w:t>gastrointestinálneho</w:t>
            </w:r>
            <w:proofErr w:type="spellEnd"/>
            <w:r>
              <w:rPr>
                <w:b/>
                <w:bCs/>
                <w:lang w:val="sk-SK"/>
              </w:rPr>
              <w:t xml:space="preserve"> traktu</w:t>
            </w:r>
          </w:p>
        </w:tc>
        <w:tc>
          <w:tcPr>
            <w:tcW w:w="1654" w:type="dxa"/>
          </w:tcPr>
          <w:p w:rsidR="00D41417" w:rsidRDefault="00B1758A">
            <w:pPr>
              <w:spacing w:after="0" w:line="240" w:lineRule="auto"/>
              <w:ind w:left="0" w:right="0" w:firstLine="0"/>
              <w:contextualSpacing/>
              <w:rPr>
                <w:lang w:val="sk-SK"/>
              </w:rPr>
            </w:pPr>
            <w:r>
              <w:rPr>
                <w:lang w:val="sk-SK"/>
              </w:rPr>
              <w:t>Nauzea</w:t>
            </w:r>
          </w:p>
        </w:tc>
        <w:tc>
          <w:tcPr>
            <w:tcW w:w="1701" w:type="dxa"/>
          </w:tcPr>
          <w:p w:rsidR="00D41417" w:rsidRDefault="00B1758A">
            <w:pPr>
              <w:spacing w:after="0" w:line="240" w:lineRule="auto"/>
              <w:ind w:left="0" w:right="0" w:firstLine="0"/>
              <w:contextualSpacing/>
              <w:rPr>
                <w:lang w:val="sk-SK"/>
              </w:rPr>
            </w:pPr>
            <w:r>
              <w:rPr>
                <w:lang w:val="sk-SK"/>
              </w:rPr>
              <w:t xml:space="preserve">Vracanie, Bolesť brucha (vrátane bolesti v </w:t>
            </w:r>
            <w:proofErr w:type="spellStart"/>
            <w:r>
              <w:rPr>
                <w:lang w:val="sk-SK"/>
              </w:rPr>
              <w:t>nadbrušku</w:t>
            </w:r>
            <w:proofErr w:type="spellEnd"/>
            <w:r>
              <w:rPr>
                <w:lang w:val="sk-SK"/>
              </w:rPr>
              <w:t xml:space="preserve">), </w:t>
            </w:r>
            <w:proofErr w:type="spellStart"/>
            <w:r>
              <w:rPr>
                <w:lang w:val="sk-SK"/>
              </w:rPr>
              <w:t>Dyspepsia</w:t>
            </w:r>
            <w:proofErr w:type="spellEnd"/>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proofErr w:type="spellStart"/>
            <w:r>
              <w:rPr>
                <w:lang w:val="sk-SK"/>
              </w:rPr>
              <w:t>Gastrointestinálne</w:t>
            </w:r>
            <w:proofErr w:type="spellEnd"/>
            <w:r>
              <w:rPr>
                <w:lang w:val="sk-SK"/>
              </w:rPr>
              <w:t xml:space="preserve"> krvácanie, </w:t>
            </w:r>
            <w:proofErr w:type="spellStart"/>
            <w:r>
              <w:rPr>
                <w:lang w:val="sk-SK"/>
              </w:rPr>
              <w:t>Hemoragická</w:t>
            </w:r>
            <w:proofErr w:type="spellEnd"/>
            <w:r>
              <w:rPr>
                <w:lang w:val="sk-SK"/>
              </w:rPr>
              <w:t xml:space="preserve"> </w:t>
            </w:r>
            <w:proofErr w:type="spellStart"/>
            <w:r>
              <w:rPr>
                <w:lang w:val="sk-SK"/>
              </w:rPr>
              <w:t>kolitída</w:t>
            </w:r>
            <w:proofErr w:type="spellEnd"/>
          </w:p>
        </w:tc>
      </w:tr>
      <w:tr w:rsidR="00D41417" w:rsidRPr="00E1009E">
        <w:tc>
          <w:tcPr>
            <w:tcW w:w="2122" w:type="dxa"/>
          </w:tcPr>
          <w:p w:rsidR="00D41417" w:rsidRDefault="00B1758A">
            <w:pPr>
              <w:spacing w:after="0" w:line="240" w:lineRule="auto"/>
              <w:ind w:left="0" w:right="0" w:firstLine="0"/>
              <w:contextualSpacing/>
              <w:rPr>
                <w:b/>
                <w:bCs/>
                <w:lang w:val="sk-SK"/>
              </w:rPr>
            </w:pPr>
            <w:r>
              <w:rPr>
                <w:b/>
                <w:bCs/>
                <w:lang w:val="sk-SK"/>
              </w:rPr>
              <w:t>Poruchy pečene a žlčových ciest</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r>
              <w:rPr>
                <w:lang w:val="sk-SK"/>
              </w:rPr>
              <w:t>Zvýšené pečeňové enzýmy</w:t>
            </w:r>
          </w:p>
        </w:tc>
        <w:tc>
          <w:tcPr>
            <w:tcW w:w="2135" w:type="dxa"/>
          </w:tcPr>
          <w:p w:rsidR="00D41417" w:rsidRDefault="00B1758A">
            <w:pPr>
              <w:spacing w:after="0" w:line="240" w:lineRule="auto"/>
              <w:ind w:left="0" w:right="0" w:firstLine="0"/>
              <w:contextualSpacing/>
              <w:rPr>
                <w:lang w:val="sk-SK"/>
              </w:rPr>
            </w:pPr>
            <w:r>
              <w:rPr>
                <w:lang w:val="sk-SK"/>
              </w:rPr>
              <w:t>Fulminantná hepatitída, Zlyhanie pečene, Hepatitída</w:t>
            </w:r>
          </w:p>
        </w:tc>
      </w:tr>
      <w:tr w:rsidR="00D41417" w:rsidRPr="00E1009E">
        <w:tc>
          <w:tcPr>
            <w:tcW w:w="2122" w:type="dxa"/>
          </w:tcPr>
          <w:p w:rsidR="00D41417" w:rsidRDefault="00B1758A">
            <w:pPr>
              <w:spacing w:after="0" w:line="240" w:lineRule="auto"/>
              <w:ind w:left="0" w:right="0" w:firstLine="0"/>
              <w:contextualSpacing/>
              <w:rPr>
                <w:b/>
                <w:bCs/>
                <w:lang w:val="sk-SK"/>
              </w:rPr>
            </w:pPr>
            <w:r>
              <w:rPr>
                <w:b/>
                <w:bCs/>
                <w:lang w:val="sk-SK"/>
              </w:rPr>
              <w:t>Poruchy kože a podkožného tkaniva</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r>
              <w:rPr>
                <w:lang w:val="sk-SK"/>
              </w:rPr>
              <w:t xml:space="preserve">Ekzém, Dermatitída, Vyrážka, </w:t>
            </w:r>
            <w:proofErr w:type="spellStart"/>
            <w:r>
              <w:rPr>
                <w:lang w:val="sk-SK"/>
              </w:rPr>
              <w:t>Urtikária</w:t>
            </w:r>
            <w:proofErr w:type="spellEnd"/>
          </w:p>
        </w:tc>
        <w:tc>
          <w:tcPr>
            <w:tcW w:w="2135" w:type="dxa"/>
          </w:tcPr>
          <w:p w:rsidR="00D41417" w:rsidRDefault="00B1758A">
            <w:pPr>
              <w:spacing w:after="0" w:line="240" w:lineRule="auto"/>
              <w:ind w:left="0" w:right="0" w:firstLine="0"/>
              <w:contextualSpacing/>
              <w:rPr>
                <w:lang w:val="sk-SK"/>
              </w:rPr>
            </w:pPr>
            <w:proofErr w:type="spellStart"/>
            <w:r>
              <w:rPr>
                <w:lang w:val="sk-SK"/>
              </w:rPr>
              <w:t>Angioneurotický</w:t>
            </w:r>
            <w:proofErr w:type="spellEnd"/>
            <w:r>
              <w:rPr>
                <w:lang w:val="sk-SK"/>
              </w:rPr>
              <w:t xml:space="preserve"> edém, </w:t>
            </w:r>
            <w:proofErr w:type="spellStart"/>
            <w:r>
              <w:rPr>
                <w:lang w:val="sk-SK"/>
              </w:rPr>
              <w:t>Multiformný</w:t>
            </w:r>
            <w:proofErr w:type="spellEnd"/>
            <w:r>
              <w:rPr>
                <w:lang w:val="sk-SK"/>
              </w:rPr>
              <w:t xml:space="preserve"> </w:t>
            </w:r>
            <w:proofErr w:type="spellStart"/>
            <w:r>
              <w:rPr>
                <w:lang w:val="sk-SK"/>
              </w:rPr>
              <w:t>erytém</w:t>
            </w:r>
            <w:proofErr w:type="spellEnd"/>
            <w:r>
              <w:rPr>
                <w:lang w:val="sk-SK"/>
              </w:rPr>
              <w:t xml:space="preserve">, </w:t>
            </w:r>
            <w:proofErr w:type="spellStart"/>
            <w:r>
              <w:rPr>
                <w:lang w:val="sk-SK"/>
              </w:rPr>
              <w:t>Stevensov</w:t>
            </w:r>
            <w:r>
              <w:rPr>
                <w:lang w:val="sk-SK"/>
              </w:rPr>
              <w:noBreakHyphen/>
              <w:t>Johnsonov</w:t>
            </w:r>
            <w:proofErr w:type="spellEnd"/>
            <w:r>
              <w:rPr>
                <w:lang w:val="sk-SK"/>
              </w:rPr>
              <w:t xml:space="preserve"> syndróm, Toxická </w:t>
            </w:r>
            <w:proofErr w:type="spellStart"/>
            <w:r>
              <w:rPr>
                <w:lang w:val="sk-SK"/>
              </w:rPr>
              <w:t>epidermálna</w:t>
            </w:r>
            <w:proofErr w:type="spellEnd"/>
            <w:r>
              <w:rPr>
                <w:lang w:val="sk-SK"/>
              </w:rPr>
              <w:t xml:space="preserve"> </w:t>
            </w:r>
            <w:proofErr w:type="spellStart"/>
            <w:r>
              <w:rPr>
                <w:lang w:val="sk-SK"/>
              </w:rPr>
              <w:t>nekrolýza</w:t>
            </w:r>
            <w:proofErr w:type="spellEnd"/>
          </w:p>
        </w:tc>
      </w:tr>
      <w:tr w:rsidR="00D41417" w:rsidRPr="00E1009E">
        <w:tc>
          <w:tcPr>
            <w:tcW w:w="2122" w:type="dxa"/>
          </w:tcPr>
          <w:p w:rsidR="00D41417" w:rsidRDefault="00B1758A">
            <w:pPr>
              <w:spacing w:after="0" w:line="240" w:lineRule="auto"/>
              <w:ind w:left="0" w:right="0" w:firstLine="0"/>
              <w:contextualSpacing/>
              <w:rPr>
                <w:b/>
                <w:bCs/>
                <w:lang w:val="sk-SK"/>
              </w:rPr>
            </w:pPr>
            <w:r>
              <w:rPr>
                <w:b/>
                <w:bCs/>
                <w:lang w:val="sk-SK"/>
              </w:rPr>
              <w:t>Celkové poruchy a reakcie v mieste podania</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B1758A">
            <w:pPr>
              <w:spacing w:after="0" w:line="240" w:lineRule="auto"/>
              <w:ind w:left="0" w:right="0" w:firstLine="0"/>
              <w:contextualSpacing/>
              <w:rPr>
                <w:lang w:val="sk-SK"/>
              </w:rPr>
            </w:pPr>
            <w:r>
              <w:rPr>
                <w:lang w:val="sk-SK"/>
              </w:rPr>
              <w:t xml:space="preserve">Bolesť, Závrat (vrátane </w:t>
            </w:r>
            <w:proofErr w:type="spellStart"/>
            <w:r>
              <w:rPr>
                <w:lang w:val="sk-SK"/>
              </w:rPr>
              <w:t>vertiga</w:t>
            </w:r>
            <w:proofErr w:type="spellEnd"/>
            <w:r>
              <w:rPr>
                <w:lang w:val="sk-SK"/>
              </w:rPr>
              <w:t xml:space="preserve">), Únava, </w:t>
            </w:r>
            <w:proofErr w:type="spellStart"/>
            <w:r>
              <w:rPr>
                <w:lang w:val="sk-SK"/>
              </w:rPr>
              <w:t>Pyrexia</w:t>
            </w:r>
            <w:proofErr w:type="spellEnd"/>
            <w:r>
              <w:rPr>
                <w:lang w:val="sk-SK"/>
              </w:rPr>
              <w:t>, Bolesť v končatinách</w:t>
            </w: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D41417">
            <w:pPr>
              <w:spacing w:after="0" w:line="240" w:lineRule="auto"/>
              <w:ind w:left="0" w:right="0" w:firstLine="0"/>
              <w:contextualSpacing/>
              <w:rPr>
                <w:lang w:val="sk-SK"/>
              </w:rPr>
            </w:pP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Liečba a prevencia chrípky u detí</w:t>
      </w:r>
      <w:r>
        <w:rPr>
          <w:lang w:val="sk-SK"/>
        </w:rPr>
        <w:t>:</w:t>
      </w:r>
    </w:p>
    <w:p w:rsidR="00D41417" w:rsidRDefault="00B1758A">
      <w:pPr>
        <w:spacing w:after="0" w:line="240" w:lineRule="auto"/>
        <w:ind w:left="0" w:right="0" w:firstLine="0"/>
        <w:contextualSpacing/>
        <w:rPr>
          <w:lang w:val="sk-SK"/>
        </w:rPr>
      </w:pPr>
      <w:r>
        <w:rPr>
          <w:lang w:val="sk-SK"/>
        </w:rPr>
        <w:t xml:space="preserve">V klinických štúdiách s </w:t>
      </w:r>
      <w:proofErr w:type="spellStart"/>
      <w:r>
        <w:rPr>
          <w:lang w:val="sk-SK"/>
        </w:rPr>
        <w:t>oseltamivirom</w:t>
      </w:r>
      <w:proofErr w:type="spellEnd"/>
      <w:r>
        <w:rPr>
          <w:lang w:val="sk-SK"/>
        </w:rPr>
        <w:t xml:space="preserve"> podávaným na liečbu chrípky sa zúčastnilo celkovo 1 473 detí </w:t>
      </w:r>
    </w:p>
    <w:p w:rsidR="00D41417" w:rsidRDefault="00B1758A">
      <w:pPr>
        <w:spacing w:after="0" w:line="240" w:lineRule="auto"/>
        <w:ind w:left="0" w:right="0"/>
        <w:contextualSpacing/>
        <w:rPr>
          <w:lang w:val="sk-SK"/>
        </w:rPr>
      </w:pPr>
      <w:r>
        <w:rPr>
          <w:lang w:val="sk-SK"/>
        </w:rPr>
        <w:t xml:space="preserve">(vrátane inak zdravých detí vo veku 1-12 rokov a astmatických detí vo veku 6-12 rokov). Z nich 851 detí užívalo liečbu suspenziou </w:t>
      </w:r>
      <w:proofErr w:type="spellStart"/>
      <w:r>
        <w:rPr>
          <w:lang w:val="sk-SK"/>
        </w:rPr>
        <w:t>oseltamiviru</w:t>
      </w:r>
      <w:proofErr w:type="spellEnd"/>
      <w:r>
        <w:rPr>
          <w:lang w:val="sk-SK"/>
        </w:rPr>
        <w:t xml:space="preserve">. Celkovo 158 detí užívalo odporúčanú dávku </w:t>
      </w:r>
      <w:proofErr w:type="spellStart"/>
      <w:r>
        <w:rPr>
          <w:lang w:val="sk-SK"/>
        </w:rPr>
        <w:t>oseltamiviru</w:t>
      </w:r>
      <w:proofErr w:type="spellEnd"/>
      <w:r>
        <w:rPr>
          <w:lang w:val="sk-SK"/>
        </w:rPr>
        <w:t xml:space="preserve"> jedenkrát denne v štúdii zameranej na profylaxiu po expozícii v domácnostiach (n = 99) a v 6</w:t>
      </w:r>
      <w:r>
        <w:rPr>
          <w:lang w:val="sk-SK"/>
        </w:rPr>
        <w:noBreakHyphen/>
        <w:t xml:space="preserve">týždňovej štúdii u detí zameranej na sezónnu profylaxiu (n = 49) a 12-týždňovej štúdii u detí zameranej na sezónnu profylaxiu u </w:t>
      </w:r>
      <w:proofErr w:type="spellStart"/>
      <w:r>
        <w:rPr>
          <w:lang w:val="sk-SK"/>
        </w:rPr>
        <w:t>imunokompromitovaných</w:t>
      </w:r>
      <w:proofErr w:type="spellEnd"/>
      <w:r>
        <w:rPr>
          <w:lang w:val="sk-SK"/>
        </w:rPr>
        <w:t xml:space="preserve"> pacientov (n = 10).</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V tabuľke 2 sú uvedené najčastejšie hlásené </w:t>
      </w:r>
      <w:proofErr w:type="spellStart"/>
      <w:r>
        <w:rPr>
          <w:lang w:val="sk-SK"/>
        </w:rPr>
        <w:t>ARs</w:t>
      </w:r>
      <w:proofErr w:type="spellEnd"/>
      <w:r>
        <w:rPr>
          <w:lang w:val="sk-SK"/>
        </w:rPr>
        <w:t xml:space="preserve"> z pediatrických klinických štúdií.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firstLine="0"/>
        <w:contextualSpacing/>
        <w:rPr>
          <w:lang w:val="sk-SK"/>
        </w:rPr>
      </w:pPr>
      <w:r>
        <w:rPr>
          <w:lang w:val="sk-SK"/>
        </w:rPr>
        <w:t xml:space="preserve">Tabuľka 2: Nežiaduce reakcie v štúdiách skúmajúcich </w:t>
      </w:r>
      <w:proofErr w:type="spellStart"/>
      <w:r>
        <w:rPr>
          <w:lang w:val="sk-SK"/>
        </w:rPr>
        <w:t>oseltamivir</w:t>
      </w:r>
      <w:proofErr w:type="spellEnd"/>
      <w:r>
        <w:rPr>
          <w:lang w:val="sk-SK"/>
        </w:rPr>
        <w:t xml:space="preserve"> na liečbu a prevenciu chrípky u detí (dávkovanie na základe veku/hmotnosti [30 mg až 75 mg raz denne]) </w:t>
      </w:r>
    </w:p>
    <w:p w:rsidR="00D41417" w:rsidRDefault="00B1758A">
      <w:pPr>
        <w:spacing w:after="0" w:line="240" w:lineRule="auto"/>
        <w:ind w:left="0" w:right="0" w:firstLine="0"/>
        <w:contextualSpacing/>
        <w:rPr>
          <w:lang w:val="sk-SK"/>
        </w:rPr>
      </w:pPr>
      <w:r>
        <w:rPr>
          <w:b/>
          <w:lang w:val="sk-SK"/>
        </w:rPr>
        <w:t xml:space="preserve"> </w:t>
      </w:r>
    </w:p>
    <w:tbl>
      <w:tblPr>
        <w:tblStyle w:val="TableGrid"/>
        <w:tblW w:w="9180" w:type="dxa"/>
        <w:tblInd w:w="5" w:type="dxa"/>
        <w:tblCellMar>
          <w:top w:w="51" w:type="dxa"/>
          <w:left w:w="108" w:type="dxa"/>
          <w:right w:w="101" w:type="dxa"/>
        </w:tblCellMar>
        <w:tblLook w:val="04A0" w:firstRow="1" w:lastRow="0" w:firstColumn="1" w:lastColumn="0" w:noHBand="0" w:noVBand="1"/>
      </w:tblPr>
      <w:tblGrid>
        <w:gridCol w:w="2261"/>
        <w:gridCol w:w="1434"/>
        <w:gridCol w:w="1680"/>
        <w:gridCol w:w="1682"/>
        <w:gridCol w:w="2123"/>
      </w:tblGrid>
      <w:tr w:rsidR="00D41417" w:rsidRPr="00E1009E">
        <w:trPr>
          <w:trHeight w:val="262"/>
        </w:trPr>
        <w:tc>
          <w:tcPr>
            <w:tcW w:w="2261"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Trieda orgánových systémov (SOC) </w:t>
            </w:r>
          </w:p>
        </w:tc>
        <w:tc>
          <w:tcPr>
            <w:tcW w:w="1434" w:type="dxa"/>
            <w:tcBorders>
              <w:top w:val="single" w:sz="4" w:space="0" w:color="000000"/>
              <w:left w:val="single" w:sz="4" w:space="0" w:color="000000"/>
              <w:bottom w:val="single" w:sz="4" w:space="0" w:color="000000"/>
            </w:tcBorders>
          </w:tcPr>
          <w:p w:rsidR="00D41417" w:rsidRDefault="00D41417">
            <w:pPr>
              <w:spacing w:after="0" w:line="240" w:lineRule="auto"/>
              <w:ind w:left="0" w:right="0" w:firstLine="0"/>
              <w:contextualSpacing/>
              <w:rPr>
                <w:lang w:val="sk-SK"/>
              </w:rPr>
            </w:pPr>
          </w:p>
        </w:tc>
        <w:tc>
          <w:tcPr>
            <w:tcW w:w="5485" w:type="dxa"/>
            <w:gridSpan w:val="3"/>
            <w:tcBorders>
              <w:top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Nežiaduce reakcie vzhľadom na frekvenciu </w:t>
            </w:r>
          </w:p>
        </w:tc>
      </w:tr>
      <w:tr w:rsidR="00D41417">
        <w:trPr>
          <w:trHeight w:val="516"/>
        </w:trPr>
        <w:tc>
          <w:tcPr>
            <w:tcW w:w="2261"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4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Veľmi časté </w:t>
            </w:r>
          </w:p>
          <w:p w:rsidR="00D41417" w:rsidRDefault="00B1758A">
            <w:pPr>
              <w:spacing w:after="0" w:line="240" w:lineRule="auto"/>
              <w:ind w:left="0" w:right="0" w:firstLine="0"/>
              <w:contextualSpacing/>
              <w:rPr>
                <w:lang w:val="sk-SK"/>
              </w:rPr>
            </w:pPr>
            <w:r>
              <w:rPr>
                <w:lang w:val="sk-SK"/>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Časté </w:t>
            </w:r>
          </w:p>
          <w:p w:rsidR="00D41417" w:rsidRDefault="00B1758A">
            <w:pPr>
              <w:spacing w:after="0" w:line="240" w:lineRule="auto"/>
              <w:ind w:left="0" w:right="0" w:firstLine="0"/>
              <w:contextualSpacing/>
              <w:rPr>
                <w:lang w:val="sk-SK"/>
              </w:rPr>
            </w:pPr>
            <w:r>
              <w:rPr>
                <w:lang w:val="sk-SK"/>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Menej časté </w:t>
            </w:r>
          </w:p>
          <w:p w:rsidR="00D41417" w:rsidRDefault="00B1758A">
            <w:pPr>
              <w:spacing w:after="0" w:line="240" w:lineRule="auto"/>
              <w:ind w:left="0" w:right="0" w:firstLine="0"/>
              <w:contextualSpacing/>
              <w:rPr>
                <w:lang w:val="sk-SK"/>
              </w:rPr>
            </w:pPr>
            <w:r>
              <w:rPr>
                <w:lang w:val="sk-SK"/>
              </w:rPr>
              <w:t xml:space="preserve"> </w:t>
            </w:r>
          </w:p>
        </w:tc>
        <w:tc>
          <w:tcPr>
            <w:tcW w:w="212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Zriedkavé </w:t>
            </w:r>
          </w:p>
          <w:p w:rsidR="00D41417" w:rsidRDefault="00B1758A">
            <w:pPr>
              <w:spacing w:after="0" w:line="240" w:lineRule="auto"/>
              <w:ind w:left="0" w:right="0" w:firstLine="0"/>
              <w:contextualSpacing/>
              <w:rPr>
                <w:lang w:val="sk-SK"/>
              </w:rPr>
            </w:pPr>
            <w:r>
              <w:rPr>
                <w:lang w:val="sk-SK"/>
              </w:rPr>
              <w:t xml:space="preserve"> </w:t>
            </w:r>
          </w:p>
        </w:tc>
      </w:tr>
      <w:tr w:rsidR="00D41417">
        <w:trPr>
          <w:trHeight w:val="516"/>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Infekcie a nákazy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Zápal stredného ucha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516"/>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nervového systému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Bolesť hlavy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rsidRPr="00E1009E">
        <w:trPr>
          <w:trHeight w:val="1274"/>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lastRenderedPageBreak/>
              <w:t xml:space="preserve">Poruchy oka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proofErr w:type="spellStart"/>
            <w:r>
              <w:rPr>
                <w:lang w:val="sk-SK"/>
              </w:rPr>
              <w:t>Konjunktivitída</w:t>
            </w:r>
            <w:proofErr w:type="spellEnd"/>
            <w:r>
              <w:rPr>
                <w:lang w:val="sk-SK"/>
              </w:rPr>
              <w:t xml:space="preserve"> (vrátane sčervenania očí, výtoku z očí a bolesti očí)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70"/>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ucha a labyrintu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Bolesť ucha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Porucha </w:t>
            </w:r>
            <w:proofErr w:type="spellStart"/>
            <w:r>
              <w:rPr>
                <w:lang w:val="sk-SK"/>
              </w:rPr>
              <w:t>tympanickej</w:t>
            </w:r>
            <w:proofErr w:type="spellEnd"/>
            <w:r>
              <w:rPr>
                <w:lang w:val="sk-SK"/>
              </w:rPr>
              <w:t xml:space="preserve"> membrány </w:t>
            </w: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68"/>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dýchacej sústavy, hrudníka a </w:t>
            </w:r>
            <w:proofErr w:type="spellStart"/>
            <w:r>
              <w:rPr>
                <w:b/>
                <w:lang w:val="sk-SK"/>
              </w:rPr>
              <w:t>mediastína</w:t>
            </w:r>
            <w:proofErr w:type="spellEnd"/>
            <w:r>
              <w:rPr>
                <w:b/>
                <w:lang w:val="sk-SK"/>
              </w:rPr>
              <w:t xml:space="preserve">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Kašeľ, Upchatý nos </w:t>
            </w: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Výtok z nosa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rsidRPr="00E1009E">
        <w:trPr>
          <w:trHeight w:val="1529"/>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w:t>
            </w:r>
            <w:proofErr w:type="spellStart"/>
            <w:r>
              <w:rPr>
                <w:b/>
                <w:lang w:val="sk-SK"/>
              </w:rPr>
              <w:t>gastrointestinálneho</w:t>
            </w:r>
            <w:proofErr w:type="spellEnd"/>
            <w:r>
              <w:rPr>
                <w:b/>
                <w:lang w:val="sk-SK"/>
              </w:rPr>
              <w:t xml:space="preserve"> traktu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Vracanie </w:t>
            </w: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Bolesť brucha (vrátane bolesti v </w:t>
            </w:r>
            <w:proofErr w:type="spellStart"/>
            <w:r>
              <w:rPr>
                <w:lang w:val="sk-SK"/>
              </w:rPr>
              <w:t>nadbrušku</w:t>
            </w:r>
            <w:proofErr w:type="spellEnd"/>
            <w:r>
              <w:rPr>
                <w:lang w:val="sk-SK"/>
              </w:rPr>
              <w:t xml:space="preserve">), </w:t>
            </w:r>
            <w:proofErr w:type="spellStart"/>
            <w:r>
              <w:rPr>
                <w:lang w:val="sk-SK"/>
              </w:rPr>
              <w:t>Dyspepsia</w:t>
            </w:r>
            <w:proofErr w:type="spellEnd"/>
            <w:r>
              <w:rPr>
                <w:lang w:val="sk-SK"/>
              </w:rPr>
              <w:t xml:space="preserve">, Nauzea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1274"/>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kože a podkožného tkaniva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Dermatitída (vrátane alergickej a </w:t>
            </w:r>
            <w:proofErr w:type="spellStart"/>
            <w:r>
              <w:rPr>
                <w:lang w:val="sk-SK"/>
              </w:rPr>
              <w:t>atopickej</w:t>
            </w:r>
            <w:proofErr w:type="spellEnd"/>
            <w:r>
              <w:rPr>
                <w:lang w:val="sk-SK"/>
              </w:rPr>
              <w:t xml:space="preserve"> dermatitídy) </w:t>
            </w: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Popis vybraných nežiaducich reakcií</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Psychické poruchy a poruchy nervového systému </w:t>
      </w:r>
    </w:p>
    <w:p w:rsidR="00D41417" w:rsidRDefault="00B1758A">
      <w:pPr>
        <w:spacing w:after="0" w:line="240" w:lineRule="auto"/>
        <w:ind w:left="0" w:right="0"/>
        <w:contextualSpacing/>
        <w:rPr>
          <w:lang w:val="sk-SK"/>
        </w:rPr>
      </w:pPr>
      <w:r>
        <w:rPr>
          <w:lang w:val="sk-SK"/>
        </w:rPr>
        <w:t xml:space="preserve">Chrípka môže byť spojená s rôznymi neurologickými a </w:t>
      </w:r>
      <w:proofErr w:type="spellStart"/>
      <w:r>
        <w:rPr>
          <w:lang w:val="sk-SK"/>
        </w:rPr>
        <w:t>behaviorálnymi</w:t>
      </w:r>
      <w:proofErr w:type="spellEnd"/>
      <w:r>
        <w:rPr>
          <w:lang w:val="sk-SK"/>
        </w:rPr>
        <w:t xml:space="preserve"> symptómami, ktoré môžu zahŕňať udalosti ako sú halucinácie, delírium a nezvyčajné správanie, v niektorých prípadoch vedúcich k fatálnym následkom. Tieto udalosti môžu nastať v rámci rozvoja encefalitídy alebo </w:t>
      </w:r>
      <w:proofErr w:type="spellStart"/>
      <w:r>
        <w:rPr>
          <w:lang w:val="sk-SK"/>
        </w:rPr>
        <w:t>encefalopatie</w:t>
      </w:r>
      <w:proofErr w:type="spellEnd"/>
      <w:r>
        <w:rPr>
          <w:lang w:val="sk-SK"/>
        </w:rPr>
        <w:t xml:space="preserve">, môžu sa však vyskytnúť aj bez viditeľného závažného ochorenia.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U pacientov s chrípkou, ktorí užívali </w:t>
      </w:r>
      <w:proofErr w:type="spellStart"/>
      <w:r>
        <w:rPr>
          <w:lang w:val="sk-SK"/>
        </w:rPr>
        <w:t>oseltamivir</w:t>
      </w:r>
      <w:proofErr w:type="spellEnd"/>
      <w:r>
        <w:rPr>
          <w:lang w:val="sk-SK"/>
        </w:rPr>
        <w:t xml:space="preserve">, existujú po uvedení lieku na trh hlásenia o kŕčoch a delíriu (vrátane symptómov ako zmenená hladina vedomia, zmätenosť, nezvyčajné správanie, preludy, halucinácie, agitácia, úzkosť, nočné mory), ktoré veľmi zriedkavo vedú k </w:t>
      </w:r>
      <w:proofErr w:type="spellStart"/>
      <w:r>
        <w:rPr>
          <w:lang w:val="sk-SK"/>
        </w:rPr>
        <w:t>sebapoškodzovaniu</w:t>
      </w:r>
      <w:proofErr w:type="spellEnd"/>
      <w:r>
        <w:rPr>
          <w:lang w:val="sk-SK"/>
        </w:rPr>
        <w:t xml:space="preserve"> alebo k fatálnym následkom. Tieto udalosti sa zaznamenali predovšetkým u pediatrických a dospievajúcich pacientov a často mali náhly nástup a rýchly rozvoj. Podiel </w:t>
      </w:r>
      <w:proofErr w:type="spellStart"/>
      <w:r>
        <w:rPr>
          <w:lang w:val="sk-SK"/>
        </w:rPr>
        <w:t>oseltamiviru</w:t>
      </w:r>
      <w:proofErr w:type="spellEnd"/>
      <w:r>
        <w:rPr>
          <w:lang w:val="sk-SK"/>
        </w:rPr>
        <w:t xml:space="preserve"> na týchto udalostiach nie je známy. Podobné </w:t>
      </w:r>
      <w:proofErr w:type="spellStart"/>
      <w:r>
        <w:rPr>
          <w:lang w:val="sk-SK"/>
        </w:rPr>
        <w:t>neuropsychiatrické</w:t>
      </w:r>
      <w:proofErr w:type="spellEnd"/>
      <w:r>
        <w:rPr>
          <w:lang w:val="sk-SK"/>
        </w:rPr>
        <w:t xml:space="preserve"> udalosti sa tiež zaznamenali u pacientov s chrípkou, ktorí neužívali </w:t>
      </w:r>
      <w:proofErr w:type="spellStart"/>
      <w:r>
        <w:rPr>
          <w:lang w:val="sk-SK"/>
        </w:rPr>
        <w:t>oseltamivir</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Poruchy pečene a žlčových ciest </w:t>
      </w:r>
    </w:p>
    <w:p w:rsidR="00D41417" w:rsidRDefault="00B1758A">
      <w:pPr>
        <w:spacing w:after="0" w:line="240" w:lineRule="auto"/>
        <w:ind w:left="0" w:right="0"/>
        <w:contextualSpacing/>
        <w:rPr>
          <w:lang w:val="sk-SK"/>
        </w:rPr>
      </w:pPr>
      <w:r>
        <w:rPr>
          <w:lang w:val="sk-SK"/>
        </w:rPr>
        <w:t xml:space="preserve">Ochorenia pečene a žlčových ciest, vrátane hepatitídy a zvýšených hladín pečeňových enzýmov u pacientov s ochorením podobným chrípke. Tieto prípady zahŕňajú smrteľnú fulminantnú hepatitídu/zlyhanie pečene.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Ďalšie osobitné skupiny pacientov</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Pediatrická populácia (dojčatá mladšie ako 1 rok) </w:t>
      </w:r>
    </w:p>
    <w:p w:rsidR="00D41417" w:rsidRDefault="00B1758A">
      <w:pPr>
        <w:spacing w:after="0" w:line="240" w:lineRule="auto"/>
        <w:ind w:left="0" w:right="0" w:firstLine="0"/>
        <w:contextualSpacing/>
        <w:rPr>
          <w:lang w:val="sk-SK"/>
        </w:rPr>
      </w:pPr>
      <w:r>
        <w:rPr>
          <w:lang w:val="sk-SK"/>
        </w:rPr>
        <w:t xml:space="preserve">V dvoch štúdiách zameraných na </w:t>
      </w:r>
      <w:proofErr w:type="spellStart"/>
      <w:r>
        <w:rPr>
          <w:lang w:val="sk-SK"/>
        </w:rPr>
        <w:t>farmakokinetiku</w:t>
      </w:r>
      <w:proofErr w:type="spellEnd"/>
      <w:r>
        <w:rPr>
          <w:lang w:val="sk-SK"/>
        </w:rPr>
        <w:t xml:space="preserve">, </w:t>
      </w:r>
      <w:proofErr w:type="spellStart"/>
      <w:r>
        <w:rPr>
          <w:lang w:val="sk-SK"/>
        </w:rPr>
        <w:t>farmakodynamiku</w:t>
      </w:r>
      <w:proofErr w:type="spellEnd"/>
      <w:r>
        <w:rPr>
          <w:lang w:val="sk-SK"/>
        </w:rPr>
        <w:t xml:space="preserve"> a bezpečnostný profil liečby </w:t>
      </w:r>
      <w:proofErr w:type="spellStart"/>
      <w:r>
        <w:rPr>
          <w:lang w:val="sk-SK"/>
        </w:rPr>
        <w:t>oseltamivirom</w:t>
      </w:r>
      <w:proofErr w:type="spellEnd"/>
      <w:r>
        <w:rPr>
          <w:lang w:val="sk-SK"/>
        </w:rPr>
        <w:t xml:space="preserve"> u 135 detí infikovaných chrípkou, ktoré boli mladšie ako jeden rok, bol bezpečnostný profil medzi vekovými skupinami podobný, pričom vracanie, hnačka a plienková vyrážka boli najčastejšie hlásenými nežiaducimi udalosťami (pozri časť 5.2). K dispozícii nie sú dostatočné údaje týkajúce sa dojčiat s </w:t>
      </w:r>
      <w:proofErr w:type="spellStart"/>
      <w:r>
        <w:rPr>
          <w:lang w:val="sk-SK"/>
        </w:rPr>
        <w:t>postkoncepčným</w:t>
      </w:r>
      <w:proofErr w:type="spellEnd"/>
      <w:r>
        <w:rPr>
          <w:lang w:val="sk-SK"/>
        </w:rPr>
        <w:t xml:space="preserve"> vekom menej ako 36 týždňov.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lastRenderedPageBreak/>
        <w:t xml:space="preserve">Dostupné informácie o bezpečnosti podávania </w:t>
      </w:r>
      <w:proofErr w:type="spellStart"/>
      <w:r>
        <w:rPr>
          <w:lang w:val="sk-SK"/>
        </w:rPr>
        <w:t>oseltamiviru</w:t>
      </w:r>
      <w:proofErr w:type="spellEnd"/>
      <w:r>
        <w:rPr>
          <w:lang w:val="sk-SK"/>
        </w:rPr>
        <w:t xml:space="preserve"> na liečbu chrípky dojčatám mladším ako jeden rok, získané z </w:t>
      </w:r>
      <w:proofErr w:type="spellStart"/>
      <w:r>
        <w:rPr>
          <w:lang w:val="sk-SK"/>
        </w:rPr>
        <w:t>prospektívnych</w:t>
      </w:r>
      <w:proofErr w:type="spellEnd"/>
      <w:r>
        <w:rPr>
          <w:lang w:val="sk-SK"/>
        </w:rPr>
        <w:t xml:space="preserve"> a retrospektívnych pozorovacích  štúdií (ktorých sa zúčastnilo viac než 2 400 dojčiat tejto vekovej kategórie), ako aj z preskúmania epidemiologickej databázy a hlásení po uvedení lieku na trh, naznačujú, že bezpečnostný profil u dojčiat mladších ako jeden rok je podobný stanovenému bezpečnostnému profilu u detí vo veku od jedného roka a starších.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i/>
          <w:lang w:val="sk-SK"/>
        </w:rPr>
      </w:pPr>
      <w:r>
        <w:rPr>
          <w:i/>
          <w:lang w:val="sk-SK"/>
        </w:rPr>
        <w:t xml:space="preserve">Staršie osoby a pacienti s chronickým srdcovým a/alebo respiračným ochorením </w:t>
      </w:r>
    </w:p>
    <w:p w:rsidR="00D41417" w:rsidRDefault="00B1758A">
      <w:pPr>
        <w:spacing w:after="0" w:line="240" w:lineRule="auto"/>
        <w:ind w:left="0" w:right="0"/>
        <w:contextualSpacing/>
        <w:rPr>
          <w:lang w:val="sk-SK"/>
        </w:rPr>
      </w:pPr>
      <w:r>
        <w:rPr>
          <w:lang w:val="sk-SK"/>
        </w:rPr>
        <w:t xml:space="preserve">Populácia zaradená do štúdií zameraných na liečbu chrípky pozostáva z inak zdravých dospelých/dospievajúcich a „rizikových“ pacientov (pacienti s vysokým rizikom rozvoja komplikácií súvisiacich s chrípkou, napr. staršie osoby a pacienti s chronickým srdcovým alebo respiračným ochorením). Profil bezpečnosti bol u „rizikových“ pacientov vo všeobecnosti kvalitatívne podobný ako profil u inak zdravých dospelých/dospievajúcich. </w:t>
      </w:r>
    </w:p>
    <w:p w:rsidR="00D41417" w:rsidRDefault="00B1758A">
      <w:pPr>
        <w:spacing w:after="0" w:line="240" w:lineRule="auto"/>
        <w:ind w:left="0" w:right="0" w:firstLine="0"/>
        <w:contextualSpacing/>
        <w:rPr>
          <w:lang w:val="sk-SK"/>
        </w:rPr>
      </w:pPr>
      <w:r>
        <w:rPr>
          <w:lang w:val="sk-SK"/>
        </w:rPr>
        <w:t xml:space="preserve"> </w:t>
      </w:r>
    </w:p>
    <w:p w:rsidR="00D41417" w:rsidRDefault="00B1758A">
      <w:pPr>
        <w:keepNext/>
        <w:spacing w:after="0" w:line="240" w:lineRule="auto"/>
        <w:ind w:left="0" w:right="0" w:hanging="10"/>
        <w:contextualSpacing/>
        <w:rPr>
          <w:lang w:val="sk-SK"/>
        </w:rPr>
      </w:pPr>
      <w:r>
        <w:rPr>
          <w:i/>
          <w:lang w:val="sk-SK"/>
        </w:rPr>
        <w:t xml:space="preserve">Pacienti s oslabeným imunitným systémom </w:t>
      </w:r>
    </w:p>
    <w:p w:rsidR="00D41417" w:rsidRDefault="00B1758A">
      <w:pPr>
        <w:keepNext/>
        <w:spacing w:after="0" w:line="240" w:lineRule="auto"/>
        <w:ind w:left="0" w:right="0"/>
        <w:contextualSpacing/>
        <w:rPr>
          <w:lang w:val="sk-SK"/>
        </w:rPr>
      </w:pPr>
      <w:r>
        <w:rPr>
          <w:lang w:val="sk-SK"/>
        </w:rPr>
        <w:t xml:space="preserve">V dvojito zaslepenej štúdii zameranej na liečbu chrípky bolo celkovo 199 dospelých pacientov s oslabeným imunitným systémom (u ktorých bolo možné hodnotiť bezpečnosť liečby) </w:t>
      </w:r>
      <w:proofErr w:type="spellStart"/>
      <w:r>
        <w:rPr>
          <w:lang w:val="sk-SK"/>
        </w:rPr>
        <w:t>randomizovaných</w:t>
      </w:r>
      <w:proofErr w:type="spellEnd"/>
      <w:r>
        <w:rPr>
          <w:lang w:val="sk-SK"/>
        </w:rPr>
        <w:t xml:space="preserve"> na podávanie </w:t>
      </w:r>
      <w:proofErr w:type="spellStart"/>
      <w:r>
        <w:rPr>
          <w:lang w:val="sk-SK"/>
        </w:rPr>
        <w:t>oseltamiviru</w:t>
      </w:r>
      <w:proofErr w:type="spellEnd"/>
      <w:r>
        <w:rPr>
          <w:lang w:val="sk-SK"/>
        </w:rPr>
        <w:t xml:space="preserve"> počas 10 dní: 98 pacientov dostávalo štandardnú dávku (75 mg dvakrát denne) a 101 pacientov dostávalo dvojnásobnú dávku (150 mg dvakrát denne). Profil bezpečnosti </w:t>
      </w:r>
      <w:proofErr w:type="spellStart"/>
      <w:r>
        <w:rPr>
          <w:lang w:val="sk-SK"/>
        </w:rPr>
        <w:t>oseltamiviru</w:t>
      </w:r>
      <w:proofErr w:type="spellEnd"/>
      <w:r>
        <w:rPr>
          <w:lang w:val="sk-SK"/>
        </w:rPr>
        <w:t xml:space="preserve"> pozorovaný v tejto štúdii sa zhodoval s profilom pozorovaným v predchádzajúcich klinických skúšaniach, v ktorých sa </w:t>
      </w:r>
      <w:proofErr w:type="spellStart"/>
      <w:r>
        <w:rPr>
          <w:lang w:val="sk-SK"/>
        </w:rPr>
        <w:t>oseltamivir</w:t>
      </w:r>
      <w:proofErr w:type="spellEnd"/>
      <w:r>
        <w:rPr>
          <w:lang w:val="sk-SK"/>
        </w:rPr>
        <w:t xml:space="preserve"> podával na liečbu chrípky u pacientov, ktorých imunitný systém nebol oslabený (inak zdraví pacienti alebo „rizikoví“ pacienti [t. j. pacienti so sprievodnými respiračnými a/alebo srdcovými ochoreniami]). Percento pacientov, ktorí hlásili nežiaduce udalosti, bolo nižšie v skupine so štandardnou dávkou v porovnaní so skupinou s dvojnásobnou dávkou (49,0 % oproti 59,4 %, v uvedenom poradí) (pozri časť 5.1). </w:t>
      </w:r>
    </w:p>
    <w:p w:rsidR="00D41417" w:rsidRDefault="00B1758A">
      <w:pPr>
        <w:spacing w:after="0" w:line="240" w:lineRule="auto"/>
        <w:ind w:left="0" w:right="0"/>
        <w:contextualSpacing/>
        <w:rPr>
          <w:lang w:val="sk-SK"/>
        </w:rPr>
      </w:pPr>
      <w:r>
        <w:rPr>
          <w:lang w:val="sk-SK"/>
        </w:rPr>
        <w:t xml:space="preserve">V 12-týždňovej štúdii zameranej na profylaxiu u 475 pacientov, vrátane 18 detí vo veku 1 až 12 rokov a starších s oslabeným imunitným systémom, sa profil bezpečnosti u 238 pacientov, ktorí dostávali </w:t>
      </w:r>
      <w:proofErr w:type="spellStart"/>
      <w:r>
        <w:rPr>
          <w:lang w:val="sk-SK"/>
        </w:rPr>
        <w:t>oseltamivir</w:t>
      </w:r>
      <w:proofErr w:type="spellEnd"/>
      <w:r>
        <w:rPr>
          <w:lang w:val="sk-SK"/>
        </w:rPr>
        <w:t xml:space="preserve">, zhodoval s profilom pozorovaným v minulosti v klinických štúdiách zameraných na profylaxiu s </w:t>
      </w:r>
      <w:proofErr w:type="spellStart"/>
      <w:r>
        <w:rPr>
          <w:lang w:val="sk-SK"/>
        </w:rPr>
        <w:t>oseltamivirom</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Deti s </w:t>
      </w:r>
      <w:proofErr w:type="spellStart"/>
      <w:r>
        <w:rPr>
          <w:i/>
          <w:lang w:val="sk-SK"/>
        </w:rPr>
        <w:t>preexistujúcou</w:t>
      </w:r>
      <w:proofErr w:type="spellEnd"/>
      <w:r>
        <w:rPr>
          <w:i/>
          <w:lang w:val="sk-SK"/>
        </w:rPr>
        <w:t xml:space="preserve"> bronchiálnou astmou </w:t>
      </w:r>
    </w:p>
    <w:p w:rsidR="00D41417" w:rsidRDefault="00B1758A">
      <w:pPr>
        <w:spacing w:after="0" w:line="240" w:lineRule="auto"/>
        <w:ind w:left="0" w:right="0"/>
        <w:contextualSpacing/>
        <w:rPr>
          <w:lang w:val="sk-SK"/>
        </w:rPr>
      </w:pPr>
      <w:r>
        <w:rPr>
          <w:lang w:val="sk-SK"/>
        </w:rPr>
        <w:t xml:space="preserve">Profil nežiaducich reakcií bol u detí s </w:t>
      </w:r>
      <w:proofErr w:type="spellStart"/>
      <w:r>
        <w:rPr>
          <w:lang w:val="sk-SK"/>
        </w:rPr>
        <w:t>preexistujúcou</w:t>
      </w:r>
      <w:proofErr w:type="spellEnd"/>
      <w:r>
        <w:rPr>
          <w:lang w:val="sk-SK"/>
        </w:rPr>
        <w:t xml:space="preserve"> bronchiálnou astmou vo všeobecnosti kvalitatívne podobný ako profil u inak zdravých detí.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Hlásenie podozrení na nežiaduce reakcie</w:t>
      </w:r>
      <w:r>
        <w:rPr>
          <w:u w:val="none"/>
          <w:lang w:val="sk-SK"/>
        </w:rPr>
        <w:t xml:space="preserve"> </w:t>
      </w:r>
    </w:p>
    <w:p w:rsidR="00D41417" w:rsidRDefault="00B1758A">
      <w:pPr>
        <w:spacing w:after="0" w:line="240" w:lineRule="auto"/>
        <w:ind w:left="0" w:right="0" w:hanging="10"/>
        <w:contextualSpacing/>
        <w:rPr>
          <w:lang w:val="sk-SK"/>
        </w:rPr>
      </w:pPr>
      <w:r>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C0C0C0"/>
          <w:lang w:val="sk-SK"/>
        </w:rPr>
        <w:t xml:space="preserve">národné centrum hlásenia uvedené v </w:t>
      </w:r>
      <w:hyperlink r:id="rId8">
        <w:r>
          <w:rPr>
            <w:color w:val="0033CC"/>
            <w:u w:val="single" w:color="0033CC"/>
            <w:shd w:val="clear" w:color="auto" w:fill="C0C0C0"/>
            <w:lang w:val="sk-SK"/>
          </w:rPr>
          <w:t>Prílohe V</w:t>
        </w:r>
      </w:hyperlink>
      <w:hyperlink r:id="rId9">
        <w:r>
          <w:rPr>
            <w:lang w:val="sk-SK"/>
          </w:rPr>
          <w:t>.</w:t>
        </w:r>
      </w:hyperlink>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1283"/>
        </w:tabs>
        <w:spacing w:after="0" w:line="240" w:lineRule="auto"/>
        <w:ind w:left="0" w:right="1221" w:firstLine="0"/>
        <w:contextualSpacing/>
        <w:rPr>
          <w:lang w:val="sk-SK"/>
        </w:rPr>
      </w:pPr>
      <w:r>
        <w:rPr>
          <w:lang w:val="sk-SK"/>
        </w:rPr>
        <w:t xml:space="preserve">4.9 </w:t>
      </w:r>
      <w:r>
        <w:rPr>
          <w:lang w:val="sk-SK"/>
        </w:rPr>
        <w:tab/>
        <w:t xml:space="preserve">Predávkovanie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Prípady predávkovania </w:t>
      </w:r>
      <w:proofErr w:type="spellStart"/>
      <w:r>
        <w:rPr>
          <w:lang w:val="sk-SK"/>
        </w:rPr>
        <w:t>oseltamivirom</w:t>
      </w:r>
      <w:proofErr w:type="spellEnd"/>
      <w:r>
        <w:rPr>
          <w:lang w:val="sk-SK"/>
        </w:rPr>
        <w:t xml:space="preserve"> boli hlásené z klinických štúdií a po uvedení lieku na trh. Väčšina prípadov hlásení predávkovania neobsahovala žiadne nežiaduce účinky. Nežiaduce účinky hlásené v prípadoch predávkovania </w:t>
      </w:r>
      <w:proofErr w:type="spellStart"/>
      <w:r>
        <w:rPr>
          <w:lang w:val="sk-SK"/>
        </w:rPr>
        <w:t>oseltamivirom</w:t>
      </w:r>
      <w:proofErr w:type="spellEnd"/>
      <w:r>
        <w:rPr>
          <w:lang w:val="sk-SK"/>
        </w:rPr>
        <w:t xml:space="preserve"> boli podobné ako pri štandardných terapeutických dávkach, popísaných v časti 4.8 Nežiaduce účinky.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Nie je známe žiadne špecifické </w:t>
      </w:r>
      <w:proofErr w:type="spellStart"/>
      <w:r>
        <w:rPr>
          <w:lang w:val="sk-SK"/>
        </w:rPr>
        <w:t>antidotum</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Pediatrická populácia</w:t>
      </w:r>
      <w:r>
        <w:rPr>
          <w:u w:val="none"/>
          <w:lang w:val="sk-SK"/>
        </w:rPr>
        <w:t xml:space="preserve"> </w:t>
      </w:r>
    </w:p>
    <w:p w:rsidR="00D41417" w:rsidRDefault="00B1758A">
      <w:pPr>
        <w:spacing w:after="0" w:line="240" w:lineRule="auto"/>
        <w:ind w:left="0" w:right="0"/>
        <w:contextualSpacing/>
        <w:rPr>
          <w:lang w:val="sk-SK"/>
        </w:rPr>
      </w:pPr>
      <w:r>
        <w:rPr>
          <w:lang w:val="sk-SK"/>
        </w:rPr>
        <w:t xml:space="preserve">Predávkovanie bolo hlásené častejšie u detí ako u dospelých a dospievajúcich. Zvýšená opatrnosť je potrebná pri príprave perorálnej suspenzie </w:t>
      </w:r>
      <w:proofErr w:type="spellStart"/>
      <w:r>
        <w:rPr>
          <w:lang w:val="sk-SK"/>
        </w:rPr>
        <w:t>oseltamiviru</w:t>
      </w:r>
      <w:proofErr w:type="spellEnd"/>
      <w:r>
        <w:rPr>
          <w:lang w:val="sk-SK"/>
        </w:rPr>
        <w:t xml:space="preserve"> a pri podávaní </w:t>
      </w:r>
      <w:proofErr w:type="spellStart"/>
      <w:r>
        <w:rPr>
          <w:lang w:val="sk-SK"/>
        </w:rPr>
        <w:t>oseltamiviru</w:t>
      </w:r>
      <w:proofErr w:type="spellEnd"/>
      <w:r>
        <w:rPr>
          <w:lang w:val="sk-SK"/>
        </w:rPr>
        <w:t xml:space="preserve"> deťom.</w:t>
      </w:r>
    </w:p>
    <w:p w:rsidR="00D41417" w:rsidRDefault="00B1758A">
      <w:pPr>
        <w:spacing w:after="0" w:line="240" w:lineRule="auto"/>
        <w:ind w:left="0" w:right="0" w:firstLine="0"/>
        <w:contextualSpacing/>
        <w:rPr>
          <w:lang w:val="sk-SK"/>
        </w:rPr>
      </w:pPr>
      <w:r>
        <w:rPr>
          <w:lang w:val="sk-SK"/>
        </w:rPr>
        <w:t xml:space="preserve"> </w:t>
      </w:r>
    </w:p>
    <w:p w:rsidR="00ED60B4" w:rsidRDefault="00ED60B4">
      <w:pPr>
        <w:spacing w:after="0" w:line="240" w:lineRule="auto"/>
        <w:ind w:left="0" w:right="0" w:firstLine="0"/>
        <w:contextualSpacing/>
        <w:rPr>
          <w:lang w:val="sk-SK"/>
        </w:rPr>
      </w:pPr>
    </w:p>
    <w:p w:rsidR="00ED60B4" w:rsidRDefault="00ED60B4">
      <w:pPr>
        <w:spacing w:after="0" w:line="240" w:lineRule="auto"/>
        <w:ind w:left="0" w:right="0" w:firstLine="0"/>
        <w:contextualSpacing/>
        <w:rPr>
          <w:lang w:val="sk-SK"/>
        </w:rPr>
      </w:pP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2421"/>
        </w:tabs>
        <w:spacing w:after="0" w:line="240" w:lineRule="auto"/>
        <w:ind w:left="0" w:right="1221" w:firstLine="0"/>
        <w:contextualSpacing/>
        <w:rPr>
          <w:lang w:val="sk-SK"/>
        </w:rPr>
      </w:pPr>
      <w:r>
        <w:rPr>
          <w:lang w:val="sk-SK"/>
        </w:rPr>
        <w:lastRenderedPageBreak/>
        <w:t xml:space="preserve">5. </w:t>
      </w:r>
      <w:r>
        <w:rPr>
          <w:lang w:val="sk-SK"/>
        </w:rPr>
        <w:tab/>
        <w:t xml:space="preserve">FARMAKOLOGICKÉ VLASTNOSTI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2"/>
        <w:tabs>
          <w:tab w:val="center" w:pos="2000"/>
        </w:tabs>
        <w:spacing w:after="0" w:line="240" w:lineRule="auto"/>
        <w:ind w:left="0" w:right="1221" w:firstLine="0"/>
        <w:contextualSpacing/>
        <w:rPr>
          <w:lang w:val="sk-SK"/>
        </w:rPr>
      </w:pPr>
      <w:r>
        <w:rPr>
          <w:b/>
          <w:u w:val="none"/>
          <w:lang w:val="sk-SK"/>
        </w:rPr>
        <w:t xml:space="preserve">5.1 </w:t>
      </w:r>
      <w:r>
        <w:rPr>
          <w:b/>
          <w:u w:val="none"/>
          <w:lang w:val="sk-SK"/>
        </w:rPr>
        <w:tab/>
      </w:r>
      <w:proofErr w:type="spellStart"/>
      <w:r>
        <w:rPr>
          <w:b/>
          <w:u w:val="none"/>
          <w:lang w:val="sk-SK"/>
        </w:rPr>
        <w:t>Farmakodynamické</w:t>
      </w:r>
      <w:proofErr w:type="spellEnd"/>
      <w:r>
        <w:rPr>
          <w:b/>
          <w:u w:val="none"/>
          <w:lang w:val="sk-SK"/>
        </w:rPr>
        <w:t xml:space="preserve"> vlastnosti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Farmakoterapeutická</w:t>
      </w:r>
      <w:proofErr w:type="spellEnd"/>
      <w:r>
        <w:rPr>
          <w:lang w:val="sk-SK"/>
        </w:rPr>
        <w:t xml:space="preserve"> skupina: </w:t>
      </w:r>
      <w:proofErr w:type="spellStart"/>
      <w:r>
        <w:rPr>
          <w:lang w:val="sk-SK"/>
        </w:rPr>
        <w:t>Antivirotiká</w:t>
      </w:r>
      <w:proofErr w:type="spellEnd"/>
      <w:r>
        <w:rPr>
          <w:lang w:val="sk-SK"/>
        </w:rPr>
        <w:t xml:space="preserve"> na systémové použitie, inhibítory </w:t>
      </w:r>
      <w:proofErr w:type="spellStart"/>
      <w:r>
        <w:rPr>
          <w:lang w:val="sk-SK"/>
        </w:rPr>
        <w:t>neuraminidázy</w:t>
      </w:r>
      <w:proofErr w:type="spellEnd"/>
      <w:r>
        <w:rPr>
          <w:lang w:val="sk-SK"/>
        </w:rPr>
        <w:t xml:space="preserve">, ATC kód: J05AH02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Oseltamivírium</w:t>
      </w:r>
      <w:proofErr w:type="spellEnd"/>
      <w:r>
        <w:rPr>
          <w:lang w:val="sk-SK"/>
        </w:rPr>
        <w:t>-fosfát je pro-</w:t>
      </w:r>
      <w:proofErr w:type="spellStart"/>
      <w:r>
        <w:rPr>
          <w:lang w:val="sk-SK"/>
        </w:rPr>
        <w:t>drug</w:t>
      </w:r>
      <w:proofErr w:type="spellEnd"/>
      <w:r>
        <w:rPr>
          <w:lang w:val="sk-SK"/>
        </w:rPr>
        <w:t xml:space="preserve"> aktívneho </w:t>
      </w:r>
      <w:proofErr w:type="spellStart"/>
      <w:r>
        <w:rPr>
          <w:lang w:val="sk-SK"/>
        </w:rPr>
        <w:t>metabolitu</w:t>
      </w:r>
      <w:proofErr w:type="spellEnd"/>
      <w:r>
        <w:rPr>
          <w:lang w:val="sk-SK"/>
        </w:rPr>
        <w:t xml:space="preserve"> (</w:t>
      </w:r>
      <w:proofErr w:type="spellStart"/>
      <w:r>
        <w:rPr>
          <w:lang w:val="sk-SK"/>
        </w:rPr>
        <w:t>oseltamivirkarboxylátu</w:t>
      </w:r>
      <w:proofErr w:type="spellEnd"/>
      <w:r>
        <w:rPr>
          <w:lang w:val="sk-SK"/>
        </w:rPr>
        <w:t xml:space="preserve">). Aktívny </w:t>
      </w:r>
      <w:proofErr w:type="spellStart"/>
      <w:r>
        <w:rPr>
          <w:lang w:val="sk-SK"/>
        </w:rPr>
        <w:t>metabolit</w:t>
      </w:r>
      <w:proofErr w:type="spellEnd"/>
      <w:r>
        <w:rPr>
          <w:lang w:val="sk-SK"/>
        </w:rPr>
        <w:t xml:space="preserve"> je selektívny inhibítor </w:t>
      </w:r>
      <w:proofErr w:type="spellStart"/>
      <w:r>
        <w:rPr>
          <w:lang w:val="sk-SK"/>
        </w:rPr>
        <w:t>neuraminidázových</w:t>
      </w:r>
      <w:proofErr w:type="spellEnd"/>
      <w:r>
        <w:rPr>
          <w:lang w:val="sk-SK"/>
        </w:rPr>
        <w:t xml:space="preserve"> enzýmov vírusu chrípky, ktorými sú </w:t>
      </w:r>
      <w:proofErr w:type="spellStart"/>
      <w:r>
        <w:rPr>
          <w:lang w:val="sk-SK"/>
        </w:rPr>
        <w:t>glykoproteíny</w:t>
      </w:r>
      <w:proofErr w:type="spellEnd"/>
      <w:r>
        <w:rPr>
          <w:lang w:val="sk-SK"/>
        </w:rPr>
        <w:t xml:space="preserve"> nachádzajúce sa na povrchu </w:t>
      </w:r>
      <w:proofErr w:type="spellStart"/>
      <w:r>
        <w:rPr>
          <w:lang w:val="sk-SK"/>
        </w:rPr>
        <w:t>viriónu</w:t>
      </w:r>
      <w:proofErr w:type="spellEnd"/>
      <w:r>
        <w:rPr>
          <w:lang w:val="sk-SK"/>
        </w:rPr>
        <w:t xml:space="preserve">. Enzymatická aktivita vírusovej </w:t>
      </w:r>
      <w:proofErr w:type="spellStart"/>
      <w:r>
        <w:rPr>
          <w:lang w:val="sk-SK"/>
        </w:rPr>
        <w:t>neuraminidázy</w:t>
      </w:r>
      <w:proofErr w:type="spellEnd"/>
      <w:r>
        <w:rPr>
          <w:lang w:val="sk-SK"/>
        </w:rPr>
        <w:t xml:space="preserve"> je dôležitá ako pre prienik vírusu do nepostihnutých buniek, tak aj pre uvoľnenie novo vytvorených vírusových častíc z infikovaných buniek a pre následné rozšírenie vírusovej infekcie v tele.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Oseltamivirkarboxylát</w:t>
      </w:r>
      <w:proofErr w:type="spellEnd"/>
      <w:r>
        <w:rPr>
          <w:lang w:val="sk-SK"/>
        </w:rPr>
        <w:t xml:space="preserve"> </w:t>
      </w:r>
      <w:proofErr w:type="spellStart"/>
      <w:r>
        <w:rPr>
          <w:lang w:val="sk-SK"/>
        </w:rPr>
        <w:t>inhibuje</w:t>
      </w:r>
      <w:proofErr w:type="spellEnd"/>
      <w:r>
        <w:rPr>
          <w:lang w:val="sk-SK"/>
        </w:rPr>
        <w:t xml:space="preserve"> </w:t>
      </w:r>
      <w:r>
        <w:rPr>
          <w:i/>
          <w:lang w:val="sk-SK"/>
        </w:rPr>
        <w:t>in vitro</w:t>
      </w:r>
      <w:r>
        <w:rPr>
          <w:lang w:val="sk-SK"/>
        </w:rPr>
        <w:t xml:space="preserve"> </w:t>
      </w:r>
      <w:proofErr w:type="spellStart"/>
      <w:r>
        <w:rPr>
          <w:lang w:val="sk-SK"/>
        </w:rPr>
        <w:t>neuraminidázy</w:t>
      </w:r>
      <w:proofErr w:type="spellEnd"/>
      <w:r>
        <w:rPr>
          <w:lang w:val="sk-SK"/>
        </w:rPr>
        <w:t xml:space="preserve"> chrípkového vírusu A </w:t>
      </w:r>
      <w:proofErr w:type="spellStart"/>
      <w:r>
        <w:rPr>
          <w:lang w:val="sk-SK"/>
        </w:rPr>
        <w:t>a</w:t>
      </w:r>
      <w:proofErr w:type="spellEnd"/>
      <w:r>
        <w:rPr>
          <w:lang w:val="sk-SK"/>
        </w:rPr>
        <w:t xml:space="preserve"> B. </w:t>
      </w:r>
      <w:proofErr w:type="spellStart"/>
      <w:r>
        <w:rPr>
          <w:lang w:val="sk-SK"/>
        </w:rPr>
        <w:t>Oseltamivírium</w:t>
      </w:r>
      <w:proofErr w:type="spellEnd"/>
      <w:r>
        <w:rPr>
          <w:lang w:val="sk-SK"/>
        </w:rPr>
        <w:t xml:space="preserve">-fosfát </w:t>
      </w:r>
      <w:proofErr w:type="spellStart"/>
      <w:r>
        <w:rPr>
          <w:lang w:val="sk-SK"/>
        </w:rPr>
        <w:t>inhibuje</w:t>
      </w:r>
      <w:proofErr w:type="spellEnd"/>
      <w:r>
        <w:rPr>
          <w:lang w:val="sk-SK"/>
        </w:rPr>
        <w:t xml:space="preserve"> </w:t>
      </w:r>
      <w:r>
        <w:rPr>
          <w:i/>
          <w:lang w:val="sk-SK"/>
        </w:rPr>
        <w:t xml:space="preserve">in vitro </w:t>
      </w:r>
      <w:r>
        <w:rPr>
          <w:lang w:val="sk-SK"/>
        </w:rPr>
        <w:t xml:space="preserve">infekciu spôsobenú vírusom chrípky a jeho replikáciu. </w:t>
      </w:r>
      <w:proofErr w:type="spellStart"/>
      <w:r>
        <w:rPr>
          <w:lang w:val="sk-SK"/>
        </w:rPr>
        <w:t>Oseltamivir</w:t>
      </w:r>
      <w:proofErr w:type="spellEnd"/>
      <w:r>
        <w:rPr>
          <w:lang w:val="sk-SK"/>
        </w:rPr>
        <w:t xml:space="preserve"> podávaný perorálne </w:t>
      </w:r>
      <w:proofErr w:type="spellStart"/>
      <w:r>
        <w:rPr>
          <w:lang w:val="sk-SK"/>
        </w:rPr>
        <w:t>inhibuje</w:t>
      </w:r>
      <w:proofErr w:type="spellEnd"/>
      <w:r>
        <w:rPr>
          <w:lang w:val="sk-SK"/>
        </w:rPr>
        <w:t xml:space="preserve"> replikáciu chrípkového vírusu A </w:t>
      </w:r>
      <w:proofErr w:type="spellStart"/>
      <w:r>
        <w:rPr>
          <w:lang w:val="sk-SK"/>
        </w:rPr>
        <w:t>a</w:t>
      </w:r>
      <w:proofErr w:type="spellEnd"/>
      <w:r>
        <w:rPr>
          <w:lang w:val="sk-SK"/>
        </w:rPr>
        <w:t xml:space="preserve"> B a </w:t>
      </w:r>
      <w:proofErr w:type="spellStart"/>
      <w:r>
        <w:rPr>
          <w:lang w:val="sk-SK"/>
        </w:rPr>
        <w:t>patogenicita</w:t>
      </w:r>
      <w:proofErr w:type="spellEnd"/>
      <w:r>
        <w:rPr>
          <w:lang w:val="sk-SK"/>
        </w:rPr>
        <w:t xml:space="preserve"> </w:t>
      </w:r>
      <w:r>
        <w:rPr>
          <w:i/>
          <w:lang w:val="sk-SK"/>
        </w:rPr>
        <w:t xml:space="preserve">in </w:t>
      </w:r>
      <w:proofErr w:type="spellStart"/>
      <w:r>
        <w:rPr>
          <w:i/>
          <w:lang w:val="sk-SK"/>
        </w:rPr>
        <w:t>vivo</w:t>
      </w:r>
      <w:proofErr w:type="spellEnd"/>
      <w:r>
        <w:rPr>
          <w:lang w:val="sk-SK"/>
        </w:rPr>
        <w:t xml:space="preserve"> v živočíšnych modeloch chrípkovej infekcie pri antivírusových expozíciách je podobná expozícii dosiahnutej u človeka pri dávke 75 mg užívanej dvakrát denne. </w:t>
      </w:r>
    </w:p>
    <w:p w:rsidR="00D41417" w:rsidRDefault="00B1758A" w:rsidP="00056DF3">
      <w:pPr>
        <w:spacing w:after="0" w:line="240" w:lineRule="auto"/>
        <w:ind w:left="0" w:right="0" w:firstLine="0"/>
        <w:contextualSpacing/>
        <w:rPr>
          <w:lang w:val="sk-SK"/>
        </w:rPr>
      </w:pPr>
      <w:r>
        <w:rPr>
          <w:lang w:val="sk-SK"/>
        </w:rPr>
        <w:t xml:space="preserve"> Experimentálne štúdie, vykonané u zdravých dobrovoľníkov, dokázali antivírusovú aktivitu </w:t>
      </w:r>
      <w:proofErr w:type="spellStart"/>
      <w:r>
        <w:rPr>
          <w:lang w:val="sk-SK"/>
        </w:rPr>
        <w:t>oseltamiviru</w:t>
      </w:r>
      <w:proofErr w:type="spellEnd"/>
      <w:r>
        <w:rPr>
          <w:lang w:val="sk-SK"/>
        </w:rPr>
        <w:t xml:space="preserve"> voči vírusu chrípky A </w:t>
      </w:r>
      <w:proofErr w:type="spellStart"/>
      <w:r>
        <w:rPr>
          <w:lang w:val="sk-SK"/>
        </w:rPr>
        <w:t>a</w:t>
      </w:r>
      <w:proofErr w:type="spellEnd"/>
      <w:r>
        <w:rPr>
          <w:lang w:val="sk-SK"/>
        </w:rPr>
        <w:t xml:space="preserve"> B.</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Hodnoty IC50 </w:t>
      </w:r>
      <w:proofErr w:type="spellStart"/>
      <w:r>
        <w:rPr>
          <w:lang w:val="sk-SK"/>
        </w:rPr>
        <w:t>neuraminidázy</w:t>
      </w:r>
      <w:proofErr w:type="spellEnd"/>
      <w:r>
        <w:rPr>
          <w:lang w:val="sk-SK"/>
        </w:rPr>
        <w:t xml:space="preserve"> pre </w:t>
      </w:r>
      <w:proofErr w:type="spellStart"/>
      <w:r>
        <w:rPr>
          <w:lang w:val="sk-SK"/>
        </w:rPr>
        <w:t>oseltamivir</w:t>
      </w:r>
      <w:proofErr w:type="spellEnd"/>
      <w:r>
        <w:rPr>
          <w:lang w:val="sk-SK"/>
        </w:rPr>
        <w:t xml:space="preserve"> pre klinicky izolovaný vírus chrípky A sa pohybovali v rozpätí od 0,1 </w:t>
      </w:r>
      <w:proofErr w:type="spellStart"/>
      <w:r>
        <w:rPr>
          <w:lang w:val="sk-SK"/>
        </w:rPr>
        <w:t>nM</w:t>
      </w:r>
      <w:proofErr w:type="spellEnd"/>
      <w:r>
        <w:rPr>
          <w:lang w:val="sk-SK"/>
        </w:rPr>
        <w:t xml:space="preserve"> do 1,3 </w:t>
      </w:r>
      <w:proofErr w:type="spellStart"/>
      <w:r>
        <w:rPr>
          <w:lang w:val="sk-SK"/>
        </w:rPr>
        <w:t>nM</w:t>
      </w:r>
      <w:proofErr w:type="spellEnd"/>
      <w:r>
        <w:rPr>
          <w:lang w:val="sk-SK"/>
        </w:rPr>
        <w:t xml:space="preserve"> a pre vírus chrípky B bola táto hodnota 2,6 </w:t>
      </w:r>
      <w:proofErr w:type="spellStart"/>
      <w:r>
        <w:rPr>
          <w:lang w:val="sk-SK"/>
        </w:rPr>
        <w:t>nM</w:t>
      </w:r>
      <w:proofErr w:type="spellEnd"/>
      <w:r>
        <w:rPr>
          <w:lang w:val="sk-SK"/>
        </w:rPr>
        <w:t xml:space="preserve">. V publikovaných štúdiách sa pozorovali vyššie hodnoty IC50 pre vírus chrípky B v priemere až do 8,5 </w:t>
      </w:r>
      <w:proofErr w:type="spellStart"/>
      <w:r>
        <w:rPr>
          <w:lang w:val="sk-SK"/>
        </w:rPr>
        <w:t>nM</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Klinické štúdie</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Liečba chrípkovej infekcie</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Táto indikácia je založená na klinických štúdiách prirodzene sa vyskytujúcej chrípky, pričom prevažným typom infekcie bola chrípka typu 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je účinný len voči ochoreniam spôsobeným chrípkovým vírusom. Štatistické analýzy sú preto prezentované len vzhľadom na pacientov infikovaných vírusom chrípky. Na základe štúdie liečby zameranej na populáciu, ktorá zahŕňala ľudí nakazených chrípkovým vírusom a nenakazených ľudí (ITT), bola primárna účinnosť znížená úmerne k počtu jednotlivcov, ktorí neboli nakazení chrípkovým vírusom. V celkovej populácii, ktorá podstúpila liečbu, sa infekcia chrípkovým vírusom potvrdila u 67 % (v rozsahu od 46 % do 74 %) pacientov. Zo starších pacientov bolo 64 % nakazených chrípkovým vírusom a z pacientov s chronickým srdcovým a/alebo respiračným ochorením bolo 62 % nakazených chrípkovým vírusom. V III. fáze všetkých štúdií, zameraných na liečbu, boli pacienti skúmaní len počas obdobia chrípkovej nákazy v okolí.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Dospelí a dospievajúci vo veku 13 rokov a starší</w:t>
      </w:r>
      <w:r>
        <w:rPr>
          <w:lang w:val="sk-SK"/>
        </w:rPr>
        <w:t>:</w:t>
      </w:r>
    </w:p>
    <w:p w:rsidR="00D41417" w:rsidRDefault="00B1758A">
      <w:pPr>
        <w:spacing w:after="0" w:line="240" w:lineRule="auto"/>
        <w:ind w:left="0" w:right="0"/>
        <w:contextualSpacing/>
        <w:rPr>
          <w:lang w:val="sk-SK"/>
        </w:rPr>
      </w:pPr>
      <w:r>
        <w:rPr>
          <w:lang w:val="sk-SK"/>
        </w:rPr>
        <w:t xml:space="preserve">Pacienti prichádzali do úvahy pre výskum, ak do 36 hodín po objavení symptómov mali teplotu ≥ 37,8 ºC sprevádzanú najmenej jedným respiračným symptómom (kašeľ, nazálne symptómy alebo zapálené hrdlo) a najmenej jedným systémovým symptómom (bolesti svalov, triaška/potenie, nevoľnosť, únava alebo bolesti hlavy). Na základe spoločnej analýzy všetkých dospelých a dospievajúcich nakazených chrípkovým vírusom (N = 2 413), ktorí sa zúčastnili na štúdii o liečbe </w:t>
      </w:r>
      <w:proofErr w:type="spellStart"/>
      <w:r>
        <w:rPr>
          <w:lang w:val="sk-SK"/>
        </w:rPr>
        <w:t>oseltamivirom</w:t>
      </w:r>
      <w:proofErr w:type="spellEnd"/>
      <w:r>
        <w:rPr>
          <w:lang w:val="sk-SK"/>
        </w:rPr>
        <w:t xml:space="preserve"> v dávke 75 mg dvakrát denne počas 5 dní, sa zistila redukcia priemernej dĺžky chrípkového ochorenia približne o jeden deň z 5,2 dňa (95 % CI 4,9 - 5,5 dní) v skupine dostávajúcej placebo na 4,2 dňa (95 % CI 4,0 - 4,4 dní; p ≤ 0,0001).</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Percento pacientov, u ktorých sa rozvinuli špecifické komplikácie dolných dýchacích ciest (najmä bronchitída) a ktorí boli liečení antibiotikami, sa znížilo z 12,7 % (135/1 063) v skupine dostávajúcej placebo na 8,6 % (116/1 350) v skupine liečenej </w:t>
      </w:r>
      <w:proofErr w:type="spellStart"/>
      <w:r>
        <w:rPr>
          <w:lang w:val="sk-SK"/>
        </w:rPr>
        <w:t>oseltamivirom</w:t>
      </w:r>
      <w:proofErr w:type="spellEnd"/>
      <w:r>
        <w:rPr>
          <w:lang w:val="sk-SK"/>
        </w:rPr>
        <w:t xml:space="preserve"> (p = 0,0012).</w:t>
      </w:r>
    </w:p>
    <w:p w:rsidR="00D41417" w:rsidRDefault="00B1758A">
      <w:pPr>
        <w:spacing w:after="0" w:line="240" w:lineRule="auto"/>
        <w:ind w:left="0" w:right="0" w:firstLine="0"/>
        <w:contextualSpacing/>
        <w:rPr>
          <w:lang w:val="sk-SK"/>
        </w:rPr>
      </w:pPr>
      <w:r>
        <w:rPr>
          <w:lang w:val="sk-SK"/>
        </w:rPr>
        <w:lastRenderedPageBreak/>
        <w:t xml:space="preserve"> </w:t>
      </w:r>
    </w:p>
    <w:p w:rsidR="00D41417" w:rsidRDefault="00B1758A">
      <w:pPr>
        <w:spacing w:after="0" w:line="240" w:lineRule="auto"/>
        <w:ind w:left="0" w:right="0"/>
        <w:contextualSpacing/>
        <w:rPr>
          <w:lang w:val="sk-SK"/>
        </w:rPr>
      </w:pPr>
      <w:r>
        <w:rPr>
          <w:i/>
          <w:u w:val="single" w:color="000000"/>
          <w:lang w:val="sk-SK"/>
        </w:rPr>
        <w:t>Liečba chrípky u pacientov s vysokým rizikom</w:t>
      </w:r>
      <w:r>
        <w:rPr>
          <w:lang w:val="sk-SK"/>
        </w:rPr>
        <w:t>:</w:t>
      </w:r>
    </w:p>
    <w:p w:rsidR="00D41417" w:rsidRDefault="00B1758A">
      <w:pPr>
        <w:spacing w:after="0" w:line="240" w:lineRule="auto"/>
        <w:ind w:left="0" w:right="0"/>
        <w:contextualSpacing/>
        <w:rPr>
          <w:lang w:val="sk-SK"/>
        </w:rPr>
      </w:pPr>
      <w:r>
        <w:rPr>
          <w:lang w:val="sk-SK"/>
        </w:rPr>
        <w:t xml:space="preserve">Priemerná dĺžka chrípkového ochorenia u starších pacientov (≥ 65 rokov) a u pacientov s chronickým srdcovým a/alebo respiračným ochorením, ktorí dostávali </w:t>
      </w:r>
      <w:proofErr w:type="spellStart"/>
      <w:r>
        <w:rPr>
          <w:lang w:val="sk-SK"/>
        </w:rPr>
        <w:t>oseltamivir</w:t>
      </w:r>
      <w:proofErr w:type="spellEnd"/>
      <w:r>
        <w:rPr>
          <w:lang w:val="sk-SK"/>
        </w:rPr>
        <w:t xml:space="preserve"> v dávke 75 mg dvakrát denne počas 5 dní, </w:t>
      </w:r>
      <w:r>
        <w:rPr>
          <w:u w:val="single" w:color="000000"/>
          <w:lang w:val="sk-SK"/>
        </w:rPr>
        <w:t>nebola</w:t>
      </w:r>
      <w:r>
        <w:rPr>
          <w:lang w:val="sk-SK"/>
        </w:rPr>
        <w:t xml:space="preserve"> významne redukovaná. Celkové trvanie horúčky bolo znížené o jeden deň v skupinách liečených </w:t>
      </w:r>
      <w:proofErr w:type="spellStart"/>
      <w:r>
        <w:rPr>
          <w:lang w:val="sk-SK"/>
        </w:rPr>
        <w:t>oseltamivirom</w:t>
      </w:r>
      <w:proofErr w:type="spellEnd"/>
      <w:r>
        <w:rPr>
          <w:lang w:val="sk-SK"/>
        </w:rPr>
        <w:t xml:space="preserve">. U starších pacientov nakazených vírusom chrípky, ktorí boli liečení antibiotikami, </w:t>
      </w:r>
      <w:proofErr w:type="spellStart"/>
      <w:r>
        <w:rPr>
          <w:lang w:val="sk-SK"/>
        </w:rPr>
        <w:t>oseltamivir</w:t>
      </w:r>
      <w:proofErr w:type="spellEnd"/>
      <w:r>
        <w:rPr>
          <w:lang w:val="sk-SK"/>
        </w:rPr>
        <w:t xml:space="preserve"> významne znížil výskyt špecifických komplikácií dolných dýchacích ciest (najmä bronchitídy) z 19 % (52/268) v skupine dostávajúcej placebo na 12 % (29/250) v skupine liečenej </w:t>
      </w:r>
      <w:proofErr w:type="spellStart"/>
      <w:r>
        <w:rPr>
          <w:lang w:val="sk-SK"/>
        </w:rPr>
        <w:t>oseltamivirom</w:t>
      </w:r>
      <w:proofErr w:type="spellEnd"/>
      <w:r>
        <w:rPr>
          <w:lang w:val="sk-SK"/>
        </w:rPr>
        <w:t xml:space="preserve"> (p = 0,0156).</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U pacientov nakazených chrípkovým vírusom s chronickým srdcovým a/alebo respiračným ochorením, ktorí boli liečení antibiotikami, bol kombinovaný výskyt komplikácií dolných dýchacích ciest (najmä bronchitídy) 17 % (22/133) v skupine dostávajúcej placebo a 14 % (16/118) v populácii pacientov liečených </w:t>
      </w:r>
      <w:proofErr w:type="spellStart"/>
      <w:r>
        <w:rPr>
          <w:lang w:val="sk-SK"/>
        </w:rPr>
        <w:t>oseltamivirom</w:t>
      </w:r>
      <w:proofErr w:type="spellEnd"/>
      <w:r>
        <w:rPr>
          <w:lang w:val="sk-SK"/>
        </w:rPr>
        <w:t xml:space="preserve"> (p = 0,5976).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i/>
          <w:lang w:val="sk-SK"/>
        </w:rPr>
      </w:pPr>
      <w:r>
        <w:rPr>
          <w:i/>
          <w:u w:val="single" w:color="000000"/>
          <w:lang w:val="sk-SK"/>
        </w:rPr>
        <w:t>Liečba chrípky u gravidných žien:</w:t>
      </w:r>
    </w:p>
    <w:p w:rsidR="00D41417" w:rsidRDefault="00B1758A">
      <w:pPr>
        <w:spacing w:after="0" w:line="240" w:lineRule="auto"/>
        <w:ind w:left="0" w:right="0"/>
        <w:contextualSpacing/>
        <w:rPr>
          <w:lang w:val="sk-SK"/>
        </w:rPr>
      </w:pPr>
      <w:r>
        <w:rPr>
          <w:lang w:val="sk-SK"/>
        </w:rPr>
        <w:t xml:space="preserve">Neuskutočnili sa žiadne kontrolované klinické štúdie s použitím </w:t>
      </w:r>
      <w:proofErr w:type="spellStart"/>
      <w:r>
        <w:rPr>
          <w:lang w:val="sk-SK"/>
        </w:rPr>
        <w:t>oseltamiviru</w:t>
      </w:r>
      <w:proofErr w:type="spellEnd"/>
      <w:r>
        <w:rPr>
          <w:lang w:val="sk-SK"/>
        </w:rPr>
        <w:t xml:space="preserve"> u gravidných žien, v </w:t>
      </w:r>
      <w:proofErr w:type="spellStart"/>
      <w:r>
        <w:rPr>
          <w:lang w:val="sk-SK"/>
        </w:rPr>
        <w:t>postmarketingových</w:t>
      </w:r>
      <w:proofErr w:type="spellEnd"/>
      <w:r>
        <w:rPr>
          <w:lang w:val="sk-SK"/>
        </w:rPr>
        <w:t xml:space="preserve"> a retrospektívnych pozorovacích štúdiách v tejto populácii pacientov sa potvrdil prínos bežného dávkovacieho režimu v zmysle nižšej morbidity/mortality. Výsledky z </w:t>
      </w:r>
      <w:proofErr w:type="spellStart"/>
      <w:r>
        <w:rPr>
          <w:lang w:val="sk-SK"/>
        </w:rPr>
        <w:t>farmakokinetických</w:t>
      </w:r>
      <w:proofErr w:type="spellEnd"/>
      <w:r>
        <w:rPr>
          <w:lang w:val="sk-SK"/>
        </w:rPr>
        <w:t xml:space="preserve"> analýz naznačujú nižšiu expozíciu aktívnemu </w:t>
      </w:r>
      <w:proofErr w:type="spellStart"/>
      <w:r>
        <w:rPr>
          <w:lang w:val="sk-SK"/>
        </w:rPr>
        <w:t>metabolitu</w:t>
      </w:r>
      <w:proofErr w:type="spellEnd"/>
      <w:r>
        <w:rPr>
          <w:lang w:val="sk-SK"/>
        </w:rPr>
        <w:t xml:space="preserve">, avšak úprava dávky u gravidných žien v liečbe alebo v prevencii chrípky sa neodporúča (pozri časť 5.2. </w:t>
      </w:r>
      <w:proofErr w:type="spellStart"/>
      <w:r>
        <w:rPr>
          <w:lang w:val="sk-SK"/>
        </w:rPr>
        <w:t>Farmakokinetické</w:t>
      </w:r>
      <w:proofErr w:type="spellEnd"/>
      <w:r>
        <w:rPr>
          <w:lang w:val="sk-SK"/>
        </w:rPr>
        <w:t xml:space="preserve"> vlastnosti, Osobitné skupiny pacientov).</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Liečba chrípky u detí</w:t>
      </w:r>
      <w:r>
        <w:rPr>
          <w:lang w:val="sk-SK"/>
        </w:rPr>
        <w:t>:</w:t>
      </w:r>
    </w:p>
    <w:p w:rsidR="00D41417" w:rsidRDefault="00B1758A">
      <w:pPr>
        <w:spacing w:after="0" w:line="240" w:lineRule="auto"/>
        <w:ind w:left="0" w:right="0"/>
        <w:contextualSpacing/>
        <w:rPr>
          <w:lang w:val="sk-SK"/>
        </w:rPr>
      </w:pPr>
      <w:r>
        <w:rPr>
          <w:lang w:val="sk-SK"/>
        </w:rPr>
        <w:t xml:space="preserve">V štúdii zameranej na inak zdravé deti (65 % bolo nakazených chrípkovým vírusom) vo veku od 1 do 12 rokov (priemerný vek 5,3 roka), ktoré mali horúčku (≥ 37,8 ºC) a kašeľ alebo nádchu, bolo 67 % pacientov nakazených chrípkovým vírusom A </w:t>
      </w:r>
      <w:proofErr w:type="spellStart"/>
      <w:r>
        <w:rPr>
          <w:lang w:val="sk-SK"/>
        </w:rPr>
        <w:t>a</w:t>
      </w:r>
      <w:proofErr w:type="spellEnd"/>
      <w:r>
        <w:rPr>
          <w:lang w:val="sk-SK"/>
        </w:rPr>
        <w:t xml:space="preserve"> 33 % pacientov bolo nakazených chrípkovým vírusom B. Liečba </w:t>
      </w:r>
      <w:proofErr w:type="spellStart"/>
      <w:r>
        <w:rPr>
          <w:lang w:val="sk-SK"/>
        </w:rPr>
        <w:t>oseltamivirom</w:t>
      </w:r>
      <w:proofErr w:type="spellEnd"/>
      <w:r>
        <w:rPr>
          <w:lang w:val="sk-SK"/>
        </w:rPr>
        <w:t xml:space="preserve">, ktorá sa začala do 48 hodín od objavenia symptómov, významne znížila dĺžku ochorenia (definovaná ako návrat k zdraviu a aktivite a ustúpenie horúčky, kašľa a nádchy) o 1,5 dňa (95 % CI 0,6 - 2,2 dní; p &lt; 0,0001) v porovnaní s placebom. </w:t>
      </w:r>
      <w:proofErr w:type="spellStart"/>
      <w:r>
        <w:rPr>
          <w:lang w:val="sk-SK"/>
        </w:rPr>
        <w:t>Oseltamivir</w:t>
      </w:r>
      <w:proofErr w:type="spellEnd"/>
      <w:r>
        <w:rPr>
          <w:lang w:val="sk-SK"/>
        </w:rPr>
        <w:t xml:space="preserve"> znížil výskyt akútneho zápalu stredného ucha z 26,5 % (53/200) v skupine dostávajúcej placebo na 16 % (29/183) u detí liečených </w:t>
      </w:r>
      <w:proofErr w:type="spellStart"/>
      <w:r>
        <w:rPr>
          <w:lang w:val="sk-SK"/>
        </w:rPr>
        <w:t>oseltamivirom</w:t>
      </w:r>
      <w:proofErr w:type="spellEnd"/>
      <w:r>
        <w:rPr>
          <w:lang w:val="sk-SK"/>
        </w:rPr>
        <w:t xml:space="preserve"> (p = 0,013).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Druhá štúdia bola vykonaná u 334 astmatických detí vo veku od 6 do 12 rokov, z ktorých 53,6 % bolo nakazených chrípkovým vírusom. V skupine liečenej </w:t>
      </w:r>
      <w:proofErr w:type="spellStart"/>
      <w:r>
        <w:rPr>
          <w:lang w:val="sk-SK"/>
        </w:rPr>
        <w:t>oseltamivirom</w:t>
      </w:r>
      <w:proofErr w:type="spellEnd"/>
      <w:r>
        <w:rPr>
          <w:lang w:val="sk-SK"/>
        </w:rPr>
        <w:t xml:space="preserve"> priemerná dĺžka ochorenia </w:t>
      </w:r>
      <w:r>
        <w:rPr>
          <w:u w:val="single" w:color="000000"/>
          <w:lang w:val="sk-SK"/>
        </w:rPr>
        <w:t>nebola</w:t>
      </w:r>
      <w:r>
        <w:rPr>
          <w:lang w:val="sk-SK"/>
        </w:rPr>
        <w:t xml:space="preserve"> významne zredukovaná. Na 6. deň (posledný deň liečby) hodnota FEV</w:t>
      </w:r>
      <w:r>
        <w:rPr>
          <w:vertAlign w:val="subscript"/>
          <w:lang w:val="sk-SK"/>
        </w:rPr>
        <w:t>1</w:t>
      </w:r>
      <w:r>
        <w:rPr>
          <w:lang w:val="sk-SK"/>
        </w:rPr>
        <w:t xml:space="preserve"> sa zvýšila o 10,8 % v skupine liečenej </w:t>
      </w:r>
      <w:proofErr w:type="spellStart"/>
      <w:r>
        <w:rPr>
          <w:lang w:val="sk-SK"/>
        </w:rPr>
        <w:t>oseltamivirom</w:t>
      </w:r>
      <w:proofErr w:type="spellEnd"/>
      <w:r>
        <w:rPr>
          <w:lang w:val="sk-SK"/>
        </w:rPr>
        <w:t xml:space="preserve"> v porovnaní so 4,7 % v prípade placeba (p = 0,0148) v tejto populácii.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Európska agentúra pre lieky udelila odklad z povinnosti predložiť výsledky štúdií s </w:t>
      </w:r>
      <w:proofErr w:type="spellStart"/>
      <w:r>
        <w:rPr>
          <w:lang w:val="sk-SK"/>
        </w:rPr>
        <w:t>oseltamivirom</w:t>
      </w:r>
      <w:proofErr w:type="spellEnd"/>
      <w:r>
        <w:rPr>
          <w:lang w:val="sk-SK"/>
        </w:rPr>
        <w:t xml:space="preserve"> v jednej alebo vo viacerých podskupinách pediatrickej populácie pri liečbe chrípky (informácie o použití v pediatrickej populácii, pozri časť 4.2).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Indikácia u dojčiat vo veku do 1 roka je založená </w:t>
      </w:r>
      <w:r>
        <w:rPr>
          <w:color w:val="222222"/>
          <w:lang w:val="sk-SK"/>
        </w:rPr>
        <w:t xml:space="preserve">na </w:t>
      </w:r>
      <w:proofErr w:type="spellStart"/>
      <w:r>
        <w:rPr>
          <w:color w:val="222222"/>
          <w:lang w:val="sk-SK"/>
        </w:rPr>
        <w:t>extrapolácii</w:t>
      </w:r>
      <w:proofErr w:type="spellEnd"/>
      <w:r>
        <w:rPr>
          <w:color w:val="222222"/>
          <w:lang w:val="sk-SK"/>
        </w:rPr>
        <w:t xml:space="preserve"> údajov o účinnosti získaných od starších detí a odporúčané dávkovanie vychádza z </w:t>
      </w:r>
      <w:proofErr w:type="spellStart"/>
      <w:r>
        <w:rPr>
          <w:color w:val="222222"/>
          <w:lang w:val="sk-SK"/>
        </w:rPr>
        <w:t>farmakokinetických</w:t>
      </w:r>
      <w:proofErr w:type="spellEnd"/>
      <w:r>
        <w:rPr>
          <w:color w:val="222222"/>
          <w:lang w:val="sk-SK"/>
        </w:rPr>
        <w:t xml:space="preserve"> modelových údajov (pozri časť 5.2)</w:t>
      </w:r>
      <w:r>
        <w:rPr>
          <w:lang w:val="sk-SK"/>
        </w:rPr>
        <w:t xml:space="preserve">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u w:val="single" w:color="000000"/>
          <w:lang w:val="sk-SK"/>
        </w:rPr>
        <w:t>Liečba infekcie spôsobenej chrípkovým vírusom</w:t>
      </w:r>
      <w:r>
        <w:rPr>
          <w:u w:val="single" w:color="000000"/>
          <w:lang w:val="sk-SK"/>
        </w:rPr>
        <w:t xml:space="preserve"> </w:t>
      </w:r>
      <w:r>
        <w:rPr>
          <w:i/>
          <w:u w:val="single" w:color="000000"/>
          <w:lang w:val="sk-SK"/>
        </w:rPr>
        <w:t>B</w:t>
      </w:r>
    </w:p>
    <w:p w:rsidR="00D41417" w:rsidRDefault="00B1758A">
      <w:pPr>
        <w:spacing w:after="0" w:line="240" w:lineRule="auto"/>
        <w:ind w:left="0" w:right="0" w:hanging="10"/>
        <w:contextualSpacing/>
        <w:rPr>
          <w:lang w:val="sk-SK"/>
        </w:rPr>
      </w:pPr>
      <w:r>
        <w:rPr>
          <w:lang w:val="sk-SK"/>
        </w:rPr>
        <w:t xml:space="preserve">Celkovo bolo z nakazenej populácie 15 % pacientov nakazených chrípkovým vírusom B, v jednotlivých štúdiách v rozsahu 1 až 33 %. Priemerná dĺžka ochorenia u pacientov nakazených chrípkovým vírusom B sa významne nelíšila medzi skupinami liečenými v jednotlivých štúdiách. Pre analýzu boli použité údaje od 504 pacientov nakazených chrípkovým vírusom B zo všetkých štúdií. </w:t>
      </w:r>
      <w:proofErr w:type="spellStart"/>
      <w:r>
        <w:rPr>
          <w:lang w:val="sk-SK"/>
        </w:rPr>
        <w:t>Oseltamivir</w:t>
      </w:r>
      <w:proofErr w:type="spellEnd"/>
      <w:r>
        <w:rPr>
          <w:lang w:val="sk-SK"/>
        </w:rPr>
        <w:t xml:space="preserve"> zredukoval čas ustúpenia všetkých symptómov o 0,7 dňa (95 % CI 0,1 – 1,6 dňa; p = 0,022) a trvanie horúčky (≥ 37,8 ºC), kašľa a nádchy o jeden deň (95 % CI 0,4 - 1,7 dňa; p &lt; 0,001) v porovnaní s placebom.</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lastRenderedPageBreak/>
        <w:t>Liečba chrípky u dospelých s oslabeným imunitným systémom</w:t>
      </w:r>
    </w:p>
    <w:p w:rsidR="00D41417" w:rsidRDefault="00B1758A">
      <w:pPr>
        <w:spacing w:after="0" w:line="240" w:lineRule="auto"/>
        <w:ind w:left="0" w:right="0" w:hanging="10"/>
        <w:contextualSpacing/>
        <w:rPr>
          <w:lang w:val="sk-SK"/>
        </w:rPr>
      </w:pPr>
      <w:proofErr w:type="spellStart"/>
      <w:r>
        <w:rPr>
          <w:lang w:val="sk-SK"/>
        </w:rPr>
        <w:t>Randomizovaná</w:t>
      </w:r>
      <w:proofErr w:type="spellEnd"/>
      <w:r>
        <w:rPr>
          <w:lang w:val="sk-SK"/>
        </w:rPr>
        <w:t xml:space="preserve">, dvojito zaslepená štúdia na hodnotenie bezpečnosti a charakterizáciu vplyvu </w:t>
      </w:r>
      <w:proofErr w:type="spellStart"/>
      <w:r>
        <w:rPr>
          <w:lang w:val="sk-SK"/>
        </w:rPr>
        <w:t>oseltamiviru</w:t>
      </w:r>
      <w:proofErr w:type="spellEnd"/>
      <w:r>
        <w:rPr>
          <w:lang w:val="sk-SK"/>
        </w:rPr>
        <w:t xml:space="preserve"> na vznik rezistentného vírusu chrípky (primárna analýza) u dospelých pacientov s oslabeným imunitným systémom, ktorí boli infikovaní chrípkovým vírusom, zahŕňala 151 pacientov, u ktorých bolo možné hodnotiť účinnosť </w:t>
      </w:r>
      <w:proofErr w:type="spellStart"/>
      <w:r>
        <w:rPr>
          <w:lang w:val="sk-SK"/>
        </w:rPr>
        <w:t>oseltamiviru</w:t>
      </w:r>
      <w:proofErr w:type="spellEnd"/>
      <w:r>
        <w:rPr>
          <w:lang w:val="sk-SK"/>
        </w:rPr>
        <w:t xml:space="preserve"> (sekundárna analýza; štúdia nemala dostatočnú štatistickú silu na hodnotenie účinnosti). Štúdia zahŕňala pacientov po transplantácii solídnych orgánov [</w:t>
      </w:r>
      <w:proofErr w:type="spellStart"/>
      <w:r>
        <w:rPr>
          <w:lang w:val="sk-SK"/>
        </w:rPr>
        <w:t>solid</w:t>
      </w:r>
      <w:proofErr w:type="spellEnd"/>
      <w:r>
        <w:rPr>
          <w:lang w:val="sk-SK"/>
        </w:rPr>
        <w:t xml:space="preserve"> organ </w:t>
      </w:r>
      <w:proofErr w:type="spellStart"/>
      <w:r>
        <w:rPr>
          <w:lang w:val="sk-SK"/>
        </w:rPr>
        <w:t>transplant</w:t>
      </w:r>
      <w:proofErr w:type="spellEnd"/>
      <w:r>
        <w:rPr>
          <w:lang w:val="sk-SK"/>
        </w:rPr>
        <w:t xml:space="preserve">, SOT], pacientov po transplantácii </w:t>
      </w:r>
      <w:proofErr w:type="spellStart"/>
      <w:r>
        <w:rPr>
          <w:lang w:val="sk-SK"/>
        </w:rPr>
        <w:t>hematopoetických</w:t>
      </w:r>
      <w:proofErr w:type="spellEnd"/>
      <w:r>
        <w:rPr>
          <w:lang w:val="sk-SK"/>
        </w:rPr>
        <w:t xml:space="preserve"> kmeňových buniek [</w:t>
      </w:r>
      <w:proofErr w:type="spellStart"/>
      <w:r>
        <w:rPr>
          <w:lang w:val="sk-SK"/>
        </w:rPr>
        <w:t>haematopoietic</w:t>
      </w:r>
      <w:proofErr w:type="spellEnd"/>
      <w:r>
        <w:rPr>
          <w:lang w:val="sk-SK"/>
        </w:rPr>
        <w:t xml:space="preserve"> </w:t>
      </w:r>
      <w:proofErr w:type="spellStart"/>
      <w:r>
        <w:rPr>
          <w:lang w:val="sk-SK"/>
        </w:rPr>
        <w:t>stem</w:t>
      </w:r>
      <w:proofErr w:type="spellEnd"/>
      <w:r>
        <w:rPr>
          <w:lang w:val="sk-SK"/>
        </w:rPr>
        <w:t xml:space="preserve"> </w:t>
      </w:r>
      <w:proofErr w:type="spellStart"/>
      <w:r>
        <w:rPr>
          <w:lang w:val="sk-SK"/>
        </w:rPr>
        <w:t>cell</w:t>
      </w:r>
      <w:proofErr w:type="spellEnd"/>
      <w:r>
        <w:rPr>
          <w:lang w:val="sk-SK"/>
        </w:rPr>
        <w:t xml:space="preserve"> </w:t>
      </w:r>
      <w:proofErr w:type="spellStart"/>
      <w:r>
        <w:rPr>
          <w:lang w:val="sk-SK"/>
        </w:rPr>
        <w:t>transplant</w:t>
      </w:r>
      <w:proofErr w:type="spellEnd"/>
      <w:r>
        <w:rPr>
          <w:lang w:val="sk-SK"/>
        </w:rPr>
        <w:t>, HSCT], HIV-pozitívnych pacientov s počtom CD4+ buniek &lt; 500 buniek/mm</w:t>
      </w:r>
      <w:r>
        <w:rPr>
          <w:vertAlign w:val="superscript"/>
          <w:lang w:val="sk-SK"/>
        </w:rPr>
        <w:t>3</w:t>
      </w:r>
      <w:r>
        <w:rPr>
          <w:lang w:val="sk-SK"/>
        </w:rPr>
        <w:t xml:space="preserve">, pacientov podstupujúcich systémovú </w:t>
      </w:r>
      <w:proofErr w:type="spellStart"/>
      <w:r>
        <w:rPr>
          <w:lang w:val="sk-SK"/>
        </w:rPr>
        <w:t>imunosupresívnu</w:t>
      </w:r>
      <w:proofErr w:type="spellEnd"/>
      <w:r>
        <w:rPr>
          <w:lang w:val="sk-SK"/>
        </w:rPr>
        <w:t xml:space="preserve"> liečbu a pacientov s hematologickými malignitami. Títo pacienti boli do 96 hodín od objavenia príznakov </w:t>
      </w:r>
      <w:proofErr w:type="spellStart"/>
      <w:r>
        <w:rPr>
          <w:lang w:val="sk-SK"/>
        </w:rPr>
        <w:t>randomizovaní</w:t>
      </w:r>
      <w:proofErr w:type="spellEnd"/>
      <w:r>
        <w:rPr>
          <w:lang w:val="sk-SK"/>
        </w:rPr>
        <w:t xml:space="preserve"> na liečbu štandardnou dávkou (73 pacientov), alebo dvojnásobnou dávkou (78 pacientov) </w:t>
      </w:r>
      <w:proofErr w:type="spellStart"/>
      <w:r>
        <w:rPr>
          <w:lang w:val="sk-SK"/>
        </w:rPr>
        <w:t>oseltamiviru</w:t>
      </w:r>
      <w:proofErr w:type="spellEnd"/>
      <w:r>
        <w:rPr>
          <w:lang w:val="sk-SK"/>
        </w:rPr>
        <w:t xml:space="preserve"> trvajúcou 10 dní.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Medián času do odznenia príznakov (</w:t>
      </w:r>
      <w:proofErr w:type="spellStart"/>
      <w:r>
        <w:rPr>
          <w:lang w:val="sk-SK"/>
        </w:rPr>
        <w:t>time</w:t>
      </w:r>
      <w:proofErr w:type="spellEnd"/>
      <w:r>
        <w:rPr>
          <w:lang w:val="sk-SK"/>
        </w:rPr>
        <w:t xml:space="preserve"> to </w:t>
      </w:r>
      <w:proofErr w:type="spellStart"/>
      <w:r>
        <w:rPr>
          <w:lang w:val="sk-SK"/>
        </w:rPr>
        <w:t>resolution</w:t>
      </w:r>
      <w:proofErr w:type="spellEnd"/>
      <w:r>
        <w:rPr>
          <w:lang w:val="sk-SK"/>
        </w:rPr>
        <w:t xml:space="preserve"> of </w:t>
      </w:r>
      <w:proofErr w:type="spellStart"/>
      <w:r>
        <w:rPr>
          <w:lang w:val="sk-SK"/>
        </w:rPr>
        <w:t>symptoms</w:t>
      </w:r>
      <w:proofErr w:type="spellEnd"/>
      <w:r>
        <w:rPr>
          <w:lang w:val="sk-SK"/>
        </w:rPr>
        <w:t xml:space="preserve">, TTRS) bol podobný medzi skupinou so štandardnou dávkou (103 hodín [90 % IS: 75,4 - 110,0]) a skupinou s dvojnásobnou dávkou (104 hodín [90 % IS: 65,8-131,0]). Percento pacientov so sekundárnymi infekciami v skupine so štandardnou dávkou a v skupine s dvojnásobnou dávkou bolo porovnateľné (8,2 % oproti 5,1 %).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Prevencia chrípky</w:t>
      </w:r>
      <w:r>
        <w:rPr>
          <w:lang w:val="sk-SK"/>
        </w:rPr>
        <w:t xml:space="preserve"> </w:t>
      </w:r>
    </w:p>
    <w:p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v prevencii prirodzene sa vyskytujúcej chrípky bola demonštrovaná v štúdii zameranej na prevenciu po expozícii v domácnostiach a v dvoch štúdiách sezónnej prevencie. Parametrom primárnej účinnosti pre všetky tieto štúdie bol výskyt laboratórne potvrdenej chrípky. </w:t>
      </w:r>
      <w:proofErr w:type="spellStart"/>
      <w:r>
        <w:rPr>
          <w:lang w:val="sk-SK"/>
        </w:rPr>
        <w:t>Virulencia</w:t>
      </w:r>
      <w:proofErr w:type="spellEnd"/>
      <w:r>
        <w:rPr>
          <w:lang w:val="sk-SK"/>
        </w:rPr>
        <w:t xml:space="preserve"> chrípkovej epidémie sa nedá predvídať a mení sa v závislosti od regiónu a sezóny, a preto počet pacientov, ktorí potrebujú liečbu (NNT), aby sa u nich zabránilo chrípkovému ochoreniu, sa mení.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 expozícii</w:t>
      </w:r>
      <w:r>
        <w:rPr>
          <w:lang w:val="sk-SK"/>
        </w:rPr>
        <w:t xml:space="preserve">: </w:t>
      </w:r>
    </w:p>
    <w:p w:rsidR="00D41417" w:rsidRDefault="00B1758A">
      <w:pPr>
        <w:spacing w:after="0" w:line="240" w:lineRule="auto"/>
        <w:ind w:left="0" w:right="0"/>
        <w:contextualSpacing/>
        <w:rPr>
          <w:lang w:val="sk-SK"/>
        </w:rPr>
      </w:pPr>
      <w:r>
        <w:rPr>
          <w:lang w:val="sk-SK"/>
        </w:rPr>
        <w:t xml:space="preserve">V štúdii (12,6 % pacientov bolo zaočkovaných proti chrípke), zameranej na kontakty s prípadmi chrípky, sa </w:t>
      </w:r>
      <w:proofErr w:type="spellStart"/>
      <w:r>
        <w:rPr>
          <w:lang w:val="sk-SK"/>
        </w:rPr>
        <w:t>oseltamivir</w:t>
      </w:r>
      <w:proofErr w:type="spellEnd"/>
      <w:r>
        <w:rPr>
          <w:lang w:val="sk-SK"/>
        </w:rPr>
        <w:t xml:space="preserve"> v dávke 75 mg raz denne začal podávať do 2 dní po objavení symptómov a liečba pokračovala 7 dní. Chrípka bola potvrdená u 163 pacientov z 377 prípadov. </w:t>
      </w:r>
      <w:proofErr w:type="spellStart"/>
      <w:r>
        <w:rPr>
          <w:lang w:val="sk-SK"/>
        </w:rPr>
        <w:t>Oseltamivir</w:t>
      </w:r>
      <w:proofErr w:type="spellEnd"/>
      <w:r>
        <w:rPr>
          <w:lang w:val="sk-SK"/>
        </w:rPr>
        <w:t xml:space="preserve"> významne znížil výskyt klinického chrípkového ochorenia vyskytujúceho sa pri kontakte s potvrdenými chrípkovými prípadmi z 24/200 (12 %) v skupine dostávajúcej placebo na 2/205 (1 %) v skupine liečenej </w:t>
      </w:r>
      <w:proofErr w:type="spellStart"/>
      <w:r>
        <w:rPr>
          <w:lang w:val="sk-SK"/>
        </w:rPr>
        <w:t>oseltamivirom</w:t>
      </w:r>
      <w:proofErr w:type="spellEnd"/>
      <w:r>
        <w:rPr>
          <w:lang w:val="sk-SK"/>
        </w:rPr>
        <w:t xml:space="preserve"> (92 % zníženie [95 % CI 6 - 16; p ≤ 0,0001]). Počet potrebný liečiť (NNT), pri kontakte s potvrdenými prípadmi chrípky, bol 10 (95 % CI 9 - 12) a 16 (95 % CI 15 - 19) v celej populácii (ITT) bez ohľadu na infekčný stav kontaktnej osoby.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Účinnosť </w:t>
      </w:r>
      <w:proofErr w:type="spellStart"/>
      <w:r>
        <w:rPr>
          <w:lang w:val="sk-SK"/>
        </w:rPr>
        <w:t>oseltamiviru</w:t>
      </w:r>
      <w:proofErr w:type="spellEnd"/>
      <w:r>
        <w:rPr>
          <w:lang w:val="sk-SK"/>
        </w:rPr>
        <w:t xml:space="preserve"> v prevencii prirodzene sa vyskytujúcej chrípky bola preukázaná v štúdii zameranej na prevenciu po expozícii v domácnostiach, ktorá zahŕňala dospelých, dospievajúcich a deti vo veku od 1 do 12 rokov, ako prípady aj ako kontakty v rodine. Parametrom primárnej účinnosti pre túto štúdiu bol výskyt laboratórne potvrdenej klinickej chrípky v domácnostiach. Profylaxia </w:t>
      </w:r>
      <w:proofErr w:type="spellStart"/>
      <w:r>
        <w:rPr>
          <w:lang w:val="sk-SK"/>
        </w:rPr>
        <w:t>oseltamivirom</w:t>
      </w:r>
      <w:proofErr w:type="spellEnd"/>
      <w:r>
        <w:rPr>
          <w:lang w:val="sk-SK"/>
        </w:rPr>
        <w:t xml:space="preserve"> trvala 10 dní. V celej populácii sa znížil výskyt laboratórne potvrdenej klinickej chrípky v domácnostiach z 20 % (27/136) v skupine, ktorá nedostávala preventívne </w:t>
      </w:r>
      <w:proofErr w:type="spellStart"/>
      <w:r>
        <w:rPr>
          <w:lang w:val="sk-SK"/>
        </w:rPr>
        <w:t>oseltamivir</w:t>
      </w:r>
      <w:proofErr w:type="spellEnd"/>
      <w:r>
        <w:rPr>
          <w:lang w:val="sk-SK"/>
        </w:rPr>
        <w:t xml:space="preserve">, na 7 % (10/135) v skupine, ktorá dostávala preventívne </w:t>
      </w:r>
      <w:proofErr w:type="spellStart"/>
      <w:r>
        <w:rPr>
          <w:lang w:val="sk-SK"/>
        </w:rPr>
        <w:t>oseltamivir</w:t>
      </w:r>
      <w:proofErr w:type="spellEnd"/>
      <w:r>
        <w:rPr>
          <w:lang w:val="sk-SK"/>
        </w:rPr>
        <w:t xml:space="preserve"> (62,7 % zníženie [95 % CI 26,0 - 81,2; p = 0,0042]). V domácnostiach s prípadmi chrípky sa znížil jej výskyt z 26 % (23/89) v skupine, ktorá nedostávala preventívne </w:t>
      </w:r>
      <w:proofErr w:type="spellStart"/>
      <w:r>
        <w:rPr>
          <w:lang w:val="sk-SK"/>
        </w:rPr>
        <w:t>oseltamivir</w:t>
      </w:r>
      <w:proofErr w:type="spellEnd"/>
      <w:r>
        <w:rPr>
          <w:lang w:val="sk-SK"/>
        </w:rPr>
        <w:t xml:space="preserve">, na 11 % (9/84) v skupine, ktorá dostávala preventívne </w:t>
      </w:r>
      <w:proofErr w:type="spellStart"/>
      <w:r>
        <w:rPr>
          <w:lang w:val="sk-SK"/>
        </w:rPr>
        <w:t>oseltamivir</w:t>
      </w:r>
      <w:proofErr w:type="spellEnd"/>
      <w:r>
        <w:rPr>
          <w:lang w:val="sk-SK"/>
        </w:rPr>
        <w:t xml:space="preserve"> (58,5 % zníženie [95 % CI 15,6 - 79,6; p = 0,0114]).</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V súlade s analýzou podskupiny detí vo veku 1 až 12 rokov výskyt laboratórne potvrdenej klinickej chrípky u detí sa signifikantne znížil z 19 % (21/111) v skupine, ktorá nedostávala preventívne </w:t>
      </w:r>
      <w:proofErr w:type="spellStart"/>
      <w:r>
        <w:rPr>
          <w:lang w:val="sk-SK"/>
        </w:rPr>
        <w:t>oseltamivir</w:t>
      </w:r>
      <w:proofErr w:type="spellEnd"/>
      <w:r>
        <w:rPr>
          <w:lang w:val="sk-SK"/>
        </w:rPr>
        <w:t xml:space="preserve">, na 7 % (7/104) v skupine, ktorá dostávala preventívne </w:t>
      </w:r>
      <w:proofErr w:type="spellStart"/>
      <w:r>
        <w:rPr>
          <w:lang w:val="sk-SK"/>
        </w:rPr>
        <w:t>oseltamivir</w:t>
      </w:r>
      <w:proofErr w:type="spellEnd"/>
      <w:r>
        <w:rPr>
          <w:lang w:val="sk-SK"/>
        </w:rPr>
        <w:t xml:space="preserve"> (64,4 % zníženie [95 % CI 15,8 - 85,0; p = 0,0188]). V skupine detí, ktoré na začiatku liečby ešte nešírili vírus, sa znížil výskyt laboratórne potvrdenej klinickej chrípky z 21 % (15/70) v skupine, ktorá nedostávala preventívne </w:t>
      </w:r>
      <w:proofErr w:type="spellStart"/>
      <w:r>
        <w:rPr>
          <w:lang w:val="sk-SK"/>
        </w:rPr>
        <w:t>oseltamivir</w:t>
      </w:r>
      <w:proofErr w:type="spellEnd"/>
      <w:r>
        <w:rPr>
          <w:lang w:val="sk-SK"/>
        </w:rPr>
        <w:t xml:space="preserve">, na 4 % (2/47) v skupine, ktorá dostávala preventívne </w:t>
      </w:r>
      <w:proofErr w:type="spellStart"/>
      <w:r>
        <w:rPr>
          <w:lang w:val="sk-SK"/>
        </w:rPr>
        <w:t>oseltamivir</w:t>
      </w:r>
      <w:proofErr w:type="spellEnd"/>
      <w:r>
        <w:rPr>
          <w:lang w:val="sk-SK"/>
        </w:rPr>
        <w:t xml:space="preserve"> (80,1 % zníženie [95 % CI 22,0 - 94,9; p=0,0206]). Hodnota NNT pre celkovú pediatrickú populáciu bola 9 </w:t>
      </w:r>
      <w:r>
        <w:rPr>
          <w:lang w:val="sk-SK"/>
        </w:rPr>
        <w:lastRenderedPageBreak/>
        <w:t xml:space="preserve">(95 % CI 7 - 24), zatiaľ čo v celej populácii (ITT) a v pediatrickej skupine, ktorá bola v priamom kontakte s potvrdenými prípadmi chrípky (ITTII), bola 8 (95 % CI 6, horný limit neodhadnuteľný).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Prevencia chrípky po expozícii počas pandémie u dojčiat mladších ako 1 rok:</w:t>
      </w:r>
      <w:r>
        <w:rPr>
          <w:i/>
          <w:lang w:val="sk-SK"/>
        </w:rPr>
        <w:t xml:space="preserve"> </w:t>
      </w:r>
    </w:p>
    <w:p w:rsidR="00D41417" w:rsidRDefault="00B1758A">
      <w:pPr>
        <w:spacing w:after="0" w:line="240" w:lineRule="auto"/>
        <w:ind w:left="0" w:right="0"/>
        <w:contextualSpacing/>
        <w:rPr>
          <w:lang w:val="sk-SK"/>
        </w:rPr>
      </w:pPr>
      <w:r>
        <w:rPr>
          <w:lang w:val="sk-SK"/>
        </w:rPr>
        <w:t>V kontrolovaných klinických štúdiách nebola študovaná prevencia počas chrípkovej pandémie u dojčiat vo veku 0 - 12 mesiacov. Čo sa týka podrobností pre simuláciu expozície, pozri časť 5.2.</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počas chrípkovej epidémie v okolí</w:t>
      </w:r>
      <w:r>
        <w:rPr>
          <w:lang w:val="sk-SK"/>
        </w:rPr>
        <w:t>:</w:t>
      </w:r>
    </w:p>
    <w:p w:rsidR="00D41417" w:rsidRDefault="00B1758A">
      <w:pPr>
        <w:spacing w:after="0" w:line="240" w:lineRule="auto"/>
        <w:ind w:left="0" w:right="0"/>
        <w:contextualSpacing/>
        <w:rPr>
          <w:lang w:val="sk-SK"/>
        </w:rPr>
      </w:pPr>
      <w:r>
        <w:rPr>
          <w:lang w:val="sk-SK"/>
        </w:rPr>
        <w:t xml:space="preserve">Na základe spoločnej analýzy dvoch ďalších štúdií, ktoré sa vykonali u nezaočkovaných, inak zdravých dospelých jedincov, sa zistilo, že </w:t>
      </w:r>
      <w:proofErr w:type="spellStart"/>
      <w:r>
        <w:rPr>
          <w:lang w:val="sk-SK"/>
        </w:rPr>
        <w:t>oseltamivir</w:t>
      </w:r>
      <w:proofErr w:type="spellEnd"/>
      <w:r>
        <w:rPr>
          <w:lang w:val="sk-SK"/>
        </w:rPr>
        <w:t xml:space="preserve">, podávaný v dávke 75 mg raz denne počas 6 týždňov, významne znížil výskyt klinického chrípkového ochorenia z 25/519 (4,8 %), v skupine dostávajúcej placebo, na 6/520 (1,2 %), v skupine liečenej </w:t>
      </w:r>
      <w:proofErr w:type="spellStart"/>
      <w:r>
        <w:rPr>
          <w:lang w:val="sk-SK"/>
        </w:rPr>
        <w:t>oseltamivirom</w:t>
      </w:r>
      <w:proofErr w:type="spellEnd"/>
      <w:r>
        <w:rPr>
          <w:lang w:val="sk-SK"/>
        </w:rPr>
        <w:t xml:space="preserve"> (76 % zníženie [95 % CI 1,6 - 5,7; p = 0,0006]) počas prepuknutia chrípky v okolí. Hodnota NNT v tejto štúdii bola 28 (95 % CI 24 - 50). </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Štúdia vykonaná u starších jedincov v domoch opatrovateľskej služby, kde 80 % účastníkov dostalo vakcínu počas štúdie, </w:t>
      </w:r>
      <w:proofErr w:type="spellStart"/>
      <w:r>
        <w:rPr>
          <w:lang w:val="sk-SK"/>
        </w:rPr>
        <w:t>oseltamivir</w:t>
      </w:r>
      <w:proofErr w:type="spellEnd"/>
      <w:r>
        <w:rPr>
          <w:lang w:val="sk-SK"/>
        </w:rPr>
        <w:t xml:space="preserve"> v dávke 75 mg raz denne, podávaný počas 6 týždňov, významne znížil výskyt klinického chrípkového ochorenia z 12/272 (4,4 %), v skupine dostávajúcej placebo, na 1/276 (0,4 %), v skupine liečenej </w:t>
      </w:r>
      <w:proofErr w:type="spellStart"/>
      <w:r>
        <w:rPr>
          <w:lang w:val="sk-SK"/>
        </w:rPr>
        <w:t>oseltamivirom</w:t>
      </w:r>
      <w:proofErr w:type="spellEnd"/>
      <w:r>
        <w:rPr>
          <w:lang w:val="sk-SK"/>
        </w:rPr>
        <w:t xml:space="preserve"> (92 % zníženie [95 % CI 1,5 - 6,6); p = 0,0015]). Hodnota NNT v tejto štúdii bola 25 (95 % CI 23 - 62).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i/>
          <w:lang w:val="sk-SK"/>
        </w:rPr>
      </w:pPr>
      <w:r>
        <w:rPr>
          <w:i/>
          <w:u w:val="single" w:color="000000"/>
          <w:lang w:val="sk-SK"/>
        </w:rPr>
        <w:t>Profylaxia chrípky u pacientov s oslabeným imunitným systémom</w:t>
      </w:r>
      <w:r>
        <w:rPr>
          <w:lang w:val="sk-SK"/>
        </w:rPr>
        <w:t>:</w:t>
      </w:r>
    </w:p>
    <w:p w:rsidR="00D41417" w:rsidRDefault="00B1758A">
      <w:pPr>
        <w:spacing w:after="0" w:line="240" w:lineRule="auto"/>
        <w:ind w:left="0" w:right="0"/>
        <w:contextualSpacing/>
        <w:rPr>
          <w:lang w:val="sk-SK"/>
        </w:rPr>
      </w:pPr>
      <w:r>
        <w:rPr>
          <w:lang w:val="sk-SK"/>
        </w:rPr>
        <w:t xml:space="preserve">Bola uskutočnená dvojito zaslepená, placebom kontrolovaná, </w:t>
      </w:r>
      <w:proofErr w:type="spellStart"/>
      <w:r>
        <w:rPr>
          <w:lang w:val="sk-SK"/>
        </w:rPr>
        <w:t>randomizovaná</w:t>
      </w:r>
      <w:proofErr w:type="spellEnd"/>
      <w:r>
        <w:rPr>
          <w:lang w:val="sk-SK"/>
        </w:rPr>
        <w:t xml:space="preserve"> štúdia na sezónnu profylaxiu chrípky u 475 pacientov s oslabeným imunitným systémom (388 pacientov s transplantáciou solídnych orgánov [195 placebo; 193 </w:t>
      </w:r>
      <w:proofErr w:type="spellStart"/>
      <w:r>
        <w:rPr>
          <w:lang w:val="sk-SK"/>
        </w:rPr>
        <w:t>oseltamivir</w:t>
      </w:r>
      <w:proofErr w:type="spellEnd"/>
      <w:r>
        <w:rPr>
          <w:lang w:val="sk-SK"/>
        </w:rPr>
        <w:t xml:space="preserve">], 87 pacientov s transplantáciou </w:t>
      </w:r>
      <w:proofErr w:type="spellStart"/>
      <w:r>
        <w:rPr>
          <w:lang w:val="sk-SK"/>
        </w:rPr>
        <w:t>hemopoetických</w:t>
      </w:r>
      <w:proofErr w:type="spellEnd"/>
      <w:r>
        <w:rPr>
          <w:lang w:val="sk-SK"/>
        </w:rPr>
        <w:t xml:space="preserve"> kmeňových buniek [43 placebo; 44 </w:t>
      </w:r>
      <w:proofErr w:type="spellStart"/>
      <w:r>
        <w:rPr>
          <w:lang w:val="sk-SK"/>
        </w:rPr>
        <w:t>oseltamivir</w:t>
      </w:r>
      <w:proofErr w:type="spellEnd"/>
      <w:r>
        <w:rPr>
          <w:lang w:val="sk-SK"/>
        </w:rPr>
        <w:t xml:space="preserve">], žiadni iní pacienti s inými </w:t>
      </w:r>
      <w:proofErr w:type="spellStart"/>
      <w:r>
        <w:rPr>
          <w:lang w:val="sk-SK"/>
        </w:rPr>
        <w:t>imunosupresívnymi</w:t>
      </w:r>
      <w:proofErr w:type="spellEnd"/>
      <w:r>
        <w:rPr>
          <w:lang w:val="sk-SK"/>
        </w:rPr>
        <w:t xml:space="preserve"> stavmi neboli zaradení), vrátane 18 detí vo veku od 1 do 12 rokov. Primárnym cieľovým ukazovateľom v tejto štúdii bol výskyt laboratórne potvrdenej klinickej chrípky podľa zistenej vírusovej kultúry a/alebo štvornásobného vzostupu protilátok HAI. Výskyt laboratórne potvrdenej klinickej chrípky bol 2,9 % (7/238) v </w:t>
      </w:r>
      <w:proofErr w:type="spellStart"/>
      <w:r>
        <w:rPr>
          <w:lang w:val="sk-SK"/>
        </w:rPr>
        <w:t>placebovej</w:t>
      </w:r>
      <w:proofErr w:type="spellEnd"/>
      <w:r>
        <w:rPr>
          <w:lang w:val="sk-SK"/>
        </w:rPr>
        <w:t xml:space="preserve"> skupine a 2,1 % (5/237) v skupine liečenej </w:t>
      </w:r>
      <w:proofErr w:type="spellStart"/>
      <w:r>
        <w:rPr>
          <w:lang w:val="sk-SK"/>
        </w:rPr>
        <w:t>oseltamivirom</w:t>
      </w:r>
      <w:proofErr w:type="spellEnd"/>
      <w:r>
        <w:rPr>
          <w:lang w:val="sk-SK"/>
        </w:rPr>
        <w:t xml:space="preserve"> (95 % CI -2,3 % – 4,1 %; p = 0,772).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Neboli vykonané špecifické štúdie na stanovenie zníženia rizika komplikácií.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i/>
          <w:lang w:val="sk-SK"/>
        </w:rPr>
      </w:pPr>
      <w:r>
        <w:rPr>
          <w:i/>
          <w:lang w:val="sk-SK"/>
        </w:rPr>
        <w:t xml:space="preserve">Rezistencia na </w:t>
      </w:r>
      <w:proofErr w:type="spellStart"/>
      <w:r>
        <w:rPr>
          <w:i/>
          <w:lang w:val="sk-SK"/>
        </w:rPr>
        <w:t>oseltamivir</w:t>
      </w:r>
      <w:proofErr w:type="spellEnd"/>
    </w:p>
    <w:p w:rsidR="00D41417" w:rsidRDefault="00D41417">
      <w:pPr>
        <w:spacing w:after="0" w:line="240" w:lineRule="auto"/>
        <w:ind w:left="0" w:right="0" w:hanging="10"/>
        <w:contextualSpacing/>
        <w:rPr>
          <w:lang w:val="sk-SK"/>
        </w:rPr>
      </w:pPr>
    </w:p>
    <w:p w:rsidR="00D41417" w:rsidRDefault="00B1758A">
      <w:pPr>
        <w:spacing w:after="0" w:line="240" w:lineRule="auto"/>
        <w:ind w:left="0" w:right="0"/>
        <w:contextualSpacing/>
        <w:rPr>
          <w:lang w:val="sk-SK"/>
        </w:rPr>
      </w:pPr>
      <w:r>
        <w:rPr>
          <w:i/>
          <w:u w:val="single" w:color="000000"/>
          <w:lang w:val="sk-SK"/>
        </w:rPr>
        <w:t>Klinické štúdie</w:t>
      </w:r>
      <w:r>
        <w:rPr>
          <w:lang w:val="sk-SK"/>
        </w:rPr>
        <w:t>:</w:t>
      </w:r>
    </w:p>
    <w:p w:rsidR="00D41417" w:rsidRDefault="00B1758A">
      <w:pPr>
        <w:spacing w:after="0" w:line="240" w:lineRule="auto"/>
        <w:ind w:left="0" w:right="0"/>
        <w:contextualSpacing/>
        <w:rPr>
          <w:lang w:val="sk-SK"/>
        </w:rPr>
      </w:pPr>
      <w:r>
        <w:rPr>
          <w:lang w:val="sk-SK"/>
        </w:rPr>
        <w:t xml:space="preserve">Bolo skúmané riziko zníženej vnímavosti vírusov chrípky alebo klinicky zistenej rezistencie na </w:t>
      </w:r>
      <w:proofErr w:type="spellStart"/>
      <w:r>
        <w:rPr>
          <w:lang w:val="sk-SK"/>
        </w:rPr>
        <w:t>oseltamivir</w:t>
      </w:r>
      <w:proofErr w:type="spellEnd"/>
      <w:r>
        <w:rPr>
          <w:lang w:val="sk-SK"/>
        </w:rPr>
        <w:t xml:space="preserve"> v priebehu klinických štúdií sponzorovaných spoločnosťou Roche. Vznik vírusu rezistentného na </w:t>
      </w:r>
      <w:proofErr w:type="spellStart"/>
      <w:r>
        <w:rPr>
          <w:lang w:val="sk-SK"/>
        </w:rPr>
        <w:t>oseltamivir</w:t>
      </w:r>
      <w:proofErr w:type="spellEnd"/>
      <w:r>
        <w:rPr>
          <w:lang w:val="sk-SK"/>
        </w:rPr>
        <w:t xml:space="preserve"> v priebehu liečby sa vyskytoval častejšie u detí ako u dospelých, v rozmedzí menej ako 1 % u dospelých do 18 % u detí vo veku do 1 roka. U detí, u ktorých sa dokázalo nosičstvo vírusu rezistentného na </w:t>
      </w:r>
      <w:proofErr w:type="spellStart"/>
      <w:r>
        <w:rPr>
          <w:lang w:val="sk-SK"/>
        </w:rPr>
        <w:t>oseltamivir</w:t>
      </w:r>
      <w:proofErr w:type="spellEnd"/>
      <w:r>
        <w:rPr>
          <w:lang w:val="sk-SK"/>
        </w:rPr>
        <w:t xml:space="preserve">, sa vo všeobecnosti šíril vírus dlhšie v porovnaní s osobami s vírusom citlivým na </w:t>
      </w:r>
      <w:proofErr w:type="spellStart"/>
      <w:r>
        <w:rPr>
          <w:lang w:val="sk-SK"/>
        </w:rPr>
        <w:t>oseltamivir</w:t>
      </w:r>
      <w:proofErr w:type="spellEnd"/>
      <w:r>
        <w:rPr>
          <w:lang w:val="sk-SK"/>
        </w:rPr>
        <w:t xml:space="preserve">. Napriek vzniku rezistencie počas liečby </w:t>
      </w:r>
      <w:proofErr w:type="spellStart"/>
      <w:r>
        <w:rPr>
          <w:lang w:val="sk-SK"/>
        </w:rPr>
        <w:t>oseltamivirom</w:t>
      </w:r>
      <w:proofErr w:type="spellEnd"/>
      <w:r>
        <w:rPr>
          <w:lang w:val="sk-SK"/>
        </w:rPr>
        <w:t xml:space="preserve">, odpoveď na liečbu nebola ovplyvnená a nespôsobila ani predĺženie symptómov chrípky.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U dospelých pacientov s oslabeným imunitným systémom, ktorí boli liečení štandardnou alebo dvojnásobnou dávkou </w:t>
      </w:r>
      <w:proofErr w:type="spellStart"/>
      <w:r>
        <w:rPr>
          <w:lang w:val="sk-SK"/>
        </w:rPr>
        <w:t>oseltamiviru</w:t>
      </w:r>
      <w:proofErr w:type="spellEnd"/>
      <w:r>
        <w:rPr>
          <w:lang w:val="sk-SK"/>
        </w:rPr>
        <w:t xml:space="preserve"> počas 10 dní, sa pozoroval celkovo vyšší výskyt rezistencie na </w:t>
      </w:r>
      <w:proofErr w:type="spellStart"/>
      <w:r>
        <w:rPr>
          <w:lang w:val="sk-SK"/>
        </w:rPr>
        <w:t>oseltamivir</w:t>
      </w:r>
      <w:proofErr w:type="spellEnd"/>
      <w:r>
        <w:rPr>
          <w:lang w:val="sk-SK"/>
        </w:rPr>
        <w:t xml:space="preserve"> [14,9 % (10/67) v skupine so štandardnou dávkou a 2,8 % (2/71) v skupine s dvojnásobnou dávkou] v porovnaní s údajmi zo štúdií s inak zdravými dospelými pacientmi liečenými </w:t>
      </w:r>
      <w:proofErr w:type="spellStart"/>
      <w:r>
        <w:rPr>
          <w:lang w:val="sk-SK"/>
        </w:rPr>
        <w:t>oseltamivirom</w:t>
      </w:r>
      <w:proofErr w:type="spellEnd"/>
      <w:r>
        <w:rPr>
          <w:lang w:val="sk-SK"/>
        </w:rPr>
        <w:t xml:space="preserve">. Väčšina pacientov, u ktorých vznikla rezistencia, boli príjemcovia transplantátu (8/10 pacientov v skupine so štandardnou dávkou a 2/2 pacientov v skupine s dvojnásobnou dávkou). Väčšina pacientov, ktorí mali vírus rezistentný na </w:t>
      </w:r>
      <w:proofErr w:type="spellStart"/>
      <w:r>
        <w:rPr>
          <w:lang w:val="sk-SK"/>
        </w:rPr>
        <w:t>oseltamivir</w:t>
      </w:r>
      <w:proofErr w:type="spellEnd"/>
      <w:r>
        <w:rPr>
          <w:lang w:val="sk-SK"/>
        </w:rPr>
        <w:t xml:space="preserve">, bola infikovaná chrípkovým vírusom typu A </w:t>
      </w:r>
      <w:proofErr w:type="spellStart"/>
      <w:r>
        <w:rPr>
          <w:lang w:val="sk-SK"/>
        </w:rPr>
        <w:t>a</w:t>
      </w:r>
      <w:proofErr w:type="spellEnd"/>
      <w:r>
        <w:rPr>
          <w:lang w:val="sk-SK"/>
        </w:rPr>
        <w:t xml:space="preserve"> vylučovanie vírusu („</w:t>
      </w:r>
      <w:proofErr w:type="spellStart"/>
      <w:r>
        <w:rPr>
          <w:lang w:val="sk-SK"/>
        </w:rPr>
        <w:t>shedding</w:t>
      </w:r>
      <w:proofErr w:type="spellEnd"/>
      <w:r>
        <w:rPr>
          <w:lang w:val="sk-SK"/>
        </w:rPr>
        <w:t xml:space="preserve">“) u nich trvalo dlhšie.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contextualSpacing/>
        <w:rPr>
          <w:lang w:val="sk-SK"/>
        </w:rPr>
      </w:pPr>
      <w:r>
        <w:rPr>
          <w:lang w:val="sk-SK"/>
        </w:rPr>
        <w:lastRenderedPageBreak/>
        <w:t xml:space="preserve">Výskyt rezistencie na </w:t>
      </w:r>
      <w:proofErr w:type="spellStart"/>
      <w:r>
        <w:rPr>
          <w:lang w:val="sk-SK"/>
        </w:rPr>
        <w:t>oseltamivir</w:t>
      </w:r>
      <w:proofErr w:type="spellEnd"/>
      <w:r>
        <w:rPr>
          <w:lang w:val="sk-SK"/>
        </w:rPr>
        <w:t xml:space="preserve"> v klinických štúdiách </w:t>
      </w:r>
    </w:p>
    <w:tbl>
      <w:tblPr>
        <w:tblStyle w:val="TableGrid"/>
        <w:tblW w:w="7231" w:type="dxa"/>
        <w:tblInd w:w="12" w:type="dxa"/>
        <w:tblCellMar>
          <w:top w:w="51" w:type="dxa"/>
          <w:left w:w="108" w:type="dxa"/>
          <w:bottom w:w="5" w:type="dxa"/>
          <w:right w:w="101" w:type="dxa"/>
        </w:tblCellMar>
        <w:tblLook w:val="04A0" w:firstRow="1" w:lastRow="0" w:firstColumn="1" w:lastColumn="0" w:noHBand="0" w:noVBand="1"/>
      </w:tblPr>
      <w:tblGrid>
        <w:gridCol w:w="2268"/>
        <w:gridCol w:w="2126"/>
        <w:gridCol w:w="2837"/>
      </w:tblGrid>
      <w:tr w:rsidR="00D41417">
        <w:trPr>
          <w:trHeight w:val="264"/>
        </w:trPr>
        <w:tc>
          <w:tcPr>
            <w:tcW w:w="2268" w:type="dxa"/>
            <w:vMerge w:val="restart"/>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 Populácia pacientov </w:t>
            </w:r>
          </w:p>
        </w:tc>
        <w:tc>
          <w:tcPr>
            <w:tcW w:w="4963" w:type="dxa"/>
            <w:gridSpan w:val="2"/>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Pacienti s rezistentnými mutáciami</w:t>
            </w:r>
            <w:r>
              <w:rPr>
                <w:lang w:val="sk-SK"/>
              </w:rPr>
              <w:t xml:space="preserve"> </w:t>
            </w:r>
            <w:r>
              <w:rPr>
                <w:b/>
                <w:lang w:val="sk-SK"/>
              </w:rPr>
              <w:t xml:space="preserve">(%) </w:t>
            </w:r>
          </w:p>
        </w:tc>
      </w:tr>
      <w:tr w:rsidR="00D41417">
        <w:trPr>
          <w:trHeight w:val="262"/>
        </w:trPr>
        <w:tc>
          <w:tcPr>
            <w:tcW w:w="2268"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Fenotyp*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proofErr w:type="spellStart"/>
            <w:r>
              <w:rPr>
                <w:b/>
                <w:lang w:val="sk-SK"/>
              </w:rPr>
              <w:t>Geno</w:t>
            </w:r>
            <w:proofErr w:type="spellEnd"/>
            <w:r>
              <w:rPr>
                <w:b/>
                <w:lang w:val="sk-SK"/>
              </w:rPr>
              <w:t xml:space="preserve">- a fenotyp* </w:t>
            </w:r>
          </w:p>
        </w:tc>
      </w:tr>
      <w:tr w:rsidR="00D41417">
        <w:trPr>
          <w:trHeight w:val="264"/>
        </w:trPr>
        <w:tc>
          <w:tcPr>
            <w:tcW w:w="2268"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Dospelí a dospievajúci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0,88 % (21/2 377)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1,12 % (27/2 391) </w:t>
            </w:r>
          </w:p>
        </w:tc>
      </w:tr>
      <w:tr w:rsidR="00D41417">
        <w:trPr>
          <w:trHeight w:val="264"/>
        </w:trPr>
        <w:tc>
          <w:tcPr>
            <w:tcW w:w="2268"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Deti (1 - 12 rokov)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3,89 % (66/1 698)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4,24 % (72/1 698) </w:t>
            </w:r>
          </w:p>
        </w:tc>
      </w:tr>
      <w:tr w:rsidR="00D41417">
        <w:trPr>
          <w:trHeight w:val="262"/>
        </w:trPr>
        <w:tc>
          <w:tcPr>
            <w:tcW w:w="2268"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Dojčatá (&lt;1 rok)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18,31 % (13/71)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18,31 % (13/71) </w:t>
            </w:r>
          </w:p>
        </w:tc>
      </w:tr>
    </w:tbl>
    <w:p w:rsidR="00D41417" w:rsidRDefault="00B1758A">
      <w:pPr>
        <w:spacing w:after="0" w:line="240" w:lineRule="auto"/>
        <w:ind w:left="0" w:right="0" w:hanging="10"/>
        <w:contextualSpacing/>
        <w:rPr>
          <w:lang w:val="sk-SK"/>
        </w:rPr>
      </w:pPr>
      <w:r>
        <w:rPr>
          <w:lang w:val="sk-SK"/>
        </w:rPr>
        <w:t xml:space="preserve">* Vo všetkých štúdiách sa neuskutočnila úplná </w:t>
      </w:r>
      <w:proofErr w:type="spellStart"/>
      <w:r>
        <w:rPr>
          <w:lang w:val="sk-SK"/>
        </w:rPr>
        <w:t>genotypizácia</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i/>
          <w:iCs/>
          <w:lang w:val="sk-SK"/>
        </w:rPr>
      </w:pPr>
      <w:r>
        <w:rPr>
          <w:i/>
          <w:iCs/>
          <w:lang w:val="sk-SK"/>
        </w:rPr>
        <w:t xml:space="preserve">Profylaxia chrípky </w:t>
      </w:r>
    </w:p>
    <w:p w:rsidR="00D41417" w:rsidRDefault="00B1758A">
      <w:pPr>
        <w:spacing w:after="0" w:line="240" w:lineRule="auto"/>
        <w:ind w:left="0" w:right="0"/>
        <w:contextualSpacing/>
        <w:rPr>
          <w:lang w:val="sk-SK"/>
        </w:rPr>
      </w:pPr>
      <w:r>
        <w:rPr>
          <w:lang w:val="sk-SK"/>
        </w:rPr>
        <w:t xml:space="preserve">V doteraz vykonaných klinických štúdiách s použitím </w:t>
      </w:r>
      <w:proofErr w:type="spellStart"/>
      <w:r>
        <w:rPr>
          <w:lang w:val="sk-SK"/>
        </w:rPr>
        <w:t>oseltamiviru</w:t>
      </w:r>
      <w:proofErr w:type="spellEnd"/>
      <w:r>
        <w:rPr>
          <w:lang w:val="sk-SK"/>
        </w:rPr>
        <w:t xml:space="preserve">, zameraných na prevenciu chrípky, sa nedokázal vznik rezistencie voči lieku po expozícii (7 dní), po expozícii v rámci skupín v domácnosti (10 dní) a sezónnu prevenciu chrípky (42 dní) u pacientov s normálnym imunitným systémom. Nepozorovala sa žiadna rezistencia počas 12-týždňovej profylaktickej štúdie u pacientov s oslabeným imunitným systémom.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Klinické údaje a údaje zo sledovaní:</w:t>
      </w:r>
    </w:p>
    <w:p w:rsidR="00D41417" w:rsidRDefault="00B1758A">
      <w:pPr>
        <w:spacing w:after="0" w:line="240" w:lineRule="auto"/>
        <w:ind w:left="0" w:right="0"/>
        <w:contextualSpacing/>
        <w:rPr>
          <w:lang w:val="sk-SK"/>
        </w:rPr>
      </w:pPr>
      <w:r>
        <w:rPr>
          <w:lang w:val="sk-SK"/>
        </w:rPr>
        <w:t xml:space="preserve">U pacientov, ktorí neboli vystavení </w:t>
      </w:r>
      <w:proofErr w:type="spellStart"/>
      <w:r>
        <w:rPr>
          <w:lang w:val="sk-SK"/>
        </w:rPr>
        <w:t>oseltamiviru</w:t>
      </w:r>
      <w:proofErr w:type="spellEnd"/>
      <w:r>
        <w:rPr>
          <w:lang w:val="sk-SK"/>
        </w:rPr>
        <w:t xml:space="preserve">, boli izolované prirodzené mutácie vírusu chrípky A </w:t>
      </w:r>
      <w:proofErr w:type="spellStart"/>
      <w:r>
        <w:rPr>
          <w:lang w:val="sk-SK"/>
        </w:rPr>
        <w:t>a</w:t>
      </w:r>
      <w:proofErr w:type="spellEnd"/>
      <w:r>
        <w:rPr>
          <w:lang w:val="sk-SK"/>
        </w:rPr>
        <w:t xml:space="preserve"> B, ktoré sa spájajú so zníženou citlivosťou na </w:t>
      </w:r>
      <w:proofErr w:type="spellStart"/>
      <w:r>
        <w:rPr>
          <w:lang w:val="sk-SK"/>
        </w:rPr>
        <w:t>oseltamivir</w:t>
      </w:r>
      <w:proofErr w:type="spellEnd"/>
      <w:r>
        <w:rPr>
          <w:lang w:val="sk-SK"/>
        </w:rPr>
        <w:t xml:space="preserve"> </w:t>
      </w:r>
      <w:r>
        <w:rPr>
          <w:i/>
          <w:lang w:val="sk-SK"/>
        </w:rPr>
        <w:t>in vitro</w:t>
      </w:r>
      <w:r>
        <w:rPr>
          <w:lang w:val="sk-SK"/>
        </w:rPr>
        <w:t xml:space="preserve">. Boli izolované rezistentné kmene u pacientov s normálnym imunitným systémom a taktiež u pacientov s oslabeným imunitným systémom liečených </w:t>
      </w:r>
      <w:proofErr w:type="spellStart"/>
      <w:r>
        <w:rPr>
          <w:lang w:val="sk-SK"/>
        </w:rPr>
        <w:t>oseltamivirom</w:t>
      </w:r>
      <w:proofErr w:type="spellEnd"/>
      <w:r>
        <w:rPr>
          <w:lang w:val="sk-SK"/>
        </w:rPr>
        <w:t xml:space="preserve">. Pacienti s oslabeným imunitným systémom a malé deti sú vystavené počas terapie väčšiemu riziku vzniku vírusu rezistentného na </w:t>
      </w:r>
      <w:proofErr w:type="spellStart"/>
      <w:r>
        <w:rPr>
          <w:lang w:val="sk-SK"/>
        </w:rPr>
        <w:t>oseltamivir</w:t>
      </w:r>
      <w:proofErr w:type="spellEnd"/>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Vírusy rezistentné na </w:t>
      </w:r>
      <w:proofErr w:type="spellStart"/>
      <w:r>
        <w:rPr>
          <w:lang w:val="sk-SK"/>
        </w:rPr>
        <w:t>oseltamivir</w:t>
      </w:r>
      <w:proofErr w:type="spellEnd"/>
      <w:r>
        <w:rPr>
          <w:lang w:val="sk-SK"/>
        </w:rPr>
        <w:t xml:space="preserve"> boli izolované od pacientov liečených </w:t>
      </w:r>
      <w:proofErr w:type="spellStart"/>
      <w:r>
        <w:rPr>
          <w:lang w:val="sk-SK"/>
        </w:rPr>
        <w:t>oseltamivirom</w:t>
      </w:r>
      <w:proofErr w:type="spellEnd"/>
      <w:r>
        <w:rPr>
          <w:lang w:val="sk-SK"/>
        </w:rPr>
        <w:t xml:space="preserve"> a boli nájdené laboratórne kmene vírusov chrípky rezistentné na </w:t>
      </w:r>
      <w:proofErr w:type="spellStart"/>
      <w:r>
        <w:rPr>
          <w:lang w:val="sk-SK"/>
        </w:rPr>
        <w:t>oseltamivir</w:t>
      </w:r>
      <w:proofErr w:type="spellEnd"/>
      <w:r>
        <w:rPr>
          <w:lang w:val="sk-SK"/>
        </w:rPr>
        <w:t xml:space="preserve"> obsahujúce mutácie </w:t>
      </w:r>
      <w:proofErr w:type="spellStart"/>
      <w:r>
        <w:rPr>
          <w:lang w:val="sk-SK"/>
        </w:rPr>
        <w:t>neuraminidázy</w:t>
      </w:r>
      <w:proofErr w:type="spellEnd"/>
      <w:r>
        <w:rPr>
          <w:lang w:val="sk-SK"/>
        </w:rPr>
        <w:t xml:space="preserve"> subtypu N1 a N2. Rezistentné mutácie majú tendenciu byť špecifickým subtypom vírusu. Od roku 2007 bola sporadicky zaznamenaná prirodzene sa vyskytujúca rezistencia spojená s mutáciou H275Y u sezónnych H1N1 kmeňov. Zdá sa, že rozsah zníženia citlivosti na </w:t>
      </w:r>
      <w:proofErr w:type="spellStart"/>
      <w:r>
        <w:rPr>
          <w:lang w:val="sk-SK"/>
        </w:rPr>
        <w:t>oseltamivir</w:t>
      </w:r>
      <w:proofErr w:type="spellEnd"/>
      <w:r>
        <w:rPr>
          <w:lang w:val="sk-SK"/>
        </w:rPr>
        <w:t xml:space="preserve"> a </w:t>
      </w:r>
      <w:proofErr w:type="spellStart"/>
      <w:r>
        <w:rPr>
          <w:lang w:val="sk-SK"/>
        </w:rPr>
        <w:t>prevalencia</w:t>
      </w:r>
      <w:proofErr w:type="spellEnd"/>
      <w:r>
        <w:rPr>
          <w:lang w:val="sk-SK"/>
        </w:rPr>
        <w:t xml:space="preserve"> takých vírusov sa mení sezónne a geograficky. V roku 2008 bol H275Y zistený u &gt; 99 % cirkulujúcich chrípkových </w:t>
      </w:r>
      <w:proofErr w:type="spellStart"/>
      <w:r>
        <w:rPr>
          <w:lang w:val="sk-SK"/>
        </w:rPr>
        <w:t>izolátov</w:t>
      </w:r>
      <w:proofErr w:type="spellEnd"/>
      <w:r>
        <w:rPr>
          <w:lang w:val="sk-SK"/>
        </w:rPr>
        <w:t xml:space="preserve"> v Európe. V roku 2009 bol vírus chrípky H1N1 („prasacia chrípka“) takmer jednotne citlivý na </w:t>
      </w:r>
      <w:proofErr w:type="spellStart"/>
      <w:r>
        <w:rPr>
          <w:lang w:val="sk-SK"/>
        </w:rPr>
        <w:t>oseltamivir</w:t>
      </w:r>
      <w:proofErr w:type="spellEnd"/>
      <w:r>
        <w:rPr>
          <w:lang w:val="sk-SK"/>
        </w:rPr>
        <w:t xml:space="preserve">, len s ojedinelými hláseniami rezistencie v súvislosti s terapeutickým, ako aj profylaktickým dávkovaním.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1915"/>
        </w:tabs>
        <w:spacing w:after="0" w:line="240" w:lineRule="auto"/>
        <w:ind w:left="0" w:right="0" w:firstLine="0"/>
        <w:contextualSpacing/>
        <w:rPr>
          <w:lang w:val="sk-SK"/>
        </w:rPr>
      </w:pPr>
      <w:r>
        <w:rPr>
          <w:b/>
          <w:lang w:val="sk-SK"/>
        </w:rPr>
        <w:t xml:space="preserve">5.2 </w:t>
      </w:r>
      <w:r>
        <w:rPr>
          <w:b/>
          <w:lang w:val="sk-SK"/>
        </w:rPr>
        <w:tab/>
      </w:r>
      <w:proofErr w:type="spellStart"/>
      <w:r>
        <w:rPr>
          <w:b/>
          <w:lang w:val="sk-SK"/>
        </w:rPr>
        <w:t>Farmakokinetické</w:t>
      </w:r>
      <w:proofErr w:type="spellEnd"/>
      <w:r>
        <w:rPr>
          <w:b/>
          <w:lang w:val="sk-SK"/>
        </w:rPr>
        <w:t xml:space="preserve"> vlastnosti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Všeobecné informácie</w:t>
      </w:r>
      <w:r>
        <w:rPr>
          <w:u w:val="none"/>
          <w:lang w:val="sk-SK"/>
        </w:rPr>
        <w:t xml:space="preserve">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Absorpcia </w:t>
      </w:r>
    </w:p>
    <w:p w:rsidR="00D41417" w:rsidRDefault="00B1758A" w:rsidP="00005EC2">
      <w:pPr>
        <w:spacing w:after="0" w:line="240" w:lineRule="auto"/>
        <w:ind w:left="0" w:right="0" w:hanging="10"/>
        <w:contextualSpacing/>
        <w:rPr>
          <w:lang w:val="sk-SK"/>
        </w:rPr>
      </w:pPr>
      <w:proofErr w:type="spellStart"/>
      <w:r>
        <w:rPr>
          <w:lang w:val="sk-SK"/>
        </w:rPr>
        <w:t>Oseltamivir</w:t>
      </w:r>
      <w:proofErr w:type="spellEnd"/>
      <w:r>
        <w:rPr>
          <w:lang w:val="sk-SK"/>
        </w:rPr>
        <w:t xml:space="preserve"> sa ľahko absorbuje z </w:t>
      </w:r>
      <w:proofErr w:type="spellStart"/>
      <w:r>
        <w:rPr>
          <w:lang w:val="sk-SK"/>
        </w:rPr>
        <w:t>gastrointestinálneho</w:t>
      </w:r>
      <w:proofErr w:type="spellEnd"/>
      <w:r>
        <w:rPr>
          <w:lang w:val="sk-SK"/>
        </w:rPr>
        <w:t xml:space="preserve"> traktu po perorálnom podaní </w:t>
      </w:r>
      <w:proofErr w:type="spellStart"/>
      <w:r>
        <w:rPr>
          <w:lang w:val="sk-SK"/>
        </w:rPr>
        <w:t>oseltamivírium</w:t>
      </w:r>
      <w:proofErr w:type="spellEnd"/>
      <w:r>
        <w:rPr>
          <w:lang w:val="sk-SK"/>
        </w:rPr>
        <w:t>-fosfátu (pro-</w:t>
      </w:r>
      <w:proofErr w:type="spellStart"/>
      <w:r>
        <w:rPr>
          <w:lang w:val="sk-SK"/>
        </w:rPr>
        <w:t>drug</w:t>
      </w:r>
      <w:proofErr w:type="spellEnd"/>
      <w:r>
        <w:rPr>
          <w:lang w:val="sk-SK"/>
        </w:rPr>
        <w:t xml:space="preserve">) a je do veľkej miery konvertovaný prevažne pečeňovými </w:t>
      </w:r>
      <w:proofErr w:type="spellStart"/>
      <w:r>
        <w:rPr>
          <w:lang w:val="sk-SK"/>
        </w:rPr>
        <w:t>esterázami</w:t>
      </w:r>
      <w:proofErr w:type="spellEnd"/>
      <w:r>
        <w:rPr>
          <w:lang w:val="sk-SK"/>
        </w:rPr>
        <w:t xml:space="preserve"> na aktívny </w:t>
      </w:r>
      <w:proofErr w:type="spellStart"/>
      <w:r>
        <w:rPr>
          <w:lang w:val="sk-SK"/>
        </w:rPr>
        <w:t>metabolit</w:t>
      </w:r>
      <w:proofErr w:type="spellEnd"/>
      <w:r>
        <w:rPr>
          <w:lang w:val="sk-SK"/>
        </w:rPr>
        <w:t xml:space="preserve"> (</w:t>
      </w:r>
      <w:proofErr w:type="spellStart"/>
      <w:r>
        <w:rPr>
          <w:lang w:val="sk-SK"/>
        </w:rPr>
        <w:t>oseltamivirkarboxylát</w:t>
      </w:r>
      <w:proofErr w:type="spellEnd"/>
      <w:r>
        <w:rPr>
          <w:lang w:val="sk-SK"/>
        </w:rPr>
        <w:t xml:space="preserve">). Najmenej 75 % perorálnej dávky sa dostáva do systémového obehu ako aktívny </w:t>
      </w:r>
      <w:proofErr w:type="spellStart"/>
      <w:r>
        <w:rPr>
          <w:lang w:val="sk-SK"/>
        </w:rPr>
        <w:t>metabolit</w:t>
      </w:r>
      <w:proofErr w:type="spellEnd"/>
      <w:r>
        <w:rPr>
          <w:lang w:val="sk-SK"/>
        </w:rPr>
        <w:t>. Expozícia „pro-</w:t>
      </w:r>
      <w:proofErr w:type="spellStart"/>
      <w:r>
        <w:rPr>
          <w:lang w:val="sk-SK"/>
        </w:rPr>
        <w:t>drug</w:t>
      </w:r>
      <w:proofErr w:type="spellEnd"/>
      <w:r>
        <w:rPr>
          <w:lang w:val="sk-SK"/>
        </w:rPr>
        <w:t xml:space="preserve">“ je menej ako 5 % vzhľadom na aktívny </w:t>
      </w:r>
      <w:proofErr w:type="spellStart"/>
      <w:r>
        <w:rPr>
          <w:lang w:val="sk-SK"/>
        </w:rPr>
        <w:t>metabolit</w:t>
      </w:r>
      <w:proofErr w:type="spellEnd"/>
      <w:r>
        <w:rPr>
          <w:lang w:val="sk-SK"/>
        </w:rPr>
        <w:t>. Plazmatické koncentrácie pro-</w:t>
      </w:r>
      <w:proofErr w:type="spellStart"/>
      <w:r>
        <w:rPr>
          <w:lang w:val="sk-SK"/>
        </w:rPr>
        <w:t>drug</w:t>
      </w:r>
      <w:proofErr w:type="spellEnd"/>
      <w:r>
        <w:rPr>
          <w:lang w:val="sk-SK"/>
        </w:rPr>
        <w:t xml:space="preserve"> a aktívneho </w:t>
      </w:r>
      <w:proofErr w:type="spellStart"/>
      <w:r>
        <w:rPr>
          <w:lang w:val="sk-SK"/>
        </w:rPr>
        <w:t>metabolitu</w:t>
      </w:r>
      <w:proofErr w:type="spellEnd"/>
      <w:r>
        <w:rPr>
          <w:lang w:val="sk-SK"/>
        </w:rPr>
        <w:t xml:space="preserve"> sú úmerné dávke a nie sú ovplyvnené potravou.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lang w:val="sk-SK"/>
        </w:rPr>
      </w:pPr>
      <w:r>
        <w:rPr>
          <w:i/>
          <w:lang w:val="sk-SK"/>
        </w:rPr>
        <w:t>Distribúcia</w:t>
      </w:r>
    </w:p>
    <w:p w:rsidR="00D41417" w:rsidRDefault="00B1758A">
      <w:pPr>
        <w:spacing w:after="0" w:line="240" w:lineRule="auto"/>
        <w:ind w:left="0" w:right="0"/>
        <w:contextualSpacing/>
        <w:rPr>
          <w:lang w:val="sk-SK"/>
        </w:rPr>
      </w:pPr>
      <w:r>
        <w:rPr>
          <w:lang w:val="sk-SK"/>
        </w:rPr>
        <w:t xml:space="preserve">Priemerný distribučný objem v stabilnom stave </w:t>
      </w:r>
      <w:proofErr w:type="spellStart"/>
      <w:r>
        <w:rPr>
          <w:lang w:val="sk-SK"/>
        </w:rPr>
        <w:t>oseltamivirkarboxylátu</w:t>
      </w:r>
      <w:proofErr w:type="spellEnd"/>
      <w:r>
        <w:rPr>
          <w:lang w:val="sk-SK"/>
        </w:rPr>
        <w:t xml:space="preserve"> je u ľudí približne 23 litrov, čo je objem ekvivalentný </w:t>
      </w:r>
      <w:proofErr w:type="spellStart"/>
      <w:r>
        <w:rPr>
          <w:lang w:val="sk-SK"/>
        </w:rPr>
        <w:t>extracelulárnej</w:t>
      </w:r>
      <w:proofErr w:type="spellEnd"/>
      <w:r>
        <w:rPr>
          <w:lang w:val="sk-SK"/>
        </w:rPr>
        <w:t xml:space="preserve"> telesnej tekutine. Keďže aktivita </w:t>
      </w:r>
      <w:proofErr w:type="spellStart"/>
      <w:r>
        <w:rPr>
          <w:lang w:val="sk-SK"/>
        </w:rPr>
        <w:t>neuraminidázy</w:t>
      </w:r>
      <w:proofErr w:type="spellEnd"/>
      <w:r>
        <w:rPr>
          <w:lang w:val="sk-SK"/>
        </w:rPr>
        <w:t xml:space="preserve"> je </w:t>
      </w:r>
      <w:proofErr w:type="spellStart"/>
      <w:r>
        <w:rPr>
          <w:lang w:val="sk-SK"/>
        </w:rPr>
        <w:t>extracelulárna</w:t>
      </w:r>
      <w:proofErr w:type="spellEnd"/>
      <w:r>
        <w:rPr>
          <w:lang w:val="sk-SK"/>
        </w:rPr>
        <w:t xml:space="preserve">, </w:t>
      </w:r>
      <w:proofErr w:type="spellStart"/>
      <w:r>
        <w:rPr>
          <w:lang w:val="sk-SK"/>
        </w:rPr>
        <w:t>oseltamivirkarboxylát</w:t>
      </w:r>
      <w:proofErr w:type="spellEnd"/>
      <w:r>
        <w:rPr>
          <w:lang w:val="sk-SK"/>
        </w:rPr>
        <w:t xml:space="preserve"> sa distribuuje na všetky miesta, kde sa šíri chrípkový vírus.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Väzba </w:t>
      </w:r>
      <w:proofErr w:type="spellStart"/>
      <w:r>
        <w:rPr>
          <w:lang w:val="sk-SK"/>
        </w:rPr>
        <w:t>oseltamivirkarboxylátu</w:t>
      </w:r>
      <w:proofErr w:type="spellEnd"/>
      <w:r>
        <w:rPr>
          <w:lang w:val="sk-SK"/>
        </w:rPr>
        <w:t xml:space="preserve"> na proteín ľudskej plazmy je zanedbateľná (približne 3 %).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proofErr w:type="spellStart"/>
      <w:r>
        <w:rPr>
          <w:i/>
          <w:lang w:val="sk-SK"/>
        </w:rPr>
        <w:t>Biotransformácia</w:t>
      </w:r>
      <w:proofErr w:type="spellEnd"/>
      <w:r>
        <w:rPr>
          <w:i/>
          <w:lang w:val="sk-SK"/>
        </w:rPr>
        <w:t xml:space="preserve"> </w:t>
      </w:r>
    </w:p>
    <w:p w:rsidR="00D41417" w:rsidRDefault="00B1758A">
      <w:pPr>
        <w:spacing w:after="0" w:line="240" w:lineRule="auto"/>
        <w:ind w:left="0" w:right="0"/>
        <w:contextualSpacing/>
        <w:rPr>
          <w:lang w:val="sk-SK"/>
        </w:rPr>
      </w:pPr>
      <w:proofErr w:type="spellStart"/>
      <w:r>
        <w:rPr>
          <w:lang w:val="sk-SK"/>
        </w:rPr>
        <w:t>Oseltamivir</w:t>
      </w:r>
      <w:proofErr w:type="spellEnd"/>
      <w:r>
        <w:rPr>
          <w:lang w:val="sk-SK"/>
        </w:rPr>
        <w:t xml:space="preserve"> sa vo veľkej miere konvertuje na </w:t>
      </w:r>
      <w:proofErr w:type="spellStart"/>
      <w:r>
        <w:rPr>
          <w:lang w:val="sk-SK"/>
        </w:rPr>
        <w:t>oseltamivirkarboxylát</w:t>
      </w:r>
      <w:proofErr w:type="spellEnd"/>
      <w:r>
        <w:rPr>
          <w:lang w:val="sk-SK"/>
        </w:rPr>
        <w:t xml:space="preserve"> pomocou </w:t>
      </w:r>
      <w:proofErr w:type="spellStart"/>
      <w:r>
        <w:rPr>
          <w:lang w:val="sk-SK"/>
        </w:rPr>
        <w:t>esteráz</w:t>
      </w:r>
      <w:proofErr w:type="spellEnd"/>
      <w:r>
        <w:rPr>
          <w:lang w:val="sk-SK"/>
        </w:rPr>
        <w:t xml:space="preserve">, ktoré sú lokalizované predovšetkým v pečeni. </w:t>
      </w:r>
      <w:r>
        <w:rPr>
          <w:i/>
          <w:lang w:val="sk-SK"/>
        </w:rPr>
        <w:t>In vitro</w:t>
      </w:r>
      <w:r>
        <w:rPr>
          <w:lang w:val="sk-SK"/>
        </w:rPr>
        <w:t xml:space="preserve"> štúdie demonštrovali, že ani </w:t>
      </w:r>
      <w:proofErr w:type="spellStart"/>
      <w:r>
        <w:rPr>
          <w:lang w:val="sk-SK"/>
        </w:rPr>
        <w:t>oseltamivir</w:t>
      </w:r>
      <w:proofErr w:type="spellEnd"/>
      <w:r>
        <w:rPr>
          <w:lang w:val="sk-SK"/>
        </w:rPr>
        <w:t xml:space="preserve"> ani aktívny </w:t>
      </w:r>
      <w:proofErr w:type="spellStart"/>
      <w:r>
        <w:rPr>
          <w:lang w:val="sk-SK"/>
        </w:rPr>
        <w:lastRenderedPageBreak/>
        <w:t>metabolit</w:t>
      </w:r>
      <w:proofErr w:type="spellEnd"/>
      <w:r>
        <w:rPr>
          <w:lang w:val="sk-SK"/>
        </w:rPr>
        <w:t xml:space="preserve"> nie je substrátom alebo inhibítorom </w:t>
      </w:r>
      <w:proofErr w:type="spellStart"/>
      <w:r>
        <w:rPr>
          <w:lang w:val="sk-SK"/>
        </w:rPr>
        <w:t>izoforiem</w:t>
      </w:r>
      <w:proofErr w:type="spellEnd"/>
      <w:r>
        <w:rPr>
          <w:lang w:val="sk-SK"/>
        </w:rPr>
        <w:t xml:space="preserve"> hlavného </w:t>
      </w:r>
      <w:proofErr w:type="spellStart"/>
      <w:r>
        <w:rPr>
          <w:lang w:val="sk-SK"/>
        </w:rPr>
        <w:t>cytochrómu</w:t>
      </w:r>
      <w:proofErr w:type="spellEnd"/>
      <w:r>
        <w:rPr>
          <w:lang w:val="sk-SK"/>
        </w:rPr>
        <w:t xml:space="preserve"> P450. </w:t>
      </w:r>
      <w:r>
        <w:rPr>
          <w:i/>
          <w:lang w:val="sk-SK"/>
        </w:rPr>
        <w:t xml:space="preserve">In </w:t>
      </w:r>
      <w:proofErr w:type="spellStart"/>
      <w:r>
        <w:rPr>
          <w:i/>
          <w:lang w:val="sk-SK"/>
        </w:rPr>
        <w:t>vivo</w:t>
      </w:r>
      <w:proofErr w:type="spellEnd"/>
      <w:r>
        <w:rPr>
          <w:lang w:val="sk-SK"/>
        </w:rPr>
        <w:t xml:space="preserve"> sa nezistilo, že by sa fáza 2 </w:t>
      </w:r>
      <w:proofErr w:type="spellStart"/>
      <w:r>
        <w:rPr>
          <w:lang w:val="sk-SK"/>
        </w:rPr>
        <w:t>konjugovala</w:t>
      </w:r>
      <w:proofErr w:type="spellEnd"/>
      <w:r>
        <w:rPr>
          <w:lang w:val="sk-SK"/>
        </w:rPr>
        <w:t xml:space="preserve"> s oboma zlúčeninami.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Eliminácia </w:t>
      </w:r>
    </w:p>
    <w:p w:rsidR="00D41417" w:rsidRDefault="00B1758A">
      <w:pPr>
        <w:spacing w:after="0" w:line="240" w:lineRule="auto"/>
        <w:ind w:left="0" w:right="0"/>
        <w:contextualSpacing/>
        <w:rPr>
          <w:lang w:val="sk-SK"/>
        </w:rPr>
      </w:pPr>
      <w:r>
        <w:rPr>
          <w:lang w:val="sk-SK"/>
        </w:rPr>
        <w:t xml:space="preserve">Absorbovaný </w:t>
      </w:r>
      <w:proofErr w:type="spellStart"/>
      <w:r>
        <w:rPr>
          <w:lang w:val="sk-SK"/>
        </w:rPr>
        <w:t>oseltamivir</w:t>
      </w:r>
      <w:proofErr w:type="spellEnd"/>
      <w:r>
        <w:rPr>
          <w:lang w:val="sk-SK"/>
        </w:rPr>
        <w:t xml:space="preserve"> je primárne (&gt; 90 %) eliminovaný konverziou na </w:t>
      </w:r>
      <w:proofErr w:type="spellStart"/>
      <w:r>
        <w:rPr>
          <w:lang w:val="sk-SK"/>
        </w:rPr>
        <w:t>oseltamivirkarboxylát</w:t>
      </w:r>
      <w:proofErr w:type="spellEnd"/>
      <w:r>
        <w:rPr>
          <w:lang w:val="sk-SK"/>
        </w:rPr>
        <w:t xml:space="preserve">. Ďalej už nie je metabolizovaný a vylúči sa močom. Maximálne plazmatické koncentrácie </w:t>
      </w:r>
      <w:proofErr w:type="spellStart"/>
      <w:r>
        <w:rPr>
          <w:lang w:val="sk-SK"/>
        </w:rPr>
        <w:t>oseltamivirkarboxylátu</w:t>
      </w:r>
      <w:proofErr w:type="spellEnd"/>
      <w:r>
        <w:rPr>
          <w:lang w:val="sk-SK"/>
        </w:rPr>
        <w:t xml:space="preserve"> vo väčšine prípadov klesajú s polčasom od 6 do 10 hodín. Aktívny </w:t>
      </w:r>
      <w:proofErr w:type="spellStart"/>
      <w:r>
        <w:rPr>
          <w:lang w:val="sk-SK"/>
        </w:rPr>
        <w:t>metabolit</w:t>
      </w:r>
      <w:proofErr w:type="spellEnd"/>
      <w:r>
        <w:rPr>
          <w:lang w:val="sk-SK"/>
        </w:rPr>
        <w:t xml:space="preserve"> sa úplne vylúči </w:t>
      </w:r>
      <w:proofErr w:type="spellStart"/>
      <w:r>
        <w:rPr>
          <w:lang w:val="sk-SK"/>
        </w:rPr>
        <w:t>renálnou</w:t>
      </w:r>
      <w:proofErr w:type="spellEnd"/>
      <w:r>
        <w:rPr>
          <w:lang w:val="sk-SK"/>
        </w:rPr>
        <w:t xml:space="preserve"> exkréciou. </w:t>
      </w:r>
      <w:proofErr w:type="spellStart"/>
      <w:r>
        <w:rPr>
          <w:lang w:val="sk-SK"/>
        </w:rPr>
        <w:t>Renálny</w:t>
      </w:r>
      <w:proofErr w:type="spellEnd"/>
      <w:r>
        <w:rPr>
          <w:lang w:val="sk-SK"/>
        </w:rPr>
        <w:t xml:space="preserve"> </w:t>
      </w:r>
      <w:proofErr w:type="spellStart"/>
      <w:r>
        <w:rPr>
          <w:lang w:val="sk-SK"/>
        </w:rPr>
        <w:t>klírens</w:t>
      </w:r>
      <w:proofErr w:type="spellEnd"/>
      <w:r>
        <w:rPr>
          <w:lang w:val="sk-SK"/>
        </w:rPr>
        <w:t xml:space="preserve"> (18,8 l/h) prevyšuje rýchlosť </w:t>
      </w:r>
      <w:proofErr w:type="spellStart"/>
      <w:r>
        <w:rPr>
          <w:lang w:val="sk-SK"/>
        </w:rPr>
        <w:t>glomerulárnej</w:t>
      </w:r>
      <w:proofErr w:type="spellEnd"/>
      <w:r>
        <w:rPr>
          <w:lang w:val="sk-SK"/>
        </w:rPr>
        <w:t xml:space="preserve"> filtrácie (7,5 l/h), čo naznačuje, že okrem </w:t>
      </w:r>
      <w:proofErr w:type="spellStart"/>
      <w:r>
        <w:rPr>
          <w:lang w:val="sk-SK"/>
        </w:rPr>
        <w:t>glomerulárnej</w:t>
      </w:r>
      <w:proofErr w:type="spellEnd"/>
      <w:r>
        <w:rPr>
          <w:lang w:val="sk-SK"/>
        </w:rPr>
        <w:t xml:space="preserve"> filtrácie sa vyskytuje aj </w:t>
      </w:r>
      <w:proofErr w:type="spellStart"/>
      <w:r>
        <w:rPr>
          <w:lang w:val="sk-SK"/>
        </w:rPr>
        <w:t>tubulárna</w:t>
      </w:r>
      <w:proofErr w:type="spellEnd"/>
      <w:r>
        <w:rPr>
          <w:lang w:val="sk-SK"/>
        </w:rPr>
        <w:t xml:space="preserve"> sekrécia. Menej ako 20 % perorálnej rádioaktívne značenej dávky sa vylúči stolicou.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Ďalšie osobitné skupiny pacientov</w:t>
      </w:r>
      <w:r>
        <w:rPr>
          <w:i/>
          <w:u w:val="none"/>
          <w:lang w:val="sk-SK"/>
        </w:rPr>
        <w:t xml:space="preserve">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Pediatrická populácia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contextualSpacing/>
        <w:rPr>
          <w:lang w:val="sk-SK"/>
        </w:rPr>
      </w:pPr>
      <w:r>
        <w:rPr>
          <w:i/>
          <w:u w:val="single" w:color="000000"/>
          <w:lang w:val="sk-SK"/>
        </w:rPr>
        <w:t>Dojčatá mladšie ako 1 rok</w:t>
      </w:r>
      <w:r>
        <w:rPr>
          <w:lang w:val="sk-SK"/>
        </w:rPr>
        <w:t>:</w:t>
      </w:r>
    </w:p>
    <w:p w:rsidR="00D41417" w:rsidRDefault="00B1758A">
      <w:pPr>
        <w:spacing w:after="0" w:line="240" w:lineRule="auto"/>
        <w:ind w:left="0" w:right="0"/>
        <w:contextualSpacing/>
        <w:rPr>
          <w:lang w:val="sk-SK"/>
        </w:rPr>
      </w:pPr>
      <w:proofErr w:type="spellStart"/>
      <w:r>
        <w:rPr>
          <w:lang w:val="sk-SK"/>
        </w:rPr>
        <w:t>Farmakokinetika</w:t>
      </w:r>
      <w:proofErr w:type="spellEnd"/>
      <w:r>
        <w:rPr>
          <w:lang w:val="sk-SK"/>
        </w:rPr>
        <w:t xml:space="preserve">, </w:t>
      </w:r>
      <w:proofErr w:type="spellStart"/>
      <w:r>
        <w:rPr>
          <w:lang w:val="sk-SK"/>
        </w:rPr>
        <w:t>farmakodynamika</w:t>
      </w:r>
      <w:proofErr w:type="spellEnd"/>
      <w:r>
        <w:rPr>
          <w:lang w:val="sk-SK"/>
        </w:rPr>
        <w:t xml:space="preserve"> a bezpečnosť </w:t>
      </w:r>
      <w:proofErr w:type="spellStart"/>
      <w:r>
        <w:rPr>
          <w:lang w:val="sk-SK"/>
        </w:rPr>
        <w:t>oseltamiviru</w:t>
      </w:r>
      <w:proofErr w:type="spellEnd"/>
      <w:r>
        <w:rPr>
          <w:lang w:val="sk-SK"/>
        </w:rPr>
        <w:t xml:space="preserve"> sa hodnotili v dvoch nekontrolovaných otvorených štúdiách zahŕňajúcich deti infikované chrípkou, ktoré boli mladšie ako jeden rok (n = 135). </w:t>
      </w:r>
      <w:proofErr w:type="spellStart"/>
      <w:r>
        <w:rPr>
          <w:lang w:val="sk-SK"/>
        </w:rPr>
        <w:t>Klírens</w:t>
      </w:r>
      <w:proofErr w:type="spellEnd"/>
      <w:r>
        <w:rPr>
          <w:lang w:val="sk-SK"/>
        </w:rPr>
        <w:t xml:space="preserve"> aktívneho </w:t>
      </w:r>
      <w:proofErr w:type="spellStart"/>
      <w:r>
        <w:rPr>
          <w:lang w:val="sk-SK"/>
        </w:rPr>
        <w:t>metabolitu</w:t>
      </w:r>
      <w:proofErr w:type="spellEnd"/>
      <w:r>
        <w:rPr>
          <w:lang w:val="sk-SK"/>
        </w:rPr>
        <w:t xml:space="preserve"> korigovaný na telesnú hmotnosť je pri veku do jedného roku znížený. Expozícia </w:t>
      </w:r>
      <w:proofErr w:type="spellStart"/>
      <w:r>
        <w:rPr>
          <w:lang w:val="sk-SK"/>
        </w:rPr>
        <w:t>metabolitu</w:t>
      </w:r>
      <w:proofErr w:type="spellEnd"/>
      <w:r>
        <w:rPr>
          <w:lang w:val="sk-SK"/>
        </w:rPr>
        <w:t xml:space="preserve"> je u najmladších dojčiat tiež premenlivejšia. </w:t>
      </w:r>
    </w:p>
    <w:p w:rsidR="00D41417" w:rsidRDefault="00B1758A">
      <w:pPr>
        <w:spacing w:after="0" w:line="240" w:lineRule="auto"/>
        <w:ind w:left="0" w:right="0"/>
        <w:contextualSpacing/>
        <w:rPr>
          <w:lang w:val="sk-SK"/>
        </w:rPr>
      </w:pPr>
      <w:r>
        <w:rPr>
          <w:lang w:val="sk-SK"/>
        </w:rPr>
        <w:t>Dostupné údaje naznačujú, že expozícia lieku po dávke 3 mg/kg zabezpečuje u dojčiat vo veku 0 - 12 mesiacov také expozície „pro-</w:t>
      </w:r>
      <w:proofErr w:type="spellStart"/>
      <w:r>
        <w:rPr>
          <w:lang w:val="sk-SK"/>
        </w:rPr>
        <w:t>drug</w:t>
      </w:r>
      <w:proofErr w:type="spellEnd"/>
      <w:r>
        <w:rPr>
          <w:lang w:val="sk-SK"/>
        </w:rPr>
        <w:t xml:space="preserve">“ a </w:t>
      </w:r>
      <w:proofErr w:type="spellStart"/>
      <w:r>
        <w:rPr>
          <w:lang w:val="sk-SK"/>
        </w:rPr>
        <w:t>metabolitu</w:t>
      </w:r>
      <w:proofErr w:type="spellEnd"/>
      <w:r>
        <w:rPr>
          <w:lang w:val="sk-SK"/>
        </w:rPr>
        <w:t xml:space="preserve">, o ktorých sa predpokladá, že sú účinné a majú bezpečnostný profil porovnateľný s tým, ktorý sa pozoroval u starších detí a dospelých po podaní schválenej dávky (pozri časti 4.1 a 4.2). Hlásené nežiaduce udalosti sa zhodovali s bezpečnostným profilom stanoveným u starších detí.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Nie sú dostupné žiadne údaje týkajúce sa použitia v prevencii chrípky po expozícii u detí mladších ako 1 rok. Použitie v prevencii počas epidémie chrípky v okolí sa nesledovalo u detí mladších ako 12 rokov.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Prevencia chrípky po expozícii počas pandémie u dojčiat mladších ako 1 rok:</w:t>
      </w:r>
      <w:r>
        <w:rPr>
          <w:i/>
          <w:lang w:val="sk-SK"/>
        </w:rPr>
        <w:t xml:space="preserve"> </w:t>
      </w:r>
    </w:p>
    <w:p w:rsidR="00D41417" w:rsidRDefault="00B1758A">
      <w:pPr>
        <w:spacing w:after="0" w:line="240" w:lineRule="auto"/>
        <w:ind w:left="0" w:right="0"/>
        <w:contextualSpacing/>
        <w:rPr>
          <w:lang w:val="sk-SK"/>
        </w:rPr>
      </w:pPr>
      <w:r>
        <w:rPr>
          <w:lang w:val="sk-SK"/>
        </w:rPr>
        <w:t xml:space="preserve">Simulácia dávkou 3 mg/kg raz denne u dojčiat mladších ako 1 rok preukázala expozíciu (vystavenie jeho pôsobeniu) v rovnakom rozsahu alebo vyššom ako pri dávke 75 mg raz denne u dospelých. Expozícia neprekročila expozíciu pri liečbe dojčiat mladších ako 1 rok (3 mg/kg dvakrát denne) a predpokladá sa dosiahnutie porovnateľného bezpečnostného profilu (pozri časť 4.8). U dojčiat mladších ako 1 rok neboli vykonané žiadne klinické štúdie zamerané na profylaxiu.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Dojčatá a deti vo veku 1 rok alebo staršie</w:t>
      </w:r>
    </w:p>
    <w:p w:rsidR="00D41417" w:rsidRDefault="00B1758A">
      <w:pPr>
        <w:spacing w:after="0" w:line="240" w:lineRule="auto"/>
        <w:ind w:left="0" w:right="0"/>
        <w:contextualSpacing/>
        <w:rPr>
          <w:lang w:val="sk-SK"/>
        </w:rPr>
      </w:pPr>
      <w:proofErr w:type="spellStart"/>
      <w:r>
        <w:rPr>
          <w:lang w:val="sk-SK"/>
        </w:rPr>
        <w:t>Farmakokinetika</w:t>
      </w:r>
      <w:proofErr w:type="spellEnd"/>
      <w:r>
        <w:rPr>
          <w:lang w:val="sk-SK"/>
        </w:rPr>
        <w:t xml:space="preserve"> </w:t>
      </w:r>
      <w:proofErr w:type="spellStart"/>
      <w:r>
        <w:rPr>
          <w:lang w:val="sk-SK"/>
        </w:rPr>
        <w:t>oseltamiviru</w:t>
      </w:r>
      <w:proofErr w:type="spellEnd"/>
      <w:r>
        <w:rPr>
          <w:lang w:val="sk-SK"/>
        </w:rPr>
        <w:t xml:space="preserve"> bola vyhodnotená vo </w:t>
      </w:r>
      <w:proofErr w:type="spellStart"/>
      <w:r>
        <w:rPr>
          <w:lang w:val="sk-SK"/>
        </w:rPr>
        <w:t>farmakokinetických</w:t>
      </w:r>
      <w:proofErr w:type="spellEnd"/>
      <w:r>
        <w:rPr>
          <w:lang w:val="sk-SK"/>
        </w:rPr>
        <w:t xml:space="preserve"> štúdiách u dojčiat, detí a dospievajúcich vo veku od 1 do 16 rokov, ktorým bola podaná jedna dávka lieku. </w:t>
      </w:r>
      <w:proofErr w:type="spellStart"/>
      <w:r>
        <w:rPr>
          <w:lang w:val="sk-SK"/>
        </w:rPr>
        <w:t>Farmakokinetika</w:t>
      </w:r>
      <w:proofErr w:type="spellEnd"/>
      <w:r>
        <w:rPr>
          <w:lang w:val="sk-SK"/>
        </w:rPr>
        <w:t xml:space="preserve"> viacnásobných dávok bola študovaná u malého počtu detí, ktoré sa zúčastnili na štúdii klinickej účinnosti. U mladších detí sa pro-</w:t>
      </w:r>
      <w:proofErr w:type="spellStart"/>
      <w:r>
        <w:rPr>
          <w:lang w:val="sk-SK"/>
        </w:rPr>
        <w:t>drug</w:t>
      </w:r>
      <w:proofErr w:type="spellEnd"/>
      <w:r>
        <w:rPr>
          <w:lang w:val="sk-SK"/>
        </w:rPr>
        <w:t xml:space="preserve"> a jeho aktívny </w:t>
      </w:r>
      <w:proofErr w:type="spellStart"/>
      <w:r>
        <w:rPr>
          <w:lang w:val="sk-SK"/>
        </w:rPr>
        <w:t>metabolit</w:t>
      </w:r>
      <w:proofErr w:type="spellEnd"/>
      <w:r>
        <w:rPr>
          <w:lang w:val="sk-SK"/>
        </w:rPr>
        <w:t xml:space="preserve"> vylúčil rýchlejšie ako u dospelých, čo malo za následok nižšiu expozíciu podanej dávke v mg/kg. Dávky 2 mg/kg majú expozície </w:t>
      </w:r>
      <w:proofErr w:type="spellStart"/>
      <w:r>
        <w:rPr>
          <w:lang w:val="sk-SK"/>
        </w:rPr>
        <w:t>oseltamivirkarboxylátu</w:t>
      </w:r>
      <w:proofErr w:type="spellEnd"/>
      <w:r>
        <w:rPr>
          <w:lang w:val="sk-SK"/>
        </w:rPr>
        <w:t xml:space="preserve"> porovnateľné s expozíciami u dospelých, ktorí dostali jednu 75 mg dávku (približne 1 mg/kg). </w:t>
      </w:r>
      <w:proofErr w:type="spellStart"/>
      <w:r>
        <w:rPr>
          <w:lang w:val="sk-SK"/>
        </w:rPr>
        <w:t>Farmakokinetika</w:t>
      </w:r>
      <w:proofErr w:type="spellEnd"/>
      <w:r>
        <w:rPr>
          <w:lang w:val="sk-SK"/>
        </w:rPr>
        <w:t xml:space="preserve"> </w:t>
      </w:r>
      <w:proofErr w:type="spellStart"/>
      <w:r>
        <w:rPr>
          <w:lang w:val="sk-SK"/>
        </w:rPr>
        <w:t>oseltamiviru</w:t>
      </w:r>
      <w:proofErr w:type="spellEnd"/>
      <w:r>
        <w:rPr>
          <w:lang w:val="sk-SK"/>
        </w:rPr>
        <w:t xml:space="preserve"> u detí a dospievajúcich vo veku 12 rokov alebo starších je podobná ako </w:t>
      </w:r>
      <w:proofErr w:type="spellStart"/>
      <w:r>
        <w:rPr>
          <w:lang w:val="sk-SK"/>
        </w:rPr>
        <w:t>farmakokinetika</w:t>
      </w:r>
      <w:proofErr w:type="spellEnd"/>
      <w:r>
        <w:rPr>
          <w:lang w:val="sk-SK"/>
        </w:rPr>
        <w:t xml:space="preserve"> u dospelých.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Staršie osoby </w:t>
      </w:r>
    </w:p>
    <w:p w:rsidR="00D41417" w:rsidRDefault="00B1758A">
      <w:pPr>
        <w:spacing w:after="0" w:line="240" w:lineRule="auto"/>
        <w:ind w:left="0" w:right="0"/>
        <w:contextualSpacing/>
        <w:rPr>
          <w:lang w:val="sk-SK"/>
        </w:rPr>
      </w:pPr>
      <w:r>
        <w:rPr>
          <w:lang w:val="sk-SK"/>
        </w:rPr>
        <w:t xml:space="preserve">Expozícia aktívnemu </w:t>
      </w:r>
      <w:proofErr w:type="spellStart"/>
      <w:r>
        <w:rPr>
          <w:lang w:val="sk-SK"/>
        </w:rPr>
        <w:t>metabolitu</w:t>
      </w:r>
      <w:proofErr w:type="spellEnd"/>
      <w:r>
        <w:rPr>
          <w:lang w:val="sk-SK"/>
        </w:rPr>
        <w:t xml:space="preserve"> v stabilnom stave bola o 25 až 35 % vyššia u starších osôb </w:t>
      </w:r>
    </w:p>
    <w:p w:rsidR="00D41417" w:rsidRDefault="00B1758A">
      <w:pPr>
        <w:spacing w:after="0" w:line="240" w:lineRule="auto"/>
        <w:ind w:left="0" w:right="0"/>
        <w:contextualSpacing/>
        <w:rPr>
          <w:lang w:val="sk-SK"/>
        </w:rPr>
      </w:pPr>
      <w:r>
        <w:rPr>
          <w:lang w:val="sk-SK"/>
        </w:rPr>
        <w:t xml:space="preserve">(od 65 do 78 rokov) v porovnaní s dospelými jedincami mladšími ako 65 rokov, ktorým boli podávané porovnateľné dávky </w:t>
      </w:r>
      <w:proofErr w:type="spellStart"/>
      <w:r>
        <w:rPr>
          <w:lang w:val="sk-SK"/>
        </w:rPr>
        <w:t>oseltamiviru</w:t>
      </w:r>
      <w:proofErr w:type="spellEnd"/>
      <w:r>
        <w:rPr>
          <w:lang w:val="sk-SK"/>
        </w:rPr>
        <w:t>. Polčasy pozorované u starších osôb boli podobné ako polčasy u mladých dospelých jedincov. Na základe expozície lieku a znášanlivosti nie je potrebné upraviť dávkovanie u starších osôb, ak nie je náznak stredne ťažkého alebo ťažkého poškodenia  obličiek (</w:t>
      </w:r>
      <w:proofErr w:type="spellStart"/>
      <w:r>
        <w:rPr>
          <w:lang w:val="sk-SK"/>
        </w:rPr>
        <w:t>klírens</w:t>
      </w:r>
      <w:proofErr w:type="spellEnd"/>
      <w:r>
        <w:rPr>
          <w:lang w:val="sk-SK"/>
        </w:rPr>
        <w:t xml:space="preserve"> </w:t>
      </w:r>
      <w:proofErr w:type="spellStart"/>
      <w:r>
        <w:rPr>
          <w:lang w:val="sk-SK"/>
        </w:rPr>
        <w:t>kreatinínu</w:t>
      </w:r>
      <w:proofErr w:type="spellEnd"/>
      <w:r>
        <w:rPr>
          <w:lang w:val="sk-SK"/>
        </w:rPr>
        <w:t xml:space="preserve"> pod 60 ml/min) (pozri časť 4.2).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lastRenderedPageBreak/>
        <w:t xml:space="preserve">Poškodenie obličiek </w:t>
      </w:r>
    </w:p>
    <w:p w:rsidR="00D41417" w:rsidRDefault="00B1758A">
      <w:pPr>
        <w:spacing w:after="0" w:line="240" w:lineRule="auto"/>
        <w:ind w:left="0" w:right="0"/>
        <w:contextualSpacing/>
        <w:rPr>
          <w:lang w:val="sk-SK"/>
        </w:rPr>
      </w:pPr>
      <w:r>
        <w:rPr>
          <w:lang w:val="sk-SK"/>
        </w:rPr>
        <w:t xml:space="preserve">Podanie 100 mg </w:t>
      </w:r>
      <w:proofErr w:type="spellStart"/>
      <w:r>
        <w:rPr>
          <w:lang w:val="sk-SK"/>
        </w:rPr>
        <w:t>oseltamivírium</w:t>
      </w:r>
      <w:proofErr w:type="spellEnd"/>
      <w:r>
        <w:rPr>
          <w:lang w:val="sk-SK"/>
        </w:rPr>
        <w:t xml:space="preserve">-fosfátu dvakrát denne počas 5 dní pacientom s rôznymi stupňami poškodenia obličiek ukázalo, že expozícia </w:t>
      </w:r>
      <w:proofErr w:type="spellStart"/>
      <w:r>
        <w:rPr>
          <w:lang w:val="sk-SK"/>
        </w:rPr>
        <w:t>oseltamivirkarboxylátu</w:t>
      </w:r>
      <w:proofErr w:type="spellEnd"/>
      <w:r>
        <w:rPr>
          <w:lang w:val="sk-SK"/>
        </w:rPr>
        <w:t xml:space="preserve"> je nepriamo úmerná zhoršeniu funkcie obličiek. Dávkovanie pozri časť 4.2.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Poškodenie pečene </w:t>
      </w:r>
    </w:p>
    <w:p w:rsidR="00D41417" w:rsidRDefault="00B1758A">
      <w:pPr>
        <w:spacing w:after="0" w:line="240" w:lineRule="auto"/>
        <w:ind w:left="0" w:right="0"/>
        <w:contextualSpacing/>
        <w:rPr>
          <w:lang w:val="sk-SK"/>
        </w:rPr>
      </w:pPr>
      <w:r>
        <w:rPr>
          <w:lang w:val="sk-SK"/>
        </w:rPr>
        <w:t>Na základe</w:t>
      </w:r>
      <w:r>
        <w:rPr>
          <w:i/>
          <w:lang w:val="sk-SK"/>
        </w:rPr>
        <w:t xml:space="preserve"> in vitro</w:t>
      </w:r>
      <w:r>
        <w:rPr>
          <w:lang w:val="sk-SK"/>
        </w:rPr>
        <w:t xml:space="preserve"> štúdií sa neočakáva, že by sa expozícia </w:t>
      </w:r>
      <w:proofErr w:type="spellStart"/>
      <w:r>
        <w:rPr>
          <w:lang w:val="sk-SK"/>
        </w:rPr>
        <w:t>oseltamiviru</w:t>
      </w:r>
      <w:proofErr w:type="spellEnd"/>
      <w:r>
        <w:rPr>
          <w:lang w:val="sk-SK"/>
        </w:rPr>
        <w:t xml:space="preserve"> významne zvýšila, ani že by sa expozícia aktívnemu </w:t>
      </w:r>
      <w:proofErr w:type="spellStart"/>
      <w:r>
        <w:rPr>
          <w:lang w:val="sk-SK"/>
        </w:rPr>
        <w:t>metabolitu</w:t>
      </w:r>
      <w:proofErr w:type="spellEnd"/>
      <w:r>
        <w:rPr>
          <w:lang w:val="sk-SK"/>
        </w:rPr>
        <w:t xml:space="preserve"> významne znížila u pacientov s poškodením pečene (pozri časť 4.2).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Gravidné ženy </w:t>
      </w:r>
    </w:p>
    <w:p w:rsidR="00D41417" w:rsidRDefault="00B1758A">
      <w:pPr>
        <w:spacing w:after="0" w:line="240" w:lineRule="auto"/>
        <w:ind w:left="0" w:right="0"/>
        <w:contextualSpacing/>
        <w:rPr>
          <w:lang w:val="sk-SK"/>
        </w:rPr>
      </w:pPr>
      <w:proofErr w:type="spellStart"/>
      <w:r>
        <w:rPr>
          <w:lang w:val="sk-SK"/>
        </w:rPr>
        <w:t>Farmakokinetické</w:t>
      </w:r>
      <w:proofErr w:type="spellEnd"/>
      <w:r>
        <w:rPr>
          <w:lang w:val="sk-SK"/>
        </w:rPr>
        <w:t xml:space="preserve"> analýzy sledovanej populácie naznačujú, že dávkovací režim </w:t>
      </w:r>
      <w:proofErr w:type="spellStart"/>
      <w:r>
        <w:rPr>
          <w:lang w:val="sk-SK"/>
        </w:rPr>
        <w:t>oseltamiviru</w:t>
      </w:r>
      <w:proofErr w:type="spellEnd"/>
      <w:r>
        <w:rPr>
          <w:lang w:val="sk-SK"/>
        </w:rPr>
        <w:t xml:space="preserve">, popísaný v časti 4.2 Dávkovanie a spôsob podávania, spôsobuje nižšiu expozíciu (v priemere 30 % počas všetkých </w:t>
      </w:r>
      <w:proofErr w:type="spellStart"/>
      <w:r>
        <w:rPr>
          <w:lang w:val="sk-SK"/>
        </w:rPr>
        <w:t>trimestrov</w:t>
      </w:r>
      <w:proofErr w:type="spellEnd"/>
      <w:r>
        <w:rPr>
          <w:lang w:val="sk-SK"/>
        </w:rPr>
        <w:t xml:space="preserve">) aktívnemu </w:t>
      </w:r>
      <w:proofErr w:type="spellStart"/>
      <w:r>
        <w:rPr>
          <w:lang w:val="sk-SK"/>
        </w:rPr>
        <w:t>metabolitu</w:t>
      </w:r>
      <w:proofErr w:type="spellEnd"/>
      <w:r>
        <w:rPr>
          <w:lang w:val="sk-SK"/>
        </w:rPr>
        <w:t xml:space="preserve"> u gravidných žien v porovnaní so ženami, ktoré nie sú gravidné. Avšak nižšia predpokladaná expozícia zostáva každopádne nad inhibičnými koncentráciami (hodnoty IC95) a na terapeutickej hladine pre celé spektrum kmeňov vírusu chrípky. Navyše v pozorovacích štúdiách sa potvrdil prínos bežného dávkovacieho režimu u tejto skupiny pacientov. Preto sa neodporúča úprava dávky u gravidných žien v liečbe alebo v prevencii chrípky (pozri časť 4.6 </w:t>
      </w:r>
      <w:proofErr w:type="spellStart"/>
      <w:r>
        <w:rPr>
          <w:lang w:val="sk-SK"/>
        </w:rPr>
        <w:t>Fertilita</w:t>
      </w:r>
      <w:proofErr w:type="spellEnd"/>
      <w:r>
        <w:rPr>
          <w:lang w:val="sk-SK"/>
        </w:rPr>
        <w:t>, gravidita a laktácia).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Pacienti s oslabeným imunitným systémom </w:t>
      </w:r>
    </w:p>
    <w:p w:rsidR="00D41417" w:rsidRDefault="00B1758A">
      <w:pPr>
        <w:spacing w:after="0" w:line="240" w:lineRule="auto"/>
        <w:ind w:left="0" w:right="0"/>
        <w:contextualSpacing/>
        <w:rPr>
          <w:lang w:val="sk-SK"/>
        </w:rPr>
      </w:pPr>
      <w:r>
        <w:rPr>
          <w:lang w:val="sk-SK"/>
        </w:rPr>
        <w:t xml:space="preserve">Populačná </w:t>
      </w:r>
      <w:proofErr w:type="spellStart"/>
      <w:r>
        <w:rPr>
          <w:lang w:val="sk-SK"/>
        </w:rPr>
        <w:t>farmakokinetická</w:t>
      </w:r>
      <w:proofErr w:type="spellEnd"/>
      <w:r>
        <w:rPr>
          <w:lang w:val="sk-SK"/>
        </w:rPr>
        <w:t xml:space="preserve"> analýza naznačuje, že u dospelých pacientov s oslabeným imunitným systémom vedie liečba </w:t>
      </w:r>
      <w:proofErr w:type="spellStart"/>
      <w:r>
        <w:rPr>
          <w:lang w:val="sk-SK"/>
        </w:rPr>
        <w:t>oseltamivirom</w:t>
      </w:r>
      <w:proofErr w:type="spellEnd"/>
      <w:r>
        <w:rPr>
          <w:lang w:val="sk-SK"/>
        </w:rPr>
        <w:t xml:space="preserve"> (popísaná v časti 4.2 Dávkovanie a spôsob podávania) k zvýšenej expozícii (až do 50 %) aktívneho </w:t>
      </w:r>
      <w:proofErr w:type="spellStart"/>
      <w:r>
        <w:rPr>
          <w:lang w:val="sk-SK"/>
        </w:rPr>
        <w:t>metabolitu</w:t>
      </w:r>
      <w:proofErr w:type="spellEnd"/>
      <w:r>
        <w:rPr>
          <w:lang w:val="sk-SK"/>
        </w:rPr>
        <w:t xml:space="preserve"> v porovnaní s dospelými pacientmi s porovnateľným </w:t>
      </w:r>
      <w:proofErr w:type="spellStart"/>
      <w:r>
        <w:rPr>
          <w:lang w:val="sk-SK"/>
        </w:rPr>
        <w:t>klírensom</w:t>
      </w:r>
      <w:proofErr w:type="spellEnd"/>
      <w:r>
        <w:rPr>
          <w:lang w:val="sk-SK"/>
        </w:rPr>
        <w:t xml:space="preserve"> </w:t>
      </w:r>
      <w:proofErr w:type="spellStart"/>
      <w:r>
        <w:rPr>
          <w:lang w:val="sk-SK"/>
        </w:rPr>
        <w:t>kreatinínu</w:t>
      </w:r>
      <w:proofErr w:type="spellEnd"/>
      <w:r>
        <w:rPr>
          <w:lang w:val="sk-SK"/>
        </w:rPr>
        <w:t xml:space="preserve">, ktorých imunitný systém nie je oslabený. Vzhľadom na široké bezpečnostné rozpätie aktívneho </w:t>
      </w:r>
      <w:proofErr w:type="spellStart"/>
      <w:r>
        <w:rPr>
          <w:lang w:val="sk-SK"/>
        </w:rPr>
        <w:t>metabolitu</w:t>
      </w:r>
      <w:proofErr w:type="spellEnd"/>
      <w:r>
        <w:rPr>
          <w:lang w:val="sk-SK"/>
        </w:rPr>
        <w:t xml:space="preserve"> nie sú u dospelých pacientov s oslabeným imunitným systémom potrebné žiadne úpravy dávky. U dospelých pacientov s oslabeným imunitným systémom s poruchou funkcie obličiek je však potrebné dávky upraviť tak, ako je uvedené v časti 4.2. Dávkovanie a spôsob podávania.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2122"/>
        </w:tabs>
        <w:spacing w:after="0" w:line="240" w:lineRule="auto"/>
        <w:ind w:left="0" w:right="1221" w:firstLine="0"/>
        <w:contextualSpacing/>
        <w:rPr>
          <w:lang w:val="sk-SK"/>
        </w:rPr>
      </w:pPr>
      <w:r>
        <w:rPr>
          <w:lang w:val="sk-SK"/>
        </w:rPr>
        <w:t xml:space="preserve">5.3 </w:t>
      </w:r>
      <w:r>
        <w:rPr>
          <w:lang w:val="sk-SK"/>
        </w:rPr>
        <w:tab/>
        <w:t xml:space="preserve">Predklinické údaje o bezpečnosti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Predklinické údaje získané na základe obvyklých farmakologických štúdií bezpečnosti, toxicity po opakovanom podávaní a </w:t>
      </w:r>
      <w:proofErr w:type="spellStart"/>
      <w:r>
        <w:rPr>
          <w:lang w:val="sk-SK"/>
        </w:rPr>
        <w:t>genotoxicity</w:t>
      </w:r>
      <w:proofErr w:type="spellEnd"/>
      <w:r>
        <w:rPr>
          <w:lang w:val="sk-SK"/>
        </w:rPr>
        <w:t xml:space="preserve"> neodhalili žiadne osobitné riziko pre ľudí. Výsledky konvenčných štúdií o </w:t>
      </w:r>
      <w:proofErr w:type="spellStart"/>
      <w:r>
        <w:rPr>
          <w:lang w:val="sk-SK"/>
        </w:rPr>
        <w:t>karcinogenicite</w:t>
      </w:r>
      <w:proofErr w:type="spellEnd"/>
      <w:r>
        <w:rPr>
          <w:lang w:val="sk-SK"/>
        </w:rPr>
        <w:t xml:space="preserve"> na hlodavcoch ukázali v závislosti od dávky trend nárastu výskytu niektorých nádorov, ktoré sú typické pre skúmané rody hlodavcov. Vzhľadom na rozpätia expozície vo vzťahu k očakávanej expozícii pri použití u ľudí tieto zistenia nemenia prínos a riziká </w:t>
      </w:r>
      <w:proofErr w:type="spellStart"/>
      <w:r>
        <w:rPr>
          <w:lang w:val="sk-SK"/>
        </w:rPr>
        <w:t>oseltamiviru</w:t>
      </w:r>
      <w:proofErr w:type="spellEnd"/>
      <w:r>
        <w:rPr>
          <w:lang w:val="sk-SK"/>
        </w:rPr>
        <w:t xml:space="preserve"> v prijatých terapeutických indikáciách.</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proofErr w:type="spellStart"/>
      <w:r>
        <w:rPr>
          <w:lang w:val="sk-SK"/>
        </w:rPr>
        <w:t>Teratologické</w:t>
      </w:r>
      <w:proofErr w:type="spellEnd"/>
      <w:r>
        <w:rPr>
          <w:lang w:val="sk-SK"/>
        </w:rPr>
        <w:t xml:space="preserve"> štúdie sa vykonali na potkanoch a králikoch v dávkach do 1 500 mg/kg/deň a 500 mg/kg/deň. Nepozorovali sa žiadne účinky na vývoj plodu. V štúdii plodnosti na potkanoch pri dávke 1 500 mg/kg/deň sa neprejavili žiadne nežiaduce reakcie ani na jedno pohlavie. V štúdiách zameraných na pre- a </w:t>
      </w:r>
      <w:proofErr w:type="spellStart"/>
      <w:r>
        <w:rPr>
          <w:lang w:val="sk-SK"/>
        </w:rPr>
        <w:t>postnatálny</w:t>
      </w:r>
      <w:proofErr w:type="spellEnd"/>
      <w:r>
        <w:rPr>
          <w:lang w:val="sk-SK"/>
        </w:rPr>
        <w:t xml:space="preserve"> vývoj na potkanoch sa pri dávke 1 500 mg/kg/deň pozoroval dlhotrvajúci pôrod: bezpečnostné rozpätie medzi expozíciou u ľudí a najvyššou dávkou bez účinku (500 mg/kg/deň) u potkanov je 480-násobok pre </w:t>
      </w:r>
      <w:proofErr w:type="spellStart"/>
      <w:r>
        <w:rPr>
          <w:lang w:val="sk-SK"/>
        </w:rPr>
        <w:t>oseltamivir</w:t>
      </w:r>
      <w:proofErr w:type="spellEnd"/>
      <w:r>
        <w:rPr>
          <w:lang w:val="sk-SK"/>
        </w:rPr>
        <w:t xml:space="preserve"> a 44-násobok pre aktívny </w:t>
      </w:r>
      <w:proofErr w:type="spellStart"/>
      <w:r>
        <w:rPr>
          <w:lang w:val="sk-SK"/>
        </w:rPr>
        <w:t>metabolit</w:t>
      </w:r>
      <w:proofErr w:type="spellEnd"/>
      <w:r>
        <w:rPr>
          <w:lang w:val="sk-SK"/>
        </w:rPr>
        <w:t xml:space="preserve">. Expozícia plodu u potkanov a králikov bola približne od 15 do 20 % expozície matky.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U </w:t>
      </w:r>
      <w:proofErr w:type="spellStart"/>
      <w:r>
        <w:rPr>
          <w:lang w:val="sk-SK"/>
        </w:rPr>
        <w:t>laktujúcich</w:t>
      </w:r>
      <w:proofErr w:type="spellEnd"/>
      <w:r>
        <w:rPr>
          <w:lang w:val="sk-SK"/>
        </w:rPr>
        <w:t xml:space="preserve"> potkanov sa </w:t>
      </w:r>
      <w:proofErr w:type="spellStart"/>
      <w:r>
        <w:rPr>
          <w:lang w:val="sk-SK"/>
        </w:rPr>
        <w:t>oseltamivir</w:t>
      </w:r>
      <w:proofErr w:type="spellEnd"/>
      <w:r>
        <w:rPr>
          <w:lang w:val="sk-SK"/>
        </w:rPr>
        <w:t xml:space="preserve"> a aktívny </w:t>
      </w:r>
      <w:proofErr w:type="spellStart"/>
      <w:r>
        <w:rPr>
          <w:lang w:val="sk-SK"/>
        </w:rPr>
        <w:t>metabolit</w:t>
      </w:r>
      <w:proofErr w:type="spellEnd"/>
      <w:r>
        <w:rPr>
          <w:lang w:val="sk-SK"/>
        </w:rPr>
        <w:t xml:space="preserve"> vylučujú do mlieka. Obmedzené údaje naznačujú, že </w:t>
      </w:r>
      <w:proofErr w:type="spellStart"/>
      <w:r>
        <w:rPr>
          <w:lang w:val="sk-SK"/>
        </w:rPr>
        <w:t>oseltamivir</w:t>
      </w:r>
      <w:proofErr w:type="spellEnd"/>
      <w:r>
        <w:rPr>
          <w:lang w:val="sk-SK"/>
        </w:rPr>
        <w:t xml:space="preserve"> a aktívny </w:t>
      </w:r>
      <w:proofErr w:type="spellStart"/>
      <w:r>
        <w:rPr>
          <w:lang w:val="sk-SK"/>
        </w:rPr>
        <w:t>metabolit</w:t>
      </w:r>
      <w:proofErr w:type="spellEnd"/>
      <w:r>
        <w:rPr>
          <w:lang w:val="sk-SK"/>
        </w:rPr>
        <w:t xml:space="preserve"> sa vylučujú do ľudského mlieka. </w:t>
      </w:r>
      <w:proofErr w:type="spellStart"/>
      <w:r>
        <w:rPr>
          <w:lang w:val="sk-SK"/>
        </w:rPr>
        <w:t>Extrapolácia</w:t>
      </w:r>
      <w:proofErr w:type="spellEnd"/>
      <w:r>
        <w:rPr>
          <w:lang w:val="sk-SK"/>
        </w:rPr>
        <w:t xml:space="preserve"> údajov o zvieratách predstavuje odhady 0,01 mg/deň a 0,3 mg/deň pre príslušné zlúčeniny.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V teste „maximalizácie“ na morčatách sa pozoroval potenciál zvýšenia citlivosti kože voči </w:t>
      </w:r>
      <w:proofErr w:type="spellStart"/>
      <w:r>
        <w:rPr>
          <w:lang w:val="sk-SK"/>
        </w:rPr>
        <w:t>oseltamiviru</w:t>
      </w:r>
      <w:proofErr w:type="spellEnd"/>
      <w:r>
        <w:rPr>
          <w:lang w:val="sk-SK"/>
        </w:rPr>
        <w:t xml:space="preserve">. Približne u 50 % indukovaných zvierat, liečených liečivom, sa objavil </w:t>
      </w:r>
      <w:proofErr w:type="spellStart"/>
      <w:r>
        <w:rPr>
          <w:lang w:val="sk-SK"/>
        </w:rPr>
        <w:t>erytém</w:t>
      </w:r>
      <w:proofErr w:type="spellEnd"/>
      <w:r>
        <w:rPr>
          <w:lang w:val="sk-SK"/>
        </w:rPr>
        <w:t>. Zistilo sa tiež reverzibilné podráždenie očí u králikov.</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lastRenderedPageBreak/>
        <w:t xml:space="preserve">Zatiaľ čo veľmi vysoké jednotlivé perorálne dávky </w:t>
      </w:r>
      <w:proofErr w:type="spellStart"/>
      <w:r>
        <w:rPr>
          <w:lang w:val="sk-SK"/>
        </w:rPr>
        <w:t>oseltamivírium</w:t>
      </w:r>
      <w:proofErr w:type="spellEnd"/>
      <w:r>
        <w:rPr>
          <w:lang w:val="sk-SK"/>
        </w:rPr>
        <w:t xml:space="preserve">-fosfátu, až do najvyššej testovanej dávky (1 310 mg/kg), nemali nežiaduce reakcie na dospelých potkanov, takéto dávky mali za následok toxicitu u 7-dňových mláďat potkanov, vrátane smrti. Tieto reakcie sa pozorovali pri dávkach od 657 mg/kg a vyšších. Pri dávke 500 mg/kg sa nepozorovali žiadne nežiaduce reakcie, vrátane chronickej liečby (500 mg/kg/deň podávané od 7 do 21 dní po pôrode).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1"/>
        <w:tabs>
          <w:tab w:val="center" w:pos="2337"/>
        </w:tabs>
        <w:spacing w:after="0" w:line="240" w:lineRule="auto"/>
        <w:ind w:left="0" w:right="1221" w:firstLine="0"/>
        <w:contextualSpacing/>
        <w:rPr>
          <w:lang w:val="sk-SK"/>
        </w:rPr>
      </w:pPr>
      <w:r>
        <w:rPr>
          <w:lang w:val="sk-SK"/>
        </w:rPr>
        <w:t xml:space="preserve">6. </w:t>
      </w:r>
      <w:r>
        <w:rPr>
          <w:lang w:val="sk-SK"/>
        </w:rPr>
        <w:tab/>
        <w:t xml:space="preserve">FARMACEUTICKÉ INFORMÁCIE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tabs>
          <w:tab w:val="center" w:pos="1797"/>
        </w:tabs>
        <w:spacing w:after="0" w:line="240" w:lineRule="auto"/>
        <w:ind w:left="0" w:right="0" w:firstLine="0"/>
        <w:contextualSpacing/>
        <w:rPr>
          <w:lang w:val="sk-SK"/>
        </w:rPr>
      </w:pPr>
      <w:r>
        <w:rPr>
          <w:b/>
          <w:lang w:val="sk-SK"/>
        </w:rPr>
        <w:t xml:space="preserve">6.1 </w:t>
      </w:r>
      <w:r>
        <w:rPr>
          <w:b/>
          <w:lang w:val="sk-SK"/>
        </w:rPr>
        <w:tab/>
        <w:t xml:space="preserve">Zoznam pomocných látok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Obsah kapsuly </w:t>
      </w:r>
    </w:p>
    <w:p w:rsidR="00D41417" w:rsidRDefault="00B1758A">
      <w:pPr>
        <w:spacing w:after="0" w:line="240" w:lineRule="auto"/>
        <w:ind w:left="0" w:right="0"/>
        <w:contextualSpacing/>
        <w:rPr>
          <w:lang w:val="sk-SK"/>
        </w:rPr>
      </w:pPr>
      <w:proofErr w:type="spellStart"/>
      <w:r>
        <w:rPr>
          <w:lang w:val="sk-SK"/>
        </w:rPr>
        <w:t>Predželat</w:t>
      </w:r>
      <w:r w:rsidR="00E75EA5">
        <w:rPr>
          <w:lang w:val="sk-SK"/>
        </w:rPr>
        <w:t>inovaný</w:t>
      </w:r>
      <w:proofErr w:type="spellEnd"/>
      <w:r>
        <w:rPr>
          <w:lang w:val="sk-SK"/>
        </w:rPr>
        <w:t xml:space="preserve"> škrob (derivát kukuričného škrobu) </w:t>
      </w:r>
    </w:p>
    <w:p w:rsidR="00D41417" w:rsidRDefault="00B1758A">
      <w:pPr>
        <w:spacing w:after="0" w:line="240" w:lineRule="auto"/>
        <w:ind w:left="0" w:right="0" w:hanging="10"/>
        <w:contextualSpacing/>
        <w:rPr>
          <w:lang w:val="sk-SK"/>
        </w:rPr>
      </w:pPr>
      <w:proofErr w:type="spellStart"/>
      <w:r>
        <w:rPr>
          <w:lang w:val="sk-SK"/>
        </w:rPr>
        <w:t>Povidón</w:t>
      </w:r>
      <w:proofErr w:type="spellEnd"/>
      <w:r>
        <w:rPr>
          <w:lang w:val="sk-SK"/>
        </w:rPr>
        <w:t xml:space="preserve"> K-30</w:t>
      </w:r>
    </w:p>
    <w:p w:rsidR="00D41417" w:rsidRDefault="00B1758A">
      <w:pPr>
        <w:spacing w:after="0" w:line="240" w:lineRule="auto"/>
        <w:ind w:left="0" w:right="0"/>
        <w:contextualSpacing/>
        <w:rPr>
          <w:lang w:val="sk-SK"/>
        </w:rPr>
      </w:pPr>
      <w:r>
        <w:rPr>
          <w:lang w:val="sk-SK"/>
        </w:rPr>
        <w:t xml:space="preserve">Sodná soľ </w:t>
      </w:r>
      <w:proofErr w:type="spellStart"/>
      <w:r>
        <w:rPr>
          <w:lang w:val="sk-SK"/>
        </w:rPr>
        <w:t>kroskarmelózy</w:t>
      </w:r>
      <w:proofErr w:type="spellEnd"/>
    </w:p>
    <w:p w:rsidR="00D41417" w:rsidRDefault="00B1758A">
      <w:pPr>
        <w:spacing w:after="0" w:line="240" w:lineRule="auto"/>
        <w:ind w:left="0" w:right="0" w:hanging="10"/>
        <w:contextualSpacing/>
        <w:rPr>
          <w:lang w:val="sk-SK"/>
        </w:rPr>
      </w:pPr>
      <w:r>
        <w:rPr>
          <w:lang w:val="sk-SK"/>
        </w:rPr>
        <w:t xml:space="preserve">Mastenec </w:t>
      </w:r>
    </w:p>
    <w:p w:rsidR="00D41417" w:rsidRDefault="00B1758A">
      <w:pPr>
        <w:spacing w:after="0" w:line="240" w:lineRule="auto"/>
        <w:ind w:left="0" w:right="0" w:hanging="10"/>
        <w:contextualSpacing/>
        <w:rPr>
          <w:lang w:val="sk-SK"/>
        </w:rPr>
      </w:pPr>
      <w:proofErr w:type="spellStart"/>
      <w:r>
        <w:rPr>
          <w:lang w:val="sk-SK"/>
        </w:rPr>
        <w:t>Stearyl</w:t>
      </w:r>
      <w:r w:rsidR="00E75EA5">
        <w:rPr>
          <w:lang w:val="sk-SK"/>
        </w:rPr>
        <w:t>-</w:t>
      </w:r>
      <w:r>
        <w:rPr>
          <w:lang w:val="sk-SK"/>
        </w:rPr>
        <w:t>fumarát</w:t>
      </w:r>
      <w:proofErr w:type="spellEnd"/>
      <w:r>
        <w:rPr>
          <w:lang w:val="sk-SK"/>
        </w:rPr>
        <w:t xml:space="preserve"> sodný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Obal kapsuly</w:t>
      </w:r>
      <w:r>
        <w:rPr>
          <w:lang w:val="sk-SK"/>
        </w:rPr>
        <w:t xml:space="preserve"> </w:t>
      </w:r>
    </w:p>
    <w:p w:rsidR="00D41417" w:rsidRDefault="00B1758A">
      <w:pPr>
        <w:spacing w:after="0" w:line="240" w:lineRule="auto"/>
        <w:ind w:left="0" w:right="0"/>
        <w:contextualSpacing/>
        <w:rPr>
          <w:lang w:val="sk-SK"/>
        </w:rPr>
      </w:pPr>
      <w:r>
        <w:rPr>
          <w:lang w:val="sk-SK"/>
        </w:rPr>
        <w:t xml:space="preserve">Želatína </w:t>
      </w:r>
    </w:p>
    <w:p w:rsidR="00D41417" w:rsidRDefault="00B1758A">
      <w:pPr>
        <w:spacing w:after="0" w:line="240" w:lineRule="auto"/>
        <w:ind w:left="0" w:right="0"/>
        <w:contextualSpacing/>
        <w:rPr>
          <w:lang w:val="sk-SK"/>
        </w:rPr>
      </w:pPr>
      <w:r>
        <w:rPr>
          <w:lang w:val="sk-SK"/>
        </w:rPr>
        <w:t xml:space="preserve">Oxid </w:t>
      </w:r>
      <w:proofErr w:type="spellStart"/>
      <w:r>
        <w:rPr>
          <w:lang w:val="sk-SK"/>
        </w:rPr>
        <w:t>titaničitý</w:t>
      </w:r>
      <w:proofErr w:type="spellEnd"/>
      <w:r>
        <w:rPr>
          <w:lang w:val="sk-SK"/>
        </w:rPr>
        <w:t xml:space="preserve"> (E171) </w:t>
      </w:r>
    </w:p>
    <w:p w:rsidR="00D41417" w:rsidRDefault="00B1758A">
      <w:pPr>
        <w:spacing w:after="0" w:line="240" w:lineRule="auto"/>
        <w:ind w:left="0" w:right="0"/>
        <w:contextualSpacing/>
        <w:rPr>
          <w:lang w:val="sk-SK"/>
        </w:rPr>
      </w:pPr>
      <w:r>
        <w:rPr>
          <w:lang w:val="sk-SK"/>
        </w:rPr>
        <w:t xml:space="preserve">Žltý oxid železitý (E172) </w:t>
      </w:r>
      <w:r>
        <w:rPr>
          <w:highlight w:val="lightGray"/>
          <w:lang w:val="sk-SK"/>
        </w:rPr>
        <w:t>[pre 30 mg a 75 mg]</w:t>
      </w:r>
    </w:p>
    <w:p w:rsidR="00D41417" w:rsidRDefault="00B1758A">
      <w:pPr>
        <w:spacing w:after="0" w:line="240" w:lineRule="auto"/>
        <w:ind w:left="0" w:right="0"/>
        <w:contextualSpacing/>
        <w:rPr>
          <w:lang w:val="sk-SK"/>
        </w:rPr>
      </w:pPr>
      <w:r>
        <w:rPr>
          <w:lang w:val="sk-SK"/>
        </w:rPr>
        <w:t xml:space="preserve">Červený oxid železitý (E172) </w:t>
      </w:r>
      <w:r>
        <w:rPr>
          <w:highlight w:val="lightGray"/>
          <w:lang w:val="sk-SK"/>
        </w:rPr>
        <w:t>[pre 30 mg a 75 mg]</w:t>
      </w:r>
    </w:p>
    <w:p w:rsidR="00D41417" w:rsidRDefault="00B1758A">
      <w:pPr>
        <w:spacing w:after="0" w:line="240" w:lineRule="auto"/>
        <w:ind w:left="0" w:right="0"/>
        <w:contextualSpacing/>
        <w:rPr>
          <w:lang w:val="sk-SK"/>
        </w:rPr>
      </w:pPr>
      <w:r>
        <w:rPr>
          <w:lang w:val="sk-SK"/>
        </w:rPr>
        <w:t xml:space="preserve">Čierny oxid železitý (E172) </w:t>
      </w:r>
      <w:r>
        <w:rPr>
          <w:highlight w:val="lightGray"/>
          <w:lang w:val="sk-SK"/>
        </w:rPr>
        <w:t>[pre 45 mg a 75 mg]</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lang w:val="sk-SK"/>
        </w:rPr>
      </w:pPr>
      <w:r>
        <w:rPr>
          <w:i/>
          <w:lang w:val="sk-SK"/>
        </w:rPr>
        <w:t>Tlačiarenský atrament</w:t>
      </w:r>
      <w:r>
        <w:rPr>
          <w:lang w:val="sk-SK"/>
        </w:rPr>
        <w:t xml:space="preserve"> </w:t>
      </w:r>
    </w:p>
    <w:p w:rsidR="00D41417" w:rsidRDefault="00B1758A">
      <w:pPr>
        <w:spacing w:after="0" w:line="240" w:lineRule="auto"/>
        <w:ind w:left="0" w:right="0" w:hanging="10"/>
        <w:contextualSpacing/>
        <w:rPr>
          <w:lang w:val="sk-SK"/>
        </w:rPr>
      </w:pPr>
      <w:r>
        <w:rPr>
          <w:lang w:val="sk-SK"/>
        </w:rPr>
        <w:t>Čierny atrament TEK SW 9008:</w:t>
      </w:r>
    </w:p>
    <w:p w:rsidR="00D41417" w:rsidRDefault="00B1758A">
      <w:pPr>
        <w:spacing w:after="0" w:line="240" w:lineRule="auto"/>
        <w:ind w:left="0" w:right="0" w:hanging="10"/>
        <w:contextualSpacing/>
        <w:rPr>
          <w:lang w:val="sk-SK"/>
        </w:rPr>
      </w:pPr>
      <w:r>
        <w:rPr>
          <w:lang w:val="sk-SK"/>
        </w:rPr>
        <w:t xml:space="preserve">Šelak </w:t>
      </w:r>
    </w:p>
    <w:p w:rsidR="00D41417" w:rsidRDefault="00B1758A">
      <w:pPr>
        <w:spacing w:after="0" w:line="240" w:lineRule="auto"/>
        <w:ind w:left="0" w:right="0" w:firstLine="0"/>
        <w:contextualSpacing/>
        <w:rPr>
          <w:lang w:val="sk-SK"/>
        </w:rPr>
      </w:pPr>
      <w:proofErr w:type="spellStart"/>
      <w:r>
        <w:rPr>
          <w:lang w:val="sk-SK"/>
        </w:rPr>
        <w:t>Propylénglykol</w:t>
      </w:r>
      <w:proofErr w:type="spellEnd"/>
    </w:p>
    <w:p w:rsidR="00D41417" w:rsidRDefault="00B1758A">
      <w:pPr>
        <w:spacing w:after="0" w:line="240" w:lineRule="auto"/>
        <w:ind w:left="0" w:right="0" w:firstLine="0"/>
        <w:contextualSpacing/>
        <w:rPr>
          <w:lang w:val="sk-SK"/>
        </w:rPr>
      </w:pPr>
      <w:r>
        <w:rPr>
          <w:lang w:val="sk-SK"/>
        </w:rPr>
        <w:t>Koncentrovaný roztok amoniaku</w:t>
      </w:r>
    </w:p>
    <w:p w:rsidR="00D41417" w:rsidRDefault="00B1758A">
      <w:pPr>
        <w:spacing w:after="0" w:line="259" w:lineRule="auto"/>
        <w:ind w:left="0" w:right="0" w:firstLine="0"/>
        <w:rPr>
          <w:lang w:val="sk-SK"/>
        </w:rPr>
      </w:pPr>
      <w:r>
        <w:rPr>
          <w:lang w:val="sk-SK"/>
        </w:rPr>
        <w:t>Čierny oxid železitý (E172)</w:t>
      </w:r>
    </w:p>
    <w:p w:rsidR="00D41417" w:rsidRDefault="00B1758A">
      <w:pPr>
        <w:spacing w:after="0" w:line="259" w:lineRule="auto"/>
        <w:ind w:left="0" w:right="0" w:firstLine="0"/>
        <w:rPr>
          <w:lang w:val="sk-SK"/>
        </w:rPr>
      </w:pPr>
      <w:r>
        <w:rPr>
          <w:lang w:val="sk-SK"/>
        </w:rPr>
        <w:t>Hydroxid draselný</w:t>
      </w:r>
    </w:p>
    <w:p w:rsidR="00D41417" w:rsidRDefault="00B1758A">
      <w:pPr>
        <w:tabs>
          <w:tab w:val="center" w:pos="1319"/>
        </w:tabs>
        <w:spacing w:after="0" w:line="240" w:lineRule="auto"/>
        <w:ind w:left="0" w:right="0" w:firstLine="0"/>
        <w:contextualSpacing/>
        <w:rPr>
          <w:lang w:val="sk-SK"/>
        </w:rPr>
      </w:pPr>
      <w:r>
        <w:rPr>
          <w:b/>
          <w:lang w:val="sk-SK"/>
        </w:rPr>
        <w:t xml:space="preserve">6.2 </w:t>
      </w:r>
      <w:r>
        <w:rPr>
          <w:b/>
          <w:lang w:val="sk-SK"/>
        </w:rPr>
        <w:tab/>
        <w:t xml:space="preserve">Inkompatibility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Neaplikovateľné.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1403"/>
        </w:tabs>
        <w:spacing w:after="0" w:line="240" w:lineRule="auto"/>
        <w:ind w:left="0" w:right="0" w:firstLine="0"/>
        <w:contextualSpacing/>
        <w:rPr>
          <w:lang w:val="sk-SK"/>
        </w:rPr>
      </w:pPr>
      <w:r>
        <w:rPr>
          <w:b/>
          <w:lang w:val="sk-SK"/>
        </w:rPr>
        <w:t xml:space="preserve">6.3 </w:t>
      </w:r>
      <w:r>
        <w:rPr>
          <w:b/>
          <w:lang w:val="sk-SK"/>
        </w:rPr>
        <w:tab/>
        <w:t xml:space="preserve">Čas použiteľnosti </w:t>
      </w:r>
    </w:p>
    <w:p w:rsidR="00D41417" w:rsidRDefault="00B1758A">
      <w:pPr>
        <w:spacing w:after="0" w:line="240" w:lineRule="auto"/>
        <w:ind w:left="0" w:right="0" w:firstLine="0"/>
        <w:contextualSpacing/>
        <w:rPr>
          <w:lang w:val="sk-SK"/>
        </w:rPr>
      </w:pPr>
      <w:r>
        <w:rPr>
          <w:lang w:val="sk-SK"/>
        </w:rPr>
        <w:t xml:space="preserve"> </w:t>
      </w:r>
    </w:p>
    <w:p w:rsidR="00D41417" w:rsidRDefault="00151E44">
      <w:pPr>
        <w:spacing w:after="0" w:line="240" w:lineRule="auto"/>
        <w:ind w:left="0" w:right="0" w:hanging="10"/>
        <w:contextualSpacing/>
        <w:rPr>
          <w:lang w:val="sk-SK"/>
        </w:rPr>
      </w:pPr>
      <w:proofErr w:type="spellStart"/>
      <w:r>
        <w:rPr>
          <w:u w:val="single" w:color="000000"/>
          <w:lang w:val="sk-SK"/>
        </w:rPr>
        <w:t>Segosana</w:t>
      </w:r>
      <w:proofErr w:type="spellEnd"/>
      <w:r w:rsidR="00B1758A">
        <w:rPr>
          <w:u w:val="single" w:color="000000"/>
          <w:lang w:val="sk-SK"/>
        </w:rPr>
        <w:t xml:space="preserve"> </w:t>
      </w:r>
      <w:r w:rsidR="00B1758A">
        <w:rPr>
          <w:u w:val="single"/>
          <w:lang w:val="sk-SK"/>
        </w:rPr>
        <w:t xml:space="preserve">30 mg / 45 mg / 75 mg </w:t>
      </w:r>
    </w:p>
    <w:p w:rsidR="00D41417" w:rsidRDefault="00B1758A">
      <w:pPr>
        <w:spacing w:after="0" w:line="240" w:lineRule="auto"/>
        <w:ind w:left="0" w:right="0" w:firstLine="0"/>
        <w:contextualSpacing/>
        <w:rPr>
          <w:lang w:val="sk-SK"/>
        </w:rPr>
      </w:pPr>
      <w:r>
        <w:rPr>
          <w:lang w:val="sk-SK"/>
        </w:rPr>
        <w:t>3 roky</w:t>
      </w:r>
    </w:p>
    <w:p w:rsidR="00D41417" w:rsidRDefault="00D41417">
      <w:pPr>
        <w:spacing w:after="0" w:line="240" w:lineRule="auto"/>
        <w:ind w:left="0" w:right="0" w:firstLine="0"/>
        <w:contextualSpacing/>
        <w:rPr>
          <w:lang w:val="sk-SK"/>
        </w:rPr>
      </w:pPr>
    </w:p>
    <w:p w:rsidR="00D41417" w:rsidRDefault="00DD65AF">
      <w:pPr>
        <w:rPr>
          <w:u w:val="single"/>
          <w:lang w:val="sk-SK"/>
        </w:rPr>
      </w:pPr>
      <w:r>
        <w:rPr>
          <w:u w:val="single"/>
          <w:lang w:val="sk-SK"/>
        </w:rPr>
        <w:t>Uchovávanie</w:t>
      </w:r>
      <w:r w:rsidR="00B1758A">
        <w:rPr>
          <w:u w:val="single"/>
          <w:lang w:val="sk-SK"/>
        </w:rPr>
        <w:t xml:space="preserve"> suspenzie pripravenej v lekárni </w:t>
      </w:r>
    </w:p>
    <w:p w:rsidR="00D41417" w:rsidRDefault="00B1758A">
      <w:pPr>
        <w:spacing w:after="0" w:line="240" w:lineRule="auto"/>
        <w:ind w:right="0"/>
        <w:contextualSpacing/>
        <w:rPr>
          <w:lang w:val="sk-SK"/>
        </w:rPr>
      </w:pPr>
      <w:r>
        <w:rPr>
          <w:lang w:val="sk-SK"/>
        </w:rPr>
        <w:t xml:space="preserve">Čas použiteľnosti je 10 dní pri teplote </w:t>
      </w:r>
      <w:r w:rsidR="00DD65AF">
        <w:rPr>
          <w:lang w:val="sk-SK"/>
        </w:rPr>
        <w:t>do</w:t>
      </w:r>
      <w:r>
        <w:rPr>
          <w:lang w:val="sk-SK"/>
        </w:rPr>
        <w:t xml:space="preserve"> 25 °C.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2398"/>
        </w:tabs>
        <w:spacing w:after="0" w:line="240" w:lineRule="auto"/>
        <w:ind w:left="0" w:right="1221" w:firstLine="0"/>
        <w:contextualSpacing/>
        <w:rPr>
          <w:lang w:val="sk-SK"/>
        </w:rPr>
      </w:pPr>
      <w:r>
        <w:rPr>
          <w:lang w:val="sk-SK"/>
        </w:rPr>
        <w:t xml:space="preserve">6.4 </w:t>
      </w:r>
      <w:r>
        <w:rPr>
          <w:lang w:val="sk-SK"/>
        </w:rPr>
        <w:tab/>
        <w:t xml:space="preserve">Špeciálne upozornenia na uchovávanie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Uchovávajte pri teplote </w:t>
      </w:r>
      <w:r w:rsidR="00FD1FC7">
        <w:rPr>
          <w:lang w:val="sk-SK"/>
        </w:rPr>
        <w:t>do</w:t>
      </w:r>
      <w:r>
        <w:rPr>
          <w:lang w:val="sk-SK"/>
        </w:rPr>
        <w:t xml:space="preserve"> 30 </w:t>
      </w:r>
      <w:r>
        <w:rPr>
          <w:rFonts w:eastAsia="Segoe UI Symbol"/>
          <w:lang w:val="sk-SK"/>
        </w:rPr>
        <w:t>°</w:t>
      </w:r>
      <w:r>
        <w:rPr>
          <w:lang w:val="sk-SK"/>
        </w:rPr>
        <w:t xml:space="preserve">C. </w:t>
      </w:r>
    </w:p>
    <w:p w:rsidR="00D41417" w:rsidRDefault="00B1758A">
      <w:pPr>
        <w:spacing w:after="0" w:line="240" w:lineRule="auto"/>
        <w:ind w:left="0" w:right="0" w:firstLine="0"/>
        <w:contextualSpacing/>
        <w:rPr>
          <w:lang w:val="sk-SK"/>
        </w:rPr>
      </w:pPr>
      <w:r>
        <w:rPr>
          <w:lang w:val="sk-SK"/>
        </w:rPr>
        <w:t xml:space="preserve"> </w:t>
      </w:r>
    </w:p>
    <w:p w:rsidR="00D41417" w:rsidRDefault="00FD1FC7">
      <w:pPr>
        <w:spacing w:after="0" w:line="240" w:lineRule="auto"/>
        <w:ind w:left="0" w:right="0"/>
        <w:contextualSpacing/>
        <w:rPr>
          <w:lang w:val="sk-SK"/>
        </w:rPr>
      </w:pPr>
      <w:r>
        <w:rPr>
          <w:lang w:val="sk-SK"/>
        </w:rPr>
        <w:t>P</w:t>
      </w:r>
      <w:r w:rsidR="00B1758A">
        <w:rPr>
          <w:lang w:val="sk-SK"/>
        </w:rPr>
        <w:t xml:space="preserve">odmienky </w:t>
      </w:r>
      <w:r>
        <w:rPr>
          <w:lang w:val="sk-SK"/>
        </w:rPr>
        <w:t>na uchovávanie</w:t>
      </w:r>
      <w:r w:rsidR="00B1758A">
        <w:rPr>
          <w:lang w:val="sk-SK"/>
        </w:rPr>
        <w:t xml:space="preserve"> suspenzie pripravenej v lekárni, pozri časť 6.3.</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1875"/>
        </w:tabs>
        <w:spacing w:after="0" w:line="240" w:lineRule="auto"/>
        <w:ind w:left="0" w:right="1221" w:firstLine="0"/>
        <w:contextualSpacing/>
        <w:rPr>
          <w:lang w:val="sk-SK"/>
        </w:rPr>
      </w:pPr>
      <w:r>
        <w:rPr>
          <w:lang w:val="sk-SK"/>
        </w:rPr>
        <w:t xml:space="preserve">6.5 </w:t>
      </w:r>
      <w:r>
        <w:rPr>
          <w:lang w:val="sk-SK"/>
        </w:rPr>
        <w:tab/>
        <w:t xml:space="preserve">Druh obalu a obsah balenia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proofErr w:type="spellStart"/>
      <w:r>
        <w:rPr>
          <w:lang w:val="sk-SK"/>
        </w:rPr>
        <w:t>Blister</w:t>
      </w:r>
      <w:proofErr w:type="spellEnd"/>
      <w:r>
        <w:rPr>
          <w:lang w:val="sk-SK"/>
        </w:rPr>
        <w:t xml:space="preserve"> </w:t>
      </w:r>
      <w:r w:rsidR="00FD1FC7">
        <w:rPr>
          <w:lang w:val="sk-SK"/>
        </w:rPr>
        <w:t>-</w:t>
      </w:r>
      <w:r>
        <w:rPr>
          <w:lang w:val="sk-SK"/>
        </w:rPr>
        <w:t xml:space="preserve"> PVC/PE/</w:t>
      </w:r>
      <w:proofErr w:type="spellStart"/>
      <w:r>
        <w:rPr>
          <w:lang w:val="sk-SK"/>
        </w:rPr>
        <w:t>PVdC</w:t>
      </w:r>
      <w:proofErr w:type="spellEnd"/>
      <w:r w:rsidR="00FD1FC7">
        <w:rPr>
          <w:lang w:val="sk-SK"/>
        </w:rPr>
        <w:t xml:space="preserve"> </w:t>
      </w:r>
      <w:r>
        <w:rPr>
          <w:lang w:val="sk-SK"/>
        </w:rPr>
        <w:t>-</w:t>
      </w:r>
      <w:r w:rsidR="00FD1FC7">
        <w:rPr>
          <w:lang w:val="sk-SK"/>
        </w:rPr>
        <w:t xml:space="preserve"> </w:t>
      </w:r>
      <w:r>
        <w:rPr>
          <w:lang w:val="sk-SK"/>
        </w:rPr>
        <w:t>Al.</w:t>
      </w:r>
    </w:p>
    <w:p w:rsidR="00D41417" w:rsidRDefault="00B1758A">
      <w:pPr>
        <w:spacing w:after="0" w:line="240" w:lineRule="auto"/>
        <w:ind w:left="0" w:right="0" w:hanging="10"/>
        <w:contextualSpacing/>
        <w:rPr>
          <w:lang w:val="sk-SK"/>
        </w:rPr>
      </w:pPr>
      <w:r>
        <w:rPr>
          <w:lang w:val="sk-SK"/>
        </w:rPr>
        <w:t>Veľkosť balenia je 10 kapsúl.</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3523"/>
        </w:tabs>
        <w:spacing w:after="0" w:line="240" w:lineRule="auto"/>
        <w:ind w:left="0" w:right="1221" w:firstLine="0"/>
        <w:contextualSpacing/>
        <w:rPr>
          <w:lang w:val="sk-SK"/>
        </w:rPr>
      </w:pPr>
      <w:r>
        <w:rPr>
          <w:lang w:val="sk-SK"/>
        </w:rPr>
        <w:lastRenderedPageBreak/>
        <w:t xml:space="preserve">6.6 </w:t>
      </w:r>
      <w:r>
        <w:rPr>
          <w:lang w:val="sk-SK"/>
        </w:rPr>
        <w:tab/>
        <w:t xml:space="preserve">Špeciálne opatrenia na likvidáciu a iné zaobchádzanie s liekom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Všetok nepoužitý liek alebo odpad vzniknutý z lieku sa má zlikvidovať v súlade s národnými požiadavkami.</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Núdzová príprava</w:t>
      </w:r>
      <w:r>
        <w:rPr>
          <w:u w:val="none"/>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i/>
          <w:lang w:val="sk-SK"/>
        </w:rPr>
      </w:pPr>
      <w:r>
        <w:rPr>
          <w:i/>
          <w:lang w:val="sk-SK"/>
        </w:rPr>
        <w:t xml:space="preserve">Ak nie je dostupný </w:t>
      </w:r>
      <w:proofErr w:type="spellStart"/>
      <w:r>
        <w:rPr>
          <w:i/>
          <w:lang w:val="sk-SK"/>
        </w:rPr>
        <w:t>oseltamivir</w:t>
      </w:r>
      <w:proofErr w:type="spellEnd"/>
      <w:r>
        <w:rPr>
          <w:i/>
          <w:lang w:val="sk-SK"/>
        </w:rPr>
        <w:t xml:space="preserve"> prášok na perorálnu suspenziu </w:t>
      </w:r>
    </w:p>
    <w:p w:rsidR="00D41417" w:rsidRDefault="00B1758A">
      <w:pPr>
        <w:spacing w:after="0" w:line="240" w:lineRule="auto"/>
        <w:ind w:left="0" w:right="0"/>
        <w:contextualSpacing/>
        <w:rPr>
          <w:lang w:val="sk-SK"/>
        </w:rPr>
      </w:pPr>
      <w:r>
        <w:rPr>
          <w:lang w:val="sk-SK"/>
        </w:rPr>
        <w:t xml:space="preserve">Komerčne vyrábaný </w:t>
      </w:r>
      <w:proofErr w:type="spellStart"/>
      <w:r>
        <w:rPr>
          <w:lang w:val="sk-SK"/>
        </w:rPr>
        <w:t>oseltamivir</w:t>
      </w:r>
      <w:proofErr w:type="spellEnd"/>
      <w:r>
        <w:rPr>
          <w:lang w:val="sk-SK"/>
        </w:rPr>
        <w:t xml:space="preserve"> prášok na perorálnu suspenziu (6 mg/ml) je uprednostňovaným liekom u pediatrických a dospelých pacientov, ktorí majú ťažkosti s prehĺtaním kapsúl, alebo keď sú potrebné nižšie dávky. V prípade, že nie je dostupný komerčne vyrábaný </w:t>
      </w:r>
      <w:proofErr w:type="spellStart"/>
      <w:r>
        <w:rPr>
          <w:lang w:val="sk-SK"/>
        </w:rPr>
        <w:t>oseltamivir</w:t>
      </w:r>
      <w:proofErr w:type="spellEnd"/>
      <w:r>
        <w:rPr>
          <w:lang w:val="sk-SK"/>
        </w:rPr>
        <w:t xml:space="preserve"> prášok na perorálnu suspenziu, lekárnik môže pripraviť suspenziu (6 mg/ml) z </w:t>
      </w:r>
      <w:proofErr w:type="spellStart"/>
      <w:r>
        <w:rPr>
          <w:lang w:val="sk-SK"/>
        </w:rPr>
        <w:t>oseltamivir</w:t>
      </w:r>
      <w:proofErr w:type="spellEnd"/>
      <w:r>
        <w:rPr>
          <w:lang w:val="sk-SK"/>
        </w:rPr>
        <w:t xml:space="preserve"> kapsúl alebo si pacienti môžu pripraviť suspenziu z kapsúl doma.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Uprednostňuje sa príprava lekárnikom pred prípravou doma. Podrobné informácie pre prípravu doma nájdete v Písomnej informácii pre používateľa </w:t>
      </w:r>
      <w:proofErr w:type="spellStart"/>
      <w:r>
        <w:rPr>
          <w:lang w:val="sk-SK"/>
        </w:rPr>
        <w:t>oseltamivir</w:t>
      </w:r>
      <w:proofErr w:type="spellEnd"/>
      <w:r>
        <w:rPr>
          <w:lang w:val="sk-SK"/>
        </w:rPr>
        <w:t xml:space="preserve"> kapsuly v časti „Príprava tekutej formy </w:t>
      </w:r>
      <w:proofErr w:type="spellStart"/>
      <w:r>
        <w:rPr>
          <w:lang w:val="sk-SK"/>
        </w:rPr>
        <w:t>oseltamiviru</w:t>
      </w:r>
      <w:proofErr w:type="spellEnd"/>
      <w:r>
        <w:rPr>
          <w:lang w:val="sk-SK"/>
        </w:rPr>
        <w:t xml:space="preserve"> doma“.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Na prípravu suspenzie v lekárni a</w:t>
      </w:r>
      <w:r w:rsidR="000A2A6F">
        <w:rPr>
          <w:lang w:val="sk-SK"/>
        </w:rPr>
        <w:t> takisto aj</w:t>
      </w:r>
      <w:r>
        <w:rPr>
          <w:lang w:val="sk-SK"/>
        </w:rPr>
        <w:t xml:space="preserve"> doma by mali byť zabezpečené striekačky vhodného objemu s vhodnou stupnicou. V oboch prípadoch majú byť podľa možností na striekačke vyznačené požadované objemy.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Príprava v lekárni</w:t>
      </w:r>
      <w:r>
        <w:rPr>
          <w:lang w:val="sk-SK"/>
        </w:rPr>
        <w:t xml:space="preserve"> </w:t>
      </w:r>
    </w:p>
    <w:p w:rsidR="00D41417" w:rsidRDefault="00B1758A">
      <w:pPr>
        <w:spacing w:after="0" w:line="240" w:lineRule="auto"/>
        <w:ind w:left="0" w:right="0" w:firstLine="0"/>
        <w:contextualSpacing/>
        <w:rPr>
          <w:lang w:val="sk-SK"/>
        </w:rPr>
      </w:pPr>
      <w:r>
        <w:rPr>
          <w:b/>
          <w:i/>
          <w:lang w:val="sk-SK"/>
        </w:rPr>
        <w:t xml:space="preserve"> </w:t>
      </w:r>
    </w:p>
    <w:p w:rsidR="00D41417" w:rsidRDefault="00B1758A">
      <w:pPr>
        <w:pStyle w:val="Nadpis1"/>
        <w:spacing w:after="0" w:line="240" w:lineRule="auto"/>
        <w:ind w:left="0" w:right="1221"/>
        <w:contextualSpacing/>
        <w:rPr>
          <w:lang w:val="sk-SK"/>
        </w:rPr>
      </w:pPr>
      <w:r>
        <w:rPr>
          <w:lang w:val="sk-SK"/>
        </w:rPr>
        <w:t>Príprava suspenzie v lekárni s koncentráciou 6 mg/ml z kapsúl</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Dospelí, dospievajúci a</w:t>
      </w:r>
      <w:r w:rsidR="00980749">
        <w:rPr>
          <w:i/>
          <w:u w:val="single" w:color="000000"/>
          <w:lang w:val="sk-SK"/>
        </w:rPr>
        <w:t xml:space="preserve"> dojčatá a </w:t>
      </w:r>
      <w:r>
        <w:rPr>
          <w:i/>
          <w:u w:val="single" w:color="000000"/>
          <w:lang w:val="sk-SK"/>
        </w:rPr>
        <w:t>deti vo veku 1 rok alebo staršie, ktorí nie sú schopní prehltnúť neporušené</w:t>
      </w:r>
      <w:r>
        <w:rPr>
          <w:i/>
          <w:lang w:val="sk-SK"/>
        </w:rPr>
        <w:t xml:space="preserve"> </w:t>
      </w:r>
      <w:r>
        <w:rPr>
          <w:i/>
          <w:u w:val="single" w:color="000000"/>
          <w:lang w:val="sk-SK"/>
        </w:rPr>
        <w:t>kapsuly</w:t>
      </w:r>
      <w:r>
        <w:rPr>
          <w:i/>
          <w:lang w:val="sk-SK"/>
        </w:rPr>
        <w:t xml:space="preserve"> </w:t>
      </w:r>
    </w:p>
    <w:p w:rsidR="00D41417" w:rsidRDefault="00B1758A">
      <w:pPr>
        <w:spacing w:after="0" w:line="240" w:lineRule="auto"/>
        <w:ind w:left="0" w:right="0"/>
        <w:contextualSpacing/>
        <w:rPr>
          <w:lang w:val="sk-SK"/>
        </w:rPr>
      </w:pPr>
      <w:r>
        <w:rPr>
          <w:lang w:val="sk-SK"/>
        </w:rPr>
        <w:t xml:space="preserve">Tento postup opisuje prípravu suspenzie s koncentráciou 6 mg/ml, čo zabezpečí dostatočné množstvo lieku pre jedného pacienta na 5-dňový cyklus liečby alebo 10-dňový cyklus prevencie.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Lekárnik môže pripraviť suspenziu </w:t>
      </w:r>
      <w:r w:rsidR="0037318D">
        <w:rPr>
          <w:lang w:val="sk-SK"/>
        </w:rPr>
        <w:t xml:space="preserve">s koncentráciou </w:t>
      </w:r>
      <w:r>
        <w:rPr>
          <w:lang w:val="sk-SK"/>
        </w:rPr>
        <w:t xml:space="preserve">6 mg/ml z kapsúl </w:t>
      </w:r>
      <w:proofErr w:type="spellStart"/>
      <w:r>
        <w:rPr>
          <w:lang w:val="sk-SK"/>
        </w:rPr>
        <w:t>oseltamiviru</w:t>
      </w:r>
      <w:proofErr w:type="spellEnd"/>
      <w:r>
        <w:rPr>
          <w:lang w:val="sk-SK"/>
        </w:rPr>
        <w:t xml:space="preserve"> 30 mg, 45 mg alebo 75 mg s použitím vody obsahujúcej 0,05 % m/V </w:t>
      </w:r>
      <w:proofErr w:type="spellStart"/>
      <w:r>
        <w:rPr>
          <w:lang w:val="sk-SK"/>
        </w:rPr>
        <w:t>benzo</w:t>
      </w:r>
      <w:r w:rsidR="0037318D">
        <w:rPr>
          <w:lang w:val="sk-SK"/>
        </w:rPr>
        <w:t>átu</w:t>
      </w:r>
      <w:proofErr w:type="spellEnd"/>
      <w:r>
        <w:rPr>
          <w:lang w:val="sk-SK"/>
        </w:rPr>
        <w:t xml:space="preserve"> sodného, ktorý sa pridáva ako konzervačná látka. </w:t>
      </w:r>
    </w:p>
    <w:p w:rsidR="00D41417" w:rsidRDefault="00B1758A" w:rsidP="00540E15">
      <w:pPr>
        <w:spacing w:after="0" w:line="240" w:lineRule="auto"/>
        <w:ind w:left="0" w:right="0" w:firstLine="0"/>
        <w:contextualSpacing/>
        <w:rPr>
          <w:lang w:val="sk-SK"/>
        </w:rPr>
      </w:pPr>
      <w:r>
        <w:rPr>
          <w:lang w:val="sk-SK"/>
        </w:rPr>
        <w:t xml:space="preserve">Po prvé, vypočítajte celkový objem, ktorý treba pripraviť a vydať, aby sa zabezpečil 5-dňový cyklus liečby alebo 10-dňový cyklus prevencie pre jednotlivého pacienta. Požadovaný celkový objem sa určuje telesnou hmotnosťou jednotlivého pacienta podľa odporúčania v nasledujúcej tabuľke. Aby sa dal odobrať presný objem potrebný na získanie až 10 dávok (2 dávky denne sa odoberú počas 5 dní), je potrebné vziať do úvahy aj stĺpec zobrazujúci straty počas odmeriavania množstva pri príprave suspenzie.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1"/>
        <w:spacing w:after="0" w:line="240" w:lineRule="auto"/>
        <w:ind w:left="0" w:right="1221"/>
        <w:contextualSpacing/>
        <w:rPr>
          <w:lang w:val="sk-SK"/>
        </w:rPr>
      </w:pPr>
      <w:r>
        <w:rPr>
          <w:lang w:val="sk-SK"/>
        </w:rPr>
        <w:t xml:space="preserve">Objem suspenzie </w:t>
      </w:r>
      <w:r w:rsidR="00C92551">
        <w:rPr>
          <w:lang w:val="sk-SK"/>
        </w:rPr>
        <w:t xml:space="preserve">s koncentráciou </w:t>
      </w:r>
      <w:r>
        <w:rPr>
          <w:lang w:val="sk-SK"/>
        </w:rPr>
        <w:t>6 mg/ml podľa telesnej hmotnosti pacienta</w:t>
      </w:r>
      <w:r w:rsidR="00C92551">
        <w:rPr>
          <w:lang w:val="sk-SK"/>
        </w:rPr>
        <w:t xml:space="preserve"> pripravovanej v lekárni</w:t>
      </w:r>
      <w:r>
        <w:rPr>
          <w:lang w:val="sk-SK"/>
        </w:rPr>
        <w:t xml:space="preserve"> </w:t>
      </w:r>
    </w:p>
    <w:p w:rsidR="00D41417" w:rsidRDefault="00B1758A">
      <w:pPr>
        <w:spacing w:after="0" w:line="240" w:lineRule="auto"/>
        <w:ind w:left="0" w:right="0" w:firstLine="0"/>
        <w:contextualSpacing/>
        <w:rPr>
          <w:lang w:val="sk-SK"/>
        </w:rPr>
      </w:pPr>
      <w:r>
        <w:rPr>
          <w:b/>
          <w:lang w:val="sk-SK"/>
        </w:rPr>
        <w:t xml:space="preserve"> </w:t>
      </w:r>
    </w:p>
    <w:tbl>
      <w:tblPr>
        <w:tblStyle w:val="TableGrid"/>
        <w:tblW w:w="9072" w:type="dxa"/>
        <w:tblInd w:w="12" w:type="dxa"/>
        <w:tblCellMar>
          <w:top w:w="51" w:type="dxa"/>
          <w:left w:w="134" w:type="dxa"/>
          <w:bottom w:w="7" w:type="dxa"/>
          <w:right w:w="77" w:type="dxa"/>
        </w:tblCellMar>
        <w:tblLook w:val="04A0" w:firstRow="1" w:lastRow="0" w:firstColumn="1" w:lastColumn="0" w:noHBand="0" w:noVBand="1"/>
      </w:tblPr>
      <w:tblGrid>
        <w:gridCol w:w="1984"/>
        <w:gridCol w:w="3545"/>
        <w:gridCol w:w="3543"/>
      </w:tblGrid>
      <w:tr w:rsidR="00D41417">
        <w:trPr>
          <w:trHeight w:val="1043"/>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nie sú zahrnuté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sú zahrnuté </w:t>
            </w:r>
          </w:p>
        </w:tc>
      </w:tr>
      <w:tr w:rsidR="00D41417">
        <w:trPr>
          <w:trHeight w:val="262"/>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kg až 15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ml alebo 75 ml* </w:t>
            </w:r>
          </w:p>
        </w:tc>
      </w:tr>
      <w:tr w:rsidR="00D41417">
        <w:trPr>
          <w:trHeight w:val="26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15 kg až 23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90 ml alebo 100 ml* </w:t>
            </w:r>
          </w:p>
        </w:tc>
      </w:tr>
      <w:tr w:rsidR="00D41417">
        <w:trPr>
          <w:trHeight w:val="262"/>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23 kg až 40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100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r>
      <w:tr w:rsidR="00D41417">
        <w:trPr>
          <w:trHeight w:val="26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137,5 ml (alebo 150 ml)* </w:t>
            </w:r>
          </w:p>
        </w:tc>
      </w:tr>
    </w:tbl>
    <w:p w:rsidR="00D41417" w:rsidRDefault="00B1758A">
      <w:pPr>
        <w:spacing w:after="0" w:line="240" w:lineRule="auto"/>
        <w:ind w:left="0" w:right="0" w:hanging="10"/>
        <w:contextualSpacing/>
        <w:rPr>
          <w:lang w:val="sk-SK"/>
        </w:rPr>
      </w:pPr>
      <w:r>
        <w:rPr>
          <w:lang w:val="sk-SK"/>
        </w:rPr>
        <w:t xml:space="preserve">* Záleží na sile </w:t>
      </w:r>
      <w:r w:rsidR="009C557F">
        <w:rPr>
          <w:lang w:val="sk-SK"/>
        </w:rPr>
        <w:t xml:space="preserve">použitej </w:t>
      </w:r>
      <w:r>
        <w:rPr>
          <w:lang w:val="sk-SK"/>
        </w:rPr>
        <w:t xml:space="preserve">kapsuly. </w:t>
      </w:r>
    </w:p>
    <w:p w:rsidR="00D41417" w:rsidRDefault="00B1758A">
      <w:pPr>
        <w:spacing w:after="0" w:line="240" w:lineRule="auto"/>
        <w:ind w:left="0" w:right="0" w:firstLine="0"/>
        <w:contextualSpacing/>
        <w:rPr>
          <w:lang w:val="sk-SK"/>
        </w:rPr>
      </w:pPr>
      <w:r>
        <w:rPr>
          <w:lang w:val="sk-SK"/>
        </w:rPr>
        <w:lastRenderedPageBreak/>
        <w:t xml:space="preserve"> </w:t>
      </w:r>
    </w:p>
    <w:p w:rsidR="00D41417" w:rsidRDefault="00B1758A">
      <w:pPr>
        <w:spacing w:after="0" w:line="240" w:lineRule="auto"/>
        <w:ind w:left="0" w:right="0"/>
        <w:contextualSpacing/>
        <w:rPr>
          <w:lang w:val="sk-SK"/>
        </w:rPr>
      </w:pPr>
      <w:r>
        <w:rPr>
          <w:lang w:val="sk-SK"/>
        </w:rPr>
        <w:t xml:space="preserve">Po druhé, určite počet kapsúl a množstvo </w:t>
      </w:r>
      <w:proofErr w:type="spellStart"/>
      <w:r>
        <w:rPr>
          <w:lang w:val="sk-SK"/>
        </w:rPr>
        <w:t>vehikula</w:t>
      </w:r>
      <w:proofErr w:type="spellEnd"/>
      <w:r>
        <w:rPr>
          <w:lang w:val="sk-SK"/>
        </w:rPr>
        <w:t xml:space="preserve"> (voda obsahujúca 0,05 % m/V </w:t>
      </w:r>
      <w:proofErr w:type="spellStart"/>
      <w:r>
        <w:rPr>
          <w:lang w:val="sk-SK"/>
        </w:rPr>
        <w:t>benzo</w:t>
      </w:r>
      <w:r w:rsidR="004E52C5">
        <w:rPr>
          <w:lang w:val="sk-SK"/>
        </w:rPr>
        <w:t>átu</w:t>
      </w:r>
      <w:proofErr w:type="spellEnd"/>
      <w:r>
        <w:rPr>
          <w:lang w:val="sk-SK"/>
        </w:rPr>
        <w:t xml:space="preserve"> sodného, ktorý sa pridáva ako konzervačná látka), ktoré je potrebné na prípravu celkového objemu (vypočítaného podľa vyššie uvedenej tabuľky) suspenzie </w:t>
      </w:r>
      <w:r w:rsidR="004E52C5">
        <w:rPr>
          <w:lang w:val="sk-SK"/>
        </w:rPr>
        <w:t xml:space="preserve">s koncentráciou </w:t>
      </w:r>
      <w:r>
        <w:rPr>
          <w:lang w:val="sk-SK"/>
        </w:rPr>
        <w:t xml:space="preserve">6 mg/ml, tak ako to uvádza nasledujúca tabuľka: </w:t>
      </w:r>
    </w:p>
    <w:p w:rsidR="00D41417" w:rsidRDefault="00D41417">
      <w:pPr>
        <w:spacing w:after="0" w:line="240" w:lineRule="auto"/>
        <w:ind w:left="0" w:right="0"/>
        <w:contextualSpacing/>
        <w:rPr>
          <w:lang w:val="sk-SK"/>
        </w:rPr>
      </w:pPr>
    </w:p>
    <w:p w:rsidR="004E52C5" w:rsidRPr="00056DF3" w:rsidRDefault="00B1758A" w:rsidP="004E52C5">
      <w:pPr>
        <w:pStyle w:val="Nadpis2"/>
        <w:spacing w:after="0" w:line="240" w:lineRule="auto"/>
        <w:ind w:left="0" w:right="1221"/>
        <w:contextualSpacing/>
        <w:rPr>
          <w:b/>
          <w:lang w:val="sk-SK"/>
        </w:rPr>
      </w:pPr>
      <w:r w:rsidRPr="00056DF3">
        <w:rPr>
          <w:b/>
          <w:lang w:val="sk-SK"/>
        </w:rPr>
        <w:t xml:space="preserve">Počet kapsúl a množstvo </w:t>
      </w:r>
      <w:proofErr w:type="spellStart"/>
      <w:r w:rsidRPr="00056DF3">
        <w:rPr>
          <w:b/>
          <w:lang w:val="sk-SK"/>
        </w:rPr>
        <w:t>vehikula</w:t>
      </w:r>
      <w:proofErr w:type="spellEnd"/>
      <w:r w:rsidRPr="00056DF3">
        <w:rPr>
          <w:b/>
          <w:lang w:val="sk-SK"/>
        </w:rPr>
        <w:t xml:space="preserve"> potrebné na lekárenskú prípravu celkového objemu suspenzie</w:t>
      </w:r>
      <w:r w:rsidR="004E52C5" w:rsidRPr="00056DF3">
        <w:rPr>
          <w:b/>
          <w:lang w:val="sk-SK"/>
        </w:rPr>
        <w:t xml:space="preserve"> s koncentráciou </w:t>
      </w:r>
      <w:r w:rsidR="004E52C5" w:rsidRPr="004E52C5">
        <w:rPr>
          <w:b/>
          <w:u w:val="none"/>
          <w:lang w:val="sk-SK"/>
        </w:rPr>
        <w:t xml:space="preserve">6 mg/ml </w:t>
      </w:r>
    </w:p>
    <w:p w:rsidR="00D41417" w:rsidRDefault="004E52C5" w:rsidP="00056DF3">
      <w:pPr>
        <w:pStyle w:val="Nadpis1"/>
        <w:spacing w:after="0" w:line="240" w:lineRule="auto"/>
        <w:ind w:left="0" w:right="1221"/>
        <w:contextualSpacing/>
        <w:rPr>
          <w:lang w:val="sk-SK"/>
        </w:rPr>
      </w:pPr>
      <w:r>
        <w:rPr>
          <w:lang w:val="sk-SK"/>
        </w:rPr>
        <w:t xml:space="preserve"> </w:t>
      </w:r>
      <w:r w:rsidR="00B1758A">
        <w:rPr>
          <w:lang w:val="sk-SK"/>
        </w:rPr>
        <w:t xml:space="preserve"> </w:t>
      </w:r>
    </w:p>
    <w:tbl>
      <w:tblPr>
        <w:tblStyle w:val="TableGrid"/>
        <w:tblW w:w="9072" w:type="dxa"/>
        <w:tblInd w:w="12" w:type="dxa"/>
        <w:tblCellMar>
          <w:top w:w="51" w:type="dxa"/>
          <w:left w:w="115" w:type="dxa"/>
          <w:bottom w:w="5" w:type="dxa"/>
          <w:right w:w="93" w:type="dxa"/>
        </w:tblCellMar>
        <w:tblLook w:val="04A0" w:firstRow="1" w:lastRow="0" w:firstColumn="1" w:lastColumn="0" w:noHBand="0" w:noVBand="1"/>
      </w:tblPr>
      <w:tblGrid>
        <w:gridCol w:w="1843"/>
        <w:gridCol w:w="1825"/>
        <w:gridCol w:w="1844"/>
        <w:gridCol w:w="1841"/>
        <w:gridCol w:w="1719"/>
      </w:tblGrid>
      <w:tr w:rsidR="00D41417">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suspenzie, ktorý treba pripraviť </w:t>
            </w:r>
          </w:p>
        </w:tc>
        <w:tc>
          <w:tcPr>
            <w:tcW w:w="5510" w:type="dxa"/>
            <w:gridSpan w:val="3"/>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Požadované množstvo kapsúl </w:t>
            </w:r>
            <w:proofErr w:type="spellStart"/>
            <w:r>
              <w:rPr>
                <w:b/>
                <w:lang w:val="sk-SK"/>
              </w:rPr>
              <w:t>oseltamiviru</w:t>
            </w:r>
            <w:proofErr w:type="spellEnd"/>
            <w:r>
              <w:rPr>
                <w:b/>
                <w:lang w:val="sk-SK"/>
              </w:rPr>
              <w:t xml:space="preserve"> (mg </w:t>
            </w:r>
            <w:proofErr w:type="spellStart"/>
            <w:r>
              <w:rPr>
                <w:b/>
                <w:lang w:val="sk-SK"/>
              </w:rPr>
              <w:t>oseltamiviru</w:t>
            </w:r>
            <w:proofErr w:type="spellEnd"/>
            <w:r>
              <w:rPr>
                <w:b/>
                <w:lang w:val="sk-SK"/>
              </w:rPr>
              <w:t xml:space="preserve">) </w:t>
            </w:r>
          </w:p>
        </w:tc>
        <w:tc>
          <w:tcPr>
            <w:tcW w:w="1719"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Požadovaný objem </w:t>
            </w:r>
            <w:proofErr w:type="spellStart"/>
            <w:r>
              <w:rPr>
                <w:b/>
                <w:lang w:val="sk-SK"/>
              </w:rPr>
              <w:t>vehikula</w:t>
            </w:r>
            <w:proofErr w:type="spellEnd"/>
            <w:r>
              <w:rPr>
                <w:b/>
                <w:lang w:val="sk-SK"/>
              </w:rPr>
              <w:t xml:space="preserve"> </w:t>
            </w:r>
          </w:p>
        </w:tc>
      </w:tr>
      <w:tr w:rsidR="00D41417">
        <w:trPr>
          <w:trHeight w:val="262"/>
        </w:trPr>
        <w:tc>
          <w:tcPr>
            <w:tcW w:w="1843"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75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45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30 mg </w:t>
            </w:r>
          </w:p>
        </w:tc>
        <w:tc>
          <w:tcPr>
            <w:tcW w:w="1719"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70"/>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kapsúl </w:t>
            </w:r>
          </w:p>
          <w:p w:rsidR="00D41417" w:rsidRDefault="00B1758A">
            <w:pPr>
              <w:spacing w:after="0" w:line="240" w:lineRule="auto"/>
              <w:ind w:left="0" w:right="0" w:firstLine="0"/>
              <w:contextualSpacing/>
              <w:rPr>
                <w:lang w:val="sk-SK"/>
              </w:rPr>
            </w:pPr>
            <w:r>
              <w:rPr>
                <w:lang w:val="sk-SK"/>
              </w:rPr>
              <w:t xml:space="preserve">(360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kapsúl </w:t>
            </w:r>
          </w:p>
          <w:p w:rsidR="00D41417" w:rsidRDefault="00B1758A">
            <w:pPr>
              <w:spacing w:after="0" w:line="240" w:lineRule="auto"/>
              <w:ind w:left="0" w:right="0" w:firstLine="0"/>
              <w:contextualSpacing/>
              <w:rPr>
                <w:lang w:val="sk-SK"/>
              </w:rPr>
            </w:pPr>
            <w:r>
              <w:rPr>
                <w:lang w:val="sk-SK"/>
              </w:rPr>
              <w:t xml:space="preserve">(360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59,5 ml </w:t>
            </w:r>
          </w:p>
        </w:tc>
      </w:tr>
      <w:tr w:rsidR="00D41417">
        <w:trPr>
          <w:trHeight w:val="516"/>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kapsúl </w:t>
            </w:r>
          </w:p>
          <w:p w:rsidR="00D41417" w:rsidRDefault="00B1758A">
            <w:pPr>
              <w:spacing w:after="0" w:line="240" w:lineRule="auto"/>
              <w:ind w:left="0" w:right="0" w:firstLine="0"/>
              <w:contextualSpacing/>
              <w:rPr>
                <w:lang w:val="sk-SK"/>
              </w:rPr>
            </w:pPr>
            <w:r>
              <w:rPr>
                <w:lang w:val="sk-SK"/>
              </w:rPr>
              <w:t xml:space="preserve">(450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w:t>
            </w:r>
          </w:p>
          <w:p w:rsidR="00D41417" w:rsidRDefault="00B1758A">
            <w:pPr>
              <w:spacing w:after="0" w:line="240" w:lineRule="auto"/>
              <w:ind w:left="0" w:right="0" w:firstLine="0"/>
              <w:contextualSpacing/>
              <w:rPr>
                <w:lang w:val="sk-SK"/>
              </w:rPr>
            </w:pPr>
            <w:r>
              <w:rPr>
                <w:lang w:val="sk-SK"/>
              </w:rPr>
              <w:t xml:space="preserve">(450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kapsúl </w:t>
            </w:r>
          </w:p>
          <w:p w:rsidR="00D41417" w:rsidRDefault="00B1758A">
            <w:pPr>
              <w:spacing w:after="0" w:line="240" w:lineRule="auto"/>
              <w:ind w:left="0" w:right="0" w:firstLine="0"/>
              <w:contextualSpacing/>
              <w:rPr>
                <w:lang w:val="sk-SK"/>
              </w:rPr>
            </w:pPr>
            <w:r>
              <w:rPr>
                <w:lang w:val="sk-SK"/>
              </w:rPr>
              <w:t xml:space="preserve">(450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74 ml </w:t>
            </w:r>
          </w:p>
        </w:tc>
      </w:tr>
      <w:tr w:rsidR="00D41417">
        <w:trPr>
          <w:trHeight w:val="768"/>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90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kapsúl (540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kapsúl </w:t>
            </w:r>
          </w:p>
          <w:p w:rsidR="00D41417" w:rsidRDefault="00B1758A">
            <w:pPr>
              <w:spacing w:after="0" w:line="240" w:lineRule="auto"/>
              <w:ind w:left="0" w:right="0" w:firstLine="0"/>
              <w:contextualSpacing/>
              <w:rPr>
                <w:lang w:val="sk-SK"/>
              </w:rPr>
            </w:pPr>
            <w:r>
              <w:rPr>
                <w:lang w:val="sk-SK"/>
              </w:rPr>
              <w:t xml:space="preserve">(540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89 ml </w:t>
            </w:r>
          </w:p>
        </w:tc>
      </w:tr>
      <w:tr w:rsidR="00D41417">
        <w:trPr>
          <w:trHeight w:val="768"/>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100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kapsúl </w:t>
            </w:r>
          </w:p>
          <w:p w:rsidR="00D41417" w:rsidRDefault="00B1758A">
            <w:pPr>
              <w:spacing w:after="0" w:line="240" w:lineRule="auto"/>
              <w:ind w:left="0" w:right="0" w:firstLine="0"/>
              <w:contextualSpacing/>
              <w:rPr>
                <w:lang w:val="sk-SK"/>
              </w:rPr>
            </w:pPr>
            <w:r>
              <w:rPr>
                <w:lang w:val="sk-SK"/>
              </w:rPr>
              <w:t xml:space="preserve">(600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20 kapsúl </w:t>
            </w:r>
          </w:p>
          <w:p w:rsidR="00D41417" w:rsidRDefault="00B1758A">
            <w:pPr>
              <w:spacing w:after="0" w:line="240" w:lineRule="auto"/>
              <w:ind w:left="0" w:right="0" w:firstLine="0"/>
              <w:contextualSpacing/>
              <w:rPr>
                <w:lang w:val="sk-SK"/>
              </w:rPr>
            </w:pPr>
            <w:r>
              <w:rPr>
                <w:lang w:val="sk-SK"/>
              </w:rPr>
              <w:t xml:space="preserve">(600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98,5 ml </w:t>
            </w:r>
          </w:p>
        </w:tc>
      </w:tr>
      <w:tr w:rsidR="00D41417">
        <w:trPr>
          <w:trHeight w:val="770"/>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w:t>
            </w:r>
          </w:p>
          <w:p w:rsidR="00D41417" w:rsidRDefault="00B1758A">
            <w:pPr>
              <w:spacing w:after="0" w:line="240" w:lineRule="auto"/>
              <w:ind w:left="0" w:right="0" w:firstLine="0"/>
              <w:contextualSpacing/>
              <w:rPr>
                <w:lang w:val="sk-SK"/>
              </w:rPr>
            </w:pPr>
            <w:r>
              <w:rPr>
                <w:lang w:val="sk-SK"/>
              </w:rPr>
              <w:t xml:space="preserve">(750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25 kapsúl </w:t>
            </w:r>
          </w:p>
          <w:p w:rsidR="00D41417" w:rsidRDefault="00B1758A">
            <w:pPr>
              <w:spacing w:after="0" w:line="240" w:lineRule="auto"/>
              <w:ind w:left="0" w:right="0" w:firstLine="0"/>
              <w:contextualSpacing/>
              <w:rPr>
                <w:lang w:val="sk-SK"/>
              </w:rPr>
            </w:pPr>
            <w:r>
              <w:rPr>
                <w:lang w:val="sk-SK"/>
              </w:rPr>
              <w:t xml:space="preserve">(750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123,5 ml </w:t>
            </w:r>
          </w:p>
        </w:tc>
      </w:tr>
      <w:tr w:rsidR="00D41417">
        <w:trPr>
          <w:trHeight w:val="768"/>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137,5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11 kapsúl </w:t>
            </w:r>
          </w:p>
          <w:p w:rsidR="00D41417" w:rsidRDefault="00B1758A">
            <w:pPr>
              <w:spacing w:after="0" w:line="240" w:lineRule="auto"/>
              <w:ind w:left="0" w:right="0" w:firstLine="0"/>
              <w:contextualSpacing/>
              <w:rPr>
                <w:lang w:val="sk-SK"/>
              </w:rPr>
            </w:pPr>
            <w:r>
              <w:rPr>
                <w:lang w:val="sk-SK"/>
              </w:rPr>
              <w:t xml:space="preserve">(825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136 ml </w:t>
            </w:r>
          </w:p>
        </w:tc>
      </w:tr>
    </w:tbl>
    <w:p w:rsidR="00D41417" w:rsidRDefault="00B1758A">
      <w:pPr>
        <w:spacing w:after="0" w:line="240" w:lineRule="auto"/>
        <w:ind w:left="0" w:right="0" w:hanging="142"/>
        <w:contextualSpacing/>
        <w:rPr>
          <w:lang w:val="sk-SK"/>
        </w:rPr>
      </w:pPr>
      <w:r>
        <w:rPr>
          <w:lang w:val="sk-SK"/>
        </w:rPr>
        <w:t xml:space="preserve">*Neexistuje žiadna kombinácia kapsúl s takýmto obsahom liečiva na dosiahnutie cieľovej koncentrácie; z tohto dôvodu použite, prosím, inú silu kapsuly.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241D07">
        <w:rPr>
          <w:lang w:val="sk-SK"/>
        </w:rPr>
        <w:t>Po tretie, dodržiavajte nižšie uvedený</w:t>
      </w:r>
      <w:r w:rsidRPr="00800829">
        <w:rPr>
          <w:lang w:val="sk-SK"/>
        </w:rPr>
        <w:t xml:space="preserve"> postup</w:t>
      </w:r>
      <w:r>
        <w:rPr>
          <w:lang w:val="sk-SK"/>
        </w:rPr>
        <w:t xml:space="preserve"> na prípravu suspenzie </w:t>
      </w:r>
      <w:r w:rsidR="00800829">
        <w:rPr>
          <w:lang w:val="sk-SK"/>
        </w:rPr>
        <w:t xml:space="preserve">s koncentráciou </w:t>
      </w:r>
      <w:r>
        <w:rPr>
          <w:lang w:val="sk-SK"/>
        </w:rPr>
        <w:t xml:space="preserve">6 mg/ml z kapsúl </w:t>
      </w:r>
      <w:proofErr w:type="spellStart"/>
      <w:r>
        <w:rPr>
          <w:lang w:val="sk-SK"/>
        </w:rPr>
        <w:t>oseltamiviru</w:t>
      </w:r>
      <w:proofErr w:type="spellEnd"/>
      <w:r>
        <w:rPr>
          <w:lang w:val="sk-SK"/>
        </w:rPr>
        <w:t xml:space="preserve">: </w:t>
      </w:r>
    </w:p>
    <w:p w:rsidR="00D41417" w:rsidRDefault="00B1758A">
      <w:pPr>
        <w:numPr>
          <w:ilvl w:val="0"/>
          <w:numId w:val="4"/>
        </w:numPr>
        <w:spacing w:after="0" w:line="240" w:lineRule="auto"/>
        <w:ind w:left="567" w:right="0" w:hanging="566"/>
        <w:contextualSpacing/>
        <w:rPr>
          <w:lang w:val="sk-SK"/>
        </w:rPr>
      </w:pPr>
      <w:r>
        <w:rPr>
          <w:lang w:val="sk-SK"/>
        </w:rPr>
        <w:t xml:space="preserve">Do skleneného pohára primeranej veľkosti nalejte potrebné množstvo vody obsahujúcej 0,05 % m/V </w:t>
      </w:r>
      <w:proofErr w:type="spellStart"/>
      <w:r>
        <w:rPr>
          <w:lang w:val="sk-SK"/>
        </w:rPr>
        <w:t>benzo</w:t>
      </w:r>
      <w:r w:rsidR="00800829">
        <w:rPr>
          <w:lang w:val="sk-SK"/>
        </w:rPr>
        <w:t>átu</w:t>
      </w:r>
      <w:proofErr w:type="spellEnd"/>
      <w:r>
        <w:rPr>
          <w:lang w:val="sk-SK"/>
        </w:rPr>
        <w:t xml:space="preserve"> sodného, ktorý sa pridáva ako konzervačná látka. </w:t>
      </w:r>
    </w:p>
    <w:p w:rsidR="00D41417" w:rsidRDefault="00B1758A">
      <w:pPr>
        <w:numPr>
          <w:ilvl w:val="0"/>
          <w:numId w:val="4"/>
        </w:numPr>
        <w:spacing w:after="0" w:line="240" w:lineRule="auto"/>
        <w:ind w:left="567" w:right="0" w:hanging="566"/>
        <w:contextualSpacing/>
        <w:rPr>
          <w:lang w:val="sk-SK"/>
        </w:rPr>
      </w:pPr>
      <w:r>
        <w:rPr>
          <w:lang w:val="sk-SK"/>
        </w:rPr>
        <w:t xml:space="preserve">Otvorte uvedené množstvo kapsúl </w:t>
      </w:r>
      <w:proofErr w:type="spellStart"/>
      <w:r>
        <w:rPr>
          <w:lang w:val="sk-SK"/>
        </w:rPr>
        <w:t>oseltamiviru</w:t>
      </w:r>
      <w:proofErr w:type="spellEnd"/>
      <w:r>
        <w:rPr>
          <w:lang w:val="sk-SK"/>
        </w:rPr>
        <w:t xml:space="preserve"> a obsah každej kapsuly vysypte priamo do vody s konzervačnou látkou v sklenenom pohári. </w:t>
      </w:r>
    </w:p>
    <w:p w:rsidR="00D41417" w:rsidRDefault="00B1758A">
      <w:pPr>
        <w:numPr>
          <w:ilvl w:val="0"/>
          <w:numId w:val="4"/>
        </w:numPr>
        <w:spacing w:after="0" w:line="240" w:lineRule="auto"/>
        <w:ind w:left="567" w:right="0" w:hanging="566"/>
        <w:contextualSpacing/>
        <w:rPr>
          <w:lang w:val="sk-SK"/>
        </w:rPr>
      </w:pPr>
      <w:r>
        <w:rPr>
          <w:lang w:val="sk-SK"/>
        </w:rPr>
        <w:t xml:space="preserve">Vhodným miešadlom miešajte 2 minúty. </w:t>
      </w:r>
    </w:p>
    <w:p w:rsidR="00D41417" w:rsidRDefault="00B1758A">
      <w:pPr>
        <w:spacing w:after="0" w:line="240" w:lineRule="auto"/>
        <w:ind w:left="567" w:right="0" w:hanging="566"/>
        <w:contextualSpacing/>
        <w:rPr>
          <w:lang w:val="sk-SK"/>
        </w:rPr>
      </w:pPr>
      <w:r>
        <w:rPr>
          <w:lang w:val="sk-SK"/>
        </w:rPr>
        <w:t xml:space="preserve"> </w:t>
      </w:r>
      <w:r>
        <w:rPr>
          <w:lang w:val="sk-SK"/>
        </w:rPr>
        <w:tab/>
        <w:t xml:space="preserve">(Poznámka: Liečivo, </w:t>
      </w:r>
      <w:proofErr w:type="spellStart"/>
      <w:r>
        <w:rPr>
          <w:lang w:val="sk-SK"/>
        </w:rPr>
        <w:t>oseltami</w:t>
      </w:r>
      <w:r w:rsidR="00800829">
        <w:rPr>
          <w:lang w:val="sk-SK"/>
        </w:rPr>
        <w:t>vírium</w:t>
      </w:r>
      <w:proofErr w:type="spellEnd"/>
      <w:r w:rsidR="00800829">
        <w:rPr>
          <w:lang w:val="sk-SK"/>
        </w:rPr>
        <w:t>-fosfát</w:t>
      </w:r>
      <w:r>
        <w:rPr>
          <w:lang w:val="sk-SK"/>
        </w:rPr>
        <w:t xml:space="preserve">, sa vo vode rýchlo rozpúšťa. Vznik suspenzie spôsobujú niektoré pomocné látky kapsúl </w:t>
      </w:r>
      <w:proofErr w:type="spellStart"/>
      <w:r>
        <w:rPr>
          <w:lang w:val="sk-SK"/>
        </w:rPr>
        <w:t>oseltamiviru</w:t>
      </w:r>
      <w:proofErr w:type="spellEnd"/>
      <w:r>
        <w:rPr>
          <w:lang w:val="sk-SK"/>
        </w:rPr>
        <w:t xml:space="preserve">, ktoré nie sú rozpustné.) </w:t>
      </w:r>
    </w:p>
    <w:p w:rsidR="00D41417" w:rsidRDefault="00B1758A">
      <w:pPr>
        <w:numPr>
          <w:ilvl w:val="0"/>
          <w:numId w:val="4"/>
        </w:numPr>
        <w:spacing w:after="0" w:line="240" w:lineRule="auto"/>
        <w:ind w:left="567" w:right="0" w:hanging="566"/>
        <w:contextualSpacing/>
        <w:rPr>
          <w:lang w:val="sk-SK"/>
        </w:rPr>
      </w:pPr>
      <w:r>
        <w:rPr>
          <w:lang w:val="sk-SK"/>
        </w:rPr>
        <w:t xml:space="preserve">Prelejte suspenziu do </w:t>
      </w:r>
      <w:r w:rsidR="00FC785C">
        <w:rPr>
          <w:lang w:val="sk-SK"/>
        </w:rPr>
        <w:t>nádobky</w:t>
      </w:r>
      <w:r w:rsidR="00800829">
        <w:rPr>
          <w:lang w:val="sk-SK"/>
        </w:rPr>
        <w:t xml:space="preserve"> z jantárového skla</w:t>
      </w:r>
      <w:r>
        <w:rPr>
          <w:lang w:val="sk-SK"/>
        </w:rPr>
        <w:t xml:space="preserve"> alebo </w:t>
      </w:r>
      <w:proofErr w:type="spellStart"/>
      <w:r>
        <w:rPr>
          <w:lang w:val="sk-SK"/>
        </w:rPr>
        <w:t>polyetyléntereftalátovej</w:t>
      </w:r>
      <w:proofErr w:type="spellEnd"/>
      <w:r>
        <w:rPr>
          <w:lang w:val="sk-SK"/>
        </w:rPr>
        <w:t xml:space="preserve"> (PET) </w:t>
      </w:r>
      <w:r w:rsidR="00800829">
        <w:rPr>
          <w:lang w:val="sk-SK"/>
        </w:rPr>
        <w:t>liekovky z jantárového skla</w:t>
      </w:r>
      <w:r>
        <w:rPr>
          <w:lang w:val="sk-SK"/>
        </w:rPr>
        <w:t xml:space="preserve">. Aby sa zabránilo porozlievaniu, možno použiť lievik. </w:t>
      </w:r>
    </w:p>
    <w:p w:rsidR="00D41417" w:rsidRDefault="00B1758A">
      <w:pPr>
        <w:numPr>
          <w:ilvl w:val="0"/>
          <w:numId w:val="4"/>
        </w:numPr>
        <w:spacing w:after="0" w:line="240" w:lineRule="auto"/>
        <w:ind w:left="567" w:right="0" w:hanging="566"/>
        <w:contextualSpacing/>
        <w:rPr>
          <w:lang w:val="sk-SK"/>
        </w:rPr>
      </w:pPr>
      <w:r>
        <w:rPr>
          <w:lang w:val="sk-SK"/>
        </w:rPr>
        <w:t xml:space="preserve">Uzatvorte liekovku </w:t>
      </w:r>
      <w:r w:rsidR="00800829">
        <w:rPr>
          <w:lang w:val="sk-SK"/>
        </w:rPr>
        <w:t xml:space="preserve">detským bezpečnostným </w:t>
      </w:r>
      <w:r>
        <w:rPr>
          <w:lang w:val="sk-SK"/>
        </w:rPr>
        <w:t>uzáverom</w:t>
      </w:r>
      <w:r w:rsidR="00800829">
        <w:rPr>
          <w:lang w:val="sk-SK"/>
        </w:rPr>
        <w:t>.</w:t>
      </w:r>
      <w:r>
        <w:rPr>
          <w:lang w:val="sk-SK"/>
        </w:rPr>
        <w:t xml:space="preserve">  </w:t>
      </w:r>
    </w:p>
    <w:p w:rsidR="00D41417" w:rsidRDefault="00B1758A">
      <w:pPr>
        <w:numPr>
          <w:ilvl w:val="0"/>
          <w:numId w:val="4"/>
        </w:numPr>
        <w:spacing w:after="0" w:line="240" w:lineRule="auto"/>
        <w:ind w:left="567" w:right="0" w:hanging="566"/>
        <w:contextualSpacing/>
        <w:rPr>
          <w:lang w:val="sk-SK"/>
        </w:rPr>
      </w:pPr>
      <w:r>
        <w:rPr>
          <w:lang w:val="sk-SK"/>
        </w:rPr>
        <w:t xml:space="preserve">Nalepte doplnkový štítok na liekovku s označením „Pred použitím jemne pretrepte”. </w:t>
      </w:r>
    </w:p>
    <w:p w:rsidR="00D41417" w:rsidRDefault="00B1758A">
      <w:pPr>
        <w:spacing w:after="0" w:line="240" w:lineRule="auto"/>
        <w:ind w:left="567" w:right="0" w:hanging="566"/>
        <w:contextualSpacing/>
        <w:rPr>
          <w:lang w:val="sk-SK"/>
        </w:rPr>
      </w:pPr>
      <w:r>
        <w:rPr>
          <w:lang w:val="sk-SK"/>
        </w:rPr>
        <w:t xml:space="preserve"> </w:t>
      </w:r>
      <w:r>
        <w:rPr>
          <w:lang w:val="sk-SK"/>
        </w:rPr>
        <w:tab/>
        <w:t xml:space="preserve">(Poznámka: Pripravená suspenzia sa má pred podaním jemne pretrepať, aby sa minimalizovala tendencia k pohlcovaniu vzduchu) </w:t>
      </w:r>
    </w:p>
    <w:p w:rsidR="00D41417" w:rsidRDefault="00B1758A">
      <w:pPr>
        <w:numPr>
          <w:ilvl w:val="0"/>
          <w:numId w:val="4"/>
        </w:numPr>
        <w:spacing w:after="0" w:line="240" w:lineRule="auto"/>
        <w:ind w:left="567" w:right="0" w:hanging="566"/>
        <w:contextualSpacing/>
        <w:rPr>
          <w:lang w:val="sk-SK"/>
        </w:rPr>
      </w:pPr>
      <w:r>
        <w:rPr>
          <w:lang w:val="sk-SK"/>
        </w:rPr>
        <w:t xml:space="preserve">Upozornite rodiča alebo opatrovateľa, že po skončení liečby sa všetok nespotrebovaný materiál musí zlikvidovať. Odporúča sa, aby táto informácia bola sprostredkovaná buď nalepením doplnkového štítku na liekovku alebo doplnením informácie k pokynom na lekárenskom štítku. </w:t>
      </w:r>
    </w:p>
    <w:p w:rsidR="00D41417" w:rsidRDefault="00B1758A">
      <w:pPr>
        <w:numPr>
          <w:ilvl w:val="0"/>
          <w:numId w:val="4"/>
        </w:numPr>
        <w:spacing w:after="0" w:line="240" w:lineRule="auto"/>
        <w:ind w:left="567" w:right="0" w:hanging="566"/>
        <w:contextualSpacing/>
        <w:rPr>
          <w:lang w:val="sk-SK"/>
        </w:rPr>
      </w:pPr>
      <w:r>
        <w:rPr>
          <w:lang w:val="sk-SK"/>
        </w:rPr>
        <w:t xml:space="preserve">Umiestnite príslušný štítok s dátumom exspirácie podľa podmienok na </w:t>
      </w:r>
      <w:r w:rsidR="00EF014F">
        <w:rPr>
          <w:lang w:val="sk-SK"/>
        </w:rPr>
        <w:t xml:space="preserve">uchovávanie </w:t>
      </w:r>
      <w:r>
        <w:rPr>
          <w:lang w:val="sk-SK"/>
        </w:rPr>
        <w:t>(</w:t>
      </w:r>
      <w:r w:rsidR="00CD7414">
        <w:rPr>
          <w:lang w:val="sk-SK"/>
        </w:rPr>
        <w:t>pozri časť</w:t>
      </w:r>
      <w:r>
        <w:rPr>
          <w:lang w:val="sk-SK"/>
        </w:rPr>
        <w:t xml:space="preserve"> 6.3).</w:t>
      </w:r>
    </w:p>
    <w:p w:rsidR="00D41417" w:rsidRDefault="00B1758A">
      <w:pPr>
        <w:spacing w:after="0" w:line="240" w:lineRule="auto"/>
        <w:ind w:left="567"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B1758A">
        <w:rPr>
          <w:lang w:val="sk-SK"/>
        </w:rPr>
        <w:lastRenderedPageBreak/>
        <w:t>Umiestnite na liekovku lekárenský štítok</w:t>
      </w:r>
      <w:r>
        <w:rPr>
          <w:lang w:val="sk-SK"/>
        </w:rPr>
        <w:t xml:space="preserve">, kde bude meno pacienta, pokyny na dávkovanie, použitie do určitého dátumu, názov lieku a všetky ďalšie požadované informácie, aby boli v súlade s miestnymi smernicami pre lekárne. Použite nižšie uvedenú tabuľku pokynov na správne dávkovanie.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1"/>
        <w:spacing w:after="0" w:line="240" w:lineRule="auto"/>
        <w:ind w:left="0" w:right="1221"/>
        <w:contextualSpacing/>
        <w:rPr>
          <w:lang w:val="sk-SK"/>
        </w:rPr>
      </w:pPr>
      <w:r>
        <w:rPr>
          <w:lang w:val="sk-SK"/>
        </w:rPr>
        <w:t xml:space="preserve">Dávkovacia schéma suspenzie s koncentráciou 6 mg/ml pripravenej v lekárni z kapsúl </w:t>
      </w:r>
      <w:proofErr w:type="spellStart"/>
      <w:r>
        <w:rPr>
          <w:lang w:val="sk-SK"/>
        </w:rPr>
        <w:t>oseltamiviru</w:t>
      </w:r>
      <w:proofErr w:type="spellEnd"/>
      <w:r>
        <w:rPr>
          <w:lang w:val="sk-SK"/>
        </w:rPr>
        <w:t xml:space="preserve"> pre dojčatá a deti vo veku 1 rok alebo staršie </w:t>
      </w:r>
    </w:p>
    <w:tbl>
      <w:tblPr>
        <w:tblStyle w:val="TableGrid"/>
        <w:tblW w:w="9072" w:type="dxa"/>
        <w:tblInd w:w="12" w:type="dxa"/>
        <w:tblCellMar>
          <w:top w:w="51" w:type="dxa"/>
          <w:left w:w="108" w:type="dxa"/>
          <w:bottom w:w="5" w:type="dxa"/>
          <w:right w:w="41" w:type="dxa"/>
        </w:tblCellMar>
        <w:tblLook w:val="04A0" w:firstRow="1" w:lastRow="0" w:firstColumn="1" w:lastColumn="0" w:noHBand="0" w:noVBand="1"/>
      </w:tblPr>
      <w:tblGrid>
        <w:gridCol w:w="1701"/>
        <w:gridCol w:w="1134"/>
        <w:gridCol w:w="1842"/>
        <w:gridCol w:w="2269"/>
        <w:gridCol w:w="2126"/>
      </w:tblGrid>
      <w:tr w:rsidR="00D41417">
        <w:trPr>
          <w:trHeight w:val="59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w:t>
            </w:r>
            <w:r>
              <w:rPr>
                <w:b/>
                <w:lang w:val="sk-SK"/>
              </w:rPr>
              <w:t xml:space="preserve">Telesná hmotnosť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Dávka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Objem na jednu dávku 6 mg/ml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Liečebná dávka (na 5 dní)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Preventívna dávka (na 10 dní) </w:t>
            </w:r>
          </w:p>
        </w:tc>
      </w:tr>
      <w:tr w:rsidR="00D41417">
        <w:trPr>
          <w:trHeight w:val="26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10 kg až 15 kg</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ml dvakrát denne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ml raz denne </w:t>
            </w:r>
          </w:p>
        </w:tc>
      </w:tr>
      <w:tr w:rsidR="00D41417">
        <w:trPr>
          <w:trHeight w:val="262"/>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15 kg až 23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7,5 ml dvakrát denne</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raz denne </w:t>
            </w:r>
          </w:p>
        </w:tc>
      </w:tr>
      <w:tr w:rsidR="00D41417">
        <w:trPr>
          <w:trHeight w:val="26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23 kg až 40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10 ml dvakrát denne</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10 ml raz denne</w:t>
            </w:r>
          </w:p>
        </w:tc>
      </w:tr>
      <w:tr w:rsidR="00D41417">
        <w:trPr>
          <w:trHeight w:val="26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dvakrát denne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12,5 ml raz denne</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1C72BA">
        <w:rPr>
          <w:lang w:val="sk-SK"/>
        </w:rPr>
        <w:t>Suspenziu vydávajte s kalibrovanou perorálnou</w:t>
      </w:r>
      <w:r>
        <w:rPr>
          <w:lang w:val="sk-SK"/>
        </w:rPr>
        <w:t xml:space="preserve"> striekačkou na odmeranie malého množstva suspenzie. Ak je to možné, vyznačte alebo zvýraznite kalibrovanie zodpovedajúce príslušnej dávke (podľa dávkovacej tabuľky uvedenej vyššie) na perorálnej striekačke pre každého pacienta.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Je nutné, aby príslušnú dávku opatrovateľ zmiešal s rovnakým množstvom sladkého tekutého pokrmu ako ocukrená voda, čokoládový sirup, čerešňový sirup, dezertné polevy (ako karamel alebo fondánová poleva) na prekrytie horkej chuti.</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u w:val="single" w:color="000000"/>
          <w:lang w:val="sk-SK"/>
        </w:rPr>
        <w:t>Dojčatá mladšie ako 1 rok</w:t>
      </w:r>
      <w:r>
        <w:rPr>
          <w:i/>
          <w:lang w:val="sk-SK"/>
        </w:rPr>
        <w:t xml:space="preserve"> </w:t>
      </w:r>
    </w:p>
    <w:p w:rsidR="00D41417" w:rsidRDefault="00B1758A">
      <w:pPr>
        <w:spacing w:after="0" w:line="240" w:lineRule="auto"/>
        <w:ind w:left="0" w:right="0"/>
        <w:contextualSpacing/>
        <w:rPr>
          <w:lang w:val="sk-SK"/>
        </w:rPr>
      </w:pPr>
      <w:r>
        <w:rPr>
          <w:lang w:val="sk-SK"/>
        </w:rPr>
        <w:t xml:space="preserve">Tento postup opisuje prípravu suspenzie s koncentráciou 6 mg/ml, čo zabezpečí dostatočné množstvo lieku pre jedného pacienta na 5-dňový cyklus liečby alebo 10-dňový cyklus prevencie.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Lekárnik môže pripraviť suspenziu s koncentráciou 6 mg/ml z kapsúl </w:t>
      </w:r>
      <w:proofErr w:type="spellStart"/>
      <w:r>
        <w:rPr>
          <w:lang w:val="sk-SK"/>
        </w:rPr>
        <w:t>oseltamiviru</w:t>
      </w:r>
      <w:proofErr w:type="spellEnd"/>
      <w:r>
        <w:rPr>
          <w:lang w:val="sk-SK"/>
        </w:rPr>
        <w:t xml:space="preserve"> 30 mg, 45 mg alebo 75 mg s použitím vody obsahujúcej 0,05 % m/V </w:t>
      </w:r>
      <w:proofErr w:type="spellStart"/>
      <w:r>
        <w:rPr>
          <w:lang w:val="sk-SK"/>
        </w:rPr>
        <w:t>benzo</w:t>
      </w:r>
      <w:r w:rsidR="00584E1F">
        <w:rPr>
          <w:lang w:val="sk-SK"/>
        </w:rPr>
        <w:t>átu</w:t>
      </w:r>
      <w:proofErr w:type="spellEnd"/>
      <w:r>
        <w:rPr>
          <w:lang w:val="sk-SK"/>
        </w:rPr>
        <w:t xml:space="preserve"> sodného, ktorý sa pridáva ako konzervačná látka.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Po prvé, vypočítajte celkový objem, ktorý treba pripraviť a vydať pre jednotlivého pacienta. Požadovaný celkový objem sa určuje telesnou hmotnosťou jednotlivého pacienta na základe odpor</w:t>
      </w:r>
      <w:r w:rsidR="00215721">
        <w:rPr>
          <w:lang w:val="sk-SK"/>
        </w:rPr>
        <w:t>úča</w:t>
      </w:r>
      <w:r>
        <w:rPr>
          <w:lang w:val="sk-SK"/>
        </w:rPr>
        <w:t xml:space="preserve">nia v tabuľke nižšie. Aby sa dal odobrať presný objem potrebný na získanie až 10 dávok (2 dávky denne sa odoberú počas 5 dní), je potrebné vziať do úvahy aj stĺpec zobrazujúci straty počas odmeriavania množstva pri príprave suspenzie: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contextualSpacing/>
        <w:rPr>
          <w:lang w:val="sk-SK"/>
        </w:rPr>
      </w:pPr>
      <w:r>
        <w:rPr>
          <w:lang w:val="sk-SK"/>
        </w:rPr>
        <w:t xml:space="preserve">Objem suspenzie </w:t>
      </w:r>
      <w:r w:rsidR="00215721">
        <w:rPr>
          <w:lang w:val="sk-SK"/>
        </w:rPr>
        <w:t xml:space="preserve">s koncentráciou </w:t>
      </w:r>
      <w:r>
        <w:rPr>
          <w:lang w:val="sk-SK"/>
        </w:rPr>
        <w:t xml:space="preserve">6 mg/ml </w:t>
      </w:r>
      <w:r w:rsidR="00215721">
        <w:rPr>
          <w:lang w:val="sk-SK"/>
        </w:rPr>
        <w:t xml:space="preserve">pripravovanej </w:t>
      </w:r>
      <w:r>
        <w:rPr>
          <w:lang w:val="sk-SK"/>
        </w:rPr>
        <w:t xml:space="preserve">v lekárni podľa telesnej hmotnosti pacienta </w:t>
      </w:r>
    </w:p>
    <w:p w:rsidR="00D41417" w:rsidRDefault="00B1758A">
      <w:pPr>
        <w:spacing w:after="0" w:line="240" w:lineRule="auto"/>
        <w:ind w:left="0" w:right="0" w:firstLine="0"/>
        <w:contextualSpacing/>
        <w:rPr>
          <w:lang w:val="sk-SK"/>
        </w:rPr>
      </w:pPr>
      <w:r>
        <w:rPr>
          <w:lang w:val="sk-SK"/>
        </w:rPr>
        <w:t xml:space="preserve"> </w:t>
      </w:r>
    </w:p>
    <w:tbl>
      <w:tblPr>
        <w:tblStyle w:val="TableGrid"/>
        <w:tblW w:w="8506" w:type="dxa"/>
        <w:tblInd w:w="12" w:type="dxa"/>
        <w:tblCellMar>
          <w:top w:w="51" w:type="dxa"/>
          <w:left w:w="115" w:type="dxa"/>
          <w:right w:w="89" w:type="dxa"/>
        </w:tblCellMar>
        <w:tblLook w:val="04A0" w:firstRow="1" w:lastRow="0" w:firstColumn="1" w:lastColumn="0" w:noHBand="0" w:noVBand="1"/>
      </w:tblPr>
      <w:tblGrid>
        <w:gridCol w:w="1984"/>
        <w:gridCol w:w="3385"/>
        <w:gridCol w:w="3137"/>
      </w:tblGrid>
      <w:tr w:rsidR="00D41417">
        <w:trPr>
          <w:trHeight w:val="1132"/>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(kg) </w:t>
            </w:r>
          </w:p>
        </w:tc>
        <w:tc>
          <w:tcPr>
            <w:tcW w:w="338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b/>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nie sú zahrnuté </w:t>
            </w:r>
          </w:p>
        </w:tc>
        <w:tc>
          <w:tcPr>
            <w:tcW w:w="31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sú zahrnuté </w:t>
            </w:r>
          </w:p>
        </w:tc>
      </w:tr>
      <w:tr w:rsidR="00D41417">
        <w:trPr>
          <w:trHeight w:val="39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rFonts w:eastAsia="Arial"/>
                <w:lang w:val="sk-SK"/>
              </w:rPr>
              <w:t>≤</w:t>
            </w:r>
            <w:r>
              <w:rPr>
                <w:lang w:val="sk-SK"/>
              </w:rPr>
              <w:t xml:space="preserve"> 7 kg </w:t>
            </w:r>
          </w:p>
        </w:tc>
        <w:tc>
          <w:tcPr>
            <w:tcW w:w="338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až 40 ml </w:t>
            </w:r>
          </w:p>
        </w:tc>
        <w:tc>
          <w:tcPr>
            <w:tcW w:w="31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26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7 kg až 10 kg </w:t>
            </w:r>
          </w:p>
        </w:tc>
        <w:tc>
          <w:tcPr>
            <w:tcW w:w="338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c>
          <w:tcPr>
            <w:tcW w:w="31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60 ml alebo 75 ml* </w:t>
            </w:r>
          </w:p>
        </w:tc>
      </w:tr>
    </w:tbl>
    <w:p w:rsidR="00D41417" w:rsidRDefault="00B1758A">
      <w:pPr>
        <w:spacing w:after="0" w:line="240" w:lineRule="auto"/>
        <w:ind w:left="0" w:right="0" w:hanging="10"/>
        <w:contextualSpacing/>
        <w:rPr>
          <w:lang w:val="sk-SK"/>
        </w:rPr>
      </w:pPr>
      <w:r>
        <w:rPr>
          <w:lang w:val="sk-SK"/>
        </w:rPr>
        <w:t xml:space="preserve">* Záleží na použitej sile kapsuly.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Po druhé, určite počet kapsúl a množstvo </w:t>
      </w:r>
      <w:proofErr w:type="spellStart"/>
      <w:r>
        <w:rPr>
          <w:lang w:val="sk-SK"/>
        </w:rPr>
        <w:t>vehikula</w:t>
      </w:r>
      <w:proofErr w:type="spellEnd"/>
      <w:r>
        <w:rPr>
          <w:lang w:val="sk-SK"/>
        </w:rPr>
        <w:t xml:space="preserve"> (voda obsahujúcej 0,05 % m/V </w:t>
      </w:r>
      <w:proofErr w:type="spellStart"/>
      <w:r>
        <w:rPr>
          <w:lang w:val="sk-SK"/>
        </w:rPr>
        <w:t>benzo</w:t>
      </w:r>
      <w:r w:rsidR="002616B4">
        <w:rPr>
          <w:lang w:val="sk-SK"/>
        </w:rPr>
        <w:t>átu</w:t>
      </w:r>
      <w:proofErr w:type="spellEnd"/>
      <w:r>
        <w:rPr>
          <w:lang w:val="sk-SK"/>
        </w:rPr>
        <w:t xml:space="preserve"> sodného, ktorý sa pridáva ako konzervačná látka), ktoré je potrebné na prípravu celkového objemu (vypočítaného podľa vyššie uvedenej tabuľky) suspenzie </w:t>
      </w:r>
      <w:r w:rsidR="002616B4">
        <w:rPr>
          <w:lang w:val="sk-SK"/>
        </w:rPr>
        <w:t xml:space="preserve">s koncentráciou </w:t>
      </w:r>
      <w:r>
        <w:rPr>
          <w:lang w:val="sk-SK"/>
        </w:rPr>
        <w:t>6 mg/ml pripravenej v lekárni, tak ako to uvádza nasledujúca tabuľka:</w:t>
      </w:r>
    </w:p>
    <w:p w:rsidR="00D41417" w:rsidRDefault="00B1758A">
      <w:pPr>
        <w:spacing w:after="0" w:line="240" w:lineRule="auto"/>
        <w:ind w:left="0" w:right="0" w:firstLine="0"/>
        <w:contextualSpacing/>
        <w:rPr>
          <w:lang w:val="sk-SK"/>
        </w:rPr>
      </w:pPr>
      <w:r>
        <w:rPr>
          <w:lang w:val="sk-SK"/>
        </w:rPr>
        <w:t xml:space="preserve"> </w:t>
      </w:r>
    </w:p>
    <w:p w:rsidR="002616B4" w:rsidRPr="00056DF3" w:rsidRDefault="00B1758A" w:rsidP="002616B4">
      <w:pPr>
        <w:pStyle w:val="Nadpis2"/>
        <w:spacing w:after="0" w:line="240" w:lineRule="auto"/>
        <w:ind w:left="0" w:right="1221"/>
        <w:contextualSpacing/>
        <w:rPr>
          <w:b/>
          <w:lang w:val="sk-SK"/>
        </w:rPr>
      </w:pPr>
      <w:r w:rsidRPr="00056DF3">
        <w:rPr>
          <w:b/>
          <w:lang w:val="sk-SK"/>
        </w:rPr>
        <w:lastRenderedPageBreak/>
        <w:t xml:space="preserve">Počet kapsúl a množstvo </w:t>
      </w:r>
      <w:proofErr w:type="spellStart"/>
      <w:r w:rsidRPr="00056DF3">
        <w:rPr>
          <w:b/>
          <w:lang w:val="sk-SK"/>
        </w:rPr>
        <w:t>vehikula</w:t>
      </w:r>
      <w:proofErr w:type="spellEnd"/>
      <w:r w:rsidRPr="00056DF3">
        <w:rPr>
          <w:b/>
          <w:lang w:val="sk-SK"/>
        </w:rPr>
        <w:t xml:space="preserve"> potrebné na lekárenskú prípravu celkového objemu suspenzie</w:t>
      </w:r>
      <w:r w:rsidR="002616B4" w:rsidRPr="00056DF3">
        <w:rPr>
          <w:b/>
          <w:lang w:val="sk-SK"/>
        </w:rPr>
        <w:t xml:space="preserve"> s koncentráciou </w:t>
      </w:r>
      <w:r w:rsidR="002616B4" w:rsidRPr="00540E15">
        <w:rPr>
          <w:b/>
          <w:lang w:val="sk-SK"/>
        </w:rPr>
        <w:t>6 mg/ml</w:t>
      </w:r>
      <w:r w:rsidR="002616B4" w:rsidRPr="00B015F0">
        <w:rPr>
          <w:b/>
          <w:u w:val="none"/>
          <w:lang w:val="sk-SK"/>
        </w:rPr>
        <w:t xml:space="preserve"> </w:t>
      </w:r>
    </w:p>
    <w:p w:rsidR="00D41417" w:rsidRDefault="002616B4">
      <w:pPr>
        <w:pStyle w:val="Nadpis1"/>
        <w:spacing w:after="0" w:line="240" w:lineRule="auto"/>
        <w:ind w:left="0" w:right="1221"/>
        <w:contextualSpacing/>
        <w:rPr>
          <w:lang w:val="sk-SK"/>
        </w:rPr>
      </w:pPr>
      <w:r>
        <w:rPr>
          <w:lang w:val="sk-SK"/>
        </w:rPr>
        <w:t xml:space="preserve"> </w:t>
      </w:r>
      <w:r w:rsidR="00B1758A">
        <w:rPr>
          <w:lang w:val="sk-SK"/>
        </w:rPr>
        <w:t xml:space="preserve"> </w:t>
      </w:r>
    </w:p>
    <w:tbl>
      <w:tblPr>
        <w:tblStyle w:val="TableGrid"/>
        <w:tblW w:w="9072" w:type="dxa"/>
        <w:tblInd w:w="12" w:type="dxa"/>
        <w:tblCellMar>
          <w:top w:w="51" w:type="dxa"/>
          <w:left w:w="115" w:type="dxa"/>
          <w:bottom w:w="5" w:type="dxa"/>
          <w:right w:w="93" w:type="dxa"/>
        </w:tblCellMar>
        <w:tblLook w:val="04A0" w:firstRow="1" w:lastRow="0" w:firstColumn="1" w:lastColumn="0" w:noHBand="0" w:noVBand="1"/>
      </w:tblPr>
      <w:tblGrid>
        <w:gridCol w:w="1843"/>
        <w:gridCol w:w="1501"/>
        <w:gridCol w:w="1667"/>
        <w:gridCol w:w="1509"/>
        <w:gridCol w:w="2552"/>
      </w:tblGrid>
      <w:tr w:rsidR="00D41417">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suspenzie, ktorý treba pripraviť </w:t>
            </w:r>
          </w:p>
        </w:tc>
        <w:tc>
          <w:tcPr>
            <w:tcW w:w="4677" w:type="dxa"/>
            <w:gridSpan w:val="3"/>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Požadované množstvo kapsúl </w:t>
            </w:r>
            <w:proofErr w:type="spellStart"/>
            <w:r>
              <w:rPr>
                <w:b/>
                <w:lang w:val="sk-SK"/>
              </w:rPr>
              <w:t>oseltamiviru</w:t>
            </w:r>
            <w:proofErr w:type="spellEnd"/>
            <w:r>
              <w:rPr>
                <w:b/>
                <w:lang w:val="sk-SK"/>
              </w:rPr>
              <w:t xml:space="preserve"> (mg </w:t>
            </w:r>
            <w:proofErr w:type="spellStart"/>
            <w:r>
              <w:rPr>
                <w:b/>
                <w:lang w:val="sk-SK"/>
              </w:rPr>
              <w:t>oseltamiviru</w:t>
            </w:r>
            <w:proofErr w:type="spellEnd"/>
            <w:r>
              <w:rPr>
                <w:b/>
                <w:lang w:val="sk-SK"/>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Požadovaný objem </w:t>
            </w:r>
            <w:proofErr w:type="spellStart"/>
            <w:r>
              <w:rPr>
                <w:b/>
                <w:lang w:val="sk-SK"/>
              </w:rPr>
              <w:t>vehikula</w:t>
            </w:r>
            <w:proofErr w:type="spellEnd"/>
            <w:r>
              <w:rPr>
                <w:b/>
                <w:lang w:val="sk-SK"/>
              </w:rPr>
              <w:t xml:space="preserve"> </w:t>
            </w:r>
          </w:p>
        </w:tc>
      </w:tr>
      <w:tr w:rsidR="00D41417">
        <w:trPr>
          <w:trHeight w:val="262"/>
        </w:trPr>
        <w:tc>
          <w:tcPr>
            <w:tcW w:w="1843"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75 mg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45 mg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30 mg </w:t>
            </w:r>
          </w:p>
        </w:tc>
        <w:tc>
          <w:tcPr>
            <w:tcW w:w="2552"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70"/>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 kapsuly (300 mg)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(300 mg) </w:t>
            </w:r>
          </w:p>
        </w:tc>
        <w:tc>
          <w:tcPr>
            <w:tcW w:w="255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49,5 ml </w:t>
            </w:r>
          </w:p>
        </w:tc>
      </w:tr>
      <w:tr w:rsidR="00D41417">
        <w:trPr>
          <w:trHeight w:val="1022"/>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ml </w:t>
            </w: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p w:rsidR="00D41417" w:rsidRDefault="00B1758A">
            <w:pPr>
              <w:spacing w:after="0" w:line="240" w:lineRule="auto"/>
              <w:ind w:left="0" w:right="0" w:firstLine="0"/>
              <w:contextualSpacing/>
              <w:rPr>
                <w:lang w:val="sk-SK"/>
              </w:rPr>
            </w:pPr>
            <w:r>
              <w:rPr>
                <w:lang w:val="sk-SK"/>
              </w:rPr>
              <w:t xml:space="preserve">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kapsúl </w:t>
            </w:r>
          </w:p>
          <w:p w:rsidR="00D41417" w:rsidRDefault="00B1758A">
            <w:pPr>
              <w:spacing w:after="0" w:line="240" w:lineRule="auto"/>
              <w:ind w:left="0" w:right="0" w:firstLine="0"/>
              <w:contextualSpacing/>
              <w:rPr>
                <w:lang w:val="sk-SK"/>
              </w:rPr>
            </w:pPr>
            <w:r>
              <w:rPr>
                <w:lang w:val="sk-SK"/>
              </w:rPr>
              <w:t xml:space="preserve">(360 mg)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kapsúl (360 mg) </w:t>
            </w:r>
          </w:p>
        </w:tc>
        <w:tc>
          <w:tcPr>
            <w:tcW w:w="255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59,5 ml </w:t>
            </w:r>
          </w:p>
        </w:tc>
      </w:tr>
      <w:tr w:rsidR="00D41417">
        <w:trPr>
          <w:trHeight w:val="516"/>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kapsúl </w:t>
            </w:r>
          </w:p>
          <w:p w:rsidR="00D41417" w:rsidRDefault="00B1758A">
            <w:pPr>
              <w:spacing w:after="0" w:line="240" w:lineRule="auto"/>
              <w:ind w:left="0" w:right="0" w:firstLine="0"/>
              <w:contextualSpacing/>
              <w:rPr>
                <w:lang w:val="sk-SK"/>
              </w:rPr>
            </w:pPr>
            <w:r>
              <w:rPr>
                <w:lang w:val="sk-SK"/>
              </w:rPr>
              <w:t xml:space="preserve">(450 mg)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w:t>
            </w:r>
          </w:p>
          <w:p w:rsidR="00D41417" w:rsidRDefault="00B1758A">
            <w:pPr>
              <w:spacing w:after="0" w:line="240" w:lineRule="auto"/>
              <w:ind w:left="0" w:right="0" w:firstLine="0"/>
              <w:contextualSpacing/>
              <w:rPr>
                <w:lang w:val="sk-SK"/>
              </w:rPr>
            </w:pPr>
            <w:r>
              <w:rPr>
                <w:lang w:val="sk-SK"/>
              </w:rPr>
              <w:t xml:space="preserve">(450 mg)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kapsúl (450 mg) </w:t>
            </w:r>
          </w:p>
        </w:tc>
        <w:tc>
          <w:tcPr>
            <w:tcW w:w="255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74 ml </w:t>
            </w:r>
          </w:p>
        </w:tc>
      </w:tr>
    </w:tbl>
    <w:p w:rsidR="00D41417" w:rsidRDefault="00B1758A">
      <w:pPr>
        <w:spacing w:after="0" w:line="240" w:lineRule="auto"/>
        <w:ind w:left="0" w:right="0" w:hanging="142"/>
        <w:contextualSpacing/>
        <w:rPr>
          <w:lang w:val="sk-SK"/>
        </w:rPr>
      </w:pPr>
      <w:r>
        <w:rPr>
          <w:lang w:val="sk-SK"/>
        </w:rPr>
        <w:t xml:space="preserve">*Neexistuje žiadna kombinácia kapsúl s takýmto obsahom účinnej látky na dosiahnutie cieľovej koncentrácie; z tohto dôvodu použite, prosím, inú silu kapsuly.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contextualSpacing/>
        <w:rPr>
          <w:lang w:val="sk-SK"/>
        </w:rPr>
      </w:pPr>
      <w:r w:rsidRPr="00143188">
        <w:rPr>
          <w:lang w:val="sk-SK"/>
        </w:rPr>
        <w:t>Po tretie, dodržiavajte</w:t>
      </w:r>
      <w:r>
        <w:rPr>
          <w:lang w:val="sk-SK"/>
        </w:rPr>
        <w:t xml:space="preserve"> nižšie uvedený postup na prípravu suspenzie </w:t>
      </w:r>
      <w:r w:rsidR="00D3484F">
        <w:rPr>
          <w:lang w:val="sk-SK"/>
        </w:rPr>
        <w:t xml:space="preserve">s koncentráciou </w:t>
      </w:r>
      <w:r>
        <w:rPr>
          <w:lang w:val="sk-SK"/>
        </w:rPr>
        <w:t xml:space="preserve">6 mg/ml z kapsúl </w:t>
      </w:r>
      <w:proofErr w:type="spellStart"/>
      <w:r>
        <w:rPr>
          <w:lang w:val="sk-SK"/>
        </w:rPr>
        <w:t>oseltamiviru</w:t>
      </w:r>
      <w:proofErr w:type="spellEnd"/>
      <w:r>
        <w:rPr>
          <w:lang w:val="sk-SK"/>
        </w:rPr>
        <w:t xml:space="preserve">: </w:t>
      </w:r>
    </w:p>
    <w:p w:rsidR="00D41417" w:rsidRDefault="00B1758A">
      <w:pPr>
        <w:numPr>
          <w:ilvl w:val="0"/>
          <w:numId w:val="5"/>
        </w:numPr>
        <w:spacing w:after="0" w:line="240" w:lineRule="auto"/>
        <w:ind w:left="567" w:right="0" w:hanging="566"/>
        <w:contextualSpacing/>
        <w:rPr>
          <w:lang w:val="sk-SK"/>
        </w:rPr>
      </w:pPr>
      <w:r>
        <w:rPr>
          <w:lang w:val="sk-SK"/>
        </w:rPr>
        <w:t xml:space="preserve">Do skleneného pohára primeranej veľkosti nalejte potrebné množstvo vody obsahujúcej 0,05 % m/V </w:t>
      </w:r>
      <w:proofErr w:type="spellStart"/>
      <w:r>
        <w:rPr>
          <w:lang w:val="sk-SK"/>
        </w:rPr>
        <w:t>benzo</w:t>
      </w:r>
      <w:r w:rsidR="00D3484F">
        <w:rPr>
          <w:lang w:val="sk-SK"/>
        </w:rPr>
        <w:t>átu</w:t>
      </w:r>
      <w:proofErr w:type="spellEnd"/>
      <w:r>
        <w:rPr>
          <w:lang w:val="sk-SK"/>
        </w:rPr>
        <w:t xml:space="preserve"> sodného, ktorý sa pridáva ako konzervačná látka. </w:t>
      </w:r>
    </w:p>
    <w:p w:rsidR="00D41417" w:rsidRDefault="00B1758A">
      <w:pPr>
        <w:numPr>
          <w:ilvl w:val="0"/>
          <w:numId w:val="5"/>
        </w:numPr>
        <w:spacing w:after="0" w:line="240" w:lineRule="auto"/>
        <w:ind w:left="567" w:right="0" w:hanging="566"/>
        <w:contextualSpacing/>
        <w:rPr>
          <w:lang w:val="sk-SK"/>
        </w:rPr>
      </w:pPr>
      <w:r>
        <w:rPr>
          <w:lang w:val="sk-SK"/>
        </w:rPr>
        <w:t xml:space="preserve">Otvorte uvedené množstvo kapsúl </w:t>
      </w:r>
      <w:proofErr w:type="spellStart"/>
      <w:r>
        <w:rPr>
          <w:lang w:val="sk-SK"/>
        </w:rPr>
        <w:t>oseltamiviru</w:t>
      </w:r>
      <w:proofErr w:type="spellEnd"/>
      <w:r>
        <w:rPr>
          <w:lang w:val="sk-SK"/>
        </w:rPr>
        <w:t xml:space="preserve"> a obsah každej kapsuly vysypte priamo do vody s konzervačnou látkou v sklenenom pohári. </w:t>
      </w:r>
    </w:p>
    <w:p w:rsidR="00D41417" w:rsidRDefault="00B1758A">
      <w:pPr>
        <w:numPr>
          <w:ilvl w:val="0"/>
          <w:numId w:val="5"/>
        </w:numPr>
        <w:spacing w:after="0" w:line="240" w:lineRule="auto"/>
        <w:ind w:left="567" w:right="0" w:hanging="566"/>
        <w:contextualSpacing/>
        <w:rPr>
          <w:lang w:val="sk-SK"/>
        </w:rPr>
      </w:pPr>
      <w:r>
        <w:rPr>
          <w:lang w:val="sk-SK"/>
        </w:rPr>
        <w:t xml:space="preserve">Vhodným miešadlom miešajte 2 minúty. </w:t>
      </w:r>
    </w:p>
    <w:p w:rsidR="00D41417" w:rsidRDefault="00B1758A">
      <w:pPr>
        <w:spacing w:after="0" w:line="240" w:lineRule="auto"/>
        <w:ind w:left="567" w:right="0" w:hanging="566"/>
        <w:contextualSpacing/>
        <w:rPr>
          <w:lang w:val="sk-SK"/>
        </w:rPr>
      </w:pPr>
      <w:r>
        <w:rPr>
          <w:lang w:val="sk-SK"/>
        </w:rPr>
        <w:t xml:space="preserve"> </w:t>
      </w:r>
      <w:r>
        <w:rPr>
          <w:lang w:val="sk-SK"/>
        </w:rPr>
        <w:tab/>
        <w:t xml:space="preserve">(Poznámka: Liečivo, </w:t>
      </w:r>
      <w:proofErr w:type="spellStart"/>
      <w:r>
        <w:rPr>
          <w:lang w:val="sk-SK"/>
        </w:rPr>
        <w:t>oseltamiv</w:t>
      </w:r>
      <w:r w:rsidR="00D3484F">
        <w:rPr>
          <w:lang w:val="sk-SK"/>
        </w:rPr>
        <w:t>íriu</w:t>
      </w:r>
      <w:r w:rsidR="00FC785C">
        <w:rPr>
          <w:lang w:val="sk-SK"/>
        </w:rPr>
        <w:t>m</w:t>
      </w:r>
      <w:proofErr w:type="spellEnd"/>
      <w:r w:rsidR="00D3484F">
        <w:rPr>
          <w:lang w:val="sk-SK"/>
        </w:rPr>
        <w:t>-</w:t>
      </w:r>
      <w:r>
        <w:rPr>
          <w:lang w:val="sk-SK"/>
        </w:rPr>
        <w:t xml:space="preserve">fosfát, sa vo vode rýchlo rozpúšťa. Vznik suspenzie spôsobujú niektoré pomocné látky kapsúl </w:t>
      </w:r>
      <w:proofErr w:type="spellStart"/>
      <w:r>
        <w:rPr>
          <w:lang w:val="sk-SK"/>
        </w:rPr>
        <w:t>oseltamiviru</w:t>
      </w:r>
      <w:proofErr w:type="spellEnd"/>
      <w:r>
        <w:rPr>
          <w:lang w:val="sk-SK"/>
        </w:rPr>
        <w:t xml:space="preserve">, ktoré nie sú rozpustné.) </w:t>
      </w:r>
    </w:p>
    <w:p w:rsidR="00D41417" w:rsidRDefault="00B1758A">
      <w:pPr>
        <w:numPr>
          <w:ilvl w:val="0"/>
          <w:numId w:val="5"/>
        </w:numPr>
        <w:spacing w:after="0" w:line="240" w:lineRule="auto"/>
        <w:ind w:left="567" w:right="0" w:hanging="566"/>
        <w:contextualSpacing/>
        <w:rPr>
          <w:lang w:val="sk-SK"/>
        </w:rPr>
      </w:pPr>
      <w:r>
        <w:rPr>
          <w:lang w:val="sk-SK"/>
        </w:rPr>
        <w:t xml:space="preserve">Prelejte suspenziu do </w:t>
      </w:r>
      <w:r w:rsidR="00C668E9">
        <w:rPr>
          <w:lang w:val="sk-SK"/>
        </w:rPr>
        <w:t>nádobky z jantárového skla</w:t>
      </w:r>
      <w:r w:rsidR="00735EB1">
        <w:rPr>
          <w:lang w:val="sk-SK"/>
        </w:rPr>
        <w:t xml:space="preserve"> </w:t>
      </w:r>
      <w:r>
        <w:rPr>
          <w:lang w:val="sk-SK"/>
        </w:rPr>
        <w:t xml:space="preserve"> alebo </w:t>
      </w:r>
      <w:proofErr w:type="spellStart"/>
      <w:r>
        <w:rPr>
          <w:lang w:val="sk-SK"/>
        </w:rPr>
        <w:t>polyetyléntereftalátovej</w:t>
      </w:r>
      <w:proofErr w:type="spellEnd"/>
      <w:r>
        <w:rPr>
          <w:lang w:val="sk-SK"/>
        </w:rPr>
        <w:t xml:space="preserve"> (PET) </w:t>
      </w:r>
      <w:r w:rsidR="00735EB1">
        <w:rPr>
          <w:lang w:val="sk-SK"/>
        </w:rPr>
        <w:t>liekovky z jantárového skla</w:t>
      </w:r>
      <w:r>
        <w:rPr>
          <w:lang w:val="sk-SK"/>
        </w:rPr>
        <w:t xml:space="preserve">. Aby sa zabránilo porozlievaniu, možno použiť lievik. </w:t>
      </w:r>
    </w:p>
    <w:p w:rsidR="00D41417" w:rsidRDefault="00B1758A">
      <w:pPr>
        <w:numPr>
          <w:ilvl w:val="0"/>
          <w:numId w:val="5"/>
        </w:numPr>
        <w:spacing w:after="0" w:line="240" w:lineRule="auto"/>
        <w:ind w:left="567" w:right="0" w:hanging="566"/>
        <w:contextualSpacing/>
        <w:rPr>
          <w:lang w:val="sk-SK"/>
        </w:rPr>
      </w:pPr>
      <w:r>
        <w:rPr>
          <w:lang w:val="sk-SK"/>
        </w:rPr>
        <w:t xml:space="preserve">Uzatvorte liekovku </w:t>
      </w:r>
      <w:r w:rsidR="008477EF">
        <w:rPr>
          <w:lang w:val="sk-SK"/>
        </w:rPr>
        <w:t xml:space="preserve">detským bezpečnostným </w:t>
      </w:r>
      <w:r>
        <w:rPr>
          <w:lang w:val="sk-SK"/>
        </w:rPr>
        <w:t>uzáverom</w:t>
      </w:r>
      <w:r w:rsidR="008477EF">
        <w:rPr>
          <w:lang w:val="sk-SK"/>
        </w:rPr>
        <w:t>.</w:t>
      </w:r>
      <w:r>
        <w:rPr>
          <w:lang w:val="sk-SK"/>
        </w:rPr>
        <w:t xml:space="preserve"> </w:t>
      </w:r>
    </w:p>
    <w:p w:rsidR="00D41417" w:rsidRDefault="00B1758A">
      <w:pPr>
        <w:numPr>
          <w:ilvl w:val="0"/>
          <w:numId w:val="5"/>
        </w:numPr>
        <w:spacing w:after="0" w:line="240" w:lineRule="auto"/>
        <w:ind w:left="567" w:right="0" w:hanging="566"/>
        <w:contextualSpacing/>
        <w:rPr>
          <w:lang w:val="sk-SK"/>
        </w:rPr>
      </w:pPr>
      <w:r>
        <w:rPr>
          <w:lang w:val="sk-SK"/>
        </w:rPr>
        <w:t xml:space="preserve">Nalepte doplnkový štítok na liekovku s označením „Pred použitím jemne pretrepte”. </w:t>
      </w:r>
    </w:p>
    <w:p w:rsidR="00D41417" w:rsidRDefault="00B1758A">
      <w:pPr>
        <w:spacing w:after="0" w:line="240" w:lineRule="auto"/>
        <w:ind w:left="567" w:right="0" w:hanging="566"/>
        <w:contextualSpacing/>
        <w:rPr>
          <w:lang w:val="sk-SK"/>
        </w:rPr>
      </w:pPr>
      <w:r>
        <w:rPr>
          <w:lang w:val="sk-SK"/>
        </w:rPr>
        <w:t xml:space="preserve"> </w:t>
      </w:r>
      <w:r>
        <w:rPr>
          <w:lang w:val="sk-SK"/>
        </w:rPr>
        <w:tab/>
        <w:t>(Poznámka: Pripravená suspenzia sa má pred podaním jemne pretrepať, aby sa minimalizovala tendencia k pohlcovaniu vzduchu)</w:t>
      </w:r>
    </w:p>
    <w:p w:rsidR="00D41417" w:rsidRDefault="00B1758A">
      <w:pPr>
        <w:numPr>
          <w:ilvl w:val="0"/>
          <w:numId w:val="5"/>
        </w:numPr>
        <w:spacing w:after="0" w:line="240" w:lineRule="auto"/>
        <w:ind w:left="567" w:right="0" w:hanging="566"/>
        <w:contextualSpacing/>
        <w:rPr>
          <w:lang w:val="sk-SK"/>
        </w:rPr>
      </w:pPr>
      <w:r>
        <w:rPr>
          <w:lang w:val="sk-SK"/>
        </w:rPr>
        <w:t xml:space="preserve">Upozornite rodiča alebo opatrovateľa, že po skončení liečby sa všetok nespotrebovaný materiál musí zlikvidovať. Odporúča sa, aby táto informácia bola sprostredkovaná buď nalepením doplnkového štítku na liekovku alebo doplnením informácie k pokynom na lekárenskom štítku. </w:t>
      </w:r>
    </w:p>
    <w:p w:rsidR="00D41417" w:rsidRDefault="00B1758A">
      <w:pPr>
        <w:numPr>
          <w:ilvl w:val="0"/>
          <w:numId w:val="5"/>
        </w:numPr>
        <w:spacing w:after="0" w:line="240" w:lineRule="auto"/>
        <w:ind w:left="567" w:right="0" w:hanging="566"/>
        <w:contextualSpacing/>
        <w:rPr>
          <w:lang w:val="sk-SK"/>
        </w:rPr>
      </w:pPr>
      <w:r>
        <w:rPr>
          <w:lang w:val="sk-SK"/>
        </w:rPr>
        <w:t xml:space="preserve">Umiestnite príslušný štítok s dátumom exspirácie podľa podmienok na </w:t>
      </w:r>
      <w:r w:rsidR="00180443">
        <w:rPr>
          <w:lang w:val="sk-SK"/>
        </w:rPr>
        <w:t xml:space="preserve">uchovávanie </w:t>
      </w:r>
      <w:r>
        <w:rPr>
          <w:lang w:val="sk-SK"/>
        </w:rPr>
        <w:t xml:space="preserve"> (</w:t>
      </w:r>
      <w:r w:rsidR="00180443">
        <w:rPr>
          <w:lang w:val="sk-SK"/>
        </w:rPr>
        <w:t>pozri časť</w:t>
      </w:r>
      <w:r>
        <w:rPr>
          <w:lang w:val="sk-SK"/>
        </w:rPr>
        <w:t xml:space="preserve"> 6.3).</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Umiestnite na liekovku lekárenský štítok, kde bude meno pacienta, pokyny na dávkovanie, použitie do určitého dátumu, názov lieku a všetky ďalšie požadované informácie, aby boli v súlade s miestnymi smernicami pre lekárne. Použite nižšie uvedenú tabuľku pokynov na správne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contextualSpacing/>
        <w:rPr>
          <w:lang w:val="sk-SK"/>
        </w:rPr>
      </w:pPr>
      <w:r>
        <w:rPr>
          <w:lang w:val="sk-SK"/>
        </w:rPr>
        <w:t xml:space="preserve">Dávkovacia schéma suspenzie </w:t>
      </w:r>
      <w:r w:rsidR="00283AEC">
        <w:rPr>
          <w:lang w:val="sk-SK"/>
        </w:rPr>
        <w:t xml:space="preserve">s koncentráciou </w:t>
      </w:r>
      <w:r>
        <w:rPr>
          <w:lang w:val="sk-SK"/>
        </w:rPr>
        <w:t xml:space="preserve">6 mg/ml pripravenej v lekárni z kapsúl </w:t>
      </w:r>
      <w:proofErr w:type="spellStart"/>
      <w:r>
        <w:rPr>
          <w:lang w:val="sk-SK"/>
        </w:rPr>
        <w:t>oseltamiviru</w:t>
      </w:r>
      <w:proofErr w:type="spellEnd"/>
      <w:r>
        <w:rPr>
          <w:lang w:val="sk-SK"/>
        </w:rPr>
        <w:t xml:space="preserve"> pre dojčatá mladšie ako 1 rok </w:t>
      </w:r>
    </w:p>
    <w:p w:rsidR="00540E15" w:rsidRPr="00540E15" w:rsidRDefault="00540E15" w:rsidP="00540E15">
      <w:pPr>
        <w:rPr>
          <w:lang w:val="sk-SK"/>
        </w:rPr>
      </w:pPr>
    </w:p>
    <w:tbl>
      <w:tblPr>
        <w:tblStyle w:val="TableGrid"/>
        <w:tblW w:w="9206" w:type="dxa"/>
        <w:tblInd w:w="12" w:type="dxa"/>
        <w:tblCellMar>
          <w:top w:w="51" w:type="dxa"/>
          <w:left w:w="106" w:type="dxa"/>
          <w:bottom w:w="5" w:type="dxa"/>
          <w:right w:w="53" w:type="dxa"/>
        </w:tblCellMar>
        <w:tblLook w:val="04A0" w:firstRow="1" w:lastRow="0" w:firstColumn="1" w:lastColumn="0" w:noHBand="0" w:noVBand="1"/>
      </w:tblPr>
      <w:tblGrid>
        <w:gridCol w:w="1406"/>
        <w:gridCol w:w="1001"/>
        <w:gridCol w:w="1118"/>
        <w:gridCol w:w="1664"/>
        <w:gridCol w:w="1949"/>
        <w:gridCol w:w="2068"/>
      </w:tblGrid>
      <w:tr w:rsidR="00D41417">
        <w:trPr>
          <w:trHeight w:val="152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 Telesná hmotnosť </w:t>
            </w:r>
          </w:p>
          <w:p w:rsidR="00D41417" w:rsidRDefault="00B1758A">
            <w:pPr>
              <w:spacing w:after="0" w:line="240" w:lineRule="auto"/>
              <w:ind w:left="0" w:right="0" w:firstLine="0"/>
              <w:contextualSpacing/>
              <w:rPr>
                <w:lang w:val="sk-SK"/>
              </w:rPr>
            </w:pPr>
            <w:r>
              <w:rPr>
                <w:b/>
                <w:lang w:val="sk-SK"/>
              </w:rPr>
              <w:t xml:space="preserve">(zaokrúhlená na </w:t>
            </w:r>
          </w:p>
          <w:p w:rsidR="00D41417" w:rsidRDefault="00B1758A">
            <w:pPr>
              <w:spacing w:after="0" w:line="240" w:lineRule="auto"/>
              <w:ind w:left="0" w:right="0" w:firstLine="0"/>
              <w:contextualSpacing/>
              <w:rPr>
                <w:lang w:val="sk-SK"/>
              </w:rPr>
            </w:pPr>
            <w:r>
              <w:rPr>
                <w:b/>
                <w:lang w:val="sk-SK"/>
              </w:rPr>
              <w:t xml:space="preserve">najbližší </w:t>
            </w:r>
          </w:p>
          <w:p w:rsidR="00D41417" w:rsidRDefault="00B1758A">
            <w:pPr>
              <w:spacing w:after="0" w:line="240" w:lineRule="auto"/>
              <w:ind w:left="0" w:right="0" w:firstLine="0"/>
              <w:contextualSpacing/>
              <w:rPr>
                <w:lang w:val="sk-SK"/>
              </w:rPr>
            </w:pPr>
            <w:r>
              <w:rPr>
                <w:b/>
                <w:lang w:val="sk-SK"/>
              </w:rPr>
              <w:t xml:space="preserve">0,5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Dávka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Objem na jednu dávku </w:t>
            </w:r>
          </w:p>
          <w:p w:rsidR="00D41417" w:rsidRDefault="00B1758A">
            <w:pPr>
              <w:spacing w:after="0" w:line="240" w:lineRule="auto"/>
              <w:ind w:left="0" w:right="0" w:firstLine="0"/>
              <w:contextualSpacing/>
              <w:rPr>
                <w:lang w:val="sk-SK"/>
              </w:rPr>
            </w:pPr>
            <w:r>
              <w:rPr>
                <w:b/>
                <w:lang w:val="sk-SK"/>
              </w:rPr>
              <w:t xml:space="preserve">(6 mg/ml) </w:t>
            </w:r>
          </w:p>
        </w:tc>
        <w:tc>
          <w:tcPr>
            <w:tcW w:w="1664"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Liečebná dávka (na 5 dní) </w:t>
            </w:r>
          </w:p>
        </w:tc>
        <w:tc>
          <w:tcPr>
            <w:tcW w:w="1949"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Preventívna dávka (na 10 dní)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Veľkosť použitého dávkovača </w:t>
            </w:r>
          </w:p>
          <w:p w:rsidR="00D41417" w:rsidRDefault="00B1758A">
            <w:pPr>
              <w:spacing w:after="0" w:line="240" w:lineRule="auto"/>
              <w:ind w:left="0" w:right="0" w:firstLine="0"/>
              <w:contextualSpacing/>
              <w:rPr>
                <w:lang w:val="sk-SK"/>
              </w:rPr>
            </w:pPr>
            <w:r>
              <w:rPr>
                <w:b/>
                <w:lang w:val="sk-SK"/>
              </w:rPr>
              <w:t xml:space="preserve">(delenie po 0,1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lastRenderedPageBreak/>
              <w:t xml:space="preserve">3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9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2,0 ml alebo 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10,5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2,0 ml alebo 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12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13,5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2,3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2,3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2,3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16,5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18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(alebo 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19,5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3,3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3,3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3,3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21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22,5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24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25,5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4,3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4,3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4,3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27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28,5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bl>
    <w:p w:rsidR="00D41417" w:rsidRDefault="00B1758A" w:rsidP="00056DF3">
      <w:pPr>
        <w:spacing w:after="0" w:line="240" w:lineRule="auto"/>
        <w:ind w:left="0" w:right="0" w:firstLine="0"/>
        <w:contextualSpacing/>
        <w:rPr>
          <w:lang w:val="sk-SK"/>
        </w:rPr>
      </w:pPr>
      <w:r w:rsidRPr="00883E33">
        <w:rPr>
          <w:lang w:val="sk-SK"/>
        </w:rPr>
        <w:t>Suspenziu pripravenú v lekárni vydávajte s</w:t>
      </w:r>
      <w:r>
        <w:rPr>
          <w:lang w:val="sk-SK"/>
        </w:rPr>
        <w:t xml:space="preserve"> kalibrovanou perorálnou striekačkou na odmeranie malého množstva suspenzie. Ak je to možné, vyznačte alebo zvýraznite kalibrovanie zodpovedajúce príslušnej dávke (podľa vyššie uvedených dávkovacích tabuliek) na perorálnej striekačke pre každého pacienta.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8C1065">
        <w:rPr>
          <w:lang w:val="sk-SK"/>
        </w:rPr>
        <w:t>Je nutné, aby príslušnú</w:t>
      </w:r>
      <w:r>
        <w:rPr>
          <w:lang w:val="sk-SK"/>
        </w:rPr>
        <w:t xml:space="preserve"> dávku opatrovateľ zmiešal s rovnakým množstvom sladkého tekutého pokrmu ako ocukrená voda, čokoládový sirup, čerešňový sirup, dezertné polevy (ako karamel alebo fondánová poleva) na prekrytie horkej chuti.</w:t>
      </w:r>
    </w:p>
    <w:p w:rsidR="00D41417" w:rsidRDefault="00B1758A">
      <w:pPr>
        <w:spacing w:after="0" w:line="240" w:lineRule="auto"/>
        <w:ind w:left="0" w:right="0"/>
        <w:contextualSpacing/>
        <w:rPr>
          <w:lang w:val="sk-SK"/>
        </w:rPr>
      </w:pPr>
      <w:r>
        <w:rPr>
          <w:i/>
          <w:lang w:val="sk-SK"/>
        </w:rPr>
        <w:t xml:space="preserve"> </w:t>
      </w:r>
    </w:p>
    <w:p w:rsidR="00D41417" w:rsidRDefault="00B1758A">
      <w:pPr>
        <w:pStyle w:val="Nadpis2"/>
        <w:spacing w:after="0" w:line="240" w:lineRule="auto"/>
        <w:ind w:left="0" w:right="1221"/>
        <w:contextualSpacing/>
        <w:rPr>
          <w:lang w:val="sk-SK"/>
        </w:rPr>
      </w:pPr>
      <w:r>
        <w:rPr>
          <w:lang w:val="sk-SK"/>
        </w:rPr>
        <w:t>Príprava doma</w:t>
      </w:r>
    </w:p>
    <w:p w:rsidR="00D41417" w:rsidRDefault="00B1758A">
      <w:pPr>
        <w:spacing w:after="0" w:line="240" w:lineRule="auto"/>
        <w:ind w:left="0" w:right="0"/>
        <w:contextualSpacing/>
        <w:rPr>
          <w:lang w:val="sk-SK"/>
        </w:rPr>
      </w:pPr>
      <w:r>
        <w:rPr>
          <w:lang w:val="sk-SK"/>
        </w:rPr>
        <w:t xml:space="preserve">Ak nie je dostupný komerčne vyrábaný </w:t>
      </w:r>
      <w:proofErr w:type="spellStart"/>
      <w:r>
        <w:rPr>
          <w:lang w:val="sk-SK"/>
        </w:rPr>
        <w:t>oseltamivir</w:t>
      </w:r>
      <w:proofErr w:type="spellEnd"/>
      <w:r>
        <w:rPr>
          <w:lang w:val="sk-SK"/>
        </w:rPr>
        <w:t xml:space="preserve"> prášok na perorálnu suspenziu, musí sa pripraviť suspenzia v lekárni z </w:t>
      </w:r>
      <w:proofErr w:type="spellStart"/>
      <w:r>
        <w:rPr>
          <w:lang w:val="sk-SK"/>
        </w:rPr>
        <w:t>oseltamivir</w:t>
      </w:r>
      <w:proofErr w:type="spellEnd"/>
      <w:r>
        <w:rPr>
          <w:lang w:val="sk-SK"/>
        </w:rPr>
        <w:t xml:space="preserve"> kapsúl (podrobný návod v časti vyššie). Ak nie je dostupný komerčne vyrábaný </w:t>
      </w:r>
      <w:proofErr w:type="spellStart"/>
      <w:r>
        <w:rPr>
          <w:lang w:val="sk-SK"/>
        </w:rPr>
        <w:t>oseltamivir</w:t>
      </w:r>
      <w:proofErr w:type="spellEnd"/>
      <w:r>
        <w:rPr>
          <w:lang w:val="sk-SK"/>
        </w:rPr>
        <w:t xml:space="preserve"> prášok perorálnu suspenziu a nie je možná ani príprava suspenzie v lekárni, </w:t>
      </w:r>
      <w:proofErr w:type="spellStart"/>
      <w:r>
        <w:rPr>
          <w:lang w:val="sk-SK"/>
        </w:rPr>
        <w:t>oseltamivir</w:t>
      </w:r>
      <w:proofErr w:type="spellEnd"/>
      <w:r>
        <w:rPr>
          <w:lang w:val="sk-SK"/>
        </w:rPr>
        <w:t xml:space="preserve"> suspenziu je možné pripraviť doma.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Ak je k dispozícii vhodná sila kapsuly, potrebná dávka sa pripraví po otvorení kapsuly zmiešaním obsahu s vhodným množstvom, nie viac ako 1 čajová lyžička, sladeného pokrmu. Horká chuť môže byť prekrytá cukrovou vodou, čokoládovým sirupom, čerešňovým sirupom, dezertnými polevami (ako karamel alebo fondánová poleva). Zmes treba premiešať a celý obsah podať pacientovi. Zmes musí byť užitá ihneď po príprave.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lastRenderedPageBreak/>
        <w:t xml:space="preserve">Ak sú dostupné len 75 mg kapsuly a sú potrebné dávky 30 mg alebo 45 mg, príprava </w:t>
      </w:r>
      <w:proofErr w:type="spellStart"/>
      <w:r>
        <w:rPr>
          <w:lang w:val="sk-SK"/>
        </w:rPr>
        <w:t>oseltamivir</w:t>
      </w:r>
      <w:proofErr w:type="spellEnd"/>
      <w:r>
        <w:rPr>
          <w:lang w:val="sk-SK"/>
        </w:rPr>
        <w:t xml:space="preserve"> suspenzie si vyžaduje ďalšie kroky. Podrobný návod je možné nájsť v Písomnej informácii pre používateľa </w:t>
      </w:r>
      <w:proofErr w:type="spellStart"/>
      <w:r>
        <w:rPr>
          <w:lang w:val="sk-SK"/>
        </w:rPr>
        <w:t>oseltamivir</w:t>
      </w:r>
      <w:proofErr w:type="spellEnd"/>
      <w:r>
        <w:rPr>
          <w:lang w:val="sk-SK"/>
        </w:rPr>
        <w:t xml:space="preserve"> kapsuly v časti “Príprava tekutej formy </w:t>
      </w:r>
      <w:proofErr w:type="spellStart"/>
      <w:r>
        <w:rPr>
          <w:lang w:val="sk-SK"/>
        </w:rPr>
        <w:t>oseltamivir</w:t>
      </w:r>
      <w:r w:rsidR="00F62470">
        <w:rPr>
          <w:lang w:val="sk-SK"/>
        </w:rPr>
        <w:t>u</w:t>
      </w:r>
      <w:proofErr w:type="spellEnd"/>
      <w:r>
        <w:rPr>
          <w:lang w:val="sk-SK"/>
        </w:rPr>
        <w:t xml:space="preserve"> doma”.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2824"/>
        </w:tabs>
        <w:spacing w:after="0" w:line="240" w:lineRule="auto"/>
        <w:ind w:left="0" w:right="1221" w:firstLine="0"/>
        <w:contextualSpacing/>
        <w:rPr>
          <w:lang w:val="sk-SK"/>
        </w:rPr>
      </w:pPr>
      <w:r>
        <w:rPr>
          <w:lang w:val="sk-SK"/>
        </w:rPr>
        <w:t xml:space="preserve">7. </w:t>
      </w:r>
      <w:r>
        <w:rPr>
          <w:lang w:val="sk-SK"/>
        </w:rPr>
        <w:tab/>
        <w:t xml:space="preserve">DRŽITEĽ ROZHODNUTIA O REGISTRÁCII </w:t>
      </w:r>
    </w:p>
    <w:p w:rsidR="00D41417" w:rsidRDefault="00B1758A">
      <w:pPr>
        <w:spacing w:after="0" w:line="240" w:lineRule="auto"/>
        <w:ind w:left="0" w:right="0" w:firstLine="0"/>
        <w:contextualSpacing/>
        <w:rPr>
          <w:lang w:val="sk-SK"/>
        </w:rPr>
      </w:pPr>
      <w:r>
        <w:rPr>
          <w:lang w:val="sk-SK"/>
        </w:rPr>
        <w:t xml:space="preserve"> </w:t>
      </w:r>
    </w:p>
    <w:p w:rsidR="00151E44" w:rsidRDefault="00151E44" w:rsidP="00151E44">
      <w:proofErr w:type="spellStart"/>
      <w:r w:rsidRPr="00FD4974">
        <w:t>Zentiva</w:t>
      </w:r>
      <w:proofErr w:type="spellEnd"/>
      <w:r>
        <w:t>,</w:t>
      </w:r>
      <w:r w:rsidRPr="00FD4974">
        <w:t xml:space="preserve"> </w:t>
      </w:r>
      <w:proofErr w:type="spellStart"/>
      <w:r>
        <w:t>k</w:t>
      </w:r>
      <w:r w:rsidRPr="00FD4974">
        <w:t>.s</w:t>
      </w:r>
      <w:proofErr w:type="spellEnd"/>
      <w:r w:rsidRPr="00FD4974">
        <w:t>.</w:t>
      </w:r>
    </w:p>
    <w:p w:rsidR="00151E44" w:rsidRDefault="00151E44" w:rsidP="00151E44">
      <w:r>
        <w:t>U </w:t>
      </w:r>
      <w:proofErr w:type="spellStart"/>
      <w:r>
        <w:t>kabelovny</w:t>
      </w:r>
      <w:proofErr w:type="spellEnd"/>
      <w:r>
        <w:t xml:space="preserve"> 130 </w:t>
      </w:r>
    </w:p>
    <w:p w:rsidR="00151E44" w:rsidRDefault="00151E44" w:rsidP="00151E44">
      <w:r>
        <w:t xml:space="preserve">102 37 Praha 10 - </w:t>
      </w:r>
      <w:proofErr w:type="spellStart"/>
      <w:r w:rsidRPr="004B6A8B">
        <w:t>Dolní</w:t>
      </w:r>
      <w:proofErr w:type="spellEnd"/>
      <w:r w:rsidRPr="004B6A8B">
        <w:t xml:space="preserve"> </w:t>
      </w:r>
      <w:proofErr w:type="spellStart"/>
      <w:r w:rsidRPr="004B6A8B">
        <w:t>Měcholupy</w:t>
      </w:r>
      <w:bookmarkStart w:id="0" w:name="_GoBack"/>
      <w:bookmarkEnd w:id="0"/>
      <w:proofErr w:type="spellEnd"/>
    </w:p>
    <w:p w:rsidR="00151E44" w:rsidRDefault="00151E44" w:rsidP="00151E44">
      <w:pPr>
        <w:rPr>
          <w:noProof/>
        </w:rPr>
      </w:pPr>
      <w:proofErr w:type="spellStart"/>
      <w:r>
        <w:t>Česká</w:t>
      </w:r>
      <w:proofErr w:type="spellEnd"/>
      <w:r>
        <w:t xml:space="preserve"> </w:t>
      </w:r>
      <w:proofErr w:type="spellStart"/>
      <w:r>
        <w:t>republika</w:t>
      </w:r>
      <w:proofErr w:type="spellEnd"/>
    </w:p>
    <w:p w:rsidR="00D41417" w:rsidRDefault="00D41417">
      <w:pPr>
        <w:spacing w:after="0" w:line="240" w:lineRule="auto"/>
        <w:ind w:left="0" w:right="0" w:firstLine="0"/>
        <w:contextualSpacing/>
        <w:rPr>
          <w:lang w:val="sk-SK"/>
        </w:rPr>
      </w:pPr>
    </w:p>
    <w:p w:rsidR="00D41417" w:rsidRDefault="00D41417">
      <w:pPr>
        <w:spacing w:after="0" w:line="240" w:lineRule="auto"/>
        <w:ind w:left="0" w:right="0" w:firstLine="0"/>
        <w:contextualSpacing/>
        <w:rPr>
          <w:lang w:val="sk-SK"/>
        </w:rPr>
      </w:pPr>
    </w:p>
    <w:p w:rsidR="00D41417" w:rsidRDefault="00B1758A">
      <w:pPr>
        <w:pStyle w:val="Nadpis1"/>
        <w:tabs>
          <w:tab w:val="center" w:pos="1749"/>
        </w:tabs>
        <w:spacing w:after="0" w:line="240" w:lineRule="auto"/>
        <w:ind w:left="0" w:right="1221" w:firstLine="0"/>
        <w:contextualSpacing/>
        <w:rPr>
          <w:lang w:val="sk-SK"/>
        </w:rPr>
      </w:pPr>
      <w:r>
        <w:rPr>
          <w:lang w:val="sk-SK"/>
        </w:rPr>
        <w:t xml:space="preserve">8. </w:t>
      </w:r>
      <w:r>
        <w:rPr>
          <w:lang w:val="sk-SK"/>
        </w:rPr>
        <w:tab/>
        <w:t>REGISTRAČNÉ ČÍSLA</w:t>
      </w:r>
      <w:r>
        <w:rPr>
          <w:b w:val="0"/>
          <w:i/>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FF66F6" w:rsidRDefault="00151E44" w:rsidP="00FF66F6">
      <w:pPr>
        <w:spacing w:after="0" w:line="240" w:lineRule="auto"/>
        <w:ind w:left="0" w:right="0" w:hanging="10"/>
        <w:contextualSpacing/>
        <w:rPr>
          <w:lang w:val="sk-SK"/>
        </w:rPr>
      </w:pPr>
      <w:proofErr w:type="spellStart"/>
      <w:r>
        <w:rPr>
          <w:lang w:val="sk-SK"/>
        </w:rPr>
        <w:t>Segosana</w:t>
      </w:r>
      <w:proofErr w:type="spellEnd"/>
      <w:r w:rsidR="00FF66F6">
        <w:rPr>
          <w:lang w:val="sk-SK"/>
        </w:rPr>
        <w:t xml:space="preserve"> 30 mg</w:t>
      </w:r>
      <w:r w:rsidR="001B11CC">
        <w:rPr>
          <w:lang w:val="sk-SK"/>
        </w:rPr>
        <w:t>:</w:t>
      </w:r>
      <w:r w:rsidR="00005EC2">
        <w:rPr>
          <w:lang w:val="sk-SK"/>
        </w:rPr>
        <w:t xml:space="preserve"> </w:t>
      </w:r>
      <w:r w:rsidR="003D6728">
        <w:rPr>
          <w:lang w:val="sk-SK"/>
        </w:rPr>
        <w:t>42</w:t>
      </w:r>
      <w:r w:rsidR="00005EC2" w:rsidRPr="00005EC2">
        <w:rPr>
          <w:lang w:val="sk-SK"/>
        </w:rPr>
        <w:t>/0124/20-S</w:t>
      </w:r>
    </w:p>
    <w:p w:rsidR="00FF66F6" w:rsidRDefault="00151E44" w:rsidP="00FF66F6">
      <w:pPr>
        <w:spacing w:after="0" w:line="240" w:lineRule="auto"/>
        <w:ind w:left="0" w:right="0" w:hanging="10"/>
        <w:contextualSpacing/>
        <w:rPr>
          <w:lang w:val="sk-SK"/>
        </w:rPr>
      </w:pPr>
      <w:proofErr w:type="spellStart"/>
      <w:r>
        <w:rPr>
          <w:lang w:val="sk-SK"/>
        </w:rPr>
        <w:t>Segosana</w:t>
      </w:r>
      <w:proofErr w:type="spellEnd"/>
      <w:r>
        <w:rPr>
          <w:lang w:val="sk-SK"/>
        </w:rPr>
        <w:t xml:space="preserve"> </w:t>
      </w:r>
      <w:r w:rsidR="00FF66F6">
        <w:rPr>
          <w:lang w:val="sk-SK"/>
        </w:rPr>
        <w:t>45 mg</w:t>
      </w:r>
      <w:r w:rsidR="001B11CC">
        <w:rPr>
          <w:lang w:val="sk-SK"/>
        </w:rPr>
        <w:t>:</w:t>
      </w:r>
      <w:r w:rsidR="00005EC2">
        <w:rPr>
          <w:lang w:val="sk-SK"/>
        </w:rPr>
        <w:t xml:space="preserve"> </w:t>
      </w:r>
      <w:r w:rsidR="003D6728">
        <w:rPr>
          <w:lang w:val="sk-SK"/>
        </w:rPr>
        <w:t>42</w:t>
      </w:r>
      <w:r w:rsidR="00005EC2">
        <w:rPr>
          <w:lang w:val="sk-SK"/>
        </w:rPr>
        <w:t>/0125</w:t>
      </w:r>
      <w:r w:rsidR="00005EC2" w:rsidRPr="00005EC2">
        <w:rPr>
          <w:lang w:val="sk-SK"/>
        </w:rPr>
        <w:t>/20-S</w:t>
      </w:r>
    </w:p>
    <w:p w:rsidR="00FF66F6" w:rsidRDefault="00151E44" w:rsidP="00FF66F6">
      <w:pPr>
        <w:spacing w:after="0" w:line="240" w:lineRule="auto"/>
        <w:ind w:left="0" w:right="0" w:hanging="10"/>
        <w:contextualSpacing/>
        <w:rPr>
          <w:lang w:val="sk-SK"/>
        </w:rPr>
      </w:pPr>
      <w:proofErr w:type="spellStart"/>
      <w:r>
        <w:rPr>
          <w:lang w:val="sk-SK"/>
        </w:rPr>
        <w:t>Segosana</w:t>
      </w:r>
      <w:proofErr w:type="spellEnd"/>
      <w:r>
        <w:rPr>
          <w:lang w:val="sk-SK"/>
        </w:rPr>
        <w:t xml:space="preserve"> </w:t>
      </w:r>
      <w:r w:rsidR="00FF66F6">
        <w:rPr>
          <w:lang w:val="sk-SK"/>
        </w:rPr>
        <w:t>75 mg</w:t>
      </w:r>
      <w:r w:rsidR="001B11CC">
        <w:rPr>
          <w:lang w:val="sk-SK"/>
        </w:rPr>
        <w:t>:</w:t>
      </w:r>
      <w:r w:rsidR="00005EC2">
        <w:rPr>
          <w:lang w:val="sk-SK"/>
        </w:rPr>
        <w:t xml:space="preserve"> </w:t>
      </w:r>
      <w:r w:rsidR="003D6728">
        <w:rPr>
          <w:lang w:val="sk-SK"/>
        </w:rPr>
        <w:t>42</w:t>
      </w:r>
      <w:r w:rsidR="00005EC2">
        <w:rPr>
          <w:lang w:val="sk-SK"/>
        </w:rPr>
        <w:t>/0126</w:t>
      </w:r>
      <w:r w:rsidR="00005EC2" w:rsidRPr="00005EC2">
        <w:rPr>
          <w:lang w:val="sk-SK"/>
        </w:rPr>
        <w:t>/20-S</w:t>
      </w:r>
    </w:p>
    <w:p w:rsidR="00FF66F6" w:rsidRDefault="00FF66F6">
      <w:pPr>
        <w:spacing w:after="0" w:line="240" w:lineRule="auto"/>
        <w:ind w:left="0" w:right="0" w:firstLine="0"/>
        <w:contextualSpacing/>
        <w:rPr>
          <w:lang w:val="sk-SK"/>
        </w:rPr>
      </w:pPr>
    </w:p>
    <w:p w:rsidR="00D41417" w:rsidRDefault="00D41417">
      <w:pPr>
        <w:spacing w:after="0" w:line="240" w:lineRule="auto"/>
        <w:ind w:left="0" w:right="0" w:firstLine="0"/>
        <w:contextualSpacing/>
        <w:rPr>
          <w:lang w:val="sk-SK"/>
        </w:rPr>
      </w:pPr>
    </w:p>
    <w:p w:rsidR="00D41417" w:rsidRDefault="00B1758A">
      <w:pPr>
        <w:pStyle w:val="Nadpis1"/>
        <w:tabs>
          <w:tab w:val="center" w:pos="3722"/>
        </w:tabs>
        <w:spacing w:after="0" w:line="240" w:lineRule="auto"/>
        <w:ind w:left="567" w:right="1221" w:hanging="567"/>
        <w:contextualSpacing/>
        <w:rPr>
          <w:lang w:val="sk-SK"/>
        </w:rPr>
      </w:pPr>
      <w:r>
        <w:rPr>
          <w:lang w:val="sk-SK"/>
        </w:rPr>
        <w:t xml:space="preserve">9. </w:t>
      </w:r>
      <w:r>
        <w:rPr>
          <w:lang w:val="sk-SK"/>
        </w:rPr>
        <w:tab/>
        <w:t>DÁTUM PRVEJ REGISTRÁCIE</w:t>
      </w:r>
      <w:r w:rsidR="00F62470">
        <w:rPr>
          <w:lang w:val="sk-SK"/>
        </w:rPr>
        <w:t>/PREDĹŽENIA REGISTRÁCIE</w:t>
      </w:r>
      <w:r>
        <w:rPr>
          <w:b w:val="0"/>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Dátum prvej registrácie: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1893"/>
        </w:tabs>
        <w:spacing w:after="0" w:line="240" w:lineRule="auto"/>
        <w:ind w:left="0" w:right="1221" w:firstLine="0"/>
        <w:contextualSpacing/>
        <w:rPr>
          <w:lang w:val="sk-SK"/>
        </w:rPr>
      </w:pPr>
      <w:r>
        <w:rPr>
          <w:lang w:val="sk-SK"/>
        </w:rPr>
        <w:t>10.</w:t>
      </w:r>
      <w:r>
        <w:rPr>
          <w:b w:val="0"/>
          <w:lang w:val="sk-SK"/>
        </w:rPr>
        <w:t xml:space="preserve"> </w:t>
      </w:r>
      <w:r>
        <w:rPr>
          <w:b w:val="0"/>
          <w:lang w:val="sk-SK"/>
        </w:rPr>
        <w:tab/>
      </w:r>
      <w:r>
        <w:rPr>
          <w:lang w:val="sk-SK"/>
        </w:rPr>
        <w:t xml:space="preserve">DÁTUM REVÍZIE TEXTU </w:t>
      </w:r>
    </w:p>
    <w:p w:rsidR="00D41417" w:rsidRDefault="00B1758A">
      <w:pPr>
        <w:spacing w:after="0" w:line="240" w:lineRule="auto"/>
        <w:ind w:left="0" w:right="0" w:firstLine="0"/>
        <w:contextualSpacing/>
        <w:rPr>
          <w:b/>
          <w:lang w:val="sk-SK"/>
        </w:rPr>
      </w:pPr>
      <w:r>
        <w:rPr>
          <w:b/>
          <w:lang w:val="sk-SK"/>
        </w:rPr>
        <w:t xml:space="preserve"> </w:t>
      </w:r>
    </w:p>
    <w:p w:rsidR="0065383C" w:rsidRPr="0065383C" w:rsidRDefault="00E92626">
      <w:pPr>
        <w:spacing w:after="0" w:line="240" w:lineRule="auto"/>
        <w:ind w:left="0" w:right="0" w:firstLine="0"/>
        <w:contextualSpacing/>
        <w:rPr>
          <w:lang w:val="sk-SK"/>
        </w:rPr>
      </w:pPr>
      <w:r>
        <w:rPr>
          <w:lang w:val="sk-SK"/>
        </w:rPr>
        <w:t>08/2020</w:t>
      </w:r>
    </w:p>
    <w:sectPr w:rsidR="0065383C" w:rsidRPr="0065383C" w:rsidSect="00056DF3">
      <w:headerReference w:type="default" r:id="rId10"/>
      <w:footerReference w:type="default" r:id="rId11"/>
      <w:pgSz w:w="11906" w:h="16838"/>
      <w:pgMar w:top="1134" w:right="1418" w:bottom="1134" w:left="1418" w:header="737" w:footer="737" w:gutter="0"/>
      <w:cols w:space="70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580" w:rsidRDefault="00154580">
      <w:pPr>
        <w:spacing w:after="0" w:line="240" w:lineRule="auto"/>
      </w:pPr>
      <w:r>
        <w:separator/>
      </w:r>
    </w:p>
  </w:endnote>
  <w:endnote w:type="continuationSeparator" w:id="0">
    <w:p w:rsidR="00154580" w:rsidRDefault="0015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845155"/>
      <w:docPartObj>
        <w:docPartGallery w:val="Page Numbers (Bottom of Page)"/>
        <w:docPartUnique/>
      </w:docPartObj>
    </w:sdtPr>
    <w:sdtEndPr/>
    <w:sdtContent>
      <w:p w:rsidR="00440E5E" w:rsidRDefault="00440E5E">
        <w:pPr>
          <w:pStyle w:val="Pta"/>
          <w:jc w:val="center"/>
          <w:rPr>
            <w:sz w:val="18"/>
            <w:szCs w:val="18"/>
          </w:rPr>
        </w:pPr>
        <w:r>
          <w:rPr>
            <w:sz w:val="18"/>
            <w:szCs w:val="18"/>
          </w:rPr>
          <w:fldChar w:fldCharType="begin"/>
        </w:r>
        <w:r>
          <w:rPr>
            <w:sz w:val="18"/>
            <w:szCs w:val="18"/>
          </w:rPr>
          <w:instrText>PAGE</w:instrText>
        </w:r>
        <w:r>
          <w:rPr>
            <w:sz w:val="18"/>
            <w:szCs w:val="18"/>
          </w:rPr>
          <w:fldChar w:fldCharType="separate"/>
        </w:r>
        <w:r w:rsidR="00250DB4">
          <w:rPr>
            <w:noProof/>
            <w:sz w:val="18"/>
            <w:szCs w:val="18"/>
          </w:rPr>
          <w:t>20</w:t>
        </w:r>
        <w:r>
          <w:rPr>
            <w:sz w:val="18"/>
            <w:szCs w:val="18"/>
          </w:rPr>
          <w:fldChar w:fldCharType="end"/>
        </w:r>
      </w:p>
    </w:sdtContent>
  </w:sdt>
  <w:p w:rsidR="00440E5E" w:rsidRDefault="00440E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580" w:rsidRDefault="00154580">
      <w:pPr>
        <w:spacing w:after="0" w:line="240" w:lineRule="auto"/>
      </w:pPr>
      <w:r>
        <w:separator/>
      </w:r>
    </w:p>
  </w:footnote>
  <w:footnote w:type="continuationSeparator" w:id="0">
    <w:p w:rsidR="00154580" w:rsidRDefault="00154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7" w:rsidRDefault="00156537" w:rsidP="001168B7">
    <w:pPr>
      <w:pStyle w:val="Hlavika"/>
      <w:rPr>
        <w:sz w:val="18"/>
        <w:szCs w:val="18"/>
      </w:rPr>
    </w:pPr>
  </w:p>
  <w:p w:rsidR="00156537" w:rsidRDefault="00156537" w:rsidP="001168B7">
    <w:pPr>
      <w:pStyle w:val="Hlavika"/>
      <w:rPr>
        <w:sz w:val="18"/>
        <w:szCs w:val="18"/>
      </w:rPr>
    </w:pPr>
    <w:proofErr w:type="spellStart"/>
    <w:r w:rsidRPr="00156537">
      <w:rPr>
        <w:sz w:val="18"/>
        <w:szCs w:val="18"/>
      </w:rPr>
      <w:t>Schválený</w:t>
    </w:r>
    <w:proofErr w:type="spellEnd"/>
    <w:r w:rsidRPr="00156537">
      <w:rPr>
        <w:sz w:val="18"/>
        <w:szCs w:val="18"/>
      </w:rPr>
      <w:t xml:space="preserve"> text k </w:t>
    </w:r>
    <w:proofErr w:type="spellStart"/>
    <w:r w:rsidRPr="00156537">
      <w:rPr>
        <w:sz w:val="18"/>
        <w:szCs w:val="18"/>
      </w:rPr>
      <w:t>rozhodnutiu</w:t>
    </w:r>
    <w:proofErr w:type="spellEnd"/>
    <w:r w:rsidRPr="00156537">
      <w:rPr>
        <w:sz w:val="18"/>
        <w:szCs w:val="18"/>
      </w:rPr>
      <w:t xml:space="preserve"> o </w:t>
    </w:r>
    <w:proofErr w:type="spellStart"/>
    <w:r>
      <w:rPr>
        <w:sz w:val="18"/>
        <w:szCs w:val="18"/>
      </w:rPr>
      <w:t>prevode</w:t>
    </w:r>
    <w:proofErr w:type="spellEnd"/>
    <w:r w:rsidRPr="00156537">
      <w:rPr>
        <w:sz w:val="18"/>
        <w:szCs w:val="18"/>
      </w:rPr>
      <w:t xml:space="preserve">, </w:t>
    </w:r>
    <w:proofErr w:type="spellStart"/>
    <w:r w:rsidRPr="00156537">
      <w:rPr>
        <w:sz w:val="18"/>
        <w:szCs w:val="18"/>
      </w:rPr>
      <w:t>ev</w:t>
    </w:r>
    <w:proofErr w:type="spellEnd"/>
    <w:r w:rsidRPr="00156537">
      <w:rPr>
        <w:sz w:val="18"/>
        <w:szCs w:val="18"/>
      </w:rPr>
      <w:t>. č.:</w:t>
    </w:r>
    <w:r>
      <w:rPr>
        <w:sz w:val="18"/>
        <w:szCs w:val="18"/>
      </w:rPr>
      <w:t xml:space="preserve"> </w:t>
    </w:r>
    <w:r w:rsidRPr="00156537">
      <w:rPr>
        <w:sz w:val="18"/>
        <w:szCs w:val="18"/>
      </w:rPr>
      <w:t>2020/03507-TR</w:t>
    </w:r>
    <w:r>
      <w:rPr>
        <w:sz w:val="18"/>
        <w:szCs w:val="18"/>
      </w:rPr>
      <w:t xml:space="preserve">, </w:t>
    </w:r>
    <w:r w:rsidRPr="00156537">
      <w:rPr>
        <w:sz w:val="18"/>
        <w:szCs w:val="18"/>
      </w:rPr>
      <w:t>2020/03508-TR</w:t>
    </w:r>
    <w:r>
      <w:rPr>
        <w:sz w:val="18"/>
        <w:szCs w:val="18"/>
      </w:rPr>
      <w:t xml:space="preserve">, </w:t>
    </w:r>
    <w:r w:rsidRPr="00156537">
      <w:rPr>
        <w:sz w:val="18"/>
        <w:szCs w:val="18"/>
      </w:rPr>
      <w:t>2020/03509-TR</w:t>
    </w:r>
  </w:p>
  <w:p w:rsidR="00440E5E" w:rsidRDefault="00440E5E" w:rsidP="001168B7">
    <w:pPr>
      <w:pStyle w:val="Hlavika"/>
      <w:rPr>
        <w:sz w:val="18"/>
        <w:szCs w:val="18"/>
      </w:rPr>
    </w:pPr>
    <w:proofErr w:type="spellStart"/>
    <w:r>
      <w:rPr>
        <w:sz w:val="18"/>
        <w:szCs w:val="18"/>
      </w:rPr>
      <w:t>Príloha</w:t>
    </w:r>
    <w:proofErr w:type="spellEnd"/>
    <w:r>
      <w:rPr>
        <w:sz w:val="18"/>
        <w:szCs w:val="18"/>
      </w:rPr>
      <w:t xml:space="preserve"> č. </w:t>
    </w:r>
    <w:r w:rsidR="006E4A39">
      <w:rPr>
        <w:sz w:val="18"/>
        <w:szCs w:val="18"/>
      </w:rPr>
      <w:t>2</w:t>
    </w:r>
    <w:r w:rsidRPr="00440E5E">
      <w:rPr>
        <w:sz w:val="18"/>
        <w:szCs w:val="18"/>
      </w:rPr>
      <w:t xml:space="preserve"> k </w:t>
    </w:r>
    <w:proofErr w:type="spellStart"/>
    <w:r w:rsidRPr="00440E5E">
      <w:rPr>
        <w:sz w:val="18"/>
        <w:szCs w:val="18"/>
      </w:rPr>
      <w:t>notifikácii</w:t>
    </w:r>
    <w:proofErr w:type="spellEnd"/>
    <w:r w:rsidRPr="00440E5E">
      <w:rPr>
        <w:sz w:val="18"/>
        <w:szCs w:val="18"/>
      </w:rPr>
      <w:t xml:space="preserve"> o </w:t>
    </w:r>
    <w:proofErr w:type="spellStart"/>
    <w:r w:rsidRPr="00440E5E">
      <w:rPr>
        <w:sz w:val="18"/>
        <w:szCs w:val="18"/>
      </w:rPr>
      <w:t>zmene</w:t>
    </w:r>
    <w:proofErr w:type="spellEnd"/>
    <w:r w:rsidRPr="00440E5E">
      <w:rPr>
        <w:sz w:val="18"/>
        <w:szCs w:val="18"/>
      </w:rPr>
      <w:t xml:space="preserve">, </w:t>
    </w:r>
    <w:proofErr w:type="spellStart"/>
    <w:r w:rsidRPr="00440E5E">
      <w:rPr>
        <w:sz w:val="18"/>
        <w:szCs w:val="18"/>
      </w:rPr>
      <w:t>ev</w:t>
    </w:r>
    <w:proofErr w:type="spellEnd"/>
    <w:r w:rsidRPr="00440E5E">
      <w:rPr>
        <w:sz w:val="18"/>
        <w:szCs w:val="18"/>
      </w:rPr>
      <w:t>. č.:</w:t>
    </w:r>
    <w:r>
      <w:rPr>
        <w:sz w:val="18"/>
        <w:szCs w:val="18"/>
      </w:rPr>
      <w:t xml:space="preserve"> </w:t>
    </w:r>
    <w:r w:rsidRPr="00440E5E">
      <w:rPr>
        <w:sz w:val="18"/>
        <w:szCs w:val="18"/>
      </w:rPr>
      <w:t>2020/02931-Z1B</w:t>
    </w:r>
  </w:p>
  <w:p w:rsidR="00440E5E" w:rsidRDefault="00440E5E">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395"/>
    <w:multiLevelType w:val="multilevel"/>
    <w:tmpl w:val="B8C29FC4"/>
    <w:lvl w:ilvl="0">
      <w:start w:val="1"/>
      <w:numFmt w:val="bullet"/>
      <w:lvlText w:val="-"/>
      <w:lvlJc w:val="left"/>
      <w:pPr>
        <w:ind w:left="566"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2"/>
        <w:szCs w:val="22"/>
        <w:u w:val="none" w:color="000000"/>
        <w:vertAlign w:val="baseline"/>
      </w:rPr>
    </w:lvl>
  </w:abstractNum>
  <w:abstractNum w:abstractNumId="1" w15:restartNumberingAfterBreak="0">
    <w:nsid w:val="085546B6"/>
    <w:multiLevelType w:val="multilevel"/>
    <w:tmpl w:val="09707D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80A74F4"/>
    <w:multiLevelType w:val="multilevel"/>
    <w:tmpl w:val="2A1CFD84"/>
    <w:lvl w:ilvl="0">
      <w:start w:val="1"/>
      <w:numFmt w:val="decimal"/>
      <w:lvlText w:val="%1."/>
      <w:lvlJc w:val="left"/>
      <w:pPr>
        <w:ind w:left="566" w:firstLine="0"/>
      </w:pPr>
      <w:rPr>
        <w:rFonts w:eastAsia="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2"/>
        <w:szCs w:val="22"/>
        <w:u w:val="none" w:color="000000"/>
        <w:vertAlign w:val="baseline"/>
      </w:rPr>
    </w:lvl>
  </w:abstractNum>
  <w:abstractNum w:abstractNumId="3" w15:restartNumberingAfterBreak="0">
    <w:nsid w:val="31874370"/>
    <w:multiLevelType w:val="multilevel"/>
    <w:tmpl w:val="D8189F48"/>
    <w:lvl w:ilvl="0">
      <w:start w:val="1"/>
      <w:numFmt w:val="decimal"/>
      <w:lvlText w:val="%1."/>
      <w:lvlJc w:val="left"/>
      <w:pPr>
        <w:ind w:left="566" w:firstLine="0"/>
      </w:pPr>
      <w:rPr>
        <w:rFonts w:eastAsia="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081"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1"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1"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1"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1"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1"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1"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1" w:firstLine="0"/>
      </w:pPr>
      <w:rPr>
        <w:rFonts w:eastAsia="Times New Roman" w:cs="Times New Roman"/>
        <w:b w:val="0"/>
        <w:i w:val="0"/>
        <w:strike w:val="0"/>
        <w:dstrike w:val="0"/>
        <w:color w:val="000000"/>
        <w:position w:val="0"/>
        <w:sz w:val="22"/>
        <w:szCs w:val="22"/>
        <w:u w:val="none" w:color="000000"/>
        <w:vertAlign w:val="baseline"/>
      </w:rPr>
    </w:lvl>
  </w:abstractNum>
  <w:abstractNum w:abstractNumId="4" w15:restartNumberingAfterBreak="0">
    <w:nsid w:val="50174EF8"/>
    <w:multiLevelType w:val="multilevel"/>
    <w:tmpl w:val="9DEE3E2A"/>
    <w:lvl w:ilvl="0">
      <w:start w:val="1"/>
      <w:numFmt w:val="bullet"/>
      <w:lvlText w:val="*"/>
      <w:lvlJc w:val="left"/>
      <w:pPr>
        <w:ind w:left="142"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0"/>
        <w:szCs w:val="20"/>
        <w:u w:val="none" w:color="000000"/>
        <w:vertAlign w:val="baseline"/>
      </w:rPr>
    </w:lvl>
  </w:abstractNum>
  <w:abstractNum w:abstractNumId="5" w15:restartNumberingAfterBreak="0">
    <w:nsid w:val="70BC1BCF"/>
    <w:multiLevelType w:val="multilevel"/>
    <w:tmpl w:val="30D84A62"/>
    <w:lvl w:ilvl="0">
      <w:start w:val="1"/>
      <w:numFmt w:val="bullet"/>
      <w:lvlText w:val="-"/>
      <w:lvlJc w:val="left"/>
      <w:pPr>
        <w:ind w:left="566"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2"/>
        <w:szCs w:val="22"/>
        <w:u w:val="none" w:color="000000"/>
        <w:vertAlign w:val="baseline"/>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417"/>
    <w:rsid w:val="00005EC2"/>
    <w:rsid w:val="00056DF3"/>
    <w:rsid w:val="000A2A6F"/>
    <w:rsid w:val="001168B7"/>
    <w:rsid w:val="00143188"/>
    <w:rsid w:val="00151E44"/>
    <w:rsid w:val="00154580"/>
    <w:rsid w:val="00156537"/>
    <w:rsid w:val="00180443"/>
    <w:rsid w:val="001B11CC"/>
    <w:rsid w:val="001C72BA"/>
    <w:rsid w:val="001D3794"/>
    <w:rsid w:val="00215721"/>
    <w:rsid w:val="00241D07"/>
    <w:rsid w:val="00250DB4"/>
    <w:rsid w:val="002616B4"/>
    <w:rsid w:val="00283AEC"/>
    <w:rsid w:val="002B2FDA"/>
    <w:rsid w:val="002E1772"/>
    <w:rsid w:val="002E69E4"/>
    <w:rsid w:val="00352624"/>
    <w:rsid w:val="0037318D"/>
    <w:rsid w:val="00377D73"/>
    <w:rsid w:val="00395864"/>
    <w:rsid w:val="003C56E9"/>
    <w:rsid w:val="003D6728"/>
    <w:rsid w:val="00402BC6"/>
    <w:rsid w:val="00440E5E"/>
    <w:rsid w:val="004431FF"/>
    <w:rsid w:val="004479B6"/>
    <w:rsid w:val="004B50EC"/>
    <w:rsid w:val="004E52C5"/>
    <w:rsid w:val="004F41DB"/>
    <w:rsid w:val="00511AD0"/>
    <w:rsid w:val="00526F07"/>
    <w:rsid w:val="00540E15"/>
    <w:rsid w:val="005653A3"/>
    <w:rsid w:val="00584E1F"/>
    <w:rsid w:val="005B3A33"/>
    <w:rsid w:val="00605DE2"/>
    <w:rsid w:val="0061294F"/>
    <w:rsid w:val="006134A2"/>
    <w:rsid w:val="0065383C"/>
    <w:rsid w:val="00677E1E"/>
    <w:rsid w:val="006E4A39"/>
    <w:rsid w:val="006E7054"/>
    <w:rsid w:val="00721EC5"/>
    <w:rsid w:val="00735EB1"/>
    <w:rsid w:val="007816CE"/>
    <w:rsid w:val="007C28C0"/>
    <w:rsid w:val="00800829"/>
    <w:rsid w:val="0080437F"/>
    <w:rsid w:val="008477EF"/>
    <w:rsid w:val="00883E33"/>
    <w:rsid w:val="008C1065"/>
    <w:rsid w:val="008C236A"/>
    <w:rsid w:val="00905C09"/>
    <w:rsid w:val="00980749"/>
    <w:rsid w:val="00993FBB"/>
    <w:rsid w:val="009C557F"/>
    <w:rsid w:val="00A97B10"/>
    <w:rsid w:val="00B015F0"/>
    <w:rsid w:val="00B01D22"/>
    <w:rsid w:val="00B024E4"/>
    <w:rsid w:val="00B111BD"/>
    <w:rsid w:val="00B1758A"/>
    <w:rsid w:val="00B422FF"/>
    <w:rsid w:val="00BA220B"/>
    <w:rsid w:val="00BB7AAA"/>
    <w:rsid w:val="00BF6B85"/>
    <w:rsid w:val="00C369B3"/>
    <w:rsid w:val="00C37B00"/>
    <w:rsid w:val="00C668E9"/>
    <w:rsid w:val="00C746AE"/>
    <w:rsid w:val="00C92551"/>
    <w:rsid w:val="00C955C8"/>
    <w:rsid w:val="00CA356F"/>
    <w:rsid w:val="00CB0BED"/>
    <w:rsid w:val="00CC629D"/>
    <w:rsid w:val="00CD5A50"/>
    <w:rsid w:val="00CD7414"/>
    <w:rsid w:val="00D3484F"/>
    <w:rsid w:val="00D41417"/>
    <w:rsid w:val="00DD3AB1"/>
    <w:rsid w:val="00DD65AF"/>
    <w:rsid w:val="00DE0709"/>
    <w:rsid w:val="00E1009E"/>
    <w:rsid w:val="00E75EA5"/>
    <w:rsid w:val="00E92626"/>
    <w:rsid w:val="00ED60B4"/>
    <w:rsid w:val="00EF014F"/>
    <w:rsid w:val="00EF5035"/>
    <w:rsid w:val="00F172D7"/>
    <w:rsid w:val="00F62470"/>
    <w:rsid w:val="00FC785C"/>
    <w:rsid w:val="00FD1FC7"/>
    <w:rsid w:val="00FE4EBD"/>
    <w:rsid w:val="00FF66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51967B-DF3D-47A6-8139-E6779A84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4" w:line="247" w:lineRule="auto"/>
      <w:ind w:left="21" w:right="1221" w:hanging="9"/>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13" w:line="247"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pPr>
      <w:keepNext/>
      <w:keepLines/>
      <w:spacing w:after="1" w:line="259" w:lineRule="auto"/>
      <w:ind w:left="22" w:hanging="10"/>
      <w:outlineLvl w:val="1"/>
    </w:pPr>
    <w:rPr>
      <w:rFonts w:ascii="Times New Roman" w:eastAsia="Times New Roman" w:hAnsi="Times New Roman" w:cs="Times New Roman"/>
      <w:color w:val="000000"/>
      <w:u w:val="single" w:color="000000"/>
    </w:rPr>
  </w:style>
  <w:style w:type="paragraph" w:styleId="Nadpis3">
    <w:name w:val="heading 3"/>
    <w:next w:val="Normlny"/>
    <w:link w:val="Nadpis3Char"/>
    <w:uiPriority w:val="9"/>
    <w:unhideWhenUsed/>
    <w:qFormat/>
    <w:pPr>
      <w:keepNext/>
      <w:keepLines/>
      <w:spacing w:after="4" w:line="249" w:lineRule="auto"/>
      <w:ind w:left="22" w:hanging="10"/>
      <w:outlineLvl w:val="2"/>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rPr>
      <w:rFonts w:ascii="Times New Roman" w:eastAsia="Times New Roman" w:hAnsi="Times New Roman" w:cs="Times New Roman"/>
      <w:b/>
      <w:color w:val="000000"/>
      <w:sz w:val="22"/>
    </w:rPr>
  </w:style>
  <w:style w:type="character" w:customStyle="1" w:styleId="Nadpis2Char">
    <w:name w:val="Nadpis 2 Char"/>
    <w:link w:val="Nadpis2"/>
    <w:qFormat/>
    <w:rPr>
      <w:rFonts w:ascii="Times New Roman" w:eastAsia="Times New Roman" w:hAnsi="Times New Roman" w:cs="Times New Roman"/>
      <w:color w:val="000000"/>
      <w:sz w:val="22"/>
      <w:u w:val="single" w:color="000000"/>
    </w:rPr>
  </w:style>
  <w:style w:type="character" w:customStyle="1" w:styleId="Nadpis3Char">
    <w:name w:val="Nadpis 3 Char"/>
    <w:link w:val="Nadpis3"/>
    <w:qFormat/>
    <w:rPr>
      <w:rFonts w:ascii="Times New Roman" w:eastAsia="Times New Roman" w:hAnsi="Times New Roman" w:cs="Times New Roman"/>
      <w:b/>
      <w:color w:val="000000"/>
      <w:sz w:val="22"/>
    </w:rPr>
  </w:style>
  <w:style w:type="character" w:customStyle="1" w:styleId="TextbublinyChar">
    <w:name w:val="Text bubliny Char"/>
    <w:basedOn w:val="Predvolenpsmoodseku"/>
    <w:link w:val="Textbubliny"/>
    <w:uiPriority w:val="99"/>
    <w:semiHidden/>
    <w:qFormat/>
    <w:rsid w:val="00B25FC8"/>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qFormat/>
    <w:rsid w:val="00464535"/>
    <w:rPr>
      <w:sz w:val="16"/>
      <w:szCs w:val="16"/>
    </w:rPr>
  </w:style>
  <w:style w:type="character" w:customStyle="1" w:styleId="TextkomentraChar">
    <w:name w:val="Text komentára Char"/>
    <w:basedOn w:val="Predvolenpsmoodseku"/>
    <w:link w:val="Textkomentra"/>
    <w:uiPriority w:val="99"/>
    <w:semiHidden/>
    <w:qFormat/>
    <w:rsid w:val="00464535"/>
    <w:rPr>
      <w:rFonts w:ascii="Times New Roman" w:eastAsia="Times New Roman" w:hAnsi="Times New Roman" w:cs="Times New Roman"/>
      <w:color w:val="000000"/>
      <w:sz w:val="20"/>
      <w:szCs w:val="20"/>
    </w:rPr>
  </w:style>
  <w:style w:type="character" w:customStyle="1" w:styleId="PredmetkomentraChar">
    <w:name w:val="Predmet komentára Char"/>
    <w:basedOn w:val="TextkomentraChar"/>
    <w:link w:val="Predmetkomentra"/>
    <w:uiPriority w:val="99"/>
    <w:semiHidden/>
    <w:qFormat/>
    <w:rsid w:val="00464535"/>
    <w:rPr>
      <w:rFonts w:ascii="Times New Roman" w:eastAsia="Times New Roman" w:hAnsi="Times New Roman" w:cs="Times New Roman"/>
      <w:b/>
      <w:bCs/>
      <w:color w:val="000000"/>
      <w:sz w:val="20"/>
      <w:szCs w:val="20"/>
    </w:rPr>
  </w:style>
  <w:style w:type="character" w:customStyle="1" w:styleId="HlavikaChar">
    <w:name w:val="Hlavička Char"/>
    <w:basedOn w:val="Predvolenpsmoodseku"/>
    <w:link w:val="Hlavika"/>
    <w:qFormat/>
    <w:rsid w:val="00176C22"/>
    <w:rPr>
      <w:rFonts w:ascii="Times New Roman" w:eastAsia="Times New Roman" w:hAnsi="Times New Roman" w:cs="Times New Roman"/>
      <w:color w:val="000000"/>
    </w:rPr>
  </w:style>
  <w:style w:type="character" w:customStyle="1" w:styleId="PtaChar">
    <w:name w:val="Päta Char"/>
    <w:basedOn w:val="Predvolenpsmoodseku"/>
    <w:link w:val="Pta"/>
    <w:uiPriority w:val="99"/>
    <w:qFormat/>
    <w:rsid w:val="00176C22"/>
    <w:rPr>
      <w:rFonts w:ascii="Times New Roman" w:eastAsia="Times New Roman" w:hAnsi="Times New Roman" w:cs="Times New Roman"/>
      <w:color w:val="000000"/>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Textbubliny">
    <w:name w:val="Balloon Text"/>
    <w:basedOn w:val="Normlny"/>
    <w:link w:val="TextbublinyChar"/>
    <w:uiPriority w:val="99"/>
    <w:semiHidden/>
    <w:unhideWhenUsed/>
    <w:qFormat/>
    <w:rsid w:val="00B25FC8"/>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46453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464535"/>
    <w:rPr>
      <w:b/>
      <w:bCs/>
    </w:rPr>
  </w:style>
  <w:style w:type="paragraph" w:styleId="Revzia">
    <w:name w:val="Revision"/>
    <w:uiPriority w:val="99"/>
    <w:semiHidden/>
    <w:qFormat/>
    <w:rsid w:val="00625236"/>
    <w:rPr>
      <w:rFonts w:ascii="Times New Roman" w:eastAsia="Times New Roman" w:hAnsi="Times New Roman" w:cs="Times New Roman"/>
      <w:color w:val="000000"/>
    </w:rPr>
  </w:style>
  <w:style w:type="paragraph" w:customStyle="1" w:styleId="Hlavikaapta">
    <w:name w:val="Hlavička a päta"/>
    <w:basedOn w:val="Normlny"/>
    <w:qFormat/>
  </w:style>
  <w:style w:type="paragraph" w:styleId="Hlavika">
    <w:name w:val="header"/>
    <w:basedOn w:val="Normlny"/>
    <w:link w:val="HlavikaChar"/>
    <w:unhideWhenUsed/>
    <w:rsid w:val="00176C22"/>
    <w:pPr>
      <w:tabs>
        <w:tab w:val="center" w:pos="4703"/>
        <w:tab w:val="right" w:pos="9406"/>
      </w:tabs>
      <w:spacing w:after="0" w:line="240" w:lineRule="auto"/>
    </w:pPr>
  </w:style>
  <w:style w:type="paragraph" w:styleId="Pta">
    <w:name w:val="footer"/>
    <w:basedOn w:val="Normlny"/>
    <w:link w:val="PtaChar"/>
    <w:uiPriority w:val="99"/>
    <w:unhideWhenUsed/>
    <w:rsid w:val="00176C22"/>
    <w:pPr>
      <w:tabs>
        <w:tab w:val="center" w:pos="4703"/>
        <w:tab w:val="right" w:pos="9406"/>
      </w:tabs>
      <w:spacing w:after="0" w:line="240" w:lineRule="auto"/>
    </w:pPr>
  </w:style>
  <w:style w:type="table" w:customStyle="1" w:styleId="TableGrid">
    <w:name w:val="TableGrid"/>
    <w:tblPr>
      <w:tblCellMar>
        <w:top w:w="0" w:type="dxa"/>
        <w:left w:w="0" w:type="dxa"/>
        <w:bottom w:w="0" w:type="dxa"/>
        <w:right w:w="0" w:type="dxa"/>
      </w:tblCellMar>
    </w:tblPr>
  </w:style>
  <w:style w:type="table" w:styleId="Mriekatabuky">
    <w:name w:val="Table Grid"/>
    <w:basedOn w:val="Normlnatabuka"/>
    <w:uiPriority w:val="39"/>
    <w:rsid w:val="00B37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17437-BA90-40A8-B249-44F780B9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10563</Words>
  <Characters>60212</Characters>
  <Application>Microsoft Office Word</Application>
  <DocSecurity>0</DocSecurity>
  <Lines>501</Lines>
  <Paragraphs>141</Paragraphs>
  <ScaleCrop>false</ScaleCrop>
  <HeadingPairs>
    <vt:vector size="2" baseType="variant">
      <vt:variant>
        <vt:lpstr>Názov</vt:lpstr>
      </vt:variant>
      <vt:variant>
        <vt:i4>1</vt:i4>
      </vt:variant>
    </vt:vector>
  </HeadingPairs>
  <TitlesOfParts>
    <vt:vector size="1" baseType="lpstr">
      <vt:lpstr>Tamiflu, INN-oseltamivir phosphate</vt:lpstr>
    </vt:vector>
  </TitlesOfParts>
  <Company>HP</Company>
  <LinksUpToDate>false</LinksUpToDate>
  <CharactersWithSpaces>70634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Tamiflu, INN-oseltamivir phosphate</dc:title>
  <dc:subject>EPAR</dc:subject>
  <dc:creator>CHMP</dc:creator>
  <cp:keywords>Tamiflu INN-oseltamivir phosphate</cp:keywords>
  <dc:description/>
  <cp:lastModifiedBy>Repiščáková, Janka</cp:lastModifiedBy>
  <cp:revision>9</cp:revision>
  <cp:lastPrinted>2020-05-13T11:40:00Z</cp:lastPrinted>
  <dcterms:created xsi:type="dcterms:W3CDTF">2020-06-10T09:12:00Z</dcterms:created>
  <dcterms:modified xsi:type="dcterms:W3CDTF">2020-08-26T09:41:00Z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