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E8BB5" w14:textId="77777777" w:rsidR="00642CF4" w:rsidRPr="00BD01C9" w:rsidRDefault="00642CF4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</w:p>
    <w:p w14:paraId="2DF13A0B" w14:textId="77777777" w:rsidR="00A0467A" w:rsidRPr="00BD01C9" w:rsidRDefault="00A0467A" w:rsidP="00D43E06">
      <w:pPr>
        <w:pStyle w:val="Nadpis9"/>
        <w:jc w:val="center"/>
        <w:rPr>
          <w:rFonts w:ascii="Times New Roman" w:hAnsi="Times New Roman" w:cs="Times New Roman"/>
          <w:bCs w:val="0"/>
          <w:caps/>
          <w:sz w:val="22"/>
          <w:szCs w:val="22"/>
        </w:rPr>
      </w:pPr>
      <w:r w:rsidRPr="00BD01C9">
        <w:rPr>
          <w:rFonts w:ascii="Times New Roman" w:hAnsi="Times New Roman" w:cs="Times New Roman"/>
          <w:bCs w:val="0"/>
          <w:caps/>
          <w:sz w:val="22"/>
          <w:szCs w:val="22"/>
        </w:rPr>
        <w:t>SÚHRN CharaKTERISTICKÝCH VLASTNOSTÍ LIEKU</w:t>
      </w:r>
    </w:p>
    <w:p w14:paraId="1A4C870C" w14:textId="77777777" w:rsidR="00A0467A" w:rsidRPr="00BD01C9" w:rsidRDefault="00A0467A" w:rsidP="00D43E06">
      <w:pPr>
        <w:tabs>
          <w:tab w:val="left" w:pos="420"/>
        </w:tabs>
        <w:rPr>
          <w:caps/>
          <w:sz w:val="22"/>
          <w:szCs w:val="22"/>
        </w:rPr>
      </w:pPr>
    </w:p>
    <w:p w14:paraId="04E5A30A" w14:textId="77777777" w:rsidR="00A440E6" w:rsidRPr="00BD01C9" w:rsidRDefault="00A440E6" w:rsidP="00D43E06">
      <w:pPr>
        <w:tabs>
          <w:tab w:val="left" w:pos="420"/>
        </w:tabs>
        <w:rPr>
          <w:caps/>
          <w:sz w:val="22"/>
          <w:szCs w:val="22"/>
        </w:rPr>
      </w:pPr>
    </w:p>
    <w:p w14:paraId="78AC7BA3" w14:textId="77777777" w:rsidR="00A0467A" w:rsidRPr="00BD01C9" w:rsidRDefault="00A0467A" w:rsidP="00D43E06">
      <w:pPr>
        <w:numPr>
          <w:ilvl w:val="0"/>
          <w:numId w:val="1"/>
        </w:numPr>
        <w:tabs>
          <w:tab w:val="left" w:pos="420"/>
        </w:tabs>
        <w:ind w:left="0" w:firstLine="0"/>
        <w:rPr>
          <w:b/>
          <w:caps/>
          <w:sz w:val="22"/>
          <w:szCs w:val="22"/>
        </w:rPr>
      </w:pPr>
      <w:r w:rsidRPr="00BD01C9">
        <w:rPr>
          <w:b/>
          <w:caps/>
          <w:sz w:val="22"/>
          <w:szCs w:val="22"/>
        </w:rPr>
        <w:t>NázOv LIEKU</w:t>
      </w:r>
    </w:p>
    <w:p w14:paraId="0C102796" w14:textId="77777777" w:rsidR="00A0467A" w:rsidRPr="00BD01C9" w:rsidRDefault="00A0467A" w:rsidP="00D43E06">
      <w:pPr>
        <w:rPr>
          <w:noProof/>
          <w:sz w:val="22"/>
          <w:szCs w:val="22"/>
        </w:rPr>
      </w:pPr>
    </w:p>
    <w:p w14:paraId="62CB5346" w14:textId="77777777" w:rsidR="00A0467A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25 mg tvrdé kapsuly</w:t>
      </w:r>
    </w:p>
    <w:p w14:paraId="2D467D99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50 mg tvrdé kapsuly</w:t>
      </w:r>
    </w:p>
    <w:p w14:paraId="044D0FE8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75 mg tvrdé kapsuly</w:t>
      </w:r>
    </w:p>
    <w:p w14:paraId="1B67E909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100 mg tvrdé kapsuly</w:t>
      </w:r>
    </w:p>
    <w:p w14:paraId="7C63C91F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150 mg tvrdé kapsuly</w:t>
      </w:r>
    </w:p>
    <w:p w14:paraId="1B2795B6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200 mg tvrdé kapsuly</w:t>
      </w:r>
    </w:p>
    <w:p w14:paraId="58A72CE0" w14:textId="77777777" w:rsidR="00981F9D" w:rsidRPr="00BD01C9" w:rsidRDefault="00981F9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225 mg tvrdé kapsuly</w:t>
      </w:r>
    </w:p>
    <w:p w14:paraId="3A2F938A" w14:textId="2BE785D8" w:rsidR="00A0467A" w:rsidRPr="00BD01C9" w:rsidRDefault="00981F9D" w:rsidP="00642CF4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300 mg tvrdé kapsuly</w:t>
      </w:r>
    </w:p>
    <w:p w14:paraId="6C0671EE" w14:textId="77777777" w:rsidR="00642CF4" w:rsidRPr="00BD01C9" w:rsidRDefault="00642CF4" w:rsidP="00642CF4">
      <w:pPr>
        <w:rPr>
          <w:noProof/>
          <w:sz w:val="22"/>
          <w:szCs w:val="22"/>
        </w:rPr>
      </w:pPr>
    </w:p>
    <w:p w14:paraId="4E3BF20B" w14:textId="77777777" w:rsidR="00A0467A" w:rsidRPr="00BD01C9" w:rsidRDefault="00A0467A" w:rsidP="00D43E06">
      <w:pPr>
        <w:rPr>
          <w:sz w:val="22"/>
          <w:szCs w:val="22"/>
        </w:rPr>
      </w:pPr>
    </w:p>
    <w:p w14:paraId="6CC172D3" w14:textId="77777777" w:rsidR="00A0467A" w:rsidRPr="00BD01C9" w:rsidRDefault="00A0467A" w:rsidP="00D43E06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t>2.</w:t>
      </w:r>
      <w:r w:rsidRPr="00BD01C9">
        <w:rPr>
          <w:b/>
          <w:sz w:val="22"/>
          <w:szCs w:val="22"/>
        </w:rPr>
        <w:tab/>
        <w:t xml:space="preserve">KVALITATÍVNE  A KVANTITATÍVNE </w:t>
      </w:r>
      <w:r w:rsidRPr="00BD01C9">
        <w:rPr>
          <w:b/>
          <w:caps/>
          <w:sz w:val="22"/>
          <w:szCs w:val="22"/>
        </w:rPr>
        <w:t xml:space="preserve">ZloŽenIE </w:t>
      </w:r>
    </w:p>
    <w:p w14:paraId="545EF8E5" w14:textId="77777777" w:rsidR="00A0467A" w:rsidRPr="00BD01C9" w:rsidRDefault="00A0467A" w:rsidP="00D43E06">
      <w:pPr>
        <w:ind w:right="-994"/>
        <w:rPr>
          <w:sz w:val="22"/>
          <w:szCs w:val="22"/>
        </w:rPr>
      </w:pPr>
    </w:p>
    <w:p w14:paraId="5A7F46ED" w14:textId="77777777" w:rsidR="00225B8F" w:rsidRPr="00BD01C9" w:rsidRDefault="00225B8F" w:rsidP="00D43E06">
      <w:pPr>
        <w:ind w:right="-2"/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Každá </w:t>
      </w:r>
      <w:r w:rsidRPr="00BD01C9">
        <w:rPr>
          <w:noProof/>
          <w:sz w:val="22"/>
          <w:szCs w:val="22"/>
        </w:rPr>
        <w:t>t</w:t>
      </w:r>
      <w:r w:rsidR="00981F9D" w:rsidRPr="00BD01C9">
        <w:rPr>
          <w:noProof/>
          <w:sz w:val="22"/>
          <w:szCs w:val="22"/>
        </w:rPr>
        <w:t>vrdá kapsula obsahuje 25 mg, 50 mg, 75 mg, 100 mg, 150 mg, 200 mg, 225 mg alebo 300 mg pregabal</w:t>
      </w:r>
      <w:r w:rsidR="00A45A3C" w:rsidRPr="00BD01C9">
        <w:rPr>
          <w:noProof/>
          <w:sz w:val="22"/>
          <w:szCs w:val="22"/>
        </w:rPr>
        <w:t>í</w:t>
      </w:r>
      <w:r w:rsidR="00981F9D" w:rsidRPr="00BD01C9">
        <w:rPr>
          <w:noProof/>
          <w:sz w:val="22"/>
          <w:szCs w:val="22"/>
        </w:rPr>
        <w:t>nu.</w:t>
      </w:r>
    </w:p>
    <w:p w14:paraId="5FD0D4DA" w14:textId="77777777" w:rsidR="00BB1C52" w:rsidRPr="00BD01C9" w:rsidRDefault="00BB1C52" w:rsidP="00D43E06">
      <w:pPr>
        <w:rPr>
          <w:sz w:val="22"/>
          <w:szCs w:val="22"/>
          <w:u w:val="single"/>
        </w:rPr>
      </w:pPr>
    </w:p>
    <w:p w14:paraId="69829878" w14:textId="77777777" w:rsidR="00A0467A" w:rsidRPr="00BD01C9" w:rsidRDefault="00A0467A" w:rsidP="00D43E06">
      <w:pPr>
        <w:rPr>
          <w:b/>
          <w:i/>
          <w:iCs/>
          <w:sz w:val="22"/>
          <w:szCs w:val="22"/>
        </w:rPr>
      </w:pPr>
      <w:r w:rsidRPr="00BD01C9">
        <w:rPr>
          <w:sz w:val="22"/>
          <w:szCs w:val="22"/>
        </w:rPr>
        <w:t>Úplný zoznam pomocných látok, pozri časť 6.1.</w:t>
      </w:r>
    </w:p>
    <w:p w14:paraId="5220154D" w14:textId="77777777" w:rsidR="00A0467A" w:rsidRPr="00BD01C9" w:rsidRDefault="00A0467A" w:rsidP="00D43E06">
      <w:pPr>
        <w:rPr>
          <w:sz w:val="22"/>
          <w:szCs w:val="22"/>
        </w:rPr>
      </w:pPr>
    </w:p>
    <w:p w14:paraId="33DDFF6B" w14:textId="77777777" w:rsidR="00A0467A" w:rsidRPr="00BD01C9" w:rsidRDefault="00A0467A" w:rsidP="00D43E06">
      <w:pPr>
        <w:rPr>
          <w:sz w:val="22"/>
          <w:szCs w:val="22"/>
        </w:rPr>
      </w:pPr>
    </w:p>
    <w:p w14:paraId="669C7A8B" w14:textId="77777777" w:rsidR="00A0467A" w:rsidRPr="00BD01C9" w:rsidRDefault="00A0467A" w:rsidP="00D43E06">
      <w:pPr>
        <w:keepNext/>
        <w:tabs>
          <w:tab w:val="left" w:pos="426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3.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LIEková forma</w:t>
      </w:r>
    </w:p>
    <w:p w14:paraId="1C161C10" w14:textId="77777777" w:rsidR="00A0467A" w:rsidRPr="00BD01C9" w:rsidRDefault="00A0467A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173F4511" w14:textId="77777777" w:rsidR="00A0467A" w:rsidRPr="00BD01C9" w:rsidRDefault="00981F9D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Tvrdá kapsula</w:t>
      </w:r>
    </w:p>
    <w:p w14:paraId="714959F1" w14:textId="77777777" w:rsidR="00A0467A" w:rsidRPr="00BD01C9" w:rsidRDefault="00A0467A" w:rsidP="00D43E06">
      <w:pPr>
        <w:rPr>
          <w:sz w:val="22"/>
          <w:szCs w:val="22"/>
        </w:rPr>
      </w:pPr>
    </w:p>
    <w:p w14:paraId="260C584E" w14:textId="7210369C" w:rsidR="00A0467A" w:rsidRDefault="00524ABC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25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</w:t>
      </w:r>
      <w:r w:rsidR="00704D8B" w:rsidRPr="00BD01C9">
        <w:rPr>
          <w:sz w:val="22"/>
          <w:szCs w:val="22"/>
        </w:rPr>
        <w:t xml:space="preserve"> a viečko</w:t>
      </w:r>
      <w:r w:rsidRPr="00BD01C9">
        <w:rPr>
          <w:sz w:val="22"/>
          <w:szCs w:val="22"/>
        </w:rPr>
        <w:t xml:space="preserve"> kapsuly </w:t>
      </w:r>
      <w:r w:rsidR="00704D8B" w:rsidRPr="00BD01C9">
        <w:rPr>
          <w:sz w:val="22"/>
          <w:szCs w:val="22"/>
        </w:rPr>
        <w:t>sú</w:t>
      </w:r>
      <w:r w:rsidRPr="00BD01C9">
        <w:rPr>
          <w:sz w:val="22"/>
          <w:szCs w:val="22"/>
        </w:rPr>
        <w:t xml:space="preserve"> biele</w:t>
      </w:r>
      <w:r w:rsidR="00704D8B" w:rsidRPr="00BD01C9">
        <w:rPr>
          <w:sz w:val="22"/>
          <w:szCs w:val="22"/>
        </w:rPr>
        <w:t>j farby</w:t>
      </w:r>
      <w:r w:rsidRPr="00BD01C9">
        <w:rPr>
          <w:sz w:val="22"/>
          <w:szCs w:val="22"/>
        </w:rPr>
        <w:t xml:space="preserve">. Viečko kapsuly je označené </w:t>
      </w:r>
      <w:r w:rsidR="00A0172C" w:rsidRPr="00BD01C9">
        <w:rPr>
          <w:sz w:val="22"/>
          <w:szCs w:val="22"/>
        </w:rPr>
        <w:t xml:space="preserve">čiernym nápisom </w:t>
      </w:r>
      <w:r w:rsidRPr="00BD01C9">
        <w:rPr>
          <w:sz w:val="22"/>
          <w:szCs w:val="22"/>
        </w:rPr>
        <w:t xml:space="preserve">P25. </w:t>
      </w:r>
      <w:r w:rsidR="00704D8B" w:rsidRPr="00BD01C9">
        <w:rPr>
          <w:sz w:val="22"/>
          <w:szCs w:val="22"/>
        </w:rPr>
        <w:t>Kapsuly o</w:t>
      </w:r>
      <w:r w:rsidRPr="00BD01C9">
        <w:rPr>
          <w:sz w:val="22"/>
          <w:szCs w:val="22"/>
        </w:rPr>
        <w:t>bsah</w:t>
      </w:r>
      <w:r w:rsidR="00704D8B" w:rsidRPr="00BD01C9">
        <w:rPr>
          <w:sz w:val="22"/>
          <w:szCs w:val="22"/>
        </w:rPr>
        <w:t>ujú</w:t>
      </w:r>
      <w:r w:rsidRPr="00BD01C9">
        <w:rPr>
          <w:sz w:val="22"/>
          <w:szCs w:val="22"/>
        </w:rPr>
        <w:t xml:space="preserve"> </w:t>
      </w:r>
      <w:r w:rsidR="00704D8B" w:rsidRPr="00BD01C9">
        <w:rPr>
          <w:sz w:val="22"/>
          <w:szCs w:val="22"/>
        </w:rPr>
        <w:t>biely až takmer biely prášok. Dĺžka kapsuly: 13,8 – 14,8 mm.</w:t>
      </w:r>
    </w:p>
    <w:p w14:paraId="567741FE" w14:textId="77777777" w:rsidR="00BD01C9" w:rsidRPr="00BD01C9" w:rsidRDefault="00BD01C9" w:rsidP="00D43E06">
      <w:pPr>
        <w:rPr>
          <w:sz w:val="22"/>
          <w:szCs w:val="22"/>
        </w:rPr>
      </w:pPr>
    </w:p>
    <w:p w14:paraId="42A47596" w14:textId="44563E8F" w:rsidR="00D53D43" w:rsidRDefault="00704D8B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50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svetložltej farby. Viečko kapsuly je označené čiern</w:t>
      </w:r>
      <w:r w:rsidR="00A0172C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A0172C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>P50. Kapsuly obsahujú biely až takmer biely prášok.</w:t>
      </w:r>
      <w:r w:rsidR="00D53D43" w:rsidRPr="00BD01C9">
        <w:rPr>
          <w:sz w:val="22"/>
          <w:szCs w:val="22"/>
        </w:rPr>
        <w:t xml:space="preserve"> Dĺžka kapsuly: </w:t>
      </w:r>
      <w:r w:rsidR="00D53D43" w:rsidRPr="00BD01C9">
        <w:rPr>
          <w:noProof/>
          <w:sz w:val="22"/>
          <w:szCs w:val="22"/>
        </w:rPr>
        <w:t>15</w:t>
      </w:r>
      <w:r w:rsidR="00D20DBE" w:rsidRPr="00BD01C9">
        <w:rPr>
          <w:noProof/>
          <w:sz w:val="22"/>
          <w:szCs w:val="22"/>
        </w:rPr>
        <w:t>,</w:t>
      </w:r>
      <w:r w:rsidR="00D53D43" w:rsidRPr="00BD01C9">
        <w:rPr>
          <w:noProof/>
          <w:sz w:val="22"/>
          <w:szCs w:val="22"/>
        </w:rPr>
        <w:t>3 – 16</w:t>
      </w:r>
      <w:r w:rsidR="00D20DBE" w:rsidRPr="00BD01C9">
        <w:rPr>
          <w:noProof/>
          <w:sz w:val="22"/>
          <w:szCs w:val="22"/>
        </w:rPr>
        <w:t>,</w:t>
      </w:r>
      <w:r w:rsidR="00D53D43" w:rsidRPr="00BD01C9">
        <w:rPr>
          <w:noProof/>
          <w:sz w:val="22"/>
          <w:szCs w:val="22"/>
        </w:rPr>
        <w:t>2 mm.</w:t>
      </w:r>
    </w:p>
    <w:p w14:paraId="382B88E9" w14:textId="77777777" w:rsidR="00BD01C9" w:rsidRPr="00BD01C9" w:rsidRDefault="00BD01C9" w:rsidP="00D53D43">
      <w:pPr>
        <w:widowControl w:val="0"/>
        <w:tabs>
          <w:tab w:val="left" w:pos="567"/>
        </w:tabs>
        <w:rPr>
          <w:noProof/>
          <w:sz w:val="22"/>
          <w:szCs w:val="22"/>
        </w:rPr>
      </w:pPr>
    </w:p>
    <w:p w14:paraId="3A3FDFBF" w14:textId="64F8AA10" w:rsidR="00D53D43" w:rsidRDefault="00D53D43" w:rsidP="00D53D43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75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 xml:space="preserve">elo a viečko kapsuly sú </w:t>
      </w:r>
      <w:r w:rsidR="00F70F8D" w:rsidRPr="00BD01C9">
        <w:rPr>
          <w:sz w:val="22"/>
          <w:szCs w:val="22"/>
        </w:rPr>
        <w:t>hnedastožltej</w:t>
      </w:r>
      <w:r w:rsidRPr="00BD01C9">
        <w:rPr>
          <w:sz w:val="22"/>
          <w:szCs w:val="22"/>
        </w:rPr>
        <w:t xml:space="preserve"> farby. Viečko kapsuly je označené čiern</w:t>
      </w:r>
      <w:r w:rsidR="00A0172C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A0172C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>P75. Kapsuly obsahujú biely až takmer biely prášok. Dĺžka kapsuly: 13,8 – 14,8</w:t>
      </w:r>
      <w:r w:rsidR="00E83CC9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mm.</w:t>
      </w:r>
    </w:p>
    <w:p w14:paraId="7930321A" w14:textId="77777777" w:rsidR="00BD01C9" w:rsidRPr="00BD01C9" w:rsidRDefault="00BD01C9" w:rsidP="00D53D43">
      <w:pPr>
        <w:rPr>
          <w:sz w:val="22"/>
          <w:szCs w:val="22"/>
        </w:rPr>
      </w:pPr>
    </w:p>
    <w:p w14:paraId="3F777D93" w14:textId="66EC1CF8" w:rsidR="00D20DBE" w:rsidRDefault="003D480A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100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a viečko kapsuly sú červen</w:t>
      </w:r>
      <w:r w:rsidR="00B420D2" w:rsidRPr="00BD01C9">
        <w:rPr>
          <w:sz w:val="22"/>
          <w:szCs w:val="22"/>
        </w:rPr>
        <w:t>kast</w:t>
      </w:r>
      <w:r w:rsidRPr="00BD01C9">
        <w:rPr>
          <w:sz w:val="22"/>
          <w:szCs w:val="22"/>
        </w:rPr>
        <w:t>ohnedej farby</w:t>
      </w:r>
      <w:r w:rsidR="00D20DBE" w:rsidRPr="00BD01C9">
        <w:rPr>
          <w:sz w:val="22"/>
          <w:szCs w:val="22"/>
        </w:rPr>
        <w:t xml:space="preserve">. Viečko kapsuly je označené </w:t>
      </w:r>
      <w:r w:rsidR="00E83CC9" w:rsidRPr="00BD01C9">
        <w:rPr>
          <w:sz w:val="22"/>
          <w:szCs w:val="22"/>
        </w:rPr>
        <w:t xml:space="preserve">bielym nápisom </w:t>
      </w:r>
      <w:r w:rsidR="00D20DBE" w:rsidRPr="00BD01C9">
        <w:rPr>
          <w:sz w:val="22"/>
          <w:szCs w:val="22"/>
        </w:rPr>
        <w:t xml:space="preserve">P100. Kapsuly obsahujú biely až takmer biely prášok. Dĺžka kapsuly: </w:t>
      </w:r>
      <w:r w:rsidR="00D20DBE" w:rsidRPr="00BD01C9">
        <w:rPr>
          <w:noProof/>
          <w:sz w:val="22"/>
          <w:szCs w:val="22"/>
        </w:rPr>
        <w:t>15,3 – 16,2 mm.</w:t>
      </w:r>
    </w:p>
    <w:p w14:paraId="48FEF905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66194C6A" w14:textId="35A49A55" w:rsidR="00704D8B" w:rsidRDefault="00F70F8D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150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žlt</w:t>
      </w:r>
      <w:r w:rsidR="00B420D2" w:rsidRPr="00BD01C9">
        <w:rPr>
          <w:sz w:val="22"/>
          <w:szCs w:val="22"/>
        </w:rPr>
        <w:t>k</w:t>
      </w:r>
      <w:r w:rsidRPr="00BD01C9">
        <w:rPr>
          <w:sz w:val="22"/>
          <w:szCs w:val="22"/>
        </w:rPr>
        <w:t>astohnedej farby. Viečko kapsuly je označené čiern</w:t>
      </w:r>
      <w:r w:rsidR="00E83CC9" w:rsidRPr="00BD01C9">
        <w:rPr>
          <w:sz w:val="22"/>
          <w:szCs w:val="22"/>
        </w:rPr>
        <w:t>ym</w:t>
      </w:r>
      <w:r w:rsidRPr="00BD01C9">
        <w:rPr>
          <w:sz w:val="22"/>
          <w:szCs w:val="22"/>
        </w:rPr>
        <w:t xml:space="preserve"> </w:t>
      </w:r>
      <w:r w:rsidR="00E83CC9" w:rsidRPr="00BD01C9">
        <w:rPr>
          <w:sz w:val="22"/>
          <w:szCs w:val="22"/>
        </w:rPr>
        <w:t xml:space="preserve">nápisom </w:t>
      </w:r>
      <w:r w:rsidRPr="00BD01C9">
        <w:rPr>
          <w:sz w:val="22"/>
          <w:szCs w:val="22"/>
        </w:rPr>
        <w:t xml:space="preserve">P150. Kapsuly obsahujú biely až takmer biely prášok. Dĺžka kapsuly: </w:t>
      </w:r>
      <w:r w:rsidRPr="00BD01C9">
        <w:rPr>
          <w:noProof/>
          <w:sz w:val="22"/>
          <w:szCs w:val="22"/>
        </w:rPr>
        <w:t>17,2 – 18,3 mm.</w:t>
      </w:r>
    </w:p>
    <w:p w14:paraId="78A40C1B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73955A71" w14:textId="79E4E745" w:rsidR="00F70F8D" w:rsidRDefault="00F70F8D" w:rsidP="00D43E06">
      <w:pPr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 xml:space="preserve">200 mg tvrdé kapsuly: </w:t>
      </w:r>
      <w:r w:rsidR="00032972" w:rsidRPr="00BD01C9">
        <w:rPr>
          <w:noProof/>
          <w:sz w:val="22"/>
          <w:szCs w:val="22"/>
        </w:rPr>
        <w:t>T</w:t>
      </w:r>
      <w:r w:rsidRPr="00BD01C9">
        <w:rPr>
          <w:noProof/>
          <w:sz w:val="22"/>
          <w:szCs w:val="22"/>
        </w:rPr>
        <w:t>elo a viečko kapsuly sú hnedej farby. Viečko kapsuly je označené čiern</w:t>
      </w:r>
      <w:r w:rsidR="00E83CC9" w:rsidRPr="00BD01C9">
        <w:rPr>
          <w:noProof/>
          <w:sz w:val="22"/>
          <w:szCs w:val="22"/>
        </w:rPr>
        <w:t>ym</w:t>
      </w:r>
      <w:r w:rsidRPr="00BD01C9">
        <w:rPr>
          <w:noProof/>
          <w:sz w:val="22"/>
          <w:szCs w:val="22"/>
        </w:rPr>
        <w:t xml:space="preserve"> </w:t>
      </w:r>
      <w:r w:rsidR="00E83CC9" w:rsidRPr="00BD01C9">
        <w:rPr>
          <w:noProof/>
          <w:sz w:val="22"/>
          <w:szCs w:val="22"/>
        </w:rPr>
        <w:t xml:space="preserve">nápisom </w:t>
      </w:r>
      <w:r w:rsidRPr="00BD01C9">
        <w:rPr>
          <w:noProof/>
          <w:sz w:val="22"/>
          <w:szCs w:val="22"/>
        </w:rPr>
        <w:t xml:space="preserve">P200. </w:t>
      </w:r>
      <w:r w:rsidRPr="00BD01C9">
        <w:rPr>
          <w:sz w:val="22"/>
          <w:szCs w:val="22"/>
        </w:rPr>
        <w:t xml:space="preserve">Kapsuly obsahujú biely až takmer biely prášok. Dĺžka kapsuly: </w:t>
      </w:r>
      <w:r w:rsidRPr="00BD01C9">
        <w:rPr>
          <w:noProof/>
          <w:sz w:val="22"/>
          <w:szCs w:val="22"/>
        </w:rPr>
        <w:t>18,7 – 19,8 mm.</w:t>
      </w:r>
    </w:p>
    <w:p w14:paraId="4871591A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43BB9C62" w14:textId="027BCAB2" w:rsidR="00F70F8D" w:rsidRDefault="00F70F8D" w:rsidP="00D43E06">
      <w:pPr>
        <w:rPr>
          <w:noProof/>
          <w:sz w:val="22"/>
          <w:szCs w:val="22"/>
        </w:rPr>
      </w:pPr>
      <w:r w:rsidRPr="00BD01C9">
        <w:rPr>
          <w:sz w:val="22"/>
          <w:szCs w:val="22"/>
        </w:rPr>
        <w:t xml:space="preserve">225 mg tvrdé kapsuly: </w:t>
      </w:r>
      <w:r w:rsidR="00032972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elo kapsuly je bielej farby, viečko kapsuly je hnedej farby. Viečko kapsuly je označené čiern</w:t>
      </w:r>
      <w:r w:rsidR="00E83CC9" w:rsidRPr="00BD01C9">
        <w:rPr>
          <w:sz w:val="22"/>
          <w:szCs w:val="22"/>
        </w:rPr>
        <w:t>ym nápisom</w:t>
      </w:r>
      <w:r w:rsidRPr="00BD01C9">
        <w:rPr>
          <w:sz w:val="22"/>
          <w:szCs w:val="22"/>
        </w:rPr>
        <w:t xml:space="preserve"> P225. Kapsuly obsahujú biely až takmer biely prášok. Dĺžka kapsuly: </w:t>
      </w:r>
      <w:r w:rsidRPr="00BD01C9">
        <w:rPr>
          <w:noProof/>
          <w:sz w:val="22"/>
          <w:szCs w:val="22"/>
        </w:rPr>
        <w:t>18,7 – 19,8 mm.</w:t>
      </w:r>
    </w:p>
    <w:p w14:paraId="3F74067F" w14:textId="77777777" w:rsidR="00BD01C9" w:rsidRPr="00BD01C9" w:rsidRDefault="00BD01C9" w:rsidP="00D43E06">
      <w:pPr>
        <w:rPr>
          <w:noProof/>
          <w:sz w:val="22"/>
          <w:szCs w:val="22"/>
        </w:rPr>
      </w:pPr>
    </w:p>
    <w:p w14:paraId="0F6B34D8" w14:textId="56EF7141" w:rsidR="00A0467A" w:rsidRPr="00BD01C9" w:rsidRDefault="00F70F8D" w:rsidP="00D43E06">
      <w:pPr>
        <w:rPr>
          <w:sz w:val="22"/>
          <w:szCs w:val="22"/>
        </w:rPr>
      </w:pPr>
      <w:r w:rsidRPr="00BD01C9">
        <w:rPr>
          <w:noProof/>
          <w:sz w:val="22"/>
          <w:szCs w:val="22"/>
        </w:rPr>
        <w:t xml:space="preserve">300 mg tvrdé kapsuly: </w:t>
      </w:r>
      <w:r w:rsidR="00032972" w:rsidRPr="00BD01C9">
        <w:rPr>
          <w:noProof/>
          <w:sz w:val="22"/>
          <w:szCs w:val="22"/>
        </w:rPr>
        <w:t>T</w:t>
      </w:r>
      <w:r w:rsidRPr="00BD01C9">
        <w:rPr>
          <w:noProof/>
          <w:sz w:val="22"/>
          <w:szCs w:val="22"/>
        </w:rPr>
        <w:t xml:space="preserve">elo kapsuly je bielej farby, viečko kapsuly je tmavohnedej farby. Viečko kapsuly je označené </w:t>
      </w:r>
      <w:r w:rsidR="00E83CC9" w:rsidRPr="00BD01C9">
        <w:rPr>
          <w:noProof/>
          <w:sz w:val="22"/>
          <w:szCs w:val="22"/>
        </w:rPr>
        <w:t xml:space="preserve">bielym nápisom </w:t>
      </w:r>
      <w:r w:rsidRPr="00BD01C9">
        <w:rPr>
          <w:noProof/>
          <w:sz w:val="22"/>
          <w:szCs w:val="22"/>
        </w:rPr>
        <w:t xml:space="preserve">P300. </w:t>
      </w:r>
      <w:r w:rsidRPr="00BD01C9">
        <w:rPr>
          <w:sz w:val="22"/>
          <w:szCs w:val="22"/>
        </w:rPr>
        <w:t>Kapsuly obsahujú biely až takmer biely prášok. Dĺžka kapsuly: 20,0 – 22,1 mm.</w:t>
      </w:r>
    </w:p>
    <w:p w14:paraId="1ED702C2" w14:textId="77777777" w:rsidR="00F70F8D" w:rsidRPr="00BD01C9" w:rsidRDefault="00F70F8D" w:rsidP="00D43E06">
      <w:pPr>
        <w:rPr>
          <w:sz w:val="22"/>
          <w:szCs w:val="22"/>
        </w:rPr>
      </w:pPr>
    </w:p>
    <w:p w14:paraId="21E55341" w14:textId="77777777" w:rsidR="004960F4" w:rsidRPr="00BD01C9" w:rsidRDefault="004960F4" w:rsidP="00D43E06">
      <w:pPr>
        <w:rPr>
          <w:sz w:val="22"/>
          <w:szCs w:val="22"/>
        </w:rPr>
      </w:pPr>
    </w:p>
    <w:p w14:paraId="3991A079" w14:textId="77777777" w:rsidR="00A0467A" w:rsidRPr="00BD01C9" w:rsidRDefault="00A0467A" w:rsidP="00642CF4">
      <w:pPr>
        <w:keepNext/>
        <w:tabs>
          <w:tab w:val="left" w:pos="426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lastRenderedPageBreak/>
        <w:t>4.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Klinické údaje</w:t>
      </w:r>
    </w:p>
    <w:p w14:paraId="22C60D30" w14:textId="77777777" w:rsidR="00A0467A" w:rsidRPr="00BD01C9" w:rsidRDefault="00A0467A" w:rsidP="00642CF4">
      <w:pPr>
        <w:keepNext/>
        <w:tabs>
          <w:tab w:val="left" w:pos="426"/>
        </w:tabs>
        <w:rPr>
          <w:sz w:val="22"/>
          <w:szCs w:val="22"/>
        </w:rPr>
      </w:pPr>
    </w:p>
    <w:p w14:paraId="22F4AC00" w14:textId="77777777" w:rsidR="00A0467A" w:rsidRPr="00BD01C9" w:rsidRDefault="00A0467A" w:rsidP="00642CF4">
      <w:pPr>
        <w:keepNext/>
        <w:tabs>
          <w:tab w:val="left" w:pos="709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4.1</w:t>
      </w:r>
      <w:r w:rsidRPr="00BD01C9">
        <w:rPr>
          <w:b/>
          <w:sz w:val="22"/>
          <w:szCs w:val="22"/>
        </w:rPr>
        <w:tab/>
        <w:t>Terapeutické indikácie</w:t>
      </w:r>
    </w:p>
    <w:p w14:paraId="1F77535E" w14:textId="77777777" w:rsidR="008003E4" w:rsidRPr="00BD01C9" w:rsidRDefault="008003E4" w:rsidP="00642CF4">
      <w:pPr>
        <w:keepNext/>
        <w:tabs>
          <w:tab w:val="left" w:pos="709"/>
        </w:tabs>
        <w:rPr>
          <w:sz w:val="22"/>
          <w:szCs w:val="22"/>
        </w:rPr>
      </w:pPr>
    </w:p>
    <w:p w14:paraId="3FC60F0C" w14:textId="77777777" w:rsidR="00A0467A" w:rsidRPr="00BD01C9" w:rsidRDefault="00981F9D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Neuropatická bolesť</w:t>
      </w:r>
    </w:p>
    <w:p w14:paraId="2C3C074B" w14:textId="77777777" w:rsidR="00981F9D" w:rsidRPr="00BD01C9" w:rsidRDefault="00981F9D" w:rsidP="00642CF4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rFonts w:eastAsia="TimesNewRoman"/>
          <w:sz w:val="22"/>
          <w:szCs w:val="22"/>
          <w:lang w:eastAsia="sk-SK"/>
        </w:rPr>
        <w:t>je indikovaná na liečbu periférnej a centrálnej neuropatickej bolesti u dospelých.</w:t>
      </w:r>
    </w:p>
    <w:p w14:paraId="15F08A1C" w14:textId="77777777" w:rsidR="00981F9D" w:rsidRPr="00BD01C9" w:rsidRDefault="00981F9D" w:rsidP="00D43E06">
      <w:pPr>
        <w:keepNext/>
        <w:tabs>
          <w:tab w:val="left" w:pos="709"/>
        </w:tabs>
        <w:rPr>
          <w:b/>
          <w:sz w:val="22"/>
          <w:szCs w:val="22"/>
        </w:rPr>
      </w:pPr>
    </w:p>
    <w:p w14:paraId="47EF210C" w14:textId="77777777" w:rsidR="00981F9D" w:rsidRPr="00BD01C9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 xml:space="preserve">Epilepsia </w:t>
      </w:r>
    </w:p>
    <w:p w14:paraId="3BD3B123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>Pragiola je indikovaná ako prídavná liečba u dospelých s parciálnymi záchvatmi s alebo bez sekundárnej generalizácie.</w:t>
      </w:r>
    </w:p>
    <w:p w14:paraId="433F5525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6FB24694" w14:textId="77777777" w:rsidR="00981F9D" w:rsidRPr="00BD01C9" w:rsidRDefault="00981F9D" w:rsidP="00D43E06">
      <w:pPr>
        <w:keepNext/>
        <w:tabs>
          <w:tab w:val="left" w:pos="709"/>
        </w:tabs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Generalizovaná úzkostná porucha</w:t>
      </w:r>
    </w:p>
    <w:p w14:paraId="254A8950" w14:textId="77777777" w:rsidR="00981F9D" w:rsidRPr="00BD01C9" w:rsidRDefault="00981F9D" w:rsidP="00D43E06">
      <w:pPr>
        <w:autoSpaceDE w:val="0"/>
        <w:autoSpaceDN w:val="0"/>
        <w:adjustRightInd w:val="0"/>
        <w:rPr>
          <w:rFonts w:eastAsia="TimesNewRoman"/>
          <w:sz w:val="22"/>
          <w:szCs w:val="22"/>
          <w:lang w:eastAsia="sk-SK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rFonts w:eastAsia="TimesNewRoman"/>
          <w:sz w:val="22"/>
          <w:szCs w:val="22"/>
          <w:lang w:eastAsia="sk-SK"/>
        </w:rPr>
        <w:t>je indikovaná na liečbu generalizovanej úzkostnej poruchy (GAD = Generalised Anxiety</w:t>
      </w:r>
    </w:p>
    <w:p w14:paraId="37828B1E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  <w:r w:rsidRPr="00BD01C9">
        <w:rPr>
          <w:rFonts w:eastAsia="TimesNewRoman"/>
          <w:sz w:val="22"/>
          <w:szCs w:val="22"/>
          <w:lang w:eastAsia="sk-SK"/>
        </w:rPr>
        <w:t>Disorder) u dospelých.</w:t>
      </w:r>
    </w:p>
    <w:p w14:paraId="261FDB90" w14:textId="77777777" w:rsidR="00981F9D" w:rsidRPr="00BD01C9" w:rsidRDefault="00981F9D" w:rsidP="00D43E06">
      <w:pPr>
        <w:keepNext/>
        <w:tabs>
          <w:tab w:val="left" w:pos="709"/>
        </w:tabs>
        <w:rPr>
          <w:sz w:val="22"/>
          <w:szCs w:val="22"/>
        </w:rPr>
      </w:pPr>
    </w:p>
    <w:p w14:paraId="2F36D8BD" w14:textId="77777777" w:rsidR="00A0467A" w:rsidRPr="00BD01C9" w:rsidRDefault="00A0467A" w:rsidP="00D43E06">
      <w:pPr>
        <w:keepNext/>
        <w:tabs>
          <w:tab w:val="left" w:pos="709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4.2</w:t>
      </w:r>
      <w:r w:rsidRPr="00BD01C9">
        <w:rPr>
          <w:b/>
          <w:sz w:val="22"/>
          <w:szCs w:val="22"/>
        </w:rPr>
        <w:tab/>
        <w:t>Dávkovanie a spôsob podávania</w:t>
      </w:r>
    </w:p>
    <w:p w14:paraId="662591B1" w14:textId="77777777" w:rsidR="00A0467A" w:rsidRPr="00BD01C9" w:rsidRDefault="00A0467A" w:rsidP="00D43E06">
      <w:pPr>
        <w:rPr>
          <w:sz w:val="22"/>
          <w:szCs w:val="22"/>
        </w:rPr>
      </w:pPr>
    </w:p>
    <w:p w14:paraId="4A5314A2" w14:textId="77777777" w:rsidR="00B41D9B" w:rsidRPr="00BD01C9" w:rsidRDefault="00B41D9B" w:rsidP="00D43E06">
      <w:pPr>
        <w:tabs>
          <w:tab w:val="left" w:pos="0"/>
        </w:tabs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Dávkovanie</w:t>
      </w:r>
    </w:p>
    <w:p w14:paraId="704B62D1" w14:textId="77777777" w:rsidR="00314EB9" w:rsidRPr="00BD01C9" w:rsidRDefault="00314EB9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Rozsah dávkovania je 150 až 600 mg denne, podáva</w:t>
      </w:r>
      <w:r w:rsidR="0068580F" w:rsidRPr="00BD01C9">
        <w:rPr>
          <w:sz w:val="22"/>
          <w:szCs w:val="22"/>
        </w:rPr>
        <w:t xml:space="preserve"> sa</w:t>
      </w:r>
      <w:r w:rsidRPr="00BD01C9">
        <w:rPr>
          <w:sz w:val="22"/>
          <w:szCs w:val="22"/>
        </w:rPr>
        <w:t xml:space="preserve"> rozdelene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</w:t>
      </w:r>
    </w:p>
    <w:p w14:paraId="171ACF35" w14:textId="77777777" w:rsidR="00314EB9" w:rsidRPr="00BD01C9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7A8BF1A7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Neuropatická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bolesť</w:t>
      </w:r>
    </w:p>
    <w:p w14:paraId="65C285DB" w14:textId="77777777" w:rsidR="00314EB9" w:rsidRPr="00BD01C9" w:rsidRDefault="00314EB9" w:rsidP="00D43E06">
      <w:pPr>
        <w:spacing w:before="6"/>
        <w:ind w:right="343"/>
        <w:rPr>
          <w:sz w:val="22"/>
          <w:szCs w:val="22"/>
        </w:rPr>
      </w:pPr>
      <w:r w:rsidRPr="00BD01C9">
        <w:rPr>
          <w:sz w:val="22"/>
          <w:szCs w:val="22"/>
        </w:rPr>
        <w:t xml:space="preserve">Liečbu pregabalínom možno začať dávkou 150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denn</w:t>
      </w:r>
      <w:r w:rsidRPr="00BD01C9">
        <w:rPr>
          <w:sz w:val="22"/>
          <w:szCs w:val="22"/>
        </w:rPr>
        <w:t>e, ktorá sa podáva rozdelená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3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7</w:t>
      </w:r>
      <w:r w:rsidRPr="00BD01C9">
        <w:rPr>
          <w:spacing w:val="-4"/>
          <w:sz w:val="22"/>
          <w:szCs w:val="22"/>
        </w:rPr>
        <w:t>-</w:t>
      </w:r>
      <w:r w:rsidRPr="00BD01C9">
        <w:rPr>
          <w:spacing w:val="-1"/>
          <w:sz w:val="22"/>
          <w:szCs w:val="22"/>
        </w:rPr>
        <w:t xml:space="preserve">dňovom </w:t>
      </w:r>
      <w:r w:rsidRPr="00BD01C9">
        <w:rPr>
          <w:sz w:val="22"/>
          <w:szCs w:val="22"/>
        </w:rPr>
        <w:t xml:space="preserve">intervale zvýšiť na 300 mg denne a ak je to potrebné, až na 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aximálnu dávku 600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7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dňovom intervale.</w:t>
      </w:r>
    </w:p>
    <w:p w14:paraId="72961BDD" w14:textId="77777777" w:rsidR="00A0467A" w:rsidRPr="00BD01C9" w:rsidRDefault="00A0467A" w:rsidP="00D43E06">
      <w:pPr>
        <w:rPr>
          <w:b/>
          <w:i/>
          <w:sz w:val="22"/>
          <w:szCs w:val="22"/>
        </w:rPr>
      </w:pPr>
    </w:p>
    <w:p w14:paraId="03B7F06A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Epilepsia</w:t>
      </w:r>
    </w:p>
    <w:p w14:paraId="428EC130" w14:textId="77777777" w:rsidR="00314EB9" w:rsidRPr="00BD01C9" w:rsidRDefault="00314EB9" w:rsidP="00D43E06">
      <w:pPr>
        <w:spacing w:before="6"/>
        <w:ind w:right="62"/>
        <w:rPr>
          <w:sz w:val="22"/>
          <w:szCs w:val="22"/>
        </w:rPr>
      </w:pPr>
      <w:r w:rsidRPr="00BD01C9">
        <w:rPr>
          <w:sz w:val="22"/>
          <w:szCs w:val="22"/>
        </w:rPr>
        <w:t xml:space="preserve">Liečbu pregabalínom možno začať dávkou 150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denn</w:t>
      </w:r>
      <w:r w:rsidRPr="00BD01C9">
        <w:rPr>
          <w:sz w:val="22"/>
          <w:szCs w:val="22"/>
        </w:rPr>
        <w:t>e, ktorá sa podáva rozdelená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dvoch alebo troch dávkach.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1 týždni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zvýšiť na 300 mg denne. Maximálnu dennú dávku 600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dosiahnuť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týždni.</w:t>
      </w:r>
    </w:p>
    <w:p w14:paraId="79962E7E" w14:textId="77777777" w:rsidR="00314EB9" w:rsidRPr="00BD01C9" w:rsidRDefault="00314EB9" w:rsidP="00D43E06">
      <w:pPr>
        <w:tabs>
          <w:tab w:val="left" w:pos="3757"/>
        </w:tabs>
        <w:ind w:right="-20"/>
        <w:rPr>
          <w:i/>
          <w:sz w:val="22"/>
          <w:szCs w:val="22"/>
          <w:u w:color="000000"/>
        </w:rPr>
      </w:pPr>
    </w:p>
    <w:p w14:paraId="118292BC" w14:textId="77777777" w:rsidR="00314EB9" w:rsidRPr="00BD01C9" w:rsidRDefault="00314EB9" w:rsidP="00D43E06">
      <w:pPr>
        <w:tabs>
          <w:tab w:val="left" w:pos="3757"/>
        </w:tabs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Generalizovaná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úzkostná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porucha</w:t>
      </w:r>
      <w:r w:rsidRPr="00BD01C9">
        <w:rPr>
          <w:sz w:val="22"/>
          <w:szCs w:val="22"/>
        </w:rPr>
        <w:tab/>
      </w:r>
    </w:p>
    <w:p w14:paraId="5943EC9E" w14:textId="19649790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Rozsah dávkovania je 150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600 mg denne, podáva sa rozdelene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dvoch alebo troch dávkach. Potreba liečby sa musí pravidelne </w:t>
      </w:r>
      <w:r w:rsidR="008D37BA" w:rsidRPr="00BD01C9">
        <w:rPr>
          <w:sz w:val="22"/>
          <w:szCs w:val="22"/>
        </w:rPr>
        <w:t>prehodnocovať</w:t>
      </w:r>
      <w:r w:rsidRPr="00BD01C9">
        <w:rPr>
          <w:sz w:val="22"/>
          <w:szCs w:val="22"/>
        </w:rPr>
        <w:t>. Liečbu pregabalínom možno začať dávkou 150 mg denne. Podľa individuálnej odpovede pacienta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tolerancie možno dávku po 1 týždni zvýšiť na 300 mg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ďalšom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týždni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zvýšiť na 450 mg denne. Maximálnu dennú dávku 600 </w:t>
      </w:r>
      <w:r w:rsidRPr="00BD01C9">
        <w:rPr>
          <w:spacing w:val="-1"/>
          <w:sz w:val="22"/>
          <w:szCs w:val="22"/>
        </w:rPr>
        <w:t>m</w:t>
      </w:r>
      <w:r w:rsidRPr="00BD01C9">
        <w:rPr>
          <w:sz w:val="22"/>
          <w:szCs w:val="22"/>
        </w:rPr>
        <w:t>g</w:t>
      </w:r>
      <w:r w:rsidRPr="00BD01C9">
        <w:rPr>
          <w:spacing w:val="-1"/>
          <w:sz w:val="22"/>
          <w:szCs w:val="22"/>
        </w:rPr>
        <w:t xml:space="preserve"> možn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dosiahnu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ďalšom týždni.</w:t>
      </w:r>
    </w:p>
    <w:p w14:paraId="1DD95DB1" w14:textId="77777777" w:rsidR="00314EB9" w:rsidRPr="00BD01C9" w:rsidRDefault="00314EB9" w:rsidP="00D43E06">
      <w:pPr>
        <w:ind w:right="-20"/>
        <w:rPr>
          <w:i/>
          <w:sz w:val="22"/>
          <w:szCs w:val="22"/>
          <w:u w:val="single" w:color="000000"/>
        </w:rPr>
      </w:pPr>
    </w:p>
    <w:p w14:paraId="36EBFF2E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Prerušenie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liečby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pregabalínom</w:t>
      </w:r>
    </w:p>
    <w:p w14:paraId="16A9642D" w14:textId="77777777" w:rsidR="00314EB9" w:rsidRPr="00BD01C9" w:rsidRDefault="00314EB9" w:rsidP="00D43E06">
      <w:pPr>
        <w:spacing w:before="6"/>
        <w:ind w:right="115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súlade so súčasnou klinickou praxou, ak sa musí liečba pregabalínom prerušiť, odporúča sa, aby sa to urobilo postupne počas minimálne 1 týždňa bez ohľadu na indikáciu (pozri ča</w:t>
      </w:r>
      <w:r w:rsidRPr="00BD01C9">
        <w:rPr>
          <w:spacing w:val="1"/>
          <w:sz w:val="22"/>
          <w:szCs w:val="22"/>
        </w:rPr>
        <w:t>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4.4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4.8).</w:t>
      </w:r>
    </w:p>
    <w:p w14:paraId="7B74CB5D" w14:textId="77777777" w:rsidR="00314EB9" w:rsidRPr="00BD01C9" w:rsidRDefault="00314EB9" w:rsidP="00D43E06">
      <w:pPr>
        <w:spacing w:before="6"/>
        <w:ind w:right="712"/>
        <w:rPr>
          <w:sz w:val="22"/>
          <w:szCs w:val="22"/>
        </w:rPr>
      </w:pPr>
    </w:p>
    <w:p w14:paraId="4AAAB7C1" w14:textId="77777777" w:rsidR="00314EB9" w:rsidRPr="00BD01C9" w:rsidRDefault="00314EB9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Poruch</w:t>
      </w:r>
      <w:r w:rsidR="00B9654F" w:rsidRPr="00BD01C9">
        <w:rPr>
          <w:i/>
          <w:sz w:val="22"/>
          <w:szCs w:val="22"/>
          <w:u w:color="000000"/>
        </w:rPr>
        <w:t>a</w:t>
      </w:r>
      <w:r w:rsidRPr="00BD01C9">
        <w:rPr>
          <w:i/>
          <w:sz w:val="22"/>
          <w:szCs w:val="22"/>
          <w:u w:color="000000"/>
        </w:rPr>
        <w:t xml:space="preserve"> funkcie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obličiek</w:t>
      </w:r>
    </w:p>
    <w:p w14:paraId="12584274" w14:textId="77777777" w:rsidR="00314EB9" w:rsidRPr="00BD01C9" w:rsidRDefault="00314EB9" w:rsidP="00D43E06">
      <w:pPr>
        <w:spacing w:before="6"/>
        <w:ind w:right="237"/>
        <w:rPr>
          <w:sz w:val="22"/>
          <w:szCs w:val="22"/>
        </w:rPr>
      </w:pPr>
      <w:r w:rsidRPr="00BD01C9">
        <w:rPr>
          <w:sz w:val="22"/>
          <w:szCs w:val="22"/>
        </w:rPr>
        <w:t>Pregabalín sa zo systémovej cirkulácie primárne eliminuje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 renálnou exkréciou. Keďže klírens pregabalínu je priamo úmerný klírensu kreatinínu (pozri časť 5.2), dávka u pacientov</w:t>
      </w:r>
    </w:p>
    <w:p w14:paraId="5EFA1FB9" w14:textId="77777777" w:rsidR="00314EB9" w:rsidRPr="00BD01C9" w:rsidRDefault="00314EB9" w:rsidP="00D43E06">
      <w:pPr>
        <w:spacing w:before="5"/>
        <w:ind w:right="189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poruchami renálnych funkcií sa musí znižovať individuálne podľa klírensu kreatinínu (C</w:t>
      </w:r>
      <w:r w:rsidRPr="00BD01C9">
        <w:rPr>
          <w:spacing w:val="-2"/>
          <w:sz w:val="22"/>
          <w:szCs w:val="22"/>
        </w:rPr>
        <w:t>L</w:t>
      </w:r>
      <w:r w:rsidRPr="00BD01C9">
        <w:rPr>
          <w:spacing w:val="1"/>
          <w:position w:val="-3"/>
          <w:sz w:val="22"/>
          <w:szCs w:val="22"/>
        </w:rPr>
        <w:t>c</w:t>
      </w:r>
      <w:r w:rsidRPr="00BD01C9">
        <w:rPr>
          <w:spacing w:val="-1"/>
          <w:position w:val="-3"/>
          <w:sz w:val="22"/>
          <w:szCs w:val="22"/>
        </w:rPr>
        <w:t>r</w:t>
      </w:r>
      <w:r w:rsidRPr="00BD01C9">
        <w:rPr>
          <w:sz w:val="22"/>
          <w:szCs w:val="22"/>
        </w:rPr>
        <w:t>), ako je uvedené v</w:t>
      </w:r>
      <w:r w:rsidRPr="00BD01C9">
        <w:rPr>
          <w:spacing w:val="-2"/>
          <w:sz w:val="22"/>
          <w:szCs w:val="22"/>
        </w:rPr>
        <w:t xml:space="preserve"> </w:t>
      </w:r>
      <w:r w:rsidR="0068580F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abuľke 1 použitím nasledovného vzorca:</w:t>
      </w:r>
    </w:p>
    <w:p w14:paraId="3C9FF644" w14:textId="77777777" w:rsidR="00A45A3C" w:rsidRPr="00BD01C9" w:rsidRDefault="00A45A3C" w:rsidP="00D43E06">
      <w:pPr>
        <w:spacing w:before="5"/>
        <w:ind w:right="189"/>
        <w:rPr>
          <w:sz w:val="22"/>
          <w:szCs w:val="22"/>
        </w:rPr>
      </w:pPr>
    </w:p>
    <w:p w14:paraId="5FB7646B" w14:textId="057D5920" w:rsidR="00314EB9" w:rsidRPr="00BD01C9" w:rsidRDefault="00141B19" w:rsidP="00D43E06">
      <w:pPr>
        <w:spacing w:before="5"/>
        <w:ind w:right="189"/>
        <w:rPr>
          <w:sz w:val="22"/>
          <w:szCs w:val="22"/>
        </w:rPr>
      </w:pPr>
      <w:r w:rsidRPr="00BD01C9">
        <w:rPr>
          <w:noProof/>
          <w:sz w:val="22"/>
          <w:szCs w:val="22"/>
          <w:lang w:eastAsia="sk-SK"/>
        </w:rPr>
        <w:drawing>
          <wp:inline distT="0" distB="0" distL="0" distR="0" wp14:anchorId="51521C40" wp14:editId="1F4A6E7C">
            <wp:extent cx="3514725" cy="5905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5549" w14:textId="77777777" w:rsidR="00314EB9" w:rsidRPr="00BD01C9" w:rsidRDefault="00314EB9" w:rsidP="00D43E06">
      <w:pPr>
        <w:spacing w:before="6"/>
        <w:ind w:right="712"/>
        <w:rPr>
          <w:sz w:val="22"/>
          <w:szCs w:val="22"/>
        </w:rPr>
      </w:pPr>
    </w:p>
    <w:p w14:paraId="6A988106" w14:textId="77777777" w:rsidR="00A45A3C" w:rsidRPr="00BD01C9" w:rsidRDefault="00A45A3C" w:rsidP="00D43E06">
      <w:pPr>
        <w:spacing w:before="32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Pregabalín možno efektívne odstrániť z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plazmy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hemodialýzou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(50 % lieku počas 4 hodín).</w:t>
      </w:r>
    </w:p>
    <w:p w14:paraId="779AA329" w14:textId="77777777" w:rsidR="00A45A3C" w:rsidRPr="00BD01C9" w:rsidRDefault="00A45A3C" w:rsidP="00D43E06">
      <w:pPr>
        <w:spacing w:before="6"/>
        <w:ind w:right="139"/>
        <w:rPr>
          <w:sz w:val="22"/>
          <w:szCs w:val="22"/>
        </w:rPr>
      </w:pP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hemodialyzovaných pacientov sa denná dávka pregabalínu m</w:t>
      </w:r>
      <w:r w:rsidR="0068580F" w:rsidRPr="00BD01C9">
        <w:rPr>
          <w:sz w:val="22"/>
          <w:szCs w:val="22"/>
        </w:rPr>
        <w:t>usí upraviť podľa renálnych fun</w:t>
      </w:r>
      <w:r w:rsidRPr="00BD01C9">
        <w:rPr>
          <w:sz w:val="22"/>
          <w:szCs w:val="22"/>
        </w:rPr>
        <w:t>kcií. K</w:t>
      </w:r>
      <w:r w:rsidRPr="00BD01C9">
        <w:rPr>
          <w:spacing w:val="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dennej dávke treba pridať doplnkovú dávku okamžite po každej </w:t>
      </w:r>
      <w:r w:rsidRPr="00BD01C9">
        <w:rPr>
          <w:spacing w:val="-1"/>
          <w:sz w:val="22"/>
          <w:szCs w:val="22"/>
        </w:rPr>
        <w:t>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 xml:space="preserve">hodinovej hemodialýze (pozri </w:t>
      </w:r>
      <w:r w:rsidR="0068580F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abuľku 1).</w:t>
      </w:r>
    </w:p>
    <w:p w14:paraId="02724FE3" w14:textId="77777777" w:rsidR="00A45A3C" w:rsidRPr="00BD01C9" w:rsidRDefault="00A45A3C" w:rsidP="00D43E06">
      <w:pPr>
        <w:spacing w:before="19"/>
        <w:rPr>
          <w:sz w:val="22"/>
          <w:szCs w:val="22"/>
        </w:rPr>
      </w:pPr>
    </w:p>
    <w:p w14:paraId="766F71D5" w14:textId="77777777" w:rsidR="00A45A3C" w:rsidRPr="00BD01C9" w:rsidRDefault="00A45A3C" w:rsidP="00642CF4">
      <w:pPr>
        <w:keepNext/>
        <w:ind w:right="-20"/>
        <w:rPr>
          <w:sz w:val="22"/>
          <w:szCs w:val="22"/>
        </w:rPr>
      </w:pPr>
      <w:r w:rsidRPr="00BD01C9">
        <w:rPr>
          <w:position w:val="-1"/>
          <w:sz w:val="22"/>
          <w:szCs w:val="22"/>
        </w:rPr>
        <w:t>Tabuľka 1</w:t>
      </w:r>
      <w:r w:rsidR="00BA78A4" w:rsidRPr="00BD01C9">
        <w:rPr>
          <w:position w:val="-1"/>
          <w:sz w:val="22"/>
          <w:szCs w:val="22"/>
        </w:rPr>
        <w:t>.</w:t>
      </w:r>
      <w:r w:rsidRPr="00BD01C9">
        <w:rPr>
          <w:position w:val="-1"/>
          <w:sz w:val="22"/>
          <w:szCs w:val="22"/>
        </w:rPr>
        <w:t xml:space="preserve"> Úprava dáv</w:t>
      </w:r>
      <w:r w:rsidRPr="00BD01C9">
        <w:rPr>
          <w:spacing w:val="-3"/>
          <w:position w:val="-1"/>
          <w:sz w:val="22"/>
          <w:szCs w:val="22"/>
        </w:rPr>
        <w:t>k</w:t>
      </w:r>
      <w:r w:rsidRPr="00BD01C9">
        <w:rPr>
          <w:position w:val="-1"/>
          <w:sz w:val="22"/>
          <w:szCs w:val="22"/>
        </w:rPr>
        <w:t>y</w:t>
      </w:r>
      <w:r w:rsidRPr="00BD01C9">
        <w:rPr>
          <w:spacing w:val="-2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pregabalínu podľa renálnych funkcií</w:t>
      </w:r>
    </w:p>
    <w:p w14:paraId="2C6EE554" w14:textId="77777777" w:rsidR="00A45A3C" w:rsidRPr="00BD01C9" w:rsidRDefault="00A45A3C" w:rsidP="00642CF4">
      <w:pPr>
        <w:keepNext/>
        <w:spacing w:before="8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842"/>
        <w:gridCol w:w="1843"/>
        <w:gridCol w:w="2552"/>
      </w:tblGrid>
      <w:tr w:rsidR="00A45A3C" w:rsidRPr="00BD01C9" w14:paraId="32697BF7" w14:textId="77777777" w:rsidTr="00A45A3C">
        <w:trPr>
          <w:trHeight w:hRule="exact" w:val="640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61E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Klírens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kreatinínu (C</w:t>
            </w:r>
            <w:r w:rsidRPr="00BD01C9">
              <w:rPr>
                <w:spacing w:val="-1"/>
                <w:sz w:val="22"/>
                <w:szCs w:val="22"/>
              </w:rPr>
              <w:t>L</w:t>
            </w:r>
            <w:r w:rsidRPr="00BD01C9">
              <w:rPr>
                <w:spacing w:val="1"/>
                <w:position w:val="-3"/>
                <w:sz w:val="22"/>
                <w:szCs w:val="22"/>
              </w:rPr>
              <w:t>c</w:t>
            </w:r>
            <w:r w:rsidRPr="00BD01C9">
              <w:rPr>
                <w:spacing w:val="-1"/>
                <w:position w:val="-3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) (ml/min)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C521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C</w:t>
            </w:r>
            <w:r w:rsidRPr="00BD01C9">
              <w:rPr>
                <w:sz w:val="22"/>
                <w:szCs w:val="22"/>
              </w:rPr>
              <w:t>elková denná dávka pregabalínu *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60BA" w14:textId="77777777" w:rsidR="00A45A3C" w:rsidRPr="00BD01C9" w:rsidRDefault="00A45A3C" w:rsidP="00642CF4">
            <w:pPr>
              <w:keepNext/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Dávkovací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režim</w:t>
            </w:r>
          </w:p>
        </w:tc>
      </w:tr>
      <w:tr w:rsidR="00A45A3C" w:rsidRPr="00BD01C9" w14:paraId="5D60B33D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75A5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F64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Úvodn</w:t>
            </w:r>
            <w:r w:rsidRPr="00BD01C9">
              <w:rPr>
                <w:sz w:val="22"/>
                <w:szCs w:val="22"/>
              </w:rPr>
              <w:t>á</w:t>
            </w:r>
            <w:r w:rsidRPr="00BD01C9">
              <w:rPr>
                <w:spacing w:val="-1"/>
                <w:sz w:val="22"/>
                <w:szCs w:val="22"/>
              </w:rPr>
              <w:t xml:space="preserve"> dávka</w:t>
            </w:r>
          </w:p>
          <w:p w14:paraId="1F7B22F7" w14:textId="77777777" w:rsidR="00A45A3C" w:rsidRPr="00BD01C9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92C68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Maximálna dávka</w:t>
            </w:r>
          </w:p>
          <w:p w14:paraId="5F2960FB" w14:textId="77777777" w:rsidR="00A45A3C" w:rsidRPr="00BD01C9" w:rsidRDefault="00A45A3C" w:rsidP="00D43E06">
            <w:pPr>
              <w:spacing w:before="6"/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(mg/deň)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56CC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</w:tr>
      <w:tr w:rsidR="00A45A3C" w:rsidRPr="00BD01C9" w14:paraId="145A275F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10E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AE1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3E7D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600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24D6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BI</w:t>
            </w:r>
            <w:r w:rsidRPr="00BD01C9">
              <w:rPr>
                <w:sz w:val="22"/>
                <w:szCs w:val="22"/>
              </w:rPr>
              <w:t>D</w:t>
            </w:r>
            <w:r w:rsidRPr="00BD01C9">
              <w:rPr>
                <w:spacing w:val="-1"/>
                <w:sz w:val="22"/>
                <w:szCs w:val="22"/>
              </w:rPr>
              <w:t xml:space="preserve"> aleb</w:t>
            </w:r>
            <w:r w:rsidRPr="00BD01C9">
              <w:rPr>
                <w:sz w:val="22"/>
                <w:szCs w:val="22"/>
              </w:rPr>
              <w:t>o</w:t>
            </w:r>
            <w:r w:rsidRPr="00BD01C9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BD01C9" w14:paraId="1203740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2447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30 – &lt; 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9D8C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D0F5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300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43AF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BI</w:t>
            </w:r>
            <w:r w:rsidRPr="00BD01C9">
              <w:rPr>
                <w:sz w:val="22"/>
                <w:szCs w:val="22"/>
              </w:rPr>
              <w:t>D</w:t>
            </w:r>
            <w:r w:rsidRPr="00BD01C9">
              <w:rPr>
                <w:spacing w:val="-1"/>
                <w:sz w:val="22"/>
                <w:szCs w:val="22"/>
              </w:rPr>
              <w:t xml:space="preserve"> aleb</w:t>
            </w:r>
            <w:r w:rsidRPr="00BD01C9">
              <w:rPr>
                <w:sz w:val="22"/>
                <w:szCs w:val="22"/>
              </w:rPr>
              <w:t>o</w:t>
            </w:r>
            <w:r w:rsidRPr="00BD01C9">
              <w:rPr>
                <w:spacing w:val="-1"/>
                <w:sz w:val="22"/>
                <w:szCs w:val="22"/>
              </w:rPr>
              <w:t xml:space="preserve"> TID</w:t>
            </w:r>
          </w:p>
        </w:tc>
      </w:tr>
      <w:tr w:rsidR="00A45A3C" w:rsidRPr="00BD01C9" w14:paraId="04799C89" w14:textId="77777777" w:rsidTr="00A45A3C">
        <w:trPr>
          <w:trHeight w:hRule="exact" w:val="533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5B4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≥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15 – &lt; 30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2DF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 – 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A385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150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4AB" w14:textId="77777777" w:rsidR="00A45A3C" w:rsidRPr="00BD01C9" w:rsidRDefault="00A45A3C" w:rsidP="00D43E06">
            <w:pPr>
              <w:ind w:left="100" w:right="51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Jedenkrát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denne alebo BID</w:t>
            </w:r>
          </w:p>
        </w:tc>
      </w:tr>
      <w:tr w:rsidR="00A45A3C" w:rsidRPr="00BD01C9" w14:paraId="3725B2F2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E35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&lt; 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B449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1E06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75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AD4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Jedenkrát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denne</w:t>
            </w:r>
          </w:p>
        </w:tc>
      </w:tr>
      <w:tr w:rsidR="00A45A3C" w:rsidRPr="00BD01C9" w14:paraId="32D6C55E" w14:textId="77777777" w:rsidTr="00A45A3C">
        <w:trPr>
          <w:trHeight w:hRule="exact" w:val="274"/>
        </w:trPr>
        <w:tc>
          <w:tcPr>
            <w:tcW w:w="88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732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Doplnkov</w:t>
            </w:r>
            <w:r w:rsidRPr="00BD01C9">
              <w:rPr>
                <w:sz w:val="22"/>
                <w:szCs w:val="22"/>
              </w:rPr>
              <w:t>é</w:t>
            </w:r>
            <w:r w:rsidRPr="00BD01C9">
              <w:rPr>
                <w:spacing w:val="-1"/>
                <w:sz w:val="22"/>
                <w:szCs w:val="22"/>
              </w:rPr>
              <w:t xml:space="preserve"> dávko</w:t>
            </w:r>
            <w:r w:rsidRPr="00BD01C9">
              <w:rPr>
                <w:spacing w:val="-3"/>
                <w:sz w:val="22"/>
                <w:szCs w:val="22"/>
              </w:rPr>
              <w:t>v</w:t>
            </w:r>
            <w:r w:rsidRPr="00BD01C9">
              <w:rPr>
                <w:sz w:val="22"/>
                <w:szCs w:val="22"/>
              </w:rPr>
              <w:t>anie po hemodialýze (mg)</w:t>
            </w:r>
          </w:p>
        </w:tc>
      </w:tr>
      <w:tr w:rsidR="00A45A3C" w:rsidRPr="00BD01C9" w14:paraId="5272E1D9" w14:textId="77777777" w:rsidTr="00A45A3C">
        <w:trPr>
          <w:trHeight w:hRule="exact" w:val="274"/>
        </w:trPr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7692" w14:textId="77777777" w:rsidR="00A45A3C" w:rsidRPr="00BD01C9" w:rsidRDefault="00A45A3C" w:rsidP="00D43E0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AD8E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A1DCB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BC3A" w14:textId="77777777" w:rsidR="00A45A3C" w:rsidRPr="00BD01C9" w:rsidRDefault="00A45A3C" w:rsidP="00D43E06">
            <w:pPr>
              <w:ind w:left="100"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Jedna dávka</w:t>
            </w:r>
            <w:r w:rsidRPr="00BD01C9">
              <w:rPr>
                <w:sz w:val="22"/>
                <w:szCs w:val="22"/>
                <w:vertAlign w:val="superscript"/>
              </w:rPr>
              <w:t>+</w:t>
            </w:r>
          </w:p>
        </w:tc>
      </w:tr>
    </w:tbl>
    <w:p w14:paraId="1C4F2770" w14:textId="77777777" w:rsidR="00A45A3C" w:rsidRPr="00BD01C9" w:rsidRDefault="00A45A3C" w:rsidP="00D43E06">
      <w:pPr>
        <w:ind w:right="-20"/>
        <w:rPr>
          <w:sz w:val="22"/>
          <w:szCs w:val="22"/>
        </w:rPr>
      </w:pPr>
    </w:p>
    <w:p w14:paraId="23A8B2DB" w14:textId="77777777" w:rsidR="00A45A3C" w:rsidRPr="00BD01C9" w:rsidRDefault="00A45A3C" w:rsidP="00D43E06">
      <w:pPr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TID = tri rozdelené dávky</w:t>
      </w:r>
    </w:p>
    <w:p w14:paraId="19E233C2" w14:textId="77777777" w:rsidR="00A45A3C" w:rsidRPr="00BD01C9" w:rsidRDefault="00A45A3C" w:rsidP="00D43E06">
      <w:pPr>
        <w:spacing w:before="6"/>
        <w:ind w:right="-20"/>
        <w:rPr>
          <w:sz w:val="20"/>
          <w:szCs w:val="20"/>
        </w:rPr>
      </w:pPr>
      <w:r w:rsidRPr="00BD01C9">
        <w:rPr>
          <w:spacing w:val="-2"/>
          <w:sz w:val="20"/>
          <w:szCs w:val="20"/>
        </w:rPr>
        <w:t>BI</w:t>
      </w:r>
      <w:r w:rsidRPr="00BD01C9">
        <w:rPr>
          <w:sz w:val="20"/>
          <w:szCs w:val="20"/>
        </w:rPr>
        <w:t>D</w:t>
      </w:r>
      <w:r w:rsidRPr="00BD01C9">
        <w:rPr>
          <w:spacing w:val="-1"/>
          <w:sz w:val="20"/>
          <w:szCs w:val="20"/>
        </w:rPr>
        <w:t xml:space="preserve"> </w:t>
      </w:r>
      <w:r w:rsidRPr="00BD01C9">
        <w:rPr>
          <w:sz w:val="20"/>
          <w:szCs w:val="20"/>
        </w:rPr>
        <w:t>= dve rozdelené dávky</w:t>
      </w:r>
    </w:p>
    <w:p w14:paraId="15E855CC" w14:textId="77777777" w:rsidR="00A45A3C" w:rsidRPr="00BD01C9" w:rsidRDefault="00A45A3C" w:rsidP="00D43E06">
      <w:pPr>
        <w:spacing w:before="6"/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* Celková denná dávka (mg/deň) sa má rozdeliť</w:t>
      </w:r>
      <w:r w:rsidRPr="00BD01C9">
        <w:rPr>
          <w:spacing w:val="-1"/>
          <w:sz w:val="20"/>
          <w:szCs w:val="20"/>
        </w:rPr>
        <w:t xml:space="preserve"> </w:t>
      </w:r>
      <w:r w:rsidRPr="00BD01C9">
        <w:rPr>
          <w:sz w:val="20"/>
          <w:szCs w:val="20"/>
        </w:rPr>
        <w:t>podľa dávkovacieho režimu a vyjadriť v</w:t>
      </w:r>
      <w:r w:rsidRPr="00BD01C9">
        <w:rPr>
          <w:spacing w:val="-3"/>
          <w:sz w:val="20"/>
          <w:szCs w:val="20"/>
        </w:rPr>
        <w:t xml:space="preserve"> </w:t>
      </w:r>
      <w:r w:rsidRPr="00BD01C9">
        <w:rPr>
          <w:spacing w:val="-1"/>
          <w:sz w:val="20"/>
          <w:szCs w:val="20"/>
        </w:rPr>
        <w:t>mg/dávka</w:t>
      </w:r>
    </w:p>
    <w:p w14:paraId="0D302F0E" w14:textId="77777777" w:rsidR="00A45A3C" w:rsidRPr="00BD01C9" w:rsidRDefault="00A45A3C" w:rsidP="00D43E06">
      <w:pPr>
        <w:ind w:right="-20"/>
        <w:rPr>
          <w:sz w:val="20"/>
          <w:szCs w:val="20"/>
        </w:rPr>
      </w:pPr>
      <w:r w:rsidRPr="00BD01C9">
        <w:rPr>
          <w:sz w:val="20"/>
          <w:szCs w:val="20"/>
        </w:rPr>
        <w:t>+</w:t>
      </w:r>
      <w:r w:rsidRPr="00BD01C9">
        <w:rPr>
          <w:spacing w:val="1"/>
          <w:position w:val="10"/>
          <w:sz w:val="20"/>
          <w:szCs w:val="20"/>
        </w:rPr>
        <w:t xml:space="preserve"> </w:t>
      </w:r>
      <w:r w:rsidRPr="00BD01C9">
        <w:rPr>
          <w:sz w:val="20"/>
          <w:szCs w:val="20"/>
        </w:rPr>
        <w:t>Doplnková dávka je jedna dodatočná dávka</w:t>
      </w:r>
    </w:p>
    <w:p w14:paraId="0C89EB8E" w14:textId="77777777" w:rsidR="00307638" w:rsidRPr="00BD01C9" w:rsidRDefault="00307638" w:rsidP="00D43E06">
      <w:pPr>
        <w:ind w:right="-20"/>
        <w:rPr>
          <w:i/>
          <w:spacing w:val="-1"/>
          <w:sz w:val="22"/>
          <w:szCs w:val="22"/>
          <w:u w:color="000000"/>
        </w:rPr>
      </w:pPr>
    </w:p>
    <w:p w14:paraId="221E544B" w14:textId="77777777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pacing w:val="-1"/>
          <w:sz w:val="22"/>
          <w:szCs w:val="22"/>
          <w:u w:color="000000"/>
        </w:rPr>
        <w:t>P</w:t>
      </w:r>
      <w:r w:rsidRPr="00BD01C9">
        <w:rPr>
          <w:i/>
          <w:sz w:val="22"/>
          <w:szCs w:val="22"/>
          <w:u w:color="000000"/>
        </w:rPr>
        <w:t>oruch</w:t>
      </w:r>
      <w:r w:rsidR="00B9654F" w:rsidRPr="00BD01C9">
        <w:rPr>
          <w:i/>
          <w:sz w:val="22"/>
          <w:szCs w:val="22"/>
          <w:u w:color="000000"/>
        </w:rPr>
        <w:t>a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funkcie</w:t>
      </w:r>
      <w:r w:rsidRPr="00BD01C9">
        <w:rPr>
          <w:i/>
          <w:spacing w:val="-30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pečene</w:t>
      </w:r>
    </w:p>
    <w:p w14:paraId="00949372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Nevyžaduje sa žiadna úprava dáv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 s poruchou funkcie pečene (pozri časť 5.2).</w:t>
      </w:r>
    </w:p>
    <w:p w14:paraId="5EE939DB" w14:textId="77777777" w:rsidR="00A45A3C" w:rsidRPr="00BD01C9" w:rsidRDefault="00A45A3C" w:rsidP="00D43E06">
      <w:pPr>
        <w:spacing w:before="5"/>
        <w:rPr>
          <w:sz w:val="22"/>
          <w:szCs w:val="22"/>
        </w:rPr>
      </w:pPr>
    </w:p>
    <w:p w14:paraId="345D5E4D" w14:textId="77777777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Pediatrická populácia</w:t>
      </w:r>
    </w:p>
    <w:p w14:paraId="7CF789CF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Bezpečnosť a účinnosť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Pragioly</w:t>
      </w:r>
      <w:r w:rsidRPr="00BD01C9">
        <w:rPr>
          <w:spacing w:val="-1"/>
          <w:sz w:val="22"/>
          <w:szCs w:val="22"/>
        </w:rPr>
        <w:t xml:space="preserve"> sa </w:t>
      </w:r>
      <w:r w:rsidRPr="00BD01C9">
        <w:rPr>
          <w:sz w:val="22"/>
          <w:szCs w:val="22"/>
        </w:rPr>
        <w:t xml:space="preserve">u detí mladších ako 12 </w:t>
      </w:r>
      <w:r w:rsidRPr="00BD01C9">
        <w:rPr>
          <w:spacing w:val="-1"/>
          <w:sz w:val="22"/>
          <w:szCs w:val="22"/>
        </w:rPr>
        <w:t>roko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u dospievajúcich </w:t>
      </w:r>
      <w:r w:rsidRPr="00BD01C9">
        <w:rPr>
          <w:spacing w:val="-1"/>
          <w:sz w:val="22"/>
          <w:szCs w:val="22"/>
        </w:rPr>
        <w:t>(v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veku</w:t>
      </w:r>
    </w:p>
    <w:p w14:paraId="3F6EC23C" w14:textId="77777777" w:rsidR="00A45A3C" w:rsidRPr="00BD01C9" w:rsidRDefault="00A45A3C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12 -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17 rokov) nestanovovala.</w:t>
      </w:r>
      <w:r w:rsidR="00E069AF" w:rsidRPr="00BD01C9">
        <w:rPr>
          <w:sz w:val="22"/>
          <w:szCs w:val="22"/>
        </w:rPr>
        <w:t xml:space="preserve"> Údaje dostupné v súčasnosti sú uvedené v časti 4.8, 5.1 a 5.2, ale nie je možné vykonať odporúčanie týkajúce sa dávkovania.</w:t>
      </w:r>
    </w:p>
    <w:p w14:paraId="171E5157" w14:textId="77777777" w:rsidR="00A45A3C" w:rsidRPr="00BD01C9" w:rsidRDefault="00A45A3C" w:rsidP="00D43E06">
      <w:pPr>
        <w:spacing w:before="5"/>
        <w:rPr>
          <w:sz w:val="22"/>
          <w:szCs w:val="22"/>
        </w:rPr>
      </w:pPr>
    </w:p>
    <w:p w14:paraId="01232C68" w14:textId="4289A81A" w:rsidR="00A45A3C" w:rsidRPr="00BD01C9" w:rsidRDefault="00A45A3C" w:rsidP="00D43E06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Starš</w:t>
      </w:r>
      <w:r w:rsidR="006F4750" w:rsidRPr="00BD01C9">
        <w:rPr>
          <w:i/>
          <w:sz w:val="22"/>
          <w:szCs w:val="22"/>
          <w:u w:color="000000"/>
        </w:rPr>
        <w:t xml:space="preserve">í pacienti </w:t>
      </w:r>
    </w:p>
    <w:p w14:paraId="3D6B554B" w14:textId="77777777" w:rsidR="00A45A3C" w:rsidRPr="00BD01C9" w:rsidRDefault="00A45A3C" w:rsidP="00D43E06">
      <w:pPr>
        <w:spacing w:before="6"/>
        <w:ind w:right="69"/>
        <w:rPr>
          <w:sz w:val="22"/>
          <w:szCs w:val="22"/>
        </w:rPr>
      </w:pPr>
      <w:r w:rsidRPr="00BD01C9">
        <w:rPr>
          <w:sz w:val="22"/>
          <w:szCs w:val="22"/>
        </w:rPr>
        <w:t>Starší pacienti môžu vyžadovať zníženie dávky pregabalínu z dôvodu zníženej re</w:t>
      </w:r>
      <w:r w:rsidRPr="00BD01C9">
        <w:rPr>
          <w:spacing w:val="-2"/>
          <w:sz w:val="22"/>
          <w:szCs w:val="22"/>
        </w:rPr>
        <w:t>n</w:t>
      </w:r>
      <w:r w:rsidRPr="00BD01C9">
        <w:rPr>
          <w:sz w:val="22"/>
          <w:szCs w:val="22"/>
        </w:rPr>
        <w:t>álnej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(pozri </w:t>
      </w:r>
      <w:r w:rsidR="00B9654F" w:rsidRPr="00BD01C9">
        <w:rPr>
          <w:sz w:val="22"/>
          <w:szCs w:val="22"/>
        </w:rPr>
        <w:t>časť 5.2</w:t>
      </w:r>
      <w:r w:rsidRPr="00BD01C9">
        <w:rPr>
          <w:sz w:val="22"/>
          <w:szCs w:val="22"/>
        </w:rPr>
        <w:t>).</w:t>
      </w:r>
    </w:p>
    <w:p w14:paraId="59B3EAF9" w14:textId="77777777" w:rsidR="00493CF9" w:rsidRPr="00BD01C9" w:rsidRDefault="00493CF9" w:rsidP="00D43E06">
      <w:pPr>
        <w:rPr>
          <w:sz w:val="22"/>
          <w:szCs w:val="22"/>
        </w:rPr>
      </w:pPr>
    </w:p>
    <w:p w14:paraId="664A37C2" w14:textId="77777777" w:rsidR="00175A22" w:rsidRPr="00BD01C9" w:rsidRDefault="00175A22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Spôsob podávania</w:t>
      </w:r>
    </w:p>
    <w:p w14:paraId="4849FD7F" w14:textId="77777777" w:rsidR="00175A22" w:rsidRPr="00BD01C9" w:rsidRDefault="00175A22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Pragiola sa môže užívať s jedlom alebo bez jedla.</w:t>
      </w:r>
    </w:p>
    <w:p w14:paraId="598EB9D1" w14:textId="77777777" w:rsidR="00175A22" w:rsidRPr="00BD01C9" w:rsidRDefault="00175A22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Pragiola je určená iba na perorálne použitie.</w:t>
      </w:r>
    </w:p>
    <w:p w14:paraId="537B681B" w14:textId="77777777" w:rsidR="00175A22" w:rsidRPr="00BD01C9" w:rsidRDefault="00175A22" w:rsidP="00D43E06">
      <w:pPr>
        <w:rPr>
          <w:sz w:val="22"/>
          <w:szCs w:val="22"/>
        </w:rPr>
      </w:pPr>
    </w:p>
    <w:p w14:paraId="4055C434" w14:textId="77777777" w:rsidR="00A0467A" w:rsidRPr="00BD01C9" w:rsidRDefault="00A0467A" w:rsidP="00D43E06">
      <w:pPr>
        <w:keepNext/>
        <w:numPr>
          <w:ilvl w:val="1"/>
          <w:numId w:val="15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Kontraindikácie</w:t>
      </w:r>
    </w:p>
    <w:p w14:paraId="3554C40D" w14:textId="77777777" w:rsidR="00A0467A" w:rsidRPr="00BD01C9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0FF1F34D" w14:textId="77777777" w:rsidR="00493CF9" w:rsidRPr="00BD01C9" w:rsidRDefault="002957F9" w:rsidP="00D43E06">
      <w:pPr>
        <w:pStyle w:val="Zarkazkladnhotextu2"/>
        <w:ind w:left="0" w:firstLine="0"/>
        <w:jc w:val="left"/>
        <w:rPr>
          <w:noProof/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 xml:space="preserve">Precitlivenosť na liečivo alebo na </w:t>
      </w:r>
      <w:r w:rsidRPr="00BD01C9">
        <w:rPr>
          <w:noProof/>
          <w:sz w:val="22"/>
          <w:szCs w:val="22"/>
          <w:lang w:val="sk-SK"/>
        </w:rPr>
        <w:t>ktorúkoľvek</w:t>
      </w:r>
      <w:r w:rsidRPr="00BD01C9">
        <w:rPr>
          <w:sz w:val="22"/>
          <w:szCs w:val="22"/>
          <w:lang w:val="sk-SK"/>
        </w:rPr>
        <w:t xml:space="preserve"> z pomocných látok </w:t>
      </w:r>
      <w:r w:rsidRPr="00BD01C9">
        <w:rPr>
          <w:noProof/>
          <w:sz w:val="22"/>
          <w:szCs w:val="22"/>
          <w:lang w:val="sk-SK"/>
        </w:rPr>
        <w:t>uvedených v časti 6.1.</w:t>
      </w:r>
      <w:r w:rsidR="00440405" w:rsidRPr="00BD01C9">
        <w:rPr>
          <w:noProof/>
          <w:sz w:val="22"/>
          <w:szCs w:val="22"/>
          <w:lang w:val="sk-SK"/>
        </w:rPr>
        <w:t xml:space="preserve"> </w:t>
      </w:r>
    </w:p>
    <w:p w14:paraId="500F9CE0" w14:textId="77777777" w:rsidR="00A0467A" w:rsidRPr="00BD01C9" w:rsidRDefault="00A0467A" w:rsidP="00D43E06">
      <w:pPr>
        <w:tabs>
          <w:tab w:val="left" w:pos="420"/>
        </w:tabs>
        <w:rPr>
          <w:sz w:val="22"/>
          <w:szCs w:val="22"/>
        </w:rPr>
      </w:pPr>
    </w:p>
    <w:p w14:paraId="0202174B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Osobitné upozornenia a opatrenia pri používaní</w:t>
      </w:r>
    </w:p>
    <w:p w14:paraId="25444A86" w14:textId="77777777" w:rsidR="000D1302" w:rsidRPr="00BD01C9" w:rsidRDefault="000D1302" w:rsidP="00D43E06">
      <w:pPr>
        <w:tabs>
          <w:tab w:val="left" w:pos="0"/>
        </w:tabs>
        <w:rPr>
          <w:bCs/>
          <w:sz w:val="22"/>
          <w:szCs w:val="22"/>
        </w:rPr>
      </w:pPr>
    </w:p>
    <w:p w14:paraId="47EBCBF3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Diabetickí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pacienti</w:t>
      </w:r>
    </w:p>
    <w:p w14:paraId="3BFC0EE1" w14:textId="77777777" w:rsidR="00175A22" w:rsidRPr="00BD01C9" w:rsidRDefault="00175A22" w:rsidP="00D43E06">
      <w:pPr>
        <w:spacing w:before="6"/>
        <w:ind w:right="456"/>
        <w:rPr>
          <w:sz w:val="22"/>
          <w:szCs w:val="22"/>
        </w:rPr>
      </w:pPr>
      <w:r w:rsidRPr="00BD01C9">
        <w:rPr>
          <w:sz w:val="22"/>
          <w:szCs w:val="22"/>
        </w:rPr>
        <w:t>Podľa súčasn</w:t>
      </w:r>
      <w:r w:rsidRPr="00BD01C9">
        <w:rPr>
          <w:spacing w:val="1"/>
          <w:sz w:val="22"/>
          <w:szCs w:val="22"/>
        </w:rPr>
        <w:t>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praxe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diabetických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 prírastkom hmotnosti počas liečby pregabalínom môže byť potrebné upraviť hypoglykemickú liečbu.</w:t>
      </w:r>
    </w:p>
    <w:p w14:paraId="4FD3B344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07911644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Reakcie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pacing w:val="1"/>
          <w:sz w:val="22"/>
          <w:szCs w:val="22"/>
          <w:u w:val="single" w:color="000000"/>
        </w:rPr>
        <w:t>precitlivenosti</w:t>
      </w:r>
    </w:p>
    <w:p w14:paraId="640FEB05" w14:textId="3602BDB2" w:rsidR="00175A22" w:rsidRPr="00BD01C9" w:rsidRDefault="00175A22" w:rsidP="00D43E06">
      <w:pPr>
        <w:spacing w:before="6"/>
        <w:ind w:right="281"/>
        <w:rPr>
          <w:sz w:val="22"/>
          <w:szCs w:val="22"/>
        </w:rPr>
      </w:pPr>
      <w:r w:rsidRPr="00BD01C9">
        <w:rPr>
          <w:sz w:val="22"/>
          <w:szCs w:val="22"/>
        </w:rPr>
        <w:t>Po uvedení lieku na trh boli zaznamenané hlásenia o re</w:t>
      </w:r>
      <w:r w:rsidR="00336F6C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kciách 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precitlivenos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i vrátane prípadov angioedému. Liečba pregabalínom sa musí okamžite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ukonči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a</w:t>
      </w:r>
      <w:r w:rsidRPr="00BD01C9">
        <w:rPr>
          <w:sz w:val="22"/>
          <w:szCs w:val="22"/>
        </w:rPr>
        <w:t>k</w:t>
      </w:r>
      <w:r w:rsidRPr="00BD01C9">
        <w:rPr>
          <w:spacing w:val="-1"/>
          <w:sz w:val="22"/>
          <w:szCs w:val="22"/>
        </w:rPr>
        <w:t xml:space="preserve"> 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vyskytn</w:t>
      </w:r>
      <w:r w:rsidRPr="00BD01C9">
        <w:rPr>
          <w:sz w:val="22"/>
          <w:szCs w:val="22"/>
        </w:rPr>
        <w:t>ú</w:t>
      </w:r>
      <w:r w:rsidRPr="00BD01C9">
        <w:rPr>
          <w:spacing w:val="-1"/>
          <w:sz w:val="22"/>
          <w:szCs w:val="22"/>
        </w:rPr>
        <w:t xml:space="preserve"> príznak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angioedém</w:t>
      </w:r>
      <w:r w:rsidRPr="00BD01C9">
        <w:rPr>
          <w:sz w:val="22"/>
          <w:szCs w:val="22"/>
        </w:rPr>
        <w:t xml:space="preserve">u, </w:t>
      </w:r>
      <w:r w:rsidRPr="00BD01C9">
        <w:rPr>
          <w:spacing w:val="-1"/>
          <w:sz w:val="22"/>
          <w:szCs w:val="22"/>
        </w:rPr>
        <w:t>ak</w:t>
      </w:r>
      <w:r w:rsidRPr="00BD01C9">
        <w:rPr>
          <w:sz w:val="22"/>
          <w:szCs w:val="22"/>
        </w:rPr>
        <w:t>o sú faciálny,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periorálny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opuch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opuch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horných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dýchacích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ciest.</w:t>
      </w:r>
    </w:p>
    <w:p w14:paraId="51B8011F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1B0FE818" w14:textId="77777777" w:rsidR="00175A22" w:rsidRPr="00BD01C9" w:rsidRDefault="00175A22" w:rsidP="00BD01C9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Závrat,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somnolencia,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strata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vedomia,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zmätenosť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mentálne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poškodenie</w:t>
      </w:r>
    </w:p>
    <w:p w14:paraId="4C478E6D" w14:textId="40538835" w:rsidR="00175A22" w:rsidRPr="00BD01C9" w:rsidRDefault="00175A22" w:rsidP="00BD01C9">
      <w:pPr>
        <w:keepNext/>
        <w:spacing w:before="6"/>
        <w:ind w:right="48"/>
        <w:rPr>
          <w:sz w:val="22"/>
          <w:szCs w:val="22"/>
        </w:rPr>
      </w:pPr>
      <w:r w:rsidRPr="00BD01C9">
        <w:rPr>
          <w:sz w:val="22"/>
          <w:szCs w:val="22"/>
        </w:rPr>
        <w:t>L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 xml:space="preserve">ečba pregabalínom </w:t>
      </w:r>
      <w:r w:rsidR="00336F6C" w:rsidRPr="00BD01C9">
        <w:rPr>
          <w:sz w:val="22"/>
          <w:szCs w:val="22"/>
        </w:rPr>
        <w:t>je spojená s príznakmi ako</w:t>
      </w:r>
      <w:r w:rsidRPr="00BD01C9">
        <w:rPr>
          <w:sz w:val="22"/>
          <w:szCs w:val="22"/>
        </w:rPr>
        <w:t xml:space="preserve"> závrat a somnolenci</w:t>
      </w:r>
      <w:r w:rsidR="00336F6C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, ktoré m</w:t>
      </w:r>
      <w:r w:rsidR="00336F6C" w:rsidRPr="00BD01C9">
        <w:rPr>
          <w:sz w:val="22"/>
          <w:szCs w:val="22"/>
        </w:rPr>
        <w:t>ôžu</w:t>
      </w:r>
      <w:r w:rsidRPr="00BD01C9">
        <w:rPr>
          <w:sz w:val="22"/>
          <w:szCs w:val="22"/>
        </w:rPr>
        <w:t xml:space="preserve"> zvýšiť výskyt náhodných zranení (pádo</w:t>
      </w:r>
      <w:r w:rsidR="00F93E5E" w:rsidRPr="00BD01C9">
        <w:rPr>
          <w:sz w:val="22"/>
          <w:szCs w:val="22"/>
        </w:rPr>
        <w:t>v</w:t>
      </w:r>
      <w:r w:rsidRPr="00BD01C9">
        <w:rPr>
          <w:sz w:val="22"/>
          <w:szCs w:val="22"/>
        </w:rPr>
        <w:t>) u</w:t>
      </w:r>
      <w:r w:rsidR="00E069AF" w:rsidRPr="00BD01C9">
        <w:rPr>
          <w:sz w:val="22"/>
          <w:szCs w:val="22"/>
        </w:rPr>
        <w:t> </w:t>
      </w:r>
      <w:r w:rsidR="003E01DC" w:rsidRPr="00BD01C9">
        <w:rPr>
          <w:spacing w:val="1"/>
          <w:sz w:val="22"/>
          <w:szCs w:val="22"/>
        </w:rPr>
        <w:t>starš</w:t>
      </w:r>
      <w:r w:rsidR="00E069AF" w:rsidRPr="00BD01C9">
        <w:rPr>
          <w:spacing w:val="1"/>
          <w:sz w:val="22"/>
          <w:szCs w:val="22"/>
        </w:rPr>
        <w:t>ej populácie</w:t>
      </w:r>
      <w:r w:rsidRPr="00BD01C9">
        <w:rPr>
          <w:sz w:val="22"/>
          <w:szCs w:val="22"/>
        </w:rPr>
        <w:t>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</w:rPr>
        <w:t xml:space="preserve"> </w:t>
      </w:r>
      <w:r w:rsidR="00ED0F32" w:rsidRPr="00BD01C9">
        <w:rPr>
          <w:sz w:val="22"/>
          <w:szCs w:val="22"/>
        </w:rPr>
        <w:t>Po</w:t>
      </w:r>
      <w:r w:rsidR="00ED0F32"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="00ED0F32" w:rsidRPr="00BD01C9">
        <w:rPr>
          <w:sz w:val="22"/>
          <w:szCs w:val="22"/>
        </w:rPr>
        <w:t>sú známe</w:t>
      </w:r>
      <w:r w:rsidR="00ED0F32" w:rsidRPr="00BD01C9">
        <w:rPr>
          <w:spacing w:val="1"/>
          <w:sz w:val="22"/>
          <w:szCs w:val="22"/>
        </w:rPr>
        <w:t xml:space="preserve"> </w:t>
      </w:r>
      <w:r w:rsidR="00ED0F32" w:rsidRPr="00BD01C9">
        <w:rPr>
          <w:sz w:val="22"/>
          <w:szCs w:val="22"/>
        </w:rPr>
        <w:t>hlásenia</w:t>
      </w:r>
      <w:r w:rsidR="00ED0F32"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o </w:t>
      </w:r>
      <w:r w:rsidRPr="00BD01C9">
        <w:rPr>
          <w:spacing w:val="1"/>
          <w:sz w:val="22"/>
          <w:szCs w:val="22"/>
        </w:rPr>
        <w:t xml:space="preserve">strate </w:t>
      </w:r>
      <w:r w:rsidRPr="00BD01C9">
        <w:rPr>
          <w:spacing w:val="-1"/>
          <w:sz w:val="22"/>
          <w:szCs w:val="22"/>
        </w:rPr>
        <w:t>vedomia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z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ä</w:t>
      </w:r>
      <w:r w:rsidRPr="00BD01C9">
        <w:rPr>
          <w:spacing w:val="1"/>
          <w:sz w:val="22"/>
          <w:szCs w:val="22"/>
        </w:rPr>
        <w:t>tenost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mentálnom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poškoden</w:t>
      </w:r>
      <w:r w:rsidRPr="00BD01C9">
        <w:rPr>
          <w:spacing w:val="1"/>
          <w:sz w:val="22"/>
          <w:szCs w:val="22"/>
        </w:rPr>
        <w:t>í</w:t>
      </w:r>
      <w:r w:rsidRPr="00BD01C9">
        <w:rPr>
          <w:sz w:val="22"/>
          <w:szCs w:val="22"/>
        </w:rPr>
        <w:t xml:space="preserve">. Preto sa 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 xml:space="preserve">á </w:t>
      </w:r>
      <w:r w:rsidR="008B3A3C" w:rsidRPr="00BD01C9">
        <w:rPr>
          <w:sz w:val="22"/>
          <w:szCs w:val="22"/>
        </w:rPr>
        <w:t xml:space="preserve">pacientom </w:t>
      </w:r>
      <w:r w:rsidRPr="00BD01C9">
        <w:rPr>
          <w:sz w:val="22"/>
          <w:szCs w:val="22"/>
        </w:rPr>
        <w:t xml:space="preserve">poradiť, aby boli opatrní, pokým sa neoboznámia s </w:t>
      </w:r>
      <w:r w:rsidRPr="00BD01C9">
        <w:rPr>
          <w:spacing w:val="-1"/>
          <w:sz w:val="22"/>
          <w:szCs w:val="22"/>
        </w:rPr>
        <w:t>možným</w:t>
      </w:r>
      <w:r w:rsidRPr="00BD01C9">
        <w:rPr>
          <w:sz w:val="22"/>
          <w:szCs w:val="22"/>
        </w:rPr>
        <w:t>i</w:t>
      </w:r>
      <w:r w:rsidRPr="00BD01C9">
        <w:rPr>
          <w:spacing w:val="-1"/>
          <w:sz w:val="22"/>
          <w:szCs w:val="22"/>
        </w:rPr>
        <w:t xml:space="preserve"> účinkam</w:t>
      </w:r>
      <w:r w:rsidRPr="00BD01C9">
        <w:rPr>
          <w:sz w:val="22"/>
          <w:szCs w:val="22"/>
        </w:rPr>
        <w:t>i</w:t>
      </w:r>
      <w:r w:rsidRPr="00BD01C9">
        <w:rPr>
          <w:spacing w:val="-1"/>
          <w:sz w:val="22"/>
          <w:szCs w:val="22"/>
        </w:rPr>
        <w:t xml:space="preserve"> lieku.</w:t>
      </w:r>
    </w:p>
    <w:p w14:paraId="702FBDCB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7290F88C" w14:textId="77777777" w:rsidR="00175A22" w:rsidRPr="00BD01C9" w:rsidRDefault="00175A22" w:rsidP="00642CF4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Účinky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spojené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videním</w:t>
      </w:r>
    </w:p>
    <w:p w14:paraId="3E9C10F7" w14:textId="77777777" w:rsidR="00175A22" w:rsidRPr="00BD01C9" w:rsidRDefault="00175A22" w:rsidP="00642CF4">
      <w:pPr>
        <w:keepNext/>
        <w:spacing w:before="6"/>
        <w:ind w:right="9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kontrolovaných klinických skúšaniach hlásila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väčšia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časť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 xml:space="preserve">ako 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rozmazané videnie, ktoré </w:t>
      </w:r>
      <w:r w:rsidRPr="00BD01C9">
        <w:rPr>
          <w:spacing w:val="-1"/>
          <w:sz w:val="22"/>
          <w:szCs w:val="22"/>
        </w:rPr>
        <w:t>v</w:t>
      </w:r>
      <w:r w:rsidRPr="00BD01C9">
        <w:rPr>
          <w:sz w:val="22"/>
          <w:szCs w:val="22"/>
        </w:rPr>
        <w:t>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äčšine prípadov ustúpilo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pri pokračovaní </w:t>
      </w:r>
      <w:r w:rsidRPr="00BD01C9">
        <w:rPr>
          <w:spacing w:val="-1"/>
          <w:sz w:val="22"/>
          <w:szCs w:val="22"/>
        </w:rPr>
        <w:t>dávkova</w:t>
      </w:r>
      <w:r w:rsidRPr="00BD01C9">
        <w:rPr>
          <w:sz w:val="22"/>
          <w:szCs w:val="22"/>
        </w:rPr>
        <w:t>n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a. 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klinických štúd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ách,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bolo zahrnuté aj</w:t>
      </w:r>
      <w:r w:rsidRPr="00BD01C9">
        <w:rPr>
          <w:spacing w:val="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oftalmologické vyšetrenie, bol </w:t>
      </w:r>
      <w:r w:rsidRPr="00BD01C9">
        <w:rPr>
          <w:spacing w:val="-1"/>
          <w:sz w:val="22"/>
          <w:szCs w:val="22"/>
        </w:rPr>
        <w:t xml:space="preserve">výskyt </w:t>
      </w:r>
      <w:r w:rsidRPr="00BD01C9">
        <w:rPr>
          <w:sz w:val="22"/>
          <w:szCs w:val="22"/>
        </w:rPr>
        <w:t>zníženia zrakovej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ostrosti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zmien zorného poľa väčší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 p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>egabalínom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ako</w:t>
      </w:r>
      <w:r w:rsidR="00092BA2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="00092BA2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z w:val="22"/>
          <w:szCs w:val="22"/>
        </w:rPr>
        <w:t xml:space="preserve"> placebo;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zmien na očnom pozadí bol </w:t>
      </w:r>
      <w:r w:rsidRPr="00BD01C9">
        <w:rPr>
          <w:spacing w:val="-3"/>
          <w:sz w:val="22"/>
          <w:szCs w:val="22"/>
        </w:rPr>
        <w:t>v</w:t>
      </w:r>
      <w:r w:rsidRPr="00BD01C9">
        <w:rPr>
          <w:sz w:val="22"/>
          <w:szCs w:val="22"/>
        </w:rPr>
        <w:t>äčší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="00092BA2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pacientov</w:t>
      </w:r>
      <w:r w:rsidR="00092BA2" w:rsidRPr="00BD01C9">
        <w:rPr>
          <w:sz w:val="22"/>
          <w:szCs w:val="22"/>
        </w:rPr>
        <w:t>, ktorým bolo podávané</w:t>
      </w:r>
      <w:r w:rsidRPr="00BD01C9">
        <w:rPr>
          <w:sz w:val="22"/>
          <w:szCs w:val="22"/>
        </w:rPr>
        <w:t xml:space="preserve"> placebo </w:t>
      </w:r>
      <w:r w:rsidRPr="00BD01C9">
        <w:rPr>
          <w:spacing w:val="1"/>
          <w:sz w:val="22"/>
          <w:szCs w:val="22"/>
        </w:rPr>
        <w:t>(</w:t>
      </w:r>
      <w:r w:rsidRPr="00BD01C9">
        <w:rPr>
          <w:sz w:val="22"/>
          <w:szCs w:val="22"/>
        </w:rPr>
        <w:t>pozri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časť 5.1).</w:t>
      </w:r>
    </w:p>
    <w:p w14:paraId="0443A22F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31B19F5F" w14:textId="77777777" w:rsidR="00175A22" w:rsidRPr="00BD01C9" w:rsidRDefault="00175A22" w:rsidP="00D43E06">
      <w:pPr>
        <w:ind w:right="84"/>
        <w:rPr>
          <w:sz w:val="22"/>
          <w:szCs w:val="22"/>
        </w:rPr>
      </w:pPr>
      <w:r w:rsidRPr="00BD01C9">
        <w:rPr>
          <w:sz w:val="22"/>
          <w:szCs w:val="22"/>
        </w:rPr>
        <w:t xml:space="preserve">Po uvedení lieku na trh boli tiež hlásené nežiaduce </w:t>
      </w:r>
      <w:r w:rsidR="00E47916" w:rsidRPr="00BD01C9">
        <w:rPr>
          <w:sz w:val="22"/>
          <w:szCs w:val="22"/>
        </w:rPr>
        <w:t>očné reakcie</w:t>
      </w:r>
      <w:r w:rsidRPr="00BD01C9">
        <w:rPr>
          <w:sz w:val="22"/>
          <w:szCs w:val="22"/>
        </w:rPr>
        <w:t xml:space="preserve">, vrátane straty zraku, </w:t>
      </w:r>
      <w:r w:rsidRPr="00BD01C9">
        <w:rPr>
          <w:spacing w:val="-1"/>
          <w:sz w:val="22"/>
          <w:szCs w:val="22"/>
        </w:rPr>
        <w:t>rozmaza</w:t>
      </w:r>
      <w:r w:rsidRPr="00BD01C9">
        <w:rPr>
          <w:sz w:val="22"/>
          <w:szCs w:val="22"/>
        </w:rPr>
        <w:t>ného videnia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 iných zmien zrakovej ostrost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, 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mnohé boli prechodné.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liečby pregabalínom môže viesť k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vymiznutiu alebo zlepšeniu týchto zrakových príznakov.</w:t>
      </w:r>
    </w:p>
    <w:p w14:paraId="063BBF21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3D2010A2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Renálne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zlyhávanie</w:t>
      </w:r>
    </w:p>
    <w:p w14:paraId="122AE0CF" w14:textId="77777777" w:rsidR="00175A22" w:rsidRPr="00BD01C9" w:rsidRDefault="00175A22" w:rsidP="00D43E06">
      <w:pPr>
        <w:spacing w:before="6"/>
        <w:ind w:right="221"/>
        <w:rPr>
          <w:sz w:val="22"/>
          <w:szCs w:val="22"/>
        </w:rPr>
      </w:pPr>
      <w:r w:rsidRPr="00BD01C9">
        <w:rPr>
          <w:sz w:val="22"/>
          <w:szCs w:val="22"/>
        </w:rPr>
        <w:t>Boli hlásené prípady renálneho zlyhá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ania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prípadoch prerušenie liečby pregabalínom viedlo 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reverz</w:t>
      </w:r>
      <w:r w:rsidRPr="00BD01C9">
        <w:rPr>
          <w:spacing w:val="1"/>
          <w:sz w:val="22"/>
          <w:szCs w:val="22"/>
        </w:rPr>
        <w:t>ibilit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te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to nežiaducej</w:t>
      </w:r>
      <w:r w:rsidRPr="00BD01C9">
        <w:rPr>
          <w:spacing w:val="4"/>
          <w:sz w:val="22"/>
          <w:szCs w:val="22"/>
        </w:rPr>
        <w:t xml:space="preserve"> </w:t>
      </w:r>
      <w:r w:rsidRPr="00BD01C9">
        <w:rPr>
          <w:sz w:val="22"/>
          <w:szCs w:val="22"/>
        </w:rPr>
        <w:t>reakcie.</w:t>
      </w:r>
    </w:p>
    <w:p w14:paraId="11FF2365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03FD8408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Vysadenie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sú</w:t>
      </w:r>
      <w:r w:rsidR="00092BA2" w:rsidRPr="00BD01C9">
        <w:rPr>
          <w:sz w:val="22"/>
          <w:szCs w:val="22"/>
          <w:u w:val="single" w:color="000000"/>
        </w:rPr>
        <w:t>bežne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podávaných</w:t>
      </w:r>
      <w:r w:rsidR="00092BA2" w:rsidRPr="00BD01C9">
        <w:rPr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antiepilep</w:t>
      </w:r>
      <w:r w:rsidRPr="00BD01C9">
        <w:rPr>
          <w:spacing w:val="1"/>
          <w:sz w:val="22"/>
          <w:szCs w:val="22"/>
          <w:u w:val="single" w:color="000000"/>
        </w:rPr>
        <w:t>tík</w:t>
      </w:r>
    </w:p>
    <w:p w14:paraId="45A7ABFA" w14:textId="679EF79A" w:rsidR="00175A22" w:rsidRPr="00BD01C9" w:rsidRDefault="00175A22" w:rsidP="004960F4">
      <w:pPr>
        <w:spacing w:before="6"/>
        <w:ind w:right="542"/>
        <w:rPr>
          <w:sz w:val="22"/>
          <w:szCs w:val="22"/>
        </w:rPr>
      </w:pP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dostatočné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týkajúce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vysadenia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="00525902" w:rsidRPr="00BD01C9">
        <w:rPr>
          <w:sz w:val="22"/>
          <w:szCs w:val="22"/>
        </w:rPr>
        <w:t>bežne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antiepileptík</w:t>
      </w:r>
      <w:r w:rsidR="00524ACE" w:rsidRPr="00BD01C9">
        <w:rPr>
          <w:sz w:val="22"/>
          <w:szCs w:val="22"/>
        </w:rPr>
        <w:t xml:space="preserve"> a prípadný prechod na monoterapiu pregabalínom</w:t>
      </w:r>
      <w:r w:rsidRPr="00BD01C9">
        <w:rPr>
          <w:sz w:val="22"/>
          <w:szCs w:val="22"/>
        </w:rPr>
        <w:t>,</w:t>
      </w:r>
      <w:r w:rsidRPr="00BD01C9">
        <w:rPr>
          <w:spacing w:val="1"/>
          <w:sz w:val="22"/>
          <w:szCs w:val="22"/>
        </w:rPr>
        <w:t xml:space="preserve"> </w:t>
      </w:r>
      <w:r w:rsidR="008A69B5" w:rsidRPr="00BD01C9">
        <w:rPr>
          <w:sz w:val="22"/>
          <w:szCs w:val="22"/>
        </w:rPr>
        <w:t>keď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 pridaní pregabalínu dosiahne kontrola záchvatu</w:t>
      </w:r>
      <w:r w:rsidR="00524ACE" w:rsidRPr="00BD01C9">
        <w:rPr>
          <w:sz w:val="22"/>
          <w:szCs w:val="22"/>
        </w:rPr>
        <w:t>.</w:t>
      </w:r>
    </w:p>
    <w:p w14:paraId="4C7D5CB4" w14:textId="77777777" w:rsidR="00175A22" w:rsidRPr="00BD01C9" w:rsidRDefault="00175A22" w:rsidP="00D43E06">
      <w:pPr>
        <w:spacing w:before="5"/>
        <w:rPr>
          <w:sz w:val="22"/>
          <w:szCs w:val="22"/>
        </w:rPr>
      </w:pPr>
    </w:p>
    <w:p w14:paraId="005A38CA" w14:textId="77777777" w:rsidR="00175A22" w:rsidRPr="00BD01C9" w:rsidRDefault="00175A2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Abstinenčné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príznaky</w:t>
      </w:r>
    </w:p>
    <w:p w14:paraId="2041573B" w14:textId="77777777" w:rsidR="00175A22" w:rsidRPr="00BD01C9" w:rsidRDefault="00175A22" w:rsidP="00D43E06">
      <w:pPr>
        <w:spacing w:before="6"/>
        <w:ind w:right="357"/>
        <w:rPr>
          <w:sz w:val="22"/>
          <w:szCs w:val="22"/>
        </w:rPr>
      </w:pPr>
      <w:r w:rsidRPr="00BD01C9">
        <w:rPr>
          <w:sz w:val="22"/>
          <w:szCs w:val="22"/>
        </w:rPr>
        <w:t>Po ukončení krátkodobej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dlhodobej liečby pregabalínom boli u niektorých pacientov pozorované abstinenčné príznaky. Uvádzajú sa nasledujúce účinky: insomnia, bolesť hlavy, nauzea,</w:t>
      </w:r>
      <w:r w:rsidRPr="00BD01C9">
        <w:rPr>
          <w:spacing w:val="-1"/>
          <w:sz w:val="22"/>
          <w:szCs w:val="22"/>
        </w:rPr>
        <w:t xml:space="preserve"> úzkosť, </w:t>
      </w:r>
      <w:r w:rsidRPr="00BD01C9">
        <w:rPr>
          <w:sz w:val="22"/>
          <w:szCs w:val="22"/>
        </w:rPr>
        <w:t>hnačka, chrípkový syndróm, nervozita,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depresia,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, kŕče, hyperhidróza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závra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, naznačujúce fyzickú závislos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>. Pacient má byť o tom informovaný na začiatku liečby.</w:t>
      </w:r>
    </w:p>
    <w:p w14:paraId="05BC2E9B" w14:textId="77777777" w:rsidR="00175A22" w:rsidRPr="00BD01C9" w:rsidRDefault="00175A22" w:rsidP="00D43E06">
      <w:pPr>
        <w:spacing w:before="19"/>
        <w:rPr>
          <w:sz w:val="22"/>
          <w:szCs w:val="22"/>
        </w:rPr>
      </w:pPr>
    </w:p>
    <w:p w14:paraId="1F54ACB4" w14:textId="77777777" w:rsidR="00175A22" w:rsidRPr="00BD01C9" w:rsidRDefault="00175A22" w:rsidP="00D43E06">
      <w:pPr>
        <w:ind w:right="354"/>
        <w:rPr>
          <w:sz w:val="22"/>
          <w:szCs w:val="22"/>
        </w:rPr>
      </w:pPr>
      <w:r w:rsidRPr="00BD01C9">
        <w:rPr>
          <w:sz w:val="22"/>
          <w:szCs w:val="22"/>
        </w:rPr>
        <w:t>Počas užívania pregabalínu alebo krátko po ukončení liečby pregabalínom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vyskytnú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kŕče vrátane</w:t>
      </w:r>
      <w:r w:rsidR="009C4241" w:rsidRPr="00BD01C9">
        <w:rPr>
          <w:sz w:val="22"/>
          <w:szCs w:val="22"/>
        </w:rPr>
        <w:t xml:space="preserve"> záchvatov</w:t>
      </w:r>
      <w:r w:rsidRPr="00BD01C9">
        <w:rPr>
          <w:sz w:val="22"/>
          <w:szCs w:val="22"/>
        </w:rPr>
        <w:t xml:space="preserve"> </w:t>
      </w:r>
      <w:r w:rsidR="00092BA2" w:rsidRPr="00BD01C9">
        <w:rPr>
          <w:iCs/>
          <w:sz w:val="22"/>
          <w:szCs w:val="22"/>
        </w:rPr>
        <w:t>status epilepticus</w:t>
      </w:r>
      <w:r w:rsidR="00092BA2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záchvatov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typu grand mal.</w:t>
      </w:r>
    </w:p>
    <w:p w14:paraId="0E72384E" w14:textId="77777777" w:rsidR="00525902" w:rsidRPr="00BD01C9" w:rsidRDefault="00525902" w:rsidP="00D43E06">
      <w:pPr>
        <w:ind w:right="794"/>
        <w:rPr>
          <w:sz w:val="22"/>
          <w:szCs w:val="22"/>
        </w:rPr>
      </w:pPr>
    </w:p>
    <w:p w14:paraId="4EE6C3AE" w14:textId="77777777" w:rsidR="00525902" w:rsidRPr="00BD01C9" w:rsidRDefault="00525902" w:rsidP="00D43E06">
      <w:pPr>
        <w:ind w:right="794"/>
        <w:rPr>
          <w:sz w:val="22"/>
          <w:szCs w:val="22"/>
        </w:rPr>
      </w:pPr>
      <w:r w:rsidRPr="00BD01C9">
        <w:rPr>
          <w:sz w:val="22"/>
          <w:szCs w:val="22"/>
        </w:rPr>
        <w:t xml:space="preserve">Čo sa týka ukončenia dlhodobej liečby pregabalínom, údaje naznačujú, že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</w:t>
      </w:r>
      <w:r w:rsidRPr="00BD01C9">
        <w:rPr>
          <w:spacing w:val="-1"/>
          <w:sz w:val="22"/>
          <w:szCs w:val="22"/>
        </w:rPr>
        <w:t>závažno</w:t>
      </w:r>
      <w:r w:rsidRPr="00BD01C9">
        <w:rPr>
          <w:sz w:val="22"/>
          <w:szCs w:val="22"/>
        </w:rPr>
        <w:t xml:space="preserve">sť abstinenčných príznakov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by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závisl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o</w:t>
      </w:r>
      <w:r w:rsidRPr="00BD01C9">
        <w:rPr>
          <w:sz w:val="22"/>
          <w:szCs w:val="22"/>
        </w:rPr>
        <w:t>d</w:t>
      </w:r>
      <w:r w:rsidRPr="00BD01C9">
        <w:rPr>
          <w:spacing w:val="-1"/>
          <w:sz w:val="22"/>
          <w:szCs w:val="22"/>
        </w:rPr>
        <w:t xml:space="preserve"> dávky.</w:t>
      </w:r>
    </w:p>
    <w:p w14:paraId="05EDBEA9" w14:textId="77777777" w:rsidR="00525902" w:rsidRPr="00BD01C9" w:rsidRDefault="00525902" w:rsidP="00D43E06">
      <w:pPr>
        <w:spacing w:before="19"/>
        <w:rPr>
          <w:sz w:val="22"/>
          <w:szCs w:val="22"/>
        </w:rPr>
      </w:pPr>
    </w:p>
    <w:p w14:paraId="0CB801B6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Kongestívne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srdcové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zlyhávanie</w:t>
      </w:r>
    </w:p>
    <w:p w14:paraId="0A264BF5" w14:textId="77777777" w:rsidR="00525902" w:rsidRPr="00BD01C9" w:rsidRDefault="00525902" w:rsidP="00D43E06">
      <w:pPr>
        <w:spacing w:before="6"/>
        <w:ind w:right="461"/>
        <w:rPr>
          <w:sz w:val="22"/>
          <w:szCs w:val="22"/>
        </w:rPr>
      </w:pPr>
      <w:r w:rsidRPr="00BD01C9">
        <w:rPr>
          <w:sz w:val="22"/>
          <w:szCs w:val="22"/>
        </w:rPr>
        <w:t>Po uvedení lieku na trh boli hlásené prípady kongestívneho srdcového zlyhávania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niektorých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dostávajúcich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pregabalín. Tieto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reakcie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 najčastejšie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pozorované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starších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</w:p>
    <w:p w14:paraId="7A3CA940" w14:textId="77777777" w:rsidR="00525902" w:rsidRPr="00BD01C9" w:rsidRDefault="00525902" w:rsidP="00D43E06">
      <w:pPr>
        <w:ind w:right="199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kardiovaskulárnymi ochoreniami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počas liečby pregabalínom na neuropatickú indikáciu. </w:t>
      </w:r>
      <w:r w:rsidRPr="00BD01C9">
        <w:rPr>
          <w:spacing w:val="-1"/>
          <w:sz w:val="22"/>
          <w:szCs w:val="22"/>
        </w:rPr>
        <w:t>P</w:t>
      </w:r>
      <w:r w:rsidRPr="00BD01C9">
        <w:rPr>
          <w:sz w:val="22"/>
          <w:szCs w:val="22"/>
        </w:rPr>
        <w:t xml:space="preserve">regabalín </w:t>
      </w:r>
      <w:r w:rsidRPr="00BD01C9">
        <w:rPr>
          <w:spacing w:val="-1"/>
          <w:sz w:val="22"/>
          <w:szCs w:val="22"/>
        </w:rPr>
        <w:t>s</w:t>
      </w:r>
      <w:r w:rsidRPr="00BD01C9">
        <w:rPr>
          <w:sz w:val="22"/>
          <w:szCs w:val="22"/>
        </w:rPr>
        <w:t>a</w:t>
      </w:r>
      <w:r w:rsidRPr="00BD01C9">
        <w:rPr>
          <w:spacing w:val="-1"/>
          <w:sz w:val="22"/>
          <w:szCs w:val="22"/>
        </w:rPr>
        <w:t xml:space="preserve"> m</w:t>
      </w:r>
      <w:r w:rsidRPr="00BD01C9">
        <w:rPr>
          <w:sz w:val="22"/>
          <w:szCs w:val="22"/>
        </w:rPr>
        <w:t>á u týchto pacientov podávať s opatrnosťou. Ukončenie podávania pregabalínu môže viesť</w:t>
      </w:r>
    </w:p>
    <w:p w14:paraId="043605BF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k</w:t>
      </w:r>
      <w:r w:rsidRPr="00BD01C9">
        <w:rPr>
          <w:spacing w:val="-2"/>
          <w:sz w:val="22"/>
          <w:szCs w:val="22"/>
        </w:rPr>
        <w:t xml:space="preserve"> </w:t>
      </w:r>
      <w:r w:rsidR="000A3532" w:rsidRPr="00BD01C9">
        <w:rPr>
          <w:sz w:val="22"/>
          <w:szCs w:val="22"/>
        </w:rPr>
        <w:t>odzneniu</w:t>
      </w:r>
      <w:r w:rsidRPr="00BD01C9">
        <w:rPr>
          <w:sz w:val="22"/>
          <w:szCs w:val="22"/>
        </w:rPr>
        <w:t xml:space="preserve"> reakcie.</w:t>
      </w:r>
    </w:p>
    <w:p w14:paraId="27872FDA" w14:textId="77777777" w:rsidR="00525902" w:rsidRPr="00BD01C9" w:rsidRDefault="00525902" w:rsidP="00D43E06">
      <w:pPr>
        <w:spacing w:before="5"/>
        <w:rPr>
          <w:sz w:val="22"/>
          <w:szCs w:val="22"/>
        </w:rPr>
      </w:pPr>
    </w:p>
    <w:p w14:paraId="08439245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Liečba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centrálnej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neuropatickej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bolesti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dôsledku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</w:t>
      </w:r>
      <w:r w:rsidR="000A3532" w:rsidRPr="00BD01C9">
        <w:rPr>
          <w:sz w:val="22"/>
          <w:szCs w:val="22"/>
          <w:u w:val="single" w:color="000000"/>
        </w:rPr>
        <w:t>ranenia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miechy</w:t>
      </w:r>
    </w:p>
    <w:p w14:paraId="234F0CE7" w14:textId="77777777" w:rsidR="00525902" w:rsidRPr="00BD01C9" w:rsidRDefault="00525902" w:rsidP="00D43E06">
      <w:pPr>
        <w:spacing w:before="6"/>
        <w:ind w:right="492"/>
        <w:rPr>
          <w:sz w:val="22"/>
          <w:szCs w:val="22"/>
        </w:rPr>
      </w:pP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liečb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dôsledku po</w:t>
      </w:r>
      <w:r w:rsidR="000A3532" w:rsidRPr="00BD01C9">
        <w:rPr>
          <w:sz w:val="22"/>
          <w:szCs w:val="22"/>
        </w:rPr>
        <w:t>ranenia</w:t>
      </w:r>
      <w:r w:rsidRPr="00BD01C9">
        <w:rPr>
          <w:sz w:val="22"/>
          <w:szCs w:val="22"/>
        </w:rPr>
        <w:t xml:space="preserve"> miechy sa za</w:t>
      </w:r>
      <w:r w:rsidRPr="00BD01C9">
        <w:rPr>
          <w:spacing w:val="-3"/>
          <w:sz w:val="22"/>
          <w:szCs w:val="22"/>
        </w:rPr>
        <w:t>z</w:t>
      </w:r>
      <w:r w:rsidRPr="00BD01C9">
        <w:rPr>
          <w:sz w:val="22"/>
          <w:szCs w:val="22"/>
        </w:rPr>
        <w:t>namenal zvýšený výskyt nežiaducich reakcií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všeobecne, nežiaducich reakcií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centrálnej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nervovej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sústavy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 xml:space="preserve">zvlášť </w:t>
      </w:r>
      <w:r w:rsidRPr="00BD01C9">
        <w:rPr>
          <w:sz w:val="22"/>
          <w:szCs w:val="22"/>
        </w:rPr>
        <w:t xml:space="preserve">somnolencie. </w:t>
      </w:r>
      <w:r w:rsidR="0028120B" w:rsidRPr="00BD01C9">
        <w:rPr>
          <w:sz w:val="22"/>
          <w:szCs w:val="22"/>
        </w:rPr>
        <w:t>Je to mo</w:t>
      </w:r>
      <w:r w:rsidRPr="00BD01C9">
        <w:rPr>
          <w:sz w:val="22"/>
          <w:szCs w:val="22"/>
        </w:rPr>
        <w:t>ž</w:t>
      </w:r>
      <w:r w:rsidR="0028120B" w:rsidRPr="00BD01C9">
        <w:rPr>
          <w:sz w:val="22"/>
          <w:szCs w:val="22"/>
        </w:rPr>
        <w:t>né</w:t>
      </w:r>
      <w:r w:rsidRPr="00BD01C9">
        <w:rPr>
          <w:sz w:val="22"/>
          <w:szCs w:val="22"/>
        </w:rPr>
        <w:t xml:space="preserve"> pripísať aditívnemu účinku sprievodnej liečby (napr. spazmolytikami) potrebnej pri tomto ochorení. Toto sa má zvážiť pri predpisovaní pregabalínu pri tomto ochorení.</w:t>
      </w:r>
    </w:p>
    <w:p w14:paraId="2AAEB75C" w14:textId="73E5CB5E" w:rsidR="00525902" w:rsidRPr="00BD01C9" w:rsidRDefault="00525902" w:rsidP="00D43E06">
      <w:pPr>
        <w:spacing w:before="19"/>
        <w:rPr>
          <w:sz w:val="22"/>
          <w:szCs w:val="22"/>
        </w:rPr>
      </w:pPr>
    </w:p>
    <w:p w14:paraId="0BBD1C2B" w14:textId="77777777" w:rsidR="00525902" w:rsidRPr="00BD01C9" w:rsidRDefault="00525902" w:rsidP="00FB2F66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Samovražedné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myšlienky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správanie</w:t>
      </w:r>
    </w:p>
    <w:p w14:paraId="70EE45A1" w14:textId="77777777" w:rsidR="00525902" w:rsidRPr="00BD01C9" w:rsidRDefault="00525902" w:rsidP="00FB2F66">
      <w:pPr>
        <w:keepNext/>
        <w:spacing w:before="6"/>
        <w:ind w:right="146"/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Samovražedn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myšlienk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správanie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antiepileptikami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 niekoľkých indikáciách. Meta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analýza randomizovaných placebom kontrolovaných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 xml:space="preserve">štúdií </w:t>
      </w:r>
      <w:r w:rsidRPr="00BD01C9">
        <w:rPr>
          <w:sz w:val="22"/>
          <w:szCs w:val="22"/>
        </w:rPr>
        <w:t xml:space="preserve">antiepileptík tiež ukázala </w:t>
      </w:r>
      <w:r w:rsidRPr="00BD01C9">
        <w:rPr>
          <w:spacing w:val="-1"/>
          <w:sz w:val="22"/>
          <w:szCs w:val="22"/>
        </w:rPr>
        <w:t>m</w:t>
      </w:r>
      <w:r w:rsidR="000A3532" w:rsidRPr="00BD01C9">
        <w:rPr>
          <w:spacing w:val="-1"/>
          <w:sz w:val="22"/>
          <w:szCs w:val="22"/>
        </w:rPr>
        <w:t>alé</w:t>
      </w:r>
      <w:r w:rsidRPr="00BD01C9">
        <w:rPr>
          <w:sz w:val="22"/>
          <w:szCs w:val="22"/>
        </w:rPr>
        <w:t xml:space="preserve"> zvýšené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riziko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samovražedných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myšlienok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správania. Mechanizmus tohto rizika nie je známy a dostupné údaje nevylučujú možnosť zvýšeného rizika </w:t>
      </w:r>
      <w:r w:rsidR="009C4241" w:rsidRPr="00BD01C9">
        <w:rPr>
          <w:sz w:val="22"/>
          <w:szCs w:val="22"/>
        </w:rPr>
        <w:t>pri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ín</w:t>
      </w:r>
      <w:r w:rsidR="009C4241" w:rsidRPr="00BD01C9">
        <w:rPr>
          <w:sz w:val="22"/>
          <w:szCs w:val="22"/>
        </w:rPr>
        <w:t>e</w:t>
      </w:r>
      <w:r w:rsidRPr="00BD01C9">
        <w:rPr>
          <w:sz w:val="22"/>
          <w:szCs w:val="22"/>
        </w:rPr>
        <w:t>.</w:t>
      </w:r>
    </w:p>
    <w:p w14:paraId="7FF2318A" w14:textId="77777777" w:rsidR="00525902" w:rsidRPr="00BD01C9" w:rsidRDefault="00525902" w:rsidP="00D43E06">
      <w:pPr>
        <w:spacing w:before="19"/>
        <w:rPr>
          <w:sz w:val="22"/>
          <w:szCs w:val="22"/>
        </w:rPr>
      </w:pPr>
    </w:p>
    <w:p w14:paraId="0963654F" w14:textId="77777777" w:rsidR="00525902" w:rsidRPr="00BD01C9" w:rsidRDefault="00525902" w:rsidP="00D43E06">
      <w:pPr>
        <w:ind w:right="569"/>
        <w:rPr>
          <w:sz w:val="22"/>
          <w:szCs w:val="22"/>
        </w:rPr>
      </w:pPr>
      <w:r w:rsidRPr="00BD01C9">
        <w:rPr>
          <w:sz w:val="22"/>
          <w:szCs w:val="22"/>
        </w:rPr>
        <w:t xml:space="preserve">Pacienti majú byť preto sledovaní kvôli </w:t>
      </w:r>
      <w:r w:rsidR="003478D0" w:rsidRPr="00BD01C9">
        <w:rPr>
          <w:sz w:val="22"/>
          <w:szCs w:val="22"/>
        </w:rPr>
        <w:t>prí</w:t>
      </w:r>
      <w:r w:rsidRPr="00BD01C9">
        <w:rPr>
          <w:sz w:val="22"/>
          <w:szCs w:val="22"/>
        </w:rPr>
        <w:t xml:space="preserve">znakom samovražedných </w:t>
      </w:r>
      <w:r w:rsidRPr="00BD01C9">
        <w:rPr>
          <w:spacing w:val="-5"/>
          <w:sz w:val="22"/>
          <w:szCs w:val="22"/>
        </w:rPr>
        <w:t>m</w:t>
      </w:r>
      <w:r w:rsidRPr="00BD01C9">
        <w:rPr>
          <w:sz w:val="22"/>
          <w:szCs w:val="22"/>
        </w:rPr>
        <w:t>yšlienok a správania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má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sa u nich zvážiť vhodná liečba. Pacienti (a ich opatrovatelia) majú byť upozornení, aby vyhľadali lekársku pomoc, ak sa </w:t>
      </w:r>
      <w:r w:rsidR="003478D0" w:rsidRPr="00BD01C9">
        <w:rPr>
          <w:sz w:val="22"/>
          <w:szCs w:val="22"/>
        </w:rPr>
        <w:t>prí</w:t>
      </w:r>
      <w:r w:rsidRPr="00BD01C9">
        <w:rPr>
          <w:sz w:val="22"/>
          <w:szCs w:val="22"/>
        </w:rPr>
        <w:t>znaky samovražedných myšlienok alebo správania objavia.</w:t>
      </w:r>
    </w:p>
    <w:p w14:paraId="4DF1E83D" w14:textId="65687E53" w:rsidR="002167F8" w:rsidRPr="00BD01C9" w:rsidRDefault="002167F8" w:rsidP="002167F8">
      <w:pPr>
        <w:spacing w:before="19"/>
        <w:rPr>
          <w:sz w:val="22"/>
          <w:szCs w:val="22"/>
        </w:rPr>
      </w:pPr>
    </w:p>
    <w:p w14:paraId="354E256A" w14:textId="77777777" w:rsidR="00525902" w:rsidRPr="00BD01C9" w:rsidRDefault="00525902" w:rsidP="00642CF4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Z</w:t>
      </w:r>
      <w:r w:rsidR="0020295C" w:rsidRPr="00BD01C9">
        <w:rPr>
          <w:sz w:val="22"/>
          <w:szCs w:val="22"/>
          <w:u w:val="single" w:color="000000"/>
        </w:rPr>
        <w:t>nížená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funkcia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dolného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tráviaceho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traktu</w:t>
      </w:r>
    </w:p>
    <w:p w14:paraId="11FE228F" w14:textId="77777777" w:rsidR="00525902" w:rsidRPr="00BD01C9" w:rsidRDefault="00525902" w:rsidP="00642CF4">
      <w:pPr>
        <w:keepNext/>
        <w:spacing w:before="6"/>
        <w:ind w:right="55"/>
        <w:rPr>
          <w:sz w:val="22"/>
          <w:szCs w:val="22"/>
        </w:rPr>
      </w:pPr>
      <w:r w:rsidRPr="00BD01C9">
        <w:rPr>
          <w:sz w:val="22"/>
          <w:szCs w:val="22"/>
        </w:rPr>
        <w:t>Po 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týkajúce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</w:t>
      </w:r>
      <w:r w:rsidR="0020295C" w:rsidRPr="00BD01C9">
        <w:rPr>
          <w:sz w:val="22"/>
          <w:szCs w:val="22"/>
        </w:rPr>
        <w:t>níženej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dolného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tráviaceho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traktu (napr.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intestinálna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obštrukcia,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paralytický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ileus,</w:t>
      </w:r>
      <w:r w:rsidRPr="00BD01C9">
        <w:rPr>
          <w:spacing w:val="1"/>
          <w:sz w:val="22"/>
          <w:szCs w:val="22"/>
        </w:rPr>
        <w:t xml:space="preserve"> </w:t>
      </w:r>
      <w:r w:rsidR="00A55153" w:rsidRPr="00BD01C9">
        <w:rPr>
          <w:sz w:val="22"/>
          <w:szCs w:val="22"/>
        </w:rPr>
        <w:t>zápcha</w:t>
      </w:r>
      <w:r w:rsidRPr="00BD01C9">
        <w:rPr>
          <w:sz w:val="22"/>
          <w:szCs w:val="22"/>
        </w:rPr>
        <w:t>),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keď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podával</w:t>
      </w:r>
      <w:r w:rsidRPr="00BD01C9">
        <w:rPr>
          <w:spacing w:val="1"/>
          <w:sz w:val="22"/>
          <w:szCs w:val="22"/>
        </w:rPr>
        <w:t xml:space="preserve"> </w:t>
      </w:r>
      <w:r w:rsidR="00A55153" w:rsidRPr="00BD01C9">
        <w:rPr>
          <w:sz w:val="22"/>
          <w:szCs w:val="22"/>
        </w:rPr>
        <w:t>súbežne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liekmi, ktoré môžu spôsobovať </w:t>
      </w:r>
      <w:r w:rsidR="00A55153" w:rsidRPr="00BD01C9">
        <w:rPr>
          <w:sz w:val="22"/>
          <w:szCs w:val="22"/>
        </w:rPr>
        <w:t>zápchu</w:t>
      </w:r>
      <w:r w:rsidRPr="00BD01C9">
        <w:rPr>
          <w:sz w:val="22"/>
          <w:szCs w:val="22"/>
        </w:rPr>
        <w:t>, ako sú napr. opioidné a</w:t>
      </w:r>
      <w:r w:rsidRPr="00BD01C9">
        <w:rPr>
          <w:spacing w:val="-1"/>
          <w:sz w:val="22"/>
          <w:szCs w:val="22"/>
        </w:rPr>
        <w:t>n</w:t>
      </w:r>
      <w:r w:rsidRPr="00BD01C9">
        <w:rPr>
          <w:sz w:val="22"/>
          <w:szCs w:val="22"/>
        </w:rPr>
        <w:t>algetiká. Keď sa bude pregabalín užívať</w:t>
      </w:r>
    </w:p>
    <w:p w14:paraId="5D8093A0" w14:textId="77777777" w:rsidR="00525902" w:rsidRPr="00BD01C9" w:rsidRDefault="00525902" w:rsidP="00D43E06">
      <w:pPr>
        <w:ind w:right="838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kombinácii s opioidmi, môžu sa zvážiť opatrenia na predchádzanie </w:t>
      </w:r>
      <w:r w:rsidR="00A55153" w:rsidRPr="00BD01C9">
        <w:rPr>
          <w:sz w:val="22"/>
          <w:szCs w:val="22"/>
        </w:rPr>
        <w:t>zápchy</w:t>
      </w:r>
      <w:r w:rsidRPr="00BD01C9">
        <w:rPr>
          <w:sz w:val="22"/>
          <w:szCs w:val="22"/>
        </w:rPr>
        <w:t xml:space="preserve"> (zvlášť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žien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starších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pacientov).</w:t>
      </w:r>
    </w:p>
    <w:p w14:paraId="28AC4C80" w14:textId="70F997BB" w:rsidR="00525902" w:rsidRPr="00BD01C9" w:rsidRDefault="00525902" w:rsidP="00D43E06">
      <w:pPr>
        <w:spacing w:before="19"/>
        <w:rPr>
          <w:sz w:val="22"/>
          <w:szCs w:val="22"/>
        </w:rPr>
      </w:pPr>
    </w:p>
    <w:p w14:paraId="721779BC" w14:textId="77777777" w:rsidR="00BE7E1C" w:rsidRPr="00BD01C9" w:rsidRDefault="00BE7E1C" w:rsidP="00BE7E1C">
      <w:pPr>
        <w:spacing w:before="19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Súbežné užívanie s opiátmi</w:t>
      </w:r>
    </w:p>
    <w:p w14:paraId="09A60C00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Pri predpisovaní pregabalínu súbežne s opiátmi sa odporúča postupovať opatrne z dôvodu rizika útlmu</w:t>
      </w:r>
    </w:p>
    <w:p w14:paraId="4227024A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CNS (pozri časť 4.5). V prípadovej kontrolovanej štúdii u používateľov opiátov mali pacienti, ktorí</w:t>
      </w:r>
    </w:p>
    <w:p w14:paraId="6D8FA3C0" w14:textId="77777777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užívali pregabalín súbežne s opiátom vyššie riziko úmrtia súvisiaceho s opiátmi ako pacienti, ktorí</w:t>
      </w:r>
    </w:p>
    <w:p w14:paraId="3A89F8E8" w14:textId="40248329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užívali len opiát (</w:t>
      </w:r>
      <w:r w:rsidR="00520117" w:rsidRPr="00BD01C9">
        <w:rPr>
          <w:sz w:val="22"/>
          <w:szCs w:val="22"/>
        </w:rPr>
        <w:t>upravený</w:t>
      </w:r>
      <w:r w:rsidRPr="00BD01C9">
        <w:rPr>
          <w:sz w:val="22"/>
          <w:szCs w:val="22"/>
        </w:rPr>
        <w:t xml:space="preserve"> pomer pravdepodobností [aOR]; 1,68 [95 % IS, 1,19 </w:t>
      </w:r>
      <w:r w:rsidR="00624B7D" w:rsidRPr="00BD01C9">
        <w:rPr>
          <w:sz w:val="22"/>
          <w:szCs w:val="22"/>
        </w:rPr>
        <w:t xml:space="preserve">– </w:t>
      </w:r>
      <w:r w:rsidRPr="00BD01C9">
        <w:rPr>
          <w:sz w:val="22"/>
          <w:szCs w:val="22"/>
        </w:rPr>
        <w:t xml:space="preserve"> 2,36]). Toto</w:t>
      </w:r>
    </w:p>
    <w:p w14:paraId="5A1EB55F" w14:textId="13227ED8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zvýšené riziko bolo pozorované pri nízkych dávkach pregabalínu (≤ 300 mg, aOR 1,52 [95 % IS 1,04 – 2,22]) a pri vysokých dávkach pregabalínu bola tendencia k väčšiemu riziku (&gt; 300 mg, aOR 2,51</w:t>
      </w:r>
    </w:p>
    <w:p w14:paraId="323EC1F8" w14:textId="2EEB6CCF" w:rsidR="00BE7E1C" w:rsidRPr="00BD01C9" w:rsidRDefault="00BE7E1C" w:rsidP="00BE7E1C">
      <w:pPr>
        <w:spacing w:before="19"/>
        <w:rPr>
          <w:sz w:val="22"/>
          <w:szCs w:val="22"/>
        </w:rPr>
      </w:pPr>
      <w:r w:rsidRPr="00BD01C9">
        <w:rPr>
          <w:sz w:val="22"/>
          <w:szCs w:val="22"/>
        </w:rPr>
        <w:t>[95 % IS 1,24 – 5,06]).</w:t>
      </w:r>
    </w:p>
    <w:p w14:paraId="18BA0829" w14:textId="77777777" w:rsidR="00BE7E1C" w:rsidRPr="00BD01C9" w:rsidRDefault="00BE7E1C" w:rsidP="00BE7E1C">
      <w:pPr>
        <w:spacing w:before="19"/>
        <w:rPr>
          <w:sz w:val="22"/>
          <w:szCs w:val="22"/>
        </w:rPr>
      </w:pPr>
    </w:p>
    <w:p w14:paraId="74FF8923" w14:textId="77777777" w:rsidR="00040E8F" w:rsidRPr="00BD01C9" w:rsidRDefault="00040E8F" w:rsidP="00040E8F">
      <w:pPr>
        <w:ind w:right="-20"/>
        <w:rPr>
          <w:sz w:val="22"/>
          <w:szCs w:val="22"/>
          <w:u w:val="single" w:color="000000"/>
        </w:rPr>
      </w:pPr>
      <w:r w:rsidRPr="00BD01C9">
        <w:rPr>
          <w:sz w:val="22"/>
          <w:szCs w:val="22"/>
          <w:u w:val="single" w:color="000000"/>
        </w:rPr>
        <w:t>Nesprávne používanie, potenciálne zneužívanie alebo závislosť</w:t>
      </w:r>
    </w:p>
    <w:p w14:paraId="0A3CFE3A" w14:textId="77777777" w:rsidR="00525902" w:rsidRPr="00BD01C9" w:rsidRDefault="00525902" w:rsidP="00D43E06">
      <w:pPr>
        <w:spacing w:before="8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prípady </w:t>
      </w:r>
      <w:r w:rsidR="00040E8F" w:rsidRPr="00BD01C9">
        <w:rPr>
          <w:sz w:val="22"/>
          <w:szCs w:val="22"/>
        </w:rPr>
        <w:t>nesprávneho používania</w:t>
      </w:r>
      <w:r w:rsidRPr="00BD01C9">
        <w:rPr>
          <w:sz w:val="22"/>
          <w:szCs w:val="22"/>
        </w:rPr>
        <w:t xml:space="preserve">, </w:t>
      </w:r>
      <w:r w:rsidR="00040E8F" w:rsidRPr="00BD01C9">
        <w:rPr>
          <w:sz w:val="22"/>
          <w:szCs w:val="22"/>
        </w:rPr>
        <w:t>zneužívania</w:t>
      </w:r>
      <w:r w:rsidRPr="00BD01C9">
        <w:rPr>
          <w:sz w:val="22"/>
          <w:szCs w:val="22"/>
        </w:rPr>
        <w:t xml:space="preserve"> a </w:t>
      </w:r>
      <w:r w:rsidR="00040E8F" w:rsidRPr="00BD01C9">
        <w:rPr>
          <w:sz w:val="22"/>
          <w:szCs w:val="22"/>
        </w:rPr>
        <w:t>závislost</w:t>
      </w:r>
      <w:r w:rsidR="00040E8F" w:rsidRPr="00BD01C9">
        <w:rPr>
          <w:spacing w:val="1"/>
          <w:sz w:val="22"/>
          <w:szCs w:val="22"/>
        </w:rPr>
        <w:t>í</w:t>
      </w:r>
      <w:r w:rsidRPr="00BD01C9">
        <w:rPr>
          <w:sz w:val="22"/>
          <w:szCs w:val="22"/>
        </w:rPr>
        <w:t>. Treba byť opatrný</w:t>
      </w:r>
    </w:p>
    <w:p w14:paraId="60F1A9F2" w14:textId="5281BFCA" w:rsidR="00525902" w:rsidRPr="00BD01C9" w:rsidRDefault="00525902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>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anamnézo</w:t>
      </w:r>
      <w:r w:rsidRPr="00BD01C9">
        <w:rPr>
          <w:sz w:val="22"/>
          <w:szCs w:val="22"/>
        </w:rPr>
        <w:t xml:space="preserve">u </w:t>
      </w:r>
      <w:r w:rsidR="00040E8F" w:rsidRPr="00BD01C9">
        <w:rPr>
          <w:sz w:val="22"/>
          <w:szCs w:val="22"/>
        </w:rPr>
        <w:t>zneužívania</w:t>
      </w:r>
      <w:r w:rsidRPr="00BD01C9">
        <w:rPr>
          <w:sz w:val="22"/>
          <w:szCs w:val="22"/>
        </w:rPr>
        <w:t xml:space="preserve"> návykových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látok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takýchto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ov</w:t>
      </w:r>
      <w:r w:rsidRPr="00BD01C9">
        <w:rPr>
          <w:spacing w:val="-2"/>
          <w:sz w:val="22"/>
          <w:szCs w:val="22"/>
        </w:rPr>
        <w:t xml:space="preserve"> ma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ú</w:t>
      </w:r>
      <w:r w:rsidRPr="00BD01C9">
        <w:rPr>
          <w:spacing w:val="-1"/>
          <w:sz w:val="22"/>
          <w:szCs w:val="22"/>
        </w:rPr>
        <w:t xml:space="preserve"> byť </w:t>
      </w:r>
      <w:r w:rsidRPr="00BD01C9">
        <w:rPr>
          <w:sz w:val="22"/>
          <w:szCs w:val="22"/>
        </w:rPr>
        <w:t xml:space="preserve">sledované príznaky </w:t>
      </w:r>
      <w:r w:rsidR="00040E8F" w:rsidRPr="00BD01C9">
        <w:rPr>
          <w:sz w:val="22"/>
          <w:szCs w:val="22"/>
        </w:rPr>
        <w:t>nesprávneho používania</w:t>
      </w:r>
      <w:r w:rsidRPr="00BD01C9">
        <w:rPr>
          <w:sz w:val="22"/>
          <w:szCs w:val="22"/>
        </w:rPr>
        <w:t xml:space="preserve">, </w:t>
      </w:r>
      <w:r w:rsidR="00040E8F" w:rsidRPr="00BD01C9">
        <w:rPr>
          <w:sz w:val="22"/>
          <w:szCs w:val="22"/>
        </w:rPr>
        <w:t>zne</w:t>
      </w:r>
      <w:r w:rsidRPr="00BD01C9">
        <w:rPr>
          <w:sz w:val="22"/>
          <w:szCs w:val="22"/>
        </w:rPr>
        <w:t>užívania alebo závislosti</w:t>
      </w:r>
      <w:r w:rsidRPr="00BD01C9">
        <w:rPr>
          <w:spacing w:val="1"/>
          <w:sz w:val="22"/>
          <w:szCs w:val="22"/>
        </w:rPr>
        <w:t xml:space="preserve"> </w:t>
      </w:r>
      <w:r w:rsidR="00040E8F" w:rsidRPr="00BD01C9">
        <w:rPr>
          <w:spacing w:val="1"/>
          <w:sz w:val="22"/>
          <w:szCs w:val="22"/>
        </w:rPr>
        <w:t xml:space="preserve">od </w:t>
      </w:r>
      <w:r w:rsidR="00040E8F" w:rsidRPr="00BD01C9">
        <w:rPr>
          <w:sz w:val="22"/>
          <w:szCs w:val="22"/>
        </w:rPr>
        <w:t>pregabalínu</w:t>
      </w:r>
      <w:r w:rsidR="00040E8F"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(</w:t>
      </w:r>
      <w:r w:rsidRPr="00BD01C9">
        <w:rPr>
          <w:sz w:val="22"/>
          <w:szCs w:val="22"/>
        </w:rPr>
        <w:t>bo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rozvoj </w:t>
      </w:r>
      <w:r w:rsidRPr="00BD01C9">
        <w:rPr>
          <w:spacing w:val="1"/>
          <w:sz w:val="22"/>
          <w:szCs w:val="22"/>
        </w:rPr>
        <w:t>toleran</w:t>
      </w:r>
      <w:r w:rsidRPr="00BD01C9">
        <w:rPr>
          <w:sz w:val="22"/>
          <w:szCs w:val="22"/>
        </w:rPr>
        <w:t>cie, zv</w:t>
      </w:r>
      <w:r w:rsidR="0020295C" w:rsidRPr="00BD01C9">
        <w:rPr>
          <w:sz w:val="22"/>
          <w:szCs w:val="22"/>
        </w:rPr>
        <w:t>y</w:t>
      </w:r>
      <w:r w:rsidRPr="00BD01C9">
        <w:rPr>
          <w:sz w:val="22"/>
          <w:szCs w:val="22"/>
        </w:rPr>
        <w:t>šovanie dávky, správanie vedúce k</w:t>
      </w:r>
      <w:r w:rsidRPr="00BD01C9">
        <w:rPr>
          <w:spacing w:val="-3"/>
          <w:sz w:val="22"/>
          <w:szCs w:val="22"/>
        </w:rPr>
        <w:t xml:space="preserve"> </w:t>
      </w:r>
      <w:r w:rsidR="000A25C5" w:rsidRPr="00BD01C9">
        <w:rPr>
          <w:sz w:val="22"/>
          <w:szCs w:val="22"/>
        </w:rPr>
        <w:t xml:space="preserve">získaniu </w:t>
      </w:r>
      <w:r w:rsidRPr="00BD01C9">
        <w:rPr>
          <w:sz w:val="22"/>
          <w:szCs w:val="22"/>
        </w:rPr>
        <w:t>lieku).</w:t>
      </w:r>
    </w:p>
    <w:p w14:paraId="32118F91" w14:textId="77777777" w:rsidR="00525902" w:rsidRPr="00BD01C9" w:rsidRDefault="00525902" w:rsidP="00D43E06">
      <w:pPr>
        <w:spacing w:before="17"/>
        <w:rPr>
          <w:sz w:val="22"/>
          <w:szCs w:val="22"/>
        </w:rPr>
      </w:pPr>
    </w:p>
    <w:p w14:paraId="66BD81AB" w14:textId="77777777" w:rsidR="00525902" w:rsidRPr="00BD01C9" w:rsidRDefault="00525902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Encefalopatia</w:t>
      </w:r>
    </w:p>
    <w:p w14:paraId="0F246EB7" w14:textId="77777777" w:rsidR="00525902" w:rsidRPr="00BD01C9" w:rsidRDefault="00525902" w:rsidP="00D43E06">
      <w:pPr>
        <w:spacing w:before="6"/>
        <w:ind w:right="366"/>
        <w:rPr>
          <w:sz w:val="22"/>
          <w:szCs w:val="22"/>
        </w:rPr>
      </w:pP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encefalopatie,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hlavne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pridruženými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stavmi,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môžu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vyvolať encefalopatiu.</w:t>
      </w:r>
    </w:p>
    <w:p w14:paraId="03B8240C" w14:textId="77777777" w:rsidR="00D0022E" w:rsidRPr="00BD01C9" w:rsidRDefault="00D0022E" w:rsidP="00D43E06">
      <w:pPr>
        <w:pStyle w:val="Hlavika"/>
        <w:tabs>
          <w:tab w:val="clear" w:pos="4320"/>
          <w:tab w:val="clear" w:pos="8640"/>
        </w:tabs>
        <w:rPr>
          <w:sz w:val="22"/>
          <w:szCs w:val="22"/>
          <w:lang w:val="sk-SK"/>
        </w:rPr>
      </w:pPr>
    </w:p>
    <w:p w14:paraId="4A4B915D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Liekové a iné interakcie</w:t>
      </w:r>
    </w:p>
    <w:p w14:paraId="50146EAE" w14:textId="77777777" w:rsidR="00A0467A" w:rsidRPr="00BD01C9" w:rsidRDefault="00A0467A" w:rsidP="00D43E06">
      <w:pPr>
        <w:keepNext/>
        <w:tabs>
          <w:tab w:val="left" w:pos="709"/>
        </w:tabs>
        <w:rPr>
          <w:i/>
          <w:iCs/>
          <w:sz w:val="22"/>
          <w:szCs w:val="22"/>
        </w:rPr>
      </w:pPr>
    </w:p>
    <w:p w14:paraId="3AE6F782" w14:textId="77777777" w:rsidR="0020295C" w:rsidRPr="00BD01C9" w:rsidRDefault="0020295C" w:rsidP="00D43E06">
      <w:pPr>
        <w:ind w:right="48"/>
        <w:rPr>
          <w:sz w:val="22"/>
          <w:szCs w:val="22"/>
        </w:rPr>
      </w:pPr>
      <w:r w:rsidRPr="00BD01C9">
        <w:rPr>
          <w:sz w:val="22"/>
          <w:szCs w:val="22"/>
        </w:rPr>
        <w:t>Pretože pregabalín sa vylučuje prevažne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nezmenenej forme močom, podlieha zanedbateľnému metabolizmu u ľudí </w:t>
      </w:r>
      <w:r w:rsidRPr="00BD01C9">
        <w:rPr>
          <w:spacing w:val="1"/>
          <w:sz w:val="22"/>
          <w:szCs w:val="22"/>
        </w:rPr>
        <w:t>(</w:t>
      </w:r>
      <w:r w:rsidRPr="00BD01C9">
        <w:rPr>
          <w:rFonts w:eastAsia="Symbol"/>
          <w:sz w:val="22"/>
          <w:szCs w:val="22"/>
        </w:rPr>
        <w:t>&lt;</w:t>
      </w:r>
      <w:r w:rsidR="002A46DE" w:rsidRPr="00BD01C9">
        <w:rPr>
          <w:rFonts w:eastAsia="Symbol"/>
          <w:sz w:val="22"/>
          <w:szCs w:val="22"/>
        </w:rPr>
        <w:t xml:space="preserve"> </w:t>
      </w:r>
      <w:r w:rsidRPr="00BD01C9">
        <w:rPr>
          <w:sz w:val="22"/>
          <w:szCs w:val="22"/>
        </w:rPr>
        <w:t>2 % dávky zachytenej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moči vo forme metabolitov), neinhibuje liekový metabolizmus </w:t>
      </w:r>
      <w:r w:rsidRPr="00BD01C9">
        <w:rPr>
          <w:i/>
          <w:spacing w:val="1"/>
          <w:sz w:val="22"/>
          <w:szCs w:val="22"/>
        </w:rPr>
        <w:t>i</w:t>
      </w:r>
      <w:r w:rsidRPr="00BD01C9">
        <w:rPr>
          <w:i/>
          <w:sz w:val="22"/>
          <w:szCs w:val="22"/>
        </w:rPr>
        <w:t>n</w:t>
      </w:r>
      <w:r w:rsidRPr="00BD01C9">
        <w:rPr>
          <w:i/>
          <w:spacing w:val="1"/>
          <w:sz w:val="22"/>
          <w:szCs w:val="22"/>
        </w:rPr>
        <w:t xml:space="preserve"> vitr</w:t>
      </w:r>
      <w:r w:rsidRPr="00BD01C9">
        <w:rPr>
          <w:i/>
          <w:sz w:val="22"/>
          <w:szCs w:val="22"/>
        </w:rPr>
        <w:t xml:space="preserve">o </w:t>
      </w:r>
      <w:r w:rsidRPr="00BD01C9">
        <w:rPr>
          <w:sz w:val="22"/>
          <w:szCs w:val="22"/>
        </w:rPr>
        <w:t>a neviaže sa na plazmatické proteíny, je nepravdepodobné, že by spôsobil alebo bol sám subjektom farmakokinetických interakc</w:t>
      </w:r>
      <w:r w:rsidRPr="00BD01C9">
        <w:rPr>
          <w:spacing w:val="1"/>
          <w:sz w:val="22"/>
          <w:szCs w:val="22"/>
        </w:rPr>
        <w:t>ií.</w:t>
      </w:r>
    </w:p>
    <w:p w14:paraId="49B1F817" w14:textId="77777777" w:rsidR="004F35FD" w:rsidRPr="00BD01C9" w:rsidRDefault="004F35FD" w:rsidP="004F35FD">
      <w:pPr>
        <w:ind w:right="-20"/>
        <w:rPr>
          <w:i/>
          <w:sz w:val="22"/>
          <w:szCs w:val="22"/>
          <w:u w:val="single" w:color="000000"/>
        </w:rPr>
      </w:pPr>
    </w:p>
    <w:p w14:paraId="4B87573B" w14:textId="77777777" w:rsidR="0020295C" w:rsidRPr="00BD01C9" w:rsidRDefault="0020295C" w:rsidP="004F35FD">
      <w:pPr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val="single" w:color="000000"/>
        </w:rPr>
        <w:t>In</w:t>
      </w:r>
      <w:r w:rsidRPr="00BD01C9">
        <w:rPr>
          <w:i/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i/>
          <w:sz w:val="22"/>
          <w:szCs w:val="22"/>
          <w:u w:val="single" w:color="000000"/>
        </w:rPr>
        <w:t>vivo</w:t>
      </w:r>
      <w:r w:rsidRPr="00BD01C9">
        <w:rPr>
          <w:i/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štúdie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populačná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farmakokinetická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analýza</w:t>
      </w:r>
    </w:p>
    <w:p w14:paraId="222A5A36" w14:textId="77777777" w:rsidR="0020295C" w:rsidRPr="00BD01C9" w:rsidRDefault="0020295C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 xml:space="preserve">Podobne, v </w:t>
      </w:r>
      <w:r w:rsidRPr="00BD01C9">
        <w:rPr>
          <w:i/>
          <w:sz w:val="22"/>
          <w:szCs w:val="22"/>
        </w:rPr>
        <w:t>in</w:t>
      </w:r>
      <w:r w:rsidRPr="00BD01C9">
        <w:rPr>
          <w:i/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 xml:space="preserve">vivo </w:t>
      </w:r>
      <w:r w:rsidRPr="00BD01C9">
        <w:rPr>
          <w:sz w:val="22"/>
          <w:szCs w:val="22"/>
        </w:rPr>
        <w:t xml:space="preserve">štúdiách sa nepozorovali žiadne klinicky relevantné farmakokinetické interakcie medzi pregabalínom a fenytoínom, karbamazepínom, kyselinou valproovou, lamotrigínom, gabapentínom, 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orazepamom, oxykodónom alebo etanolom. Populačná farmakokinetická analýza ukázala,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že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perorálne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antidiabetiká,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diuretiká,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inzulín,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fenobarbital,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tiagabín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topiramát nemali klinicky významný účinok na klírens pregabalín</w:t>
      </w:r>
      <w:r w:rsidRPr="00BD01C9">
        <w:rPr>
          <w:spacing w:val="-1"/>
          <w:sz w:val="22"/>
          <w:szCs w:val="22"/>
        </w:rPr>
        <w:t>u</w:t>
      </w:r>
      <w:r w:rsidRPr="00BD01C9">
        <w:rPr>
          <w:sz w:val="22"/>
          <w:szCs w:val="22"/>
        </w:rPr>
        <w:t>.</w:t>
      </w:r>
    </w:p>
    <w:p w14:paraId="4DD3930C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8BD0D7F" w14:textId="77777777" w:rsidR="0020295C" w:rsidRPr="00BD01C9" w:rsidRDefault="0020295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Perorálne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kontraceptíva,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noretis</w:t>
      </w:r>
      <w:r w:rsidRPr="00BD01C9">
        <w:rPr>
          <w:spacing w:val="1"/>
          <w:sz w:val="22"/>
          <w:szCs w:val="22"/>
          <w:u w:val="single" w:color="000000"/>
        </w:rPr>
        <w:t>t</w:t>
      </w:r>
      <w:r w:rsidRPr="00BD01C9">
        <w:rPr>
          <w:sz w:val="22"/>
          <w:szCs w:val="22"/>
          <w:u w:val="single" w:color="000000"/>
        </w:rPr>
        <w:t>erón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a/alebo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etinylestradiol</w:t>
      </w:r>
    </w:p>
    <w:p w14:paraId="17BBAEAF" w14:textId="77777777" w:rsidR="0020295C" w:rsidRPr="00BD01C9" w:rsidRDefault="0020295C" w:rsidP="004960F4">
      <w:pPr>
        <w:spacing w:before="6"/>
        <w:rPr>
          <w:sz w:val="22"/>
          <w:szCs w:val="22"/>
        </w:rPr>
      </w:pPr>
      <w:r w:rsidRPr="00BD01C9">
        <w:rPr>
          <w:sz w:val="22"/>
          <w:szCs w:val="22"/>
        </w:rPr>
        <w:t>Súbežné podávanie pregabalínu s perorálnymi kontraceptívami noretisterónom a/alebo etinylestradiolom nemá vplyv na farmakokinetiku v rovnovážnom stave žiadnej z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týchto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látok.</w:t>
      </w:r>
    </w:p>
    <w:p w14:paraId="1629387B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6689668" w14:textId="77777777" w:rsidR="0020295C" w:rsidRPr="00BD01C9" w:rsidRDefault="0020295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Lieky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ovplyvňujúce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="003E01DC" w:rsidRPr="00BD01C9">
        <w:rPr>
          <w:sz w:val="22"/>
          <w:szCs w:val="22"/>
          <w:u w:val="single" w:color="000000"/>
        </w:rPr>
        <w:t>centrálny nervový systém</w:t>
      </w:r>
    </w:p>
    <w:p w14:paraId="355EF7D0" w14:textId="329AE13D" w:rsidR="0020295C" w:rsidRPr="00BD01C9" w:rsidRDefault="0020295C" w:rsidP="00D43E06">
      <w:pPr>
        <w:spacing w:before="6"/>
        <w:ind w:right="44"/>
        <w:rPr>
          <w:sz w:val="22"/>
          <w:szCs w:val="22"/>
        </w:rPr>
      </w:pPr>
      <w:r w:rsidRPr="00BD01C9">
        <w:rPr>
          <w:sz w:val="22"/>
          <w:szCs w:val="22"/>
        </w:rPr>
        <w:t>Pregabalín môže zosilňovať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účinky etanolu a lorazepamu. Po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existujú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hlásenia o respiračnom zlyhaní</w:t>
      </w:r>
      <w:r w:rsidR="002167F8" w:rsidRPr="00BD01C9">
        <w:rPr>
          <w:sz w:val="22"/>
          <w:szCs w:val="22"/>
        </w:rPr>
        <w:t>,</w:t>
      </w:r>
      <w:r w:rsidRPr="00BD01C9">
        <w:rPr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kóm</w:t>
      </w:r>
      <w:r w:rsidRPr="00BD01C9">
        <w:rPr>
          <w:sz w:val="22"/>
          <w:szCs w:val="22"/>
        </w:rPr>
        <w:t>e</w:t>
      </w:r>
      <w:r w:rsidR="002167F8" w:rsidRPr="00BD01C9">
        <w:rPr>
          <w:sz w:val="22"/>
          <w:szCs w:val="22"/>
        </w:rPr>
        <w:t xml:space="preserve"> a</w:t>
      </w:r>
      <w:r w:rsidR="00A319B6" w:rsidRPr="00BD01C9">
        <w:rPr>
          <w:sz w:val="22"/>
          <w:szCs w:val="22"/>
        </w:rPr>
        <w:t xml:space="preserve"> úmrtí </w:t>
      </w:r>
      <w:r w:rsidRPr="00BD01C9">
        <w:rPr>
          <w:sz w:val="22"/>
          <w:szCs w:val="22"/>
        </w:rPr>
        <w:t>u pacientov užívajúcich pregabalín</w:t>
      </w:r>
      <w:r w:rsidR="002167F8" w:rsidRPr="00BD01C9">
        <w:rPr>
          <w:sz w:val="22"/>
          <w:szCs w:val="22"/>
        </w:rPr>
        <w:t xml:space="preserve"> a opioidy a/alebo</w:t>
      </w:r>
      <w:r w:rsidRPr="00BD01C9">
        <w:rPr>
          <w:sz w:val="22"/>
          <w:szCs w:val="22"/>
        </w:rPr>
        <w:t xml:space="preserve"> iné lieky utlmujúce</w:t>
      </w:r>
      <w:r w:rsidR="003E01DC" w:rsidRPr="00BD01C9">
        <w:rPr>
          <w:sz w:val="22"/>
          <w:szCs w:val="22"/>
        </w:rPr>
        <w:t xml:space="preserve"> centrálny nervový systém</w:t>
      </w:r>
      <w:r w:rsidRPr="00BD01C9">
        <w:rPr>
          <w:sz w:val="22"/>
          <w:szCs w:val="22"/>
        </w:rPr>
        <w:t xml:space="preserve"> </w:t>
      </w:r>
      <w:r w:rsidR="003E01DC" w:rsidRPr="00BD01C9">
        <w:rPr>
          <w:sz w:val="22"/>
          <w:szCs w:val="22"/>
        </w:rPr>
        <w:t>(</w:t>
      </w:r>
      <w:r w:rsidRPr="00BD01C9">
        <w:rPr>
          <w:sz w:val="22"/>
          <w:szCs w:val="22"/>
        </w:rPr>
        <w:t>CNS</w:t>
      </w:r>
      <w:r w:rsidR="003E01DC" w:rsidRPr="00BD01C9">
        <w:rPr>
          <w:sz w:val="22"/>
          <w:szCs w:val="22"/>
        </w:rPr>
        <w:t>)</w:t>
      </w:r>
      <w:r w:rsidRPr="00BD01C9">
        <w:rPr>
          <w:sz w:val="22"/>
          <w:szCs w:val="22"/>
        </w:rPr>
        <w:t>. Ukazu</w:t>
      </w:r>
      <w:r w:rsidR="00C33B98" w:rsidRPr="00BD01C9">
        <w:rPr>
          <w:sz w:val="22"/>
          <w:szCs w:val="22"/>
        </w:rPr>
        <w:t>je sa, že pregabalín má a</w:t>
      </w:r>
      <w:r w:rsidRPr="00BD01C9">
        <w:rPr>
          <w:sz w:val="22"/>
          <w:szCs w:val="22"/>
        </w:rPr>
        <w:t>ditívny efekt pri po</w:t>
      </w:r>
      <w:r w:rsidR="00363D2D" w:rsidRPr="00BD01C9">
        <w:rPr>
          <w:sz w:val="22"/>
          <w:szCs w:val="22"/>
        </w:rPr>
        <w:t>ruche</w:t>
      </w:r>
      <w:r w:rsidRPr="00BD01C9">
        <w:rPr>
          <w:sz w:val="22"/>
          <w:szCs w:val="22"/>
        </w:rPr>
        <w:t xml:space="preserve"> kognitívnej 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hrubej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motorickej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funkcie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spôsobenej </w:t>
      </w:r>
      <w:r w:rsidRPr="00BD01C9">
        <w:rPr>
          <w:spacing w:val="-1"/>
          <w:sz w:val="22"/>
          <w:szCs w:val="22"/>
        </w:rPr>
        <w:t>oxykodónom.</w:t>
      </w:r>
    </w:p>
    <w:p w14:paraId="1755ACD9" w14:textId="77777777" w:rsidR="0020295C" w:rsidRPr="00BD01C9" w:rsidRDefault="0020295C" w:rsidP="00D43E06">
      <w:pPr>
        <w:spacing w:before="19"/>
        <w:rPr>
          <w:sz w:val="22"/>
          <w:szCs w:val="22"/>
        </w:rPr>
      </w:pPr>
    </w:p>
    <w:p w14:paraId="4CD4C2D8" w14:textId="3A4DD4E7" w:rsidR="0020295C" w:rsidRPr="00BD01C9" w:rsidRDefault="0020295C" w:rsidP="00FB2F66">
      <w:pPr>
        <w:keepNext/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Interakcie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="006F4750" w:rsidRPr="00BD01C9">
        <w:rPr>
          <w:spacing w:val="-31"/>
          <w:sz w:val="22"/>
          <w:szCs w:val="22"/>
          <w:u w:val="single" w:color="000000"/>
        </w:rPr>
        <w:t> </w:t>
      </w:r>
      <w:r w:rsidR="004960F4" w:rsidRPr="00BD01C9">
        <w:rPr>
          <w:sz w:val="22"/>
          <w:szCs w:val="22"/>
          <w:u w:val="single" w:color="000000"/>
        </w:rPr>
        <w:t>s</w:t>
      </w:r>
      <w:r w:rsidRPr="00BD01C9">
        <w:rPr>
          <w:sz w:val="22"/>
          <w:szCs w:val="22"/>
          <w:u w:val="single" w:color="000000"/>
        </w:rPr>
        <w:t>tar</w:t>
      </w:r>
      <w:r w:rsidR="006F4750" w:rsidRPr="00BD01C9">
        <w:rPr>
          <w:sz w:val="22"/>
          <w:szCs w:val="22"/>
          <w:u w:val="single" w:color="000000"/>
        </w:rPr>
        <w:t xml:space="preserve">ší pacienti </w:t>
      </w:r>
    </w:p>
    <w:p w14:paraId="1943B349" w14:textId="77777777" w:rsidR="0020295C" w:rsidRPr="00BD01C9" w:rsidRDefault="0020295C" w:rsidP="00FB2F66">
      <w:pPr>
        <w:keepNext/>
        <w:spacing w:before="6"/>
        <w:ind w:right="491"/>
        <w:rPr>
          <w:sz w:val="22"/>
          <w:szCs w:val="22"/>
        </w:rPr>
      </w:pPr>
      <w:r w:rsidRPr="00BD01C9">
        <w:rPr>
          <w:sz w:val="22"/>
          <w:szCs w:val="22"/>
        </w:rPr>
        <w:t>Žiadne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špecific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é štúdie farmakodynamických interakcií sa nevykonali 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starších dobrovoľníkov. Interakčné štúdie sa uskutočnili len u dospelých.</w:t>
      </w:r>
    </w:p>
    <w:p w14:paraId="5541B0B0" w14:textId="77777777" w:rsidR="00A0467A" w:rsidRPr="00BD01C9" w:rsidRDefault="00A0467A" w:rsidP="00D43E06">
      <w:pPr>
        <w:rPr>
          <w:b/>
          <w:i/>
          <w:iCs/>
          <w:sz w:val="22"/>
          <w:szCs w:val="22"/>
        </w:rPr>
      </w:pPr>
    </w:p>
    <w:p w14:paraId="5424407B" w14:textId="77777777" w:rsidR="00A0467A" w:rsidRPr="00BD01C9" w:rsidRDefault="00CB2FFD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Fertilita, g</w:t>
      </w:r>
      <w:r w:rsidR="00A0467A" w:rsidRPr="00BD01C9">
        <w:rPr>
          <w:b/>
          <w:sz w:val="22"/>
          <w:szCs w:val="22"/>
        </w:rPr>
        <w:t>ravidita a laktácia</w:t>
      </w:r>
    </w:p>
    <w:p w14:paraId="0DCA81C8" w14:textId="77777777" w:rsidR="002957F9" w:rsidRPr="00BD01C9" w:rsidRDefault="002957F9" w:rsidP="00D43E06">
      <w:pPr>
        <w:keepNext/>
        <w:rPr>
          <w:b/>
          <w:sz w:val="22"/>
          <w:szCs w:val="22"/>
        </w:rPr>
      </w:pPr>
    </w:p>
    <w:p w14:paraId="2CE199FE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Ženy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reprodukčnom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veku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/Antikoncepcia</w:t>
      </w:r>
      <w:r w:rsidRPr="00BD01C9">
        <w:rPr>
          <w:spacing w:val="-30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u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mužov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z w:val="22"/>
          <w:szCs w:val="22"/>
          <w:u w:val="single" w:color="000000"/>
        </w:rPr>
        <w:t>a</w:t>
      </w:r>
      <w:r w:rsidRPr="00BD01C9">
        <w:rPr>
          <w:spacing w:val="-31"/>
          <w:sz w:val="22"/>
          <w:szCs w:val="22"/>
          <w:u w:val="single" w:color="000000"/>
        </w:rPr>
        <w:t xml:space="preserve"> </w:t>
      </w:r>
      <w:r w:rsidRPr="00BD01C9">
        <w:rPr>
          <w:spacing w:val="1"/>
          <w:sz w:val="22"/>
          <w:szCs w:val="22"/>
          <w:u w:val="single" w:color="000000"/>
        </w:rPr>
        <w:t>žien</w:t>
      </w:r>
    </w:p>
    <w:p w14:paraId="65DD71EC" w14:textId="77777777" w:rsidR="00363D2D" w:rsidRPr="00BD01C9" w:rsidRDefault="00363D2D" w:rsidP="00D43E06">
      <w:pPr>
        <w:spacing w:before="6"/>
        <w:ind w:right="691"/>
        <w:rPr>
          <w:sz w:val="22"/>
          <w:szCs w:val="22"/>
        </w:rPr>
      </w:pPr>
      <w:r w:rsidRPr="00BD01C9">
        <w:rPr>
          <w:sz w:val="22"/>
          <w:szCs w:val="22"/>
        </w:rPr>
        <w:t>Keďže potenciálne riziko pre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 je známe, ženy vo fertilnom veku musia používať účinnú antikoncepciu.</w:t>
      </w:r>
    </w:p>
    <w:p w14:paraId="7B6863F7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6ECFF6E2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Gravidita</w:t>
      </w:r>
    </w:p>
    <w:p w14:paraId="3B3F3B8E" w14:textId="77777777" w:rsidR="00363D2D" w:rsidRPr="00BD01C9" w:rsidRDefault="00363D2D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sú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dispozícii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dostatočné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 použití pregabalínu u gravidných žien.</w:t>
      </w:r>
    </w:p>
    <w:p w14:paraId="03DC8F61" w14:textId="77777777" w:rsidR="00363D2D" w:rsidRPr="00BD01C9" w:rsidRDefault="00363D2D" w:rsidP="00D43E06">
      <w:pPr>
        <w:spacing w:before="6"/>
        <w:ind w:right="95"/>
        <w:rPr>
          <w:sz w:val="22"/>
          <w:szCs w:val="22"/>
        </w:rPr>
      </w:pPr>
      <w:r w:rsidRPr="00BD01C9">
        <w:rPr>
          <w:sz w:val="22"/>
          <w:szCs w:val="22"/>
        </w:rPr>
        <w:t>Štúdie na zvieratách preukázali reprodukčnú toxicitu (pozri časť 5.3).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2"/>
          <w:sz w:val="22"/>
          <w:szCs w:val="22"/>
        </w:rPr>
        <w:t>z</w:t>
      </w:r>
      <w:r w:rsidRPr="00BD01C9">
        <w:rPr>
          <w:sz w:val="22"/>
          <w:szCs w:val="22"/>
        </w:rPr>
        <w:t>náme potenciálne riziko pre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ľudí.</w:t>
      </w:r>
    </w:p>
    <w:p w14:paraId="3F753915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0F1BA0FD" w14:textId="77777777" w:rsidR="00363D2D" w:rsidRPr="00BD01C9" w:rsidRDefault="00363D2D" w:rsidP="00D43E06">
      <w:pPr>
        <w:ind w:right="157"/>
        <w:rPr>
          <w:sz w:val="22"/>
          <w:szCs w:val="22"/>
        </w:rPr>
      </w:pPr>
      <w:r w:rsidRPr="00BD01C9">
        <w:rPr>
          <w:sz w:val="22"/>
          <w:szCs w:val="22"/>
        </w:rPr>
        <w:t>Pragiola sa má užívať počas gravidity iba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nevyhnutných prípadoch (ak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prínos pre matku jednoznačne preváži potenciálne riziko pre plod</w:t>
      </w:r>
      <w:r w:rsidRPr="00BD01C9">
        <w:rPr>
          <w:spacing w:val="1"/>
          <w:sz w:val="22"/>
          <w:szCs w:val="22"/>
        </w:rPr>
        <w:t>).</w:t>
      </w:r>
    </w:p>
    <w:p w14:paraId="31FBD2E4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24D64B86" w14:textId="77777777" w:rsidR="00363D2D" w:rsidRPr="00BD01C9" w:rsidRDefault="00C53AFC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  <w:u w:val="single" w:color="000000"/>
        </w:rPr>
        <w:t>Dojčenie</w:t>
      </w:r>
    </w:p>
    <w:p w14:paraId="4C1C0D39" w14:textId="77777777" w:rsidR="00363D2D" w:rsidRPr="00BD01C9" w:rsidRDefault="003E01DC" w:rsidP="00D43E06">
      <w:pPr>
        <w:spacing w:before="6"/>
        <w:ind w:right="239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sa vylučuje do ľudského materského mlieka (pozri časť 5.2). </w:t>
      </w:r>
      <w:r w:rsidR="00C2766D" w:rsidRPr="00BD01C9">
        <w:rPr>
          <w:sz w:val="22"/>
          <w:szCs w:val="22"/>
        </w:rPr>
        <w:t>Ú</w:t>
      </w:r>
      <w:r w:rsidRPr="00BD01C9">
        <w:rPr>
          <w:sz w:val="22"/>
          <w:szCs w:val="22"/>
        </w:rPr>
        <w:t>činok pregabalínu na novorodencov/dojčatá nie je známy. Rozhodnutie, či ukončiť dojčenie alebo ukončiť liečbu pregabalínom, sa má urobiť po zvážení prínosu dojčenia pre dieťa a prínosu liečby pre ženu.</w:t>
      </w:r>
    </w:p>
    <w:p w14:paraId="6B3430BA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4C3E346C" w14:textId="77777777" w:rsidR="00363D2D" w:rsidRPr="00BD01C9" w:rsidRDefault="00363D2D" w:rsidP="00D43E06">
      <w:pPr>
        <w:ind w:right="-20"/>
        <w:rPr>
          <w:sz w:val="22"/>
          <w:szCs w:val="22"/>
        </w:rPr>
      </w:pPr>
      <w:r w:rsidRPr="00BD01C9">
        <w:rPr>
          <w:spacing w:val="1"/>
          <w:sz w:val="22"/>
          <w:szCs w:val="22"/>
          <w:u w:val="single" w:color="000000"/>
        </w:rPr>
        <w:t>Fertilita</w:t>
      </w:r>
    </w:p>
    <w:p w14:paraId="096DFFF5" w14:textId="77777777" w:rsidR="00363D2D" w:rsidRPr="00BD01C9" w:rsidRDefault="00363D2D" w:rsidP="00D43E06">
      <w:pPr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Nie sú 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dispozícii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 účinkoch pregabalínu na ženskú fertilitu.</w:t>
      </w:r>
    </w:p>
    <w:p w14:paraId="5C0122FC" w14:textId="77777777" w:rsidR="002A1453" w:rsidRPr="00BD01C9" w:rsidRDefault="002A1453" w:rsidP="00D43E06">
      <w:pPr>
        <w:spacing w:before="6"/>
        <w:ind w:right="690"/>
        <w:jc w:val="both"/>
        <w:rPr>
          <w:sz w:val="22"/>
          <w:szCs w:val="22"/>
        </w:rPr>
      </w:pPr>
    </w:p>
    <w:p w14:paraId="32A7F43D" w14:textId="77777777" w:rsidR="00363D2D" w:rsidRPr="00BD01C9" w:rsidRDefault="00363D2D" w:rsidP="00D43E06">
      <w:pPr>
        <w:spacing w:before="6"/>
        <w:ind w:right="690"/>
        <w:jc w:val="both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klinickom skúšaní hodnotiacom účinok pregabalínu na pohyblivosť spermií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bol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zdrav</w:t>
      </w:r>
      <w:r w:rsidRPr="00BD01C9">
        <w:rPr>
          <w:sz w:val="22"/>
          <w:szCs w:val="22"/>
        </w:rPr>
        <w:t>í</w:t>
      </w:r>
      <w:r w:rsidRPr="00BD01C9">
        <w:rPr>
          <w:spacing w:val="-1"/>
          <w:sz w:val="22"/>
          <w:szCs w:val="22"/>
        </w:rPr>
        <w:t xml:space="preserve"> muži vystaven</w:t>
      </w:r>
      <w:r w:rsidRPr="00BD01C9">
        <w:rPr>
          <w:sz w:val="22"/>
          <w:szCs w:val="22"/>
        </w:rPr>
        <w:t>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dáv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600 mg/deň.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3 mesiacoch liečby sa nezistili žiadne účinky na pohyblivosť spermií.</w:t>
      </w:r>
    </w:p>
    <w:p w14:paraId="7051A811" w14:textId="77777777" w:rsidR="00363D2D" w:rsidRPr="00BD01C9" w:rsidRDefault="00363D2D" w:rsidP="00D43E06">
      <w:pPr>
        <w:spacing w:before="19"/>
        <w:rPr>
          <w:sz w:val="22"/>
          <w:szCs w:val="22"/>
        </w:rPr>
      </w:pPr>
    </w:p>
    <w:p w14:paraId="07A98133" w14:textId="77777777" w:rsidR="00363D2D" w:rsidRPr="00BD01C9" w:rsidRDefault="00363D2D" w:rsidP="00D43E06">
      <w:pPr>
        <w:ind w:right="46"/>
        <w:rPr>
          <w:sz w:val="22"/>
          <w:szCs w:val="22"/>
        </w:rPr>
      </w:pPr>
      <w:r w:rsidRPr="00BD01C9">
        <w:rPr>
          <w:sz w:val="22"/>
          <w:szCs w:val="22"/>
        </w:rPr>
        <w:t>Štúdia fertility na samičkách potkanov preukázala nežiaduce účinky na reprodukciu. Štúdie fertility na samčekoch potkanov preukázali nežiaduce účinky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na reprodukciu a </w:t>
      </w:r>
      <w:r w:rsidRPr="00BD01C9">
        <w:rPr>
          <w:spacing w:val="-1"/>
          <w:sz w:val="22"/>
          <w:szCs w:val="22"/>
        </w:rPr>
        <w:t>vývi</w:t>
      </w:r>
      <w:r w:rsidRPr="00BD01C9">
        <w:rPr>
          <w:sz w:val="22"/>
          <w:szCs w:val="22"/>
        </w:rPr>
        <w:t>n. Klinický význam týchto zistení nie je známy (pozri časť 5.3).</w:t>
      </w:r>
    </w:p>
    <w:p w14:paraId="0CCE4019" w14:textId="77777777" w:rsidR="00E7617F" w:rsidRPr="00BD01C9" w:rsidRDefault="00E7617F" w:rsidP="00D43E06">
      <w:pPr>
        <w:rPr>
          <w:sz w:val="22"/>
          <w:szCs w:val="22"/>
        </w:rPr>
      </w:pPr>
    </w:p>
    <w:p w14:paraId="5F7DA5E5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Ovplyvnenie schopnosti viesť vozidlá a obsluhovať stroje</w:t>
      </w:r>
    </w:p>
    <w:p w14:paraId="72521F79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538E6AA1" w14:textId="77777777" w:rsidR="00E83AC8" w:rsidRPr="00BD01C9" w:rsidRDefault="00E83AC8" w:rsidP="00D43E06">
      <w:pPr>
        <w:ind w:right="180"/>
        <w:rPr>
          <w:sz w:val="22"/>
          <w:szCs w:val="22"/>
        </w:rPr>
      </w:pPr>
      <w:r w:rsidRPr="00BD01C9">
        <w:rPr>
          <w:sz w:val="22"/>
          <w:szCs w:val="22"/>
        </w:rPr>
        <w:t xml:space="preserve">Pragiola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e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ma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malý alebo mierny vplyv na sc</w:t>
      </w:r>
      <w:r w:rsidRPr="00BD01C9">
        <w:rPr>
          <w:spacing w:val="-1"/>
          <w:sz w:val="22"/>
          <w:szCs w:val="22"/>
        </w:rPr>
        <w:t>h</w:t>
      </w:r>
      <w:r w:rsidRPr="00BD01C9">
        <w:rPr>
          <w:sz w:val="22"/>
          <w:szCs w:val="22"/>
        </w:rPr>
        <w:t>opnosť viesť vozidlá a obsluhovať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stroje</w:t>
      </w:r>
      <w:r w:rsidRPr="00BD01C9">
        <w:rPr>
          <w:sz w:val="22"/>
          <w:szCs w:val="22"/>
        </w:rPr>
        <w:t xml:space="preserve">. </w:t>
      </w:r>
      <w:r w:rsidRPr="00BD01C9">
        <w:rPr>
          <w:spacing w:val="-1"/>
          <w:sz w:val="22"/>
          <w:szCs w:val="22"/>
        </w:rPr>
        <w:t>Pragiola môž</w:t>
      </w:r>
      <w:r w:rsidRPr="00BD01C9">
        <w:rPr>
          <w:sz w:val="22"/>
          <w:szCs w:val="22"/>
        </w:rPr>
        <w:t>e</w:t>
      </w:r>
      <w:r w:rsidRPr="00BD01C9">
        <w:rPr>
          <w:spacing w:val="-1"/>
          <w:sz w:val="22"/>
          <w:szCs w:val="22"/>
        </w:rPr>
        <w:t xml:space="preserve"> vyvola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závrat</w:t>
      </w:r>
      <w:r w:rsidRPr="00BD01C9">
        <w:rPr>
          <w:sz w:val="22"/>
          <w:szCs w:val="22"/>
        </w:rPr>
        <w:t>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ospalosť, a preto môže ovplyvniť schopnosť viesť vozidlá alebo obsluhovať stroje.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Pacientom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treba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poradiť,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aby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neviedli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vozidlá,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neobsluhovali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zložité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stroje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alebo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nezapájali do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potenciálne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nebezpečných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činností,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pokiaľ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isté,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tento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neovplyvňuje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ich schopnosť vykonávať uvedené činnosti.</w:t>
      </w:r>
    </w:p>
    <w:p w14:paraId="199D7E21" w14:textId="77777777" w:rsidR="00A0467A" w:rsidRPr="00BD01C9" w:rsidRDefault="00A0467A" w:rsidP="00D43E06">
      <w:pPr>
        <w:rPr>
          <w:sz w:val="22"/>
          <w:szCs w:val="22"/>
        </w:rPr>
      </w:pPr>
    </w:p>
    <w:p w14:paraId="49FC7115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Nežiaduce účinky</w:t>
      </w:r>
    </w:p>
    <w:p w14:paraId="748B1C33" w14:textId="77777777" w:rsidR="00A0467A" w:rsidRPr="00BD01C9" w:rsidRDefault="00A0467A" w:rsidP="00D43E06">
      <w:pPr>
        <w:keepNext/>
        <w:tabs>
          <w:tab w:val="left" w:pos="709"/>
        </w:tabs>
        <w:rPr>
          <w:sz w:val="22"/>
          <w:szCs w:val="22"/>
        </w:rPr>
      </w:pPr>
    </w:p>
    <w:p w14:paraId="17C5CE1C" w14:textId="77777777" w:rsidR="003A12D6" w:rsidRPr="00BD01C9" w:rsidRDefault="003A12D6" w:rsidP="00D43E06">
      <w:pPr>
        <w:pStyle w:val="Zkladntext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>Súhrn bezpečnostného profilu</w:t>
      </w:r>
    </w:p>
    <w:p w14:paraId="1A80CC22" w14:textId="77777777" w:rsidR="00E83AC8" w:rsidRPr="00BD01C9" w:rsidRDefault="00E83AC8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Klinický program s pregabalínom zahrňoval viac ako 8 900 pacientov užívajúcich pregabalín,</w:t>
      </w:r>
    </w:p>
    <w:p w14:paraId="5A240486" w14:textId="77777777" w:rsidR="00E83AC8" w:rsidRPr="00BD01C9" w:rsidRDefault="00E83AC8" w:rsidP="00D43E06">
      <w:pPr>
        <w:spacing w:before="6"/>
        <w:ind w:right="360"/>
        <w:rPr>
          <w:sz w:val="22"/>
          <w:szCs w:val="22"/>
        </w:rPr>
      </w:pPr>
      <w:r w:rsidRPr="00BD01C9">
        <w:rPr>
          <w:sz w:val="22"/>
          <w:szCs w:val="22"/>
        </w:rPr>
        <w:t>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ktorých viac ako 5 600 bolo zaradených v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dvoj</w:t>
      </w:r>
      <w:r w:rsidRPr="00BD01C9">
        <w:rPr>
          <w:spacing w:val="1"/>
          <w:sz w:val="22"/>
          <w:szCs w:val="22"/>
        </w:rPr>
        <w:t>it</w:t>
      </w:r>
      <w:r w:rsidRPr="00BD01C9">
        <w:rPr>
          <w:sz w:val="22"/>
          <w:szCs w:val="22"/>
        </w:rPr>
        <w:t>o</w:t>
      </w:r>
      <w:r w:rsidRPr="00BD01C9">
        <w:rPr>
          <w:spacing w:val="-4"/>
          <w:sz w:val="22"/>
          <w:szCs w:val="22"/>
        </w:rPr>
        <w:t xml:space="preserve"> za</w:t>
      </w:r>
      <w:r w:rsidRPr="00BD01C9">
        <w:rPr>
          <w:sz w:val="22"/>
          <w:szCs w:val="22"/>
        </w:rPr>
        <w:t xml:space="preserve">slepených placebom kontrolovaných štúdiách. </w:t>
      </w:r>
      <w:r w:rsidRPr="00BD01C9">
        <w:rPr>
          <w:spacing w:val="1"/>
          <w:sz w:val="22"/>
          <w:szCs w:val="22"/>
        </w:rPr>
        <w:t>Najčastej</w:t>
      </w:r>
      <w:r w:rsidRPr="00BD01C9">
        <w:rPr>
          <w:sz w:val="22"/>
          <w:szCs w:val="22"/>
        </w:rPr>
        <w:t>š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 xml:space="preserve">e hlásenými nežiaducimi reakciami boli závraty a somnolencia. Nežiaduce reakcie boli zvyčajne </w:t>
      </w:r>
      <w:r w:rsidR="00C14A42" w:rsidRPr="00BD01C9">
        <w:rPr>
          <w:sz w:val="22"/>
          <w:szCs w:val="22"/>
        </w:rPr>
        <w:t>miernej</w:t>
      </w:r>
      <w:r w:rsidRPr="00BD01C9">
        <w:rPr>
          <w:sz w:val="22"/>
          <w:szCs w:val="22"/>
        </w:rPr>
        <w:t xml:space="preserve"> až strednej intenzity. Vo všetkých kontrolovaných štúdiách boli nežiaduce reakcie príčinou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prerušenia liečby u 12 % pacientov užívajúcich pregabalín a u 5 % pacientov užívajúcich placebo. Najčastejšími nežiaducimi reakciami vedúcimi k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prerušeniu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skupinách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pregabalínom boli závraty a somnolencia.</w:t>
      </w:r>
    </w:p>
    <w:p w14:paraId="32CE7028" w14:textId="24A98CB4" w:rsidR="003A12D6" w:rsidRPr="00BD01C9" w:rsidRDefault="003A12D6" w:rsidP="00D43E06">
      <w:pPr>
        <w:pStyle w:val="Zkladntext"/>
        <w:jc w:val="left"/>
        <w:rPr>
          <w:sz w:val="22"/>
          <w:szCs w:val="22"/>
          <w:lang w:val="sk-SK"/>
        </w:rPr>
      </w:pPr>
    </w:p>
    <w:p w14:paraId="34B18274" w14:textId="77777777" w:rsidR="003A12D6" w:rsidRPr="00BD01C9" w:rsidRDefault="003A12D6" w:rsidP="00FB2F66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 xml:space="preserve">Tabuľkový zoznam nežiaducich </w:t>
      </w:r>
      <w:r w:rsidR="001A305A" w:rsidRPr="00BD01C9">
        <w:rPr>
          <w:sz w:val="22"/>
          <w:szCs w:val="22"/>
          <w:u w:val="single"/>
        </w:rPr>
        <w:t>reakcií</w:t>
      </w:r>
    </w:p>
    <w:p w14:paraId="65EF5D6F" w14:textId="484C5F5F" w:rsidR="003A12D6" w:rsidRPr="00BD01C9" w:rsidRDefault="00E83AC8" w:rsidP="00FB2F66">
      <w:pPr>
        <w:keepNext/>
        <w:ind w:right="408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="003E01DC" w:rsidRPr="00BD01C9">
        <w:rPr>
          <w:spacing w:val="-1"/>
          <w:sz w:val="22"/>
          <w:szCs w:val="22"/>
        </w:rPr>
        <w:t> </w:t>
      </w:r>
      <w:r w:rsidRPr="00BD01C9">
        <w:rPr>
          <w:sz w:val="22"/>
          <w:szCs w:val="22"/>
        </w:rPr>
        <w:t>tabuľke</w:t>
      </w:r>
      <w:r w:rsidR="003E01DC" w:rsidRPr="00BD01C9">
        <w:rPr>
          <w:sz w:val="22"/>
          <w:szCs w:val="22"/>
        </w:rPr>
        <w:t xml:space="preserve"> 2</w:t>
      </w:r>
      <w:r w:rsidRPr="00BD01C9">
        <w:rPr>
          <w:sz w:val="22"/>
          <w:szCs w:val="22"/>
        </w:rPr>
        <w:t xml:space="preserve"> nižšie sú všetky nežiaduce reakcie, ktoré sa vyskytli častejšie než pri placebe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viac než u jedného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zoradené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podľa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triedy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frekvencie (veľmi časté </w:t>
      </w:r>
      <w:r w:rsidRPr="00BD01C9">
        <w:rPr>
          <w:spacing w:val="1"/>
          <w:sz w:val="22"/>
          <w:szCs w:val="22"/>
        </w:rPr>
        <w:t>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1/10);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časté</w:t>
      </w:r>
      <w:r w:rsidRPr="00BD01C9">
        <w:rPr>
          <w:spacing w:val="1"/>
          <w:sz w:val="22"/>
          <w:szCs w:val="22"/>
        </w:rPr>
        <w:t xml:space="preserve"> 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1/100 až</w:t>
      </w:r>
      <w:r w:rsidR="0017198D" w:rsidRPr="00BD01C9">
        <w:rPr>
          <w:sz w:val="22"/>
          <w:szCs w:val="22"/>
        </w:rPr>
        <w:t xml:space="preserve"> </w:t>
      </w:r>
      <w:r w:rsidRPr="00BD01C9">
        <w:rPr>
          <w:iCs/>
          <w:sz w:val="22"/>
          <w:szCs w:val="22"/>
        </w:rPr>
        <w:t>&lt;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1/10);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menej</w:t>
      </w:r>
      <w:r w:rsidRPr="00BD01C9">
        <w:rPr>
          <w:spacing w:val="1"/>
          <w:position w:val="-1"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>časté</w:t>
      </w:r>
      <w:r w:rsidRPr="00BD01C9">
        <w:rPr>
          <w:spacing w:val="1"/>
          <w:position w:val="-1"/>
          <w:sz w:val="22"/>
          <w:szCs w:val="22"/>
        </w:rPr>
        <w:t xml:space="preserve"> 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pacing w:val="1"/>
          <w:position w:val="-1"/>
          <w:sz w:val="22"/>
          <w:szCs w:val="22"/>
        </w:rPr>
        <w:t>1/</w:t>
      </w:r>
      <w:r w:rsidRPr="00BD01C9">
        <w:rPr>
          <w:position w:val="-1"/>
          <w:sz w:val="22"/>
          <w:szCs w:val="22"/>
        </w:rPr>
        <w:t xml:space="preserve">1 000 až </w:t>
      </w:r>
      <w:r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 xml:space="preserve">1/100); zriedkavé </w:t>
      </w:r>
      <w:r w:rsidRPr="00BD01C9">
        <w:rPr>
          <w:spacing w:val="1"/>
          <w:position w:val="-1"/>
          <w:sz w:val="22"/>
          <w:szCs w:val="22"/>
        </w:rPr>
        <w:t>(</w:t>
      </w:r>
      <w:r w:rsidRPr="00BD01C9">
        <w:rPr>
          <w:iCs/>
          <w:sz w:val="22"/>
          <w:szCs w:val="22"/>
        </w:rPr>
        <w:t>≥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position w:val="-1"/>
          <w:sz w:val="22"/>
          <w:szCs w:val="22"/>
        </w:rPr>
        <w:t xml:space="preserve">10 000 až </w:t>
      </w:r>
      <w:r w:rsidR="00DA500D"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pacing w:val="1"/>
          <w:position w:val="-1"/>
          <w:sz w:val="22"/>
          <w:szCs w:val="22"/>
        </w:rPr>
        <w:t>1/</w:t>
      </w:r>
      <w:r w:rsidR="00DA500D" w:rsidRPr="00BD01C9">
        <w:rPr>
          <w:position w:val="-1"/>
          <w:sz w:val="22"/>
          <w:szCs w:val="22"/>
        </w:rPr>
        <w:t>1 000</w:t>
      </w:r>
      <w:r w:rsidRPr="00BD01C9">
        <w:rPr>
          <w:position w:val="-1"/>
          <w:sz w:val="22"/>
          <w:szCs w:val="22"/>
        </w:rPr>
        <w:t>); veľmi zriedkavé</w:t>
      </w:r>
      <w:r w:rsidR="0017198D" w:rsidRPr="00BD01C9" w:rsidDel="0017198D">
        <w:rPr>
          <w:sz w:val="22"/>
          <w:szCs w:val="22"/>
        </w:rPr>
        <w:t xml:space="preserve"> </w:t>
      </w:r>
      <w:r w:rsidRPr="00BD01C9">
        <w:rPr>
          <w:spacing w:val="1"/>
          <w:sz w:val="22"/>
          <w:szCs w:val="22"/>
        </w:rPr>
        <w:t>(</w:t>
      </w:r>
      <w:r w:rsidRPr="00BD01C9">
        <w:rPr>
          <w:iCs/>
          <w:sz w:val="22"/>
          <w:szCs w:val="22"/>
        </w:rPr>
        <w:t>&lt;</w:t>
      </w:r>
      <w:r w:rsidR="0017198D" w:rsidRPr="00BD01C9">
        <w:rPr>
          <w:iCs/>
          <w:sz w:val="22"/>
          <w:szCs w:val="22"/>
        </w:rPr>
        <w:t xml:space="preserve"> </w:t>
      </w:r>
      <w:r w:rsidRPr="00BD01C9">
        <w:rPr>
          <w:sz w:val="22"/>
          <w:szCs w:val="22"/>
        </w:rPr>
        <w:t>1/10 000), neznáme (z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dostupných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údajov).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rámci jednotlivých skupín frekvencií sú nežiaduce</w:t>
      </w:r>
      <w:r w:rsidR="00DA500D" w:rsidRPr="00BD01C9">
        <w:rPr>
          <w:sz w:val="22"/>
          <w:szCs w:val="22"/>
        </w:rPr>
        <w:t xml:space="preserve"> </w:t>
      </w:r>
      <w:r w:rsidR="001A305A" w:rsidRPr="00BD01C9">
        <w:rPr>
          <w:sz w:val="22"/>
          <w:szCs w:val="22"/>
        </w:rPr>
        <w:t>reakcie</w:t>
      </w:r>
      <w:r w:rsidR="00DA500D" w:rsidRPr="00BD01C9">
        <w:rPr>
          <w:sz w:val="22"/>
          <w:szCs w:val="22"/>
        </w:rPr>
        <w:t xml:space="preserve"> usporiadané v poradí klesajúcej závažnosti</w:t>
      </w:r>
      <w:r w:rsidRPr="00BD01C9">
        <w:rPr>
          <w:sz w:val="22"/>
          <w:szCs w:val="22"/>
        </w:rPr>
        <w:t>.</w:t>
      </w:r>
    </w:p>
    <w:p w14:paraId="2AE0671B" w14:textId="77777777" w:rsidR="003F2F6F" w:rsidRPr="00BD01C9" w:rsidRDefault="003F2F6F" w:rsidP="00D43E06">
      <w:pPr>
        <w:ind w:right="122"/>
        <w:rPr>
          <w:sz w:val="22"/>
          <w:szCs w:val="22"/>
        </w:rPr>
      </w:pPr>
    </w:p>
    <w:p w14:paraId="7DE05357" w14:textId="77777777" w:rsidR="003F2F6F" w:rsidRPr="00BD01C9" w:rsidRDefault="003F2F6F" w:rsidP="00D43E06">
      <w:pPr>
        <w:spacing w:before="4"/>
        <w:ind w:right="122"/>
        <w:rPr>
          <w:sz w:val="22"/>
          <w:szCs w:val="22"/>
        </w:rPr>
      </w:pPr>
      <w:r w:rsidRPr="00BD01C9">
        <w:rPr>
          <w:sz w:val="22"/>
          <w:szCs w:val="22"/>
        </w:rPr>
        <w:t>Uvedené nežiaduce reakcie môžu tiež súvisieť so základným ochorením a/alebo sprievodnou liečbou.</w:t>
      </w:r>
    </w:p>
    <w:p w14:paraId="21EA3D53" w14:textId="77777777" w:rsidR="003F2F6F" w:rsidRPr="00BD01C9" w:rsidRDefault="003F2F6F" w:rsidP="00D43E06">
      <w:pPr>
        <w:ind w:right="55"/>
        <w:rPr>
          <w:sz w:val="22"/>
          <w:szCs w:val="22"/>
        </w:rPr>
      </w:pPr>
    </w:p>
    <w:p w14:paraId="323F516D" w14:textId="77777777" w:rsidR="003F2F6F" w:rsidRPr="00BD01C9" w:rsidRDefault="003F2F6F" w:rsidP="00D43E06">
      <w:pPr>
        <w:ind w:right="55"/>
        <w:rPr>
          <w:sz w:val="22"/>
          <w:szCs w:val="22"/>
        </w:rPr>
      </w:pP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liečb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dôsledku poranenia miechy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zaznamenal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zvýšený výskyt nežiaducich reakcií všeobecne, CNS nežiaducich reakcií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zvlášť somnolencie (pozri časť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4.4).</w:t>
      </w:r>
    </w:p>
    <w:p w14:paraId="422385E2" w14:textId="77777777" w:rsidR="003F2F6F" w:rsidRPr="00BD01C9" w:rsidRDefault="003F2F6F" w:rsidP="00D43E06">
      <w:pPr>
        <w:rPr>
          <w:sz w:val="22"/>
          <w:szCs w:val="22"/>
        </w:rPr>
      </w:pPr>
    </w:p>
    <w:p w14:paraId="67D40D49" w14:textId="77777777" w:rsidR="003F2F6F" w:rsidRPr="00BD01C9" w:rsidRDefault="003F2F6F" w:rsidP="00D43E06">
      <w:pPr>
        <w:ind w:right="389"/>
        <w:rPr>
          <w:spacing w:val="-1"/>
          <w:sz w:val="22"/>
          <w:szCs w:val="22"/>
        </w:rPr>
      </w:pPr>
      <w:r w:rsidRPr="00BD01C9">
        <w:rPr>
          <w:sz w:val="22"/>
          <w:szCs w:val="22"/>
        </w:rPr>
        <w:t xml:space="preserve">Ďalšie reakcie hlásené na základe skúseností po uvedení lieku na trh sú </w:t>
      </w:r>
      <w:r w:rsidR="00710ED5" w:rsidRPr="00BD01C9">
        <w:rPr>
          <w:sz w:val="22"/>
          <w:szCs w:val="22"/>
        </w:rPr>
        <w:t>uvedené</w:t>
      </w:r>
      <w:r w:rsidRPr="00BD01C9">
        <w:rPr>
          <w:sz w:val="22"/>
          <w:szCs w:val="22"/>
        </w:rPr>
        <w:t xml:space="preserve">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zozname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nižšie </w:t>
      </w:r>
      <w:r w:rsidRPr="00BD01C9">
        <w:rPr>
          <w:spacing w:val="-1"/>
          <w:sz w:val="22"/>
          <w:szCs w:val="22"/>
        </w:rPr>
        <w:t>kurzívou.</w:t>
      </w:r>
    </w:p>
    <w:p w14:paraId="4D0E8FB9" w14:textId="77777777" w:rsidR="003F2F6F" w:rsidRPr="00BD01C9" w:rsidRDefault="003F2F6F" w:rsidP="00D43E06">
      <w:pPr>
        <w:ind w:right="389"/>
        <w:rPr>
          <w:sz w:val="22"/>
          <w:szCs w:val="22"/>
        </w:rPr>
      </w:pPr>
    </w:p>
    <w:p w14:paraId="6E3ADC11" w14:textId="6CE5D359" w:rsidR="003E01DC" w:rsidRPr="00BD01C9" w:rsidRDefault="003E01DC" w:rsidP="00FB2F66">
      <w:pPr>
        <w:keepNext/>
        <w:ind w:right="389"/>
        <w:rPr>
          <w:sz w:val="22"/>
          <w:szCs w:val="22"/>
        </w:rPr>
      </w:pPr>
      <w:r w:rsidRPr="00BD01C9">
        <w:rPr>
          <w:sz w:val="22"/>
          <w:szCs w:val="22"/>
        </w:rPr>
        <w:t>Tabuľka 2</w:t>
      </w:r>
      <w:r w:rsidR="003478D0" w:rsidRPr="00BD01C9">
        <w:rPr>
          <w:sz w:val="22"/>
          <w:szCs w:val="22"/>
        </w:rPr>
        <w:t>.</w:t>
      </w:r>
      <w:r w:rsidRPr="00BD01C9">
        <w:rPr>
          <w:sz w:val="22"/>
          <w:szCs w:val="22"/>
        </w:rPr>
        <w:t xml:space="preserve"> Nežiaduce liekové reakcie pregabalínu</w:t>
      </w: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1"/>
      </w:tblGrid>
      <w:tr w:rsidR="003F2F6F" w:rsidRPr="00BD01C9" w14:paraId="4E6ADF9B" w14:textId="77777777" w:rsidTr="00D43E06">
        <w:trPr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195DDA" w14:textId="77777777" w:rsidR="003F2F6F" w:rsidRPr="00BD01C9" w:rsidRDefault="003F2F6F" w:rsidP="00FB2F66">
            <w:pPr>
              <w:keepNext/>
              <w:ind w:right="-20"/>
              <w:rPr>
                <w:sz w:val="22"/>
                <w:szCs w:val="22"/>
              </w:rPr>
            </w:pPr>
            <w:r w:rsidRPr="00BD01C9">
              <w:rPr>
                <w:b/>
                <w:bCs/>
                <w:position w:val="-4"/>
                <w:sz w:val="22"/>
                <w:szCs w:val="22"/>
              </w:rPr>
              <w:t>Trieda orgánový</w:t>
            </w:r>
            <w:r w:rsidRPr="00BD01C9">
              <w:rPr>
                <w:b/>
                <w:bCs/>
                <w:spacing w:val="1"/>
                <w:position w:val="-4"/>
                <w:sz w:val="22"/>
                <w:szCs w:val="22"/>
              </w:rPr>
              <w:t>c</w:t>
            </w:r>
            <w:r w:rsidRPr="00BD01C9">
              <w:rPr>
                <w:b/>
                <w:bCs/>
                <w:position w:val="-4"/>
                <w:sz w:val="22"/>
                <w:szCs w:val="22"/>
              </w:rPr>
              <w:t>h</w:t>
            </w:r>
          </w:p>
          <w:p w14:paraId="5F3260C4" w14:textId="77777777" w:rsidR="003F2F6F" w:rsidRPr="00BD01C9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bCs/>
                <w:position w:val="-1"/>
                <w:sz w:val="22"/>
                <w:szCs w:val="22"/>
              </w:rPr>
              <w:t>systémov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AB7209D" w14:textId="77777777" w:rsidR="003F2F6F" w:rsidRPr="00BD01C9" w:rsidRDefault="003F2F6F" w:rsidP="00FB2F66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Nežiaduc</w:t>
            </w:r>
            <w:r w:rsidR="00C2766D" w:rsidRPr="00BD01C9">
              <w:rPr>
                <w:b/>
                <w:sz w:val="22"/>
                <w:szCs w:val="22"/>
              </w:rPr>
              <w:t>e</w:t>
            </w:r>
            <w:r w:rsidRPr="00BD01C9">
              <w:rPr>
                <w:b/>
                <w:sz w:val="22"/>
                <w:szCs w:val="22"/>
              </w:rPr>
              <w:t xml:space="preserve"> reakci</w:t>
            </w:r>
            <w:r w:rsidR="00C2766D" w:rsidRPr="00BD01C9">
              <w:rPr>
                <w:b/>
                <w:sz w:val="22"/>
                <w:szCs w:val="22"/>
              </w:rPr>
              <w:t>e</w:t>
            </w:r>
            <w:r w:rsidRPr="00BD01C9">
              <w:rPr>
                <w:b/>
                <w:sz w:val="22"/>
                <w:szCs w:val="22"/>
              </w:rPr>
              <w:t xml:space="preserve"> lieku</w:t>
            </w:r>
          </w:p>
        </w:tc>
      </w:tr>
      <w:tr w:rsidR="003F2F6F" w:rsidRPr="00BD01C9" w14:paraId="2C7DF54C" w14:textId="77777777" w:rsidTr="00D43E06">
        <w:trPr>
          <w:trHeight w:val="77"/>
        </w:trPr>
        <w:tc>
          <w:tcPr>
            <w:tcW w:w="9179" w:type="dxa"/>
            <w:gridSpan w:val="2"/>
            <w:tcBorders>
              <w:top w:val="single" w:sz="4" w:space="0" w:color="auto"/>
            </w:tcBorders>
          </w:tcPr>
          <w:p w14:paraId="75111C77" w14:textId="77777777" w:rsidR="003F2F6F" w:rsidRPr="00BD01C9" w:rsidRDefault="003F2F6F" w:rsidP="00FB2F66">
            <w:pPr>
              <w:keepNext/>
              <w:widowControl w:val="0"/>
              <w:tabs>
                <w:tab w:val="left" w:pos="567"/>
              </w:tabs>
              <w:rPr>
                <w:b/>
                <w:noProof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Infekcie a nákazy</w:t>
            </w:r>
          </w:p>
        </w:tc>
      </w:tr>
      <w:tr w:rsidR="003F2F6F" w:rsidRPr="00BD01C9" w14:paraId="603AA3CF" w14:textId="77777777" w:rsidTr="00D43E06">
        <w:trPr>
          <w:trHeight w:val="77"/>
        </w:trPr>
        <w:tc>
          <w:tcPr>
            <w:tcW w:w="2268" w:type="dxa"/>
          </w:tcPr>
          <w:p w14:paraId="77382605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0177D9C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noProof/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nazofaryngitída</w:t>
            </w:r>
          </w:p>
        </w:tc>
      </w:tr>
      <w:tr w:rsidR="003F2F6F" w:rsidRPr="00BD01C9" w14:paraId="756D4D4A" w14:textId="77777777" w:rsidTr="00D43E06">
        <w:trPr>
          <w:trHeight w:val="155"/>
        </w:trPr>
        <w:tc>
          <w:tcPr>
            <w:tcW w:w="9179" w:type="dxa"/>
            <w:gridSpan w:val="2"/>
          </w:tcPr>
          <w:p w14:paraId="44AB29BF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krvi a lymfatického systému</w:t>
            </w:r>
          </w:p>
        </w:tc>
      </w:tr>
      <w:tr w:rsidR="003F2F6F" w:rsidRPr="00BD01C9" w14:paraId="0B5C94FC" w14:textId="77777777" w:rsidTr="00D43E06">
        <w:trPr>
          <w:trHeight w:val="151"/>
        </w:trPr>
        <w:tc>
          <w:tcPr>
            <w:tcW w:w="2268" w:type="dxa"/>
          </w:tcPr>
          <w:p w14:paraId="7D3B05F7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C60DF1F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neutropénia </w:t>
            </w:r>
          </w:p>
        </w:tc>
      </w:tr>
      <w:tr w:rsidR="003F2F6F" w:rsidRPr="00BD01C9" w14:paraId="2E3A21BD" w14:textId="77777777" w:rsidTr="00D43E06">
        <w:trPr>
          <w:trHeight w:val="77"/>
        </w:trPr>
        <w:tc>
          <w:tcPr>
            <w:tcW w:w="9179" w:type="dxa"/>
            <w:gridSpan w:val="2"/>
          </w:tcPr>
          <w:p w14:paraId="79CC508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imunitného systému</w:t>
            </w:r>
          </w:p>
        </w:tc>
      </w:tr>
      <w:tr w:rsidR="003F2F6F" w:rsidRPr="00BD01C9" w14:paraId="0C27C564" w14:textId="77777777" w:rsidTr="00D43E06">
        <w:trPr>
          <w:trHeight w:val="77"/>
        </w:trPr>
        <w:tc>
          <w:tcPr>
            <w:tcW w:w="2268" w:type="dxa"/>
          </w:tcPr>
          <w:p w14:paraId="072D0949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5C9DCC8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</w:rPr>
            </w:pPr>
            <w:r w:rsidRPr="00BD01C9">
              <w:rPr>
                <w:spacing w:val="1"/>
                <w:sz w:val="22"/>
              </w:rPr>
              <w:t>hypersenzitivita</w:t>
            </w:r>
          </w:p>
        </w:tc>
      </w:tr>
      <w:tr w:rsidR="003F2F6F" w:rsidRPr="00BD01C9" w14:paraId="45E0FECF" w14:textId="77777777" w:rsidTr="00D43E06">
        <w:trPr>
          <w:trHeight w:val="77"/>
        </w:trPr>
        <w:tc>
          <w:tcPr>
            <w:tcW w:w="2268" w:type="dxa"/>
          </w:tcPr>
          <w:p w14:paraId="6CCC53E8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75BBEF87" w14:textId="77777777" w:rsidR="003F2F6F" w:rsidRPr="00BD01C9" w:rsidRDefault="00444C1E" w:rsidP="00D43E06">
            <w:pPr>
              <w:tabs>
                <w:tab w:val="left" w:pos="2920"/>
              </w:tabs>
              <w:spacing w:before="6"/>
              <w:ind w:right="-20"/>
              <w:rPr>
                <w:sz w:val="22"/>
              </w:rPr>
            </w:pPr>
            <w:r w:rsidRPr="00BD01C9">
              <w:rPr>
                <w:sz w:val="22"/>
              </w:rPr>
              <w:t>angioedém,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alergická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reakcia</w:t>
            </w:r>
          </w:p>
        </w:tc>
      </w:tr>
      <w:tr w:rsidR="003F2F6F" w:rsidRPr="00BD01C9" w14:paraId="7A67E9BB" w14:textId="77777777" w:rsidTr="00D43E06">
        <w:trPr>
          <w:trHeight w:val="77"/>
        </w:trPr>
        <w:tc>
          <w:tcPr>
            <w:tcW w:w="9179" w:type="dxa"/>
            <w:gridSpan w:val="2"/>
          </w:tcPr>
          <w:p w14:paraId="639C334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metabolizmu a výživy</w:t>
            </w:r>
          </w:p>
        </w:tc>
      </w:tr>
      <w:tr w:rsidR="003F2F6F" w:rsidRPr="00BD01C9" w14:paraId="475849EB" w14:textId="77777777" w:rsidTr="00D43E06">
        <w:trPr>
          <w:trHeight w:val="77"/>
        </w:trPr>
        <w:tc>
          <w:tcPr>
            <w:tcW w:w="2268" w:type="dxa"/>
          </w:tcPr>
          <w:p w14:paraId="7F7E9AF3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70B4B66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zvýšená chuť do jedla</w:t>
            </w:r>
          </w:p>
        </w:tc>
      </w:tr>
      <w:tr w:rsidR="003F2F6F" w:rsidRPr="00BD01C9" w14:paraId="13BCCC31" w14:textId="77777777" w:rsidTr="00D43E06">
        <w:trPr>
          <w:trHeight w:val="118"/>
        </w:trPr>
        <w:tc>
          <w:tcPr>
            <w:tcW w:w="2268" w:type="dxa"/>
          </w:tcPr>
          <w:p w14:paraId="2118894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45561DA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anorexia, hypoglykémia</w:t>
            </w:r>
          </w:p>
        </w:tc>
      </w:tr>
      <w:tr w:rsidR="003F2F6F" w:rsidRPr="00BD01C9" w14:paraId="00E51FF4" w14:textId="77777777" w:rsidTr="00D43E06">
        <w:trPr>
          <w:trHeight w:val="115"/>
        </w:trPr>
        <w:tc>
          <w:tcPr>
            <w:tcW w:w="9179" w:type="dxa"/>
            <w:gridSpan w:val="2"/>
          </w:tcPr>
          <w:p w14:paraId="4CF22793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Psychické poruchy</w:t>
            </w:r>
          </w:p>
        </w:tc>
      </w:tr>
      <w:tr w:rsidR="003F2F6F" w:rsidRPr="00BD01C9" w14:paraId="4AF82D72" w14:textId="77777777" w:rsidTr="00D43E06">
        <w:trPr>
          <w:trHeight w:val="77"/>
        </w:trPr>
        <w:tc>
          <w:tcPr>
            <w:tcW w:w="2268" w:type="dxa"/>
          </w:tcPr>
          <w:p w14:paraId="7107762E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464DB8CD" w14:textId="77777777" w:rsidR="00444C1E" w:rsidRPr="00BD01C9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euforická nálada, zmätenosť, iritabilita, dezorientácia, insomnia,</w:t>
            </w:r>
          </w:p>
          <w:p w14:paraId="2EB759AE" w14:textId="77777777" w:rsidR="003F2F6F" w:rsidRPr="00BD01C9" w:rsidRDefault="00444C1E" w:rsidP="00D43E06">
            <w:pPr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pokles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libida</w:t>
            </w:r>
          </w:p>
        </w:tc>
      </w:tr>
      <w:tr w:rsidR="003F2F6F" w:rsidRPr="00BD01C9" w14:paraId="425D8618" w14:textId="77777777" w:rsidTr="00D43E06">
        <w:trPr>
          <w:trHeight w:val="77"/>
        </w:trPr>
        <w:tc>
          <w:tcPr>
            <w:tcW w:w="2268" w:type="dxa"/>
          </w:tcPr>
          <w:p w14:paraId="2DF441F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0E934227" w14:textId="77777777" w:rsidR="003F2F6F" w:rsidRPr="00BD01C9" w:rsidRDefault="00444C1E" w:rsidP="00042DB5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halucinácie, </w:t>
            </w:r>
            <w:r w:rsidR="008A307B" w:rsidRPr="00BD01C9">
              <w:rPr>
                <w:sz w:val="22"/>
                <w:szCs w:val="22"/>
              </w:rPr>
              <w:t>záchvat paniky</w:t>
            </w:r>
            <w:r w:rsidRPr="00BD01C9">
              <w:rPr>
                <w:sz w:val="22"/>
                <w:szCs w:val="22"/>
              </w:rPr>
              <w:t>, nepokoj, agitovanosť, depresia, depresívna nálada, povzn</w:t>
            </w:r>
            <w:r w:rsidR="00042DB5" w:rsidRPr="00BD01C9">
              <w:rPr>
                <w:sz w:val="22"/>
                <w:szCs w:val="22"/>
              </w:rPr>
              <w:t>esená</w:t>
            </w:r>
            <w:r w:rsidRPr="00BD01C9">
              <w:rPr>
                <w:sz w:val="22"/>
                <w:szCs w:val="22"/>
              </w:rPr>
              <w:t xml:space="preserve"> nálada, </w:t>
            </w:r>
            <w:r w:rsidRPr="00BD01C9">
              <w:rPr>
                <w:sz w:val="22"/>
              </w:rPr>
              <w:t>agresivita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kolísanie nálady, depersonalizácia, ťažkosti s</w:t>
            </w:r>
            <w:r w:rsidR="00042DB5" w:rsidRPr="00BD01C9">
              <w:rPr>
                <w:sz w:val="22"/>
                <w:szCs w:val="22"/>
              </w:rPr>
              <w:t> </w:t>
            </w:r>
            <w:r w:rsidRPr="00BD01C9">
              <w:rPr>
                <w:spacing w:val="-1"/>
                <w:sz w:val="22"/>
                <w:szCs w:val="22"/>
              </w:rPr>
              <w:t>hľad</w:t>
            </w:r>
            <w:r w:rsidR="00042DB5" w:rsidRPr="00BD01C9">
              <w:rPr>
                <w:spacing w:val="-1"/>
                <w:sz w:val="22"/>
                <w:szCs w:val="22"/>
              </w:rPr>
              <w:t>aním správnych výrazov</w:t>
            </w:r>
            <w:r w:rsidRPr="00BD01C9">
              <w:rPr>
                <w:spacing w:val="-1"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abnormálne sny, vzostup libida, anorgazmia, apatia</w:t>
            </w:r>
          </w:p>
        </w:tc>
      </w:tr>
      <w:tr w:rsidR="003F2F6F" w:rsidRPr="00BD01C9" w14:paraId="2932A10B" w14:textId="77777777" w:rsidTr="00D43E06">
        <w:trPr>
          <w:trHeight w:val="77"/>
        </w:trPr>
        <w:tc>
          <w:tcPr>
            <w:tcW w:w="2268" w:type="dxa"/>
          </w:tcPr>
          <w:p w14:paraId="18EE1BD7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01AEC7C6" w14:textId="77777777" w:rsidR="003F2F6F" w:rsidRPr="00BD01C9" w:rsidRDefault="00444C1E" w:rsidP="00D43E06">
            <w:pPr>
              <w:tabs>
                <w:tab w:val="left" w:pos="292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zábran</w:t>
            </w:r>
          </w:p>
        </w:tc>
      </w:tr>
      <w:tr w:rsidR="003F2F6F" w:rsidRPr="00BD01C9" w14:paraId="69A18333" w14:textId="77777777" w:rsidTr="00D43E06">
        <w:trPr>
          <w:trHeight w:val="77"/>
        </w:trPr>
        <w:tc>
          <w:tcPr>
            <w:tcW w:w="9179" w:type="dxa"/>
            <w:gridSpan w:val="2"/>
          </w:tcPr>
          <w:p w14:paraId="1658D9A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nervového systému</w:t>
            </w:r>
          </w:p>
        </w:tc>
      </w:tr>
      <w:tr w:rsidR="003F2F6F" w:rsidRPr="00BD01C9" w14:paraId="0BAD9A4F" w14:textId="77777777" w:rsidTr="00D43E06">
        <w:trPr>
          <w:trHeight w:val="77"/>
        </w:trPr>
        <w:tc>
          <w:tcPr>
            <w:tcW w:w="2268" w:type="dxa"/>
          </w:tcPr>
          <w:p w14:paraId="74331E94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Veľmi časté</w:t>
            </w:r>
          </w:p>
        </w:tc>
        <w:tc>
          <w:tcPr>
            <w:tcW w:w="6911" w:type="dxa"/>
          </w:tcPr>
          <w:p w14:paraId="682918E9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závraty, somnolencia, bolesť hlavy</w:t>
            </w:r>
          </w:p>
        </w:tc>
      </w:tr>
      <w:tr w:rsidR="003F2F6F" w:rsidRPr="00BD01C9" w14:paraId="3BA74891" w14:textId="77777777" w:rsidTr="00D43E06">
        <w:trPr>
          <w:trHeight w:val="77"/>
        </w:trPr>
        <w:tc>
          <w:tcPr>
            <w:tcW w:w="2268" w:type="dxa"/>
          </w:tcPr>
          <w:p w14:paraId="1E057F4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53EF76B7" w14:textId="77777777" w:rsidR="00444C1E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ataxia, porucha koordinácie, tremor, dyzartria, amnézia,</w:t>
            </w:r>
          </w:p>
          <w:p w14:paraId="24AA3ABA" w14:textId="77777777" w:rsidR="00444C1E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poruchy pamäti, porucha koncentrácie, parestézia, </w:t>
            </w:r>
          </w:p>
          <w:p w14:paraId="319BA8CB" w14:textId="77777777" w:rsidR="003F2F6F" w:rsidRPr="00BD01C9" w:rsidRDefault="00444C1E" w:rsidP="00D43E06">
            <w:pPr>
              <w:tabs>
                <w:tab w:val="left" w:pos="2920"/>
              </w:tabs>
              <w:spacing w:before="6"/>
              <w:ind w:right="56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hypestézia, sedácia, porucha rovnováhy, letargia</w:t>
            </w:r>
          </w:p>
        </w:tc>
      </w:tr>
      <w:tr w:rsidR="003F2F6F" w:rsidRPr="00BD01C9" w14:paraId="0B8372BD" w14:textId="77777777" w:rsidTr="00D43E06">
        <w:trPr>
          <w:trHeight w:val="77"/>
        </w:trPr>
        <w:tc>
          <w:tcPr>
            <w:tcW w:w="2268" w:type="dxa"/>
          </w:tcPr>
          <w:p w14:paraId="1B97ADD5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F47EFA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synkopa, st</w:t>
            </w:r>
            <w:r w:rsidR="00324C32" w:rsidRPr="00BD01C9">
              <w:rPr>
                <w:sz w:val="22"/>
                <w:szCs w:val="22"/>
              </w:rPr>
              <w:t>rnulosť</w:t>
            </w:r>
            <w:r w:rsidRPr="00BD01C9">
              <w:rPr>
                <w:sz w:val="22"/>
                <w:szCs w:val="22"/>
              </w:rPr>
              <w:t>, myoklonus,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>strata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vedomia, </w:t>
            </w:r>
            <w:r w:rsidRPr="00BD01C9">
              <w:rPr>
                <w:sz w:val="22"/>
                <w:szCs w:val="22"/>
              </w:rPr>
              <w:t>psychomotorická</w:t>
            </w:r>
          </w:p>
          <w:p w14:paraId="52B7F1F2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hype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 xml:space="preserve">aktivita, dyskinéza, posturálne závraty, intenčný tremor, </w:t>
            </w:r>
          </w:p>
          <w:p w14:paraId="75C9A26F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nystagmus, kognitívne poruchy, </w:t>
            </w:r>
            <w:r w:rsidRPr="00BD01C9">
              <w:rPr>
                <w:sz w:val="22"/>
              </w:rPr>
              <w:t>mentálne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poškodenie, </w:t>
            </w:r>
            <w:r w:rsidRPr="00BD01C9">
              <w:rPr>
                <w:sz w:val="22"/>
                <w:szCs w:val="22"/>
              </w:rPr>
              <w:t xml:space="preserve">porucha </w:t>
            </w:r>
          </w:p>
          <w:p w14:paraId="53696E24" w14:textId="77777777" w:rsidR="00444C1E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pacing w:val="1"/>
                <w:sz w:val="22"/>
                <w:szCs w:val="22"/>
              </w:rPr>
              <w:t xml:space="preserve">reči, </w:t>
            </w:r>
            <w:r w:rsidRPr="00BD01C9">
              <w:rPr>
                <w:sz w:val="22"/>
                <w:szCs w:val="22"/>
              </w:rPr>
              <w:t>hyporeflexia, hyperestézia,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pálenia,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chuti, </w:t>
            </w:r>
          </w:p>
          <w:p w14:paraId="0EB331A0" w14:textId="77777777" w:rsidR="003F2F6F" w:rsidRPr="00BD01C9" w:rsidRDefault="00444C1E" w:rsidP="00D43E06">
            <w:pPr>
              <w:tabs>
                <w:tab w:val="left" w:pos="2800"/>
              </w:tabs>
              <w:spacing w:before="10"/>
              <w:ind w:right="59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nevoľnosť</w:t>
            </w:r>
          </w:p>
        </w:tc>
      </w:tr>
      <w:tr w:rsidR="003F2F6F" w:rsidRPr="00BD01C9" w14:paraId="32280B52" w14:textId="77777777" w:rsidTr="00D43E06">
        <w:trPr>
          <w:trHeight w:val="77"/>
        </w:trPr>
        <w:tc>
          <w:tcPr>
            <w:tcW w:w="2268" w:type="dxa"/>
          </w:tcPr>
          <w:p w14:paraId="4CD56532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198134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 xml:space="preserve">kŕče, </w:t>
            </w:r>
            <w:r w:rsidRPr="00BD01C9">
              <w:rPr>
                <w:sz w:val="22"/>
                <w:szCs w:val="22"/>
              </w:rPr>
              <w:t>parosmia, hypokinéza, dysgrafia</w:t>
            </w:r>
          </w:p>
        </w:tc>
      </w:tr>
      <w:tr w:rsidR="003F2F6F" w:rsidRPr="00BD01C9" w14:paraId="50D81C66" w14:textId="77777777" w:rsidTr="00D43E06">
        <w:trPr>
          <w:trHeight w:val="77"/>
        </w:trPr>
        <w:tc>
          <w:tcPr>
            <w:tcW w:w="9179" w:type="dxa"/>
            <w:gridSpan w:val="2"/>
          </w:tcPr>
          <w:p w14:paraId="454706AE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oka</w:t>
            </w:r>
          </w:p>
        </w:tc>
      </w:tr>
      <w:tr w:rsidR="003F2F6F" w:rsidRPr="00BD01C9" w14:paraId="629C8E81" w14:textId="77777777" w:rsidTr="00D43E06">
        <w:trPr>
          <w:trHeight w:val="38"/>
        </w:trPr>
        <w:tc>
          <w:tcPr>
            <w:tcW w:w="2268" w:type="dxa"/>
          </w:tcPr>
          <w:p w14:paraId="0DC65112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0C20D51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zahmlené videnie, diplopia</w:t>
            </w:r>
          </w:p>
        </w:tc>
      </w:tr>
      <w:tr w:rsidR="003F2F6F" w:rsidRPr="00BD01C9" w14:paraId="0E9D9117" w14:textId="77777777" w:rsidTr="00D43E06">
        <w:trPr>
          <w:trHeight w:val="38"/>
        </w:trPr>
        <w:tc>
          <w:tcPr>
            <w:tcW w:w="2268" w:type="dxa"/>
          </w:tcPr>
          <w:p w14:paraId="2B13C3F4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051405B" w14:textId="77777777" w:rsidR="00444C1E" w:rsidRPr="00BD01C9" w:rsidRDefault="00444C1E" w:rsidP="00D43E06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strata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periférneho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videnia, poruchy videnia, opuch očí, defekty</w:t>
            </w:r>
          </w:p>
          <w:p w14:paraId="381EBF4C" w14:textId="77777777" w:rsidR="003F2F6F" w:rsidRPr="00BD01C9" w:rsidRDefault="00444C1E" w:rsidP="00D43E06">
            <w:pPr>
              <w:spacing w:before="6"/>
              <w:ind w:right="386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zornom poli, zníženie zrakovej ostrosti, bolesti oka, astenopia, fotopsia, suché oči, zvýšená lakrimácia, podráždenie očí</w:t>
            </w:r>
          </w:p>
        </w:tc>
      </w:tr>
      <w:tr w:rsidR="003F2F6F" w:rsidRPr="00BD01C9" w14:paraId="3BA61AF1" w14:textId="77777777" w:rsidTr="00D43E06">
        <w:trPr>
          <w:trHeight w:val="38"/>
        </w:trPr>
        <w:tc>
          <w:tcPr>
            <w:tcW w:w="2268" w:type="dxa"/>
          </w:tcPr>
          <w:p w14:paraId="4DD3E7F6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5576A294" w14:textId="77777777" w:rsidR="00444C1E" w:rsidRPr="00BD01C9" w:rsidRDefault="00444C1E" w:rsidP="00D43E06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strata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zraku, </w:t>
            </w:r>
            <w:r w:rsidRPr="00BD01C9">
              <w:rPr>
                <w:spacing w:val="1"/>
                <w:sz w:val="22"/>
              </w:rPr>
              <w:t>keratitíd</w:t>
            </w:r>
            <w:r w:rsidRPr="00BD01C9">
              <w:rPr>
                <w:sz w:val="22"/>
              </w:rPr>
              <w:t>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oscilopsia, porušené hĺbkové videnie,</w:t>
            </w:r>
          </w:p>
          <w:p w14:paraId="4347FC47" w14:textId="77777777" w:rsidR="003F2F6F" w:rsidRPr="00BD01C9" w:rsidRDefault="00444C1E" w:rsidP="00784C33">
            <w:pPr>
              <w:tabs>
                <w:tab w:val="left" w:pos="2800"/>
              </w:tabs>
              <w:ind w:right="594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mydriáza, strabizmus, </w:t>
            </w:r>
            <w:r w:rsidR="00784C33" w:rsidRPr="00BD01C9">
              <w:rPr>
                <w:sz w:val="22"/>
                <w:szCs w:val="22"/>
              </w:rPr>
              <w:t>zmeny v jase obrazu</w:t>
            </w:r>
          </w:p>
        </w:tc>
      </w:tr>
      <w:tr w:rsidR="003F2F6F" w:rsidRPr="00BD01C9" w14:paraId="1BB643D1" w14:textId="77777777" w:rsidTr="00D43E06">
        <w:trPr>
          <w:trHeight w:val="38"/>
        </w:trPr>
        <w:tc>
          <w:tcPr>
            <w:tcW w:w="9179" w:type="dxa"/>
            <w:gridSpan w:val="2"/>
          </w:tcPr>
          <w:p w14:paraId="6E645FA6" w14:textId="77777777" w:rsidR="003F2F6F" w:rsidRPr="00BD01C9" w:rsidRDefault="003F2F6F" w:rsidP="00642CF4">
            <w:pPr>
              <w:keepNext/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ucha a labyrintu</w:t>
            </w:r>
          </w:p>
        </w:tc>
      </w:tr>
      <w:tr w:rsidR="003F2F6F" w:rsidRPr="00BD01C9" w14:paraId="0788375F" w14:textId="77777777" w:rsidTr="00D43E06">
        <w:trPr>
          <w:trHeight w:val="115"/>
        </w:trPr>
        <w:tc>
          <w:tcPr>
            <w:tcW w:w="2268" w:type="dxa"/>
          </w:tcPr>
          <w:p w14:paraId="3A545A9B" w14:textId="77777777" w:rsidR="003F2F6F" w:rsidRPr="00BD01C9" w:rsidRDefault="003F2F6F" w:rsidP="00642CF4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Časté </w:t>
            </w:r>
          </w:p>
        </w:tc>
        <w:tc>
          <w:tcPr>
            <w:tcW w:w="6911" w:type="dxa"/>
          </w:tcPr>
          <w:p w14:paraId="5124B03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v</w:t>
            </w:r>
            <w:r w:rsidR="003F2F6F" w:rsidRPr="00BD01C9">
              <w:rPr>
                <w:sz w:val="22"/>
                <w:szCs w:val="22"/>
              </w:rPr>
              <w:t>ertigo</w:t>
            </w:r>
          </w:p>
        </w:tc>
      </w:tr>
      <w:tr w:rsidR="003F2F6F" w:rsidRPr="00BD01C9" w14:paraId="7CBCDE9A" w14:textId="77777777" w:rsidTr="00D43E06">
        <w:trPr>
          <w:trHeight w:val="115"/>
        </w:trPr>
        <w:tc>
          <w:tcPr>
            <w:tcW w:w="2268" w:type="dxa"/>
          </w:tcPr>
          <w:p w14:paraId="0FC0FCC0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ACFEEE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hyperakúzia</w:t>
            </w:r>
          </w:p>
        </w:tc>
      </w:tr>
      <w:tr w:rsidR="003F2F6F" w:rsidRPr="00BD01C9" w14:paraId="77B8F1C7" w14:textId="77777777" w:rsidTr="00D43E06">
        <w:trPr>
          <w:trHeight w:val="77"/>
        </w:trPr>
        <w:tc>
          <w:tcPr>
            <w:tcW w:w="2268" w:type="dxa"/>
          </w:tcPr>
          <w:p w14:paraId="74B4BABF" w14:textId="77777777" w:rsidR="003F2F6F" w:rsidRPr="00BD01C9" w:rsidRDefault="003F2F6F" w:rsidP="00BD01C9">
            <w:pPr>
              <w:keepNext/>
              <w:widowControl w:val="0"/>
              <w:tabs>
                <w:tab w:val="center" w:pos="4536"/>
                <w:tab w:val="right" w:pos="9072"/>
              </w:tabs>
              <w:rPr>
                <w:b/>
                <w:noProof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srdca a srdcovej činnosti</w:t>
            </w:r>
          </w:p>
        </w:tc>
        <w:tc>
          <w:tcPr>
            <w:tcW w:w="6911" w:type="dxa"/>
          </w:tcPr>
          <w:p w14:paraId="546D1484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</w:p>
        </w:tc>
      </w:tr>
      <w:tr w:rsidR="003F2F6F" w:rsidRPr="00BD01C9" w14:paraId="6AB0053F" w14:textId="77777777" w:rsidTr="00D43E06">
        <w:trPr>
          <w:trHeight w:val="77"/>
        </w:trPr>
        <w:tc>
          <w:tcPr>
            <w:tcW w:w="2268" w:type="dxa"/>
          </w:tcPr>
          <w:p w14:paraId="0D2059BB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D1F06EB" w14:textId="77777777" w:rsidR="00B9737A" w:rsidRPr="00BD01C9" w:rsidRDefault="00B9737A" w:rsidP="00BD01C9">
            <w:pPr>
              <w:keepNext/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pacing w:val="1"/>
                <w:sz w:val="22"/>
                <w:szCs w:val="22"/>
              </w:rPr>
              <w:t>t</w:t>
            </w:r>
            <w:r w:rsidRPr="00BD01C9">
              <w:rPr>
                <w:sz w:val="22"/>
                <w:szCs w:val="22"/>
              </w:rPr>
              <w:t xml:space="preserve">achykardia, </w:t>
            </w:r>
            <w:r w:rsidR="00324C32" w:rsidRPr="00BD01C9">
              <w:rPr>
                <w:sz w:val="22"/>
                <w:szCs w:val="22"/>
              </w:rPr>
              <w:t>atrioventrikulárna</w:t>
            </w:r>
            <w:r w:rsidRPr="00BD01C9">
              <w:rPr>
                <w:sz w:val="22"/>
                <w:szCs w:val="22"/>
              </w:rPr>
              <w:t xml:space="preserve"> blokáda 1. </w:t>
            </w:r>
            <w:r w:rsidRPr="00BD01C9">
              <w:rPr>
                <w:spacing w:val="1"/>
                <w:sz w:val="22"/>
                <w:szCs w:val="22"/>
              </w:rPr>
              <w:t>s</w:t>
            </w:r>
            <w:r w:rsidRPr="00BD01C9">
              <w:rPr>
                <w:sz w:val="22"/>
                <w:szCs w:val="22"/>
              </w:rPr>
              <w:t>tupňa, sínuso</w:t>
            </w:r>
            <w:r w:rsidRPr="00BD01C9">
              <w:rPr>
                <w:spacing w:val="-2"/>
                <w:sz w:val="22"/>
                <w:szCs w:val="22"/>
              </w:rPr>
              <w:t>v</w:t>
            </w:r>
            <w:r w:rsidRPr="00BD01C9">
              <w:rPr>
                <w:sz w:val="22"/>
                <w:szCs w:val="22"/>
              </w:rPr>
              <w:t>á bradykardia,</w:t>
            </w:r>
          </w:p>
          <w:p w14:paraId="1A5930C0" w14:textId="77777777" w:rsidR="003F2F6F" w:rsidRPr="00BD01C9" w:rsidRDefault="00B9737A" w:rsidP="00BD01C9">
            <w:pPr>
              <w:keepNext/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</w:rPr>
              <w:t>kongestívne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srdcové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zlyhávanie</w:t>
            </w:r>
          </w:p>
        </w:tc>
      </w:tr>
      <w:tr w:rsidR="003F2F6F" w:rsidRPr="00BD01C9" w14:paraId="1E1D45A5" w14:textId="77777777" w:rsidTr="00D43E06">
        <w:trPr>
          <w:trHeight w:val="77"/>
        </w:trPr>
        <w:tc>
          <w:tcPr>
            <w:tcW w:w="2268" w:type="dxa"/>
          </w:tcPr>
          <w:p w14:paraId="7DC6375F" w14:textId="77777777" w:rsidR="003F2F6F" w:rsidRPr="00BD01C9" w:rsidRDefault="003F2F6F" w:rsidP="00BD01C9">
            <w:pPr>
              <w:keepNext/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38473086" w14:textId="77777777" w:rsidR="003F2F6F" w:rsidRPr="00BD01C9" w:rsidRDefault="00B9737A" w:rsidP="00BD01C9">
            <w:pPr>
              <w:keepNext/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QT</w:t>
            </w:r>
            <w:r w:rsidR="00CF7EA8" w:rsidRPr="00BD01C9">
              <w:rPr>
                <w:sz w:val="22"/>
              </w:rPr>
              <w:t xml:space="preserve"> predĺženie</w:t>
            </w:r>
            <w:r w:rsidRPr="00BD01C9">
              <w:rPr>
                <w:sz w:val="22"/>
                <w:szCs w:val="22"/>
              </w:rPr>
              <w:t>, sínusová tachykardia, sínusová arytmia</w:t>
            </w:r>
          </w:p>
        </w:tc>
      </w:tr>
      <w:tr w:rsidR="003F2F6F" w:rsidRPr="00BD01C9" w14:paraId="4495A099" w14:textId="77777777" w:rsidTr="00D43E06">
        <w:trPr>
          <w:trHeight w:val="77"/>
        </w:trPr>
        <w:tc>
          <w:tcPr>
            <w:tcW w:w="9179" w:type="dxa"/>
            <w:gridSpan w:val="2"/>
          </w:tcPr>
          <w:p w14:paraId="640590EC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ciev</w:t>
            </w:r>
          </w:p>
        </w:tc>
      </w:tr>
      <w:tr w:rsidR="003F2F6F" w:rsidRPr="00BD01C9" w14:paraId="6EBD5D31" w14:textId="77777777" w:rsidTr="00D43E06">
        <w:trPr>
          <w:trHeight w:val="77"/>
        </w:trPr>
        <w:tc>
          <w:tcPr>
            <w:tcW w:w="2268" w:type="dxa"/>
          </w:tcPr>
          <w:p w14:paraId="3B3EF8E1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9DEADC5" w14:textId="77777777" w:rsidR="003F2F6F" w:rsidRPr="00BD01C9" w:rsidRDefault="00B9737A" w:rsidP="00D43E06">
            <w:pPr>
              <w:tabs>
                <w:tab w:val="left" w:pos="2800"/>
              </w:tabs>
              <w:spacing w:before="1"/>
              <w:ind w:right="313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hypotenzia, hypertenzia, návaly horúčav</w:t>
            </w:r>
            <w:r w:rsidRPr="00BD01C9">
              <w:rPr>
                <w:spacing w:val="-3"/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>, sčervenenie, periférny 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chladu</w:t>
            </w:r>
          </w:p>
        </w:tc>
      </w:tr>
      <w:tr w:rsidR="003F2F6F" w:rsidRPr="00BD01C9" w14:paraId="19B576AA" w14:textId="77777777" w:rsidTr="00D43E06">
        <w:trPr>
          <w:trHeight w:val="77"/>
        </w:trPr>
        <w:tc>
          <w:tcPr>
            <w:tcW w:w="9179" w:type="dxa"/>
            <w:gridSpan w:val="2"/>
          </w:tcPr>
          <w:p w14:paraId="71AD201A" w14:textId="77777777" w:rsidR="003F2F6F" w:rsidRPr="00BD01C9" w:rsidRDefault="003F2F6F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sz w:val="22"/>
                <w:szCs w:val="22"/>
              </w:rPr>
              <w:t>Poruchy dýchacej sústavy, hrudníka a mediastína</w:t>
            </w:r>
          </w:p>
        </w:tc>
      </w:tr>
      <w:tr w:rsidR="003F2F6F" w:rsidRPr="00BD01C9" w14:paraId="719C492D" w14:textId="77777777" w:rsidTr="00D43E06">
        <w:trPr>
          <w:trHeight w:val="151"/>
        </w:trPr>
        <w:tc>
          <w:tcPr>
            <w:tcW w:w="2268" w:type="dxa"/>
          </w:tcPr>
          <w:p w14:paraId="61961CE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6E02FF2" w14:textId="28F71ADB" w:rsidR="003F2F6F" w:rsidRPr="00BD01C9" w:rsidRDefault="00B9737A" w:rsidP="009F07C0">
            <w:pPr>
              <w:tabs>
                <w:tab w:val="left" w:pos="2800"/>
              </w:tabs>
              <w:spacing w:before="1"/>
              <w:ind w:right="229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dyspnoe, epistax</w:t>
            </w:r>
            <w:r w:rsidRPr="00BD01C9">
              <w:rPr>
                <w:spacing w:val="1"/>
                <w:sz w:val="22"/>
                <w:szCs w:val="22"/>
              </w:rPr>
              <w:t>a</w:t>
            </w:r>
            <w:r w:rsidRPr="00BD01C9">
              <w:rPr>
                <w:sz w:val="22"/>
                <w:szCs w:val="22"/>
              </w:rPr>
              <w:t>, kaše</w:t>
            </w:r>
            <w:r w:rsidRPr="00BD01C9">
              <w:rPr>
                <w:spacing w:val="-1"/>
                <w:sz w:val="22"/>
                <w:szCs w:val="22"/>
              </w:rPr>
              <w:t>ľ</w:t>
            </w:r>
            <w:r w:rsidRPr="00BD01C9">
              <w:rPr>
                <w:sz w:val="22"/>
                <w:szCs w:val="22"/>
              </w:rPr>
              <w:t>, upchatie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nosa, rinitída,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chrápanie, </w:t>
            </w:r>
            <w:r w:rsidR="00DB18E8" w:rsidRPr="00BD01C9">
              <w:rPr>
                <w:sz w:val="22"/>
                <w:szCs w:val="22"/>
              </w:rPr>
              <w:t>sucho v</w:t>
            </w:r>
            <w:r w:rsidR="00784C33" w:rsidRPr="00BD01C9">
              <w:rPr>
                <w:sz w:val="22"/>
                <w:szCs w:val="22"/>
              </w:rPr>
              <w:t xml:space="preserve"> nose</w:t>
            </w:r>
          </w:p>
        </w:tc>
      </w:tr>
      <w:tr w:rsidR="003F2F6F" w:rsidRPr="00BD01C9" w14:paraId="0292197A" w14:textId="77777777" w:rsidTr="00D43E06">
        <w:trPr>
          <w:trHeight w:val="151"/>
        </w:trPr>
        <w:tc>
          <w:tcPr>
            <w:tcW w:w="2268" w:type="dxa"/>
          </w:tcPr>
          <w:p w14:paraId="13B043A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6C1F29C3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pľúcny edé</w:t>
            </w:r>
            <w:r w:rsidRPr="00BD01C9">
              <w:rPr>
                <w:spacing w:val="-1"/>
                <w:sz w:val="22"/>
              </w:rPr>
              <w:t>m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zovreté hrdlo</w:t>
            </w:r>
          </w:p>
        </w:tc>
      </w:tr>
      <w:tr w:rsidR="003F2F6F" w:rsidRPr="00BD01C9" w14:paraId="152FC6ED" w14:textId="77777777" w:rsidTr="00D43E06">
        <w:trPr>
          <w:trHeight w:val="77"/>
        </w:trPr>
        <w:tc>
          <w:tcPr>
            <w:tcW w:w="9179" w:type="dxa"/>
            <w:gridSpan w:val="2"/>
          </w:tcPr>
          <w:p w14:paraId="39E805B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gastrointestinálneho traktu</w:t>
            </w:r>
          </w:p>
        </w:tc>
      </w:tr>
      <w:tr w:rsidR="003F2F6F" w:rsidRPr="00BD01C9" w14:paraId="4E809311" w14:textId="77777777" w:rsidTr="00D43E06">
        <w:trPr>
          <w:trHeight w:val="77"/>
        </w:trPr>
        <w:tc>
          <w:tcPr>
            <w:tcW w:w="2268" w:type="dxa"/>
          </w:tcPr>
          <w:p w14:paraId="64EF383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84D09DF" w14:textId="77777777" w:rsidR="003F2F6F" w:rsidRPr="00BD01C9" w:rsidRDefault="00B9737A" w:rsidP="00996DF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vracanie, </w:t>
            </w:r>
            <w:r w:rsidRPr="00BD01C9">
              <w:rPr>
                <w:sz w:val="22"/>
              </w:rPr>
              <w:t xml:space="preserve">nauzea, </w:t>
            </w:r>
            <w:r w:rsidR="00996DFD" w:rsidRPr="00BD01C9">
              <w:rPr>
                <w:sz w:val="22"/>
                <w:szCs w:val="22"/>
              </w:rPr>
              <w:t>zápcha</w:t>
            </w:r>
            <w:r w:rsidRPr="00BD01C9">
              <w:rPr>
                <w:sz w:val="22"/>
                <w:szCs w:val="22"/>
              </w:rPr>
              <w:t>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 xml:space="preserve">hnačka, </w:t>
            </w:r>
            <w:r w:rsidRPr="00BD01C9">
              <w:rPr>
                <w:spacing w:val="1"/>
                <w:sz w:val="22"/>
                <w:szCs w:val="22"/>
              </w:rPr>
              <w:t>flatulenci</w:t>
            </w:r>
            <w:r w:rsidRPr="00BD01C9">
              <w:rPr>
                <w:sz w:val="22"/>
                <w:szCs w:val="22"/>
              </w:rPr>
              <w:t>a, abdominálna distenzia, sucho v ústach</w:t>
            </w:r>
          </w:p>
        </w:tc>
      </w:tr>
      <w:tr w:rsidR="003F2F6F" w:rsidRPr="00BD01C9" w14:paraId="36BAC5CD" w14:textId="77777777" w:rsidTr="00D43E06">
        <w:trPr>
          <w:trHeight w:val="77"/>
        </w:trPr>
        <w:tc>
          <w:tcPr>
            <w:tcW w:w="2268" w:type="dxa"/>
          </w:tcPr>
          <w:p w14:paraId="3596D1F6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6019B96" w14:textId="77777777" w:rsidR="003F2F6F" w:rsidRPr="00BD01C9" w:rsidRDefault="00B9737A" w:rsidP="00996DFD">
            <w:pPr>
              <w:tabs>
                <w:tab w:val="left" w:pos="2800"/>
              </w:tabs>
              <w:ind w:right="37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gastroezofageálna reflux</w:t>
            </w:r>
            <w:r w:rsidR="00996DFD" w:rsidRPr="00BD01C9">
              <w:rPr>
                <w:sz w:val="22"/>
                <w:szCs w:val="22"/>
              </w:rPr>
              <w:t>n</w:t>
            </w:r>
            <w:r w:rsidRPr="00BD01C9">
              <w:rPr>
                <w:sz w:val="22"/>
                <w:szCs w:val="22"/>
              </w:rPr>
              <w:t xml:space="preserve">á choroba, zvýšená </w:t>
            </w:r>
            <w:r w:rsidR="00996DFD" w:rsidRPr="00BD01C9">
              <w:rPr>
                <w:sz w:val="22"/>
                <w:szCs w:val="22"/>
              </w:rPr>
              <w:t>sekrécia slín</w:t>
            </w:r>
            <w:r w:rsidRPr="00BD01C9">
              <w:rPr>
                <w:sz w:val="22"/>
                <w:szCs w:val="22"/>
              </w:rPr>
              <w:t>, znížená citlivosť v ústach</w:t>
            </w:r>
          </w:p>
        </w:tc>
      </w:tr>
      <w:tr w:rsidR="003F2F6F" w:rsidRPr="00BD01C9" w14:paraId="2DE25B6D" w14:textId="77777777" w:rsidTr="00D43E06">
        <w:trPr>
          <w:trHeight w:val="77"/>
        </w:trPr>
        <w:tc>
          <w:tcPr>
            <w:tcW w:w="2268" w:type="dxa"/>
          </w:tcPr>
          <w:p w14:paraId="36430A23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4E8B130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ascites,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 xml:space="preserve">pankreatitída, </w:t>
            </w:r>
            <w:r w:rsidRPr="00BD01C9">
              <w:rPr>
                <w:sz w:val="22"/>
              </w:rPr>
              <w:t>opuchnutý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 xml:space="preserve">jazyk, </w:t>
            </w:r>
            <w:r w:rsidRPr="00BD01C9">
              <w:rPr>
                <w:sz w:val="22"/>
                <w:szCs w:val="22"/>
              </w:rPr>
              <w:t>dysfágia</w:t>
            </w:r>
          </w:p>
        </w:tc>
      </w:tr>
      <w:tr w:rsidR="00945C44" w:rsidRPr="00BD01C9" w14:paraId="7F0C8A30" w14:textId="77777777" w:rsidTr="00E64BCD">
        <w:trPr>
          <w:trHeight w:val="118"/>
        </w:trPr>
        <w:tc>
          <w:tcPr>
            <w:tcW w:w="9179" w:type="dxa"/>
            <w:gridSpan w:val="2"/>
          </w:tcPr>
          <w:p w14:paraId="0F1DA340" w14:textId="77777777" w:rsidR="00945C44" w:rsidRPr="00BD01C9" w:rsidRDefault="00945C44" w:rsidP="00945C44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pečene a žlčových ciest</w:t>
            </w:r>
          </w:p>
        </w:tc>
      </w:tr>
      <w:tr w:rsidR="00945C44" w:rsidRPr="00BD01C9" w14:paraId="2FC55B04" w14:textId="77777777" w:rsidTr="00E64BCD">
        <w:trPr>
          <w:trHeight w:val="115"/>
        </w:trPr>
        <w:tc>
          <w:tcPr>
            <w:tcW w:w="2268" w:type="dxa"/>
          </w:tcPr>
          <w:p w14:paraId="1F1E5FA1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6B4777A1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zvýšené hodnoty pečeňových enzýmov⃰</w:t>
            </w:r>
          </w:p>
        </w:tc>
      </w:tr>
      <w:tr w:rsidR="00945C44" w:rsidRPr="00BD01C9" w14:paraId="126B5004" w14:textId="77777777" w:rsidTr="00E64BCD">
        <w:trPr>
          <w:trHeight w:val="115"/>
        </w:trPr>
        <w:tc>
          <w:tcPr>
            <w:tcW w:w="2268" w:type="dxa"/>
          </w:tcPr>
          <w:p w14:paraId="41418849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A163E93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žltačka</w:t>
            </w:r>
          </w:p>
        </w:tc>
      </w:tr>
      <w:tr w:rsidR="00945C44" w:rsidRPr="00BD01C9" w14:paraId="1C9F90F5" w14:textId="77777777" w:rsidTr="00E64BCD">
        <w:trPr>
          <w:trHeight w:val="115"/>
        </w:trPr>
        <w:tc>
          <w:tcPr>
            <w:tcW w:w="2268" w:type="dxa"/>
          </w:tcPr>
          <w:p w14:paraId="39E96F49" w14:textId="77777777" w:rsidR="00945C44" w:rsidRPr="00BD01C9" w:rsidRDefault="00945C44" w:rsidP="00945C44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Veľmi zriedkavé </w:t>
            </w:r>
          </w:p>
        </w:tc>
        <w:tc>
          <w:tcPr>
            <w:tcW w:w="6911" w:type="dxa"/>
          </w:tcPr>
          <w:p w14:paraId="4B5F2873" w14:textId="77777777" w:rsidR="00945C44" w:rsidRPr="00BD01C9" w:rsidRDefault="00945C44" w:rsidP="00E64BCD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zlyhanie pečene, hepatitída</w:t>
            </w:r>
          </w:p>
        </w:tc>
      </w:tr>
      <w:tr w:rsidR="003F2F6F" w:rsidRPr="00BD01C9" w14:paraId="4F3EA707" w14:textId="77777777" w:rsidTr="00D43E06">
        <w:trPr>
          <w:trHeight w:val="118"/>
        </w:trPr>
        <w:tc>
          <w:tcPr>
            <w:tcW w:w="9179" w:type="dxa"/>
            <w:gridSpan w:val="2"/>
          </w:tcPr>
          <w:p w14:paraId="5FDA2808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</w:tr>
      <w:tr w:rsidR="003F2F6F" w:rsidRPr="00BD01C9" w14:paraId="78C4CCCD" w14:textId="77777777" w:rsidTr="00D43E06">
        <w:trPr>
          <w:trHeight w:val="115"/>
        </w:trPr>
        <w:tc>
          <w:tcPr>
            <w:tcW w:w="2268" w:type="dxa"/>
          </w:tcPr>
          <w:p w14:paraId="319A958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266472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papulózny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exantém,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žihľavka, hyperhidró</w:t>
            </w:r>
            <w:r w:rsidRPr="00BD01C9">
              <w:rPr>
                <w:spacing w:val="-1"/>
                <w:sz w:val="22"/>
                <w:szCs w:val="22"/>
              </w:rPr>
              <w:t>za</w:t>
            </w:r>
            <w:r w:rsidRPr="00BD01C9">
              <w:rPr>
                <w:sz w:val="22"/>
                <w:szCs w:val="22"/>
              </w:rPr>
              <w:t xml:space="preserve">, </w:t>
            </w:r>
            <w:r w:rsidRPr="00BD01C9">
              <w:rPr>
                <w:sz w:val="22"/>
              </w:rPr>
              <w:t>pruritus</w:t>
            </w:r>
          </w:p>
        </w:tc>
      </w:tr>
      <w:tr w:rsidR="003F2F6F" w:rsidRPr="00BD01C9" w14:paraId="0CCFC476" w14:textId="77777777" w:rsidTr="00D43E06">
        <w:trPr>
          <w:trHeight w:val="115"/>
        </w:trPr>
        <w:tc>
          <w:tcPr>
            <w:tcW w:w="2268" w:type="dxa"/>
          </w:tcPr>
          <w:p w14:paraId="30F1DDA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49D1B313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</w:rPr>
              <w:t>Stevensov</w:t>
            </w:r>
            <w:r w:rsidRPr="00BD01C9">
              <w:rPr>
                <w:spacing w:val="1"/>
                <w:sz w:val="22"/>
              </w:rPr>
              <w:t>-</w:t>
            </w:r>
            <w:r w:rsidRPr="00BD01C9">
              <w:rPr>
                <w:sz w:val="22"/>
              </w:rPr>
              <w:t>Johnsonov syndró</w:t>
            </w:r>
            <w:r w:rsidRPr="00BD01C9">
              <w:rPr>
                <w:spacing w:val="-1"/>
                <w:sz w:val="22"/>
              </w:rPr>
              <w:t>m</w:t>
            </w:r>
            <w:r w:rsidRPr="00BD01C9">
              <w:rPr>
                <w:sz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studený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pot</w:t>
            </w:r>
          </w:p>
        </w:tc>
      </w:tr>
      <w:tr w:rsidR="003F2F6F" w:rsidRPr="00BD01C9" w14:paraId="2525CF6C" w14:textId="77777777" w:rsidTr="00D43E06">
        <w:trPr>
          <w:trHeight w:val="118"/>
        </w:trPr>
        <w:tc>
          <w:tcPr>
            <w:tcW w:w="9179" w:type="dxa"/>
            <w:gridSpan w:val="2"/>
          </w:tcPr>
          <w:p w14:paraId="19B08D34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kostrovej a svalovej sústavy a spojivového tkaniva</w:t>
            </w:r>
          </w:p>
        </w:tc>
      </w:tr>
      <w:tr w:rsidR="003F2F6F" w:rsidRPr="00BD01C9" w14:paraId="3455D186" w14:textId="77777777" w:rsidTr="00D43E06">
        <w:trPr>
          <w:trHeight w:val="115"/>
        </w:trPr>
        <w:tc>
          <w:tcPr>
            <w:tcW w:w="2268" w:type="dxa"/>
          </w:tcPr>
          <w:p w14:paraId="3693194F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443EB295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svalové kŕče, artralgia, bolesti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chrbta,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bolesti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končatinách, cervikálny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spazmus</w:t>
            </w:r>
          </w:p>
        </w:tc>
      </w:tr>
      <w:tr w:rsidR="003F2F6F" w:rsidRPr="00BD01C9" w14:paraId="72594201" w14:textId="77777777" w:rsidTr="00D43E06">
        <w:trPr>
          <w:trHeight w:val="115"/>
        </w:trPr>
        <w:tc>
          <w:tcPr>
            <w:tcW w:w="2268" w:type="dxa"/>
          </w:tcPr>
          <w:p w14:paraId="5B53E1E3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3C0DA3FF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opuch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kĺbov,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myalgia,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svalové zášklb</w:t>
            </w:r>
            <w:r w:rsidRPr="00BD01C9">
              <w:rPr>
                <w:spacing w:val="-3"/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 xml:space="preserve">, </w:t>
            </w:r>
            <w:r w:rsidRPr="00BD01C9">
              <w:rPr>
                <w:spacing w:val="1"/>
                <w:sz w:val="22"/>
                <w:szCs w:val="22"/>
              </w:rPr>
              <w:t>boles</w:t>
            </w:r>
            <w:r w:rsidRPr="00BD01C9">
              <w:rPr>
                <w:sz w:val="22"/>
                <w:szCs w:val="22"/>
              </w:rPr>
              <w:t>ť</w:t>
            </w:r>
            <w:r w:rsidRPr="00BD01C9">
              <w:rPr>
                <w:spacing w:val="1"/>
                <w:sz w:val="22"/>
                <w:szCs w:val="22"/>
              </w:rPr>
              <w:t xml:space="preserve"> šije</w:t>
            </w:r>
            <w:r w:rsidRPr="00BD01C9">
              <w:rPr>
                <w:sz w:val="22"/>
                <w:szCs w:val="22"/>
              </w:rPr>
              <w:t>, svalová stuhnutosť</w:t>
            </w:r>
          </w:p>
        </w:tc>
      </w:tr>
      <w:tr w:rsidR="003F2F6F" w:rsidRPr="00BD01C9" w14:paraId="0290F20E" w14:textId="77777777" w:rsidTr="00D43E06">
        <w:trPr>
          <w:trHeight w:val="115"/>
        </w:trPr>
        <w:tc>
          <w:tcPr>
            <w:tcW w:w="2268" w:type="dxa"/>
          </w:tcPr>
          <w:p w14:paraId="65460E6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BA48BB8" w14:textId="77777777" w:rsidR="003F2F6F" w:rsidRPr="00BD01C9" w:rsidRDefault="00B9737A" w:rsidP="00D43E06">
            <w:pPr>
              <w:tabs>
                <w:tab w:val="left" w:pos="2800"/>
              </w:tabs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rabdomyolýza</w:t>
            </w:r>
          </w:p>
        </w:tc>
      </w:tr>
      <w:tr w:rsidR="003F2F6F" w:rsidRPr="00BD01C9" w14:paraId="378FF4FC" w14:textId="77777777" w:rsidTr="00D43E06">
        <w:trPr>
          <w:trHeight w:val="118"/>
        </w:trPr>
        <w:tc>
          <w:tcPr>
            <w:tcW w:w="9179" w:type="dxa"/>
            <w:gridSpan w:val="2"/>
          </w:tcPr>
          <w:p w14:paraId="0DA2BF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obličiek a močových ciest</w:t>
            </w:r>
          </w:p>
        </w:tc>
      </w:tr>
      <w:tr w:rsidR="003F2F6F" w:rsidRPr="00BD01C9" w14:paraId="12F1DD80" w14:textId="77777777" w:rsidTr="00D43E06">
        <w:trPr>
          <w:trHeight w:val="115"/>
        </w:trPr>
        <w:tc>
          <w:tcPr>
            <w:tcW w:w="2268" w:type="dxa"/>
          </w:tcPr>
          <w:p w14:paraId="28B646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73B21C3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močová inkontinencia, dyzúria</w:t>
            </w:r>
          </w:p>
        </w:tc>
      </w:tr>
      <w:tr w:rsidR="003F2F6F" w:rsidRPr="00BD01C9" w14:paraId="38E9025C" w14:textId="77777777" w:rsidTr="00D43E06">
        <w:trPr>
          <w:trHeight w:val="115"/>
        </w:trPr>
        <w:tc>
          <w:tcPr>
            <w:tcW w:w="2268" w:type="dxa"/>
          </w:tcPr>
          <w:p w14:paraId="63CB37DD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062AF441" w14:textId="77777777" w:rsidR="003F2F6F" w:rsidRPr="00BD01C9" w:rsidRDefault="00B9737A" w:rsidP="00CF7EA8">
            <w:pPr>
              <w:tabs>
                <w:tab w:val="left" w:pos="2800"/>
              </w:tabs>
              <w:spacing w:before="6"/>
              <w:ind w:right="-2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renálne zlyh</w:t>
            </w:r>
            <w:r w:rsidR="00CF7EA8" w:rsidRPr="00BD01C9">
              <w:rPr>
                <w:sz w:val="22"/>
                <w:szCs w:val="22"/>
              </w:rPr>
              <w:t>á</w:t>
            </w:r>
            <w:r w:rsidRPr="00BD01C9">
              <w:rPr>
                <w:sz w:val="22"/>
                <w:szCs w:val="22"/>
              </w:rPr>
              <w:t>nie, oligúria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</w:rPr>
              <w:t>retencia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moču</w:t>
            </w:r>
          </w:p>
        </w:tc>
      </w:tr>
      <w:tr w:rsidR="003F2F6F" w:rsidRPr="00BD01C9" w14:paraId="17CDAE45" w14:textId="77777777" w:rsidTr="00D43E06">
        <w:trPr>
          <w:trHeight w:val="118"/>
        </w:trPr>
        <w:tc>
          <w:tcPr>
            <w:tcW w:w="9179" w:type="dxa"/>
            <w:gridSpan w:val="2"/>
          </w:tcPr>
          <w:p w14:paraId="5E0C455B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Poruchy reprodukčného systému a prsníkov</w:t>
            </w:r>
          </w:p>
        </w:tc>
      </w:tr>
      <w:tr w:rsidR="003F2F6F" w:rsidRPr="00BD01C9" w14:paraId="316608B0" w14:textId="77777777" w:rsidTr="00D43E06">
        <w:trPr>
          <w:trHeight w:val="115"/>
        </w:trPr>
        <w:tc>
          <w:tcPr>
            <w:tcW w:w="2268" w:type="dxa"/>
          </w:tcPr>
          <w:p w14:paraId="48A34A5C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3B68753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e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ektilná dysfunkcia</w:t>
            </w:r>
          </w:p>
        </w:tc>
      </w:tr>
      <w:tr w:rsidR="003F2F6F" w:rsidRPr="00BD01C9" w14:paraId="35B3066F" w14:textId="77777777" w:rsidTr="00D43E06">
        <w:trPr>
          <w:trHeight w:val="115"/>
        </w:trPr>
        <w:tc>
          <w:tcPr>
            <w:tcW w:w="2268" w:type="dxa"/>
          </w:tcPr>
          <w:p w14:paraId="326820E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5FC22284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sexuálna dysfunkcia, oneskorená ejakulácia, dysmenorea, bolesť prsníkov</w:t>
            </w:r>
          </w:p>
        </w:tc>
      </w:tr>
      <w:tr w:rsidR="003F2F6F" w:rsidRPr="00BD01C9" w14:paraId="18083B5C" w14:textId="77777777" w:rsidTr="00D43E06">
        <w:trPr>
          <w:trHeight w:val="115"/>
        </w:trPr>
        <w:tc>
          <w:tcPr>
            <w:tcW w:w="2268" w:type="dxa"/>
          </w:tcPr>
          <w:p w14:paraId="300A9A0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 xml:space="preserve">Zriedkavé </w:t>
            </w:r>
          </w:p>
        </w:tc>
        <w:tc>
          <w:tcPr>
            <w:tcW w:w="6911" w:type="dxa"/>
          </w:tcPr>
          <w:p w14:paraId="21C4DABD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amenorea, výtok z prsníkov, zväčšenie prsníko</w:t>
            </w:r>
            <w:r w:rsidRPr="00BD01C9">
              <w:rPr>
                <w:spacing w:val="-4"/>
                <w:sz w:val="22"/>
                <w:szCs w:val="22"/>
              </w:rPr>
              <w:t>v</w:t>
            </w:r>
            <w:r w:rsidRPr="00BD01C9">
              <w:rPr>
                <w:i/>
                <w:sz w:val="22"/>
                <w:szCs w:val="22"/>
              </w:rPr>
              <w:t>,</w:t>
            </w:r>
            <w:r w:rsidRPr="00BD01C9">
              <w:rPr>
                <w:i/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</w:rPr>
              <w:t>gynekomastia</w:t>
            </w:r>
          </w:p>
        </w:tc>
      </w:tr>
      <w:tr w:rsidR="003F2F6F" w:rsidRPr="00BD01C9" w14:paraId="5CAB40A7" w14:textId="77777777" w:rsidTr="00D43E06">
        <w:trPr>
          <w:trHeight w:val="155"/>
        </w:trPr>
        <w:tc>
          <w:tcPr>
            <w:tcW w:w="9179" w:type="dxa"/>
            <w:gridSpan w:val="2"/>
          </w:tcPr>
          <w:p w14:paraId="0EDA02D4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Celkové poruchy a reakcie v mieste podania</w:t>
            </w:r>
          </w:p>
        </w:tc>
      </w:tr>
      <w:tr w:rsidR="003F2F6F" w:rsidRPr="00BD01C9" w14:paraId="5A28DE62" w14:textId="77777777" w:rsidTr="00D43E06">
        <w:trPr>
          <w:trHeight w:val="151"/>
        </w:trPr>
        <w:tc>
          <w:tcPr>
            <w:tcW w:w="2268" w:type="dxa"/>
          </w:tcPr>
          <w:p w14:paraId="30DC2501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08846524" w14:textId="77777777" w:rsidR="003F2F6F" w:rsidRPr="00BD01C9" w:rsidRDefault="00B9737A" w:rsidP="00996DFD">
            <w:pPr>
              <w:tabs>
                <w:tab w:val="left" w:pos="2840"/>
              </w:tabs>
              <w:spacing w:before="1"/>
              <w:ind w:right="121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periférny edém, edém, abnor</w:t>
            </w:r>
            <w:r w:rsidRPr="00BD01C9">
              <w:rPr>
                <w:spacing w:val="-5"/>
                <w:sz w:val="22"/>
                <w:szCs w:val="22"/>
              </w:rPr>
              <w:t>m</w:t>
            </w:r>
            <w:r w:rsidRPr="00BD01C9">
              <w:rPr>
                <w:sz w:val="22"/>
                <w:szCs w:val="22"/>
              </w:rPr>
              <w:t>álna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chôdza,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</w:t>
            </w:r>
            <w:r w:rsidR="00996DFD" w:rsidRPr="00BD01C9">
              <w:rPr>
                <w:sz w:val="22"/>
                <w:szCs w:val="22"/>
              </w:rPr>
              <w:t>á</w:t>
            </w:r>
            <w:r w:rsidRPr="00BD01C9">
              <w:rPr>
                <w:sz w:val="22"/>
                <w:szCs w:val="22"/>
              </w:rPr>
              <w:t>d</w:t>
            </w:r>
            <w:r w:rsidR="00996DFD" w:rsidRPr="00BD01C9">
              <w:rPr>
                <w:sz w:val="22"/>
                <w:szCs w:val="22"/>
              </w:rPr>
              <w:t>y</w:t>
            </w:r>
            <w:r w:rsidRPr="00BD01C9">
              <w:rPr>
                <w:sz w:val="22"/>
                <w:szCs w:val="22"/>
              </w:rPr>
              <w:t>,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opitosti, abnormálny pocit, únava</w:t>
            </w:r>
          </w:p>
        </w:tc>
      </w:tr>
      <w:tr w:rsidR="003F2F6F" w:rsidRPr="00BD01C9" w14:paraId="535933D1" w14:textId="77777777" w:rsidTr="00D43E06">
        <w:trPr>
          <w:trHeight w:val="151"/>
        </w:trPr>
        <w:tc>
          <w:tcPr>
            <w:tcW w:w="2268" w:type="dxa"/>
          </w:tcPr>
          <w:p w14:paraId="6CE83A4E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2411A0F9" w14:textId="77777777" w:rsidR="003F2F6F" w:rsidRPr="00BD01C9" w:rsidRDefault="00B9737A" w:rsidP="00D43E06">
            <w:pPr>
              <w:tabs>
                <w:tab w:val="left" w:pos="2920"/>
              </w:tabs>
              <w:spacing w:before="10"/>
              <w:ind w:right="780"/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 xml:space="preserve">generalizovaný edém, </w:t>
            </w:r>
            <w:r w:rsidRPr="00BD01C9">
              <w:rPr>
                <w:sz w:val="22"/>
              </w:rPr>
              <w:t>edém</w:t>
            </w:r>
            <w:r w:rsidRPr="00BD01C9">
              <w:rPr>
                <w:spacing w:val="1"/>
                <w:sz w:val="22"/>
              </w:rPr>
              <w:t xml:space="preserve"> </w:t>
            </w:r>
            <w:r w:rsidRPr="00BD01C9">
              <w:rPr>
                <w:sz w:val="22"/>
              </w:rPr>
              <w:t>tváre</w:t>
            </w:r>
            <w:r w:rsidRPr="00BD01C9">
              <w:rPr>
                <w:i/>
                <w:sz w:val="22"/>
                <w:szCs w:val="22"/>
              </w:rPr>
              <w:t xml:space="preserve">, </w:t>
            </w:r>
            <w:r w:rsidRPr="00BD01C9">
              <w:rPr>
                <w:sz w:val="22"/>
                <w:szCs w:val="22"/>
              </w:rPr>
              <w:t>pocit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napätia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na</w:t>
            </w:r>
            <w:r w:rsidRPr="00BD01C9">
              <w:rPr>
                <w:spacing w:val="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hrudníku, bolesť, pyrexia, smäd, triaška, asténia</w:t>
            </w:r>
          </w:p>
        </w:tc>
      </w:tr>
      <w:tr w:rsidR="003F2F6F" w:rsidRPr="00BD01C9" w14:paraId="62F9E758" w14:textId="77777777" w:rsidTr="00D43E06">
        <w:trPr>
          <w:trHeight w:val="41"/>
        </w:trPr>
        <w:tc>
          <w:tcPr>
            <w:tcW w:w="9179" w:type="dxa"/>
            <w:gridSpan w:val="2"/>
          </w:tcPr>
          <w:p w14:paraId="2025BE1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D01C9">
              <w:rPr>
                <w:b/>
                <w:noProof/>
                <w:sz w:val="22"/>
                <w:szCs w:val="22"/>
              </w:rPr>
              <w:t>Laboratórne a funkčné vyšetrenia</w:t>
            </w:r>
          </w:p>
        </w:tc>
      </w:tr>
      <w:tr w:rsidR="003F2F6F" w:rsidRPr="00BD01C9" w14:paraId="0D67256F" w14:textId="77777777" w:rsidTr="00D43E06">
        <w:trPr>
          <w:trHeight w:val="38"/>
        </w:trPr>
        <w:tc>
          <w:tcPr>
            <w:tcW w:w="2268" w:type="dxa"/>
          </w:tcPr>
          <w:p w14:paraId="282D1242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Časté</w:t>
            </w:r>
          </w:p>
        </w:tc>
        <w:tc>
          <w:tcPr>
            <w:tcW w:w="6911" w:type="dxa"/>
          </w:tcPr>
          <w:p w14:paraId="6422280B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z w:val="22"/>
                <w:szCs w:val="22"/>
              </w:rPr>
              <w:t>zvýšená hmotnosť</w:t>
            </w:r>
          </w:p>
        </w:tc>
      </w:tr>
      <w:tr w:rsidR="003F2F6F" w:rsidRPr="00BD01C9" w14:paraId="2B7152E0" w14:textId="77777777" w:rsidTr="00D43E06">
        <w:trPr>
          <w:trHeight w:val="38"/>
        </w:trPr>
        <w:tc>
          <w:tcPr>
            <w:tcW w:w="2268" w:type="dxa"/>
          </w:tcPr>
          <w:p w14:paraId="4913DB55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Menej časté</w:t>
            </w:r>
          </w:p>
        </w:tc>
        <w:tc>
          <w:tcPr>
            <w:tcW w:w="6911" w:type="dxa"/>
          </w:tcPr>
          <w:p w14:paraId="19D214B6" w14:textId="2ACDFD08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spacing w:val="-1"/>
                <w:sz w:val="22"/>
                <w:szCs w:val="22"/>
              </w:rPr>
              <w:t>zvýšen</w:t>
            </w:r>
            <w:r w:rsidRPr="00BD01C9">
              <w:rPr>
                <w:sz w:val="22"/>
                <w:szCs w:val="22"/>
              </w:rPr>
              <w:t>á</w:t>
            </w:r>
            <w:r w:rsidRPr="00BD01C9">
              <w:rPr>
                <w:spacing w:val="-1"/>
                <w:sz w:val="22"/>
                <w:szCs w:val="22"/>
              </w:rPr>
              <w:t xml:space="preserve"> k</w:t>
            </w:r>
            <w:r w:rsidRPr="00BD01C9">
              <w:rPr>
                <w:spacing w:val="1"/>
                <w:sz w:val="22"/>
                <w:szCs w:val="22"/>
              </w:rPr>
              <w:t>r</w:t>
            </w:r>
            <w:r w:rsidRPr="00BD01C9">
              <w:rPr>
                <w:sz w:val="22"/>
                <w:szCs w:val="22"/>
              </w:rPr>
              <w:t>eatínfosfokináza v krvi, zvýšená glukóza v</w:t>
            </w:r>
            <w:r w:rsidRPr="00BD01C9">
              <w:rPr>
                <w:spacing w:val="-3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krvi,</w:t>
            </w:r>
            <w:r w:rsidRPr="00BD01C9">
              <w:rPr>
                <w:spacing w:val="-1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znížený počet trombocytov, zvýšený kreatinín v</w:t>
            </w:r>
            <w:r w:rsidRPr="00BD01C9">
              <w:rPr>
                <w:spacing w:val="-3"/>
                <w:sz w:val="22"/>
                <w:szCs w:val="22"/>
              </w:rPr>
              <w:t xml:space="preserve"> </w:t>
            </w:r>
            <w:r w:rsidRPr="00BD01C9">
              <w:rPr>
                <w:sz w:val="22"/>
                <w:szCs w:val="22"/>
              </w:rPr>
              <w:t>krvi, znížený draslík v</w:t>
            </w:r>
            <w:r w:rsidRPr="00BD01C9">
              <w:rPr>
                <w:spacing w:val="-2"/>
                <w:sz w:val="22"/>
                <w:szCs w:val="22"/>
              </w:rPr>
              <w:t xml:space="preserve"> </w:t>
            </w:r>
            <w:r w:rsidRPr="00BD01C9">
              <w:rPr>
                <w:spacing w:val="-1"/>
                <w:sz w:val="22"/>
                <w:szCs w:val="22"/>
              </w:rPr>
              <w:t xml:space="preserve">krvi, </w:t>
            </w:r>
            <w:r w:rsidRPr="00BD01C9">
              <w:rPr>
                <w:sz w:val="22"/>
                <w:szCs w:val="22"/>
              </w:rPr>
              <w:t>znížená hmotnosť</w:t>
            </w:r>
          </w:p>
        </w:tc>
      </w:tr>
      <w:tr w:rsidR="003F2F6F" w:rsidRPr="00BD01C9" w14:paraId="34732928" w14:textId="77777777" w:rsidTr="00D43E06">
        <w:trPr>
          <w:trHeight w:val="38"/>
        </w:trPr>
        <w:tc>
          <w:tcPr>
            <w:tcW w:w="2268" w:type="dxa"/>
          </w:tcPr>
          <w:p w14:paraId="35851D2A" w14:textId="77777777" w:rsidR="003F2F6F" w:rsidRPr="00BD01C9" w:rsidRDefault="00444C1E" w:rsidP="00D43E06">
            <w:pPr>
              <w:widowControl w:val="0"/>
              <w:tabs>
                <w:tab w:val="left" w:pos="567"/>
              </w:tabs>
              <w:ind w:firstLine="426"/>
              <w:rPr>
                <w:sz w:val="22"/>
                <w:szCs w:val="22"/>
              </w:rPr>
            </w:pPr>
            <w:r w:rsidRPr="00BD01C9">
              <w:rPr>
                <w:noProof/>
                <w:sz w:val="22"/>
                <w:szCs w:val="22"/>
              </w:rPr>
              <w:t>Zriedkavé</w:t>
            </w:r>
          </w:p>
        </w:tc>
        <w:tc>
          <w:tcPr>
            <w:tcW w:w="6911" w:type="dxa"/>
          </w:tcPr>
          <w:p w14:paraId="4EBC9A2A" w14:textId="77777777" w:rsidR="003F2F6F" w:rsidRPr="00BD01C9" w:rsidRDefault="00B9737A" w:rsidP="00D43E06">
            <w:pPr>
              <w:widowControl w:val="0"/>
              <w:tabs>
                <w:tab w:val="left" w:pos="567"/>
              </w:tabs>
              <w:rPr>
                <w:sz w:val="22"/>
                <w:szCs w:val="22"/>
              </w:rPr>
            </w:pPr>
            <w:r w:rsidRPr="00BD01C9">
              <w:rPr>
                <w:position w:val="-1"/>
                <w:sz w:val="22"/>
                <w:szCs w:val="22"/>
              </w:rPr>
              <w:t>znížený počet leukocytov v</w:t>
            </w:r>
            <w:r w:rsidRPr="00BD01C9">
              <w:rPr>
                <w:spacing w:val="-3"/>
                <w:position w:val="-1"/>
                <w:sz w:val="22"/>
                <w:szCs w:val="22"/>
              </w:rPr>
              <w:t xml:space="preserve"> </w:t>
            </w:r>
            <w:r w:rsidRPr="00BD01C9">
              <w:rPr>
                <w:spacing w:val="-1"/>
                <w:position w:val="-1"/>
                <w:sz w:val="22"/>
                <w:szCs w:val="22"/>
              </w:rPr>
              <w:t>krvi</w:t>
            </w:r>
          </w:p>
        </w:tc>
      </w:tr>
    </w:tbl>
    <w:p w14:paraId="3088BDED" w14:textId="77777777" w:rsidR="00B9737A" w:rsidRPr="00BD01C9" w:rsidRDefault="002267C9" w:rsidP="00D43E06">
      <w:pPr>
        <w:ind w:right="389"/>
        <w:rPr>
          <w:sz w:val="20"/>
          <w:szCs w:val="20"/>
        </w:rPr>
      </w:pPr>
      <w:r w:rsidRPr="00BD01C9">
        <w:rPr>
          <w:sz w:val="20"/>
          <w:szCs w:val="20"/>
        </w:rPr>
        <w:t>⃰ zvýšená alanínaminotransferáza (ALT) a zvýšená aspartátaminotransferáza (AST)</w:t>
      </w:r>
    </w:p>
    <w:p w14:paraId="7C4545BE" w14:textId="77777777" w:rsidR="00E34708" w:rsidRPr="00BD01C9" w:rsidRDefault="00E34708" w:rsidP="004960F4">
      <w:pPr>
        <w:rPr>
          <w:sz w:val="22"/>
          <w:szCs w:val="22"/>
        </w:rPr>
      </w:pPr>
    </w:p>
    <w:p w14:paraId="052FD428" w14:textId="19A223D4" w:rsidR="00B9737A" w:rsidRPr="00BD01C9" w:rsidRDefault="00B9737A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Po ukončení krátkodobej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dlhodobej liečby pregabalínom sa u niektorých pacientov pozorovali abstinenčné príznaky. Uvádzajú sa nasledujúce reakcie: insomnia, bolesť hlavy, nauzea, </w:t>
      </w:r>
      <w:r w:rsidRPr="00BD01C9">
        <w:rPr>
          <w:spacing w:val="-1"/>
          <w:sz w:val="22"/>
          <w:szCs w:val="22"/>
        </w:rPr>
        <w:t xml:space="preserve">úzkosť, </w:t>
      </w:r>
      <w:r w:rsidRPr="00BD01C9">
        <w:rPr>
          <w:sz w:val="22"/>
          <w:szCs w:val="22"/>
        </w:rPr>
        <w:t>hnačka, chrípkový syndróm, kŕče, nervozita,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depresia,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</w:t>
      </w:r>
      <w:r w:rsidRPr="00BD01C9">
        <w:rPr>
          <w:spacing w:val="-1"/>
          <w:sz w:val="22"/>
          <w:szCs w:val="22"/>
        </w:rPr>
        <w:t>ť</w:t>
      </w:r>
      <w:r w:rsidRPr="00BD01C9">
        <w:rPr>
          <w:bCs/>
          <w:sz w:val="22"/>
          <w:szCs w:val="22"/>
        </w:rPr>
        <w:t>,</w:t>
      </w:r>
      <w:r w:rsidRPr="00BD01C9">
        <w:rPr>
          <w:b/>
          <w:bCs/>
          <w:sz w:val="22"/>
          <w:szCs w:val="22"/>
        </w:rPr>
        <w:t xml:space="preserve"> </w:t>
      </w:r>
      <w:r w:rsidRPr="00BD01C9">
        <w:rPr>
          <w:sz w:val="22"/>
          <w:szCs w:val="22"/>
        </w:rPr>
        <w:t>hyperhidróza a</w:t>
      </w:r>
      <w:r w:rsidR="00BF056F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závra</w:t>
      </w:r>
      <w:r w:rsidRPr="00BD01C9">
        <w:rPr>
          <w:sz w:val="22"/>
        </w:rPr>
        <w:t>t</w:t>
      </w:r>
      <w:r w:rsidRPr="00BD01C9">
        <w:rPr>
          <w:sz w:val="22"/>
          <w:szCs w:val="22"/>
        </w:rPr>
        <w:t>, naznačujúce fyzickú závislos</w:t>
      </w:r>
      <w:r w:rsidRPr="00BD01C9">
        <w:rPr>
          <w:spacing w:val="-1"/>
          <w:sz w:val="22"/>
          <w:szCs w:val="22"/>
        </w:rPr>
        <w:t>ť</w:t>
      </w:r>
      <w:r w:rsidRPr="00BD01C9">
        <w:rPr>
          <w:sz w:val="22"/>
          <w:szCs w:val="22"/>
        </w:rPr>
        <w:t xml:space="preserve">. Pacient má byť o tejto skutočnosti informovaný na začiatku liečby. Čo sa týka ukončenia dlhodobej liečby pregabalínom, údaje naznačujú, že </w:t>
      </w:r>
      <w:r w:rsidRPr="00BD01C9">
        <w:rPr>
          <w:spacing w:val="-1"/>
          <w:sz w:val="22"/>
          <w:szCs w:val="22"/>
        </w:rPr>
        <w:t>výsky</w:t>
      </w:r>
      <w:r w:rsidRPr="00BD01C9">
        <w:rPr>
          <w:sz w:val="22"/>
          <w:szCs w:val="22"/>
        </w:rPr>
        <w:t>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</w:t>
      </w:r>
      <w:r w:rsidRPr="00BD01C9">
        <w:rPr>
          <w:spacing w:val="-1"/>
          <w:sz w:val="22"/>
          <w:szCs w:val="22"/>
        </w:rPr>
        <w:t>závažno</w:t>
      </w:r>
      <w:r w:rsidRPr="00BD01C9">
        <w:rPr>
          <w:sz w:val="22"/>
          <w:szCs w:val="22"/>
        </w:rPr>
        <w:t xml:space="preserve">sť abstinenčných príznakov </w:t>
      </w:r>
      <w:r w:rsidRPr="00BD01C9">
        <w:rPr>
          <w:spacing w:val="-1"/>
          <w:sz w:val="22"/>
          <w:szCs w:val="22"/>
        </w:rPr>
        <w:t>môž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by</w:t>
      </w:r>
      <w:r w:rsidRPr="00BD01C9">
        <w:rPr>
          <w:sz w:val="22"/>
          <w:szCs w:val="22"/>
        </w:rPr>
        <w:t>ť</w:t>
      </w:r>
      <w:r w:rsidRPr="00BD01C9">
        <w:rPr>
          <w:spacing w:val="-1"/>
          <w:sz w:val="22"/>
          <w:szCs w:val="22"/>
        </w:rPr>
        <w:t xml:space="preserve"> závisl</w:t>
      </w:r>
      <w:r w:rsidRPr="00BD01C9">
        <w:rPr>
          <w:sz w:val="22"/>
          <w:szCs w:val="22"/>
        </w:rPr>
        <w:t>é</w:t>
      </w:r>
      <w:r w:rsidRPr="00BD01C9">
        <w:rPr>
          <w:spacing w:val="-1"/>
          <w:sz w:val="22"/>
          <w:szCs w:val="22"/>
        </w:rPr>
        <w:t xml:space="preserve"> o</w:t>
      </w:r>
      <w:r w:rsidRPr="00BD01C9">
        <w:rPr>
          <w:sz w:val="22"/>
          <w:szCs w:val="22"/>
        </w:rPr>
        <w:t>d</w:t>
      </w:r>
      <w:r w:rsidRPr="00BD01C9">
        <w:rPr>
          <w:spacing w:val="-1"/>
          <w:sz w:val="22"/>
          <w:szCs w:val="22"/>
        </w:rPr>
        <w:t xml:space="preserve"> dávky.</w:t>
      </w:r>
    </w:p>
    <w:p w14:paraId="16EAB7F5" w14:textId="77777777" w:rsidR="000665F8" w:rsidRPr="00BD01C9" w:rsidRDefault="000665F8" w:rsidP="00FF69A3">
      <w:pPr>
        <w:pStyle w:val="Default"/>
        <w:rPr>
          <w:sz w:val="22"/>
          <w:szCs w:val="22"/>
        </w:rPr>
      </w:pPr>
    </w:p>
    <w:p w14:paraId="459FF909" w14:textId="77777777" w:rsidR="00FF69A3" w:rsidRPr="00BD01C9" w:rsidRDefault="00FF69A3" w:rsidP="00FF69A3">
      <w:pPr>
        <w:pStyle w:val="Defaul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Pediatrická populácia</w:t>
      </w:r>
    </w:p>
    <w:p w14:paraId="2521AF9A" w14:textId="274DA3C0" w:rsidR="00FF69A3" w:rsidRPr="00BD01C9" w:rsidRDefault="00FF69A3" w:rsidP="00FF69A3">
      <w:pPr>
        <w:pStyle w:val="Default"/>
        <w:rPr>
          <w:sz w:val="22"/>
          <w:szCs w:val="22"/>
        </w:rPr>
      </w:pPr>
      <w:r w:rsidRPr="00BD01C9">
        <w:rPr>
          <w:sz w:val="22"/>
          <w:szCs w:val="22"/>
        </w:rPr>
        <w:t>Bezpečnostný profil pregabalínu pozorovaný v </w:t>
      </w:r>
      <w:r w:rsidR="00DC60DE" w:rsidRPr="00BD01C9">
        <w:rPr>
          <w:sz w:val="22"/>
          <w:szCs w:val="22"/>
        </w:rPr>
        <w:t xml:space="preserve">štyroch </w:t>
      </w:r>
      <w:r w:rsidRPr="00BD01C9">
        <w:rPr>
          <w:sz w:val="22"/>
          <w:szCs w:val="22"/>
        </w:rPr>
        <w:t>pediatrických štúdiách (</w:t>
      </w:r>
      <w:r w:rsidR="00340265" w:rsidRPr="00BD01C9">
        <w:rPr>
          <w:sz w:val="22"/>
          <w:szCs w:val="22"/>
        </w:rPr>
        <w:t>s pacientmi s parciálnymi záchvatmi s</w:t>
      </w:r>
      <w:r w:rsidR="00831D97" w:rsidRPr="00BD01C9">
        <w:rPr>
          <w:sz w:val="22"/>
          <w:szCs w:val="22"/>
        </w:rPr>
        <w:t>o sekundárnou generalizáciou</w:t>
      </w:r>
      <w:r w:rsidR="00340265" w:rsidRPr="00BD01C9">
        <w:rPr>
          <w:sz w:val="22"/>
          <w:szCs w:val="22"/>
        </w:rPr>
        <w:t xml:space="preserve"> alebo bez </w:t>
      </w:r>
      <w:r w:rsidR="00831D97" w:rsidRPr="00BD01C9">
        <w:rPr>
          <w:sz w:val="22"/>
          <w:szCs w:val="22"/>
        </w:rPr>
        <w:t>nej</w:t>
      </w:r>
      <w:r w:rsidR="00340265" w:rsidRPr="00BD01C9">
        <w:rPr>
          <w:sz w:val="22"/>
          <w:szCs w:val="22"/>
        </w:rPr>
        <w:t xml:space="preserve"> (12-týždňová štúdia účinnosti a bezpečnosti u pacientov </w:t>
      </w:r>
      <w:r w:rsidR="00DC60DE" w:rsidRPr="00BD01C9">
        <w:rPr>
          <w:sz w:val="22"/>
          <w:szCs w:val="22"/>
        </w:rPr>
        <w:t>vo veku 4 až 16 rokov</w:t>
      </w:r>
      <w:r w:rsidR="00340265" w:rsidRPr="00BD01C9">
        <w:rPr>
          <w:sz w:val="22"/>
          <w:szCs w:val="22"/>
        </w:rPr>
        <w:t xml:space="preserve">, n = 295; </w:t>
      </w:r>
      <w:r w:rsidR="00DC60DE" w:rsidRPr="00BD01C9">
        <w:rPr>
          <w:sz w:val="22"/>
          <w:szCs w:val="22"/>
        </w:rPr>
        <w:t xml:space="preserve">14-dňová štúdia účinnosti a bezpečnosti </w:t>
      </w:r>
      <w:r w:rsidR="00442028" w:rsidRPr="00BD01C9">
        <w:rPr>
          <w:sz w:val="22"/>
          <w:szCs w:val="22"/>
        </w:rPr>
        <w:t>u pacientov od 1 mesiaca do menej ako 4 rok</w:t>
      </w:r>
      <w:r w:rsidR="009F07C0" w:rsidRPr="00BD01C9">
        <w:rPr>
          <w:sz w:val="22"/>
          <w:szCs w:val="22"/>
        </w:rPr>
        <w:t>ov</w:t>
      </w:r>
      <w:r w:rsidR="00442028" w:rsidRPr="00BD01C9">
        <w:rPr>
          <w:sz w:val="22"/>
          <w:szCs w:val="22"/>
        </w:rPr>
        <w:t xml:space="preserve">, n = 175; </w:t>
      </w:r>
      <w:r w:rsidR="00C53AFC" w:rsidRPr="00BD01C9">
        <w:rPr>
          <w:sz w:val="22"/>
          <w:szCs w:val="22"/>
        </w:rPr>
        <w:t>farmakokinetická</w:t>
      </w:r>
      <w:r w:rsidRPr="00BD01C9">
        <w:rPr>
          <w:sz w:val="22"/>
          <w:szCs w:val="22"/>
        </w:rPr>
        <w:t xml:space="preserve"> štúdia a štúdia </w:t>
      </w:r>
      <w:r w:rsidR="00340265" w:rsidRPr="00BD01C9">
        <w:rPr>
          <w:sz w:val="22"/>
          <w:szCs w:val="22"/>
        </w:rPr>
        <w:t>znášanlivosti</w:t>
      </w:r>
      <w:r w:rsidRPr="00BD01C9">
        <w:rPr>
          <w:sz w:val="22"/>
          <w:szCs w:val="22"/>
        </w:rPr>
        <w:t xml:space="preserve">, n = 65; </w:t>
      </w:r>
      <w:r w:rsidR="00340265" w:rsidRPr="00BD01C9">
        <w:rPr>
          <w:sz w:val="22"/>
          <w:szCs w:val="22"/>
        </w:rPr>
        <w:t xml:space="preserve">a </w:t>
      </w:r>
      <w:r w:rsidRPr="00BD01C9">
        <w:rPr>
          <w:sz w:val="22"/>
          <w:szCs w:val="22"/>
        </w:rPr>
        <w:t xml:space="preserve">1-ročná otvorená kontrolná štúdia bezpečnosti, n = 54) bol podobný bezpečnostnému profilu, ktorý sa pozoroval v štúdiách u dospelých </w:t>
      </w:r>
      <w:r w:rsidR="00340265" w:rsidRPr="00BD01C9">
        <w:rPr>
          <w:sz w:val="22"/>
          <w:szCs w:val="22"/>
        </w:rPr>
        <w:t>pacientov s epilepsiou. Najčastejšie nežiaduce udalosti pozorované v 12-týždňovej štúdii s liečbou pregabalínom boli ospalosť, pyrexia, infekcia horných dýchacích ciest, zvýšená chuť do jedla, zvýšená telesná hmotnosť a</w:t>
      </w:r>
      <w:r w:rsidR="00442028" w:rsidRPr="00BD01C9">
        <w:rPr>
          <w:sz w:val="22"/>
          <w:szCs w:val="22"/>
        </w:rPr>
        <w:t> </w:t>
      </w:r>
      <w:r w:rsidR="00340265" w:rsidRPr="00BD01C9">
        <w:rPr>
          <w:sz w:val="22"/>
          <w:szCs w:val="22"/>
        </w:rPr>
        <w:t>nazofaryngitída</w:t>
      </w:r>
      <w:r w:rsidR="00442028" w:rsidRPr="00BD01C9">
        <w:rPr>
          <w:sz w:val="22"/>
          <w:szCs w:val="22"/>
        </w:rPr>
        <w:t>. Najčastejšie nežiaduce udalosti pozorované v 14-dňovej štúdii s liečbou pregabalínom boli ospalosť, infekcia horných dýchacích ciest</w:t>
      </w:r>
      <w:r w:rsidR="00340265" w:rsidRPr="00BD01C9">
        <w:rPr>
          <w:sz w:val="22"/>
          <w:szCs w:val="22"/>
        </w:rPr>
        <w:t xml:space="preserve"> </w:t>
      </w:r>
      <w:r w:rsidR="00442028" w:rsidRPr="00BD01C9">
        <w:rPr>
          <w:sz w:val="22"/>
          <w:szCs w:val="22"/>
        </w:rPr>
        <w:t xml:space="preserve">a pyrexia </w:t>
      </w:r>
      <w:r w:rsidRPr="00BD01C9">
        <w:rPr>
          <w:sz w:val="22"/>
          <w:szCs w:val="22"/>
        </w:rPr>
        <w:t>(pozri časť 4.2, 5.1 a 5.2).</w:t>
      </w:r>
    </w:p>
    <w:p w14:paraId="185A7EEA" w14:textId="77777777" w:rsidR="00FF69A3" w:rsidRPr="00BD01C9" w:rsidRDefault="00FF69A3" w:rsidP="00FF69A3">
      <w:pPr>
        <w:pStyle w:val="Default"/>
        <w:rPr>
          <w:sz w:val="22"/>
          <w:szCs w:val="22"/>
        </w:rPr>
      </w:pPr>
    </w:p>
    <w:p w14:paraId="62C393EC" w14:textId="77777777" w:rsidR="00462EDB" w:rsidRPr="00BD01C9" w:rsidRDefault="00462EDB" w:rsidP="00642CF4">
      <w:pPr>
        <w:keepNext/>
        <w:suppressLineNumbers/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BD01C9">
        <w:rPr>
          <w:b/>
          <w:noProof/>
          <w:sz w:val="22"/>
          <w:szCs w:val="22"/>
          <w:u w:val="single"/>
        </w:rPr>
        <w:t>Hlásenie podozrení na nežiaduce reakcie</w:t>
      </w:r>
    </w:p>
    <w:p w14:paraId="040EB86D" w14:textId="36D05403" w:rsidR="00462EDB" w:rsidRPr="00BD01C9" w:rsidRDefault="00462EDB" w:rsidP="00642CF4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Hlásenie podozrení na nežiaduce reakcie po registrácii lieku je dôležité.</w:t>
      </w:r>
      <w:r w:rsidRPr="00BD01C9">
        <w:rPr>
          <w:sz w:val="22"/>
          <w:szCs w:val="22"/>
        </w:rPr>
        <w:t xml:space="preserve"> </w:t>
      </w:r>
      <w:r w:rsidRPr="00BD01C9">
        <w:rPr>
          <w:noProof/>
          <w:sz w:val="22"/>
          <w:szCs w:val="22"/>
        </w:rPr>
        <w:t>Umožňuje priebežné monitorovanie pomeru prínosu a rizika lieku.</w:t>
      </w:r>
      <w:r w:rsidRPr="00BD01C9">
        <w:rPr>
          <w:sz w:val="22"/>
          <w:szCs w:val="22"/>
        </w:rPr>
        <w:t xml:space="preserve"> Od </w:t>
      </w:r>
      <w:r w:rsidRPr="00BD01C9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9654F" w:rsidRPr="00BD01C9">
        <w:rPr>
          <w:noProof/>
          <w:sz w:val="22"/>
          <w:szCs w:val="22"/>
        </w:rPr>
        <w:t xml:space="preserve">na </w:t>
      </w:r>
      <w:r w:rsidR="00F32589" w:rsidRPr="00BD01C9">
        <w:rPr>
          <w:noProof/>
          <w:sz w:val="22"/>
          <w:highlight w:val="lightGray"/>
        </w:rPr>
        <w:t xml:space="preserve">národné </w:t>
      </w:r>
      <w:r w:rsidR="00B9654F" w:rsidRPr="00BD01C9">
        <w:rPr>
          <w:noProof/>
          <w:sz w:val="22"/>
          <w:highlight w:val="lightGray"/>
        </w:rPr>
        <w:t>centrum</w:t>
      </w:r>
      <w:r w:rsidR="00F32589" w:rsidRPr="00BD01C9">
        <w:rPr>
          <w:noProof/>
          <w:sz w:val="22"/>
          <w:highlight w:val="lightGray"/>
        </w:rPr>
        <w:t xml:space="preserve"> hlásenia uvedené v </w:t>
      </w:r>
      <w:hyperlink r:id="rId9" w:history="1">
        <w:r w:rsidR="00340265" w:rsidRPr="00BD01C9">
          <w:rPr>
            <w:rStyle w:val="Hypertextovprepojenie"/>
            <w:noProof/>
            <w:sz w:val="22"/>
            <w:highlight w:val="lightGray"/>
          </w:rPr>
          <w:t>p</w:t>
        </w:r>
        <w:r w:rsidR="00F32589" w:rsidRPr="00BD01C9">
          <w:rPr>
            <w:rStyle w:val="Hypertextovprepojenie"/>
            <w:noProof/>
            <w:sz w:val="22"/>
            <w:highlight w:val="lightGray"/>
          </w:rPr>
          <w:t>rílohe V</w:t>
        </w:r>
      </w:hyperlink>
      <w:r w:rsidR="00340264" w:rsidRPr="00BD01C9">
        <w:rPr>
          <w:sz w:val="22"/>
        </w:rPr>
        <w:t>.</w:t>
      </w:r>
      <w:r w:rsidRPr="00BD01C9">
        <w:rPr>
          <w:noProof/>
          <w:sz w:val="22"/>
          <w:szCs w:val="22"/>
        </w:rPr>
        <w:t xml:space="preserve"> </w:t>
      </w:r>
    </w:p>
    <w:p w14:paraId="43C5F275" w14:textId="77777777" w:rsidR="00E63BEB" w:rsidRPr="00BD01C9" w:rsidRDefault="00E63BEB" w:rsidP="00D43E06">
      <w:pPr>
        <w:rPr>
          <w:sz w:val="22"/>
          <w:szCs w:val="22"/>
        </w:rPr>
      </w:pPr>
    </w:p>
    <w:p w14:paraId="1BF34993" w14:textId="77777777" w:rsidR="00A0467A" w:rsidRPr="00BD01C9" w:rsidRDefault="00A0467A" w:rsidP="00D43E06">
      <w:pPr>
        <w:keepNext/>
        <w:numPr>
          <w:ilvl w:val="1"/>
          <w:numId w:val="14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Predávkovanie</w:t>
      </w:r>
    </w:p>
    <w:p w14:paraId="5F5A426D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24B32804" w14:textId="77777777" w:rsidR="000665F8" w:rsidRPr="00BD01C9" w:rsidRDefault="00271711" w:rsidP="00D43E06">
      <w:pPr>
        <w:pStyle w:val="Zarkazkladnhotextu2"/>
        <w:ind w:left="0" w:firstLine="0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 xml:space="preserve">Príznaky </w:t>
      </w:r>
    </w:p>
    <w:p w14:paraId="0812E1D2" w14:textId="05601D45" w:rsidR="00701E4E" w:rsidRPr="00BD01C9" w:rsidRDefault="00701E4E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Po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uvedení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trh</w:t>
      </w:r>
      <w:r w:rsidR="00BF056F" w:rsidRPr="00BD01C9">
        <w:rPr>
          <w:sz w:val="22"/>
          <w:szCs w:val="22"/>
        </w:rPr>
        <w:t>,</w:t>
      </w:r>
      <w:r w:rsidRPr="00BD01C9">
        <w:rPr>
          <w:spacing w:val="1"/>
          <w:sz w:val="22"/>
          <w:szCs w:val="22"/>
        </w:rPr>
        <w:t xml:space="preserve"> </w:t>
      </w:r>
      <w:r w:rsidR="00BF056F" w:rsidRPr="00BD01C9">
        <w:rPr>
          <w:sz w:val="22"/>
          <w:szCs w:val="22"/>
        </w:rPr>
        <w:t>zahŕňali</w:t>
      </w:r>
      <w:r w:rsidRPr="00BD01C9">
        <w:rPr>
          <w:spacing w:val="1"/>
          <w:sz w:val="22"/>
        </w:rPr>
        <w:t xml:space="preserve"> </w:t>
      </w:r>
      <w:r w:rsidRPr="00BD01C9">
        <w:rPr>
          <w:sz w:val="22"/>
          <w:szCs w:val="22"/>
        </w:rPr>
        <w:t>najčastejšie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hlásené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nežiaduce reakcie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pozorované po predávkovaní pregabalínom ospalosť, stavy zmätenosti, agitovanosť a nepokoj.</w:t>
      </w:r>
    </w:p>
    <w:p w14:paraId="576DE9E3" w14:textId="77777777" w:rsidR="00B9654F" w:rsidRPr="00BD01C9" w:rsidRDefault="000877E1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Boli hlásené aj záchvaty.</w:t>
      </w:r>
    </w:p>
    <w:p w14:paraId="2EB296F0" w14:textId="77777777" w:rsidR="00701E4E" w:rsidRPr="00BD01C9" w:rsidRDefault="00701E4E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zriedkavých prípadoch bola hlásená kóma.</w:t>
      </w:r>
    </w:p>
    <w:p w14:paraId="14553721" w14:textId="77777777" w:rsidR="000665F8" w:rsidRPr="00BD01C9" w:rsidRDefault="000665F8" w:rsidP="00D43E06">
      <w:pPr>
        <w:rPr>
          <w:sz w:val="22"/>
          <w:szCs w:val="22"/>
        </w:rPr>
      </w:pPr>
    </w:p>
    <w:p w14:paraId="24309A79" w14:textId="77777777" w:rsidR="003C13BC" w:rsidRPr="00BD01C9" w:rsidRDefault="003C13BC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Liečba predávkovania</w:t>
      </w:r>
    </w:p>
    <w:p w14:paraId="77A2D13F" w14:textId="77777777" w:rsidR="00701E4E" w:rsidRPr="00BD01C9" w:rsidRDefault="00701E4E" w:rsidP="00D43E06">
      <w:pPr>
        <w:ind w:right="842"/>
        <w:rPr>
          <w:sz w:val="22"/>
          <w:szCs w:val="22"/>
        </w:rPr>
      </w:pPr>
      <w:r w:rsidRPr="00BD01C9">
        <w:rPr>
          <w:sz w:val="22"/>
          <w:szCs w:val="22"/>
        </w:rPr>
        <w:t>Liečba predávkovania pregabalínom musí zahrňovať štandardné podporné opatrenia a môže zahrňovať podľa potreby aj hemodialýzu (pozri časť 4.2 Tabuľka 1).</w:t>
      </w:r>
    </w:p>
    <w:p w14:paraId="3C424E0E" w14:textId="77777777" w:rsidR="00B946BE" w:rsidRPr="00BD01C9" w:rsidRDefault="00B946BE" w:rsidP="00D43E06">
      <w:pPr>
        <w:pStyle w:val="Zkladntext"/>
        <w:jc w:val="left"/>
        <w:rPr>
          <w:sz w:val="22"/>
          <w:szCs w:val="22"/>
          <w:lang w:val="sk-SK"/>
        </w:rPr>
      </w:pPr>
    </w:p>
    <w:p w14:paraId="56B945C7" w14:textId="77777777" w:rsidR="002C2912" w:rsidRPr="00BD01C9" w:rsidRDefault="002C2912" w:rsidP="00D43E06">
      <w:pPr>
        <w:pStyle w:val="Zkladntext"/>
        <w:jc w:val="left"/>
        <w:rPr>
          <w:sz w:val="22"/>
          <w:szCs w:val="22"/>
          <w:lang w:val="sk-SK"/>
        </w:rPr>
      </w:pPr>
    </w:p>
    <w:p w14:paraId="1CB6C334" w14:textId="77777777" w:rsidR="00A0467A" w:rsidRPr="00BD01C9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b/>
          <w:caps/>
          <w:sz w:val="22"/>
          <w:szCs w:val="22"/>
          <w:lang w:val="sk-SK"/>
        </w:rPr>
        <w:t>5.</w:t>
      </w:r>
      <w:r w:rsidRPr="00BD01C9">
        <w:rPr>
          <w:b/>
          <w:caps/>
          <w:sz w:val="22"/>
          <w:szCs w:val="22"/>
          <w:lang w:val="sk-SK"/>
        </w:rPr>
        <w:tab/>
        <w:t>Farmakologické vlastnosti</w:t>
      </w:r>
    </w:p>
    <w:p w14:paraId="2A6B688D" w14:textId="77777777" w:rsidR="00A0467A" w:rsidRPr="00BD01C9" w:rsidRDefault="00A0467A" w:rsidP="00D43E06">
      <w:pPr>
        <w:keepNext/>
        <w:tabs>
          <w:tab w:val="left" w:pos="420"/>
        </w:tabs>
        <w:rPr>
          <w:caps/>
          <w:sz w:val="22"/>
          <w:szCs w:val="22"/>
        </w:rPr>
      </w:pPr>
    </w:p>
    <w:p w14:paraId="7596A7B6" w14:textId="77777777" w:rsidR="00A0467A" w:rsidRPr="00BD01C9" w:rsidRDefault="00A0467A" w:rsidP="00D43E06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Farmakodynamické vlastnosti</w:t>
      </w:r>
    </w:p>
    <w:p w14:paraId="2FACDDB1" w14:textId="77777777" w:rsidR="00A0467A" w:rsidRPr="00BD01C9" w:rsidRDefault="00A0467A" w:rsidP="00D43E06">
      <w:pPr>
        <w:keepNext/>
        <w:rPr>
          <w:caps/>
          <w:sz w:val="22"/>
          <w:szCs w:val="22"/>
        </w:rPr>
      </w:pPr>
    </w:p>
    <w:p w14:paraId="15C18A6C" w14:textId="77777777" w:rsidR="00A0467A" w:rsidRPr="00BD01C9" w:rsidRDefault="00A0467A" w:rsidP="00D43E06">
      <w:pPr>
        <w:pStyle w:val="Nadpis2"/>
        <w:tabs>
          <w:tab w:val="left" w:pos="3119"/>
        </w:tabs>
        <w:ind w:left="0"/>
        <w:jc w:val="left"/>
        <w:rPr>
          <w:b w:val="0"/>
          <w:bCs/>
          <w:szCs w:val="22"/>
          <w:lang w:val="sk-SK"/>
        </w:rPr>
      </w:pPr>
      <w:r w:rsidRPr="00BD01C9">
        <w:rPr>
          <w:b w:val="0"/>
          <w:bCs/>
          <w:szCs w:val="22"/>
          <w:lang w:val="sk-SK"/>
        </w:rPr>
        <w:t xml:space="preserve">Farmakoterapeutická skupina: </w:t>
      </w:r>
      <w:r w:rsidR="00701E4E" w:rsidRPr="00BD01C9">
        <w:rPr>
          <w:b w:val="0"/>
          <w:bCs/>
          <w:szCs w:val="22"/>
          <w:lang w:val="sk-SK"/>
        </w:rPr>
        <w:t>Antiepileptiká</w:t>
      </w:r>
      <w:r w:rsidR="00BE7B54" w:rsidRPr="00BD01C9">
        <w:rPr>
          <w:b w:val="0"/>
          <w:bCs/>
          <w:szCs w:val="22"/>
          <w:lang w:val="sk-SK"/>
        </w:rPr>
        <w:t xml:space="preserve">; </w:t>
      </w:r>
      <w:r w:rsidR="00701E4E" w:rsidRPr="00BD01C9">
        <w:rPr>
          <w:b w:val="0"/>
          <w:bCs/>
          <w:szCs w:val="22"/>
          <w:lang w:val="sk-SK"/>
        </w:rPr>
        <w:t>iné antiepileptiká;</w:t>
      </w:r>
      <w:r w:rsidR="001E3A13" w:rsidRPr="00BD01C9">
        <w:rPr>
          <w:b w:val="0"/>
          <w:bCs/>
          <w:szCs w:val="22"/>
          <w:lang w:val="sk-SK"/>
        </w:rPr>
        <w:t xml:space="preserve"> </w:t>
      </w:r>
      <w:r w:rsidRPr="00BD01C9">
        <w:rPr>
          <w:b w:val="0"/>
          <w:bCs/>
          <w:szCs w:val="22"/>
          <w:lang w:val="sk-SK"/>
        </w:rPr>
        <w:t xml:space="preserve">ATC kód: </w:t>
      </w:r>
      <w:r w:rsidR="00701E4E" w:rsidRPr="00BD01C9">
        <w:rPr>
          <w:b w:val="0"/>
          <w:szCs w:val="22"/>
          <w:lang w:val="sk-SK"/>
        </w:rPr>
        <w:t>N03AX16.</w:t>
      </w:r>
    </w:p>
    <w:p w14:paraId="3CE810C6" w14:textId="77777777" w:rsidR="00E63288" w:rsidRPr="00BD01C9" w:rsidRDefault="00E63288" w:rsidP="00D43E06">
      <w:pPr>
        <w:ind w:right="50"/>
        <w:rPr>
          <w:sz w:val="22"/>
          <w:szCs w:val="22"/>
        </w:rPr>
      </w:pPr>
    </w:p>
    <w:p w14:paraId="2DD856F8" w14:textId="77777777" w:rsidR="00A0467A" w:rsidRPr="00BD01C9" w:rsidRDefault="00E63288" w:rsidP="00D43E06">
      <w:pPr>
        <w:ind w:right="50"/>
        <w:rPr>
          <w:sz w:val="22"/>
          <w:szCs w:val="22"/>
        </w:rPr>
      </w:pPr>
      <w:r w:rsidRPr="00BD01C9">
        <w:rPr>
          <w:sz w:val="22"/>
          <w:szCs w:val="22"/>
        </w:rPr>
        <w:t>Liečivo pregabalín je analógom gama</w:t>
      </w:r>
      <w:r w:rsidR="00CF7EA8" w:rsidRPr="00BD01C9">
        <w:rPr>
          <w:sz w:val="22"/>
          <w:szCs w:val="22"/>
        </w:rPr>
        <w:t>-</w:t>
      </w:r>
      <w:r w:rsidRPr="00BD01C9">
        <w:rPr>
          <w:sz w:val="22"/>
          <w:szCs w:val="22"/>
        </w:rPr>
        <w:t xml:space="preserve">aminomaslovej kyseliny </w:t>
      </w:r>
      <w:r w:rsidR="00D61DF9" w:rsidRPr="00BD01C9">
        <w:rPr>
          <w:sz w:val="22"/>
          <w:szCs w:val="22"/>
        </w:rPr>
        <w:t>[</w:t>
      </w:r>
      <w:r w:rsidRPr="00BD01C9">
        <w:rPr>
          <w:sz w:val="22"/>
          <w:szCs w:val="22"/>
        </w:rPr>
        <w:t>(S</w:t>
      </w:r>
      <w:r w:rsidRPr="00BD01C9">
        <w:rPr>
          <w:spacing w:val="-1"/>
          <w:sz w:val="22"/>
          <w:szCs w:val="22"/>
        </w:rPr>
        <w:t>)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3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(aminometyl</w:t>
      </w:r>
      <w:r w:rsidRPr="00BD01C9">
        <w:rPr>
          <w:spacing w:val="1"/>
          <w:sz w:val="22"/>
          <w:szCs w:val="22"/>
        </w:rPr>
        <w:t>)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metylhexánová kyselina</w:t>
      </w:r>
      <w:r w:rsidR="00D61DF9" w:rsidRPr="00BD01C9">
        <w:rPr>
          <w:sz w:val="22"/>
          <w:szCs w:val="22"/>
        </w:rPr>
        <w:t>]</w:t>
      </w:r>
      <w:r w:rsidRPr="00BD01C9">
        <w:rPr>
          <w:sz w:val="22"/>
          <w:szCs w:val="22"/>
        </w:rPr>
        <w:t>.</w:t>
      </w:r>
    </w:p>
    <w:p w14:paraId="5F8D362B" w14:textId="77777777" w:rsidR="00E63288" w:rsidRPr="00BD01C9" w:rsidRDefault="00E63288" w:rsidP="00D43E06">
      <w:pPr>
        <w:ind w:right="50"/>
        <w:rPr>
          <w:b/>
          <w:sz w:val="22"/>
          <w:szCs w:val="22"/>
        </w:rPr>
      </w:pPr>
    </w:p>
    <w:p w14:paraId="4763F3CD" w14:textId="77777777" w:rsidR="00A0467A" w:rsidRPr="00BD01C9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01C9">
        <w:rPr>
          <w:rFonts w:ascii="Times New Roman" w:hAnsi="Times New Roman" w:cs="Times New Roman"/>
          <w:b w:val="0"/>
          <w:i w:val="0"/>
          <w:sz w:val="22"/>
          <w:szCs w:val="22"/>
        </w:rPr>
        <w:t>Mechanizmus účinku</w:t>
      </w:r>
    </w:p>
    <w:p w14:paraId="608CD3B1" w14:textId="77777777" w:rsidR="00E63288" w:rsidRPr="00BD01C9" w:rsidRDefault="00E63288" w:rsidP="00D43E06">
      <w:pPr>
        <w:spacing w:before="18"/>
        <w:ind w:right="527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sa viaže na auxiliárne podjednotky </w:t>
      </w:r>
      <w:r w:rsidR="00BB245B" w:rsidRPr="00BD01C9">
        <w:rPr>
          <w:sz w:val="22"/>
          <w:szCs w:val="22"/>
        </w:rPr>
        <w:t>(</w:t>
      </w:r>
      <w:r w:rsidR="00BB245B" w:rsidRPr="00BD01C9">
        <w:rPr>
          <w:color w:val="000000"/>
          <w:sz w:val="22"/>
          <w:szCs w:val="22"/>
        </w:rPr>
        <w:t>α</w:t>
      </w:r>
      <w:r w:rsidR="00BB245B" w:rsidRPr="00BD01C9">
        <w:rPr>
          <w:color w:val="000000"/>
          <w:sz w:val="22"/>
          <w:szCs w:val="22"/>
          <w:vertAlign w:val="subscript"/>
        </w:rPr>
        <w:t>2</w:t>
      </w:r>
      <w:r w:rsidR="00BB245B" w:rsidRPr="00BD01C9">
        <w:rPr>
          <w:color w:val="000000"/>
          <w:sz w:val="22"/>
          <w:szCs w:val="22"/>
        </w:rPr>
        <w:t xml:space="preserve">-δ </w:t>
      </w:r>
      <w:r w:rsidRPr="00BD01C9">
        <w:rPr>
          <w:sz w:val="22"/>
          <w:szCs w:val="22"/>
        </w:rPr>
        <w:t xml:space="preserve">proteíny) napäťovo </w:t>
      </w:r>
      <w:r w:rsidR="00DB18E8" w:rsidRPr="00BD01C9">
        <w:rPr>
          <w:sz w:val="22"/>
          <w:szCs w:val="22"/>
        </w:rPr>
        <w:t xml:space="preserve">riadených </w:t>
      </w:r>
      <w:r w:rsidRPr="00BD01C9">
        <w:rPr>
          <w:sz w:val="22"/>
          <w:szCs w:val="22"/>
        </w:rPr>
        <w:t>kalciových kanálov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centrálnom nervo</w:t>
      </w:r>
      <w:r w:rsidRPr="00BD01C9">
        <w:rPr>
          <w:spacing w:val="-1"/>
          <w:sz w:val="22"/>
          <w:szCs w:val="22"/>
        </w:rPr>
        <w:t>vo</w:t>
      </w:r>
      <w:r w:rsidRPr="00BD01C9">
        <w:rPr>
          <w:sz w:val="22"/>
          <w:szCs w:val="22"/>
        </w:rPr>
        <w:t>m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systéme.</w:t>
      </w:r>
    </w:p>
    <w:p w14:paraId="15A20D70" w14:textId="77777777" w:rsidR="00D27C1E" w:rsidRPr="00BD01C9" w:rsidRDefault="00D27C1E" w:rsidP="00D43E06">
      <w:pPr>
        <w:textAlignment w:val="top"/>
        <w:rPr>
          <w:sz w:val="22"/>
          <w:szCs w:val="22"/>
        </w:rPr>
      </w:pPr>
    </w:p>
    <w:p w14:paraId="04EA36E4" w14:textId="77777777" w:rsidR="00A0467A" w:rsidRPr="00BD01C9" w:rsidRDefault="00954530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D01C9">
        <w:rPr>
          <w:rFonts w:ascii="Times New Roman" w:hAnsi="Times New Roman" w:cs="Times New Roman"/>
          <w:b w:val="0"/>
          <w:i w:val="0"/>
          <w:sz w:val="22"/>
          <w:szCs w:val="22"/>
        </w:rPr>
        <w:t>Klinická účinnosť</w:t>
      </w:r>
      <w:r w:rsidR="00E63288" w:rsidRPr="00BD01C9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a bezpečnosť</w:t>
      </w:r>
    </w:p>
    <w:p w14:paraId="28487AF5" w14:textId="77777777" w:rsidR="00E63288" w:rsidRPr="00BD01C9" w:rsidRDefault="00E63288" w:rsidP="00D43E06">
      <w:pPr>
        <w:spacing w:before="6"/>
        <w:ind w:right="-20"/>
        <w:rPr>
          <w:sz w:val="22"/>
          <w:szCs w:val="22"/>
        </w:rPr>
      </w:pPr>
      <w:r w:rsidRPr="00BD01C9">
        <w:rPr>
          <w:i/>
          <w:sz w:val="22"/>
          <w:szCs w:val="22"/>
          <w:u w:color="000000"/>
        </w:rPr>
        <w:t>Neuropatická</w:t>
      </w:r>
      <w:r w:rsidRPr="00BD01C9">
        <w:rPr>
          <w:i/>
          <w:spacing w:val="-31"/>
          <w:sz w:val="22"/>
          <w:szCs w:val="22"/>
          <w:u w:color="000000"/>
        </w:rPr>
        <w:t xml:space="preserve"> </w:t>
      </w:r>
      <w:r w:rsidRPr="00BD01C9">
        <w:rPr>
          <w:i/>
          <w:sz w:val="22"/>
          <w:szCs w:val="22"/>
          <w:u w:color="000000"/>
        </w:rPr>
        <w:t>bolesť</w:t>
      </w:r>
    </w:p>
    <w:p w14:paraId="7FA1D055" w14:textId="77777777" w:rsidR="00E63288" w:rsidRPr="00BD01C9" w:rsidRDefault="00E63288" w:rsidP="00D43E06">
      <w:pPr>
        <w:spacing w:before="6"/>
        <w:ind w:right="110"/>
        <w:rPr>
          <w:sz w:val="22"/>
          <w:szCs w:val="22"/>
        </w:rPr>
      </w:pPr>
      <w:r w:rsidRPr="00BD01C9">
        <w:rPr>
          <w:sz w:val="22"/>
          <w:szCs w:val="22"/>
        </w:rPr>
        <w:t>Účinnosť bola dokázaná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klinických skúšaniach 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diabetickej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neuropatii,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postherpetickej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neuralgii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poranení miechy. Účinnosť sa neštudovala pri ostatných modeloch neuropatickej bolesti.</w:t>
      </w:r>
    </w:p>
    <w:p w14:paraId="7DC24A15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21A0F58D" w14:textId="77777777" w:rsidR="00E63288" w:rsidRPr="00BD01C9" w:rsidRDefault="00E63288" w:rsidP="00D43E06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Pregabalín sa študoval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10 kont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>olovaných klinických skúšaniach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trvaní až do 13 týždňov</w:t>
      </w:r>
    </w:p>
    <w:p w14:paraId="36F8E7AF" w14:textId="77777777" w:rsidR="00E63288" w:rsidRPr="00BD01C9" w:rsidRDefault="00E63288" w:rsidP="00D43E06">
      <w:pPr>
        <w:spacing w:before="6"/>
        <w:ind w:right="391"/>
        <w:rPr>
          <w:sz w:val="22"/>
          <w:szCs w:val="22"/>
        </w:rPr>
      </w:pP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dávkovaním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dvakrát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denne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(BID)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až do 8 týždňov s dávkovaním trikrát denne (TID). Celkové profily bezpečnosti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účinnosti pri BID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TID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dávkovacích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režimoch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podobné.</w:t>
      </w:r>
    </w:p>
    <w:p w14:paraId="05DCE6AA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0689C32E" w14:textId="77777777" w:rsidR="00E63288" w:rsidRPr="00BD01C9" w:rsidRDefault="00E63288" w:rsidP="00D43E06">
      <w:pPr>
        <w:ind w:right="485"/>
        <w:rPr>
          <w:sz w:val="22"/>
          <w:szCs w:val="22"/>
        </w:rPr>
      </w:pPr>
      <w:r w:rsidRPr="00BD01C9">
        <w:rPr>
          <w:sz w:val="22"/>
          <w:szCs w:val="22"/>
        </w:rPr>
        <w:t>V klinických skúšaniach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trvaní až do 12 týždňov sa u </w:t>
      </w:r>
      <w:r w:rsidRPr="00BD01C9">
        <w:rPr>
          <w:spacing w:val="1"/>
          <w:sz w:val="22"/>
          <w:szCs w:val="22"/>
        </w:rPr>
        <w:t>periférne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ak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a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neuropatickej </w:t>
      </w:r>
      <w:r w:rsidRPr="00BD01C9">
        <w:rPr>
          <w:sz w:val="22"/>
          <w:szCs w:val="22"/>
        </w:rPr>
        <w:t>bolesti pozorovalo zníženie bolesti v 1. týždni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pretrvávalo počas celého obdobia liečby.</w:t>
      </w:r>
    </w:p>
    <w:p w14:paraId="6E1170C2" w14:textId="77777777" w:rsidR="00E63288" w:rsidRPr="00BD01C9" w:rsidRDefault="00E63288" w:rsidP="00D43E06">
      <w:pPr>
        <w:pStyle w:val="Zkladntext2"/>
        <w:keepNext/>
        <w:jc w:val="left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14:paraId="2E1FB365" w14:textId="77777777" w:rsidR="00E63288" w:rsidRPr="00BD01C9" w:rsidRDefault="00E63288" w:rsidP="000B0CEC">
      <w:pPr>
        <w:ind w:right="34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kontrolovaných klinických skúšaniach pri </w:t>
      </w:r>
      <w:r w:rsidRPr="00BD01C9">
        <w:rPr>
          <w:spacing w:val="1"/>
          <w:sz w:val="22"/>
          <w:szCs w:val="22"/>
        </w:rPr>
        <w:t>periférne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</w:t>
      </w:r>
      <w:r w:rsidRPr="00BD01C9">
        <w:rPr>
          <w:sz w:val="22"/>
          <w:szCs w:val="22"/>
        </w:rPr>
        <w:t>opatickej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35 % </w:t>
      </w:r>
      <w:r w:rsidR="000B0CEC" w:rsidRPr="00BD01C9">
        <w:rPr>
          <w:sz w:val="22"/>
          <w:szCs w:val="22"/>
        </w:rPr>
        <w:t xml:space="preserve">pacientov liečených </w:t>
      </w:r>
      <w:r w:rsidRPr="00BD01C9">
        <w:rPr>
          <w:sz w:val="22"/>
          <w:szCs w:val="22"/>
        </w:rPr>
        <w:t>pregabalínom a 18 %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zlepšenie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skóre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bolesti. 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pacientov,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ktorých sa neprejavila ospalosť, sa takéto zlepšenie pozorovalo u 33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% pacientov liečených pregaba</w:t>
      </w:r>
      <w:r w:rsidRPr="00BD01C9">
        <w:rPr>
          <w:spacing w:val="1"/>
          <w:sz w:val="22"/>
          <w:szCs w:val="22"/>
        </w:rPr>
        <w:t>l</w:t>
      </w:r>
      <w:r w:rsidRPr="00BD01C9">
        <w:rPr>
          <w:spacing w:val="-1"/>
          <w:sz w:val="22"/>
          <w:szCs w:val="22"/>
        </w:rPr>
        <w:t>íno</w:t>
      </w:r>
      <w:r w:rsidRPr="00BD01C9">
        <w:rPr>
          <w:sz w:val="22"/>
          <w:szCs w:val="22"/>
        </w:rPr>
        <w:t>m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u 18 %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prípade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pacientov,</w:t>
      </w:r>
      <w:r w:rsidR="000B0CEC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u ktorých sa prejavila ospalosť, bola miera odpovede na liečbu pregabalínom 48 %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16 </w:t>
      </w:r>
      <w:r w:rsidRPr="00BD01C9">
        <w:rPr>
          <w:spacing w:val="1"/>
          <w:sz w:val="22"/>
          <w:szCs w:val="22"/>
        </w:rPr>
        <w:t>%.</w:t>
      </w:r>
    </w:p>
    <w:p w14:paraId="1131F958" w14:textId="77777777" w:rsidR="00E63288" w:rsidRPr="00BD01C9" w:rsidRDefault="00E63288" w:rsidP="00D43E06">
      <w:pPr>
        <w:spacing w:before="5"/>
        <w:rPr>
          <w:sz w:val="22"/>
          <w:szCs w:val="22"/>
        </w:rPr>
      </w:pPr>
    </w:p>
    <w:p w14:paraId="45375BAB" w14:textId="77777777" w:rsidR="00E63288" w:rsidRPr="00BD01C9" w:rsidRDefault="00E63288" w:rsidP="00D43E06">
      <w:pPr>
        <w:ind w:right="47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kontrolných klinických skúšaniach u </w:t>
      </w:r>
      <w:r w:rsidRPr="00BD01C9">
        <w:rPr>
          <w:spacing w:val="1"/>
          <w:sz w:val="22"/>
          <w:szCs w:val="22"/>
        </w:rPr>
        <w:t>centrálne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neuropaticke</w:t>
      </w:r>
      <w:r w:rsidRPr="00BD01C9">
        <w:rPr>
          <w:sz w:val="22"/>
          <w:szCs w:val="22"/>
        </w:rPr>
        <w:t>j</w:t>
      </w:r>
      <w:r w:rsidRPr="00BD01C9">
        <w:rPr>
          <w:spacing w:val="1"/>
          <w:sz w:val="22"/>
          <w:szCs w:val="22"/>
        </w:rPr>
        <w:t xml:space="preserve"> bolest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2</w:t>
      </w:r>
      <w:r w:rsidRPr="00BD01C9">
        <w:rPr>
          <w:sz w:val="22"/>
          <w:szCs w:val="22"/>
        </w:rPr>
        <w:t>2 %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liečených pregabalínom a 7 %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užívajúcich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placebo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dosiahlo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zlepšenie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skóre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bolesti.</w:t>
      </w:r>
    </w:p>
    <w:p w14:paraId="77C47986" w14:textId="77777777" w:rsidR="00E63288" w:rsidRPr="00BD01C9" w:rsidRDefault="00E63288" w:rsidP="00D43E06">
      <w:pPr>
        <w:spacing w:before="19"/>
        <w:rPr>
          <w:sz w:val="22"/>
          <w:szCs w:val="22"/>
        </w:rPr>
      </w:pPr>
    </w:p>
    <w:p w14:paraId="4776F1AE" w14:textId="77777777" w:rsidR="00D43E06" w:rsidRPr="00BD01C9" w:rsidRDefault="00D43E06" w:rsidP="00642CF4">
      <w:pPr>
        <w:keepNext/>
        <w:ind w:right="-20"/>
        <w:rPr>
          <w:sz w:val="22"/>
          <w:szCs w:val="22"/>
        </w:rPr>
      </w:pPr>
      <w:r w:rsidRPr="00BD01C9">
        <w:rPr>
          <w:i/>
          <w:sz w:val="22"/>
          <w:szCs w:val="22"/>
        </w:rPr>
        <w:t>Epilepsia</w:t>
      </w:r>
    </w:p>
    <w:p w14:paraId="39227E8C" w14:textId="77777777" w:rsidR="00D43E06" w:rsidRPr="00BD01C9" w:rsidRDefault="00D43E06" w:rsidP="00642CF4">
      <w:pPr>
        <w:keepNext/>
        <w:spacing w:before="6"/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Prídavná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liečba</w:t>
      </w:r>
    </w:p>
    <w:p w14:paraId="7B5D8EA2" w14:textId="77777777" w:rsidR="00D43E06" w:rsidRPr="00BD01C9" w:rsidRDefault="00D43E06" w:rsidP="00642CF4">
      <w:pPr>
        <w:keepNext/>
        <w:spacing w:before="6"/>
        <w:ind w:right="246"/>
        <w:jc w:val="both"/>
        <w:rPr>
          <w:sz w:val="22"/>
          <w:szCs w:val="22"/>
        </w:rPr>
      </w:pPr>
      <w:r w:rsidRPr="00BD01C9">
        <w:rPr>
          <w:sz w:val="22"/>
          <w:szCs w:val="22"/>
        </w:rPr>
        <w:t>Pregabalín sa študoval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3 kontrolovaných klinických skúšaniach v trvaní 12 týždňov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s </w:t>
      </w:r>
      <w:r w:rsidRPr="00BD01C9">
        <w:rPr>
          <w:spacing w:val="-1"/>
          <w:sz w:val="22"/>
          <w:szCs w:val="22"/>
        </w:rPr>
        <w:t xml:space="preserve">dávkovaním </w:t>
      </w:r>
      <w:r w:rsidRPr="00BD01C9">
        <w:rPr>
          <w:sz w:val="22"/>
          <w:szCs w:val="22"/>
        </w:rPr>
        <w:t>BID alebo dávkovaním TID. Celkové profily bezpečnosti a účinnosti pri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BID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TID dávkovacích režimoch boli podobné.</w:t>
      </w:r>
    </w:p>
    <w:p w14:paraId="4F35CB85" w14:textId="77777777" w:rsidR="00D43E06" w:rsidRPr="00BD01C9" w:rsidRDefault="00D43E06" w:rsidP="00D43E06">
      <w:pPr>
        <w:ind w:right="4074"/>
        <w:rPr>
          <w:sz w:val="22"/>
          <w:szCs w:val="22"/>
        </w:rPr>
      </w:pPr>
    </w:p>
    <w:p w14:paraId="5DCD9218" w14:textId="7F711A35" w:rsidR="00D43E06" w:rsidRPr="00BD01C9" w:rsidRDefault="00D43E06" w:rsidP="00A319B6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Zníženie frekvencie záchvatov sa pozorovalo v 1.</w:t>
      </w:r>
      <w:r w:rsidR="00A319B6" w:rsidRPr="00BD01C9">
        <w:rPr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t</w:t>
      </w:r>
      <w:r w:rsidRPr="00BD01C9">
        <w:rPr>
          <w:sz w:val="22"/>
          <w:szCs w:val="22"/>
        </w:rPr>
        <w:t xml:space="preserve">ýždni. </w:t>
      </w:r>
    </w:p>
    <w:p w14:paraId="326A8853" w14:textId="77777777" w:rsidR="00F32589" w:rsidRPr="00BD01C9" w:rsidRDefault="00F32589" w:rsidP="00D43E06">
      <w:pPr>
        <w:ind w:right="4074"/>
        <w:rPr>
          <w:sz w:val="22"/>
          <w:szCs w:val="22"/>
        </w:rPr>
      </w:pPr>
    </w:p>
    <w:p w14:paraId="3BFC9751" w14:textId="77777777" w:rsidR="00F32589" w:rsidRPr="00BD01C9" w:rsidRDefault="00F32589" w:rsidP="00F32589">
      <w:pPr>
        <w:rPr>
          <w:sz w:val="22"/>
          <w:u w:val="single"/>
        </w:rPr>
      </w:pPr>
      <w:r w:rsidRPr="00BD01C9">
        <w:rPr>
          <w:sz w:val="22"/>
          <w:u w:val="single"/>
        </w:rPr>
        <w:t>Pediatrická populácia</w:t>
      </w:r>
    </w:p>
    <w:p w14:paraId="344F7A28" w14:textId="77777777" w:rsidR="00442028" w:rsidRPr="00BD01C9" w:rsidRDefault="00F32589" w:rsidP="00442028">
      <w:pPr>
        <w:rPr>
          <w:sz w:val="22"/>
        </w:rPr>
      </w:pPr>
      <w:r w:rsidRPr="00BD01C9">
        <w:rPr>
          <w:sz w:val="22"/>
        </w:rPr>
        <w:t xml:space="preserve">Účinnosť a bezpečnosť pregabalínu ako doplnkovej liečby pri epilepsii u pediatrických pacientov mladších ako 12 rokov a dospievajúcich nebola stanovená. Nežiaduce </w:t>
      </w:r>
      <w:r w:rsidR="005B3F5F" w:rsidRPr="00BD01C9">
        <w:rPr>
          <w:sz w:val="22"/>
        </w:rPr>
        <w:t>reakcie</w:t>
      </w:r>
      <w:r w:rsidRPr="00BD01C9">
        <w:rPr>
          <w:sz w:val="22"/>
        </w:rPr>
        <w:t xml:space="preserve"> pozorované vo farmakokinetickej štúdii a štúdii znášanlivosti, do ktorých boli zaradení pacienti vo veku od 3 mesiacov do 16 rokov (n = 65)</w:t>
      </w:r>
      <w:r w:rsidR="00340265" w:rsidRPr="00BD01C9">
        <w:rPr>
          <w:sz w:val="22"/>
        </w:rPr>
        <w:t xml:space="preserve"> s výskytom parciálnych záchvatov</w:t>
      </w:r>
      <w:r w:rsidRPr="00BD01C9">
        <w:rPr>
          <w:sz w:val="22"/>
        </w:rPr>
        <w:t xml:space="preserve">, boli podobné tým, ktoré sa pozorovali u dospelých. Výsledky </w:t>
      </w:r>
      <w:r w:rsidR="00340265" w:rsidRPr="00BD01C9">
        <w:rPr>
          <w:sz w:val="22"/>
        </w:rPr>
        <w:t xml:space="preserve">12-týždňovej, placebom kontrolovanej štúdie s 295 pediatrickými pacientmi vo veku 4 až 16 rokov </w:t>
      </w:r>
      <w:r w:rsidR="00442028" w:rsidRPr="00BD01C9">
        <w:rPr>
          <w:sz w:val="22"/>
        </w:rPr>
        <w:t>a 14-dňovej placebom kontrolovanej štúdie so 175 pediatrickými</w:t>
      </w:r>
    </w:p>
    <w:p w14:paraId="6445DCFC" w14:textId="2C9AF177" w:rsidR="00F32589" w:rsidRPr="00BD01C9" w:rsidRDefault="00442028" w:rsidP="00442028">
      <w:pPr>
        <w:rPr>
          <w:sz w:val="22"/>
        </w:rPr>
      </w:pPr>
      <w:r w:rsidRPr="00BD01C9">
        <w:rPr>
          <w:sz w:val="22"/>
        </w:rPr>
        <w:t xml:space="preserve">pacientami vo veku od 1 mesiaca do menej ako 4 rokov, </w:t>
      </w:r>
      <w:r w:rsidR="00340265" w:rsidRPr="00BD01C9">
        <w:rPr>
          <w:sz w:val="22"/>
        </w:rPr>
        <w:t>zameranej na zhodnotenie účinnosti a bezpečnosti pregabalínu ako p</w:t>
      </w:r>
      <w:r w:rsidR="00AE2AAC" w:rsidRPr="00BD01C9">
        <w:rPr>
          <w:sz w:val="22"/>
        </w:rPr>
        <w:t>rídavnej</w:t>
      </w:r>
      <w:r w:rsidR="00340265" w:rsidRPr="00BD01C9">
        <w:rPr>
          <w:sz w:val="22"/>
        </w:rPr>
        <w:t xml:space="preserve"> terapie pri liečbe parciálnych záchvatov a z </w:t>
      </w:r>
      <w:r w:rsidR="00F32589" w:rsidRPr="00BD01C9">
        <w:rPr>
          <w:sz w:val="22"/>
        </w:rPr>
        <w:t xml:space="preserve">1-ročnej otvorenej štúdie bezpečnosti u 54 pediatrických pacientov vo veku od 3 mesiacov do 16 rokov s epilepsiou naznačujú, že nežiaduce udalosti pyrexie a infekcií horných dýchacích ciest sa pozorovali častejšie ako v štúdiách u dospelých </w:t>
      </w:r>
      <w:r w:rsidR="00340265" w:rsidRPr="00BD01C9">
        <w:rPr>
          <w:sz w:val="22"/>
        </w:rPr>
        <w:t xml:space="preserve">pacientov s epilepsiou </w:t>
      </w:r>
      <w:r w:rsidR="00F32589" w:rsidRPr="00BD01C9">
        <w:rPr>
          <w:sz w:val="22"/>
        </w:rPr>
        <w:t>(pozri časti 4.2, 4.8 a 5.2).</w:t>
      </w:r>
    </w:p>
    <w:p w14:paraId="673B923A" w14:textId="77777777" w:rsidR="00D43E06" w:rsidRPr="00BD01C9" w:rsidRDefault="00D43E06" w:rsidP="00D43E06">
      <w:pPr>
        <w:ind w:right="4074"/>
        <w:rPr>
          <w:sz w:val="22"/>
          <w:szCs w:val="22"/>
        </w:rPr>
      </w:pPr>
    </w:p>
    <w:p w14:paraId="58A65CC0" w14:textId="47E03B77" w:rsidR="00340265" w:rsidRPr="00BD01C9" w:rsidRDefault="00340265" w:rsidP="00340265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V 12-týždňovej, placebom kontrolovanej štúdii bol pediatrickým pacientom </w:t>
      </w:r>
      <w:r w:rsidR="00442028" w:rsidRPr="00BD01C9">
        <w:rPr>
          <w:sz w:val="22"/>
          <w:szCs w:val="22"/>
        </w:rPr>
        <w:t xml:space="preserve">(vo veku 4 až 16 rokov) </w:t>
      </w:r>
      <w:r w:rsidRPr="00BD01C9">
        <w:rPr>
          <w:sz w:val="22"/>
          <w:szCs w:val="22"/>
        </w:rPr>
        <w:t>podaný pregabalín v dávke 2,5 mg/kg/deň (maximálne 150 mg/deň), pregabalín v dávke 10 mg/kg/deň ( maximálne 600 mg/deň) alebo placebo. Percentuálny podiel jedincov, u ktorých nastalo najmenej 50 % zníženie výskytu parciálnych záchvatov v porovnaní so začiatkom bol 40,6 % jedincov liečených pregabalínom v dávke 10 mg/kg/deň (p = 0,0068 oproti placebu), 29,1 % jedincov liečených pregabalínom v dávke 2,5 mg/kg/deň (p = 0,2600 oproti placebu) a 22,6 % jedincov, ktorí dostávali placebo.</w:t>
      </w:r>
    </w:p>
    <w:p w14:paraId="2753E5DF" w14:textId="62489175" w:rsidR="00340265" w:rsidRPr="00BD01C9" w:rsidRDefault="00340265" w:rsidP="00D43E06">
      <w:pPr>
        <w:ind w:right="4074"/>
        <w:rPr>
          <w:sz w:val="22"/>
          <w:szCs w:val="22"/>
        </w:rPr>
      </w:pPr>
    </w:p>
    <w:p w14:paraId="15012214" w14:textId="581CFA12" w:rsidR="00442028" w:rsidRPr="00BD01C9" w:rsidRDefault="00442028" w:rsidP="00442028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V 14-dňovej placebom kontrolovanej štúdii bol pediatrickým pacientom (vo veku od 1 mesiaca do menej ako 4 rokov) podaný pregabalín v dávke 7 mg/kg/deň, pregabalín v dávke 14 mg/kg/deň alebo placebo. Medián frekvencie záchvatov počas 24 hodín vo východiskovom stave a pri poslednej návšteve bol 4,7 a 3,8 pre pregabalín v dávke 7 mg/kg/deň</w:t>
      </w:r>
      <w:r w:rsidR="009F07C0" w:rsidRPr="00BD01C9">
        <w:rPr>
          <w:sz w:val="22"/>
          <w:szCs w:val="22"/>
        </w:rPr>
        <w:t>;</w:t>
      </w:r>
      <w:r w:rsidRPr="00BD01C9">
        <w:rPr>
          <w:sz w:val="22"/>
          <w:szCs w:val="22"/>
        </w:rPr>
        <w:t xml:space="preserve"> 5,4 a 1,4 pre pregabalín v dávke 14</w:t>
      </w:r>
      <w:r w:rsidR="009F07C0" w:rsidRPr="00BD01C9">
        <w:rPr>
          <w:sz w:val="22"/>
          <w:szCs w:val="22"/>
        </w:rPr>
        <w:t> </w:t>
      </w:r>
      <w:r w:rsidRPr="00BD01C9">
        <w:rPr>
          <w:sz w:val="22"/>
          <w:szCs w:val="22"/>
        </w:rPr>
        <w:t>mg/kg/deň a 2,9 a 2,3 pre placebo. Pregabalín v dávke 14 mg/kg/deň signifikantne znížil logtransformovanú frekvenciu parciálneho výskytu záchvatov oproti placebu (p = 0,0223); pregabalín v dávke 7 mg/kg/deň nevykazoval zlepšenie v porovnaní s placebom.</w:t>
      </w:r>
    </w:p>
    <w:p w14:paraId="422892FA" w14:textId="77777777" w:rsidR="00442028" w:rsidRPr="00BD01C9" w:rsidRDefault="00442028" w:rsidP="00D43E06">
      <w:pPr>
        <w:ind w:right="4074"/>
        <w:rPr>
          <w:sz w:val="22"/>
          <w:szCs w:val="22"/>
        </w:rPr>
      </w:pPr>
    </w:p>
    <w:p w14:paraId="73659D60" w14:textId="77777777" w:rsidR="00D43E06" w:rsidRPr="00BD01C9" w:rsidRDefault="00D43E06" w:rsidP="00D43E06">
      <w:pPr>
        <w:ind w:right="4074"/>
        <w:rPr>
          <w:sz w:val="22"/>
          <w:szCs w:val="22"/>
        </w:rPr>
      </w:pPr>
      <w:r w:rsidRPr="00BD01C9">
        <w:rPr>
          <w:sz w:val="22"/>
          <w:szCs w:val="22"/>
        </w:rPr>
        <w:t>Monoterapia (novo</w:t>
      </w:r>
      <w:r w:rsidR="005E6A38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diagnostikovaní pacienti)</w:t>
      </w:r>
    </w:p>
    <w:p w14:paraId="1C5351B4" w14:textId="77777777" w:rsidR="00D43E06" w:rsidRPr="00BD01C9" w:rsidRDefault="00D43E06" w:rsidP="00D43E06">
      <w:pPr>
        <w:ind w:right="-20"/>
        <w:rPr>
          <w:sz w:val="22"/>
          <w:szCs w:val="22"/>
        </w:rPr>
      </w:pPr>
      <w:r w:rsidRPr="00BD01C9">
        <w:rPr>
          <w:position w:val="1"/>
          <w:sz w:val="22"/>
          <w:szCs w:val="22"/>
        </w:rPr>
        <w:t>Pregabalín sa študoval v</w:t>
      </w:r>
      <w:r w:rsidRPr="00BD01C9">
        <w:rPr>
          <w:spacing w:val="-2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 xml:space="preserve">1 kontrolovanom </w:t>
      </w:r>
      <w:r w:rsidRPr="00BD01C9">
        <w:rPr>
          <w:spacing w:val="-3"/>
          <w:position w:val="1"/>
          <w:sz w:val="22"/>
          <w:szCs w:val="22"/>
        </w:rPr>
        <w:t>k</w:t>
      </w:r>
      <w:r w:rsidRPr="00BD01C9">
        <w:rPr>
          <w:position w:val="1"/>
          <w:sz w:val="22"/>
          <w:szCs w:val="22"/>
        </w:rPr>
        <w:t>linickom skúšaní v</w:t>
      </w:r>
      <w:r w:rsidRPr="00BD01C9">
        <w:rPr>
          <w:spacing w:val="-3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>trvaní 56 týždňov</w:t>
      </w:r>
      <w:r w:rsidRPr="00BD01C9">
        <w:rPr>
          <w:spacing w:val="-1"/>
          <w:position w:val="1"/>
          <w:sz w:val="22"/>
          <w:szCs w:val="22"/>
        </w:rPr>
        <w:t xml:space="preserve"> </w:t>
      </w:r>
      <w:r w:rsidRPr="00BD01C9">
        <w:rPr>
          <w:position w:val="1"/>
          <w:sz w:val="22"/>
          <w:szCs w:val="22"/>
        </w:rPr>
        <w:t xml:space="preserve">s </w:t>
      </w:r>
      <w:r w:rsidRPr="00BD01C9">
        <w:rPr>
          <w:spacing w:val="-1"/>
          <w:position w:val="1"/>
          <w:sz w:val="22"/>
          <w:szCs w:val="22"/>
        </w:rPr>
        <w:t>dávkovaním</w:t>
      </w:r>
    </w:p>
    <w:p w14:paraId="43723A89" w14:textId="77777777" w:rsidR="00D43E06" w:rsidRPr="00BD01C9" w:rsidRDefault="00D43E06" w:rsidP="00D43E06">
      <w:pPr>
        <w:spacing w:before="6"/>
        <w:ind w:right="229"/>
        <w:jc w:val="both"/>
        <w:rPr>
          <w:sz w:val="22"/>
          <w:szCs w:val="22"/>
        </w:rPr>
      </w:pPr>
      <w:r w:rsidRPr="00BD01C9">
        <w:rPr>
          <w:sz w:val="22"/>
          <w:szCs w:val="22"/>
        </w:rPr>
        <w:t xml:space="preserve">BID. </w:t>
      </w:r>
      <w:r w:rsidR="00935EF2" w:rsidRPr="00BD01C9">
        <w:rPr>
          <w:sz w:val="22"/>
          <w:szCs w:val="22"/>
        </w:rPr>
        <w:t xml:space="preserve">Na základe sledovania cieľového parametra, šesťmesačného obdobia bez záchvatov, nebol pregabalín menej účinný ako lamotrigín. </w:t>
      </w:r>
      <w:r w:rsidRPr="00BD01C9">
        <w:rPr>
          <w:sz w:val="22"/>
          <w:szCs w:val="22"/>
        </w:rPr>
        <w:t>Pregabalín a lamotrigín boli podobne bezpečné a dobre tolerované.</w:t>
      </w:r>
      <w:r w:rsidR="00935EF2" w:rsidRPr="00BD01C9">
        <w:rPr>
          <w:sz w:val="22"/>
          <w:szCs w:val="22"/>
        </w:rPr>
        <w:t xml:space="preserve"> </w:t>
      </w:r>
    </w:p>
    <w:p w14:paraId="103C72F0" w14:textId="77777777" w:rsidR="00D43E06" w:rsidRPr="00BD01C9" w:rsidRDefault="00D43E06" w:rsidP="00D43E06">
      <w:pPr>
        <w:ind w:right="-20"/>
        <w:rPr>
          <w:i/>
          <w:sz w:val="22"/>
          <w:szCs w:val="20"/>
          <w:u w:val="single" w:color="000000"/>
        </w:rPr>
      </w:pPr>
    </w:p>
    <w:p w14:paraId="7A121A81" w14:textId="77777777" w:rsidR="00D43E06" w:rsidRPr="00BD01C9" w:rsidRDefault="00D43E06" w:rsidP="00AE2AAC">
      <w:pPr>
        <w:keepNext/>
        <w:ind w:right="-20"/>
        <w:rPr>
          <w:sz w:val="22"/>
          <w:szCs w:val="20"/>
        </w:rPr>
      </w:pPr>
      <w:r w:rsidRPr="00BD01C9">
        <w:rPr>
          <w:i/>
          <w:sz w:val="22"/>
          <w:szCs w:val="20"/>
        </w:rPr>
        <w:t>Generalizovaná</w:t>
      </w:r>
      <w:r w:rsidRPr="00BD01C9">
        <w:rPr>
          <w:i/>
          <w:spacing w:val="-30"/>
          <w:sz w:val="22"/>
          <w:szCs w:val="20"/>
        </w:rPr>
        <w:t xml:space="preserve"> </w:t>
      </w:r>
      <w:r w:rsidRPr="00BD01C9">
        <w:rPr>
          <w:i/>
          <w:sz w:val="22"/>
          <w:szCs w:val="20"/>
        </w:rPr>
        <w:t>úzkostná</w:t>
      </w:r>
      <w:r w:rsidRPr="00BD01C9">
        <w:rPr>
          <w:i/>
          <w:spacing w:val="-30"/>
          <w:sz w:val="22"/>
          <w:szCs w:val="20"/>
        </w:rPr>
        <w:t xml:space="preserve"> </w:t>
      </w:r>
      <w:r w:rsidRPr="00BD01C9">
        <w:rPr>
          <w:i/>
          <w:sz w:val="22"/>
          <w:szCs w:val="20"/>
        </w:rPr>
        <w:t>porucha</w:t>
      </w:r>
    </w:p>
    <w:p w14:paraId="238FC558" w14:textId="77777777" w:rsidR="00D43E06" w:rsidRPr="00BD01C9" w:rsidRDefault="00D43E06" w:rsidP="00AE2AAC">
      <w:pPr>
        <w:keepNext/>
        <w:spacing w:before="6"/>
        <w:ind w:right="325"/>
        <w:rPr>
          <w:sz w:val="22"/>
          <w:szCs w:val="20"/>
        </w:rPr>
      </w:pPr>
      <w:r w:rsidRPr="00BD01C9">
        <w:rPr>
          <w:sz w:val="22"/>
          <w:szCs w:val="20"/>
        </w:rPr>
        <w:t>Pregabalín sa študoval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6 kontrolovaných klinických skúšaniach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4 – 6 týždňov,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štúdii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so staršími osobami v</w:t>
      </w:r>
      <w:r w:rsidRPr="00BD01C9">
        <w:rPr>
          <w:spacing w:val="-3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8 týždňov a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dlhodobej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štúdii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zameranej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na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prevenciu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relapsu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s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dvojito zaslepenou fázou zameranou na prevenciu relapsu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trvaní 6 mesiacov.</w:t>
      </w:r>
    </w:p>
    <w:p w14:paraId="5D928BD2" w14:textId="77777777" w:rsidR="00D43E06" w:rsidRPr="00BD01C9" w:rsidRDefault="00D43E06" w:rsidP="00D43E06">
      <w:pPr>
        <w:ind w:right="-20"/>
        <w:rPr>
          <w:sz w:val="22"/>
          <w:szCs w:val="20"/>
        </w:rPr>
      </w:pPr>
      <w:r w:rsidRPr="00BD01C9">
        <w:rPr>
          <w:sz w:val="22"/>
          <w:szCs w:val="20"/>
        </w:rPr>
        <w:t>Ústup príznakov GAD vyjadrených Hamiltonovou škálou úzkosti (Hamilton Anxiety Rating</w:t>
      </w:r>
    </w:p>
    <w:p w14:paraId="5A0AE2BC" w14:textId="77777777" w:rsidR="00D43E06" w:rsidRPr="00BD01C9" w:rsidRDefault="00D43E06" w:rsidP="00D43E06">
      <w:pPr>
        <w:spacing w:before="6"/>
        <w:ind w:right="-20"/>
        <w:rPr>
          <w:sz w:val="22"/>
          <w:szCs w:val="20"/>
        </w:rPr>
      </w:pPr>
      <w:r w:rsidRPr="00BD01C9">
        <w:rPr>
          <w:sz w:val="22"/>
          <w:szCs w:val="20"/>
        </w:rPr>
        <w:t>Scale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= </w:t>
      </w:r>
      <w:r w:rsidRPr="00BD01C9">
        <w:rPr>
          <w:spacing w:val="-1"/>
          <w:sz w:val="22"/>
          <w:szCs w:val="20"/>
        </w:rPr>
        <w:t>HA</w:t>
      </w:r>
      <w:r w:rsidRPr="00BD01C9">
        <w:rPr>
          <w:spacing w:val="1"/>
          <w:sz w:val="22"/>
          <w:szCs w:val="20"/>
        </w:rPr>
        <w:t>M</w:t>
      </w:r>
      <w:r w:rsidRPr="00BD01C9">
        <w:rPr>
          <w:spacing w:val="-4"/>
          <w:sz w:val="22"/>
          <w:szCs w:val="20"/>
        </w:rPr>
        <w:t>-</w:t>
      </w:r>
      <w:r w:rsidRPr="00BD01C9">
        <w:rPr>
          <w:sz w:val="22"/>
          <w:szCs w:val="20"/>
        </w:rPr>
        <w:t>A) sa pozoroval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1. týždni.</w:t>
      </w:r>
    </w:p>
    <w:p w14:paraId="6EA93244" w14:textId="77777777" w:rsidR="00D43E06" w:rsidRPr="00BD01C9" w:rsidRDefault="00D43E06" w:rsidP="00D43E06">
      <w:pPr>
        <w:rPr>
          <w:sz w:val="22"/>
          <w:szCs w:val="20"/>
        </w:rPr>
      </w:pPr>
    </w:p>
    <w:p w14:paraId="6BFA5116" w14:textId="77777777" w:rsidR="00D43E06" w:rsidRPr="00BD01C9" w:rsidRDefault="00D43E06" w:rsidP="00D43E06">
      <w:pPr>
        <w:ind w:right="137"/>
        <w:rPr>
          <w:sz w:val="22"/>
          <w:szCs w:val="20"/>
        </w:rPr>
      </w:pPr>
      <w:r w:rsidRPr="00BD01C9">
        <w:rPr>
          <w:sz w:val="22"/>
          <w:szCs w:val="20"/>
        </w:rPr>
        <w:t>V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kontrolovaných klinických skúšaniach </w:t>
      </w:r>
      <w:r w:rsidRPr="00BD01C9">
        <w:rPr>
          <w:spacing w:val="1"/>
          <w:sz w:val="22"/>
          <w:szCs w:val="20"/>
        </w:rPr>
        <w:t>(</w:t>
      </w:r>
      <w:r w:rsidRPr="00BD01C9">
        <w:rPr>
          <w:sz w:val="22"/>
          <w:szCs w:val="20"/>
        </w:rPr>
        <w:t>v</w:t>
      </w:r>
      <w:r w:rsidRPr="00BD01C9">
        <w:rPr>
          <w:spacing w:val="-2"/>
          <w:sz w:val="22"/>
          <w:szCs w:val="20"/>
        </w:rPr>
        <w:t xml:space="preserve"> </w:t>
      </w:r>
      <w:r w:rsidR="00926A3F" w:rsidRPr="00BD01C9">
        <w:rPr>
          <w:sz w:val="22"/>
          <w:szCs w:val="20"/>
        </w:rPr>
        <w:t>trvaní 4 – 8 týždň</w:t>
      </w:r>
      <w:r w:rsidRPr="00BD01C9">
        <w:rPr>
          <w:sz w:val="22"/>
          <w:szCs w:val="20"/>
        </w:rPr>
        <w:t>ov) 52 %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l</w:t>
      </w:r>
      <w:r w:rsidRPr="00BD01C9">
        <w:rPr>
          <w:spacing w:val="1"/>
          <w:sz w:val="22"/>
          <w:szCs w:val="20"/>
        </w:rPr>
        <w:t>i</w:t>
      </w:r>
      <w:r w:rsidRPr="00BD01C9">
        <w:rPr>
          <w:sz w:val="22"/>
          <w:szCs w:val="20"/>
        </w:rPr>
        <w:t>ečených pregabalínom a 38 % pacientov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skupine s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placebom malo aspoň 50 % zlepšenie celkového HAM</w:t>
      </w:r>
      <w:r w:rsidRPr="00BD01C9">
        <w:rPr>
          <w:spacing w:val="-4"/>
          <w:sz w:val="22"/>
          <w:szCs w:val="20"/>
        </w:rPr>
        <w:t>-</w:t>
      </w:r>
      <w:r w:rsidRPr="00BD01C9">
        <w:rPr>
          <w:sz w:val="22"/>
          <w:szCs w:val="20"/>
        </w:rPr>
        <w:t>A skóre od začiatku až po koniec sledovania.</w:t>
      </w:r>
    </w:p>
    <w:p w14:paraId="7D05B8E4" w14:textId="77777777" w:rsidR="00D43E06" w:rsidRPr="00BD01C9" w:rsidRDefault="00D43E06" w:rsidP="00D43E06">
      <w:pPr>
        <w:rPr>
          <w:sz w:val="22"/>
          <w:szCs w:val="20"/>
        </w:rPr>
      </w:pPr>
    </w:p>
    <w:p w14:paraId="5F93056D" w14:textId="178D08A4" w:rsidR="00D43E06" w:rsidRPr="00BD01C9" w:rsidRDefault="00D43E06" w:rsidP="00307638">
      <w:pPr>
        <w:ind w:right="110"/>
        <w:rPr>
          <w:sz w:val="22"/>
          <w:szCs w:val="20"/>
        </w:rPr>
      </w:pPr>
      <w:r w:rsidRPr="00BD01C9">
        <w:rPr>
          <w:sz w:val="22"/>
          <w:szCs w:val="20"/>
        </w:rPr>
        <w:t>V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kontrolovaných klinických skúšaniach hlásila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väčšia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časť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liečených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pregabalínom</w:t>
      </w:r>
      <w:r w:rsidRPr="00BD01C9">
        <w:rPr>
          <w:spacing w:val="-4"/>
          <w:sz w:val="22"/>
          <w:szCs w:val="20"/>
        </w:rPr>
        <w:t xml:space="preserve"> </w:t>
      </w:r>
      <w:r w:rsidRPr="00BD01C9">
        <w:rPr>
          <w:spacing w:val="-1"/>
          <w:sz w:val="22"/>
          <w:szCs w:val="20"/>
        </w:rPr>
        <w:t xml:space="preserve">ako </w:t>
      </w:r>
      <w:r w:rsidRPr="00BD01C9">
        <w:rPr>
          <w:sz w:val="22"/>
          <w:szCs w:val="20"/>
        </w:rPr>
        <w:t>pacientov</w:t>
      </w:r>
      <w:r w:rsidR="00926A3F" w:rsidRPr="00BD01C9">
        <w:rPr>
          <w:sz w:val="22"/>
          <w:szCs w:val="20"/>
        </w:rPr>
        <w:t>, ktor</w:t>
      </w:r>
      <w:r w:rsidR="005B3F5F" w:rsidRPr="00BD01C9">
        <w:rPr>
          <w:sz w:val="22"/>
          <w:szCs w:val="20"/>
        </w:rPr>
        <w:t>í</w:t>
      </w:r>
      <w:r w:rsidR="00926A3F" w:rsidRPr="00BD01C9">
        <w:rPr>
          <w:sz w:val="22"/>
          <w:szCs w:val="20"/>
        </w:rPr>
        <w:t xml:space="preserve"> užívali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placebo</w:t>
      </w:r>
      <w:r w:rsidRPr="00BD01C9">
        <w:rPr>
          <w:spacing w:val="-4"/>
          <w:sz w:val="22"/>
          <w:szCs w:val="20"/>
        </w:rPr>
        <w:t xml:space="preserve"> </w:t>
      </w:r>
      <w:r w:rsidRPr="00BD01C9">
        <w:rPr>
          <w:sz w:val="22"/>
          <w:szCs w:val="20"/>
        </w:rPr>
        <w:t>rozmazané videnie, ktoré vo väčšine prípadov ustúpilo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pri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pokračovaní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pacing w:val="-1"/>
          <w:sz w:val="22"/>
          <w:szCs w:val="20"/>
        </w:rPr>
        <w:t>dávkovan</w:t>
      </w:r>
      <w:r w:rsidRPr="00BD01C9">
        <w:rPr>
          <w:spacing w:val="1"/>
          <w:sz w:val="22"/>
          <w:szCs w:val="20"/>
        </w:rPr>
        <w:t>í</w:t>
      </w:r>
      <w:r w:rsidRPr="00BD01C9">
        <w:rPr>
          <w:sz w:val="22"/>
          <w:szCs w:val="20"/>
        </w:rPr>
        <w:t>. Oftalmologické vyšetrenie (vrátane vyšetrenia zrakovej ostrosti, formálneho vyšetrenia zorného poľa a vyšetrenia očného pozadia pri rozšírených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zreniciach)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sa </w:t>
      </w:r>
      <w:r w:rsidRPr="00BD01C9">
        <w:rPr>
          <w:spacing w:val="-1"/>
          <w:sz w:val="22"/>
          <w:szCs w:val="20"/>
        </w:rPr>
        <w:t>vykonal</w:t>
      </w:r>
      <w:r w:rsidRPr="00BD01C9">
        <w:rPr>
          <w:sz w:val="22"/>
          <w:szCs w:val="20"/>
        </w:rPr>
        <w:t>o u viac ako</w:t>
      </w:r>
      <w:r w:rsidR="00307638" w:rsidRPr="00BD01C9">
        <w:rPr>
          <w:sz w:val="22"/>
          <w:szCs w:val="20"/>
        </w:rPr>
        <w:t xml:space="preserve"> </w:t>
      </w:r>
      <w:r w:rsidRPr="00BD01C9">
        <w:rPr>
          <w:sz w:val="22"/>
          <w:szCs w:val="20"/>
        </w:rPr>
        <w:t>3 600 pacientov 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rámci kontrolovaných klinických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skúšan</w:t>
      </w:r>
      <w:r w:rsidRPr="00BD01C9">
        <w:rPr>
          <w:spacing w:val="1"/>
          <w:sz w:val="22"/>
          <w:szCs w:val="20"/>
        </w:rPr>
        <w:t>í</w:t>
      </w:r>
      <w:r w:rsidRPr="00BD01C9">
        <w:rPr>
          <w:sz w:val="22"/>
          <w:szCs w:val="20"/>
        </w:rPr>
        <w:t>. U</w:t>
      </w:r>
      <w:r w:rsidRPr="00BD01C9">
        <w:rPr>
          <w:spacing w:val="-1"/>
          <w:sz w:val="22"/>
          <w:szCs w:val="20"/>
        </w:rPr>
        <w:t xml:space="preserve"> </w:t>
      </w:r>
      <w:r w:rsidRPr="00BD01C9">
        <w:rPr>
          <w:sz w:val="22"/>
          <w:szCs w:val="20"/>
        </w:rPr>
        <w:t>týchto pacientov bola zraková ostrosť znížená u 6,5 %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 liečených pregabalínom 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4,8 %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pacientov </w:t>
      </w:r>
      <w:r w:rsidR="00926A3F" w:rsidRPr="00BD01C9">
        <w:rPr>
          <w:sz w:val="22"/>
          <w:szCs w:val="20"/>
        </w:rPr>
        <w:t>užívajúcich</w:t>
      </w:r>
      <w:r w:rsidRPr="00BD01C9">
        <w:rPr>
          <w:sz w:val="22"/>
          <w:szCs w:val="20"/>
        </w:rPr>
        <w:t xml:space="preserve"> placebo. Zmeny zrakového poľa sa zistili u 12,4 %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-2"/>
          <w:sz w:val="22"/>
          <w:szCs w:val="20"/>
        </w:rPr>
        <w:t xml:space="preserve"> </w:t>
      </w:r>
      <w:r w:rsidRPr="00BD01C9">
        <w:rPr>
          <w:sz w:val="22"/>
          <w:szCs w:val="20"/>
        </w:rPr>
        <w:t>liečených pregabalínom a 11,7 %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>pacientov</w:t>
      </w:r>
      <w:r w:rsidRPr="00BD01C9">
        <w:rPr>
          <w:spacing w:val="1"/>
          <w:sz w:val="22"/>
          <w:szCs w:val="20"/>
        </w:rPr>
        <w:t xml:space="preserve"> </w:t>
      </w:r>
      <w:r w:rsidR="00926A3F" w:rsidRPr="00BD01C9">
        <w:rPr>
          <w:sz w:val="22"/>
          <w:szCs w:val="20"/>
        </w:rPr>
        <w:t>užívajúcich placebo</w:t>
      </w:r>
      <w:r w:rsidRPr="00BD01C9">
        <w:rPr>
          <w:sz w:val="22"/>
          <w:szCs w:val="20"/>
        </w:rPr>
        <w:t>. Zmeny na očnom pozadí sa pozorovali u 1,7 % pacientov liečených pregabalínom a</w:t>
      </w:r>
      <w:r w:rsidRPr="00BD01C9">
        <w:rPr>
          <w:spacing w:val="1"/>
          <w:sz w:val="22"/>
          <w:szCs w:val="20"/>
        </w:rPr>
        <w:t xml:space="preserve"> </w:t>
      </w:r>
      <w:r w:rsidRPr="00BD01C9">
        <w:rPr>
          <w:sz w:val="22"/>
          <w:szCs w:val="20"/>
        </w:rPr>
        <w:t xml:space="preserve">2,1 % pacientov </w:t>
      </w:r>
      <w:r w:rsidR="00926A3F" w:rsidRPr="00BD01C9">
        <w:rPr>
          <w:sz w:val="22"/>
          <w:szCs w:val="20"/>
        </w:rPr>
        <w:t>užívajúcich</w:t>
      </w:r>
      <w:r w:rsidRPr="00BD01C9">
        <w:rPr>
          <w:sz w:val="22"/>
          <w:szCs w:val="20"/>
        </w:rPr>
        <w:t xml:space="preserve"> placebo.</w:t>
      </w:r>
    </w:p>
    <w:p w14:paraId="1D46F288" w14:textId="77777777" w:rsidR="00C45302" w:rsidRPr="00BD01C9" w:rsidRDefault="00C45302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45D2FB23" w14:textId="77777777" w:rsidR="00A0467A" w:rsidRPr="00BD01C9" w:rsidRDefault="00A0467A" w:rsidP="00642CF4">
      <w:pPr>
        <w:keepNext/>
        <w:numPr>
          <w:ilvl w:val="1"/>
          <w:numId w:val="17"/>
        </w:numPr>
        <w:tabs>
          <w:tab w:val="clear" w:pos="405"/>
          <w:tab w:val="num" w:pos="7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Farmakokinetické vlastnosti</w:t>
      </w:r>
    </w:p>
    <w:p w14:paraId="49F93C3D" w14:textId="77777777" w:rsidR="00307638" w:rsidRPr="00BD01C9" w:rsidRDefault="00307638" w:rsidP="00642CF4">
      <w:pPr>
        <w:keepNext/>
        <w:spacing w:line="245" w:lineRule="auto"/>
        <w:ind w:right="178"/>
        <w:rPr>
          <w:sz w:val="22"/>
          <w:szCs w:val="22"/>
        </w:rPr>
      </w:pPr>
    </w:p>
    <w:p w14:paraId="7988D7C8" w14:textId="77777777" w:rsidR="00307638" w:rsidRPr="00BD01C9" w:rsidRDefault="00307638" w:rsidP="00642CF4">
      <w:pPr>
        <w:keepNext/>
        <w:spacing w:line="245" w:lineRule="auto"/>
        <w:ind w:right="178"/>
        <w:rPr>
          <w:sz w:val="22"/>
          <w:szCs w:val="22"/>
        </w:rPr>
      </w:pPr>
      <w:r w:rsidRPr="00BD01C9">
        <w:rPr>
          <w:sz w:val="22"/>
          <w:szCs w:val="22"/>
        </w:rPr>
        <w:t>Farmakokinetika pregabalínu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rovnovážno</w:t>
      </w:r>
      <w:r w:rsidRPr="00BD01C9">
        <w:rPr>
          <w:sz w:val="22"/>
          <w:szCs w:val="22"/>
        </w:rPr>
        <w:t>m</w:t>
      </w:r>
      <w:r w:rsidRPr="00BD01C9">
        <w:rPr>
          <w:spacing w:val="-1"/>
          <w:sz w:val="22"/>
          <w:szCs w:val="22"/>
        </w:rPr>
        <w:t xml:space="preserve"> s</w:t>
      </w:r>
      <w:r w:rsidRPr="00BD01C9">
        <w:rPr>
          <w:spacing w:val="1"/>
          <w:sz w:val="22"/>
          <w:szCs w:val="22"/>
        </w:rPr>
        <w:t>t</w:t>
      </w:r>
      <w:r w:rsidRPr="00BD01C9">
        <w:rPr>
          <w:sz w:val="22"/>
          <w:szCs w:val="22"/>
        </w:rPr>
        <w:t>ave je podobná u zdravých dobrovoľníkov,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epilepsiou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užívajúc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antiepileptiká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chronickou bolesťou.</w:t>
      </w:r>
    </w:p>
    <w:p w14:paraId="11CB1BE1" w14:textId="77777777" w:rsidR="00A0467A" w:rsidRPr="00BD01C9" w:rsidRDefault="00A0467A" w:rsidP="00D43E06">
      <w:pPr>
        <w:pStyle w:val="EMEAEnBodyText"/>
        <w:keepNext/>
        <w:spacing w:before="0" w:after="0"/>
        <w:jc w:val="left"/>
        <w:rPr>
          <w:szCs w:val="22"/>
          <w:lang w:val="sk-SK"/>
        </w:rPr>
      </w:pPr>
    </w:p>
    <w:p w14:paraId="37F942E8" w14:textId="77777777" w:rsidR="00A0467A" w:rsidRPr="00BD01C9" w:rsidRDefault="00A0467A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Absorpcia</w:t>
      </w:r>
    </w:p>
    <w:p w14:paraId="708892A6" w14:textId="77777777" w:rsidR="00ED1AB3" w:rsidRPr="00BD01C9" w:rsidRDefault="00ED1AB3" w:rsidP="003C2BBB">
      <w:pPr>
        <w:ind w:right="210"/>
        <w:rPr>
          <w:sz w:val="22"/>
          <w:szCs w:val="22"/>
        </w:rPr>
      </w:pPr>
      <w:r w:rsidRPr="00BD01C9">
        <w:rPr>
          <w:sz w:val="22"/>
          <w:szCs w:val="22"/>
        </w:rPr>
        <w:t>Pregabalín sa 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podaní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nalačno rýchlo vstrebáva, maximálne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plazmatic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koncentrác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dosiahnu do 1 hodiny po podaní</w:t>
      </w:r>
      <w:r w:rsidRPr="00BD01C9">
        <w:rPr>
          <w:spacing w:val="1"/>
          <w:sz w:val="22"/>
          <w:szCs w:val="22"/>
        </w:rPr>
        <w:t xml:space="preserve"> </w:t>
      </w:r>
      <w:r w:rsidR="003C2BBB" w:rsidRPr="00BD01C9">
        <w:rPr>
          <w:sz w:val="22"/>
          <w:szCs w:val="22"/>
        </w:rPr>
        <w:t>jednorazovej</w:t>
      </w:r>
      <w:r w:rsidRPr="00BD01C9">
        <w:rPr>
          <w:sz w:val="22"/>
          <w:szCs w:val="22"/>
        </w:rPr>
        <w:t xml:space="preserve"> aj viacnásobnej dávky. </w:t>
      </w:r>
      <w:r w:rsidRPr="00BD01C9">
        <w:rPr>
          <w:spacing w:val="-1"/>
          <w:sz w:val="22"/>
          <w:szCs w:val="22"/>
        </w:rPr>
        <w:t>B</w:t>
      </w:r>
      <w:r w:rsidRPr="00BD01C9">
        <w:rPr>
          <w:sz w:val="22"/>
          <w:szCs w:val="22"/>
        </w:rPr>
        <w:t>iologická dostupnosť pregabalínu po perorálnom podaní 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odhaduje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rFonts w:eastAsia="Symbol"/>
          <w:sz w:val="22"/>
          <w:szCs w:val="22"/>
        </w:rPr>
        <w:t>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90 % a je nezávislá na dávke. Po opakovanom podaní sa rovnovážny stav dosiahne počas 24 až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48 hodín. Rýchlosť absorpcie pregabalínu sa zníži, keď sa podáva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jedlom, čo sa prejaví poklesom </w:t>
      </w:r>
      <w:r w:rsidRPr="00BD01C9">
        <w:rPr>
          <w:spacing w:val="-1"/>
          <w:sz w:val="22"/>
          <w:szCs w:val="22"/>
        </w:rPr>
        <w:t>C</w:t>
      </w:r>
      <w:r w:rsidRPr="00BD01C9">
        <w:rPr>
          <w:spacing w:val="-5"/>
          <w:position w:val="-3"/>
          <w:sz w:val="22"/>
          <w:szCs w:val="22"/>
          <w:vertAlign w:val="subscript"/>
        </w:rPr>
        <w:t>m</w:t>
      </w:r>
      <w:r w:rsidRPr="00BD01C9">
        <w:rPr>
          <w:spacing w:val="1"/>
          <w:position w:val="-3"/>
          <w:sz w:val="22"/>
          <w:szCs w:val="22"/>
          <w:vertAlign w:val="subscript"/>
        </w:rPr>
        <w:t>a</w:t>
      </w:r>
      <w:r w:rsidRPr="00BD01C9">
        <w:rPr>
          <w:position w:val="-3"/>
          <w:sz w:val="22"/>
          <w:szCs w:val="22"/>
          <w:vertAlign w:val="subscript"/>
        </w:rPr>
        <w:t>x</w:t>
      </w:r>
      <w:r w:rsidRPr="00BD01C9">
        <w:rPr>
          <w:spacing w:val="16"/>
          <w:position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25 – 30 %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predĺžením </w:t>
      </w:r>
      <w:r w:rsidRPr="00BD01C9">
        <w:rPr>
          <w:spacing w:val="1"/>
          <w:sz w:val="22"/>
          <w:szCs w:val="22"/>
        </w:rPr>
        <w:t>t</w:t>
      </w:r>
      <w:r w:rsidRPr="00BD01C9">
        <w:rPr>
          <w:spacing w:val="-5"/>
          <w:position w:val="-3"/>
          <w:sz w:val="22"/>
          <w:szCs w:val="22"/>
          <w:vertAlign w:val="subscript"/>
        </w:rPr>
        <w:t>m</w:t>
      </w:r>
      <w:r w:rsidRPr="00BD01C9">
        <w:rPr>
          <w:spacing w:val="1"/>
          <w:position w:val="-3"/>
          <w:sz w:val="22"/>
          <w:szCs w:val="22"/>
          <w:vertAlign w:val="subscript"/>
        </w:rPr>
        <w:t>a</w:t>
      </w:r>
      <w:r w:rsidRPr="00BD01C9">
        <w:rPr>
          <w:position w:val="-3"/>
          <w:sz w:val="22"/>
          <w:szCs w:val="22"/>
          <w:vertAlign w:val="subscript"/>
        </w:rPr>
        <w:t>x</w:t>
      </w:r>
      <w:r w:rsidRPr="00BD01C9">
        <w:rPr>
          <w:spacing w:val="16"/>
          <w:position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="003C2BBB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2,5 hodiny. Avšak podávanie pregabalínu s jedlom nemá klinicky signifikantný účinok na mieru absorpcie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pregabalínu.</w:t>
      </w:r>
    </w:p>
    <w:p w14:paraId="426ED860" w14:textId="77777777" w:rsidR="008120E3" w:rsidRPr="00BD01C9" w:rsidRDefault="008120E3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316FAE45" w14:textId="77777777" w:rsidR="00A0467A" w:rsidRPr="00BD01C9" w:rsidRDefault="00A0467A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Distribúcia</w:t>
      </w:r>
    </w:p>
    <w:p w14:paraId="247D6D47" w14:textId="77777777" w:rsidR="00ED1AB3" w:rsidRPr="00BD01C9" w:rsidRDefault="00ED1AB3" w:rsidP="00ED1AB3">
      <w:pPr>
        <w:ind w:right="523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predklinických štúdiách </w:t>
      </w:r>
      <w:r w:rsidRPr="00BD01C9">
        <w:rPr>
          <w:spacing w:val="1"/>
          <w:sz w:val="22"/>
          <w:szCs w:val="22"/>
        </w:rPr>
        <w:t>s</w:t>
      </w:r>
      <w:r w:rsidRPr="00BD01C9">
        <w:rPr>
          <w:sz w:val="22"/>
          <w:szCs w:val="22"/>
        </w:rPr>
        <w:t xml:space="preserve">a potvrdil prienik pregabalínu cez hematoencefalickú bariéru u </w:t>
      </w:r>
      <w:r w:rsidRPr="00BD01C9">
        <w:rPr>
          <w:spacing w:val="-1"/>
          <w:sz w:val="22"/>
          <w:szCs w:val="22"/>
        </w:rPr>
        <w:t xml:space="preserve">myší, </w:t>
      </w:r>
      <w:r w:rsidRPr="00BD01C9">
        <w:rPr>
          <w:sz w:val="22"/>
          <w:szCs w:val="22"/>
        </w:rPr>
        <w:t>potkanov a opíc. Bolo dokázané, že pre</w:t>
      </w:r>
      <w:r w:rsidRPr="00BD01C9">
        <w:rPr>
          <w:spacing w:val="-3"/>
          <w:sz w:val="22"/>
          <w:szCs w:val="22"/>
        </w:rPr>
        <w:t>g</w:t>
      </w:r>
      <w:r w:rsidRPr="00BD01C9">
        <w:rPr>
          <w:sz w:val="22"/>
          <w:szCs w:val="22"/>
        </w:rPr>
        <w:t>abalín prechádza cez placentu u potkanov a nachádza sa</w:t>
      </w:r>
    </w:p>
    <w:p w14:paraId="7AD5F8F5" w14:textId="77777777" w:rsidR="00ED1AB3" w:rsidRPr="00BD01C9" w:rsidRDefault="00ED1AB3" w:rsidP="00ED1AB3">
      <w:pPr>
        <w:ind w:right="252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mlieku laktujúcich potkanov. U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ľudí je zdanlivý distribučný objem pregabalínu po perorá</w:t>
      </w:r>
      <w:r w:rsidRPr="00BD01C9">
        <w:rPr>
          <w:spacing w:val="1"/>
          <w:sz w:val="22"/>
          <w:szCs w:val="22"/>
        </w:rPr>
        <w:t>l</w:t>
      </w:r>
      <w:r w:rsidRPr="00BD01C9">
        <w:rPr>
          <w:spacing w:val="-1"/>
          <w:sz w:val="22"/>
          <w:szCs w:val="22"/>
        </w:rPr>
        <w:t xml:space="preserve">nom </w:t>
      </w:r>
      <w:r w:rsidRPr="00BD01C9">
        <w:rPr>
          <w:sz w:val="22"/>
          <w:szCs w:val="22"/>
        </w:rPr>
        <w:t>podaní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0,56 l/kg. Pregabalín sa neviaže na plazmatické proteíny.</w:t>
      </w:r>
    </w:p>
    <w:p w14:paraId="7DBCC9BC" w14:textId="77777777" w:rsidR="00A0467A" w:rsidRPr="00BD01C9" w:rsidRDefault="00A0467A" w:rsidP="00ED1AB3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</w:p>
    <w:p w14:paraId="4E941F84" w14:textId="77777777" w:rsidR="00A0467A" w:rsidRPr="00BD01C9" w:rsidRDefault="00307638" w:rsidP="00D43E06">
      <w:pPr>
        <w:pStyle w:val="Oznaitext"/>
        <w:ind w:left="0" w:right="0" w:firstLine="0"/>
        <w:jc w:val="left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 xml:space="preserve">Biotransformácia </w:t>
      </w:r>
    </w:p>
    <w:p w14:paraId="2389EC49" w14:textId="77777777" w:rsidR="00ED1AB3" w:rsidRPr="00BD01C9" w:rsidRDefault="00ED1AB3" w:rsidP="00ED1AB3">
      <w:pPr>
        <w:spacing w:before="6" w:line="245" w:lineRule="auto"/>
        <w:ind w:right="415"/>
        <w:rPr>
          <w:sz w:val="22"/>
          <w:szCs w:val="22"/>
        </w:rPr>
      </w:pPr>
      <w:r w:rsidRPr="00BD01C9">
        <w:rPr>
          <w:sz w:val="22"/>
          <w:szCs w:val="22"/>
        </w:rPr>
        <w:t>Pregabalín u ľudí podlieha zanedbateľnému metabolizmu. Po podaní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rádio</w:t>
      </w:r>
      <w:r w:rsidR="00C275E9" w:rsidRPr="00BD01C9">
        <w:rPr>
          <w:sz w:val="22"/>
          <w:szCs w:val="22"/>
        </w:rPr>
        <w:t>aktívne o</w:t>
      </w:r>
      <w:r w:rsidRPr="00BD01C9">
        <w:rPr>
          <w:sz w:val="22"/>
          <w:szCs w:val="22"/>
        </w:rPr>
        <w:t>značeného 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približne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98 % rádioaktivity stanovenej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moči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</w:t>
      </w:r>
      <w:r w:rsidRPr="00BD01C9">
        <w:rPr>
          <w:spacing w:val="1"/>
          <w:sz w:val="22"/>
          <w:szCs w:val="22"/>
        </w:rPr>
        <w:t>r</w:t>
      </w:r>
      <w:r w:rsidRPr="00BD01C9">
        <w:rPr>
          <w:sz w:val="22"/>
          <w:szCs w:val="22"/>
        </w:rPr>
        <w:t xml:space="preserve">edstavoval nezmenený pregabalín. </w:t>
      </w:r>
      <w:r w:rsidRPr="00BD01C9">
        <w:rPr>
          <w:spacing w:val="-1"/>
          <w:sz w:val="22"/>
          <w:szCs w:val="22"/>
        </w:rPr>
        <w:t>N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metylovaný derivát pregabalínu, hlavný metabolit pregabalínu v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moči, predstavoval</w:t>
      </w:r>
    </w:p>
    <w:p w14:paraId="7D3A847B" w14:textId="3B70DB99" w:rsidR="00ED1AB3" w:rsidRPr="00BD01C9" w:rsidRDefault="00ED1AB3" w:rsidP="00ED1AB3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0,9 %.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predklinických štúdiách sa nezistila racemizácia S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enan</w:t>
      </w:r>
      <w:r w:rsidR="00E34708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ioméru pregabalínu na</w:t>
      </w:r>
    </w:p>
    <w:p w14:paraId="48F96C54" w14:textId="73A53F31" w:rsidR="00A0467A" w:rsidRPr="00BD01C9" w:rsidRDefault="00ED1AB3" w:rsidP="00ED1AB3">
      <w:pPr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R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enan</w:t>
      </w:r>
      <w:r w:rsidR="00E34708" w:rsidRPr="00BD01C9">
        <w:rPr>
          <w:sz w:val="22"/>
          <w:szCs w:val="22"/>
        </w:rPr>
        <w:t>t</w:t>
      </w:r>
      <w:r w:rsidRPr="00BD01C9">
        <w:rPr>
          <w:sz w:val="22"/>
          <w:szCs w:val="22"/>
        </w:rPr>
        <w:t>iomér.</w:t>
      </w:r>
    </w:p>
    <w:p w14:paraId="23BD9FEB" w14:textId="77777777" w:rsidR="00ED1AB3" w:rsidRPr="00BD01C9" w:rsidRDefault="00ED1AB3" w:rsidP="00ED1AB3">
      <w:pPr>
        <w:rPr>
          <w:sz w:val="22"/>
          <w:szCs w:val="22"/>
        </w:rPr>
      </w:pPr>
    </w:p>
    <w:p w14:paraId="3CACC633" w14:textId="77777777" w:rsidR="00A0467A" w:rsidRPr="00BD01C9" w:rsidRDefault="00362FD1" w:rsidP="00D43E06">
      <w:pPr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Eliminácia</w:t>
      </w:r>
    </w:p>
    <w:p w14:paraId="4B3C6579" w14:textId="77777777" w:rsidR="009B343D" w:rsidRPr="00BD01C9" w:rsidRDefault="009B343D" w:rsidP="00C275E9">
      <w:pPr>
        <w:spacing w:before="6" w:line="245" w:lineRule="auto"/>
        <w:ind w:right="257"/>
        <w:rPr>
          <w:sz w:val="22"/>
          <w:szCs w:val="22"/>
        </w:rPr>
      </w:pPr>
      <w:r w:rsidRPr="00BD01C9">
        <w:rPr>
          <w:sz w:val="22"/>
          <w:szCs w:val="22"/>
        </w:rPr>
        <w:t>Pregabalín sa eliminuje zo systémovej cirkulácie primárne renálnou exkréciou v</w:t>
      </w:r>
      <w:r w:rsidRPr="00BD01C9">
        <w:rPr>
          <w:spacing w:val="-3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forme. Priemerný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eliminačný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polčas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6,3 hodiny. Plazmatický klírens a renálny klírens pregabalínu sú priamo úmerné klírensu kreatinínu (pozri časť 5.2 Porucha funkcie obličiek).</w:t>
      </w:r>
      <w:r w:rsidR="00C275E9" w:rsidRPr="00BD01C9">
        <w:rPr>
          <w:sz w:val="22"/>
          <w:szCs w:val="22"/>
        </w:rPr>
        <w:t xml:space="preserve"> </w:t>
      </w:r>
      <w:r w:rsidRPr="00BD01C9">
        <w:rPr>
          <w:spacing w:val="3"/>
          <w:sz w:val="22"/>
          <w:szCs w:val="22"/>
        </w:rPr>
        <w:t>J</w:t>
      </w:r>
      <w:r w:rsidRPr="00BD01C9">
        <w:rPr>
          <w:sz w:val="22"/>
          <w:szCs w:val="22"/>
        </w:rPr>
        <w:t>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potrebné upraviť dáv</w:t>
      </w:r>
      <w:r w:rsidRPr="00BD01C9">
        <w:rPr>
          <w:spacing w:val="-3"/>
          <w:sz w:val="22"/>
          <w:szCs w:val="22"/>
        </w:rPr>
        <w:t>k</w:t>
      </w:r>
      <w:r w:rsidRPr="00BD01C9">
        <w:rPr>
          <w:sz w:val="22"/>
          <w:szCs w:val="22"/>
        </w:rPr>
        <w:t>u u pacientov so zníženými renálnymi funkciami alebo u hemodialyzovaných pacientov (pozri časť 4.2 Tabuľka 1).</w:t>
      </w:r>
    </w:p>
    <w:p w14:paraId="670DAFB7" w14:textId="77777777" w:rsidR="00307638" w:rsidRPr="00BD01C9" w:rsidRDefault="00307638" w:rsidP="009B343D">
      <w:pPr>
        <w:rPr>
          <w:sz w:val="22"/>
          <w:szCs w:val="22"/>
          <w:u w:val="single"/>
        </w:rPr>
      </w:pPr>
    </w:p>
    <w:p w14:paraId="131AFABE" w14:textId="77777777" w:rsidR="00A0467A" w:rsidRPr="00BD01C9" w:rsidRDefault="00307638" w:rsidP="00BD01C9">
      <w:pPr>
        <w:pStyle w:val="Zarkazkladnhotextu2"/>
        <w:keepNext/>
        <w:ind w:left="0" w:firstLine="0"/>
        <w:jc w:val="left"/>
        <w:rPr>
          <w:sz w:val="22"/>
          <w:szCs w:val="22"/>
          <w:u w:val="single"/>
          <w:lang w:val="sk-SK"/>
        </w:rPr>
      </w:pPr>
      <w:r w:rsidRPr="00BD01C9">
        <w:rPr>
          <w:sz w:val="22"/>
          <w:szCs w:val="22"/>
          <w:u w:val="single"/>
          <w:lang w:val="sk-SK"/>
        </w:rPr>
        <w:t>Linearita/nelinearita</w:t>
      </w:r>
    </w:p>
    <w:p w14:paraId="0D11F6C9" w14:textId="77777777" w:rsidR="009B343D" w:rsidRPr="00BD01C9" w:rsidRDefault="009B343D" w:rsidP="00BD01C9">
      <w:pPr>
        <w:keepNext/>
        <w:spacing w:before="6" w:line="245" w:lineRule="auto"/>
        <w:ind w:right="263"/>
        <w:rPr>
          <w:sz w:val="22"/>
          <w:szCs w:val="22"/>
        </w:rPr>
      </w:pPr>
      <w:r w:rsidRPr="00BD01C9">
        <w:rPr>
          <w:sz w:val="22"/>
          <w:szCs w:val="22"/>
        </w:rPr>
        <w:t>Farmakokinetika pregabalínu je lineárna v odporúčanom rozsahu denných dávok. Interindiv</w:t>
      </w:r>
      <w:r w:rsidR="009872B0" w:rsidRPr="00BD01C9">
        <w:rPr>
          <w:sz w:val="22"/>
          <w:szCs w:val="22"/>
        </w:rPr>
        <w:t>i</w:t>
      </w:r>
      <w:r w:rsidRPr="00BD01C9">
        <w:rPr>
          <w:sz w:val="22"/>
          <w:szCs w:val="22"/>
        </w:rPr>
        <w:t xml:space="preserve">duálna </w:t>
      </w:r>
      <w:r w:rsidRPr="00BD01C9">
        <w:rPr>
          <w:spacing w:val="-1"/>
          <w:sz w:val="22"/>
          <w:szCs w:val="22"/>
        </w:rPr>
        <w:t>farmakoki</w:t>
      </w:r>
      <w:r w:rsidRPr="00BD01C9">
        <w:rPr>
          <w:sz w:val="22"/>
          <w:szCs w:val="22"/>
        </w:rPr>
        <w:t>netická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variabilita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nízka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(&lt; 20 %). Farmakokinetiku pri opakovaných dávkach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predpovedať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údajov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jednej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dávke.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Preto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nie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potrebné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bežné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monitorovanie plazmatických koncentrácií pregabalínu.</w:t>
      </w:r>
    </w:p>
    <w:p w14:paraId="0535337F" w14:textId="77777777" w:rsidR="00307638" w:rsidRPr="00BD01C9" w:rsidRDefault="00307638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</w:p>
    <w:p w14:paraId="650544A2" w14:textId="77777777" w:rsidR="00A0467A" w:rsidRPr="00BD01C9" w:rsidRDefault="009B343D" w:rsidP="00D43E06">
      <w:pPr>
        <w:pStyle w:val="Zarkazkladnhotextu2"/>
        <w:ind w:left="0" w:firstLine="0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u w:val="single"/>
          <w:lang w:val="sk-SK"/>
        </w:rPr>
        <w:t>Pohlavie</w:t>
      </w:r>
    </w:p>
    <w:p w14:paraId="1626EF38" w14:textId="77777777" w:rsidR="009B343D" w:rsidRPr="00BD01C9" w:rsidRDefault="009B343D" w:rsidP="009B343D">
      <w:pPr>
        <w:ind w:right="-2"/>
        <w:rPr>
          <w:sz w:val="22"/>
          <w:szCs w:val="22"/>
        </w:rPr>
      </w:pPr>
      <w:r w:rsidRPr="00BD01C9">
        <w:rPr>
          <w:sz w:val="22"/>
          <w:szCs w:val="22"/>
        </w:rPr>
        <w:t>Klinické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skúšan</w:t>
      </w:r>
      <w:r w:rsidRPr="00BD01C9">
        <w:rPr>
          <w:spacing w:val="1"/>
          <w:sz w:val="22"/>
          <w:szCs w:val="22"/>
        </w:rPr>
        <w:t>i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potvrdili, že pohlavie nemá klinicky signifikantný vplyv na plazmatické koncentrácie pregabalínu.</w:t>
      </w:r>
    </w:p>
    <w:p w14:paraId="6EB3EE30" w14:textId="77777777" w:rsidR="009B343D" w:rsidRPr="00BD01C9" w:rsidRDefault="009B343D" w:rsidP="009B343D">
      <w:pPr>
        <w:spacing w:before="6" w:line="245" w:lineRule="auto"/>
        <w:ind w:right="1108"/>
        <w:rPr>
          <w:sz w:val="22"/>
          <w:szCs w:val="22"/>
        </w:rPr>
      </w:pPr>
    </w:p>
    <w:p w14:paraId="07C5A625" w14:textId="77777777" w:rsidR="00A0467A" w:rsidRPr="00BD01C9" w:rsidRDefault="00A0467A" w:rsidP="00D43E06">
      <w:pPr>
        <w:tabs>
          <w:tab w:val="left" w:pos="0"/>
          <w:tab w:val="left" w:pos="8496"/>
        </w:tabs>
        <w:suppressAutoHyphens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Poruch</w:t>
      </w:r>
      <w:r w:rsidR="00417315" w:rsidRPr="00BD01C9">
        <w:rPr>
          <w:sz w:val="22"/>
          <w:szCs w:val="22"/>
          <w:u w:val="single"/>
        </w:rPr>
        <w:t>a</w:t>
      </w:r>
      <w:r w:rsidRPr="00BD01C9">
        <w:rPr>
          <w:sz w:val="22"/>
          <w:szCs w:val="22"/>
          <w:u w:val="single"/>
        </w:rPr>
        <w:t xml:space="preserve"> funkcie obličiek</w:t>
      </w:r>
    </w:p>
    <w:p w14:paraId="448392E9" w14:textId="77777777" w:rsidR="009B343D" w:rsidRPr="00BD01C9" w:rsidRDefault="009B343D" w:rsidP="009B343D">
      <w:pPr>
        <w:spacing w:before="6" w:line="245" w:lineRule="auto"/>
        <w:ind w:right="204"/>
        <w:rPr>
          <w:sz w:val="22"/>
          <w:szCs w:val="22"/>
        </w:rPr>
      </w:pPr>
      <w:r w:rsidRPr="00BD01C9">
        <w:rPr>
          <w:sz w:val="22"/>
          <w:szCs w:val="22"/>
        </w:rPr>
        <w:t xml:space="preserve">Klírens pregabalínu je priamo úmerný klírensu kreatinínu. Okrem toho sa pregabalín účinne odstraňuje z plazmy hemodialýzou (po </w:t>
      </w:r>
      <w:r w:rsidRPr="00BD01C9">
        <w:rPr>
          <w:spacing w:val="-1"/>
          <w:sz w:val="22"/>
          <w:szCs w:val="22"/>
        </w:rPr>
        <w:t>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hodinovej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hemodialýze klesnú plazmatické koncentrácie pregabalínu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asi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o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50 %). Vzhľadom na to, že eliminácia obličkami je hlavným spôsobom eliminácie, je potrebné zníženie dávky u pacientov 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poruchou funkcie obličiek a doplnková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 hemodialýze (pozri časť 4.2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Tabuľka 1).</w:t>
      </w:r>
    </w:p>
    <w:p w14:paraId="06A7DAB3" w14:textId="77777777" w:rsidR="00A0467A" w:rsidRPr="00BD01C9" w:rsidRDefault="00A0467A" w:rsidP="009B343D">
      <w:pPr>
        <w:rPr>
          <w:sz w:val="22"/>
          <w:szCs w:val="22"/>
        </w:rPr>
      </w:pPr>
    </w:p>
    <w:p w14:paraId="707DC7A3" w14:textId="77777777" w:rsidR="00A0467A" w:rsidRPr="00BD01C9" w:rsidRDefault="00A0467A" w:rsidP="009B343D">
      <w:pPr>
        <w:tabs>
          <w:tab w:val="left" w:pos="0"/>
          <w:tab w:val="left" w:pos="8496"/>
        </w:tabs>
        <w:suppressAutoHyphens/>
        <w:rPr>
          <w:strike/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Poruch</w:t>
      </w:r>
      <w:r w:rsidR="00417315" w:rsidRPr="00BD01C9">
        <w:rPr>
          <w:sz w:val="22"/>
          <w:szCs w:val="22"/>
          <w:u w:val="single"/>
        </w:rPr>
        <w:t>a</w:t>
      </w:r>
      <w:r w:rsidRPr="00BD01C9">
        <w:rPr>
          <w:sz w:val="22"/>
          <w:szCs w:val="22"/>
          <w:u w:val="single"/>
        </w:rPr>
        <w:t xml:space="preserve"> funkcie pečene</w:t>
      </w:r>
    </w:p>
    <w:p w14:paraId="2460A46A" w14:textId="77777777" w:rsidR="009B343D" w:rsidRPr="00BD01C9" w:rsidRDefault="009B343D" w:rsidP="009B343D">
      <w:pPr>
        <w:ind w:right="221"/>
        <w:rPr>
          <w:sz w:val="22"/>
          <w:szCs w:val="22"/>
        </w:rPr>
      </w:pPr>
      <w:r w:rsidRPr="00BD01C9">
        <w:rPr>
          <w:sz w:val="22"/>
          <w:szCs w:val="22"/>
        </w:rPr>
        <w:t>Neboli vykonané žiadne špecifické farmakokinetické štúdie u pacientov s</w:t>
      </w:r>
      <w:r w:rsidRPr="00BD01C9">
        <w:rPr>
          <w:spacing w:val="-2"/>
          <w:sz w:val="22"/>
          <w:szCs w:val="22"/>
        </w:rPr>
        <w:t> </w:t>
      </w:r>
      <w:r w:rsidRPr="00BD01C9">
        <w:rPr>
          <w:sz w:val="22"/>
          <w:szCs w:val="22"/>
        </w:rPr>
        <w:t>poruchou funkcie pečene. Keďže pregabalín nepodlieha signifikantnému metabolizmu 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vylučuje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prednostne</w:t>
      </w:r>
    </w:p>
    <w:p w14:paraId="2A903513" w14:textId="77777777" w:rsidR="00B75966" w:rsidRPr="00BD01C9" w:rsidRDefault="009B343D" w:rsidP="009B343D">
      <w:pPr>
        <w:autoSpaceDE w:val="0"/>
        <w:autoSpaceDN w:val="0"/>
        <w:adjustRightInd w:val="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nezmenenej forme močom, neočakáva sa, že by porucha funkcie pečene signifikantne menila plazmatické koncentrácie pregabalínu.</w:t>
      </w:r>
    </w:p>
    <w:p w14:paraId="7950E713" w14:textId="77777777" w:rsidR="00F32589" w:rsidRPr="00BD01C9" w:rsidRDefault="00F32589" w:rsidP="009B343D">
      <w:pPr>
        <w:autoSpaceDE w:val="0"/>
        <w:autoSpaceDN w:val="0"/>
        <w:adjustRightInd w:val="0"/>
        <w:rPr>
          <w:sz w:val="22"/>
          <w:szCs w:val="22"/>
        </w:rPr>
      </w:pPr>
    </w:p>
    <w:p w14:paraId="2FBDC78D" w14:textId="77777777" w:rsidR="00F32589" w:rsidRPr="00BD01C9" w:rsidRDefault="00F32589" w:rsidP="00F32589">
      <w:pPr>
        <w:rPr>
          <w:sz w:val="22"/>
          <w:u w:val="single"/>
        </w:rPr>
      </w:pPr>
      <w:r w:rsidRPr="00BD01C9">
        <w:rPr>
          <w:sz w:val="22"/>
          <w:u w:val="single"/>
        </w:rPr>
        <w:t>Pediatrická populácia</w:t>
      </w:r>
    </w:p>
    <w:p w14:paraId="1E9D4B9C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Farmakokinetika pregabalínu bola vyhodnocovaná u pediatrických pacientov s epilepsiou (vekové skupiny: 1 až 23 mesiacov, 2 až 6 rokov, 7 až 11 rokov a 12 až 16 rokov) pri hladinách dávky 2,5; 5; 10 a 15 mg/kg/deň vo farmakokinetickej štúdii a štúdii znášanlivosti.</w:t>
      </w:r>
    </w:p>
    <w:p w14:paraId="136A5BEB" w14:textId="77777777" w:rsidR="00F32589" w:rsidRPr="00BD01C9" w:rsidRDefault="00F32589" w:rsidP="00F32589">
      <w:pPr>
        <w:rPr>
          <w:sz w:val="22"/>
        </w:rPr>
      </w:pPr>
    </w:p>
    <w:p w14:paraId="7254FB58" w14:textId="18914A68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Po perorálnom podaní pregabalínu u pediatrických pacientov nalačno, bol čas dosiahnutia maximálnej plazmatickej koncentrácie vo všeobecnosti podobný v rámci všetkých vekových skupín a dosiahol sa 0,5 hodiny až 2 hodiny po podaní dávky.</w:t>
      </w:r>
    </w:p>
    <w:p w14:paraId="413B48EB" w14:textId="77777777" w:rsidR="00F32589" w:rsidRPr="00BD01C9" w:rsidRDefault="00F32589" w:rsidP="00F32589">
      <w:pPr>
        <w:rPr>
          <w:sz w:val="22"/>
        </w:rPr>
      </w:pPr>
    </w:p>
    <w:p w14:paraId="1A693338" w14:textId="18E02E8E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Parametre C</w:t>
      </w:r>
      <w:r w:rsidRPr="00BD01C9">
        <w:rPr>
          <w:sz w:val="22"/>
          <w:vertAlign w:val="subscript"/>
        </w:rPr>
        <w:t>max</w:t>
      </w:r>
      <w:r w:rsidRPr="00BD01C9">
        <w:rPr>
          <w:sz w:val="22"/>
        </w:rPr>
        <w:t xml:space="preserve"> a AUC pregabalínu sa zvyšovali priamo úmerne so zvyšujúcou sa dávkou v rámci každej vekovej skupiny. AUC bola nižšia o 30 % u pediatrických pacientov s telesnou hmotnosťou menej ako 30 kg z dôvodu klírensu upraveného na základe telesnej hmotnosti zvýšeného o 43 % u týchto pacientov v porovnaní s pacientmi s telesnou hmotnosťou ≥ 30 kg.</w:t>
      </w:r>
    </w:p>
    <w:p w14:paraId="50DEA8A2" w14:textId="77777777" w:rsidR="00F32589" w:rsidRPr="00BD01C9" w:rsidRDefault="00F32589" w:rsidP="00F32589">
      <w:pPr>
        <w:rPr>
          <w:sz w:val="22"/>
        </w:rPr>
      </w:pPr>
    </w:p>
    <w:p w14:paraId="08F83F06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Terminálny polčas pregabalínu sa pohyboval v priemere od 3 do 4 hodín u pediatrických pacientov vo veku do 6 rokov a od 4 do 6 hodín u tých, ktorí boli vo veku 7 rokov a starší.</w:t>
      </w:r>
    </w:p>
    <w:p w14:paraId="3696796F" w14:textId="77777777" w:rsidR="00F32589" w:rsidRPr="00BD01C9" w:rsidRDefault="00F32589" w:rsidP="00F32589">
      <w:pPr>
        <w:rPr>
          <w:sz w:val="22"/>
        </w:rPr>
      </w:pPr>
    </w:p>
    <w:p w14:paraId="45BD7044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podaní a tieto vzťahy boli podobné u pediatrických a dospelých pacientov.</w:t>
      </w:r>
    </w:p>
    <w:p w14:paraId="0F88AB7C" w14:textId="77777777" w:rsidR="00F32589" w:rsidRPr="00BD01C9" w:rsidRDefault="00F32589" w:rsidP="00F32589">
      <w:pPr>
        <w:rPr>
          <w:sz w:val="22"/>
        </w:rPr>
      </w:pPr>
    </w:p>
    <w:p w14:paraId="0927722B" w14:textId="77777777" w:rsidR="00F32589" w:rsidRPr="00BD01C9" w:rsidRDefault="00F32589" w:rsidP="00F32589">
      <w:pPr>
        <w:rPr>
          <w:sz w:val="22"/>
        </w:rPr>
      </w:pPr>
      <w:r w:rsidRPr="00BD01C9">
        <w:rPr>
          <w:sz w:val="22"/>
        </w:rPr>
        <w:t>Farmakokinetika pregabalínu u pacientov mladších ako 3 mesiace nebola skúmaná (pozri časti 4.2, 4.8 a 5.1).</w:t>
      </w:r>
    </w:p>
    <w:p w14:paraId="49537EFD" w14:textId="77777777" w:rsidR="009B343D" w:rsidRPr="00BD01C9" w:rsidRDefault="009B343D" w:rsidP="009B343D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33B7F90" w14:textId="44DD6CE3" w:rsidR="00307638" w:rsidRPr="00BD01C9" w:rsidRDefault="00307638" w:rsidP="009B343D">
      <w:pPr>
        <w:ind w:right="-20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Starš</w:t>
      </w:r>
      <w:r w:rsidR="006F4750" w:rsidRPr="00BD01C9">
        <w:rPr>
          <w:sz w:val="22"/>
          <w:szCs w:val="22"/>
          <w:u w:val="single"/>
        </w:rPr>
        <w:t xml:space="preserve">í pacienti </w:t>
      </w:r>
    </w:p>
    <w:p w14:paraId="3C996E03" w14:textId="77777777" w:rsidR="009B343D" w:rsidRPr="00BD01C9" w:rsidRDefault="009B343D" w:rsidP="009B343D">
      <w:pPr>
        <w:ind w:right="224"/>
        <w:rPr>
          <w:sz w:val="22"/>
          <w:szCs w:val="22"/>
        </w:rPr>
      </w:pPr>
      <w:r w:rsidRPr="00BD01C9">
        <w:rPr>
          <w:sz w:val="22"/>
          <w:szCs w:val="22"/>
        </w:rPr>
        <w:t>Klírens pregabalínu má tendenciu klesať so stúpajúcim vekom. Tento pokles klírensu pregabalínu je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súlade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poklesom klírensu kreatinínu, ktorý je podmienený stúpajúcim vekom. Zníženie dávky pregabalínu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môže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vyžadovať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u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pacientov pri vekom podmienenom poškodení renálnych funkcií (pozri časť 4.2 Tabuľka 1).</w:t>
      </w:r>
    </w:p>
    <w:p w14:paraId="651E337E" w14:textId="77777777" w:rsidR="00D81429" w:rsidRPr="00BD01C9" w:rsidRDefault="00D81429" w:rsidP="009B343D">
      <w:pPr>
        <w:ind w:right="224"/>
        <w:rPr>
          <w:sz w:val="22"/>
          <w:szCs w:val="22"/>
        </w:rPr>
      </w:pPr>
    </w:p>
    <w:p w14:paraId="52AA50C6" w14:textId="77777777" w:rsidR="00D81429" w:rsidRPr="00BD01C9" w:rsidRDefault="00D81429" w:rsidP="009B343D">
      <w:pPr>
        <w:ind w:right="224"/>
        <w:rPr>
          <w:sz w:val="22"/>
          <w:szCs w:val="22"/>
          <w:u w:val="single"/>
        </w:rPr>
      </w:pPr>
      <w:r w:rsidRPr="00BD01C9">
        <w:rPr>
          <w:sz w:val="22"/>
          <w:szCs w:val="22"/>
          <w:u w:val="single"/>
        </w:rPr>
        <w:t>Dojčiace matky</w:t>
      </w:r>
    </w:p>
    <w:p w14:paraId="6AE99A43" w14:textId="77777777" w:rsidR="00D81429" w:rsidRPr="00BD01C9" w:rsidRDefault="00D81429" w:rsidP="004960F4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Farmakokinetika 150 mg pregabalínu podávaných každých 12 hodín (300 mg denná dávka) bola vyhodnocovaná u 10 žien počas laktácie, ktoré boli aspoň 12 týždňov po pôrode. Laktácia mala malý až žiadny vplyv na farmakokinetiku pregabalínu. Pregabalín sa vylučoval do materského mlieka s priemernými koncentráciami v ustálenom stave približne 76 % z plazmatických koncentrácií u matiek. Odhladovaná dávka u dojčaťa z materského mlieka (za predpokladu priemernej konzumácie mlieka 150 ml/kg/deň) žien užívajúcich 300 mg/deň by bola 0,31 mg/kg/deň alebo 0,62 mg/kg/deň u žien užívajúcich maximálnu dávku 600 mg/deň. Tieto odhadované dávky predstavujú približne 7 % celkovej dennej dávky u matky v mg/kg.  </w:t>
      </w:r>
    </w:p>
    <w:p w14:paraId="1ECFF07B" w14:textId="77777777" w:rsidR="00D619E0" w:rsidRPr="00BD01C9" w:rsidRDefault="00D619E0" w:rsidP="00D43E06">
      <w:pPr>
        <w:pStyle w:val="Oznaitext"/>
        <w:ind w:left="0" w:right="0" w:firstLine="0"/>
        <w:jc w:val="left"/>
        <w:rPr>
          <w:strike/>
          <w:sz w:val="22"/>
          <w:szCs w:val="22"/>
        </w:rPr>
      </w:pPr>
    </w:p>
    <w:p w14:paraId="2A496724" w14:textId="77777777" w:rsidR="00A0467A" w:rsidRPr="00BD01C9" w:rsidRDefault="00A0467A" w:rsidP="00D43E06">
      <w:pPr>
        <w:keepNext/>
        <w:numPr>
          <w:ilvl w:val="1"/>
          <w:numId w:val="16"/>
        </w:numPr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Predklinické údaje o bezpečnosti</w:t>
      </w:r>
    </w:p>
    <w:p w14:paraId="5D069C5B" w14:textId="77777777" w:rsidR="00A0467A" w:rsidRPr="00BD01C9" w:rsidRDefault="00A0467A" w:rsidP="00D43E06">
      <w:pPr>
        <w:keepNext/>
        <w:tabs>
          <w:tab w:val="left" w:pos="709"/>
        </w:tabs>
        <w:rPr>
          <w:iCs/>
          <w:sz w:val="22"/>
          <w:szCs w:val="22"/>
        </w:rPr>
      </w:pPr>
    </w:p>
    <w:p w14:paraId="61A92573" w14:textId="77777777" w:rsidR="009B343D" w:rsidRPr="00BD01C9" w:rsidRDefault="009B343D" w:rsidP="009B343D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obvyklýc</w:t>
      </w:r>
      <w:r w:rsidRPr="00BD01C9">
        <w:rPr>
          <w:sz w:val="22"/>
          <w:szCs w:val="22"/>
        </w:rPr>
        <w:t xml:space="preserve">h </w:t>
      </w:r>
      <w:r w:rsidRPr="00BD01C9">
        <w:rPr>
          <w:spacing w:val="1"/>
          <w:sz w:val="22"/>
          <w:szCs w:val="22"/>
        </w:rPr>
        <w:t>far</w:t>
      </w:r>
      <w:r w:rsidRPr="00BD01C9">
        <w:rPr>
          <w:spacing w:val="-1"/>
          <w:sz w:val="22"/>
          <w:szCs w:val="22"/>
        </w:rPr>
        <w:t>makologickýc</w:t>
      </w:r>
      <w:r w:rsidRPr="00BD01C9">
        <w:rPr>
          <w:sz w:val="22"/>
          <w:szCs w:val="22"/>
        </w:rPr>
        <w:t>h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 bezpečn</w:t>
      </w:r>
      <w:r w:rsidRPr="00BD01C9">
        <w:rPr>
          <w:spacing w:val="1"/>
          <w:sz w:val="22"/>
          <w:szCs w:val="22"/>
        </w:rPr>
        <w:t>ost</w:t>
      </w:r>
      <w:r w:rsidRPr="00BD01C9">
        <w:rPr>
          <w:sz w:val="22"/>
          <w:szCs w:val="22"/>
        </w:rPr>
        <w:t>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zvierat bol pregabalín dobre tolerovaný</w:t>
      </w:r>
    </w:p>
    <w:p w14:paraId="310E972D" w14:textId="77777777" w:rsidR="009B343D" w:rsidRPr="00BD01C9" w:rsidRDefault="009B343D" w:rsidP="00562868">
      <w:pPr>
        <w:ind w:right="-20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2"/>
          <w:sz w:val="22"/>
          <w:szCs w:val="22"/>
        </w:rPr>
        <w:t xml:space="preserve"> k</w:t>
      </w:r>
      <w:r w:rsidRPr="00BD01C9">
        <w:rPr>
          <w:sz w:val="22"/>
          <w:szCs w:val="22"/>
        </w:rPr>
        <w:t>linicky relevantných dávkach.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</w:t>
      </w:r>
      <w:r w:rsidRPr="00BD01C9">
        <w:rPr>
          <w:spacing w:val="1"/>
          <w:sz w:val="22"/>
          <w:szCs w:val="22"/>
        </w:rPr>
        <w:t xml:space="preserve"> t</w:t>
      </w:r>
      <w:r w:rsidRPr="00BD01C9">
        <w:rPr>
          <w:sz w:val="22"/>
          <w:szCs w:val="22"/>
        </w:rPr>
        <w:t xml:space="preserve">oxicity po </w:t>
      </w:r>
      <w:r w:rsidRPr="00BD01C9">
        <w:rPr>
          <w:spacing w:val="-1"/>
          <w:sz w:val="22"/>
          <w:szCs w:val="22"/>
        </w:rPr>
        <w:t>opakova</w:t>
      </w:r>
      <w:r w:rsidRPr="00BD01C9">
        <w:rPr>
          <w:sz w:val="22"/>
          <w:szCs w:val="22"/>
        </w:rPr>
        <w:t>nom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podávaní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u potkanov a opíc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sa</w:t>
      </w:r>
    </w:p>
    <w:p w14:paraId="17CA707E" w14:textId="77777777" w:rsidR="009B343D" w:rsidRPr="00BD01C9" w:rsidRDefault="009B343D" w:rsidP="00562868">
      <w:pPr>
        <w:ind w:right="44"/>
        <w:rPr>
          <w:sz w:val="22"/>
          <w:szCs w:val="22"/>
        </w:rPr>
      </w:pPr>
      <w:r w:rsidRPr="00BD01C9">
        <w:rPr>
          <w:sz w:val="22"/>
          <w:szCs w:val="22"/>
        </w:rPr>
        <w:t>pozorovali účinky na CNS vrátane hypoaktivity, hyperaktivity a ataxie. Zvýšená inc</w:t>
      </w:r>
      <w:r w:rsidRPr="00BD01C9">
        <w:rPr>
          <w:spacing w:val="1"/>
          <w:sz w:val="22"/>
          <w:szCs w:val="22"/>
        </w:rPr>
        <w:t>idenci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atrofie </w:t>
      </w:r>
      <w:r w:rsidRPr="00BD01C9">
        <w:rPr>
          <w:sz w:val="22"/>
          <w:szCs w:val="22"/>
        </w:rPr>
        <w:t>retiny, bežne pozorovaná u starnúcich potkaních albínov, sa zistila po dlhodobej expozícii pregabalínu v</w:t>
      </w:r>
      <w:r w:rsidRPr="00BD01C9">
        <w:rPr>
          <w:spacing w:val="-1"/>
          <w:sz w:val="22"/>
          <w:szCs w:val="22"/>
        </w:rPr>
        <w:t xml:space="preserve"> dávkac</w:t>
      </w:r>
      <w:r w:rsidRPr="00BD01C9">
        <w:rPr>
          <w:sz w:val="22"/>
          <w:szCs w:val="22"/>
        </w:rPr>
        <w:t>h ≥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priemernej dávky u človeka pri maximálnej odporú</w:t>
      </w:r>
      <w:r w:rsidRPr="00BD01C9">
        <w:rPr>
          <w:spacing w:val="-1"/>
          <w:sz w:val="22"/>
          <w:szCs w:val="22"/>
        </w:rPr>
        <w:t>č</w:t>
      </w:r>
      <w:r w:rsidRPr="00BD01C9">
        <w:rPr>
          <w:sz w:val="22"/>
          <w:szCs w:val="22"/>
        </w:rPr>
        <w:t>anej klinickej dávke.</w:t>
      </w:r>
    </w:p>
    <w:p w14:paraId="4C4A4EC4" w14:textId="77777777" w:rsidR="009B343D" w:rsidRPr="00BD01C9" w:rsidRDefault="009B343D" w:rsidP="009B343D">
      <w:pPr>
        <w:rPr>
          <w:sz w:val="22"/>
          <w:szCs w:val="22"/>
        </w:rPr>
      </w:pPr>
    </w:p>
    <w:p w14:paraId="59BC897F" w14:textId="77777777" w:rsidR="009B343D" w:rsidRPr="00BD01C9" w:rsidRDefault="009B343D" w:rsidP="009B343D">
      <w:pPr>
        <w:ind w:right="200"/>
        <w:rPr>
          <w:sz w:val="22"/>
          <w:szCs w:val="22"/>
        </w:rPr>
      </w:pPr>
      <w:r w:rsidRPr="00BD01C9">
        <w:rPr>
          <w:sz w:val="22"/>
          <w:szCs w:val="22"/>
        </w:rPr>
        <w:t xml:space="preserve">Pregabalín nebol teratogénny u </w:t>
      </w:r>
      <w:r w:rsidRPr="00BD01C9">
        <w:rPr>
          <w:spacing w:val="-1"/>
          <w:sz w:val="22"/>
          <w:szCs w:val="22"/>
        </w:rPr>
        <w:t>myší</w:t>
      </w:r>
      <w:r w:rsidRPr="00BD01C9">
        <w:rPr>
          <w:sz w:val="22"/>
          <w:szCs w:val="22"/>
        </w:rPr>
        <w:t>,</w:t>
      </w:r>
      <w:r w:rsidRPr="00BD01C9">
        <w:rPr>
          <w:spacing w:val="-1"/>
          <w:sz w:val="22"/>
          <w:szCs w:val="22"/>
        </w:rPr>
        <w:t xml:space="preserve"> potka</w:t>
      </w:r>
      <w:r w:rsidRPr="00BD01C9">
        <w:rPr>
          <w:sz w:val="22"/>
          <w:szCs w:val="22"/>
        </w:rPr>
        <w:t>nov ani u králiko</w:t>
      </w:r>
      <w:r w:rsidRPr="00BD01C9">
        <w:rPr>
          <w:spacing w:val="-3"/>
          <w:sz w:val="22"/>
          <w:szCs w:val="22"/>
        </w:rPr>
        <w:t>v</w:t>
      </w:r>
      <w:r w:rsidRPr="00BD01C9">
        <w:rPr>
          <w:sz w:val="22"/>
          <w:szCs w:val="22"/>
        </w:rPr>
        <w:t>. Fetálna toxicita u potkanov a králikov sa vyskytla iba pri dávkach dostatočne prevyšujúcich dávku pre človeka.</w:t>
      </w:r>
    </w:p>
    <w:p w14:paraId="30F3B43D" w14:textId="77777777" w:rsidR="009B343D" w:rsidRPr="00BD01C9" w:rsidRDefault="009B343D" w:rsidP="00504A58">
      <w:pPr>
        <w:ind w:right="296"/>
        <w:rPr>
          <w:sz w:val="22"/>
          <w:szCs w:val="22"/>
        </w:rPr>
      </w:pP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prenatálnych/postnatálnych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štúdiách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toxicity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pregabalín vyvolával vývojovú toxicitu u</w:t>
      </w:r>
      <w:r w:rsidRPr="00BD01C9">
        <w:rPr>
          <w:spacing w:val="-1"/>
          <w:sz w:val="22"/>
          <w:szCs w:val="22"/>
        </w:rPr>
        <w:t xml:space="preserve"> potomkov potkano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dávkac</w:t>
      </w:r>
      <w:r w:rsidRPr="00BD01C9">
        <w:rPr>
          <w:sz w:val="22"/>
          <w:szCs w:val="22"/>
        </w:rPr>
        <w:t xml:space="preserve">h </w:t>
      </w:r>
      <w:r w:rsidRPr="00BD01C9">
        <w:rPr>
          <w:rFonts w:eastAsia="Symbol"/>
          <w:sz w:val="22"/>
          <w:szCs w:val="22"/>
        </w:rPr>
        <w:t>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 xml:space="preserve">krát </w:t>
      </w:r>
      <w:r w:rsidRPr="00BD01C9">
        <w:rPr>
          <w:spacing w:val="-2"/>
          <w:sz w:val="22"/>
          <w:szCs w:val="22"/>
        </w:rPr>
        <w:t>v</w:t>
      </w:r>
      <w:r w:rsidR="00504A58" w:rsidRPr="00BD01C9">
        <w:rPr>
          <w:sz w:val="22"/>
          <w:szCs w:val="22"/>
        </w:rPr>
        <w:t>yš</w:t>
      </w:r>
      <w:r w:rsidRPr="00BD01C9">
        <w:rPr>
          <w:sz w:val="22"/>
          <w:szCs w:val="22"/>
        </w:rPr>
        <w:t>ších, než je odporúčaná maximálna dávka pre človeka.</w:t>
      </w:r>
    </w:p>
    <w:p w14:paraId="10565F9B" w14:textId="77777777" w:rsidR="009B343D" w:rsidRPr="00BD01C9" w:rsidRDefault="009B343D" w:rsidP="009B343D">
      <w:pPr>
        <w:rPr>
          <w:sz w:val="22"/>
          <w:szCs w:val="22"/>
        </w:rPr>
      </w:pPr>
    </w:p>
    <w:p w14:paraId="5C9E6FCF" w14:textId="77777777" w:rsidR="009B343D" w:rsidRPr="00BD01C9" w:rsidRDefault="009B343D" w:rsidP="009B343D">
      <w:pPr>
        <w:ind w:right="323"/>
        <w:rPr>
          <w:sz w:val="22"/>
          <w:szCs w:val="22"/>
        </w:rPr>
      </w:pPr>
      <w:r w:rsidRPr="00BD01C9">
        <w:rPr>
          <w:sz w:val="22"/>
          <w:szCs w:val="22"/>
        </w:rPr>
        <w:t xml:space="preserve">Nežiaduce účinky na fertilitu u </w:t>
      </w:r>
      <w:r w:rsidRPr="00BD01C9">
        <w:rPr>
          <w:spacing w:val="-1"/>
          <w:sz w:val="22"/>
          <w:szCs w:val="22"/>
        </w:rPr>
        <w:t>samčeko</w:t>
      </w:r>
      <w:r w:rsidRPr="00BD01C9">
        <w:rPr>
          <w:sz w:val="22"/>
          <w:szCs w:val="22"/>
        </w:rPr>
        <w:t>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 samičiek potkanov sa pozorovali iba pri expozíciách dostatočne vyšších, než je terapeutická expozícia. Nežiaduce účinky na samčie reprodukčné orgány 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para</w:t>
      </w:r>
      <w:r w:rsidRPr="00BD01C9">
        <w:rPr>
          <w:spacing w:val="-4"/>
          <w:sz w:val="22"/>
          <w:szCs w:val="22"/>
        </w:rPr>
        <w:t>m</w:t>
      </w:r>
      <w:r w:rsidRPr="00BD01C9">
        <w:rPr>
          <w:sz w:val="22"/>
          <w:szCs w:val="22"/>
        </w:rPr>
        <w:t>etre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spermií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boli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reverzibilné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vyskytli sa iba pri expozíciách dostatočne vyšších, než je terapeutická expozícia, alebo boli spojené so spontánnymi degeneratívnymi procesmi na samčích reprodukčných orgánoch u potkana. Preto sa týmto účinkom pripisuje malý alebo žiadny klinický </w:t>
      </w:r>
      <w:r w:rsidRPr="00BD01C9">
        <w:rPr>
          <w:spacing w:val="-1"/>
          <w:sz w:val="22"/>
          <w:szCs w:val="22"/>
        </w:rPr>
        <w:t>význam.</w:t>
      </w:r>
    </w:p>
    <w:p w14:paraId="4534425F" w14:textId="77777777" w:rsidR="009B343D" w:rsidRPr="00BD01C9" w:rsidRDefault="009B343D" w:rsidP="009B343D">
      <w:pPr>
        <w:rPr>
          <w:sz w:val="22"/>
          <w:szCs w:val="22"/>
        </w:rPr>
      </w:pPr>
    </w:p>
    <w:p w14:paraId="00E31F1E" w14:textId="77777777" w:rsidR="009B343D" w:rsidRPr="00BD01C9" w:rsidRDefault="009B343D" w:rsidP="009B343D">
      <w:pPr>
        <w:ind w:right="778"/>
        <w:rPr>
          <w:sz w:val="22"/>
          <w:szCs w:val="22"/>
        </w:rPr>
      </w:pPr>
      <w:r w:rsidRPr="00BD01C9">
        <w:rPr>
          <w:spacing w:val="-1"/>
          <w:sz w:val="22"/>
          <w:szCs w:val="22"/>
        </w:rPr>
        <w:t>N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základe výsled</w:t>
      </w:r>
      <w:r w:rsidRPr="00BD01C9">
        <w:rPr>
          <w:spacing w:val="-2"/>
          <w:sz w:val="22"/>
          <w:szCs w:val="22"/>
        </w:rPr>
        <w:t>k</w:t>
      </w:r>
      <w:r w:rsidRPr="00BD01C9">
        <w:rPr>
          <w:sz w:val="22"/>
          <w:szCs w:val="22"/>
        </w:rPr>
        <w:t>ov</w:t>
      </w:r>
      <w:r w:rsidRPr="00BD01C9">
        <w:rPr>
          <w:spacing w:val="-2"/>
          <w:sz w:val="22"/>
          <w:szCs w:val="22"/>
        </w:rPr>
        <w:t xml:space="preserve"> mn</w:t>
      </w:r>
      <w:r w:rsidRPr="00BD01C9">
        <w:rPr>
          <w:sz w:val="22"/>
          <w:szCs w:val="22"/>
        </w:rPr>
        <w:t xml:space="preserve">ohých </w:t>
      </w:r>
      <w:r w:rsidRPr="00BD01C9">
        <w:rPr>
          <w:i/>
          <w:spacing w:val="1"/>
          <w:sz w:val="22"/>
          <w:szCs w:val="22"/>
        </w:rPr>
        <w:t>i</w:t>
      </w:r>
      <w:r w:rsidRPr="00BD01C9">
        <w:rPr>
          <w:i/>
          <w:sz w:val="22"/>
          <w:szCs w:val="22"/>
        </w:rPr>
        <w:t>n</w:t>
      </w:r>
      <w:r w:rsidRPr="00BD01C9">
        <w:rPr>
          <w:i/>
          <w:spacing w:val="1"/>
          <w:sz w:val="22"/>
          <w:szCs w:val="22"/>
        </w:rPr>
        <w:t xml:space="preserve"> vitr</w:t>
      </w:r>
      <w:r w:rsidRPr="00BD01C9">
        <w:rPr>
          <w:i/>
          <w:sz w:val="22"/>
          <w:szCs w:val="22"/>
        </w:rPr>
        <w:t xml:space="preserve">o </w:t>
      </w: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>in</w:t>
      </w:r>
      <w:r w:rsidRPr="00BD01C9">
        <w:rPr>
          <w:i/>
          <w:spacing w:val="1"/>
          <w:sz w:val="22"/>
          <w:szCs w:val="22"/>
        </w:rPr>
        <w:t xml:space="preserve"> </w:t>
      </w:r>
      <w:r w:rsidRPr="00BD01C9">
        <w:rPr>
          <w:i/>
          <w:sz w:val="22"/>
          <w:szCs w:val="22"/>
        </w:rPr>
        <w:t xml:space="preserve">vivo </w:t>
      </w:r>
      <w:r w:rsidRPr="00BD01C9">
        <w:rPr>
          <w:sz w:val="22"/>
          <w:szCs w:val="22"/>
        </w:rPr>
        <w:t>skúšok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možno prehlásiť, že pregabalín nie je genotoxický.</w:t>
      </w:r>
    </w:p>
    <w:p w14:paraId="242D64E4" w14:textId="77777777" w:rsidR="009B343D" w:rsidRPr="00BD01C9" w:rsidRDefault="009B343D" w:rsidP="009B343D">
      <w:pPr>
        <w:spacing w:before="19"/>
        <w:rPr>
          <w:sz w:val="22"/>
          <w:szCs w:val="22"/>
        </w:rPr>
      </w:pPr>
    </w:p>
    <w:p w14:paraId="7C8451FF" w14:textId="77777777" w:rsidR="009B343D" w:rsidRPr="00BD01C9" w:rsidRDefault="009B343D" w:rsidP="009B343D">
      <w:pPr>
        <w:ind w:right="229"/>
        <w:rPr>
          <w:sz w:val="22"/>
          <w:szCs w:val="22"/>
        </w:rPr>
      </w:pPr>
      <w:r w:rsidRPr="00BD01C9">
        <w:rPr>
          <w:sz w:val="22"/>
          <w:szCs w:val="22"/>
        </w:rPr>
        <w:t>Dvojročné štúdie karcinogenicity s pregabalínom boli vykonané na potkanoch a myšiach. Nepozorova</w:t>
      </w:r>
      <w:r w:rsidRPr="00BD01C9">
        <w:rPr>
          <w:spacing w:val="1"/>
          <w:sz w:val="22"/>
          <w:szCs w:val="22"/>
        </w:rPr>
        <w:t>l</w:t>
      </w:r>
      <w:r w:rsidRPr="00BD01C9">
        <w:rPr>
          <w:sz w:val="22"/>
          <w:szCs w:val="22"/>
        </w:rPr>
        <w:t>i sa žiadne nádory u potkanov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dávkach až do 24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priemernej dávky u človeka pri maximálnej odporúčanej klinickej dávke 600 mg/deň. U myší sa nezistil zvýšený výskyt nádorov v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pacing w:val="-1"/>
          <w:sz w:val="22"/>
          <w:szCs w:val="22"/>
        </w:rPr>
        <w:t>dávk</w:t>
      </w:r>
      <w:r w:rsidRPr="00BD01C9">
        <w:rPr>
          <w:sz w:val="22"/>
          <w:szCs w:val="22"/>
        </w:rPr>
        <w:t>ach podobných priemernej dávke u človeka,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ale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zvýšený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výskyt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hemangiosarkómov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sa pozoro</w:t>
      </w:r>
      <w:r w:rsidRPr="00BD01C9">
        <w:rPr>
          <w:spacing w:val="-2"/>
          <w:sz w:val="22"/>
          <w:szCs w:val="22"/>
        </w:rPr>
        <w:t>v</w:t>
      </w:r>
      <w:r w:rsidRPr="00BD01C9">
        <w:rPr>
          <w:sz w:val="22"/>
          <w:szCs w:val="22"/>
        </w:rPr>
        <w:t>al pri vyšších dávkach. Negenotoxický mechanizmus tvorby pregabalínom indukovaných nádorov u myší zahrňuje zmeny krvných doštičiek a súvisiacu proliferáciu endoteliálnych buniek. Tieto zmeny krvných doštičiek neboli prítomné u potkanov alebo u ľudí na zák</w:t>
      </w:r>
      <w:r w:rsidRPr="00BD01C9">
        <w:rPr>
          <w:spacing w:val="-1"/>
          <w:sz w:val="22"/>
          <w:szCs w:val="22"/>
        </w:rPr>
        <w:t>l</w:t>
      </w:r>
      <w:r w:rsidRPr="00BD01C9">
        <w:rPr>
          <w:sz w:val="22"/>
          <w:szCs w:val="22"/>
        </w:rPr>
        <w:t>ade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krátkodobých</w:t>
      </w:r>
    </w:p>
    <w:p w14:paraId="7B4AA0CD" w14:textId="77777777" w:rsidR="009B343D" w:rsidRPr="00BD01C9" w:rsidRDefault="009B343D" w:rsidP="009B343D">
      <w:pPr>
        <w:ind w:right="76"/>
        <w:rPr>
          <w:sz w:val="22"/>
          <w:szCs w:val="22"/>
        </w:rPr>
      </w:pPr>
      <w:r w:rsidRPr="00BD01C9">
        <w:rPr>
          <w:sz w:val="22"/>
          <w:szCs w:val="22"/>
        </w:rPr>
        <w:t>a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limitovaných dlhodobých klinických údajov. Neexistuje dôkaz, ktorý by naznačoval súvisiace riziko u ľudí.</w:t>
      </w:r>
    </w:p>
    <w:p w14:paraId="7907D620" w14:textId="77777777" w:rsidR="009B343D" w:rsidRPr="00BD01C9" w:rsidRDefault="009B343D" w:rsidP="009B343D">
      <w:pPr>
        <w:rPr>
          <w:sz w:val="22"/>
          <w:szCs w:val="22"/>
        </w:rPr>
      </w:pPr>
    </w:p>
    <w:p w14:paraId="3CAE7AFE" w14:textId="77777777" w:rsidR="009B343D" w:rsidRPr="00BD01C9" w:rsidRDefault="009B343D" w:rsidP="00504A58">
      <w:pPr>
        <w:ind w:right="219"/>
        <w:rPr>
          <w:sz w:val="22"/>
          <w:szCs w:val="22"/>
        </w:rPr>
      </w:pPr>
      <w:r w:rsidRPr="00BD01C9">
        <w:rPr>
          <w:sz w:val="22"/>
          <w:szCs w:val="22"/>
        </w:rPr>
        <w:t>U mladých potkanov sa druhy toxicity kvantitatívne nelíšili od tých, ktoré sa pozorovali u dospelých potkanov.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Avšak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mladé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potkany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sú oveľa senzitívnejšie. Pri terapeutických dávkach sa dokázali klinické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príznaky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hyperaktivity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>CNS</w:t>
      </w:r>
      <w:r w:rsidRPr="00BD01C9">
        <w:rPr>
          <w:spacing w:val="-1"/>
          <w:sz w:val="22"/>
          <w:szCs w:val="22"/>
        </w:rPr>
        <w:t xml:space="preserve"> </w:t>
      </w:r>
      <w:r w:rsidRPr="00BD01C9">
        <w:rPr>
          <w:sz w:val="22"/>
          <w:szCs w:val="22"/>
        </w:rPr>
        <w:t xml:space="preserve">a bruxizmus a niektoré zmeny v raste (prechodné potlačenie prírastku telesnej hmotnosti). Účinky na pohlavný cyklus sa pozorovali pri </w:t>
      </w:r>
      <w:r w:rsidRPr="00BD01C9">
        <w:rPr>
          <w:spacing w:val="1"/>
          <w:sz w:val="22"/>
          <w:szCs w:val="22"/>
        </w:rPr>
        <w:t>5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terapeutic</w:t>
      </w:r>
      <w:r w:rsidRPr="00BD01C9">
        <w:rPr>
          <w:spacing w:val="-3"/>
          <w:sz w:val="22"/>
          <w:szCs w:val="22"/>
        </w:rPr>
        <w:t>k</w:t>
      </w:r>
      <w:r w:rsidRPr="00BD01C9">
        <w:rPr>
          <w:spacing w:val="2"/>
          <w:sz w:val="22"/>
          <w:szCs w:val="22"/>
        </w:rPr>
        <w:t xml:space="preserve">ej </w:t>
      </w:r>
      <w:r w:rsidRPr="00BD01C9">
        <w:rPr>
          <w:sz w:val="22"/>
          <w:szCs w:val="22"/>
        </w:rPr>
        <w:t>dávky u človeka. Znížená odpoveď na akustický podnet sa pozorovala u</w:t>
      </w:r>
      <w:r w:rsidRPr="00BD01C9">
        <w:rPr>
          <w:spacing w:val="-2"/>
          <w:sz w:val="22"/>
          <w:szCs w:val="22"/>
        </w:rPr>
        <w:t xml:space="preserve"> </w:t>
      </w:r>
      <w:r w:rsidRPr="00BD01C9">
        <w:rPr>
          <w:sz w:val="22"/>
          <w:szCs w:val="22"/>
        </w:rPr>
        <w:t>mladých potkanov</w:t>
      </w:r>
      <w:r w:rsidR="00504A58" w:rsidRPr="00BD01C9">
        <w:rPr>
          <w:sz w:val="22"/>
          <w:szCs w:val="22"/>
        </w:rPr>
        <w:t xml:space="preserve"> </w:t>
      </w:r>
      <w:r w:rsidRPr="00BD01C9">
        <w:rPr>
          <w:sz w:val="22"/>
          <w:szCs w:val="22"/>
        </w:rPr>
        <w:t>1 -</w:t>
      </w:r>
      <w:r w:rsidRPr="00BD01C9">
        <w:rPr>
          <w:spacing w:val="-4"/>
          <w:sz w:val="22"/>
          <w:szCs w:val="22"/>
        </w:rPr>
        <w:t xml:space="preserve"> </w:t>
      </w:r>
      <w:r w:rsidRPr="00BD01C9">
        <w:rPr>
          <w:sz w:val="22"/>
          <w:szCs w:val="22"/>
        </w:rPr>
        <w:t>2 týždne po expozícii pri &gt;</w:t>
      </w:r>
      <w:r w:rsidRPr="00BD01C9">
        <w:rPr>
          <w:spacing w:val="1"/>
          <w:sz w:val="22"/>
          <w:szCs w:val="22"/>
        </w:rPr>
        <w:t xml:space="preserve"> </w:t>
      </w:r>
      <w:r w:rsidRPr="00BD01C9">
        <w:rPr>
          <w:sz w:val="22"/>
          <w:szCs w:val="22"/>
        </w:rPr>
        <w:t>2</w:t>
      </w:r>
      <w:r w:rsidRPr="00BD01C9">
        <w:rPr>
          <w:spacing w:val="-4"/>
          <w:sz w:val="22"/>
          <w:szCs w:val="22"/>
        </w:rPr>
        <w:t>-</w:t>
      </w:r>
      <w:r w:rsidRPr="00BD01C9">
        <w:rPr>
          <w:sz w:val="22"/>
          <w:szCs w:val="22"/>
        </w:rPr>
        <w:t>násobku terapeutickej dávky u človeka. Deväť týždňov po expozícii sa už tento účinok viac nepozoroval.</w:t>
      </w:r>
    </w:p>
    <w:p w14:paraId="0CB1355F" w14:textId="77777777" w:rsidR="002C2912" w:rsidRPr="00BD01C9" w:rsidRDefault="002C2912" w:rsidP="00D43E06">
      <w:pPr>
        <w:rPr>
          <w:sz w:val="22"/>
          <w:szCs w:val="22"/>
        </w:rPr>
      </w:pPr>
    </w:p>
    <w:p w14:paraId="055941DA" w14:textId="77777777" w:rsidR="000C585D" w:rsidRPr="00BD01C9" w:rsidRDefault="000C585D" w:rsidP="00D43E06">
      <w:pPr>
        <w:rPr>
          <w:sz w:val="22"/>
          <w:szCs w:val="22"/>
        </w:rPr>
      </w:pPr>
    </w:p>
    <w:p w14:paraId="4C3FEE7C" w14:textId="77777777" w:rsidR="00A0467A" w:rsidRPr="00BD01C9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BD01C9">
        <w:rPr>
          <w:b/>
          <w:caps/>
          <w:sz w:val="22"/>
          <w:szCs w:val="22"/>
        </w:rPr>
        <w:t>6.</w:t>
      </w:r>
      <w:r w:rsidRPr="00BD01C9">
        <w:rPr>
          <w:b/>
          <w:caps/>
          <w:sz w:val="22"/>
          <w:szCs w:val="22"/>
        </w:rPr>
        <w:tab/>
        <w:t>Farmaceutické INFORMÁCIE</w:t>
      </w:r>
    </w:p>
    <w:p w14:paraId="4BACDDEB" w14:textId="77777777" w:rsidR="00A0467A" w:rsidRPr="00BD01C9" w:rsidRDefault="00A0467A" w:rsidP="00D43E06">
      <w:pPr>
        <w:keepNext/>
        <w:rPr>
          <w:iCs/>
          <w:sz w:val="22"/>
          <w:szCs w:val="22"/>
        </w:rPr>
      </w:pPr>
    </w:p>
    <w:p w14:paraId="41CA562A" w14:textId="77777777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6.1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Zoznam pomocných látok</w:t>
      </w:r>
    </w:p>
    <w:p w14:paraId="0A586247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7BBEE92C" w14:textId="77777777" w:rsidR="00A0467A" w:rsidRPr="00BD01C9" w:rsidRDefault="0041338A" w:rsidP="00D43E06">
      <w:pPr>
        <w:pStyle w:val="Zkladntext"/>
        <w:jc w:val="left"/>
        <w:rPr>
          <w:i/>
          <w:sz w:val="22"/>
          <w:szCs w:val="22"/>
          <w:u w:val="single"/>
          <w:lang w:val="sk-SK"/>
        </w:rPr>
      </w:pPr>
      <w:r w:rsidRPr="00BD01C9">
        <w:rPr>
          <w:i/>
          <w:sz w:val="22"/>
          <w:szCs w:val="22"/>
          <w:u w:val="single"/>
          <w:lang w:val="sk-SK"/>
        </w:rPr>
        <w:t>Obsah kapsúl:</w:t>
      </w:r>
    </w:p>
    <w:p w14:paraId="660443B4" w14:textId="323DE2A0" w:rsidR="0041338A" w:rsidRPr="00BD01C9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p</w:t>
      </w:r>
      <w:r w:rsidR="0041338A" w:rsidRPr="00BD01C9">
        <w:rPr>
          <w:sz w:val="22"/>
          <w:szCs w:val="22"/>
          <w:lang w:val="sk-SK"/>
        </w:rPr>
        <w:t>redželat</w:t>
      </w:r>
      <w:r w:rsidR="00935843" w:rsidRPr="00BD01C9">
        <w:rPr>
          <w:sz w:val="22"/>
          <w:szCs w:val="22"/>
          <w:lang w:val="sk-SK"/>
        </w:rPr>
        <w:t>i</w:t>
      </w:r>
      <w:r w:rsidR="0041338A" w:rsidRPr="00BD01C9">
        <w:rPr>
          <w:sz w:val="22"/>
          <w:szCs w:val="22"/>
          <w:lang w:val="sk-SK"/>
        </w:rPr>
        <w:t>novaný kukuričný škrob</w:t>
      </w:r>
    </w:p>
    <w:p w14:paraId="4CA64102" w14:textId="77777777" w:rsidR="00A0467A" w:rsidRPr="00BD01C9" w:rsidRDefault="00417315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m</w:t>
      </w:r>
      <w:r w:rsidR="0041338A" w:rsidRPr="00BD01C9">
        <w:rPr>
          <w:sz w:val="22"/>
          <w:szCs w:val="22"/>
          <w:lang w:val="sk-SK"/>
        </w:rPr>
        <w:t>astenec (E553b)</w:t>
      </w:r>
    </w:p>
    <w:p w14:paraId="2118C3CB" w14:textId="77777777" w:rsidR="0041338A" w:rsidRPr="00BD01C9" w:rsidRDefault="0041338A" w:rsidP="00D43E06">
      <w:pPr>
        <w:pStyle w:val="Zkladntext"/>
        <w:jc w:val="left"/>
        <w:rPr>
          <w:sz w:val="22"/>
          <w:szCs w:val="22"/>
          <w:lang w:val="sk-SK"/>
        </w:rPr>
      </w:pPr>
    </w:p>
    <w:p w14:paraId="4E1C02F6" w14:textId="77777777" w:rsidR="0041338A" w:rsidRPr="00BD01C9" w:rsidRDefault="00DB18E8" w:rsidP="00642CF4">
      <w:pPr>
        <w:pStyle w:val="Zkladntext"/>
        <w:keepNext/>
        <w:jc w:val="left"/>
        <w:rPr>
          <w:i/>
          <w:sz w:val="22"/>
          <w:szCs w:val="22"/>
          <w:u w:val="single"/>
          <w:lang w:val="sk-SK"/>
        </w:rPr>
      </w:pPr>
      <w:r w:rsidRPr="00BD01C9">
        <w:rPr>
          <w:i/>
          <w:sz w:val="22"/>
          <w:szCs w:val="22"/>
          <w:u w:val="single"/>
          <w:lang w:val="sk-SK"/>
        </w:rPr>
        <w:t xml:space="preserve">Obal </w:t>
      </w:r>
      <w:r w:rsidR="0041338A" w:rsidRPr="00BD01C9">
        <w:rPr>
          <w:i/>
          <w:sz w:val="22"/>
          <w:szCs w:val="22"/>
          <w:u w:val="single"/>
          <w:lang w:val="sk-SK"/>
        </w:rPr>
        <w:t>kapsuly:</w:t>
      </w:r>
    </w:p>
    <w:p w14:paraId="23AA6465" w14:textId="77777777" w:rsidR="00A0467A" w:rsidRPr="00BD01C9" w:rsidRDefault="0041338A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25 mg tvrdé kapsuly</w:t>
      </w:r>
    </w:p>
    <w:p w14:paraId="5ADA460A" w14:textId="77777777" w:rsidR="0041338A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41338A" w:rsidRPr="00BD01C9">
        <w:rPr>
          <w:sz w:val="22"/>
          <w:szCs w:val="22"/>
        </w:rPr>
        <w:t>xid titaničitý (E171)</w:t>
      </w:r>
    </w:p>
    <w:p w14:paraId="02BDD530" w14:textId="0B2BD218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 xml:space="preserve">elatína </w:t>
      </w:r>
    </w:p>
    <w:p w14:paraId="47A846F6" w14:textId="3E9AA7EA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41338A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41338A" w:rsidRPr="00BD01C9">
        <w:rPr>
          <w:sz w:val="22"/>
          <w:szCs w:val="22"/>
        </w:rPr>
        <w:t>glykol (E1520))</w:t>
      </w:r>
    </w:p>
    <w:p w14:paraId="1DB731E0" w14:textId="77777777" w:rsidR="0041338A" w:rsidRPr="00BD01C9" w:rsidRDefault="0041338A" w:rsidP="00D43E06">
      <w:pPr>
        <w:rPr>
          <w:sz w:val="22"/>
          <w:szCs w:val="22"/>
        </w:rPr>
      </w:pPr>
    </w:p>
    <w:p w14:paraId="18011513" w14:textId="77777777" w:rsidR="0041338A" w:rsidRPr="00BD01C9" w:rsidRDefault="0041338A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50 mg, 75 mg tvrdé kapsuly</w:t>
      </w:r>
    </w:p>
    <w:p w14:paraId="7C92444E" w14:textId="77777777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41338A" w:rsidRPr="00BD01C9">
        <w:rPr>
          <w:sz w:val="22"/>
          <w:szCs w:val="22"/>
        </w:rPr>
        <w:t>xid titaničitý (E171)</w:t>
      </w:r>
    </w:p>
    <w:p w14:paraId="12534C57" w14:textId="2B279E83" w:rsidR="0041338A" w:rsidRPr="00BD01C9" w:rsidRDefault="00417315" w:rsidP="0041338A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 xml:space="preserve">elatína </w:t>
      </w:r>
    </w:p>
    <w:p w14:paraId="20A45D94" w14:textId="77777777" w:rsidR="0041338A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41338A" w:rsidRPr="00BD01C9">
        <w:rPr>
          <w:sz w:val="22"/>
          <w:szCs w:val="22"/>
        </w:rPr>
        <w:t>ltý oxid železitý (E172)</w:t>
      </w:r>
    </w:p>
    <w:p w14:paraId="5CA6C48A" w14:textId="7FB89593" w:rsidR="000743E9" w:rsidRPr="00BD01C9" w:rsidRDefault="00417315" w:rsidP="000743E9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0743E9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0743E9" w:rsidRPr="00BD01C9">
        <w:rPr>
          <w:sz w:val="22"/>
          <w:szCs w:val="22"/>
        </w:rPr>
        <w:t>glykol (E1520))</w:t>
      </w:r>
    </w:p>
    <w:p w14:paraId="04CED0CE" w14:textId="77777777" w:rsidR="0041338A" w:rsidRPr="00BD01C9" w:rsidRDefault="0041338A" w:rsidP="00D43E06">
      <w:pPr>
        <w:rPr>
          <w:sz w:val="22"/>
          <w:szCs w:val="22"/>
        </w:rPr>
      </w:pPr>
    </w:p>
    <w:p w14:paraId="0D2D2D2E" w14:textId="77777777" w:rsidR="000743E9" w:rsidRPr="00BD01C9" w:rsidRDefault="000743E9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100 mg tvrdé kapsuly</w:t>
      </w:r>
    </w:p>
    <w:p w14:paraId="192AF5FC" w14:textId="77777777" w:rsidR="00527C8B" w:rsidRPr="00BD01C9" w:rsidRDefault="00417315" w:rsidP="00527C8B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527C8B" w:rsidRPr="00BD01C9">
        <w:rPr>
          <w:sz w:val="22"/>
          <w:szCs w:val="22"/>
        </w:rPr>
        <w:t>xid titaničitý (E171)</w:t>
      </w:r>
    </w:p>
    <w:p w14:paraId="202B87D6" w14:textId="29F8DF7B" w:rsidR="00527C8B" w:rsidRPr="00BD01C9" w:rsidRDefault="00417315" w:rsidP="00527C8B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527C8B" w:rsidRPr="00BD01C9">
        <w:rPr>
          <w:sz w:val="22"/>
          <w:szCs w:val="22"/>
        </w:rPr>
        <w:t xml:space="preserve">elatína </w:t>
      </w:r>
    </w:p>
    <w:p w14:paraId="4106D490" w14:textId="77777777" w:rsidR="00A0467A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527C8B" w:rsidRPr="00BD01C9">
        <w:rPr>
          <w:sz w:val="22"/>
          <w:szCs w:val="22"/>
        </w:rPr>
        <w:t>ervený oxid železitý (E172)</w:t>
      </w:r>
    </w:p>
    <w:p w14:paraId="3E157E84" w14:textId="4BA24DFF" w:rsidR="00527C8B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b</w:t>
      </w:r>
      <w:r w:rsidR="00527C8B" w:rsidRPr="00BD01C9">
        <w:rPr>
          <w:sz w:val="22"/>
          <w:szCs w:val="22"/>
        </w:rPr>
        <w:t>iely atram</w:t>
      </w:r>
      <w:r w:rsidR="00DC60DE" w:rsidRPr="00BD01C9">
        <w:rPr>
          <w:sz w:val="22"/>
          <w:szCs w:val="22"/>
        </w:rPr>
        <w:t>ent (šelak (E904), propylén</w:t>
      </w:r>
      <w:r w:rsidR="00527C8B" w:rsidRPr="00BD01C9">
        <w:rPr>
          <w:sz w:val="22"/>
          <w:szCs w:val="22"/>
        </w:rPr>
        <w:t>glykol (E1520), hydroxid draselný (E525), oxid titaničitý (E171))</w:t>
      </w:r>
    </w:p>
    <w:p w14:paraId="59A35E80" w14:textId="77777777" w:rsidR="00CF337F" w:rsidRPr="00BD01C9" w:rsidRDefault="00CF337F" w:rsidP="00D43E06">
      <w:pPr>
        <w:rPr>
          <w:sz w:val="22"/>
          <w:szCs w:val="22"/>
        </w:rPr>
      </w:pPr>
    </w:p>
    <w:p w14:paraId="6B6D3874" w14:textId="77777777" w:rsidR="00CF337F" w:rsidRPr="00BD01C9" w:rsidRDefault="00CF337F" w:rsidP="00642CF4">
      <w:pPr>
        <w:keepNext/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150 mg tvrdé kapsuly</w:t>
      </w:r>
    </w:p>
    <w:p w14:paraId="581B9FD1" w14:textId="77777777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36CF017F" w14:textId="2C970116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3E79468B" w14:textId="77777777" w:rsidR="00CF337F" w:rsidRPr="00BD01C9" w:rsidRDefault="00417315" w:rsidP="00642CF4">
      <w:pPr>
        <w:keepNext/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4D94216E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46D3581F" w14:textId="5F0B9152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CF337F" w:rsidRPr="00BD01C9">
        <w:rPr>
          <w:sz w:val="22"/>
          <w:szCs w:val="22"/>
        </w:rPr>
        <w:t>glykol (E1520))</w:t>
      </w:r>
    </w:p>
    <w:p w14:paraId="34E86AF7" w14:textId="77777777" w:rsidR="00527C8B" w:rsidRPr="00BD01C9" w:rsidRDefault="00527C8B" w:rsidP="00D43E06">
      <w:pPr>
        <w:rPr>
          <w:sz w:val="22"/>
          <w:szCs w:val="22"/>
        </w:rPr>
      </w:pPr>
    </w:p>
    <w:p w14:paraId="535C4711" w14:textId="77777777" w:rsidR="00CF337F" w:rsidRPr="00BD01C9" w:rsidRDefault="00CF337F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200 mg, 225 mg tvrdé kapsuly</w:t>
      </w:r>
    </w:p>
    <w:p w14:paraId="161F400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47E71E42" w14:textId="38116D7A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0880B727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4CFEF93B" w14:textId="77777777" w:rsidR="00CF337F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6CAC30C3" w14:textId="77777777" w:rsidR="00CF337F" w:rsidRPr="00BD01C9" w:rsidRDefault="00417315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oxid železitý (E172)</w:t>
      </w:r>
    </w:p>
    <w:p w14:paraId="24D78AFF" w14:textId="256279AE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atrament (šelak (E904), čierny</w:t>
      </w:r>
      <w:r w:rsidR="00DC60DE" w:rsidRPr="00BD01C9">
        <w:rPr>
          <w:sz w:val="22"/>
          <w:szCs w:val="22"/>
        </w:rPr>
        <w:t xml:space="preserve"> oxid železitý (E172), propylén</w:t>
      </w:r>
      <w:r w:rsidR="00CF337F" w:rsidRPr="00BD01C9">
        <w:rPr>
          <w:sz w:val="22"/>
          <w:szCs w:val="22"/>
        </w:rPr>
        <w:t>glykol (E1520))</w:t>
      </w:r>
    </w:p>
    <w:p w14:paraId="7BFC30AD" w14:textId="77777777" w:rsidR="00CF337F" w:rsidRPr="00BD01C9" w:rsidRDefault="00CF337F" w:rsidP="00D43E06">
      <w:pPr>
        <w:rPr>
          <w:sz w:val="22"/>
          <w:szCs w:val="22"/>
        </w:rPr>
      </w:pPr>
    </w:p>
    <w:p w14:paraId="14E44719" w14:textId="77777777" w:rsidR="00CF337F" w:rsidRPr="00BD01C9" w:rsidRDefault="00CF337F" w:rsidP="00D43E06">
      <w:pPr>
        <w:rPr>
          <w:i/>
          <w:sz w:val="22"/>
          <w:szCs w:val="22"/>
        </w:rPr>
      </w:pPr>
      <w:r w:rsidRPr="00BD01C9">
        <w:rPr>
          <w:i/>
          <w:sz w:val="22"/>
          <w:szCs w:val="22"/>
        </w:rPr>
        <w:t>300 mg tvrdé kapsuly</w:t>
      </w:r>
    </w:p>
    <w:p w14:paraId="1488537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o</w:t>
      </w:r>
      <w:r w:rsidR="00CF337F" w:rsidRPr="00BD01C9">
        <w:rPr>
          <w:sz w:val="22"/>
          <w:szCs w:val="22"/>
        </w:rPr>
        <w:t>xid titaničitý (E171)</w:t>
      </w:r>
    </w:p>
    <w:p w14:paraId="4CF5C2DC" w14:textId="0FA1BBE9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 xml:space="preserve">elatína </w:t>
      </w:r>
    </w:p>
    <w:p w14:paraId="0B413D3A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ervený oxid železitý (E172)</w:t>
      </w:r>
    </w:p>
    <w:p w14:paraId="60D6A299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ž</w:t>
      </w:r>
      <w:r w:rsidR="00CF337F" w:rsidRPr="00BD01C9">
        <w:rPr>
          <w:sz w:val="22"/>
          <w:szCs w:val="22"/>
        </w:rPr>
        <w:t>ltý oxid železitý (E172)</w:t>
      </w:r>
    </w:p>
    <w:p w14:paraId="2528C131" w14:textId="77777777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č</w:t>
      </w:r>
      <w:r w:rsidR="00CF337F" w:rsidRPr="00BD01C9">
        <w:rPr>
          <w:sz w:val="22"/>
          <w:szCs w:val="22"/>
        </w:rPr>
        <w:t>ierny oxid železitý (E172)</w:t>
      </w:r>
    </w:p>
    <w:p w14:paraId="27884713" w14:textId="4254E7F9" w:rsidR="00CF337F" w:rsidRPr="00BD01C9" w:rsidRDefault="00417315" w:rsidP="00CF337F">
      <w:pPr>
        <w:rPr>
          <w:sz w:val="22"/>
          <w:szCs w:val="22"/>
        </w:rPr>
      </w:pPr>
      <w:r w:rsidRPr="00BD01C9">
        <w:rPr>
          <w:sz w:val="22"/>
          <w:szCs w:val="22"/>
        </w:rPr>
        <w:t>b</w:t>
      </w:r>
      <w:r w:rsidR="00CF337F" w:rsidRPr="00BD01C9">
        <w:rPr>
          <w:sz w:val="22"/>
          <w:szCs w:val="22"/>
        </w:rPr>
        <w:t>iely atram</w:t>
      </w:r>
      <w:r w:rsidR="00DC60DE" w:rsidRPr="00BD01C9">
        <w:rPr>
          <w:sz w:val="22"/>
          <w:szCs w:val="22"/>
        </w:rPr>
        <w:t>ent (šelak (E904), propylén</w:t>
      </w:r>
      <w:r w:rsidR="00CF337F" w:rsidRPr="00BD01C9">
        <w:rPr>
          <w:sz w:val="22"/>
          <w:szCs w:val="22"/>
        </w:rPr>
        <w:t>glykol (E1520), hydroxid draselný (E525), oxid titaničitý (E171))</w:t>
      </w:r>
    </w:p>
    <w:p w14:paraId="321B6850" w14:textId="77777777" w:rsidR="00CF337F" w:rsidRPr="00BD01C9" w:rsidRDefault="00CF337F" w:rsidP="00D43E06">
      <w:pPr>
        <w:rPr>
          <w:sz w:val="22"/>
          <w:szCs w:val="22"/>
        </w:rPr>
      </w:pPr>
    </w:p>
    <w:p w14:paraId="607D98AE" w14:textId="77777777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6.2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Inkompatibility</w:t>
      </w:r>
    </w:p>
    <w:p w14:paraId="4D574053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274B8652" w14:textId="77777777" w:rsidR="00D47462" w:rsidRPr="00BD01C9" w:rsidRDefault="00D47462" w:rsidP="00D47462">
      <w:pPr>
        <w:rPr>
          <w:sz w:val="22"/>
        </w:rPr>
      </w:pPr>
      <w:r w:rsidRPr="00BD01C9">
        <w:rPr>
          <w:sz w:val="22"/>
        </w:rPr>
        <w:t>Neaplikovateľné.</w:t>
      </w:r>
    </w:p>
    <w:p w14:paraId="176CCD49" w14:textId="77777777" w:rsidR="00A0467A" w:rsidRPr="00BD01C9" w:rsidRDefault="00A0467A" w:rsidP="00D43E06">
      <w:pPr>
        <w:rPr>
          <w:sz w:val="22"/>
          <w:szCs w:val="22"/>
        </w:rPr>
      </w:pPr>
    </w:p>
    <w:p w14:paraId="440C26A9" w14:textId="77777777" w:rsidR="00A0467A" w:rsidRPr="00BD01C9" w:rsidRDefault="00A0467A" w:rsidP="00D43E06">
      <w:pPr>
        <w:keepNext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6.3</w:t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Čas použiteľnosti</w:t>
      </w:r>
    </w:p>
    <w:p w14:paraId="213403A1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637BEFFB" w14:textId="49B4EAEB" w:rsidR="00A0467A" w:rsidRPr="00BD01C9" w:rsidRDefault="00642CF4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3</w:t>
      </w:r>
      <w:r w:rsidR="00A0467A" w:rsidRPr="00BD01C9">
        <w:rPr>
          <w:sz w:val="22"/>
          <w:szCs w:val="22"/>
        </w:rPr>
        <w:t xml:space="preserve"> roky</w:t>
      </w:r>
    </w:p>
    <w:p w14:paraId="24B26EBD" w14:textId="77777777" w:rsidR="00171399" w:rsidRPr="00BD01C9" w:rsidRDefault="00171399" w:rsidP="00D43E06">
      <w:pPr>
        <w:rPr>
          <w:sz w:val="22"/>
          <w:szCs w:val="22"/>
        </w:rPr>
      </w:pPr>
    </w:p>
    <w:p w14:paraId="6C4F1A7B" w14:textId="77777777" w:rsidR="00A0467A" w:rsidRPr="00BD01C9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6.4</w:t>
      </w:r>
      <w:r w:rsidR="00E401DD" w:rsidRPr="00BD01C9">
        <w:rPr>
          <w:b/>
          <w:sz w:val="22"/>
          <w:szCs w:val="22"/>
        </w:rPr>
        <w:tab/>
      </w:r>
      <w:r w:rsidR="00E401DD" w:rsidRPr="00BD01C9">
        <w:rPr>
          <w:b/>
          <w:sz w:val="22"/>
          <w:szCs w:val="22"/>
        </w:rPr>
        <w:tab/>
      </w:r>
      <w:r w:rsidRPr="00BD01C9">
        <w:rPr>
          <w:b/>
          <w:sz w:val="22"/>
          <w:szCs w:val="22"/>
        </w:rPr>
        <w:t>Špeciálne upozornenia na uchovávanie</w:t>
      </w:r>
    </w:p>
    <w:p w14:paraId="31B7C803" w14:textId="77777777" w:rsidR="00A0467A" w:rsidRPr="00BD01C9" w:rsidRDefault="00A0467A" w:rsidP="00D43E06">
      <w:pPr>
        <w:keepNext/>
        <w:tabs>
          <w:tab w:val="left" w:pos="420"/>
        </w:tabs>
        <w:rPr>
          <w:b/>
          <w:sz w:val="22"/>
          <w:szCs w:val="22"/>
        </w:rPr>
      </w:pPr>
    </w:p>
    <w:p w14:paraId="7280E125" w14:textId="2465EA36" w:rsidR="00A0467A" w:rsidRPr="00BD01C9" w:rsidRDefault="00A0467A" w:rsidP="00D43E06">
      <w:pPr>
        <w:pStyle w:val="Zkladntext"/>
        <w:jc w:val="left"/>
        <w:rPr>
          <w:sz w:val="22"/>
          <w:szCs w:val="22"/>
          <w:lang w:val="sk-SK"/>
        </w:rPr>
      </w:pPr>
      <w:r w:rsidRPr="00BD01C9">
        <w:rPr>
          <w:sz w:val="22"/>
          <w:szCs w:val="22"/>
          <w:lang w:val="sk-SK"/>
        </w:rPr>
        <w:t>Uchováva</w:t>
      </w:r>
      <w:r w:rsidR="00522F86" w:rsidRPr="00BD01C9">
        <w:rPr>
          <w:sz w:val="22"/>
          <w:szCs w:val="22"/>
          <w:lang w:val="sk-SK"/>
        </w:rPr>
        <w:t>j</w:t>
      </w:r>
      <w:r w:rsidR="00D75FA5" w:rsidRPr="00BD01C9">
        <w:rPr>
          <w:sz w:val="22"/>
          <w:szCs w:val="22"/>
          <w:lang w:val="sk-SK"/>
        </w:rPr>
        <w:t>te</w:t>
      </w:r>
      <w:r w:rsidR="00293F61" w:rsidRPr="00BD01C9">
        <w:rPr>
          <w:sz w:val="22"/>
          <w:szCs w:val="22"/>
          <w:lang w:val="sk-SK"/>
        </w:rPr>
        <w:t xml:space="preserve"> pri teplote do 30</w:t>
      </w:r>
      <w:r w:rsidR="00642CF4" w:rsidRPr="00BD01C9">
        <w:rPr>
          <w:sz w:val="22"/>
          <w:szCs w:val="22"/>
          <w:lang w:val="sk-SK"/>
        </w:rPr>
        <w:t> </w:t>
      </w:r>
      <w:r w:rsidR="00293F61" w:rsidRPr="00BD01C9">
        <w:rPr>
          <w:sz w:val="22"/>
          <w:szCs w:val="22"/>
          <w:lang w:val="sk-SK"/>
        </w:rPr>
        <w:t>°C.</w:t>
      </w:r>
    </w:p>
    <w:p w14:paraId="554A4246" w14:textId="77777777" w:rsidR="00A0467A" w:rsidRPr="00BD01C9" w:rsidRDefault="00A0467A" w:rsidP="00D43E06">
      <w:pPr>
        <w:rPr>
          <w:sz w:val="22"/>
          <w:szCs w:val="22"/>
        </w:rPr>
      </w:pPr>
    </w:p>
    <w:p w14:paraId="1CDD5EC2" w14:textId="77777777" w:rsidR="00A0467A" w:rsidRPr="00BD01C9" w:rsidRDefault="00A0467A" w:rsidP="00D43E06">
      <w:pPr>
        <w:keepNext/>
        <w:rPr>
          <w:b/>
          <w:i/>
          <w:iCs/>
          <w:sz w:val="22"/>
          <w:szCs w:val="22"/>
        </w:rPr>
      </w:pPr>
      <w:r w:rsidRPr="00BD01C9">
        <w:rPr>
          <w:b/>
          <w:iCs/>
          <w:sz w:val="22"/>
          <w:szCs w:val="22"/>
        </w:rPr>
        <w:t>6.5</w:t>
      </w:r>
      <w:r w:rsidR="00E401DD" w:rsidRPr="00BD01C9">
        <w:rPr>
          <w:b/>
          <w:iCs/>
          <w:sz w:val="22"/>
          <w:szCs w:val="22"/>
        </w:rPr>
        <w:tab/>
      </w:r>
      <w:r w:rsidRPr="00BD01C9">
        <w:rPr>
          <w:b/>
          <w:sz w:val="22"/>
          <w:szCs w:val="22"/>
        </w:rPr>
        <w:t>Druh obalu a obsah balenia</w:t>
      </w:r>
    </w:p>
    <w:p w14:paraId="7388FE75" w14:textId="77777777" w:rsidR="00A0467A" w:rsidRPr="00BD01C9" w:rsidRDefault="00A0467A" w:rsidP="00D43E06">
      <w:pPr>
        <w:keepNext/>
        <w:rPr>
          <w:iCs/>
          <w:sz w:val="22"/>
          <w:szCs w:val="22"/>
        </w:rPr>
      </w:pPr>
    </w:p>
    <w:p w14:paraId="6996C15E" w14:textId="7DA711AF" w:rsidR="00155C43" w:rsidRPr="00BD01C9" w:rsidRDefault="00293F61" w:rsidP="00D43E06">
      <w:pPr>
        <w:widowControl w:val="0"/>
        <w:tabs>
          <w:tab w:val="left" w:pos="567"/>
        </w:tabs>
        <w:rPr>
          <w:bCs/>
          <w:sz w:val="22"/>
          <w:szCs w:val="22"/>
        </w:rPr>
      </w:pPr>
      <w:r w:rsidRPr="00BD01C9">
        <w:rPr>
          <w:bCs/>
          <w:sz w:val="22"/>
          <w:szCs w:val="22"/>
        </w:rPr>
        <w:t>Blister (PVC/PVDC/Al): 14, 28, 30, 56, 6</w:t>
      </w:r>
      <w:r w:rsidR="00E97313" w:rsidRPr="00BD01C9">
        <w:rPr>
          <w:bCs/>
          <w:sz w:val="22"/>
          <w:szCs w:val="22"/>
        </w:rPr>
        <w:t>0, 84, 90 alebo 100 tvrdých kaps</w:t>
      </w:r>
      <w:r w:rsidRPr="00BD01C9">
        <w:rPr>
          <w:bCs/>
          <w:sz w:val="22"/>
          <w:szCs w:val="22"/>
        </w:rPr>
        <w:t>úl v škatuľke.</w:t>
      </w:r>
    </w:p>
    <w:p w14:paraId="57851E85" w14:textId="77777777" w:rsidR="00813C17" w:rsidRPr="00BD01C9" w:rsidRDefault="00813C17" w:rsidP="00D43E06">
      <w:pPr>
        <w:tabs>
          <w:tab w:val="left" w:pos="709"/>
        </w:tabs>
        <w:rPr>
          <w:iCs/>
          <w:sz w:val="22"/>
          <w:szCs w:val="22"/>
          <w:u w:val="single"/>
        </w:rPr>
      </w:pPr>
    </w:p>
    <w:p w14:paraId="28F0B952" w14:textId="77777777" w:rsidR="00014B3C" w:rsidRPr="00BD01C9" w:rsidRDefault="00014B3C" w:rsidP="00D43E06">
      <w:pPr>
        <w:tabs>
          <w:tab w:val="left" w:pos="709"/>
        </w:tabs>
        <w:rPr>
          <w:sz w:val="22"/>
          <w:szCs w:val="22"/>
        </w:rPr>
      </w:pPr>
      <w:r w:rsidRPr="00BD01C9">
        <w:rPr>
          <w:sz w:val="22"/>
          <w:szCs w:val="22"/>
        </w:rPr>
        <w:t xml:space="preserve">Na trh nemusia byť uvedené všetky veľkosti balenia. </w:t>
      </w:r>
    </w:p>
    <w:p w14:paraId="360252EF" w14:textId="77777777" w:rsidR="00A0467A" w:rsidRPr="00BD01C9" w:rsidRDefault="00A0467A" w:rsidP="00D43E06">
      <w:pPr>
        <w:tabs>
          <w:tab w:val="left" w:pos="709"/>
        </w:tabs>
        <w:rPr>
          <w:sz w:val="22"/>
          <w:szCs w:val="22"/>
        </w:rPr>
      </w:pPr>
    </w:p>
    <w:p w14:paraId="123473FE" w14:textId="77777777" w:rsidR="00A0467A" w:rsidRPr="00BD01C9" w:rsidRDefault="00A0467A" w:rsidP="00D43E06">
      <w:pPr>
        <w:keepNext/>
        <w:tabs>
          <w:tab w:val="left" w:pos="709"/>
        </w:tabs>
        <w:rPr>
          <w:b/>
          <w:i/>
          <w:iCs/>
          <w:sz w:val="22"/>
          <w:szCs w:val="22"/>
        </w:rPr>
      </w:pPr>
      <w:r w:rsidRPr="00BD01C9">
        <w:rPr>
          <w:b/>
          <w:iCs/>
          <w:sz w:val="22"/>
          <w:szCs w:val="22"/>
        </w:rPr>
        <w:t>6.</w:t>
      </w:r>
      <w:r w:rsidRPr="00BD01C9">
        <w:rPr>
          <w:b/>
          <w:sz w:val="22"/>
          <w:szCs w:val="22"/>
        </w:rPr>
        <w:t>6</w:t>
      </w:r>
      <w:r w:rsidR="00E401DD" w:rsidRPr="00BD01C9">
        <w:rPr>
          <w:b/>
          <w:sz w:val="22"/>
          <w:szCs w:val="22"/>
        </w:rPr>
        <w:tab/>
      </w:r>
      <w:r w:rsidR="00DC5A9E" w:rsidRPr="00BD01C9">
        <w:rPr>
          <w:b/>
          <w:sz w:val="22"/>
          <w:szCs w:val="22"/>
        </w:rPr>
        <w:t>Špeciálne opatrenia na likvidáciu</w:t>
      </w:r>
    </w:p>
    <w:p w14:paraId="01529099" w14:textId="77777777" w:rsidR="00A0467A" w:rsidRPr="00BD01C9" w:rsidRDefault="00A0467A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5781EF55" w14:textId="77777777" w:rsidR="00A0467A" w:rsidRPr="00BD01C9" w:rsidRDefault="0006498E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  <w:r w:rsidRPr="00BD01C9">
        <w:rPr>
          <w:rFonts w:ascii="Times New Roman" w:hAnsi="Times New Roman" w:cs="Times New Roman"/>
          <w:bCs/>
          <w:strike w:val="0"/>
          <w:sz w:val="22"/>
          <w:szCs w:val="22"/>
        </w:rPr>
        <w:t>Žiadne špeciálne požiadavky</w:t>
      </w:r>
      <w:r w:rsidR="00A0467A" w:rsidRPr="00BD01C9">
        <w:rPr>
          <w:rFonts w:ascii="Times New Roman" w:hAnsi="Times New Roman" w:cs="Times New Roman"/>
          <w:bCs/>
          <w:strike w:val="0"/>
          <w:sz w:val="22"/>
          <w:szCs w:val="22"/>
        </w:rPr>
        <w:t>.</w:t>
      </w:r>
    </w:p>
    <w:p w14:paraId="2EC78119" w14:textId="77777777" w:rsidR="00626BEC" w:rsidRPr="00BD01C9" w:rsidRDefault="00626BEC" w:rsidP="00D43E06">
      <w:pPr>
        <w:pStyle w:val="Zkladntext3"/>
        <w:tabs>
          <w:tab w:val="left" w:pos="709"/>
        </w:tabs>
        <w:jc w:val="left"/>
        <w:rPr>
          <w:rFonts w:ascii="Times New Roman" w:hAnsi="Times New Roman" w:cs="Times New Roman"/>
          <w:bCs/>
          <w:strike w:val="0"/>
          <w:sz w:val="22"/>
          <w:szCs w:val="22"/>
        </w:rPr>
      </w:pPr>
    </w:p>
    <w:p w14:paraId="36B06CA1" w14:textId="77777777" w:rsidR="00A0467A" w:rsidRPr="00BD01C9" w:rsidRDefault="00A0467A" w:rsidP="00D43E06">
      <w:pPr>
        <w:tabs>
          <w:tab w:val="left" w:pos="709"/>
        </w:tabs>
        <w:rPr>
          <w:bCs/>
          <w:sz w:val="22"/>
          <w:szCs w:val="22"/>
        </w:rPr>
      </w:pPr>
    </w:p>
    <w:p w14:paraId="29444072" w14:textId="77777777" w:rsidR="00A0467A" w:rsidRPr="00BD01C9" w:rsidRDefault="00A0467A" w:rsidP="00D43E06">
      <w:pPr>
        <w:keepNext/>
        <w:tabs>
          <w:tab w:val="left" w:pos="709"/>
        </w:tabs>
        <w:rPr>
          <w:b/>
          <w:caps/>
          <w:sz w:val="22"/>
          <w:szCs w:val="22"/>
        </w:rPr>
      </w:pPr>
      <w:r w:rsidRPr="00BD01C9">
        <w:rPr>
          <w:b/>
          <w:sz w:val="22"/>
          <w:szCs w:val="22"/>
        </w:rPr>
        <w:t>7.</w:t>
      </w:r>
      <w:r w:rsidRPr="00BD01C9">
        <w:rPr>
          <w:b/>
          <w:sz w:val="22"/>
          <w:szCs w:val="22"/>
        </w:rPr>
        <w:tab/>
      </w:r>
      <w:r w:rsidRPr="00BD01C9">
        <w:rPr>
          <w:b/>
          <w:caps/>
          <w:sz w:val="22"/>
          <w:szCs w:val="22"/>
        </w:rPr>
        <w:t>DrŽiteĽ rozhodnutia O REGISTRÁCII</w:t>
      </w:r>
    </w:p>
    <w:p w14:paraId="3A6914BB" w14:textId="77777777" w:rsidR="00A0467A" w:rsidRPr="00BD01C9" w:rsidRDefault="00A0467A" w:rsidP="00D43E06">
      <w:pPr>
        <w:keepNext/>
        <w:tabs>
          <w:tab w:val="left" w:pos="709"/>
        </w:tabs>
        <w:rPr>
          <w:caps/>
          <w:sz w:val="22"/>
          <w:szCs w:val="22"/>
        </w:rPr>
      </w:pPr>
    </w:p>
    <w:p w14:paraId="6C4D1010" w14:textId="77777777" w:rsidR="00A0467A" w:rsidRPr="00BD01C9" w:rsidRDefault="000539DC" w:rsidP="00D43E06">
      <w:pPr>
        <w:rPr>
          <w:b/>
          <w:sz w:val="22"/>
          <w:szCs w:val="22"/>
        </w:rPr>
      </w:pPr>
      <w:r w:rsidRPr="00BD01C9">
        <w:rPr>
          <w:sz w:val="22"/>
          <w:szCs w:val="22"/>
        </w:rPr>
        <w:t>KRKA, d.d., Novo mesto, Šmarješka cesta 6, 8501 Novo mesto, Slovinsko</w:t>
      </w:r>
    </w:p>
    <w:p w14:paraId="636E369D" w14:textId="77777777" w:rsidR="00A0467A" w:rsidRPr="00BD01C9" w:rsidRDefault="00A0467A" w:rsidP="00D43E06">
      <w:pPr>
        <w:rPr>
          <w:sz w:val="22"/>
          <w:szCs w:val="22"/>
        </w:rPr>
      </w:pPr>
    </w:p>
    <w:p w14:paraId="1632082B" w14:textId="77777777" w:rsidR="000C585D" w:rsidRPr="00BD01C9" w:rsidRDefault="000C585D" w:rsidP="00D43E06">
      <w:pPr>
        <w:rPr>
          <w:sz w:val="22"/>
          <w:szCs w:val="22"/>
        </w:rPr>
      </w:pPr>
    </w:p>
    <w:p w14:paraId="18701903" w14:textId="77777777" w:rsidR="00A0467A" w:rsidRPr="00BD01C9" w:rsidRDefault="00A0467A" w:rsidP="00642CF4">
      <w:pPr>
        <w:keepNext/>
        <w:numPr>
          <w:ilvl w:val="0"/>
          <w:numId w:val="4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REGISTRAČNÉ ČÍSL</w:t>
      </w:r>
      <w:r w:rsidR="002C5DF4" w:rsidRPr="00BD01C9">
        <w:rPr>
          <w:b/>
          <w:sz w:val="22"/>
          <w:szCs w:val="22"/>
        </w:rPr>
        <w:t>A</w:t>
      </w:r>
    </w:p>
    <w:p w14:paraId="1F7C5532" w14:textId="77777777" w:rsidR="00A0467A" w:rsidRPr="00BD01C9" w:rsidRDefault="00A0467A" w:rsidP="00642CF4">
      <w:pPr>
        <w:keepNext/>
        <w:rPr>
          <w:sz w:val="22"/>
          <w:szCs w:val="22"/>
        </w:rPr>
      </w:pPr>
    </w:p>
    <w:p w14:paraId="7FDD0F1D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25 mg tvrdé kapsuly:</w:t>
      </w:r>
      <w:r w:rsidR="00784C33" w:rsidRPr="00BD01C9">
        <w:t xml:space="preserve"> </w:t>
      </w:r>
      <w:r w:rsidR="00784C33" w:rsidRPr="00BD01C9">
        <w:rPr>
          <w:noProof/>
          <w:sz w:val="22"/>
          <w:szCs w:val="22"/>
        </w:rPr>
        <w:t>21/0133/15-S</w:t>
      </w:r>
    </w:p>
    <w:p w14:paraId="5E99D554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50 mg tvrdé kapsuly:</w:t>
      </w:r>
      <w:r w:rsidR="00784C33" w:rsidRPr="00BD01C9">
        <w:rPr>
          <w:noProof/>
          <w:sz w:val="22"/>
          <w:szCs w:val="22"/>
        </w:rPr>
        <w:t xml:space="preserve"> 21/0134/15-S</w:t>
      </w:r>
    </w:p>
    <w:p w14:paraId="4E99D2DA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75 mg tvrdé kapsuly:</w:t>
      </w:r>
      <w:r w:rsidR="00784C33" w:rsidRPr="00BD01C9">
        <w:rPr>
          <w:noProof/>
          <w:sz w:val="22"/>
          <w:szCs w:val="22"/>
        </w:rPr>
        <w:t xml:space="preserve"> 21/0135/15-S</w:t>
      </w:r>
    </w:p>
    <w:p w14:paraId="7E3ADF24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100 mg tvrdé kapsuly:</w:t>
      </w:r>
      <w:r w:rsidR="00784C33" w:rsidRPr="00BD01C9">
        <w:rPr>
          <w:noProof/>
          <w:sz w:val="22"/>
          <w:szCs w:val="22"/>
        </w:rPr>
        <w:t xml:space="preserve"> 21/0136/15-S</w:t>
      </w:r>
    </w:p>
    <w:p w14:paraId="338F6223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150 mg tvrdé kapsuly:</w:t>
      </w:r>
      <w:r w:rsidR="00784C33" w:rsidRPr="00BD01C9">
        <w:rPr>
          <w:noProof/>
          <w:sz w:val="22"/>
          <w:szCs w:val="22"/>
        </w:rPr>
        <w:t xml:space="preserve"> 21/0137/15-S</w:t>
      </w:r>
    </w:p>
    <w:p w14:paraId="1EB4AE83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200 mg tvrdé kapsuly:</w:t>
      </w:r>
      <w:r w:rsidR="00784C33" w:rsidRPr="00BD01C9">
        <w:rPr>
          <w:noProof/>
          <w:sz w:val="22"/>
          <w:szCs w:val="22"/>
        </w:rPr>
        <w:t xml:space="preserve"> 21/0138/15-S</w:t>
      </w:r>
    </w:p>
    <w:p w14:paraId="14978A3F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225 mg tvrdé kapsuly:</w:t>
      </w:r>
      <w:r w:rsidR="00784C33" w:rsidRPr="00BD01C9">
        <w:rPr>
          <w:noProof/>
          <w:sz w:val="22"/>
          <w:szCs w:val="22"/>
        </w:rPr>
        <w:t xml:space="preserve"> 21/0139/15-S</w:t>
      </w:r>
    </w:p>
    <w:p w14:paraId="149F3E46" w14:textId="77777777" w:rsidR="00750946" w:rsidRPr="00BD01C9" w:rsidRDefault="00750946" w:rsidP="00642CF4">
      <w:pPr>
        <w:keepNext/>
        <w:rPr>
          <w:noProof/>
          <w:sz w:val="22"/>
          <w:szCs w:val="22"/>
        </w:rPr>
      </w:pPr>
      <w:r w:rsidRPr="00BD01C9">
        <w:rPr>
          <w:noProof/>
          <w:sz w:val="22"/>
          <w:szCs w:val="22"/>
        </w:rPr>
        <w:t>Pragiola 300 mg tvrdé kapsuly:</w:t>
      </w:r>
      <w:r w:rsidR="00784C33" w:rsidRPr="00BD01C9">
        <w:rPr>
          <w:noProof/>
          <w:sz w:val="22"/>
          <w:szCs w:val="22"/>
        </w:rPr>
        <w:t xml:space="preserve"> 21/0140/15-S</w:t>
      </w:r>
    </w:p>
    <w:p w14:paraId="3C24BD6D" w14:textId="77777777" w:rsidR="00A0467A" w:rsidRPr="00BD01C9" w:rsidRDefault="00A0467A" w:rsidP="00D43E06">
      <w:pPr>
        <w:tabs>
          <w:tab w:val="left" w:pos="2552"/>
        </w:tabs>
        <w:rPr>
          <w:sz w:val="22"/>
          <w:szCs w:val="22"/>
        </w:rPr>
      </w:pPr>
    </w:p>
    <w:p w14:paraId="6883C8B3" w14:textId="77777777" w:rsidR="002C2912" w:rsidRPr="00BD01C9" w:rsidRDefault="002C2912" w:rsidP="00D43E06">
      <w:pPr>
        <w:tabs>
          <w:tab w:val="left" w:pos="2552"/>
        </w:tabs>
        <w:rPr>
          <w:sz w:val="22"/>
          <w:szCs w:val="22"/>
        </w:rPr>
      </w:pPr>
    </w:p>
    <w:p w14:paraId="22B76D85" w14:textId="77777777" w:rsidR="00A0467A" w:rsidRPr="00BD01C9" w:rsidRDefault="00A0467A" w:rsidP="00D43E06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 xml:space="preserve">DÁTUM </w:t>
      </w:r>
      <w:r w:rsidR="00BB2021" w:rsidRPr="00BD01C9">
        <w:rPr>
          <w:b/>
          <w:bCs/>
          <w:caps/>
          <w:sz w:val="22"/>
          <w:szCs w:val="22"/>
        </w:rPr>
        <w:t>PRVEJ</w:t>
      </w:r>
      <w:r w:rsidR="00BB2021" w:rsidRPr="00BD01C9">
        <w:rPr>
          <w:b/>
          <w:sz w:val="22"/>
          <w:szCs w:val="22"/>
        </w:rPr>
        <w:t xml:space="preserve"> </w:t>
      </w:r>
      <w:r w:rsidRPr="00BD01C9">
        <w:rPr>
          <w:b/>
          <w:sz w:val="22"/>
          <w:szCs w:val="22"/>
        </w:rPr>
        <w:t>REGISTRÁCIE</w:t>
      </w:r>
      <w:r w:rsidR="00BB2021" w:rsidRPr="00BD01C9">
        <w:rPr>
          <w:b/>
          <w:sz w:val="22"/>
          <w:szCs w:val="22"/>
        </w:rPr>
        <w:t>/PREDĹŽENIA REGISTRÁCIE</w:t>
      </w:r>
    </w:p>
    <w:p w14:paraId="71F14FC5" w14:textId="77777777" w:rsidR="00A0467A" w:rsidRPr="00BD01C9" w:rsidRDefault="00A0467A" w:rsidP="00D43E06">
      <w:pPr>
        <w:keepNext/>
        <w:rPr>
          <w:sz w:val="22"/>
          <w:szCs w:val="22"/>
        </w:rPr>
      </w:pPr>
    </w:p>
    <w:p w14:paraId="518E2B35" w14:textId="486C03B9" w:rsidR="00A0467A" w:rsidRPr="00BD01C9" w:rsidRDefault="00F32589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 xml:space="preserve">Dátum prvej registrácie: 21. </w:t>
      </w:r>
      <w:r w:rsidR="006F4750" w:rsidRPr="00BD01C9">
        <w:rPr>
          <w:sz w:val="22"/>
          <w:szCs w:val="22"/>
        </w:rPr>
        <w:t>a</w:t>
      </w:r>
      <w:r w:rsidRPr="00BD01C9">
        <w:rPr>
          <w:sz w:val="22"/>
          <w:szCs w:val="22"/>
        </w:rPr>
        <w:t>príl</w:t>
      </w:r>
      <w:r w:rsidR="006F4750" w:rsidRPr="00BD01C9">
        <w:rPr>
          <w:sz w:val="22"/>
          <w:szCs w:val="22"/>
        </w:rPr>
        <w:t xml:space="preserve">a </w:t>
      </w:r>
      <w:r w:rsidRPr="00BD01C9">
        <w:rPr>
          <w:sz w:val="22"/>
          <w:szCs w:val="22"/>
        </w:rPr>
        <w:t>2015</w:t>
      </w:r>
    </w:p>
    <w:p w14:paraId="72D79E0E" w14:textId="5DD27428" w:rsidR="00141B19" w:rsidRPr="00BD01C9" w:rsidRDefault="00141B19" w:rsidP="00D43E06">
      <w:pPr>
        <w:rPr>
          <w:sz w:val="22"/>
          <w:szCs w:val="22"/>
        </w:rPr>
      </w:pPr>
      <w:r w:rsidRPr="00BD01C9">
        <w:rPr>
          <w:sz w:val="22"/>
          <w:szCs w:val="22"/>
        </w:rPr>
        <w:t>Dátum posledného predĺženia registrácie: 17. júna 2020</w:t>
      </w:r>
    </w:p>
    <w:p w14:paraId="561C66CC" w14:textId="77777777" w:rsidR="00F32589" w:rsidRPr="00BD01C9" w:rsidRDefault="00F32589" w:rsidP="00D43E06">
      <w:pPr>
        <w:rPr>
          <w:sz w:val="22"/>
          <w:szCs w:val="22"/>
        </w:rPr>
      </w:pPr>
    </w:p>
    <w:p w14:paraId="1AA07215" w14:textId="77777777" w:rsidR="00125CAA" w:rsidRPr="00BD01C9" w:rsidRDefault="00125CAA" w:rsidP="00D43E06">
      <w:pPr>
        <w:rPr>
          <w:sz w:val="22"/>
          <w:szCs w:val="22"/>
        </w:rPr>
      </w:pPr>
    </w:p>
    <w:p w14:paraId="18455E88" w14:textId="77777777" w:rsidR="00A0467A" w:rsidRPr="00BD01C9" w:rsidRDefault="00A0467A" w:rsidP="00642CF4">
      <w:pPr>
        <w:keepNext/>
        <w:numPr>
          <w:ilvl w:val="0"/>
          <w:numId w:val="2"/>
        </w:numPr>
        <w:tabs>
          <w:tab w:val="clear" w:pos="420"/>
          <w:tab w:val="num" w:pos="709"/>
        </w:tabs>
        <w:ind w:left="0" w:firstLine="0"/>
        <w:rPr>
          <w:b/>
          <w:sz w:val="22"/>
          <w:szCs w:val="22"/>
        </w:rPr>
      </w:pPr>
      <w:r w:rsidRPr="00BD01C9">
        <w:rPr>
          <w:b/>
          <w:sz w:val="22"/>
          <w:szCs w:val="22"/>
        </w:rPr>
        <w:t>DÁTUM REVÍZIE TEXTU</w:t>
      </w:r>
    </w:p>
    <w:p w14:paraId="327A8BBF" w14:textId="77777777" w:rsidR="006F4750" w:rsidRPr="00BD01C9" w:rsidRDefault="006F4750" w:rsidP="00642CF4">
      <w:pPr>
        <w:keepNext/>
        <w:rPr>
          <w:sz w:val="22"/>
          <w:szCs w:val="22"/>
        </w:rPr>
      </w:pPr>
    </w:p>
    <w:p w14:paraId="268F0186" w14:textId="40C2E991" w:rsidR="00A319B6" w:rsidRDefault="00BD01C9" w:rsidP="00642CF4">
      <w:pPr>
        <w:keepNext/>
        <w:rPr>
          <w:sz w:val="22"/>
        </w:rPr>
      </w:pPr>
      <w:r w:rsidRPr="00BD01C9">
        <w:rPr>
          <w:sz w:val="22"/>
        </w:rPr>
        <w:t>09/2020</w:t>
      </w:r>
    </w:p>
    <w:p w14:paraId="201E2531" w14:textId="77777777" w:rsidR="00BD01C9" w:rsidRPr="00BD01C9" w:rsidRDefault="00BD01C9" w:rsidP="00642CF4">
      <w:pPr>
        <w:keepNext/>
        <w:rPr>
          <w:sz w:val="22"/>
        </w:rPr>
      </w:pPr>
    </w:p>
    <w:p w14:paraId="07319A17" w14:textId="54368F79" w:rsidR="00A319B6" w:rsidRPr="00BD01C9" w:rsidRDefault="00A319B6" w:rsidP="00642CF4">
      <w:pPr>
        <w:keepNext/>
        <w:rPr>
          <w:sz w:val="22"/>
        </w:rPr>
      </w:pPr>
      <w:r w:rsidRPr="00BD01C9">
        <w:rPr>
          <w:sz w:val="22"/>
          <w:highlight w:val="lightGray"/>
        </w:rPr>
        <w:t>Podrobné informácie o tomto lieku sú dostupné na internetovej stránke Štátneho ústavu pre kontrolu liečiv http://www.sukl.sk</w:t>
      </w:r>
      <w:bookmarkStart w:id="0" w:name="_GoBack"/>
      <w:bookmarkEnd w:id="0"/>
    </w:p>
    <w:sectPr w:rsidR="00A319B6" w:rsidRPr="00BD01C9" w:rsidSect="00642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CA7D8" w14:textId="77777777" w:rsidR="00AB55F9" w:rsidRDefault="00AB55F9">
      <w:r>
        <w:separator/>
      </w:r>
    </w:p>
  </w:endnote>
  <w:endnote w:type="continuationSeparator" w:id="0">
    <w:p w14:paraId="24D69168" w14:textId="77777777" w:rsidR="00AB55F9" w:rsidRDefault="00AB55F9">
      <w:r>
        <w:continuationSeparator/>
      </w:r>
    </w:p>
  </w:endnote>
  <w:endnote w:type="continuationNotice" w:id="1">
    <w:p w14:paraId="6A28CE4A" w14:textId="77777777" w:rsidR="00AB55F9" w:rsidRDefault="00AB5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C07B" w14:textId="77777777" w:rsidR="00AB55F9" w:rsidRDefault="00AB55F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3AF08E6" w14:textId="77777777" w:rsidR="00AB55F9" w:rsidRDefault="00AB55F9">
    <w:pPr>
      <w:pStyle w:val="Pta"/>
    </w:pPr>
  </w:p>
  <w:p w14:paraId="2CF53935" w14:textId="77777777" w:rsidR="00AB55F9" w:rsidRDefault="00AB55F9"/>
  <w:p w14:paraId="56A079B9" w14:textId="77777777" w:rsidR="00AB55F9" w:rsidRDefault="00AB55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1AF03" w14:textId="728EF478" w:rsidR="00AB55F9" w:rsidRPr="00AC6E03" w:rsidRDefault="00AB55F9">
    <w:pPr>
      <w:pStyle w:val="Pta"/>
      <w:framePr w:wrap="around" w:vAnchor="text" w:hAnchor="margin" w:xAlign="center" w:y="1"/>
      <w:rPr>
        <w:rStyle w:val="slostrany"/>
        <w:sz w:val="18"/>
      </w:rPr>
    </w:pPr>
    <w:r w:rsidRPr="00AC6E03">
      <w:rPr>
        <w:rStyle w:val="slostrany"/>
        <w:sz w:val="18"/>
      </w:rPr>
      <w:fldChar w:fldCharType="begin"/>
    </w:r>
    <w:r w:rsidRPr="00AC6E03">
      <w:rPr>
        <w:rStyle w:val="slostrany"/>
        <w:sz w:val="18"/>
      </w:rPr>
      <w:instrText xml:space="preserve">PAGE  </w:instrText>
    </w:r>
    <w:r w:rsidRPr="00AC6E03">
      <w:rPr>
        <w:rStyle w:val="slostrany"/>
        <w:sz w:val="18"/>
      </w:rPr>
      <w:fldChar w:fldCharType="separate"/>
    </w:r>
    <w:r w:rsidR="00BD01C9">
      <w:rPr>
        <w:rStyle w:val="slostrany"/>
        <w:noProof/>
        <w:sz w:val="18"/>
      </w:rPr>
      <w:t>15</w:t>
    </w:r>
    <w:r w:rsidRPr="00AC6E03">
      <w:rPr>
        <w:rStyle w:val="slostrany"/>
        <w:sz w:val="18"/>
      </w:rPr>
      <w:fldChar w:fldCharType="end"/>
    </w:r>
  </w:p>
  <w:p w14:paraId="0C5FF42E" w14:textId="77777777" w:rsidR="00AB55F9" w:rsidRPr="00BD01C9" w:rsidRDefault="00AB55F9" w:rsidP="00642CF4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7CEE6" w14:textId="77777777" w:rsidR="00AB55F9" w:rsidRPr="004D00C9" w:rsidRDefault="00AB55F9">
    <w:pPr>
      <w:pStyle w:val="Pta"/>
      <w:jc w:val="center"/>
      <w:rPr>
        <w:sz w:val="18"/>
      </w:rPr>
    </w:pPr>
    <w:r w:rsidRPr="004D00C9">
      <w:rPr>
        <w:sz w:val="18"/>
      </w:rPr>
      <w:fldChar w:fldCharType="begin"/>
    </w:r>
    <w:r w:rsidRPr="004D00C9">
      <w:rPr>
        <w:sz w:val="18"/>
      </w:rPr>
      <w:instrText>PAGE   \* MERGEFORMAT</w:instrText>
    </w:r>
    <w:r w:rsidRPr="004D00C9">
      <w:rPr>
        <w:sz w:val="18"/>
      </w:rPr>
      <w:fldChar w:fldCharType="separate"/>
    </w:r>
    <w:r w:rsidRPr="00831D97">
      <w:rPr>
        <w:noProof/>
        <w:sz w:val="18"/>
        <w:lang w:val="sk-SK"/>
      </w:rPr>
      <w:t>1</w:t>
    </w:r>
    <w:r w:rsidRPr="004D00C9">
      <w:rPr>
        <w:sz w:val="18"/>
      </w:rPr>
      <w:fldChar w:fldCharType="end"/>
    </w:r>
  </w:p>
  <w:p w14:paraId="0DD932A3" w14:textId="77777777" w:rsidR="00AB55F9" w:rsidRDefault="00AB55F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12B0C" w14:textId="77777777" w:rsidR="00AB55F9" w:rsidRDefault="00AB55F9">
      <w:r>
        <w:separator/>
      </w:r>
    </w:p>
  </w:footnote>
  <w:footnote w:type="continuationSeparator" w:id="0">
    <w:p w14:paraId="6467B3AF" w14:textId="77777777" w:rsidR="00AB55F9" w:rsidRDefault="00AB55F9">
      <w:r>
        <w:continuationSeparator/>
      </w:r>
    </w:p>
  </w:footnote>
  <w:footnote w:type="continuationNotice" w:id="1">
    <w:p w14:paraId="6BD41E7A" w14:textId="77777777" w:rsidR="00AB55F9" w:rsidRDefault="00AB55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04D57" w14:textId="77777777" w:rsidR="00AB55F9" w:rsidRDefault="00AB55F9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B3DDCB" w14:textId="77777777" w:rsidR="00AB55F9" w:rsidRDefault="00AB55F9">
    <w:pPr>
      <w:pStyle w:val="Hlavika"/>
      <w:ind w:right="360"/>
    </w:pPr>
  </w:p>
  <w:p w14:paraId="2C5090C2" w14:textId="77777777" w:rsidR="00AB55F9" w:rsidRDefault="00AB55F9"/>
  <w:p w14:paraId="29CE3E6A" w14:textId="77777777" w:rsidR="00AB55F9" w:rsidRDefault="00AB55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FB229" w14:textId="2CD0847C" w:rsidR="00AB55F9" w:rsidRDefault="00AB55F9">
    <w:r w:rsidRPr="004D00C9">
      <w:rPr>
        <w:sz w:val="18"/>
      </w:rPr>
      <w:t>Príloh</w:t>
    </w:r>
    <w:r>
      <w:rPr>
        <w:sz w:val="18"/>
      </w:rPr>
      <w:t>a č. 1</w:t>
    </w:r>
    <w:r w:rsidRPr="004D00C9">
      <w:rPr>
        <w:sz w:val="18"/>
      </w:rPr>
      <w:t xml:space="preserve"> k notifikácii o zmene, ev.</w:t>
    </w:r>
    <w:r>
      <w:rPr>
        <w:sz w:val="18"/>
      </w:rPr>
      <w:t xml:space="preserve"> </w:t>
    </w:r>
    <w:r w:rsidRPr="004D00C9">
      <w:rPr>
        <w:sz w:val="18"/>
      </w:rPr>
      <w:t xml:space="preserve">č.: </w:t>
    </w:r>
    <w:r>
      <w:rPr>
        <w:sz w:val="18"/>
      </w:rPr>
      <w:t>2020/03461-Z1B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F46B4" w14:textId="2F7D45A6" w:rsidR="00AB55F9" w:rsidRDefault="00AB55F9">
    <w:pPr>
      <w:pStyle w:val="Hlavika"/>
    </w:pPr>
    <w:r w:rsidRPr="004D00C9">
      <w:rPr>
        <w:sz w:val="18"/>
        <w:lang w:val="sk-SK"/>
      </w:rPr>
      <w:t>Príloha č.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>1 k notifikácii o zmene, ev.</w:t>
    </w:r>
    <w:r>
      <w:rPr>
        <w:sz w:val="18"/>
        <w:lang w:val="sk-SK"/>
      </w:rPr>
      <w:t xml:space="preserve"> </w:t>
    </w:r>
    <w:r w:rsidRPr="004D00C9">
      <w:rPr>
        <w:sz w:val="18"/>
        <w:lang w:val="sk-SK"/>
      </w:rPr>
      <w:t xml:space="preserve">č.: </w:t>
    </w:r>
    <w:r w:rsidRPr="00340265">
      <w:rPr>
        <w:sz w:val="18"/>
        <w:lang w:val="sk-SK"/>
      </w:rPr>
      <w:t>2018/02131-Z1B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5C2"/>
    <w:multiLevelType w:val="singleLevel"/>
    <w:tmpl w:val="0A9C6148"/>
    <w:lvl w:ilvl="0">
      <w:start w:val="1"/>
      <w:numFmt w:val="decimal"/>
      <w:lvlText w:val="(%1)"/>
      <w:legacy w:legacy="1" w:legacySpace="120" w:legacyIndent="360"/>
      <w:lvlJc w:val="left"/>
      <w:pPr>
        <w:ind w:left="1080" w:hanging="360"/>
      </w:pPr>
    </w:lvl>
  </w:abstractNum>
  <w:abstractNum w:abstractNumId="2" w15:restartNumberingAfterBreak="0">
    <w:nsid w:val="250F72E0"/>
    <w:multiLevelType w:val="hybridMultilevel"/>
    <w:tmpl w:val="AAA4D4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F794A"/>
    <w:multiLevelType w:val="singleLevel"/>
    <w:tmpl w:val="85F695A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E116D99"/>
    <w:multiLevelType w:val="multilevel"/>
    <w:tmpl w:val="CEB80AB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5" w15:restartNumberingAfterBreak="0">
    <w:nsid w:val="301A06AD"/>
    <w:multiLevelType w:val="hybridMultilevel"/>
    <w:tmpl w:val="59F0C33E"/>
    <w:lvl w:ilvl="0" w:tplc="04D0D89C">
      <w:start w:val="1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F2EDF"/>
    <w:multiLevelType w:val="hybridMultilevel"/>
    <w:tmpl w:val="51A467F2"/>
    <w:lvl w:ilvl="0" w:tplc="B7AA787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351741"/>
    <w:multiLevelType w:val="hybridMultilevel"/>
    <w:tmpl w:val="5E600A46"/>
    <w:lvl w:ilvl="0" w:tplc="ABD82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B773B"/>
    <w:multiLevelType w:val="singleLevel"/>
    <w:tmpl w:val="E4228C7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80A600B"/>
    <w:multiLevelType w:val="hybridMultilevel"/>
    <w:tmpl w:val="8EDAD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D6452"/>
    <w:multiLevelType w:val="multilevel"/>
    <w:tmpl w:val="E070C56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8BC27A8"/>
    <w:multiLevelType w:val="hybridMultilevel"/>
    <w:tmpl w:val="D5A601F2"/>
    <w:lvl w:ilvl="0" w:tplc="34DC6E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C06"/>
    <w:multiLevelType w:val="singleLevel"/>
    <w:tmpl w:val="05C6E17E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13" w15:restartNumberingAfterBreak="0">
    <w:nsid w:val="4F535E45"/>
    <w:multiLevelType w:val="multilevel"/>
    <w:tmpl w:val="B19C3A9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3D60F82"/>
    <w:multiLevelType w:val="hybridMultilevel"/>
    <w:tmpl w:val="39A0373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28F43DC"/>
    <w:multiLevelType w:val="hybridMultilevel"/>
    <w:tmpl w:val="1534B878"/>
    <w:lvl w:ilvl="0" w:tplc="B43025A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74881"/>
    <w:multiLevelType w:val="singleLevel"/>
    <w:tmpl w:val="5C7C9EF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68E02CD2"/>
    <w:multiLevelType w:val="hybridMultilevel"/>
    <w:tmpl w:val="677EBA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0A7966"/>
    <w:multiLevelType w:val="multilevel"/>
    <w:tmpl w:val="FDAA01F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8B0C3A"/>
    <w:multiLevelType w:val="multilevel"/>
    <w:tmpl w:val="6F103A3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CE6829"/>
    <w:multiLevelType w:val="hybridMultilevel"/>
    <w:tmpl w:val="E3AE3752"/>
    <w:lvl w:ilvl="0" w:tplc="E586DBE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4339CD"/>
    <w:multiLevelType w:val="hybridMultilevel"/>
    <w:tmpl w:val="2CA4F01A"/>
    <w:lvl w:ilvl="0" w:tplc="168444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0"/>
  </w:num>
  <w:num w:numId="9">
    <w:abstractNumId w:val="11"/>
  </w:num>
  <w:num w:numId="10">
    <w:abstractNumId w:val="1"/>
    <w:lvlOverride w:ilvl="0">
      <w:startOverride w:val="1"/>
    </w:lvlOverride>
  </w:num>
  <w:num w:numId="11">
    <w:abstractNumId w:val="20"/>
  </w:num>
  <w:num w:numId="12">
    <w:abstractNumId w:val="15"/>
  </w:num>
  <w:num w:numId="13">
    <w:abstractNumId w:val="7"/>
  </w:num>
  <w:num w:numId="14">
    <w:abstractNumId w:val="18"/>
  </w:num>
  <w:num w:numId="15">
    <w:abstractNumId w:val="19"/>
  </w:num>
  <w:num w:numId="16">
    <w:abstractNumId w:val="4"/>
  </w:num>
  <w:num w:numId="17">
    <w:abstractNumId w:val="13"/>
  </w:num>
  <w:num w:numId="18">
    <w:abstractNumId w:val="9"/>
  </w:num>
  <w:num w:numId="19">
    <w:abstractNumId w:val="5"/>
  </w:num>
  <w:num w:numId="20">
    <w:abstractNumId w:val="17"/>
  </w:num>
  <w:num w:numId="21">
    <w:abstractNumId w:val="1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E5"/>
    <w:rsid w:val="00003CA2"/>
    <w:rsid w:val="0001261A"/>
    <w:rsid w:val="00014B3C"/>
    <w:rsid w:val="0001526C"/>
    <w:rsid w:val="00015D56"/>
    <w:rsid w:val="000176B4"/>
    <w:rsid w:val="00020433"/>
    <w:rsid w:val="00031ECF"/>
    <w:rsid w:val="00032972"/>
    <w:rsid w:val="00040B4B"/>
    <w:rsid w:val="00040E8F"/>
    <w:rsid w:val="00041363"/>
    <w:rsid w:val="000415CD"/>
    <w:rsid w:val="00042DB5"/>
    <w:rsid w:val="00046825"/>
    <w:rsid w:val="0005082A"/>
    <w:rsid w:val="000539DC"/>
    <w:rsid w:val="00055C9D"/>
    <w:rsid w:val="00060044"/>
    <w:rsid w:val="00060B6A"/>
    <w:rsid w:val="00061D54"/>
    <w:rsid w:val="0006498E"/>
    <w:rsid w:val="000665F8"/>
    <w:rsid w:val="000743E9"/>
    <w:rsid w:val="000749C9"/>
    <w:rsid w:val="00074D10"/>
    <w:rsid w:val="0007533B"/>
    <w:rsid w:val="0008003D"/>
    <w:rsid w:val="00081434"/>
    <w:rsid w:val="00084AB6"/>
    <w:rsid w:val="0008721E"/>
    <w:rsid w:val="000877E1"/>
    <w:rsid w:val="00090D3D"/>
    <w:rsid w:val="00090F12"/>
    <w:rsid w:val="00092B4E"/>
    <w:rsid w:val="00092BA2"/>
    <w:rsid w:val="000A08E6"/>
    <w:rsid w:val="000A25C5"/>
    <w:rsid w:val="000A32CF"/>
    <w:rsid w:val="000A3532"/>
    <w:rsid w:val="000A6F5B"/>
    <w:rsid w:val="000B0CEC"/>
    <w:rsid w:val="000B2546"/>
    <w:rsid w:val="000C304A"/>
    <w:rsid w:val="000C3517"/>
    <w:rsid w:val="000C585D"/>
    <w:rsid w:val="000D01E0"/>
    <w:rsid w:val="000D1302"/>
    <w:rsid w:val="000D616D"/>
    <w:rsid w:val="000E0FE0"/>
    <w:rsid w:val="000E3A38"/>
    <w:rsid w:val="000F2CDA"/>
    <w:rsid w:val="001017C0"/>
    <w:rsid w:val="00103632"/>
    <w:rsid w:val="00107D8F"/>
    <w:rsid w:val="00111C74"/>
    <w:rsid w:val="00112D1E"/>
    <w:rsid w:val="00115F27"/>
    <w:rsid w:val="00120496"/>
    <w:rsid w:val="00121C22"/>
    <w:rsid w:val="00123637"/>
    <w:rsid w:val="00124D8E"/>
    <w:rsid w:val="00125CAA"/>
    <w:rsid w:val="00130A8B"/>
    <w:rsid w:val="001366C5"/>
    <w:rsid w:val="00136B9E"/>
    <w:rsid w:val="00141B19"/>
    <w:rsid w:val="00141BDB"/>
    <w:rsid w:val="00143D1C"/>
    <w:rsid w:val="00145104"/>
    <w:rsid w:val="00145E18"/>
    <w:rsid w:val="00155C43"/>
    <w:rsid w:val="00157CB1"/>
    <w:rsid w:val="00163689"/>
    <w:rsid w:val="00165E8C"/>
    <w:rsid w:val="001670CF"/>
    <w:rsid w:val="0016796B"/>
    <w:rsid w:val="00171399"/>
    <w:rsid w:val="0017170A"/>
    <w:rsid w:val="0017198D"/>
    <w:rsid w:val="00171BC1"/>
    <w:rsid w:val="00172903"/>
    <w:rsid w:val="00175042"/>
    <w:rsid w:val="00175A22"/>
    <w:rsid w:val="00183F56"/>
    <w:rsid w:val="00194A23"/>
    <w:rsid w:val="00196EBF"/>
    <w:rsid w:val="001A05BA"/>
    <w:rsid w:val="001A305A"/>
    <w:rsid w:val="001A4163"/>
    <w:rsid w:val="001A58C9"/>
    <w:rsid w:val="001A7175"/>
    <w:rsid w:val="001B105E"/>
    <w:rsid w:val="001B2A81"/>
    <w:rsid w:val="001B7402"/>
    <w:rsid w:val="001D094C"/>
    <w:rsid w:val="001D41E6"/>
    <w:rsid w:val="001D49F1"/>
    <w:rsid w:val="001E3A13"/>
    <w:rsid w:val="001E3B6E"/>
    <w:rsid w:val="001F70D8"/>
    <w:rsid w:val="001F7DC0"/>
    <w:rsid w:val="0020295C"/>
    <w:rsid w:val="00202D6B"/>
    <w:rsid w:val="00204C58"/>
    <w:rsid w:val="00205C54"/>
    <w:rsid w:val="0021058F"/>
    <w:rsid w:val="002123BE"/>
    <w:rsid w:val="00214927"/>
    <w:rsid w:val="002167F8"/>
    <w:rsid w:val="00217A56"/>
    <w:rsid w:val="00221FD7"/>
    <w:rsid w:val="0022262A"/>
    <w:rsid w:val="00225B8F"/>
    <w:rsid w:val="002267C9"/>
    <w:rsid w:val="00232F00"/>
    <w:rsid w:val="0023426C"/>
    <w:rsid w:val="00243A0E"/>
    <w:rsid w:val="00244DA3"/>
    <w:rsid w:val="00251610"/>
    <w:rsid w:val="002517F6"/>
    <w:rsid w:val="002563A1"/>
    <w:rsid w:val="00260833"/>
    <w:rsid w:val="002615AF"/>
    <w:rsid w:val="002646CA"/>
    <w:rsid w:val="00264A43"/>
    <w:rsid w:val="00270C1D"/>
    <w:rsid w:val="00271711"/>
    <w:rsid w:val="00272E5A"/>
    <w:rsid w:val="002735EA"/>
    <w:rsid w:val="00274CB5"/>
    <w:rsid w:val="0028120B"/>
    <w:rsid w:val="00283608"/>
    <w:rsid w:val="00284C85"/>
    <w:rsid w:val="00285D8A"/>
    <w:rsid w:val="002866A1"/>
    <w:rsid w:val="00286F13"/>
    <w:rsid w:val="00290EB6"/>
    <w:rsid w:val="00291172"/>
    <w:rsid w:val="00293F61"/>
    <w:rsid w:val="002957F9"/>
    <w:rsid w:val="002A1453"/>
    <w:rsid w:val="002A17C3"/>
    <w:rsid w:val="002A46DE"/>
    <w:rsid w:val="002B5E79"/>
    <w:rsid w:val="002B6205"/>
    <w:rsid w:val="002C2900"/>
    <w:rsid w:val="002C2912"/>
    <w:rsid w:val="002C5DF4"/>
    <w:rsid w:val="002C63DC"/>
    <w:rsid w:val="002D0D39"/>
    <w:rsid w:val="002D3384"/>
    <w:rsid w:val="002D33C0"/>
    <w:rsid w:val="002D5BC1"/>
    <w:rsid w:val="002D6DF3"/>
    <w:rsid w:val="002E0EC0"/>
    <w:rsid w:val="002E5F46"/>
    <w:rsid w:val="002E615B"/>
    <w:rsid w:val="002F34E5"/>
    <w:rsid w:val="002F3690"/>
    <w:rsid w:val="002F637B"/>
    <w:rsid w:val="002F7DAF"/>
    <w:rsid w:val="00302BC3"/>
    <w:rsid w:val="00303056"/>
    <w:rsid w:val="00303E07"/>
    <w:rsid w:val="0030697E"/>
    <w:rsid w:val="00307638"/>
    <w:rsid w:val="0031286D"/>
    <w:rsid w:val="00314EB9"/>
    <w:rsid w:val="00324962"/>
    <w:rsid w:val="00324C32"/>
    <w:rsid w:val="00327422"/>
    <w:rsid w:val="003346BA"/>
    <w:rsid w:val="003354E5"/>
    <w:rsid w:val="00336F6C"/>
    <w:rsid w:val="00340264"/>
    <w:rsid w:val="00340265"/>
    <w:rsid w:val="00346806"/>
    <w:rsid w:val="003468FF"/>
    <w:rsid w:val="00346AD1"/>
    <w:rsid w:val="003477F7"/>
    <w:rsid w:val="003478D0"/>
    <w:rsid w:val="00351488"/>
    <w:rsid w:val="003532A2"/>
    <w:rsid w:val="003544AD"/>
    <w:rsid w:val="0035590F"/>
    <w:rsid w:val="00355B18"/>
    <w:rsid w:val="003579AB"/>
    <w:rsid w:val="00360E37"/>
    <w:rsid w:val="00362FD1"/>
    <w:rsid w:val="00363D2D"/>
    <w:rsid w:val="00367B5A"/>
    <w:rsid w:val="00371156"/>
    <w:rsid w:val="00371AA6"/>
    <w:rsid w:val="0037310A"/>
    <w:rsid w:val="003734E5"/>
    <w:rsid w:val="0037407A"/>
    <w:rsid w:val="003831F5"/>
    <w:rsid w:val="00384F9A"/>
    <w:rsid w:val="003852CF"/>
    <w:rsid w:val="00390FC6"/>
    <w:rsid w:val="00392780"/>
    <w:rsid w:val="00392F9A"/>
    <w:rsid w:val="00393013"/>
    <w:rsid w:val="003A0357"/>
    <w:rsid w:val="003A12D6"/>
    <w:rsid w:val="003A415C"/>
    <w:rsid w:val="003A6714"/>
    <w:rsid w:val="003A7B02"/>
    <w:rsid w:val="003A7B2F"/>
    <w:rsid w:val="003C13BC"/>
    <w:rsid w:val="003C13F6"/>
    <w:rsid w:val="003C2BBB"/>
    <w:rsid w:val="003C43DE"/>
    <w:rsid w:val="003C6483"/>
    <w:rsid w:val="003D005F"/>
    <w:rsid w:val="003D2435"/>
    <w:rsid w:val="003D480A"/>
    <w:rsid w:val="003D58E2"/>
    <w:rsid w:val="003E01DC"/>
    <w:rsid w:val="003E36CC"/>
    <w:rsid w:val="003E593E"/>
    <w:rsid w:val="003F2F6F"/>
    <w:rsid w:val="004014C8"/>
    <w:rsid w:val="00410B8A"/>
    <w:rsid w:val="0041198A"/>
    <w:rsid w:val="004119ED"/>
    <w:rsid w:val="0041338A"/>
    <w:rsid w:val="00413693"/>
    <w:rsid w:val="00417315"/>
    <w:rsid w:val="0041738C"/>
    <w:rsid w:val="00417A7E"/>
    <w:rsid w:val="00421A2D"/>
    <w:rsid w:val="00421F1B"/>
    <w:rsid w:val="00422585"/>
    <w:rsid w:val="00422C9D"/>
    <w:rsid w:val="00424907"/>
    <w:rsid w:val="0043145E"/>
    <w:rsid w:val="00433411"/>
    <w:rsid w:val="00433952"/>
    <w:rsid w:val="0043534E"/>
    <w:rsid w:val="004368A2"/>
    <w:rsid w:val="00437ED6"/>
    <w:rsid w:val="00440405"/>
    <w:rsid w:val="00442028"/>
    <w:rsid w:val="00444C1E"/>
    <w:rsid w:val="00446A72"/>
    <w:rsid w:val="004601F2"/>
    <w:rsid w:val="00462A96"/>
    <w:rsid w:val="00462EDB"/>
    <w:rsid w:val="00464429"/>
    <w:rsid w:val="004656DD"/>
    <w:rsid w:val="00466889"/>
    <w:rsid w:val="004735CC"/>
    <w:rsid w:val="00476526"/>
    <w:rsid w:val="00476DD3"/>
    <w:rsid w:val="00483575"/>
    <w:rsid w:val="00486D64"/>
    <w:rsid w:val="0048782C"/>
    <w:rsid w:val="00487F20"/>
    <w:rsid w:val="00487FD6"/>
    <w:rsid w:val="00493CF9"/>
    <w:rsid w:val="00495C2D"/>
    <w:rsid w:val="004960F4"/>
    <w:rsid w:val="00497510"/>
    <w:rsid w:val="004A4ED7"/>
    <w:rsid w:val="004B2A41"/>
    <w:rsid w:val="004B5576"/>
    <w:rsid w:val="004B5ED3"/>
    <w:rsid w:val="004B6B32"/>
    <w:rsid w:val="004C1E14"/>
    <w:rsid w:val="004C1E4C"/>
    <w:rsid w:val="004C7AB1"/>
    <w:rsid w:val="004D00C9"/>
    <w:rsid w:val="004D063E"/>
    <w:rsid w:val="004D142B"/>
    <w:rsid w:val="004D17EE"/>
    <w:rsid w:val="004D28B0"/>
    <w:rsid w:val="004D7832"/>
    <w:rsid w:val="004E02E2"/>
    <w:rsid w:val="004E3E15"/>
    <w:rsid w:val="004F35FD"/>
    <w:rsid w:val="004F4CE5"/>
    <w:rsid w:val="004F6E21"/>
    <w:rsid w:val="004F7245"/>
    <w:rsid w:val="00500395"/>
    <w:rsid w:val="0050309A"/>
    <w:rsid w:val="00504A58"/>
    <w:rsid w:val="00504AED"/>
    <w:rsid w:val="0050656A"/>
    <w:rsid w:val="00520117"/>
    <w:rsid w:val="00520A72"/>
    <w:rsid w:val="00522F86"/>
    <w:rsid w:val="00524ABC"/>
    <w:rsid w:val="00524ACE"/>
    <w:rsid w:val="005253AA"/>
    <w:rsid w:val="00525902"/>
    <w:rsid w:val="00527C8B"/>
    <w:rsid w:val="00531DB4"/>
    <w:rsid w:val="005329D0"/>
    <w:rsid w:val="00532CEE"/>
    <w:rsid w:val="00533477"/>
    <w:rsid w:val="00541525"/>
    <w:rsid w:val="00541CFC"/>
    <w:rsid w:val="00542836"/>
    <w:rsid w:val="00546510"/>
    <w:rsid w:val="00554E94"/>
    <w:rsid w:val="00560C20"/>
    <w:rsid w:val="00561B61"/>
    <w:rsid w:val="00562868"/>
    <w:rsid w:val="005642C6"/>
    <w:rsid w:val="0056615A"/>
    <w:rsid w:val="00571FB3"/>
    <w:rsid w:val="005733E9"/>
    <w:rsid w:val="00577215"/>
    <w:rsid w:val="0058223C"/>
    <w:rsid w:val="00582E3F"/>
    <w:rsid w:val="00585435"/>
    <w:rsid w:val="005903E7"/>
    <w:rsid w:val="005913DF"/>
    <w:rsid w:val="00592FF5"/>
    <w:rsid w:val="00593007"/>
    <w:rsid w:val="00595E21"/>
    <w:rsid w:val="005B1C89"/>
    <w:rsid w:val="005B3D42"/>
    <w:rsid w:val="005B3F5F"/>
    <w:rsid w:val="005B3F91"/>
    <w:rsid w:val="005C0DB7"/>
    <w:rsid w:val="005C2189"/>
    <w:rsid w:val="005C4AD5"/>
    <w:rsid w:val="005D15D9"/>
    <w:rsid w:val="005D20DB"/>
    <w:rsid w:val="005D257B"/>
    <w:rsid w:val="005D55A6"/>
    <w:rsid w:val="005D70CE"/>
    <w:rsid w:val="005D737B"/>
    <w:rsid w:val="005E4AAA"/>
    <w:rsid w:val="005E6A38"/>
    <w:rsid w:val="005F0CBD"/>
    <w:rsid w:val="005F38A7"/>
    <w:rsid w:val="006017CC"/>
    <w:rsid w:val="006022E7"/>
    <w:rsid w:val="00603128"/>
    <w:rsid w:val="006033FF"/>
    <w:rsid w:val="0062312C"/>
    <w:rsid w:val="00624B7D"/>
    <w:rsid w:val="00626BEC"/>
    <w:rsid w:val="006326FA"/>
    <w:rsid w:val="00635748"/>
    <w:rsid w:val="006417CD"/>
    <w:rsid w:val="00642CF4"/>
    <w:rsid w:val="006442FF"/>
    <w:rsid w:val="006449E8"/>
    <w:rsid w:val="00646415"/>
    <w:rsid w:val="006475DE"/>
    <w:rsid w:val="00652B33"/>
    <w:rsid w:val="0065725E"/>
    <w:rsid w:val="006601C6"/>
    <w:rsid w:val="0067062F"/>
    <w:rsid w:val="00671D45"/>
    <w:rsid w:val="00682887"/>
    <w:rsid w:val="006842C7"/>
    <w:rsid w:val="0068580F"/>
    <w:rsid w:val="00685BE8"/>
    <w:rsid w:val="00686FDF"/>
    <w:rsid w:val="00690034"/>
    <w:rsid w:val="00690D06"/>
    <w:rsid w:val="006914A7"/>
    <w:rsid w:val="00693625"/>
    <w:rsid w:val="00693CD8"/>
    <w:rsid w:val="00695C7F"/>
    <w:rsid w:val="00696F9E"/>
    <w:rsid w:val="006A7E4A"/>
    <w:rsid w:val="006B2D7C"/>
    <w:rsid w:val="006B336C"/>
    <w:rsid w:val="006B375B"/>
    <w:rsid w:val="006B4EDB"/>
    <w:rsid w:val="006B6F52"/>
    <w:rsid w:val="006B7F50"/>
    <w:rsid w:val="006C1112"/>
    <w:rsid w:val="006C129F"/>
    <w:rsid w:val="006C51FA"/>
    <w:rsid w:val="006C7097"/>
    <w:rsid w:val="006D117E"/>
    <w:rsid w:val="006D140C"/>
    <w:rsid w:val="006D1764"/>
    <w:rsid w:val="006D2048"/>
    <w:rsid w:val="006D4B16"/>
    <w:rsid w:val="006D4D84"/>
    <w:rsid w:val="006D565F"/>
    <w:rsid w:val="006D722D"/>
    <w:rsid w:val="006E39B1"/>
    <w:rsid w:val="006E5221"/>
    <w:rsid w:val="006E6164"/>
    <w:rsid w:val="006E7C9A"/>
    <w:rsid w:val="006F0BDC"/>
    <w:rsid w:val="006F2CD1"/>
    <w:rsid w:val="006F2E60"/>
    <w:rsid w:val="006F4750"/>
    <w:rsid w:val="006F72E2"/>
    <w:rsid w:val="00701E4E"/>
    <w:rsid w:val="00702026"/>
    <w:rsid w:val="00704D8B"/>
    <w:rsid w:val="00710ED5"/>
    <w:rsid w:val="00715E50"/>
    <w:rsid w:val="00732DC5"/>
    <w:rsid w:val="00733360"/>
    <w:rsid w:val="00740948"/>
    <w:rsid w:val="00740D47"/>
    <w:rsid w:val="00740D89"/>
    <w:rsid w:val="00741971"/>
    <w:rsid w:val="007504A4"/>
    <w:rsid w:val="00750946"/>
    <w:rsid w:val="0075598A"/>
    <w:rsid w:val="007632B4"/>
    <w:rsid w:val="00767013"/>
    <w:rsid w:val="0077138C"/>
    <w:rsid w:val="007742DF"/>
    <w:rsid w:val="00776ABA"/>
    <w:rsid w:val="00780BCF"/>
    <w:rsid w:val="00782C76"/>
    <w:rsid w:val="00784C33"/>
    <w:rsid w:val="007852E7"/>
    <w:rsid w:val="007906D7"/>
    <w:rsid w:val="00791968"/>
    <w:rsid w:val="00794438"/>
    <w:rsid w:val="007A0CB4"/>
    <w:rsid w:val="007A492D"/>
    <w:rsid w:val="007A612D"/>
    <w:rsid w:val="007A63B0"/>
    <w:rsid w:val="007A69E3"/>
    <w:rsid w:val="007A7172"/>
    <w:rsid w:val="007A783A"/>
    <w:rsid w:val="007B241C"/>
    <w:rsid w:val="007B368C"/>
    <w:rsid w:val="007B5729"/>
    <w:rsid w:val="007C2B1D"/>
    <w:rsid w:val="007C2E48"/>
    <w:rsid w:val="007C3D51"/>
    <w:rsid w:val="007C5D10"/>
    <w:rsid w:val="007C626C"/>
    <w:rsid w:val="007C68EB"/>
    <w:rsid w:val="007D031D"/>
    <w:rsid w:val="007D1113"/>
    <w:rsid w:val="007D21C4"/>
    <w:rsid w:val="007D7649"/>
    <w:rsid w:val="007E660F"/>
    <w:rsid w:val="007F71E5"/>
    <w:rsid w:val="008003E4"/>
    <w:rsid w:val="008011E4"/>
    <w:rsid w:val="00806273"/>
    <w:rsid w:val="00806BB4"/>
    <w:rsid w:val="00807183"/>
    <w:rsid w:val="00810757"/>
    <w:rsid w:val="00810B8F"/>
    <w:rsid w:val="00811ED4"/>
    <w:rsid w:val="008120E3"/>
    <w:rsid w:val="00813376"/>
    <w:rsid w:val="00813C17"/>
    <w:rsid w:val="00815210"/>
    <w:rsid w:val="00817420"/>
    <w:rsid w:val="00817B7D"/>
    <w:rsid w:val="00821A26"/>
    <w:rsid w:val="00826F8E"/>
    <w:rsid w:val="0083141D"/>
    <w:rsid w:val="00831D97"/>
    <w:rsid w:val="008341C9"/>
    <w:rsid w:val="00834C44"/>
    <w:rsid w:val="00835428"/>
    <w:rsid w:val="00844CB5"/>
    <w:rsid w:val="008505B1"/>
    <w:rsid w:val="00853903"/>
    <w:rsid w:val="008568B3"/>
    <w:rsid w:val="00856D47"/>
    <w:rsid w:val="00860DAE"/>
    <w:rsid w:val="008657AC"/>
    <w:rsid w:val="00871A9F"/>
    <w:rsid w:val="008826BE"/>
    <w:rsid w:val="00886D14"/>
    <w:rsid w:val="00892BC2"/>
    <w:rsid w:val="00894EF4"/>
    <w:rsid w:val="00896A4D"/>
    <w:rsid w:val="008A307B"/>
    <w:rsid w:val="008A5746"/>
    <w:rsid w:val="008A69B5"/>
    <w:rsid w:val="008A6C64"/>
    <w:rsid w:val="008B1559"/>
    <w:rsid w:val="008B3A3C"/>
    <w:rsid w:val="008B3C82"/>
    <w:rsid w:val="008B7792"/>
    <w:rsid w:val="008C3584"/>
    <w:rsid w:val="008C39B7"/>
    <w:rsid w:val="008D37BA"/>
    <w:rsid w:val="008D4680"/>
    <w:rsid w:val="008D4DB5"/>
    <w:rsid w:val="008E0C8C"/>
    <w:rsid w:val="008E0EB6"/>
    <w:rsid w:val="008E36B5"/>
    <w:rsid w:val="008E7784"/>
    <w:rsid w:val="008F1F23"/>
    <w:rsid w:val="009012D3"/>
    <w:rsid w:val="009027B2"/>
    <w:rsid w:val="00903411"/>
    <w:rsid w:val="0090593D"/>
    <w:rsid w:val="00907F1B"/>
    <w:rsid w:val="00910DA3"/>
    <w:rsid w:val="009155F6"/>
    <w:rsid w:val="00916D96"/>
    <w:rsid w:val="00922736"/>
    <w:rsid w:val="00923396"/>
    <w:rsid w:val="00926A3F"/>
    <w:rsid w:val="00931BBE"/>
    <w:rsid w:val="00935843"/>
    <w:rsid w:val="00935EF2"/>
    <w:rsid w:val="0093662F"/>
    <w:rsid w:val="00940769"/>
    <w:rsid w:val="009419D2"/>
    <w:rsid w:val="0094452F"/>
    <w:rsid w:val="00945751"/>
    <w:rsid w:val="00945C44"/>
    <w:rsid w:val="00947B72"/>
    <w:rsid w:val="00947DFB"/>
    <w:rsid w:val="00952B4C"/>
    <w:rsid w:val="00952EA2"/>
    <w:rsid w:val="00954530"/>
    <w:rsid w:val="00956BEF"/>
    <w:rsid w:val="009625D1"/>
    <w:rsid w:val="009753EF"/>
    <w:rsid w:val="00981F9D"/>
    <w:rsid w:val="009872B0"/>
    <w:rsid w:val="00994901"/>
    <w:rsid w:val="009961A0"/>
    <w:rsid w:val="009965CA"/>
    <w:rsid w:val="00996DFD"/>
    <w:rsid w:val="009A4438"/>
    <w:rsid w:val="009B1221"/>
    <w:rsid w:val="009B2DC8"/>
    <w:rsid w:val="009B343D"/>
    <w:rsid w:val="009B6470"/>
    <w:rsid w:val="009B792C"/>
    <w:rsid w:val="009C0EFB"/>
    <w:rsid w:val="009C19F6"/>
    <w:rsid w:val="009C4241"/>
    <w:rsid w:val="009C590A"/>
    <w:rsid w:val="009D0448"/>
    <w:rsid w:val="009D0536"/>
    <w:rsid w:val="009D0BC8"/>
    <w:rsid w:val="009D4E4D"/>
    <w:rsid w:val="009D6004"/>
    <w:rsid w:val="009D70C3"/>
    <w:rsid w:val="009E0939"/>
    <w:rsid w:val="009E0958"/>
    <w:rsid w:val="009E0BFD"/>
    <w:rsid w:val="009F07C0"/>
    <w:rsid w:val="009F0AB0"/>
    <w:rsid w:val="009F4EB1"/>
    <w:rsid w:val="009F5CEB"/>
    <w:rsid w:val="009F6693"/>
    <w:rsid w:val="009F7C83"/>
    <w:rsid w:val="00A0172C"/>
    <w:rsid w:val="00A0467A"/>
    <w:rsid w:val="00A05D2C"/>
    <w:rsid w:val="00A148E4"/>
    <w:rsid w:val="00A15E14"/>
    <w:rsid w:val="00A20622"/>
    <w:rsid w:val="00A2072D"/>
    <w:rsid w:val="00A22FCB"/>
    <w:rsid w:val="00A2443D"/>
    <w:rsid w:val="00A3179B"/>
    <w:rsid w:val="00A319B6"/>
    <w:rsid w:val="00A409A7"/>
    <w:rsid w:val="00A40AB2"/>
    <w:rsid w:val="00A440E6"/>
    <w:rsid w:val="00A45A3C"/>
    <w:rsid w:val="00A50DFF"/>
    <w:rsid w:val="00A55153"/>
    <w:rsid w:val="00A562A5"/>
    <w:rsid w:val="00A65A1D"/>
    <w:rsid w:val="00A71A0F"/>
    <w:rsid w:val="00A72801"/>
    <w:rsid w:val="00A77806"/>
    <w:rsid w:val="00A77FC4"/>
    <w:rsid w:val="00A846EA"/>
    <w:rsid w:val="00A87897"/>
    <w:rsid w:val="00A9551F"/>
    <w:rsid w:val="00AA0B72"/>
    <w:rsid w:val="00AA250C"/>
    <w:rsid w:val="00AA4342"/>
    <w:rsid w:val="00AA6BF7"/>
    <w:rsid w:val="00AB004C"/>
    <w:rsid w:val="00AB03FC"/>
    <w:rsid w:val="00AB2197"/>
    <w:rsid w:val="00AB53C0"/>
    <w:rsid w:val="00AB55F9"/>
    <w:rsid w:val="00AB751F"/>
    <w:rsid w:val="00AB7941"/>
    <w:rsid w:val="00AC1228"/>
    <w:rsid w:val="00AC6873"/>
    <w:rsid w:val="00AC6E03"/>
    <w:rsid w:val="00AD6FD6"/>
    <w:rsid w:val="00AD7A69"/>
    <w:rsid w:val="00AE0FEC"/>
    <w:rsid w:val="00AE2AAC"/>
    <w:rsid w:val="00AE4918"/>
    <w:rsid w:val="00AE71FD"/>
    <w:rsid w:val="00AE7C0F"/>
    <w:rsid w:val="00AF08FE"/>
    <w:rsid w:val="00AF16CF"/>
    <w:rsid w:val="00AF7992"/>
    <w:rsid w:val="00B02DFE"/>
    <w:rsid w:val="00B0598F"/>
    <w:rsid w:val="00B13755"/>
    <w:rsid w:val="00B156D9"/>
    <w:rsid w:val="00B22529"/>
    <w:rsid w:val="00B27B39"/>
    <w:rsid w:val="00B37A34"/>
    <w:rsid w:val="00B41731"/>
    <w:rsid w:val="00B41D9B"/>
    <w:rsid w:val="00B420D2"/>
    <w:rsid w:val="00B45DB9"/>
    <w:rsid w:val="00B47743"/>
    <w:rsid w:val="00B524C3"/>
    <w:rsid w:val="00B54E36"/>
    <w:rsid w:val="00B63289"/>
    <w:rsid w:val="00B6514A"/>
    <w:rsid w:val="00B732D8"/>
    <w:rsid w:val="00B74F0A"/>
    <w:rsid w:val="00B758C3"/>
    <w:rsid w:val="00B75966"/>
    <w:rsid w:val="00B761F6"/>
    <w:rsid w:val="00B84403"/>
    <w:rsid w:val="00B87110"/>
    <w:rsid w:val="00B92E8F"/>
    <w:rsid w:val="00B946BE"/>
    <w:rsid w:val="00B95526"/>
    <w:rsid w:val="00B9654F"/>
    <w:rsid w:val="00B9737A"/>
    <w:rsid w:val="00BA5EC7"/>
    <w:rsid w:val="00BA69FE"/>
    <w:rsid w:val="00BA78A4"/>
    <w:rsid w:val="00BB11E0"/>
    <w:rsid w:val="00BB1C18"/>
    <w:rsid w:val="00BB1C52"/>
    <w:rsid w:val="00BB2021"/>
    <w:rsid w:val="00BB245B"/>
    <w:rsid w:val="00BB33A8"/>
    <w:rsid w:val="00BB3E14"/>
    <w:rsid w:val="00BB7E01"/>
    <w:rsid w:val="00BC0E9D"/>
    <w:rsid w:val="00BC2641"/>
    <w:rsid w:val="00BC27FF"/>
    <w:rsid w:val="00BC2CE6"/>
    <w:rsid w:val="00BD01C9"/>
    <w:rsid w:val="00BD46C3"/>
    <w:rsid w:val="00BD5F05"/>
    <w:rsid w:val="00BE1743"/>
    <w:rsid w:val="00BE323E"/>
    <w:rsid w:val="00BE3B07"/>
    <w:rsid w:val="00BE3C52"/>
    <w:rsid w:val="00BE7B54"/>
    <w:rsid w:val="00BE7E1C"/>
    <w:rsid w:val="00BF056F"/>
    <w:rsid w:val="00BF1014"/>
    <w:rsid w:val="00BF7213"/>
    <w:rsid w:val="00C0190B"/>
    <w:rsid w:val="00C04CA4"/>
    <w:rsid w:val="00C05580"/>
    <w:rsid w:val="00C07F11"/>
    <w:rsid w:val="00C07F1F"/>
    <w:rsid w:val="00C10F66"/>
    <w:rsid w:val="00C14A42"/>
    <w:rsid w:val="00C21334"/>
    <w:rsid w:val="00C24DAF"/>
    <w:rsid w:val="00C2523D"/>
    <w:rsid w:val="00C2580B"/>
    <w:rsid w:val="00C25F3B"/>
    <w:rsid w:val="00C275E9"/>
    <w:rsid w:val="00C2766D"/>
    <w:rsid w:val="00C27973"/>
    <w:rsid w:val="00C33B98"/>
    <w:rsid w:val="00C34301"/>
    <w:rsid w:val="00C376BE"/>
    <w:rsid w:val="00C379FF"/>
    <w:rsid w:val="00C45302"/>
    <w:rsid w:val="00C5044B"/>
    <w:rsid w:val="00C520CF"/>
    <w:rsid w:val="00C53AFC"/>
    <w:rsid w:val="00C540F5"/>
    <w:rsid w:val="00C5416C"/>
    <w:rsid w:val="00C60B36"/>
    <w:rsid w:val="00C70724"/>
    <w:rsid w:val="00C70757"/>
    <w:rsid w:val="00C74D39"/>
    <w:rsid w:val="00C75DC3"/>
    <w:rsid w:val="00C76826"/>
    <w:rsid w:val="00C77475"/>
    <w:rsid w:val="00C817CB"/>
    <w:rsid w:val="00C8293A"/>
    <w:rsid w:val="00C8457F"/>
    <w:rsid w:val="00C862B8"/>
    <w:rsid w:val="00C87A63"/>
    <w:rsid w:val="00C87F11"/>
    <w:rsid w:val="00C9204C"/>
    <w:rsid w:val="00C96469"/>
    <w:rsid w:val="00CA0686"/>
    <w:rsid w:val="00CA0DB7"/>
    <w:rsid w:val="00CA1D3C"/>
    <w:rsid w:val="00CA4C90"/>
    <w:rsid w:val="00CA53B3"/>
    <w:rsid w:val="00CB1074"/>
    <w:rsid w:val="00CB2294"/>
    <w:rsid w:val="00CB2FFD"/>
    <w:rsid w:val="00CB33B3"/>
    <w:rsid w:val="00CB742A"/>
    <w:rsid w:val="00CC3149"/>
    <w:rsid w:val="00CC3E9B"/>
    <w:rsid w:val="00CD60A6"/>
    <w:rsid w:val="00CD766B"/>
    <w:rsid w:val="00CE4EE4"/>
    <w:rsid w:val="00CE5CAD"/>
    <w:rsid w:val="00CE7FC4"/>
    <w:rsid w:val="00CF265F"/>
    <w:rsid w:val="00CF2A2F"/>
    <w:rsid w:val="00CF337F"/>
    <w:rsid w:val="00CF7EA8"/>
    <w:rsid w:val="00D0022E"/>
    <w:rsid w:val="00D07D69"/>
    <w:rsid w:val="00D11519"/>
    <w:rsid w:val="00D11874"/>
    <w:rsid w:val="00D1195B"/>
    <w:rsid w:val="00D13A63"/>
    <w:rsid w:val="00D140AB"/>
    <w:rsid w:val="00D167EA"/>
    <w:rsid w:val="00D16F94"/>
    <w:rsid w:val="00D204AA"/>
    <w:rsid w:val="00D20DBE"/>
    <w:rsid w:val="00D225A9"/>
    <w:rsid w:val="00D27C1E"/>
    <w:rsid w:val="00D31A56"/>
    <w:rsid w:val="00D3387B"/>
    <w:rsid w:val="00D3696B"/>
    <w:rsid w:val="00D40A6E"/>
    <w:rsid w:val="00D425D5"/>
    <w:rsid w:val="00D43E06"/>
    <w:rsid w:val="00D44CA6"/>
    <w:rsid w:val="00D47462"/>
    <w:rsid w:val="00D51242"/>
    <w:rsid w:val="00D51E36"/>
    <w:rsid w:val="00D53124"/>
    <w:rsid w:val="00D53D43"/>
    <w:rsid w:val="00D55E37"/>
    <w:rsid w:val="00D563DF"/>
    <w:rsid w:val="00D56A80"/>
    <w:rsid w:val="00D619E0"/>
    <w:rsid w:val="00D61DF9"/>
    <w:rsid w:val="00D628D2"/>
    <w:rsid w:val="00D75FA5"/>
    <w:rsid w:val="00D777D3"/>
    <w:rsid w:val="00D8059B"/>
    <w:rsid w:val="00D81429"/>
    <w:rsid w:val="00D82903"/>
    <w:rsid w:val="00D842BE"/>
    <w:rsid w:val="00D9068C"/>
    <w:rsid w:val="00DA283E"/>
    <w:rsid w:val="00DA4FCF"/>
    <w:rsid w:val="00DA500D"/>
    <w:rsid w:val="00DB02B4"/>
    <w:rsid w:val="00DB18E8"/>
    <w:rsid w:val="00DB3B65"/>
    <w:rsid w:val="00DB4877"/>
    <w:rsid w:val="00DB4E9C"/>
    <w:rsid w:val="00DB518E"/>
    <w:rsid w:val="00DB5D09"/>
    <w:rsid w:val="00DB7F65"/>
    <w:rsid w:val="00DC33FE"/>
    <w:rsid w:val="00DC5A9E"/>
    <w:rsid w:val="00DC60DE"/>
    <w:rsid w:val="00DC70E6"/>
    <w:rsid w:val="00DD0C4B"/>
    <w:rsid w:val="00DD712B"/>
    <w:rsid w:val="00DE0628"/>
    <w:rsid w:val="00DE190D"/>
    <w:rsid w:val="00DE5A14"/>
    <w:rsid w:val="00DE7003"/>
    <w:rsid w:val="00DF06FC"/>
    <w:rsid w:val="00DF21E0"/>
    <w:rsid w:val="00DF5763"/>
    <w:rsid w:val="00DF58E6"/>
    <w:rsid w:val="00E069AF"/>
    <w:rsid w:val="00E06BEA"/>
    <w:rsid w:val="00E111BE"/>
    <w:rsid w:val="00E162F8"/>
    <w:rsid w:val="00E17272"/>
    <w:rsid w:val="00E17A05"/>
    <w:rsid w:val="00E20BA5"/>
    <w:rsid w:val="00E20C40"/>
    <w:rsid w:val="00E220D0"/>
    <w:rsid w:val="00E2393D"/>
    <w:rsid w:val="00E24F47"/>
    <w:rsid w:val="00E252DC"/>
    <w:rsid w:val="00E34708"/>
    <w:rsid w:val="00E35898"/>
    <w:rsid w:val="00E37357"/>
    <w:rsid w:val="00E401DD"/>
    <w:rsid w:val="00E40E31"/>
    <w:rsid w:val="00E416A5"/>
    <w:rsid w:val="00E431BE"/>
    <w:rsid w:val="00E45AA4"/>
    <w:rsid w:val="00E47916"/>
    <w:rsid w:val="00E52469"/>
    <w:rsid w:val="00E5502C"/>
    <w:rsid w:val="00E55167"/>
    <w:rsid w:val="00E620AA"/>
    <w:rsid w:val="00E63288"/>
    <w:rsid w:val="00E63BEB"/>
    <w:rsid w:val="00E64BCD"/>
    <w:rsid w:val="00E655E0"/>
    <w:rsid w:val="00E657E9"/>
    <w:rsid w:val="00E7497E"/>
    <w:rsid w:val="00E74997"/>
    <w:rsid w:val="00E7617F"/>
    <w:rsid w:val="00E76F6E"/>
    <w:rsid w:val="00E81567"/>
    <w:rsid w:val="00E83AC8"/>
    <w:rsid w:val="00E83CC9"/>
    <w:rsid w:val="00E8405D"/>
    <w:rsid w:val="00E86623"/>
    <w:rsid w:val="00E97313"/>
    <w:rsid w:val="00E9761B"/>
    <w:rsid w:val="00EA0AAB"/>
    <w:rsid w:val="00EA218B"/>
    <w:rsid w:val="00EA4C99"/>
    <w:rsid w:val="00EB4CF1"/>
    <w:rsid w:val="00EB68CC"/>
    <w:rsid w:val="00EC43E9"/>
    <w:rsid w:val="00EC4EF4"/>
    <w:rsid w:val="00EC524C"/>
    <w:rsid w:val="00ED0F32"/>
    <w:rsid w:val="00ED1AB3"/>
    <w:rsid w:val="00ED1DDC"/>
    <w:rsid w:val="00ED34CF"/>
    <w:rsid w:val="00ED55F8"/>
    <w:rsid w:val="00EE0880"/>
    <w:rsid w:val="00EE11B7"/>
    <w:rsid w:val="00EF63AA"/>
    <w:rsid w:val="00EF7EC2"/>
    <w:rsid w:val="00F074FF"/>
    <w:rsid w:val="00F113F8"/>
    <w:rsid w:val="00F162BC"/>
    <w:rsid w:val="00F17AFB"/>
    <w:rsid w:val="00F258BE"/>
    <w:rsid w:val="00F26E6B"/>
    <w:rsid w:val="00F32589"/>
    <w:rsid w:val="00F36E68"/>
    <w:rsid w:val="00F4180C"/>
    <w:rsid w:val="00F44314"/>
    <w:rsid w:val="00F44C78"/>
    <w:rsid w:val="00F44D74"/>
    <w:rsid w:val="00F47AC5"/>
    <w:rsid w:val="00F50089"/>
    <w:rsid w:val="00F52141"/>
    <w:rsid w:val="00F526A7"/>
    <w:rsid w:val="00F656FA"/>
    <w:rsid w:val="00F67AB0"/>
    <w:rsid w:val="00F70F8D"/>
    <w:rsid w:val="00F77CE1"/>
    <w:rsid w:val="00F83434"/>
    <w:rsid w:val="00F8452B"/>
    <w:rsid w:val="00F91A0B"/>
    <w:rsid w:val="00F93E5E"/>
    <w:rsid w:val="00F948EB"/>
    <w:rsid w:val="00F96892"/>
    <w:rsid w:val="00F97215"/>
    <w:rsid w:val="00FA4AE6"/>
    <w:rsid w:val="00FB17EE"/>
    <w:rsid w:val="00FB261C"/>
    <w:rsid w:val="00FB2F66"/>
    <w:rsid w:val="00FB39FE"/>
    <w:rsid w:val="00FB5FD4"/>
    <w:rsid w:val="00FC0B64"/>
    <w:rsid w:val="00FC0D37"/>
    <w:rsid w:val="00FC40C8"/>
    <w:rsid w:val="00FC456A"/>
    <w:rsid w:val="00FC6EFD"/>
    <w:rsid w:val="00FD05AA"/>
    <w:rsid w:val="00FD19CE"/>
    <w:rsid w:val="00FD1E14"/>
    <w:rsid w:val="00FD24F4"/>
    <w:rsid w:val="00FD3288"/>
    <w:rsid w:val="00FD56C4"/>
    <w:rsid w:val="00FE1D58"/>
    <w:rsid w:val="00FE52DE"/>
    <w:rsid w:val="00FF5D5F"/>
    <w:rsid w:val="00FF69A3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DCAAAFB"/>
  <w15:docId w15:val="{A1E153C3-89C0-4D47-947F-2E595FD6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tabs>
        <w:tab w:val="left" w:pos="0"/>
      </w:tabs>
      <w:outlineLvl w:val="0"/>
    </w:pPr>
    <w:rPr>
      <w:rFonts w:ascii="Arial" w:hAnsi="Arial" w:cs="Arial"/>
      <w:b/>
      <w:i/>
      <w:iCs/>
      <w:sz w:val="20"/>
    </w:rPr>
  </w:style>
  <w:style w:type="paragraph" w:styleId="Nadpis2">
    <w:name w:val="heading 2"/>
    <w:basedOn w:val="Normlny"/>
    <w:next w:val="Normlny"/>
    <w:qFormat/>
    <w:pPr>
      <w:keepNext/>
      <w:widowControl w:val="0"/>
      <w:ind w:left="420"/>
      <w:jc w:val="both"/>
      <w:outlineLvl w:val="1"/>
    </w:pPr>
    <w:rPr>
      <w:b/>
      <w:sz w:val="22"/>
      <w:szCs w:val="20"/>
      <w:lang w:val="en-GB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rFonts w:ascii="Arial" w:hAnsi="Arial" w:cs="Arial"/>
      <w:i/>
      <w:iCs/>
      <w:sz w:val="20"/>
    </w:rPr>
  </w:style>
  <w:style w:type="paragraph" w:styleId="Nadpis5">
    <w:name w:val="heading 5"/>
    <w:basedOn w:val="Normlny"/>
    <w:next w:val="Normlny"/>
    <w:qFormat/>
    <w:pPr>
      <w:keepNext/>
      <w:widowControl w:val="0"/>
      <w:tabs>
        <w:tab w:val="left" w:pos="2552"/>
      </w:tabs>
      <w:ind w:left="420" w:right="-426"/>
      <w:jc w:val="both"/>
      <w:outlineLvl w:val="4"/>
    </w:pPr>
    <w:rPr>
      <w:szCs w:val="20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i/>
      <w:szCs w:val="20"/>
      <w:u w:val="single"/>
    </w:rPr>
  </w:style>
  <w:style w:type="paragraph" w:styleId="Nadpis7">
    <w:name w:val="heading 7"/>
    <w:basedOn w:val="Normlny"/>
    <w:next w:val="Normlny"/>
    <w:qFormat/>
    <w:pPr>
      <w:keepNext/>
      <w:jc w:val="both"/>
      <w:outlineLvl w:val="6"/>
    </w:pPr>
    <w:rPr>
      <w:rFonts w:ascii="Arial" w:hAnsi="Arial" w:cs="Arial"/>
      <w:b/>
      <w:iCs/>
      <w:sz w:val="20"/>
      <w:szCs w:val="20"/>
      <w:u w:val="single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rFonts w:ascii="Arial" w:hAnsi="Arial" w:cs="Arial"/>
      <w:b/>
      <w:iCs/>
      <w:color w:val="000000"/>
      <w:sz w:val="20"/>
      <w:szCs w:val="20"/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rFonts w:ascii="Arial" w:hAnsi="Arial" w:cs="Arial"/>
      <w:b/>
      <w:bCs/>
      <w:i/>
      <w:iCs/>
      <w:sz w:val="20"/>
      <w:u w:val="single"/>
    </w:rPr>
  </w:style>
  <w:style w:type="paragraph" w:styleId="Zarkazkladnhotextu2">
    <w:name w:val="Body Text Indent 2"/>
    <w:basedOn w:val="Normlny"/>
    <w:pPr>
      <w:widowControl w:val="0"/>
      <w:ind w:left="426" w:hanging="426"/>
      <w:jc w:val="both"/>
    </w:pPr>
    <w:rPr>
      <w:sz w:val="20"/>
      <w:szCs w:val="20"/>
      <w:lang w:val="en-GB"/>
    </w:rPr>
  </w:style>
  <w:style w:type="paragraph" w:styleId="Zkladntext">
    <w:name w:val="Body Text"/>
    <w:basedOn w:val="Normlny"/>
    <w:link w:val="ZkladntextChar"/>
    <w:pPr>
      <w:jc w:val="both"/>
    </w:pPr>
    <w:rPr>
      <w:szCs w:val="20"/>
      <w:lang w:val="x-none"/>
    </w:rPr>
  </w:style>
  <w:style w:type="paragraph" w:styleId="Zkladntext3">
    <w:name w:val="Body Text 3"/>
    <w:basedOn w:val="Normlny"/>
    <w:pPr>
      <w:jc w:val="both"/>
    </w:pPr>
    <w:rPr>
      <w:rFonts w:ascii="Arial" w:hAnsi="Arial" w:cs="Arial"/>
      <w:strike/>
      <w:sz w:val="20"/>
      <w:szCs w:val="20"/>
    </w:rPr>
  </w:style>
  <w:style w:type="paragraph" w:styleId="Oznaitext">
    <w:name w:val="Block Text"/>
    <w:basedOn w:val="Normlny"/>
    <w:pPr>
      <w:widowControl w:val="0"/>
      <w:ind w:left="426" w:right="-426" w:hanging="426"/>
      <w:jc w:val="both"/>
    </w:pPr>
    <w:rPr>
      <w:szCs w:val="20"/>
    </w:rPr>
  </w:style>
  <w:style w:type="paragraph" w:styleId="Zarkazkladnhotextu">
    <w:name w:val="Body Text Indent"/>
    <w:basedOn w:val="Normlny"/>
    <w:pPr>
      <w:widowControl w:val="0"/>
      <w:ind w:left="426" w:hanging="426"/>
      <w:jc w:val="both"/>
    </w:pPr>
    <w:rPr>
      <w:b/>
      <w:sz w:val="22"/>
      <w:szCs w:val="20"/>
      <w:lang w:val="en-GB"/>
    </w:r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uiPriority w:val="9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/>
    </w:rPr>
  </w:style>
  <w:style w:type="paragraph" w:styleId="Textbubliny">
    <w:name w:val="Balloon Text"/>
    <w:basedOn w:val="Normlny"/>
    <w:semiHidden/>
    <w:rsid w:val="003734E5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Predvolenpsmoodseku"/>
    <w:rsid w:val="00F83434"/>
  </w:style>
  <w:style w:type="character" w:customStyle="1" w:styleId="longtext1">
    <w:name w:val="long_text1"/>
    <w:rsid w:val="00D167EA"/>
    <w:rPr>
      <w:sz w:val="13"/>
      <w:szCs w:val="13"/>
    </w:rPr>
  </w:style>
  <w:style w:type="character" w:styleId="Odkaznakomentr">
    <w:name w:val="annotation reference"/>
    <w:uiPriority w:val="99"/>
    <w:semiHidden/>
    <w:unhideWhenUsed/>
    <w:rsid w:val="008133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1337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813376"/>
    <w:rPr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E55167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HornokrajformulraChar">
    <w:name w:val="z-Horný okraj formulára Char"/>
    <w:link w:val="z-Hor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E55167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SpodnokrajformulraChar">
    <w:name w:val="z-Spodný okraj formulára Char"/>
    <w:link w:val="z-Spodnokrajformulra"/>
    <w:uiPriority w:val="99"/>
    <w:semiHidden/>
    <w:rsid w:val="00E55167"/>
    <w:rPr>
      <w:rFonts w:ascii="Arial" w:hAnsi="Arial" w:cs="Arial"/>
      <w:vanish/>
      <w:sz w:val="16"/>
      <w:szCs w:val="16"/>
    </w:rPr>
  </w:style>
  <w:style w:type="character" w:customStyle="1" w:styleId="mediumtext1">
    <w:name w:val="medium_text1"/>
    <w:rsid w:val="00E45AA4"/>
    <w:rPr>
      <w:sz w:val="16"/>
      <w:szCs w:val="16"/>
    </w:rPr>
  </w:style>
  <w:style w:type="character" w:customStyle="1" w:styleId="ZkladntextChar">
    <w:name w:val="Základný text Char"/>
    <w:link w:val="Zkladntext"/>
    <w:rsid w:val="008C3584"/>
    <w:rPr>
      <w:sz w:val="24"/>
      <w:lang w:eastAsia="en-US"/>
    </w:rPr>
  </w:style>
  <w:style w:type="paragraph" w:customStyle="1" w:styleId="AHeader3abc">
    <w:name w:val="AHeader 3 abc"/>
    <w:basedOn w:val="Normlny"/>
    <w:rsid w:val="008505B1"/>
    <w:pPr>
      <w:tabs>
        <w:tab w:val="num" w:pos="360"/>
      </w:tabs>
      <w:spacing w:after="120"/>
      <w:ind w:left="1701" w:hanging="425"/>
      <w:jc w:val="both"/>
    </w:pPr>
    <w:rPr>
      <w:rFonts w:ascii="Arial" w:hAnsi="Arial" w:cs="Arial"/>
      <w:sz w:val="22"/>
      <w:szCs w:val="20"/>
      <w:lang w:val="en-GB"/>
    </w:rPr>
  </w:style>
  <w:style w:type="paragraph" w:customStyle="1" w:styleId="A-TableText">
    <w:name w:val="A-Table Text"/>
    <w:rsid w:val="00B27B39"/>
    <w:pPr>
      <w:spacing w:before="60" w:after="60"/>
    </w:pPr>
    <w:rPr>
      <w:sz w:val="22"/>
      <w:lang w:val="en-GB" w:eastAsia="en-US"/>
    </w:rPr>
  </w:style>
  <w:style w:type="paragraph" w:styleId="Predmetkomentra">
    <w:name w:val="annotation subject"/>
    <w:basedOn w:val="Textkomentra"/>
    <w:next w:val="Textkomentra"/>
    <w:semiHidden/>
    <w:rsid w:val="00B156D9"/>
    <w:rPr>
      <w:b/>
      <w:bCs/>
    </w:rPr>
  </w:style>
  <w:style w:type="character" w:customStyle="1" w:styleId="HlavikaChar">
    <w:name w:val="Hlavička Char"/>
    <w:link w:val="Hlavika"/>
    <w:uiPriority w:val="99"/>
    <w:rsid w:val="00F67AB0"/>
    <w:rPr>
      <w:lang w:val="en-US" w:eastAsia="en-US"/>
    </w:rPr>
  </w:style>
  <w:style w:type="character" w:customStyle="1" w:styleId="hps">
    <w:name w:val="hps"/>
    <w:basedOn w:val="Predvolenpsmoodseku"/>
    <w:rsid w:val="00D82903"/>
  </w:style>
  <w:style w:type="character" w:styleId="Zvraznenie">
    <w:name w:val="Emphasis"/>
    <w:uiPriority w:val="20"/>
    <w:qFormat/>
    <w:rsid w:val="00BF7213"/>
    <w:rPr>
      <w:b/>
      <w:bCs/>
      <w:i w:val="0"/>
      <w:iCs w:val="0"/>
    </w:rPr>
  </w:style>
  <w:style w:type="character" w:customStyle="1" w:styleId="atn">
    <w:name w:val="atn"/>
    <w:basedOn w:val="Predvolenpsmoodseku"/>
    <w:rsid w:val="007B368C"/>
  </w:style>
  <w:style w:type="character" w:customStyle="1" w:styleId="longtext">
    <w:name w:val="long_text"/>
    <w:basedOn w:val="Predvolenpsmoodseku"/>
    <w:rsid w:val="00E63BEB"/>
  </w:style>
  <w:style w:type="paragraph" w:customStyle="1" w:styleId="Revision1">
    <w:name w:val="Revision1"/>
    <w:hidden/>
    <w:uiPriority w:val="99"/>
    <w:semiHidden/>
    <w:rsid w:val="00894EF4"/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F526A7"/>
  </w:style>
  <w:style w:type="paragraph" w:styleId="Normlnywebov">
    <w:name w:val="Normal (Web)"/>
    <w:basedOn w:val="Normlny"/>
    <w:uiPriority w:val="99"/>
    <w:unhideWhenUsed/>
    <w:rsid w:val="009753EF"/>
    <w:pPr>
      <w:spacing w:before="180"/>
    </w:pPr>
    <w:rPr>
      <w:lang w:eastAsia="sk-SK"/>
    </w:rPr>
  </w:style>
  <w:style w:type="character" w:styleId="Hypertextovprepojenie">
    <w:name w:val="Hyperlink"/>
    <w:rsid w:val="00462EDB"/>
    <w:rPr>
      <w:color w:val="0000FF"/>
      <w:u w:val="single"/>
    </w:rPr>
  </w:style>
  <w:style w:type="paragraph" w:customStyle="1" w:styleId="Default">
    <w:name w:val="Default"/>
    <w:rsid w:val="00DE70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4D00C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3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3510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36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5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1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3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45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3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0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49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684601049">
                      <w:marLeft w:val="50"/>
                      <w:marRight w:val="0"/>
                      <w:marTop w:val="1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072">
                              <w:marLeft w:val="0"/>
                              <w:marRight w:val="60"/>
                              <w:marTop w:val="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49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9928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8227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4B1A-04F2-4ED1-A1E2-36553BA3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5563</Words>
  <Characters>35158</Characters>
  <Application>Microsoft Office Word</Application>
  <DocSecurity>0</DocSecurity>
  <Lines>292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40640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Uhnakova</dc:creator>
  <cp:lastModifiedBy>Skladaná, Judita</cp:lastModifiedBy>
  <cp:revision>2</cp:revision>
  <cp:lastPrinted>2018-05-02T07:20:00Z</cp:lastPrinted>
  <dcterms:created xsi:type="dcterms:W3CDTF">2020-08-28T08:38:00Z</dcterms:created>
  <dcterms:modified xsi:type="dcterms:W3CDTF">2020-08-28T08:38:00Z</dcterms:modified>
</cp:coreProperties>
</file>